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259B2E">
      <w:pPr>
        <w:spacing w:line="360" w:lineRule="auto"/>
        <w:rPr>
          <w:rFonts w:ascii="宋体" w:hAnsi="宋体" w:eastAsia="宋体" w:cs="宋体"/>
          <w:color w:val="auto"/>
          <w:highlight w:val="none"/>
        </w:rPr>
      </w:pPr>
    </w:p>
    <w:p w14:paraId="4FDE739A">
      <w:pPr>
        <w:spacing w:line="360" w:lineRule="auto"/>
        <w:rPr>
          <w:rFonts w:ascii="宋体" w:hAnsi="宋体" w:eastAsia="宋体" w:cs="宋体"/>
          <w:color w:val="auto"/>
          <w:highlight w:val="none"/>
        </w:rPr>
      </w:pPr>
    </w:p>
    <w:p w14:paraId="433DA975">
      <w:pPr>
        <w:pStyle w:val="2"/>
        <w:keepNext w:val="0"/>
        <w:keepLines w:val="0"/>
        <w:widowControl/>
        <w:spacing w:line="360" w:lineRule="auto"/>
        <w:jc w:val="center"/>
        <w:rPr>
          <w:rFonts w:ascii="宋体" w:hAnsi="宋体" w:cs="宋体"/>
          <w:color w:val="auto"/>
          <w:sz w:val="24"/>
          <w:szCs w:val="24"/>
          <w:highlight w:val="none"/>
        </w:rPr>
      </w:pPr>
      <w:bookmarkStart w:id="0" w:name="_Toc1151"/>
      <w:bookmarkStart w:id="1" w:name="_Toc27392"/>
      <w:bookmarkStart w:id="2" w:name="_Toc17081"/>
      <w:r>
        <w:rPr>
          <w:rFonts w:ascii="黑体" w:hAnsi="宋体" w:eastAsia="黑体"/>
          <w:color w:val="auto"/>
          <w:sz w:val="52"/>
          <w:highlight w:val="none"/>
        </w:rPr>
        <w:drawing>
          <wp:anchor distT="0" distB="0" distL="114300" distR="114300" simplePos="0" relativeHeight="251660288" behindDoc="1" locked="0" layoutInCell="1" allowOverlap="1">
            <wp:simplePos x="0" y="0"/>
            <wp:positionH relativeFrom="margin">
              <wp:posOffset>470535</wp:posOffset>
            </wp:positionH>
            <wp:positionV relativeFrom="paragraph">
              <wp:posOffset>1005840</wp:posOffset>
            </wp:positionV>
            <wp:extent cx="4260215" cy="1590040"/>
            <wp:effectExtent l="189865" t="0" r="198120" b="724535"/>
            <wp:wrapNone/>
            <wp:docPr id="18" name="图片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98"/>
                    <pic:cNvPicPr>
                      <a:picLocks noChangeAspect="1" noChangeArrowheads="1"/>
                    </pic:cNvPicPr>
                  </pic:nvPicPr>
                  <pic:blipFill>
                    <a:blip r:embed="rId15" cstate="print">
                      <a:extLst>
                        <a:ext uri="{28A0092B-C50C-407E-A947-70E740481C1C}">
                          <a14:useLocalDpi xmlns:a14="http://schemas.microsoft.com/office/drawing/2010/main" val="0"/>
                        </a:ext>
                      </a:extLst>
                    </a:blip>
                    <a:srcRect r="313" b="9343"/>
                    <a:stretch>
                      <a:fillRect/>
                    </a:stretch>
                  </pic:blipFill>
                  <pic:spPr>
                    <a:xfrm>
                      <a:off x="0" y="0"/>
                      <a:ext cx="4537237" cy="1930551"/>
                    </a:xfrm>
                    <a:prstGeom prst="rect">
                      <a:avLst/>
                    </a:prstGeom>
                    <a:noFill/>
                    <a:ln>
                      <a:noFill/>
                    </a:ln>
                    <a:effectLst>
                      <a:reflection blurRad="6350" stA="50000" endA="300" endPos="55500" dist="101600" dir="5400000" sy="-100000" algn="bl" rotWithShape="0"/>
                    </a:effectLst>
                    <a:scene3d>
                      <a:camera prst="perspectiveRelaxedModerately"/>
                      <a:lightRig rig="threePt" dir="t"/>
                    </a:scene3d>
                  </pic:spPr>
                </pic:pic>
              </a:graphicData>
            </a:graphic>
          </wp:anchor>
        </w:drawing>
      </w:r>
      <w:r>
        <w:rPr>
          <w:rFonts w:hint="eastAsia" w:ascii="宋体" w:hAnsi="宋体" w:cs="宋体"/>
          <w:color w:val="auto"/>
          <w:sz w:val="84"/>
          <w:szCs w:val="84"/>
          <w:highlight w:val="none"/>
        </w:rPr>
        <w:t>竞争性磋商文件</w:t>
      </w:r>
      <w:bookmarkEnd w:id="0"/>
      <w:bookmarkEnd w:id="1"/>
      <w:bookmarkEnd w:id="2"/>
    </w:p>
    <w:p w14:paraId="209EA75B">
      <w:pPr>
        <w:spacing w:line="360" w:lineRule="auto"/>
        <w:jc w:val="left"/>
        <w:rPr>
          <w:rFonts w:ascii="宋体" w:hAnsi="宋体" w:cs="宋体"/>
          <w:b/>
          <w:bCs/>
          <w:color w:val="auto"/>
          <w:sz w:val="24"/>
          <w:szCs w:val="24"/>
          <w:highlight w:val="none"/>
        </w:rPr>
      </w:pPr>
    </w:p>
    <w:p w14:paraId="6EE10BEA">
      <w:pPr>
        <w:spacing w:line="360" w:lineRule="auto"/>
        <w:jc w:val="left"/>
        <w:rPr>
          <w:rFonts w:ascii="宋体" w:hAnsi="宋体" w:cs="宋体"/>
          <w:b/>
          <w:bCs/>
          <w:color w:val="auto"/>
          <w:sz w:val="24"/>
          <w:szCs w:val="24"/>
          <w:highlight w:val="none"/>
        </w:rPr>
      </w:pPr>
    </w:p>
    <w:p w14:paraId="1847496B">
      <w:pPr>
        <w:spacing w:line="360" w:lineRule="auto"/>
        <w:jc w:val="left"/>
        <w:rPr>
          <w:rFonts w:ascii="宋体" w:hAnsi="宋体" w:cs="宋体"/>
          <w:b/>
          <w:bCs/>
          <w:color w:val="auto"/>
          <w:sz w:val="24"/>
          <w:szCs w:val="24"/>
          <w:highlight w:val="none"/>
        </w:rPr>
      </w:pPr>
    </w:p>
    <w:p w14:paraId="0599EE08">
      <w:pPr>
        <w:spacing w:line="360" w:lineRule="auto"/>
        <w:jc w:val="left"/>
        <w:rPr>
          <w:rFonts w:ascii="宋体" w:hAnsi="宋体" w:cs="宋体"/>
          <w:b/>
          <w:bCs/>
          <w:color w:val="auto"/>
          <w:sz w:val="24"/>
          <w:szCs w:val="24"/>
          <w:highlight w:val="none"/>
        </w:rPr>
      </w:pPr>
    </w:p>
    <w:p w14:paraId="6F14D08D">
      <w:pPr>
        <w:spacing w:line="360" w:lineRule="auto"/>
        <w:jc w:val="left"/>
        <w:rPr>
          <w:rFonts w:ascii="宋体" w:hAnsi="宋体" w:cs="宋体"/>
          <w:b/>
          <w:bCs/>
          <w:color w:val="auto"/>
          <w:sz w:val="24"/>
          <w:szCs w:val="24"/>
          <w:highlight w:val="none"/>
        </w:rPr>
      </w:pPr>
    </w:p>
    <w:p w14:paraId="60D45AD4">
      <w:pPr>
        <w:spacing w:line="360" w:lineRule="auto"/>
        <w:jc w:val="left"/>
        <w:rPr>
          <w:rFonts w:ascii="宋体" w:hAnsi="宋体" w:cs="宋体"/>
          <w:b/>
          <w:bCs/>
          <w:color w:val="auto"/>
          <w:sz w:val="24"/>
          <w:szCs w:val="24"/>
          <w:highlight w:val="none"/>
        </w:rPr>
      </w:pPr>
    </w:p>
    <w:p w14:paraId="6C887757">
      <w:pPr>
        <w:spacing w:line="360" w:lineRule="auto"/>
        <w:jc w:val="left"/>
        <w:rPr>
          <w:rFonts w:ascii="宋体" w:hAnsi="宋体" w:cs="宋体"/>
          <w:b/>
          <w:bCs/>
          <w:color w:val="auto"/>
          <w:sz w:val="24"/>
          <w:szCs w:val="24"/>
          <w:highlight w:val="none"/>
        </w:rPr>
      </w:pPr>
    </w:p>
    <w:p w14:paraId="4157EF6F">
      <w:pPr>
        <w:spacing w:line="360" w:lineRule="auto"/>
        <w:jc w:val="left"/>
        <w:rPr>
          <w:rFonts w:ascii="宋体" w:hAnsi="宋体" w:cs="宋体"/>
          <w:b/>
          <w:bCs/>
          <w:color w:val="auto"/>
          <w:sz w:val="24"/>
          <w:szCs w:val="24"/>
          <w:highlight w:val="none"/>
        </w:rPr>
      </w:pPr>
    </w:p>
    <w:p w14:paraId="5A05CC1B">
      <w:pPr>
        <w:snapToGrid w:val="0"/>
        <w:spacing w:line="360" w:lineRule="auto"/>
        <w:ind w:right="-191"/>
        <w:rPr>
          <w:rFonts w:ascii="宋体" w:hAnsi="宋体" w:eastAsia="宋体" w:cs="宋体"/>
          <w:b/>
          <w:color w:val="auto"/>
          <w:sz w:val="32"/>
          <w:szCs w:val="32"/>
          <w:highlight w:val="none"/>
        </w:rPr>
      </w:pPr>
    </w:p>
    <w:p w14:paraId="294B2259">
      <w:pPr>
        <w:snapToGrid w:val="0"/>
        <w:spacing w:line="360" w:lineRule="auto"/>
        <w:ind w:left="2423" w:leftChars="347" w:right="-191" w:hanging="1590" w:hangingChars="495"/>
        <w:rPr>
          <w:rFonts w:ascii="宋体" w:hAnsi="宋体" w:eastAsia="宋体" w:cs="宋体"/>
          <w:b/>
          <w:color w:val="auto"/>
          <w:sz w:val="32"/>
          <w:szCs w:val="32"/>
          <w:highlight w:val="none"/>
        </w:rPr>
      </w:pPr>
    </w:p>
    <w:p w14:paraId="3B586911">
      <w:pPr>
        <w:snapToGrid w:val="0"/>
        <w:spacing w:line="360" w:lineRule="auto"/>
        <w:ind w:right="-191"/>
        <w:rPr>
          <w:rFonts w:ascii="宋体" w:hAnsi="宋体" w:eastAsia="宋体" w:cs="宋体"/>
          <w:b/>
          <w:color w:val="auto"/>
          <w:sz w:val="32"/>
          <w:szCs w:val="32"/>
          <w:highlight w:val="none"/>
        </w:rPr>
      </w:pPr>
    </w:p>
    <w:p w14:paraId="63EA3B80">
      <w:pPr>
        <w:snapToGrid w:val="0"/>
        <w:spacing w:line="360" w:lineRule="auto"/>
        <w:ind w:right="-191"/>
        <w:rPr>
          <w:rFonts w:hint="eastAsia" w:ascii="宋体" w:hAnsi="宋体" w:eastAsia="宋体" w:cs="宋体"/>
          <w:b/>
          <w:color w:val="000000" w:themeColor="text1"/>
          <w:sz w:val="32"/>
          <w:szCs w:val="32"/>
          <w:highlight w:val="none"/>
          <w:lang w:eastAsia="zh-CN"/>
          <w14:textFill>
            <w14:solidFill>
              <w14:schemeClr w14:val="tx1"/>
            </w14:solidFill>
          </w14:textFill>
        </w:rPr>
      </w:pPr>
      <w:r>
        <w:rPr>
          <w:rFonts w:hint="eastAsia" w:ascii="宋体" w:hAnsi="宋体" w:eastAsia="宋体" w:cs="宋体"/>
          <w:b/>
          <w:color w:val="auto"/>
          <w:sz w:val="32"/>
          <w:szCs w:val="32"/>
          <w:highlight w:val="none"/>
        </w:rPr>
        <w:t>项目编号</w:t>
      </w:r>
      <w:r>
        <w:rPr>
          <w:rFonts w:hint="eastAsia" w:ascii="宋体" w:hAnsi="宋体" w:eastAsia="宋体" w:cs="宋体"/>
          <w:b/>
          <w:color w:val="000000" w:themeColor="text1"/>
          <w:sz w:val="32"/>
          <w:szCs w:val="32"/>
          <w:highlight w:val="none"/>
          <w14:textFill>
            <w14:solidFill>
              <w14:schemeClr w14:val="tx1"/>
            </w14:solidFill>
          </w14:textFill>
        </w:rPr>
        <w:t>：</w:t>
      </w:r>
      <w:r>
        <w:rPr>
          <w:rFonts w:hint="eastAsia" w:cs="宋体"/>
          <w:b/>
          <w:color w:val="000000" w:themeColor="text1"/>
          <w:sz w:val="32"/>
          <w:szCs w:val="32"/>
          <w:highlight w:val="none"/>
          <w:lang w:eastAsia="zh-CN"/>
          <w14:textFill>
            <w14:solidFill>
              <w14:schemeClr w14:val="tx1"/>
            </w14:solidFill>
          </w14:textFill>
        </w:rPr>
        <w:t>TC259H0CA</w:t>
      </w:r>
    </w:p>
    <w:p w14:paraId="1E21A228">
      <w:pPr>
        <w:snapToGrid w:val="0"/>
        <w:spacing w:line="360" w:lineRule="auto"/>
        <w:ind w:right="-191"/>
        <w:rPr>
          <w:rFonts w:hint="default" w:ascii="宋体" w:hAnsi="宋体" w:eastAsia="宋体" w:cs="宋体"/>
          <w:b/>
          <w:color w:val="000000" w:themeColor="text1"/>
          <w:sz w:val="32"/>
          <w:szCs w:val="32"/>
          <w:highlight w:val="none"/>
          <w:lang w:val="en-US" w:eastAsia="zh-CN"/>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项目名称：</w:t>
      </w:r>
      <w:r>
        <w:rPr>
          <w:rFonts w:hint="eastAsia" w:cs="宋体"/>
          <w:b/>
          <w:color w:val="000000" w:themeColor="text1"/>
          <w:sz w:val="32"/>
          <w:szCs w:val="32"/>
          <w:highlight w:val="none"/>
          <w:lang w:eastAsia="zh-CN"/>
          <w14:textFill>
            <w14:solidFill>
              <w14:schemeClr w14:val="tx1"/>
            </w14:solidFill>
          </w14:textFill>
        </w:rPr>
        <w:t>新疆医科大学第一附属医院基建工程项目造价咨询服务项目</w:t>
      </w:r>
    </w:p>
    <w:p w14:paraId="455CF727">
      <w:pPr>
        <w:snapToGrid w:val="0"/>
        <w:spacing w:line="360" w:lineRule="auto"/>
        <w:ind w:right="-191"/>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采 购 人：</w:t>
      </w:r>
      <w:r>
        <w:rPr>
          <w:rFonts w:hint="eastAsia" w:cs="宋体"/>
          <w:b/>
          <w:color w:val="000000" w:themeColor="text1"/>
          <w:sz w:val="32"/>
          <w:szCs w:val="32"/>
          <w:highlight w:val="none"/>
          <w:lang w:eastAsia="zh-CN"/>
          <w14:textFill>
            <w14:solidFill>
              <w14:schemeClr w14:val="tx1"/>
            </w14:solidFill>
          </w14:textFill>
        </w:rPr>
        <w:t>新疆医科大学第一附属医院</w:t>
      </w:r>
    </w:p>
    <w:p w14:paraId="1165949B">
      <w:pPr>
        <w:pStyle w:val="69"/>
        <w:spacing w:line="360" w:lineRule="auto"/>
        <w:rPr>
          <w:rFonts w:ascii="宋体" w:hAnsi="宋体" w:eastAsia="宋体" w:cs="宋体"/>
          <w:color w:val="000000" w:themeColor="text1"/>
          <w:highlight w:val="none"/>
          <w14:textFill>
            <w14:solidFill>
              <w14:schemeClr w14:val="tx1"/>
            </w14:solidFill>
          </w14:textFill>
        </w:rPr>
      </w:pPr>
    </w:p>
    <w:p w14:paraId="48C01F88">
      <w:pPr>
        <w:pStyle w:val="69"/>
        <w:spacing w:line="360" w:lineRule="auto"/>
        <w:rPr>
          <w:rFonts w:ascii="宋体" w:hAnsi="宋体" w:eastAsia="宋体" w:cs="宋体"/>
          <w:color w:val="000000" w:themeColor="text1"/>
          <w:highlight w:val="none"/>
          <w14:textFill>
            <w14:solidFill>
              <w14:schemeClr w14:val="tx1"/>
            </w14:solidFill>
          </w14:textFill>
        </w:rPr>
      </w:pPr>
    </w:p>
    <w:p w14:paraId="0A6AC548">
      <w:pPr>
        <w:snapToGrid w:val="0"/>
        <w:spacing w:line="360" w:lineRule="auto"/>
        <w:jc w:val="center"/>
        <w:rPr>
          <w:rFonts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中招国际招标有限公司</w:t>
      </w:r>
    </w:p>
    <w:p w14:paraId="5F582AF9">
      <w:pPr>
        <w:snapToGrid w:val="0"/>
        <w:spacing w:line="360" w:lineRule="auto"/>
        <w:jc w:val="center"/>
        <w:rPr>
          <w:rFonts w:ascii="宋体" w:hAnsi="宋体" w:eastAsia="宋体" w:cs="宋体"/>
          <w:b/>
          <w:color w:val="000000" w:themeColor="text1"/>
          <w:sz w:val="32"/>
          <w:szCs w:val="32"/>
          <w:highlight w:val="none"/>
          <w14:textFill>
            <w14:solidFill>
              <w14:schemeClr w14:val="tx1"/>
            </w14:solidFill>
          </w14:textFill>
        </w:rPr>
        <w:sectPr>
          <w:footerReference r:id="rId5" w:type="first"/>
          <w:pgSz w:w="11906" w:h="16838"/>
          <w:pgMar w:top="1440" w:right="1800" w:bottom="1440" w:left="1800" w:header="851" w:footer="752" w:gutter="0"/>
          <w:pgNumType w:fmt="decimal" w:start="1"/>
          <w:cols w:space="720" w:num="1"/>
          <w:formProt w:val="0"/>
          <w:docGrid w:type="lines" w:linePitch="312" w:charSpace="0"/>
        </w:sectPr>
      </w:pPr>
      <w:r>
        <w:rPr>
          <w:rFonts w:hint="eastAsia" w:ascii="宋体" w:hAnsi="宋体" w:eastAsia="宋体" w:cs="宋体"/>
          <w:b/>
          <w:color w:val="000000" w:themeColor="text1"/>
          <w:sz w:val="32"/>
          <w:szCs w:val="32"/>
          <w:highlight w:val="none"/>
          <w14:textFill>
            <w14:solidFill>
              <w14:schemeClr w14:val="tx1"/>
            </w14:solidFill>
          </w14:textFill>
        </w:rPr>
        <w:t>202</w:t>
      </w:r>
      <w:r>
        <w:rPr>
          <w:rFonts w:hint="eastAsia" w:ascii="宋体" w:hAnsi="宋体" w:eastAsia="宋体" w:cs="宋体"/>
          <w:b/>
          <w:color w:val="000000" w:themeColor="text1"/>
          <w:sz w:val="32"/>
          <w:szCs w:val="32"/>
          <w:highlight w:val="none"/>
          <w:lang w:val="en-US" w:eastAsia="zh-CN"/>
          <w14:textFill>
            <w14:solidFill>
              <w14:schemeClr w14:val="tx1"/>
            </w14:solidFill>
          </w14:textFill>
        </w:rPr>
        <w:t>5</w:t>
      </w:r>
      <w:r>
        <w:rPr>
          <w:rFonts w:hint="eastAsia" w:ascii="宋体" w:hAnsi="宋体" w:eastAsia="宋体" w:cs="宋体"/>
          <w:b/>
          <w:color w:val="000000" w:themeColor="text1"/>
          <w:sz w:val="32"/>
          <w:szCs w:val="32"/>
          <w:highlight w:val="none"/>
          <w14:textFill>
            <w14:solidFill>
              <w14:schemeClr w14:val="tx1"/>
            </w14:solidFill>
          </w14:textFill>
        </w:rPr>
        <w:t>年</w:t>
      </w:r>
      <w:r>
        <w:rPr>
          <w:rFonts w:hint="eastAsia" w:cs="宋体"/>
          <w:b/>
          <w:color w:val="000000" w:themeColor="text1"/>
          <w:sz w:val="32"/>
          <w:szCs w:val="32"/>
          <w:highlight w:val="none"/>
          <w:lang w:val="en-US" w:eastAsia="zh-CN"/>
          <w14:textFill>
            <w14:solidFill>
              <w14:schemeClr w14:val="tx1"/>
            </w14:solidFill>
          </w14:textFill>
        </w:rPr>
        <w:t>04</w:t>
      </w:r>
      <w:r>
        <w:rPr>
          <w:rFonts w:hint="eastAsia" w:ascii="宋体" w:hAnsi="宋体" w:eastAsia="宋体" w:cs="宋体"/>
          <w:b/>
          <w:color w:val="000000" w:themeColor="text1"/>
          <w:sz w:val="32"/>
          <w:szCs w:val="32"/>
          <w:highlight w:val="none"/>
          <w14:textFill>
            <w14:solidFill>
              <w14:schemeClr w14:val="tx1"/>
            </w14:solidFill>
          </w14:textFill>
        </w:rPr>
        <w:t>月</w:t>
      </w:r>
    </w:p>
    <w:p w14:paraId="24271553">
      <w:pPr>
        <w:jc w:val="center"/>
        <w:rPr>
          <w:rFonts w:hint="eastAsia" w:ascii="宋体" w:hAnsi="宋体" w:eastAsia="宋体" w:cs="宋体"/>
          <w:b/>
          <w:bCs/>
          <w:i w:val="0"/>
          <w:iCs w:val="0"/>
          <w:color w:val="auto"/>
          <w:sz w:val="36"/>
          <w:szCs w:val="36"/>
          <w:highlight w:val="none"/>
        </w:rPr>
      </w:pPr>
      <w:r>
        <w:rPr>
          <w:rFonts w:hint="eastAsia" w:ascii="宋体" w:hAnsi="宋体" w:eastAsia="宋体" w:cs="宋体"/>
          <w:b/>
          <w:bCs/>
          <w:i w:val="0"/>
          <w:iCs w:val="0"/>
          <w:color w:val="auto"/>
          <w:sz w:val="36"/>
          <w:szCs w:val="36"/>
          <w:highlight w:val="none"/>
        </w:rPr>
        <w:t>目 录</w:t>
      </w:r>
    </w:p>
    <w:p w14:paraId="456BAE27">
      <w:pPr>
        <w:pStyle w:val="20"/>
        <w:keepNext w:val="0"/>
        <w:keepLines w:val="0"/>
        <w:pageBreakBefore w:val="0"/>
        <w:widowControl w:val="0"/>
        <w:tabs>
          <w:tab w:val="left" w:pos="960"/>
          <w:tab w:val="right" w:leader="dot" w:pos="8296"/>
        </w:tabs>
        <w:kinsoku/>
        <w:wordWrap/>
        <w:overflowPunct/>
        <w:topLinePunct w:val="0"/>
        <w:autoSpaceDE/>
        <w:autoSpaceDN/>
        <w:bidi w:val="0"/>
        <w:adjustRightInd/>
        <w:snapToGrid/>
        <w:spacing w:line="360" w:lineRule="exact"/>
        <w:textAlignment w:val="auto"/>
        <w:rPr>
          <w:i w:val="0"/>
          <w:iCs w:val="0"/>
          <w:color w:val="auto"/>
          <w:highlight w:val="none"/>
        </w:rPr>
      </w:pPr>
    </w:p>
    <w:p w14:paraId="75A17A28">
      <w:pPr>
        <w:pStyle w:val="20"/>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i w:val="0"/>
          <w:iCs w:val="0"/>
          <w:color w:val="auto"/>
          <w:highlight w:val="none"/>
        </w:rPr>
        <w:fldChar w:fldCharType="begin"/>
      </w:r>
      <w:r>
        <w:rPr>
          <w:i w:val="0"/>
          <w:iCs w:val="0"/>
          <w:color w:val="auto"/>
          <w:highlight w:val="none"/>
        </w:rPr>
        <w:instrText xml:space="preserve"> TOC \o "1-3" \h \z \u </w:instrText>
      </w:r>
      <w:r>
        <w:rPr>
          <w:i w:val="0"/>
          <w:iCs w:val="0"/>
          <w:color w:val="auto"/>
          <w:highlight w:val="none"/>
        </w:rPr>
        <w:fldChar w:fldCharType="separate"/>
      </w: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_Toc23719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第一章 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_Toc23719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4C50A8D7">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_Toc21003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hr-HR" w:eastAsia="zh-CN" w:bidi="ar-SA"/>
        </w:rPr>
        <w:t>一、</w:t>
      </w:r>
      <w:r>
        <w:rPr>
          <w:rFonts w:hint="eastAsia" w:ascii="宋体" w:hAnsi="宋体" w:eastAsia="宋体" w:cs="宋体"/>
          <w:i w:val="0"/>
          <w:iCs w:val="0"/>
          <w:color w:val="auto"/>
          <w:sz w:val="24"/>
          <w:szCs w:val="24"/>
          <w:highlight w:val="none"/>
          <w:lang w:val="hr-HR"/>
        </w:rPr>
        <w:t>项目基本情况</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_Toc21003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5CBDDCE8">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_Toc11033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二、申请人的</w:t>
      </w:r>
      <w:r>
        <w:rPr>
          <w:rFonts w:hint="eastAsia" w:ascii="宋体" w:hAnsi="宋体" w:eastAsia="宋体" w:cs="宋体"/>
          <w:bCs/>
          <w:i w:val="0"/>
          <w:iCs w:val="0"/>
          <w:color w:val="auto"/>
          <w:kern w:val="2"/>
          <w:sz w:val="24"/>
          <w:szCs w:val="24"/>
          <w:highlight w:val="none"/>
          <w:lang w:val="hr-HR" w:eastAsia="zh-CN" w:bidi="ar-SA"/>
        </w:rPr>
        <w:t>资格要求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_Toc11033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B85DA33">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_Toc26657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三、</w:t>
      </w:r>
      <w:r>
        <w:rPr>
          <w:rFonts w:hint="eastAsia" w:ascii="宋体" w:hAnsi="宋体" w:eastAsia="宋体" w:cs="宋体"/>
          <w:bCs/>
          <w:i w:val="0"/>
          <w:iCs w:val="0"/>
          <w:color w:val="auto"/>
          <w:kern w:val="2"/>
          <w:sz w:val="24"/>
          <w:szCs w:val="24"/>
          <w:highlight w:val="none"/>
          <w:lang w:val="hr-HR" w:eastAsia="zh-CN" w:bidi="ar-SA"/>
        </w:rPr>
        <w:t>获取</w:t>
      </w:r>
      <w:r>
        <w:rPr>
          <w:rFonts w:hint="eastAsia" w:ascii="宋体" w:hAnsi="宋体" w:eastAsia="宋体" w:cs="宋体"/>
          <w:bCs/>
          <w:i w:val="0"/>
          <w:iCs w:val="0"/>
          <w:color w:val="auto"/>
          <w:kern w:val="2"/>
          <w:sz w:val="24"/>
          <w:szCs w:val="24"/>
          <w:highlight w:val="none"/>
          <w:lang w:val="en-US" w:eastAsia="zh-CN" w:bidi="ar-SA"/>
        </w:rPr>
        <w:t>采购</w:t>
      </w:r>
      <w:r>
        <w:rPr>
          <w:rFonts w:hint="eastAsia" w:ascii="宋体" w:hAnsi="宋体" w:eastAsia="宋体" w:cs="宋体"/>
          <w:bCs/>
          <w:i w:val="0"/>
          <w:iCs w:val="0"/>
          <w:color w:val="auto"/>
          <w:kern w:val="2"/>
          <w:sz w:val="24"/>
          <w:szCs w:val="24"/>
          <w:highlight w:val="none"/>
          <w:lang w:val="hr-HR" w:eastAsia="zh-CN" w:bidi="ar-SA"/>
        </w:rPr>
        <w:t>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_Toc26657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58EC05AB">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_Toc19038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四、</w:t>
      </w:r>
      <w:r>
        <w:rPr>
          <w:rFonts w:hint="eastAsia" w:ascii="宋体" w:hAnsi="宋体" w:eastAsia="宋体" w:cs="宋体"/>
          <w:bCs/>
          <w:i w:val="0"/>
          <w:iCs w:val="0"/>
          <w:color w:val="auto"/>
          <w:spacing w:val="-6"/>
          <w:kern w:val="2"/>
          <w:sz w:val="24"/>
          <w:szCs w:val="24"/>
          <w:highlight w:val="none"/>
          <w:lang w:val="hr-HR" w:eastAsia="zh-CN" w:bidi="ar-SA"/>
        </w:rPr>
        <w:t>响应文件提交</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_Toc19038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6DFCA2F2">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_Toc16856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五、开启</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_Toc16856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1F21E07">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_Toc582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六、</w:t>
      </w:r>
      <w:r>
        <w:rPr>
          <w:rFonts w:hint="eastAsia" w:ascii="宋体" w:hAnsi="宋体" w:eastAsia="宋体" w:cs="宋体"/>
          <w:bCs/>
          <w:i w:val="0"/>
          <w:iCs w:val="0"/>
          <w:color w:val="auto"/>
          <w:kern w:val="2"/>
          <w:sz w:val="24"/>
          <w:szCs w:val="24"/>
          <w:highlight w:val="none"/>
          <w:lang w:val="hr-HR" w:eastAsia="zh-CN" w:bidi="ar-SA"/>
        </w:rPr>
        <w:t>公告期限</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_Toc582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DD11E1C">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_Toc2075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hr-HR" w:eastAsia="zh-CN" w:bidi="ar-SA"/>
        </w:rPr>
        <w:t>七、其他补充事宜</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_Toc2075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FF24EF4">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_Toc11825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八、</w:t>
      </w:r>
      <w:r>
        <w:rPr>
          <w:rFonts w:hint="eastAsia" w:ascii="宋体" w:hAnsi="宋体" w:eastAsia="宋体" w:cs="宋体"/>
          <w:bCs/>
          <w:i w:val="0"/>
          <w:iCs w:val="0"/>
          <w:color w:val="auto"/>
          <w:kern w:val="2"/>
          <w:sz w:val="24"/>
          <w:szCs w:val="24"/>
          <w:highlight w:val="none"/>
          <w:lang w:val="hr-HR" w:eastAsia="zh-CN" w:bidi="ar-SA"/>
        </w:rPr>
        <w:t>凡对本次采购提出询问，请按以下方式联系</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_Toc11825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0DDC7680">
      <w:pPr>
        <w:pStyle w:val="20"/>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_Toc11873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第二章 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_Toc11873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74F72D2C">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_Toc19176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一、供应商须知前附表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_Toc19176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42EDC1C">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_Toc185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C052A46">
      <w:pPr>
        <w:pStyle w:val="20"/>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_Toc25233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第三章 项目采购需求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_Toc25233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244D8EE">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_Toc31980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color w:val="auto"/>
          <w:sz w:val="24"/>
          <w:szCs w:val="24"/>
          <w:highlight w:val="none"/>
          <w:lang w:val="en-US" w:eastAsia="zh-CN"/>
        </w:rPr>
        <w:t>一、采购标的</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_Toc31980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2DBA974">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_Toc21526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color w:val="auto"/>
          <w:sz w:val="24"/>
          <w:szCs w:val="24"/>
          <w:highlight w:val="none"/>
          <w:lang w:val="en-US" w:eastAsia="zh-CN"/>
        </w:rPr>
        <w:t>二、商务要求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_Toc21526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30B61FF">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_Toc8025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color w:val="auto"/>
          <w:sz w:val="24"/>
          <w:szCs w:val="24"/>
          <w:highlight w:val="none"/>
          <w:lang w:val="en-US" w:eastAsia="zh-CN"/>
        </w:rPr>
        <w:t>三、技术要求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_Toc8025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39</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641F03E">
      <w:pPr>
        <w:pStyle w:val="20"/>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_Toc12488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第四章 评审方法及标准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_Toc12488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39</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E45AC8B">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_Toc1665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lang w:val="en-US" w:eastAsia="zh-CN"/>
        </w:rPr>
        <w:t>一、</w:t>
      </w:r>
      <w:r>
        <w:rPr>
          <w:rFonts w:hint="eastAsia" w:ascii="宋体" w:hAnsi="宋体" w:eastAsia="宋体" w:cs="宋体"/>
          <w:i w:val="0"/>
          <w:iCs w:val="0"/>
          <w:color w:val="auto"/>
          <w:sz w:val="24"/>
          <w:szCs w:val="24"/>
          <w:highlight w:val="none"/>
          <w:lang w:val="zh-CN" w:eastAsia="zh-CN"/>
        </w:rPr>
        <w:t>评审方法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_Toc1665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2E66AAF">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_Toc27740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lang w:val="en-US" w:eastAsia="zh-CN"/>
        </w:rPr>
        <w:t>二、</w:t>
      </w:r>
      <w:r>
        <w:rPr>
          <w:rFonts w:hint="eastAsia" w:ascii="宋体" w:hAnsi="宋体" w:eastAsia="宋体" w:cs="宋体"/>
          <w:i w:val="0"/>
          <w:iCs w:val="0"/>
          <w:color w:val="auto"/>
          <w:sz w:val="24"/>
          <w:szCs w:val="24"/>
          <w:highlight w:val="none"/>
          <w:lang w:val="zh-CN" w:eastAsia="zh-CN"/>
        </w:rPr>
        <w:t>评审程序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_Toc27740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75C5901E">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_Toc18235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lang w:val="en-US" w:eastAsia="zh-CN"/>
        </w:rPr>
        <w:t>三、</w:t>
      </w:r>
      <w:r>
        <w:rPr>
          <w:rFonts w:hint="eastAsia" w:ascii="宋体" w:hAnsi="宋体" w:eastAsia="宋体" w:cs="宋体"/>
          <w:i w:val="0"/>
          <w:iCs w:val="0"/>
          <w:color w:val="auto"/>
          <w:sz w:val="24"/>
          <w:szCs w:val="24"/>
          <w:highlight w:val="none"/>
          <w:lang w:val="zh-CN" w:eastAsia="zh-CN"/>
        </w:rPr>
        <w:t>评审</w:t>
      </w:r>
      <w:r>
        <w:rPr>
          <w:rFonts w:hint="eastAsia" w:ascii="宋体" w:hAnsi="宋体" w:eastAsia="宋体" w:cs="宋体"/>
          <w:i w:val="0"/>
          <w:iCs w:val="0"/>
          <w:color w:val="auto"/>
          <w:sz w:val="24"/>
          <w:szCs w:val="24"/>
          <w:highlight w:val="none"/>
          <w:lang w:val="en-US" w:eastAsia="zh-CN"/>
        </w:rPr>
        <w:t>其他要求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_Toc18235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E2E81D9">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_Toc9008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lang w:val="en-US" w:eastAsia="zh-CN"/>
        </w:rPr>
        <w:t>四、</w:t>
      </w:r>
      <w:r>
        <w:rPr>
          <w:rFonts w:hint="eastAsia" w:ascii="宋体" w:hAnsi="宋体" w:eastAsia="宋体" w:cs="宋体"/>
          <w:i w:val="0"/>
          <w:iCs w:val="0"/>
          <w:color w:val="auto"/>
          <w:sz w:val="24"/>
          <w:szCs w:val="24"/>
          <w:highlight w:val="none"/>
          <w:lang w:val="zh-CN" w:eastAsia="zh-CN"/>
        </w:rPr>
        <w:t>评审标准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_Toc9008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040DB0D">
      <w:pPr>
        <w:pStyle w:val="20"/>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_Toc31032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 xml:space="preserve">第五章 </w:t>
      </w:r>
      <w:r>
        <w:rPr>
          <w:rFonts w:hint="eastAsia" w:ascii="宋体" w:hAnsi="宋体" w:eastAsia="宋体" w:cs="宋体"/>
          <w:bCs/>
          <w:i w:val="0"/>
          <w:iCs w:val="0"/>
          <w:color w:val="auto"/>
          <w:kern w:val="44"/>
          <w:sz w:val="24"/>
          <w:szCs w:val="24"/>
          <w:highlight w:val="none"/>
          <w:lang w:val="zh-CN" w:eastAsia="zh-CN" w:bidi="ar-SA"/>
        </w:rPr>
        <w:t>合同草案</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_Toc31032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55</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B9D65B7">
      <w:pPr>
        <w:pStyle w:val="20"/>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_Toc3038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 xml:space="preserve">第六章 </w:t>
      </w:r>
      <w:r>
        <w:rPr>
          <w:rFonts w:hint="eastAsia" w:ascii="宋体" w:hAnsi="宋体" w:eastAsia="宋体" w:cs="宋体"/>
          <w:i w:val="0"/>
          <w:iCs w:val="0"/>
          <w:color w:val="auto"/>
          <w:sz w:val="24"/>
          <w:szCs w:val="24"/>
          <w:highlight w:val="none"/>
        </w:rPr>
        <w:t>响应文件的格式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_Toc3038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55</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868A326">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_Toc25574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响应</w:t>
      </w:r>
      <w:r>
        <w:rPr>
          <w:rFonts w:hint="eastAsia" w:ascii="宋体" w:hAnsi="宋体" w:eastAsia="宋体" w:cs="宋体"/>
          <w:b/>
          <w:bCs/>
          <w:color w:val="auto"/>
          <w:sz w:val="24"/>
          <w:szCs w:val="24"/>
          <w:highlight w:val="none"/>
        </w:rPr>
        <w:t>文件</w:t>
      </w:r>
      <w:r>
        <w:rPr>
          <w:rFonts w:hint="eastAsia" w:ascii="宋体" w:hAnsi="宋体" w:eastAsia="宋体" w:cs="宋体"/>
          <w:b/>
          <w:bCs/>
          <w:i w:val="0"/>
          <w:iCs w:val="0"/>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_Toc30370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rPr>
        <w:t>资格证明文件</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_Toc30370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87</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end"/>
      </w:r>
    </w:p>
    <w:p w14:paraId="45C3AC86">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_Toc12516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一、满足《中华人民共和国政府采购法》第二十二条规定</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_Toc12516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7BE3A445">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_Toc18882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w:t>
      </w:r>
      <w:r>
        <w:rPr>
          <w:rFonts w:hint="eastAsia" w:ascii="宋体" w:hAnsi="宋体" w:eastAsia="宋体" w:cs="宋体"/>
          <w:bCs/>
          <w:i w:val="0"/>
          <w:iCs w:val="0"/>
          <w:color w:val="auto"/>
          <w:kern w:val="2"/>
          <w:sz w:val="24"/>
          <w:szCs w:val="24"/>
          <w:highlight w:val="none"/>
          <w:lang w:val="zh-CN" w:eastAsia="zh-CN" w:bidi="ar-SA"/>
        </w:rPr>
        <w:t>联合体协议书</w:t>
      </w:r>
      <w:r>
        <w:rPr>
          <w:rFonts w:hint="eastAsia" w:ascii="宋体" w:hAnsi="宋体" w:eastAsia="宋体" w:cs="宋体"/>
          <w:bCs w:val="0"/>
          <w:i w:val="0"/>
          <w:iCs w:val="0"/>
          <w:color w:val="auto"/>
          <w:kern w:val="2"/>
          <w:sz w:val="24"/>
          <w:szCs w:val="24"/>
          <w:highlight w:val="none"/>
          <w:lang w:val="zh-CN" w:eastAsia="zh-CN" w:bidi="ar-SA"/>
        </w:rPr>
        <w:t>【如适用】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_Toc18882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94</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34A8895">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_Toc10112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三、</w:t>
      </w:r>
      <w:r>
        <w:rPr>
          <w:rFonts w:hint="eastAsia" w:ascii="宋体" w:hAnsi="宋体" w:eastAsia="宋体" w:cs="宋体"/>
          <w:bCs/>
          <w:i w:val="0"/>
          <w:iCs w:val="0"/>
          <w:color w:val="auto"/>
          <w:kern w:val="2"/>
          <w:sz w:val="24"/>
          <w:szCs w:val="24"/>
          <w:highlight w:val="none"/>
          <w:lang w:val="zh-CN" w:eastAsia="zh-CN" w:bidi="ar-SA"/>
        </w:rPr>
        <w:t>分包意向协议书</w:t>
      </w:r>
      <w:r>
        <w:rPr>
          <w:rFonts w:hint="eastAsia" w:ascii="宋体" w:hAnsi="宋体" w:eastAsia="宋体" w:cs="宋体"/>
          <w:bCs w:val="0"/>
          <w:i w:val="0"/>
          <w:iCs w:val="0"/>
          <w:color w:val="auto"/>
          <w:kern w:val="2"/>
          <w:sz w:val="24"/>
          <w:szCs w:val="24"/>
          <w:highlight w:val="none"/>
          <w:lang w:val="zh-CN" w:eastAsia="zh-CN" w:bidi="ar-SA"/>
        </w:rPr>
        <w:t>【如适用】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_Toc10112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5D1C8317">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_Toc26686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四、落实政府采购政策相关证明文件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_Toc26686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91A5C34">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_Toc25754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五、不参与围标串标承诺书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_Toc25754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7C9A9C83">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_Toc19980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六、</w:t>
      </w:r>
      <w:r>
        <w:rPr>
          <w:rFonts w:hint="eastAsia" w:ascii="宋体" w:hAnsi="宋体" w:eastAsia="宋体" w:cs="宋体"/>
          <w:bCs/>
          <w:i w:val="0"/>
          <w:iCs w:val="0"/>
          <w:color w:val="auto"/>
          <w:kern w:val="2"/>
          <w:sz w:val="24"/>
          <w:szCs w:val="24"/>
          <w:highlight w:val="none"/>
          <w:lang w:val="zh-CN" w:eastAsia="zh-CN" w:bidi="ar-SA"/>
        </w:rPr>
        <w:t>其他资格证明文件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_Toc19980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4F61F77">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_Toc25204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响应</w:t>
      </w:r>
      <w:r>
        <w:rPr>
          <w:rFonts w:hint="eastAsia" w:ascii="宋体" w:hAnsi="宋体" w:eastAsia="宋体" w:cs="宋体"/>
          <w:b/>
          <w:bCs/>
          <w:color w:val="auto"/>
          <w:sz w:val="24"/>
          <w:szCs w:val="24"/>
          <w:highlight w:val="none"/>
        </w:rPr>
        <w:t>文件</w:t>
      </w:r>
      <w:r>
        <w:rPr>
          <w:rFonts w:hint="eastAsia" w:ascii="宋体" w:hAnsi="宋体" w:eastAsia="宋体" w:cs="宋体"/>
          <w:b/>
          <w:bCs/>
          <w:i w:val="0"/>
          <w:iCs w:val="0"/>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_Toc6323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报价文件</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_Toc6323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113</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end"/>
      </w:r>
    </w:p>
    <w:p w14:paraId="1506196B">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_Toc10882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一、报价一览表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_Toc10882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114</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603B04E">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_Toc27300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二、分项报价表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_Toc27300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E2EC5F6">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_Toc20481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响应</w:t>
      </w:r>
      <w:r>
        <w:rPr>
          <w:rFonts w:hint="eastAsia" w:ascii="宋体" w:hAnsi="宋体" w:eastAsia="宋体" w:cs="宋体"/>
          <w:b/>
          <w:bCs/>
          <w:color w:val="auto"/>
          <w:sz w:val="24"/>
          <w:szCs w:val="24"/>
          <w:highlight w:val="none"/>
        </w:rPr>
        <w:t>文件</w:t>
      </w:r>
      <w:r>
        <w:rPr>
          <w:rFonts w:hint="eastAsia" w:ascii="宋体" w:hAnsi="宋体" w:eastAsia="宋体" w:cs="宋体"/>
          <w:b/>
          <w:bCs/>
          <w:i w:val="0"/>
          <w:iCs w:val="0"/>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_Toc23374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商务技术文件</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_Toc23374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118</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end"/>
      </w:r>
    </w:p>
    <w:p w14:paraId="31832762">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_Toc16679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一、响应函</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_Toc16679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119</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46C284D">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_Toc2702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二、法定代表人（单位负责人）身份证明</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_Toc2702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4783A2D">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_Toc18159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三、授权委托书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_Toc18159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A186A4B">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_Toc27582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四、</w:t>
      </w:r>
      <w:r>
        <w:rPr>
          <w:rFonts w:hint="eastAsia" w:ascii="宋体" w:hAnsi="宋体" w:eastAsia="宋体" w:cs="宋体"/>
          <w:bCs/>
          <w:i w:val="0"/>
          <w:iCs w:val="0"/>
          <w:color w:val="auto"/>
          <w:kern w:val="2"/>
          <w:sz w:val="24"/>
          <w:szCs w:val="24"/>
          <w:highlight w:val="none"/>
          <w:lang w:val="zh-CN" w:eastAsia="zh-CN" w:bidi="ar-SA"/>
        </w:rPr>
        <w:t>政府采购供应商廉洁自律承诺书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_Toc27582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123</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042F3038">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_Toc17519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五、实质性响应一览表</w:t>
      </w:r>
      <w:r>
        <w:rPr>
          <w:rFonts w:hint="eastAsia" w:ascii="宋体" w:hAnsi="宋体" w:eastAsia="宋体" w:cs="宋体"/>
          <w:bCs/>
          <w:i w:val="0"/>
          <w:iCs w:val="0"/>
          <w:color w:val="auto"/>
          <w:kern w:val="2"/>
          <w:sz w:val="24"/>
          <w:szCs w:val="24"/>
          <w:highlight w:val="none"/>
          <w:lang w:val="zh-CN" w:eastAsia="zh-CN" w:bidi="ar-SA"/>
        </w:rPr>
        <w:t>【</w:t>
      </w:r>
      <w:r>
        <w:rPr>
          <w:rFonts w:hint="eastAsia" w:ascii="宋体" w:hAnsi="宋体" w:eastAsia="宋体" w:cs="宋体"/>
          <w:bCs/>
          <w:i w:val="0"/>
          <w:iCs w:val="0"/>
          <w:color w:val="auto"/>
          <w:kern w:val="2"/>
          <w:sz w:val="24"/>
          <w:szCs w:val="24"/>
          <w:highlight w:val="none"/>
          <w:lang w:val="en-US" w:eastAsia="zh-CN" w:bidi="ar-SA"/>
        </w:rPr>
        <w:t>本表须与第四章的一致】</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_Toc17519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124</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DD9400D">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_Toc9777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六、商务响应偏离表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_Toc9777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125</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4B66889F">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_Toc14814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七、业绩证明文件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_Toc14814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51FF694B">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_Toc7854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八、拟派项目团队</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_Toc7854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127</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97329B6">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_Toc28841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九、技术响应偏离表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_Toc28841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129</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63567D3E">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_Toc6568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十、技术方案</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_Toc6568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130</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4684983C">
      <w:pPr>
        <w:pStyle w:val="27"/>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_Toc8520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十一、其他文件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_Toc8520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131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E4890AC">
      <w:pPr>
        <w:rPr>
          <w:rFonts w:ascii="黑体" w:hAnsi="黑体" w:eastAsia="黑体"/>
          <w:i w:val="0"/>
          <w:iCs w:val="0"/>
          <w:color w:val="auto"/>
          <w:sz w:val="32"/>
          <w:szCs w:val="32"/>
          <w:highlight w:val="none"/>
        </w:rPr>
      </w:pPr>
      <w:r>
        <w:rPr>
          <w:i w:val="0"/>
          <w:iCs w:val="0"/>
          <w:color w:val="auto"/>
          <w:highlight w:val="none"/>
        </w:rPr>
        <w:fldChar w:fldCharType="end"/>
      </w:r>
    </w:p>
    <w:p w14:paraId="41F76FF5">
      <w:pPr>
        <w:jc w:val="center"/>
        <w:rPr>
          <w:rFonts w:ascii="黑体" w:hAnsi="黑体" w:eastAsia="黑体"/>
          <w:i w:val="0"/>
          <w:iCs w:val="0"/>
          <w:color w:val="auto"/>
          <w:sz w:val="32"/>
          <w:szCs w:val="32"/>
          <w:highlight w:val="none"/>
        </w:rPr>
        <w:sectPr>
          <w:headerReference r:id="rId6" w:type="default"/>
          <w:pgSz w:w="11906" w:h="16838"/>
          <w:pgMar w:top="1440" w:right="1800" w:bottom="1440" w:left="1800" w:header="851" w:footer="992" w:gutter="0"/>
          <w:pgNumType w:fmt="decimal"/>
          <w:cols w:space="425" w:num="1"/>
          <w:docGrid w:type="lines" w:linePitch="312" w:charSpace="0"/>
        </w:sectPr>
      </w:pPr>
    </w:p>
    <w:p w14:paraId="2E95929B">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pPr>
      <w:bookmarkStart w:id="3" w:name="_Toc23719"/>
      <w:r>
        <w:rPr>
          <w:rFonts w:hint="eastAsia" w:ascii="宋体" w:hAnsi="宋体" w:eastAsia="宋体" w:cs="宋体"/>
          <w:b/>
          <w:bCs/>
          <w:i w:val="0"/>
          <w:iCs w:val="0"/>
          <w:color w:val="auto"/>
          <w:kern w:val="44"/>
          <w:sz w:val="36"/>
          <w:szCs w:val="36"/>
          <w:highlight w:val="none"/>
          <w:lang w:val="en-US" w:eastAsia="zh-CN" w:bidi="ar-SA"/>
        </w:rPr>
        <w:t>第一章 竞争性磋商公告</w:t>
      </w:r>
      <w:bookmarkEnd w:id="3"/>
    </w:p>
    <w:tbl>
      <w:tblPr>
        <w:tblStyle w:val="3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1116F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14:paraId="608C728D">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i w:val="0"/>
                <w:iCs w:val="0"/>
                <w:color w:val="auto"/>
                <w:sz w:val="24"/>
                <w:szCs w:val="24"/>
                <w:highlight w:val="none"/>
                <w:lang w:val="en-US" w:eastAsia="zh-CN"/>
              </w:rPr>
            </w:pPr>
            <w:bookmarkStart w:id="4" w:name="_Toc21420"/>
            <w:bookmarkStart w:id="5" w:name="_Toc35393629"/>
            <w:bookmarkStart w:id="6" w:name="_Toc28359089"/>
            <w:bookmarkStart w:id="7" w:name="_Toc155185860"/>
            <w:bookmarkStart w:id="8" w:name="_Toc109899829"/>
            <w:bookmarkStart w:id="9" w:name="_Toc109900248"/>
            <w:bookmarkStart w:id="10" w:name="_Toc35393798"/>
            <w:bookmarkStart w:id="11" w:name="_Toc109899410"/>
            <w:bookmarkStart w:id="12" w:name="_Toc28359012"/>
            <w:bookmarkStart w:id="13" w:name="_Toc44583628"/>
            <w:bookmarkStart w:id="14" w:name="_Toc140132745"/>
            <w:bookmarkStart w:id="15" w:name="_Toc163492812"/>
            <w:r>
              <w:rPr>
                <w:rFonts w:hint="eastAsia"/>
                <w:i w:val="0"/>
                <w:iCs w:val="0"/>
                <w:color w:val="auto"/>
                <w:sz w:val="24"/>
                <w:szCs w:val="24"/>
                <w:highlight w:val="none"/>
                <w:lang w:val="en-US" w:eastAsia="zh-CN"/>
              </w:rPr>
              <w:t>项目概况：</w:t>
            </w:r>
            <w:bookmarkEnd w:id="4"/>
          </w:p>
          <w:p w14:paraId="0FC7B045">
            <w:pPr>
              <w:ind w:firstLine="480" w:firstLineChars="200"/>
              <w:rPr>
                <w:rFonts w:hint="default"/>
                <w:i w:val="0"/>
                <w:iCs w:val="0"/>
                <w:color w:val="auto"/>
                <w:highlight w:val="none"/>
                <w:lang w:val="en-US" w:eastAsia="zh-CN"/>
              </w:rPr>
            </w:pPr>
            <w:r>
              <w:rPr>
                <w:rFonts w:hint="eastAsia" w:ascii="宋体" w:hAnsi="宋体" w:eastAsia="宋体" w:cstheme="minorBidi"/>
                <w:i w:val="0"/>
                <w:iCs w:val="0"/>
                <w:color w:val="auto"/>
                <w:kern w:val="2"/>
                <w:sz w:val="24"/>
                <w:szCs w:val="24"/>
                <w:highlight w:val="none"/>
                <w:u w:val="single"/>
                <w:shd w:val="clear" w:color="auto" w:fill="FFFFFF" w:themeFill="background1"/>
                <w:lang w:val="hr-HR" w:eastAsia="zh-CN" w:bidi="ar-SA"/>
              </w:rPr>
              <w:t xml:space="preserve"> </w:t>
            </w:r>
            <w:r>
              <w:rPr>
                <w:rFonts w:hint="eastAsia" w:cstheme="minorBidi"/>
                <w:i w:val="0"/>
                <w:iCs w:val="0"/>
                <w:color w:val="auto"/>
                <w:kern w:val="2"/>
                <w:sz w:val="24"/>
                <w:szCs w:val="24"/>
                <w:highlight w:val="none"/>
                <w:u w:val="single"/>
                <w:shd w:val="clear" w:color="auto" w:fill="FFFFFF" w:themeFill="background1"/>
                <w:lang w:val="hr-HR" w:eastAsia="zh-CN" w:bidi="ar-SA"/>
              </w:rPr>
              <w:t>新疆医科大学第一附属医院基建工程项目造价咨询服务项目</w:t>
            </w:r>
            <w:r>
              <w:rPr>
                <w:rFonts w:hint="eastAsia" w:ascii="宋体" w:hAnsi="宋体" w:eastAsia="宋体" w:cstheme="minorBidi"/>
                <w:i w:val="0"/>
                <w:iCs w:val="0"/>
                <w:color w:val="auto"/>
                <w:kern w:val="2"/>
                <w:sz w:val="24"/>
                <w:szCs w:val="24"/>
                <w:highlight w:val="none"/>
                <w:u w:val="single"/>
                <w:shd w:val="clear" w:color="auto" w:fill="FFFFFF" w:themeFill="background1"/>
                <w:lang w:val="hr-HR" w:eastAsia="zh-CN" w:bidi="ar-SA"/>
              </w:rPr>
              <w:t xml:space="preserve"> </w:t>
            </w:r>
            <w:r>
              <w:rPr>
                <w:rFonts w:hint="eastAsia" w:ascii="宋体" w:hAnsi="宋体" w:eastAsia="宋体" w:cs="宋体"/>
                <w:color w:val="auto"/>
                <w:sz w:val="24"/>
                <w:szCs w:val="24"/>
                <w:highlight w:val="none"/>
              </w:rPr>
              <w:t>采购项目的潜在供应商应在政采云平台线上（网址：https://www.zcygov.cn/）获取采购文件，并于</w:t>
            </w:r>
            <w:r>
              <w:rPr>
                <w:rFonts w:hint="eastAsia" w:ascii="宋体" w:hAnsi="宋体" w:eastAsia="宋体" w:cs="宋体"/>
                <w:color w:val="auto"/>
                <w:sz w:val="24"/>
                <w:szCs w:val="24"/>
                <w:highlight w:val="none"/>
                <w:u w:val="single"/>
                <w:shd w:val="clear" w:color="auto" w:fill="FFFFFF" w:themeFill="background1"/>
                <w:lang w:val="hr-HR" w:eastAsia="zh-CN"/>
              </w:rPr>
              <w:t>202</w:t>
            </w:r>
            <w:r>
              <w:rPr>
                <w:rFonts w:hint="eastAsia" w:ascii="宋体" w:hAnsi="宋体" w:eastAsia="宋体" w:cs="宋体"/>
                <w:color w:val="000000" w:themeColor="text1"/>
                <w:sz w:val="24"/>
                <w:szCs w:val="24"/>
                <w:highlight w:val="none"/>
                <w:u w:val="single"/>
                <w:shd w:val="clear" w:color="auto" w:fill="FFFFFF" w:themeFill="background1"/>
                <w:lang w:val="hr-HR" w:eastAsia="zh-CN"/>
                <w14:textFill>
                  <w14:solidFill>
                    <w14:schemeClr w14:val="tx1"/>
                  </w14:solidFill>
                </w14:textFill>
              </w:rPr>
              <w:t>5年0</w:t>
            </w:r>
            <w:r>
              <w:rPr>
                <w:rFonts w:hint="eastAsia" w:cs="宋体"/>
                <w:color w:val="000000" w:themeColor="text1"/>
                <w:sz w:val="24"/>
                <w:szCs w:val="24"/>
                <w:highlight w:val="none"/>
                <w:u w:val="single"/>
                <w:shd w:val="clear" w:color="auto" w:fill="FFFFFF" w:themeFill="background1"/>
                <w:lang w:val="en-US" w:eastAsia="zh-CN"/>
                <w14:textFill>
                  <w14:solidFill>
                    <w14:schemeClr w14:val="tx1"/>
                  </w14:solidFill>
                </w14:textFill>
              </w:rPr>
              <w:t>4</w:t>
            </w:r>
            <w:r>
              <w:rPr>
                <w:rFonts w:hint="eastAsia" w:ascii="宋体" w:hAnsi="宋体" w:eastAsia="宋体" w:cs="宋体"/>
                <w:color w:val="000000" w:themeColor="text1"/>
                <w:sz w:val="24"/>
                <w:szCs w:val="24"/>
                <w:highlight w:val="none"/>
                <w:u w:val="single"/>
                <w:shd w:val="clear" w:color="auto" w:fill="FFFFFF" w:themeFill="background1"/>
                <w:lang w:val="hr-HR" w:eastAsia="zh-CN"/>
                <w14:textFill>
                  <w14:solidFill>
                    <w14:schemeClr w14:val="tx1"/>
                  </w14:solidFill>
                </w14:textFill>
              </w:rPr>
              <w:t>月</w:t>
            </w:r>
            <w:r>
              <w:rPr>
                <w:rFonts w:hint="eastAsia" w:cs="宋体"/>
                <w:color w:val="000000" w:themeColor="text1"/>
                <w:sz w:val="24"/>
                <w:szCs w:val="24"/>
                <w:highlight w:val="none"/>
                <w:u w:val="single"/>
                <w:shd w:val="clear" w:color="auto" w:fill="FFFFFF" w:themeFill="background1"/>
                <w:lang w:val="en-US" w:eastAsia="zh-CN"/>
                <w14:textFill>
                  <w14:solidFill>
                    <w14:schemeClr w14:val="tx1"/>
                  </w14:solidFill>
                </w14:textFill>
              </w:rPr>
              <w:t>14</w:t>
            </w:r>
            <w:r>
              <w:rPr>
                <w:rFonts w:hint="eastAsia" w:ascii="宋体" w:hAnsi="宋体" w:eastAsia="宋体" w:cs="宋体"/>
                <w:color w:val="000000" w:themeColor="text1"/>
                <w:sz w:val="24"/>
                <w:szCs w:val="24"/>
                <w:highlight w:val="none"/>
                <w:u w:val="single"/>
                <w:shd w:val="clear" w:color="auto" w:fill="FFFFFF" w:themeFill="background1"/>
                <w:lang w:val="hr-HR" w:eastAsia="zh-CN"/>
                <w14:textFill>
                  <w14:solidFill>
                    <w14:schemeClr w14:val="tx1"/>
                  </w14:solidFill>
                </w14:textFill>
              </w:rPr>
              <w:t>日 1</w:t>
            </w:r>
            <w:r>
              <w:rPr>
                <w:rFonts w:hint="eastAsia" w:cs="宋体"/>
                <w:color w:val="000000" w:themeColor="text1"/>
                <w:sz w:val="24"/>
                <w:szCs w:val="24"/>
                <w:highlight w:val="none"/>
                <w:u w:val="single"/>
                <w:shd w:val="clear" w:color="auto" w:fill="FFFFFF" w:themeFill="background1"/>
                <w:lang w:val="en-US" w:eastAsia="zh-CN"/>
                <w14:textFill>
                  <w14:solidFill>
                    <w14:schemeClr w14:val="tx1"/>
                  </w14:solidFill>
                </w14:textFill>
              </w:rPr>
              <w:t>6</w:t>
            </w:r>
            <w:r>
              <w:rPr>
                <w:rFonts w:hint="eastAsia" w:ascii="宋体" w:hAnsi="宋体" w:eastAsia="宋体" w:cs="宋体"/>
                <w:color w:val="000000" w:themeColor="text1"/>
                <w:sz w:val="24"/>
                <w:szCs w:val="24"/>
                <w:highlight w:val="none"/>
                <w:u w:val="single"/>
                <w:shd w:val="clear" w:color="auto" w:fill="FFFFFF" w:themeFill="background1"/>
                <w:lang w:val="hr-HR" w:eastAsia="zh-CN"/>
                <w14:textFill>
                  <w14:solidFill>
                    <w14:schemeClr w14:val="tx1"/>
                  </w14:solidFill>
                </w14:textFill>
              </w:rPr>
              <w:t>:00（北</w:t>
            </w:r>
            <w:r>
              <w:rPr>
                <w:rFonts w:hint="eastAsia" w:ascii="宋体" w:hAnsi="宋体" w:eastAsia="宋体" w:cs="宋体"/>
                <w:color w:val="auto"/>
                <w:sz w:val="24"/>
                <w:szCs w:val="24"/>
                <w:highlight w:val="none"/>
                <w:u w:val="single"/>
                <w:shd w:val="clear" w:color="auto" w:fill="FFFFFF" w:themeFill="background1"/>
                <w:lang w:val="hr-HR" w:eastAsia="zh-CN"/>
              </w:rPr>
              <w:t>京时间）</w:t>
            </w:r>
            <w:r>
              <w:rPr>
                <w:rFonts w:hint="eastAsia" w:ascii="宋体" w:hAnsi="宋体" w:eastAsia="宋体" w:cs="宋体"/>
                <w:color w:val="auto"/>
                <w:sz w:val="24"/>
                <w:szCs w:val="24"/>
                <w:highlight w:val="none"/>
              </w:rPr>
              <w:t>前提交响应文件。</w:t>
            </w:r>
          </w:p>
        </w:tc>
      </w:tr>
    </w:tbl>
    <w:p w14:paraId="7F8B7A2E">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i w:val="0"/>
          <w:iCs w:val="0"/>
          <w:color w:val="auto"/>
          <w:sz w:val="24"/>
          <w:szCs w:val="24"/>
          <w:highlight w:val="none"/>
          <w:lang w:val="hr-HR"/>
        </w:rPr>
      </w:pPr>
      <w:bookmarkStart w:id="16" w:name="_Toc21003"/>
      <w:r>
        <w:rPr>
          <w:rFonts w:hint="eastAsia" w:ascii="宋体" w:hAnsi="宋体" w:eastAsia="宋体" w:cs="宋体"/>
          <w:b/>
          <w:bCs/>
          <w:i w:val="0"/>
          <w:iCs w:val="0"/>
          <w:color w:val="auto"/>
          <w:kern w:val="2"/>
          <w:sz w:val="24"/>
          <w:szCs w:val="24"/>
          <w:highlight w:val="none"/>
          <w:lang w:val="hr-HR" w:eastAsia="zh-CN" w:bidi="ar-SA"/>
        </w:rPr>
        <w:t>一、</w:t>
      </w:r>
      <w:r>
        <w:rPr>
          <w:rFonts w:hint="eastAsia" w:ascii="宋体" w:hAnsi="宋体" w:eastAsia="宋体" w:cs="宋体"/>
          <w:i w:val="0"/>
          <w:iCs w:val="0"/>
          <w:color w:val="auto"/>
          <w:sz w:val="24"/>
          <w:szCs w:val="24"/>
          <w:highlight w:val="none"/>
          <w:lang w:val="hr-HR"/>
        </w:rPr>
        <w:t>项目基本情况</w:t>
      </w:r>
      <w:bookmarkEnd w:id="5"/>
      <w:bookmarkEnd w:id="6"/>
      <w:bookmarkEnd w:id="7"/>
      <w:bookmarkEnd w:id="8"/>
      <w:bookmarkEnd w:id="9"/>
      <w:bookmarkEnd w:id="10"/>
      <w:bookmarkEnd w:id="11"/>
      <w:bookmarkEnd w:id="12"/>
      <w:bookmarkEnd w:id="13"/>
      <w:bookmarkEnd w:id="14"/>
      <w:bookmarkEnd w:id="15"/>
      <w:bookmarkEnd w:id="16"/>
    </w:p>
    <w:p w14:paraId="15FE2872">
      <w:pPr>
        <w:pStyle w:val="4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hr-HR"/>
        </w:rPr>
        <w:t>1.项目编号</w:t>
      </w:r>
      <w:r>
        <w:rPr>
          <w:rFonts w:hint="eastAsia"/>
          <w:i w:val="0"/>
          <w:iCs w:val="0"/>
          <w:color w:val="auto"/>
          <w:sz w:val="24"/>
          <w:highlight w:val="none"/>
          <w:lang w:val="en-US" w:eastAsia="zh-CN"/>
        </w:rPr>
        <w:t>/包号</w:t>
      </w:r>
      <w:r>
        <w:rPr>
          <w:rFonts w:hint="eastAsia" w:ascii="宋体" w:hAnsi="宋体" w:eastAsia="宋体" w:cs="宋体"/>
          <w:i w:val="0"/>
          <w:iCs w:val="0"/>
          <w:color w:val="auto"/>
          <w:sz w:val="24"/>
          <w:szCs w:val="24"/>
          <w:highlight w:val="none"/>
          <w:lang w:val="hr-HR"/>
        </w:rPr>
        <w:t>：</w:t>
      </w:r>
      <w:r>
        <w:rPr>
          <w:rFonts w:hint="eastAsia" w:cs="宋体"/>
          <w:i w:val="0"/>
          <w:iCs w:val="0"/>
          <w:color w:val="auto"/>
          <w:sz w:val="24"/>
          <w:szCs w:val="24"/>
          <w:highlight w:val="none"/>
          <w:u w:val="single"/>
          <w:lang w:val="hr-HR" w:eastAsia="zh-CN"/>
        </w:rPr>
        <w:t>TC259H0CA</w:t>
      </w:r>
      <w:r>
        <w:rPr>
          <w:rFonts w:hint="eastAsia" w:cs="宋体"/>
          <w:i w:val="0"/>
          <w:iCs w:val="0"/>
          <w:color w:val="auto"/>
          <w:sz w:val="24"/>
          <w:szCs w:val="24"/>
          <w:highlight w:val="none"/>
          <w:u w:val="single"/>
          <w:lang w:val="en-US" w:eastAsia="zh-CN"/>
        </w:rPr>
        <w:t xml:space="preserve"> </w:t>
      </w:r>
    </w:p>
    <w:p w14:paraId="14550541">
      <w:pPr>
        <w:pStyle w:val="4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hr-HR"/>
        </w:rPr>
        <w:t>.项目名称：</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eastAsia="zh-CN"/>
        </w:rPr>
        <w:t>新疆医科大学第一附属医院基建工程项目造价咨询服务项目</w:t>
      </w:r>
      <w:r>
        <w:rPr>
          <w:rFonts w:hint="eastAsia" w:ascii="宋体" w:hAnsi="宋体" w:eastAsia="宋体" w:cs="宋体"/>
          <w:i w:val="0"/>
          <w:iCs w:val="0"/>
          <w:color w:val="auto"/>
          <w:sz w:val="24"/>
          <w:szCs w:val="24"/>
          <w:highlight w:val="none"/>
          <w:u w:val="single"/>
        </w:rPr>
        <w:t xml:space="preserve"> </w:t>
      </w:r>
    </w:p>
    <w:p w14:paraId="4D9A5943">
      <w:pPr>
        <w:pStyle w:val="4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.采购方式：</w:t>
      </w:r>
      <w:r>
        <w:rPr>
          <w:rFonts w:hint="eastAsia" w:ascii="宋体" w:hAnsi="宋体" w:eastAsia="宋体" w:cs="宋体"/>
          <w:i w:val="0"/>
          <w:iCs w:val="0"/>
          <w:color w:val="auto"/>
          <w:sz w:val="24"/>
          <w:szCs w:val="24"/>
          <w:highlight w:val="none"/>
          <w:u w:val="single"/>
          <w:lang w:val="en-US" w:eastAsia="zh-CN"/>
        </w:rPr>
        <w:t>竞争性磋商</w:t>
      </w:r>
    </w:p>
    <w:p w14:paraId="2EBAC728">
      <w:pPr>
        <w:pStyle w:val="40"/>
        <w:rPr>
          <w:rFonts w:hint="default" w:ascii="宋体" w:hAnsi="宋体" w:eastAsia="宋体" w:cs="宋体"/>
          <w:i w:val="0"/>
          <w:iCs w:val="0"/>
          <w:color w:val="auto"/>
          <w:sz w:val="24"/>
          <w:szCs w:val="24"/>
          <w:highlight w:val="none"/>
          <w:lang w:val="en-US"/>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hr-HR"/>
        </w:rPr>
        <w:t>.</w:t>
      </w:r>
      <w:r>
        <w:rPr>
          <w:rFonts w:hint="eastAsia" w:cs="宋体"/>
          <w:color w:val="auto"/>
          <w:szCs w:val="24"/>
          <w:highlight w:val="none"/>
          <w:lang w:val="hr-HR"/>
        </w:rPr>
        <w:t>预算金额</w:t>
      </w:r>
      <w:r>
        <w:rPr>
          <w:rFonts w:hint="eastAsia" w:ascii="宋体" w:hAnsi="宋体" w:eastAsia="宋体" w:cs="宋体"/>
          <w:i w:val="0"/>
          <w:iCs w:val="0"/>
          <w:caps w:val="0"/>
          <w:color w:val="auto"/>
          <w:spacing w:val="0"/>
          <w:sz w:val="24"/>
          <w:szCs w:val="24"/>
          <w:highlight w:val="none"/>
        </w:rPr>
        <w:t>（元）：</w:t>
      </w:r>
      <w:r>
        <w:rPr>
          <w:rFonts w:hint="eastAsia" w:cs="宋体"/>
          <w:color w:val="auto"/>
          <w:sz w:val="24"/>
          <w:szCs w:val="24"/>
          <w:highlight w:val="none"/>
          <w:u w:val="single"/>
          <w:lang w:val="en-US" w:eastAsia="zh-CN"/>
        </w:rPr>
        <w:t>226800</w:t>
      </w:r>
    </w:p>
    <w:p w14:paraId="78E6061E">
      <w:pPr>
        <w:pStyle w:val="40"/>
        <w:rPr>
          <w:rFonts w:hint="eastAsia" w:ascii="宋体" w:hAnsi="宋体" w:eastAsia="宋体" w:cs="宋体"/>
          <w:i w:val="0"/>
          <w:iCs w:val="0"/>
          <w:color w:val="auto"/>
          <w:sz w:val="24"/>
          <w:szCs w:val="24"/>
          <w:highlight w:val="none"/>
          <w:lang w:val="hr-HR" w:eastAsia="zh-CN"/>
        </w:rPr>
      </w:pP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lang w:val="hr-HR"/>
        </w:rPr>
        <w:t>.</w:t>
      </w:r>
      <w:r>
        <w:rPr>
          <w:rFonts w:hint="eastAsia" w:cs="宋体"/>
          <w:color w:val="auto"/>
          <w:szCs w:val="24"/>
          <w:highlight w:val="none"/>
        </w:rPr>
        <w:t>最高限价</w:t>
      </w:r>
      <w:r>
        <w:rPr>
          <w:rFonts w:hint="eastAsia" w:ascii="宋体" w:hAnsi="宋体" w:eastAsia="宋体" w:cs="宋体"/>
          <w:i w:val="0"/>
          <w:iCs w:val="0"/>
          <w:caps w:val="0"/>
          <w:color w:val="auto"/>
          <w:spacing w:val="0"/>
          <w:sz w:val="24"/>
          <w:szCs w:val="24"/>
          <w:highlight w:val="none"/>
        </w:rPr>
        <w:t>（元）：</w:t>
      </w:r>
      <w:r>
        <w:rPr>
          <w:rFonts w:hint="eastAsia" w:ascii="宋体" w:hAnsi="宋体" w:eastAsia="宋体" w:cs="宋体"/>
          <w:i w:val="0"/>
          <w:iCs w:val="0"/>
          <w:caps w:val="0"/>
          <w:color w:val="auto"/>
          <w:spacing w:val="0"/>
          <w:sz w:val="24"/>
          <w:szCs w:val="24"/>
          <w:highlight w:val="none"/>
          <w:u w:val="single"/>
        </w:rPr>
        <w:t>依据中价协【2013】35号文件规定，下调50%，造价服务费累计金额不超过22.68万元</w:t>
      </w:r>
      <w:r>
        <w:rPr>
          <w:rFonts w:hint="eastAsia" w:cs="宋体"/>
          <w:i w:val="0"/>
          <w:iCs w:val="0"/>
          <w:caps w:val="0"/>
          <w:color w:val="auto"/>
          <w:spacing w:val="0"/>
          <w:sz w:val="24"/>
          <w:szCs w:val="24"/>
          <w:highlight w:val="none"/>
          <w:u w:val="single"/>
          <w:lang w:eastAsia="zh-CN"/>
        </w:rPr>
        <w:t>。</w:t>
      </w:r>
    </w:p>
    <w:p w14:paraId="3BC2D2A3">
      <w:pPr>
        <w:ind w:firstLine="480" w:firstLineChars="20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lang w:val="hr-HR"/>
        </w:rPr>
        <w:t>.采购需求：</w:t>
      </w:r>
    </w:p>
    <w:p w14:paraId="54DBE7FF">
      <w:pPr>
        <w:ind w:firstLine="720" w:firstLineChars="300"/>
        <w:rPr>
          <w:rFonts w:hint="eastAsia" w:ascii="宋体" w:hAnsi="宋体" w:eastAsia="宋体" w:cs="宋体"/>
          <w:i w:val="0"/>
          <w:iCs w:val="0"/>
          <w:color w:val="auto"/>
          <w:sz w:val="24"/>
          <w:szCs w:val="24"/>
          <w:highlight w:val="none"/>
          <w:u w:val="single"/>
          <w:lang w:val="hr-HR" w:eastAsia="zh-CN"/>
        </w:rPr>
      </w:pPr>
      <w:r>
        <w:rPr>
          <w:rFonts w:hint="eastAsia" w:ascii="宋体" w:hAnsi="宋体" w:eastAsia="宋体" w:cs="宋体"/>
          <w:i w:val="0"/>
          <w:iCs w:val="0"/>
          <w:color w:val="auto"/>
          <w:sz w:val="24"/>
          <w:szCs w:val="24"/>
          <w:highlight w:val="none"/>
          <w:lang w:val="hr-HR"/>
        </w:rPr>
        <w:t>标项名称：</w:t>
      </w:r>
      <w:r>
        <w:rPr>
          <w:rFonts w:hint="eastAsia" w:cs="宋体"/>
          <w:i w:val="0"/>
          <w:iCs w:val="0"/>
          <w:color w:val="auto"/>
          <w:sz w:val="24"/>
          <w:szCs w:val="24"/>
          <w:highlight w:val="none"/>
          <w:u w:val="single"/>
          <w:lang w:val="hr-HR" w:eastAsia="zh-CN"/>
        </w:rPr>
        <w:t>新疆医科大学第一附属医院基建工程项目造价咨询服务项目</w:t>
      </w:r>
    </w:p>
    <w:p w14:paraId="4E49C802">
      <w:pPr>
        <w:ind w:firstLine="480" w:firstLineChars="20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 数量：</w:t>
      </w:r>
      <w:r>
        <w:rPr>
          <w:rFonts w:hint="eastAsia" w:ascii="宋体" w:hAnsi="宋体" w:eastAsia="宋体" w:cs="宋体"/>
          <w:i w:val="0"/>
          <w:iCs w:val="0"/>
          <w:color w:val="auto"/>
          <w:sz w:val="24"/>
          <w:szCs w:val="24"/>
          <w:highlight w:val="none"/>
          <w:u w:val="single"/>
          <w:lang w:val="hr-HR"/>
        </w:rPr>
        <w:t>1</w:t>
      </w:r>
      <w:r>
        <w:rPr>
          <w:rFonts w:hint="eastAsia" w:ascii="宋体" w:hAnsi="宋体" w:eastAsia="宋体" w:cs="宋体"/>
          <w:i w:val="0"/>
          <w:iCs w:val="0"/>
          <w:color w:val="auto"/>
          <w:sz w:val="24"/>
          <w:szCs w:val="24"/>
          <w:highlight w:val="none"/>
          <w:lang w:val="hr-HR"/>
        </w:rPr>
        <w:t>     </w:t>
      </w:r>
    </w:p>
    <w:p w14:paraId="34F56D0C">
      <w:pPr>
        <w:ind w:firstLine="480" w:firstLineChars="20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 预算金额（元）：</w:t>
      </w:r>
      <w:r>
        <w:rPr>
          <w:rFonts w:hint="eastAsia" w:cs="宋体"/>
          <w:color w:val="auto"/>
          <w:sz w:val="24"/>
          <w:szCs w:val="24"/>
          <w:highlight w:val="none"/>
          <w:u w:val="single"/>
          <w:lang w:val="en-US" w:eastAsia="zh-CN"/>
        </w:rPr>
        <w:t>226800</w:t>
      </w:r>
      <w:r>
        <w:rPr>
          <w:rFonts w:hint="eastAsia" w:ascii="宋体" w:hAnsi="宋体" w:eastAsia="宋体" w:cs="宋体"/>
          <w:i w:val="0"/>
          <w:iCs w:val="0"/>
          <w:color w:val="auto"/>
          <w:sz w:val="24"/>
          <w:szCs w:val="24"/>
          <w:highlight w:val="none"/>
          <w:lang w:val="hr-HR"/>
        </w:rPr>
        <w:t> </w:t>
      </w:r>
    </w:p>
    <w:p w14:paraId="39EEAD90">
      <w:pPr>
        <w:ind w:firstLine="480" w:firstLineChars="20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 单位：</w:t>
      </w:r>
      <w:r>
        <w:rPr>
          <w:rFonts w:hint="eastAsia" w:ascii="宋体" w:hAnsi="宋体" w:eastAsia="宋体" w:cs="宋体"/>
          <w:i w:val="0"/>
          <w:iCs w:val="0"/>
          <w:color w:val="auto"/>
          <w:sz w:val="24"/>
          <w:szCs w:val="24"/>
          <w:highlight w:val="none"/>
          <w:u w:val="single"/>
          <w:lang w:val="hr-HR"/>
        </w:rPr>
        <w:t>项</w:t>
      </w:r>
      <w:r>
        <w:rPr>
          <w:rFonts w:hint="eastAsia" w:ascii="宋体" w:hAnsi="宋体" w:eastAsia="宋体" w:cs="宋体"/>
          <w:i w:val="0"/>
          <w:iCs w:val="0"/>
          <w:color w:val="auto"/>
          <w:sz w:val="24"/>
          <w:szCs w:val="24"/>
          <w:highlight w:val="none"/>
          <w:lang w:val="hr-HR"/>
        </w:rPr>
        <w:t> </w:t>
      </w:r>
    </w:p>
    <w:p w14:paraId="26E4B98E">
      <w:pPr>
        <w:ind w:firstLine="480" w:firstLineChars="200"/>
        <w:rPr>
          <w:rFonts w:hint="eastAsia" w:ascii="宋体" w:hAnsi="宋体" w:eastAsia="宋体" w:cs="宋体"/>
          <w:i w:val="0"/>
          <w:iCs w:val="0"/>
          <w:color w:val="auto"/>
          <w:sz w:val="24"/>
          <w:szCs w:val="24"/>
          <w:highlight w:val="none"/>
          <w:u w:val="single"/>
          <w:lang w:val="hr-HR"/>
        </w:rPr>
      </w:pPr>
      <w:r>
        <w:rPr>
          <w:rFonts w:hint="eastAsia" w:ascii="宋体" w:hAnsi="宋体" w:eastAsia="宋体" w:cs="宋体"/>
          <w:i w:val="0"/>
          <w:iCs w:val="0"/>
          <w:color w:val="auto"/>
          <w:sz w:val="24"/>
          <w:szCs w:val="24"/>
          <w:highlight w:val="none"/>
          <w:lang w:val="hr-HR"/>
        </w:rPr>
        <w:t> 简要规格描述：</w:t>
      </w:r>
      <w:r>
        <w:rPr>
          <w:rFonts w:hint="eastAsia" w:ascii="宋体" w:hAnsi="宋体" w:eastAsia="宋体" w:cs="宋体"/>
          <w:i w:val="0"/>
          <w:iCs w:val="0"/>
          <w:color w:val="auto"/>
          <w:sz w:val="24"/>
          <w:szCs w:val="24"/>
          <w:highlight w:val="none"/>
          <w:u w:val="single"/>
          <w:lang w:val="hr-HR"/>
        </w:rPr>
        <w:t>负责编制工程量清单、工程招标控制价；审核工程变更及现场签证（包括工程量的确认与造价的核定）；提供建材材料、设备价格的咨询与确定；审核预付款、进度款、变更款、索赔款；实施施工阶段全过程的造价控制；进行竣工结算审核；全程监控和控制从工程招标阶段、项目建设期间到竣工结算阶段的造价。承担对其他造价公司编制成果的复核工作。参与建设方组织的各类工程会议。</w:t>
      </w:r>
    </w:p>
    <w:p w14:paraId="622CF521">
      <w:pPr>
        <w:pStyle w:val="38"/>
        <w:ind w:firstLine="720" w:firstLineChars="300"/>
        <w:rPr>
          <w:rFonts w:hint="eastAsia" w:ascii="宋体" w:hAnsi="宋体" w:eastAsia="宋体" w:cs="宋体"/>
          <w:i w:val="0"/>
          <w:iCs w:val="0"/>
          <w:color w:val="auto"/>
          <w:kern w:val="2"/>
          <w:sz w:val="24"/>
          <w:szCs w:val="24"/>
          <w:highlight w:val="none"/>
          <w:lang w:val="hr-HR" w:eastAsia="zh-CN" w:bidi="ar-SA"/>
        </w:rPr>
      </w:pPr>
      <w:r>
        <w:rPr>
          <w:rFonts w:hint="eastAsia" w:ascii="宋体" w:hAnsi="宋体" w:eastAsia="宋体" w:cs="宋体"/>
          <w:i w:val="0"/>
          <w:iCs w:val="0"/>
          <w:color w:val="auto"/>
          <w:kern w:val="2"/>
          <w:sz w:val="24"/>
          <w:szCs w:val="24"/>
          <w:highlight w:val="none"/>
          <w:lang w:val="hr-HR" w:eastAsia="zh-CN" w:bidi="ar-SA"/>
        </w:rPr>
        <w:t>备注：详见采购需求</w:t>
      </w:r>
      <w:r>
        <w:rPr>
          <w:rFonts w:hint="eastAsia" w:eastAsia="宋体" w:cs="宋体"/>
          <w:i w:val="0"/>
          <w:iCs w:val="0"/>
          <w:color w:val="auto"/>
          <w:kern w:val="2"/>
          <w:sz w:val="24"/>
          <w:szCs w:val="24"/>
          <w:highlight w:val="none"/>
          <w:lang w:val="hr-HR" w:eastAsia="zh-CN" w:bidi="ar-SA"/>
        </w:rPr>
        <w:t>。</w:t>
      </w:r>
    </w:p>
    <w:p w14:paraId="0EEC1CC3">
      <w:pPr>
        <w:pStyle w:val="40"/>
        <w:keepNext w:val="0"/>
        <w:keepLines w:val="0"/>
        <w:pageBreakBefore w:val="0"/>
        <w:widowControl w:val="0"/>
        <w:kinsoku/>
        <w:wordWrap w:val="0"/>
        <w:overflowPunct/>
        <w:topLinePunct w:val="0"/>
        <w:autoSpaceDE/>
        <w:autoSpaceDN/>
        <w:bidi w:val="0"/>
        <w:adjustRightInd/>
        <w:snapToGrid/>
        <w:ind w:firstLine="482"/>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7</w:t>
      </w:r>
      <w:r>
        <w:rPr>
          <w:rFonts w:hint="eastAsia" w:ascii="宋体" w:hAnsi="宋体" w:eastAsia="宋体" w:cs="宋体"/>
          <w:i w:val="0"/>
          <w:iCs w:val="0"/>
          <w:color w:val="auto"/>
          <w:sz w:val="24"/>
          <w:szCs w:val="24"/>
          <w:highlight w:val="none"/>
        </w:rPr>
        <w:t>.合同</w:t>
      </w:r>
      <w:r>
        <w:rPr>
          <w:rFonts w:hint="eastAsia" w:ascii="宋体" w:hAnsi="宋体" w:eastAsia="宋体" w:cs="宋体"/>
          <w:i w:val="0"/>
          <w:iCs w:val="0"/>
          <w:color w:val="auto"/>
          <w:sz w:val="24"/>
          <w:szCs w:val="24"/>
          <w:highlight w:val="none"/>
          <w:lang w:val="en-US" w:eastAsia="zh-CN"/>
        </w:rPr>
        <w:t>服务</w:t>
      </w:r>
      <w:r>
        <w:rPr>
          <w:rFonts w:hint="eastAsia" w:ascii="宋体" w:hAnsi="宋体" w:eastAsia="宋体" w:cs="宋体"/>
          <w:i w:val="0"/>
          <w:iCs w:val="0"/>
          <w:color w:val="auto"/>
          <w:sz w:val="24"/>
          <w:szCs w:val="24"/>
          <w:highlight w:val="none"/>
        </w:rPr>
        <w:t>履行期限：</w:t>
      </w:r>
      <w:r>
        <w:rPr>
          <w:rFonts w:hint="eastAsia" w:ascii="宋体" w:hAnsi="宋体" w:eastAsia="宋体" w:cs="宋体"/>
          <w:i w:val="0"/>
          <w:iCs w:val="0"/>
          <w:color w:val="auto"/>
          <w:sz w:val="24"/>
          <w:szCs w:val="24"/>
          <w:highlight w:val="none"/>
          <w:u w:val="single"/>
        </w:rPr>
        <w:t xml:space="preserve"> 服务期限2年（以最终项目实施完成时间为准）</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hr-HR"/>
        </w:rPr>
        <w:t xml:space="preserve"> </w:t>
      </w:r>
    </w:p>
    <w:p w14:paraId="05003F43">
      <w:pPr>
        <w:pStyle w:val="40"/>
        <w:rPr>
          <w:rFonts w:hint="eastAsia" w:ascii="宋体" w:hAnsi="宋体" w:eastAsia="宋体" w:cs="宋体"/>
          <w:i w:val="0"/>
          <w:iCs w:val="0"/>
          <w:color w:val="auto"/>
          <w:sz w:val="24"/>
          <w:szCs w:val="24"/>
          <w:highlight w:val="none"/>
          <w:lang w:val="en-US" w:eastAsia="zh-CN"/>
        </w:rPr>
      </w:pPr>
      <w:bookmarkStart w:id="17" w:name="_Toc28359013"/>
      <w:bookmarkStart w:id="18" w:name="_Toc140132746"/>
      <w:bookmarkStart w:id="19" w:name="_Toc163492813"/>
      <w:bookmarkStart w:id="20" w:name="_Toc35393799"/>
      <w:bookmarkStart w:id="21" w:name="_Toc28359090"/>
      <w:bookmarkStart w:id="22" w:name="_Toc44583629"/>
      <w:bookmarkStart w:id="23" w:name="_Toc109899830"/>
      <w:bookmarkStart w:id="24" w:name="_Toc11033"/>
      <w:bookmarkStart w:id="25" w:name="_Toc155185861"/>
      <w:bookmarkStart w:id="26" w:name="_Toc109900249"/>
      <w:bookmarkStart w:id="27" w:name="_Toc35393630"/>
      <w:bookmarkStart w:id="28" w:name="_Toc109899411"/>
      <w:r>
        <w:rPr>
          <w:rFonts w:hint="eastAsia" w:ascii="宋体" w:hAnsi="宋体" w:eastAsia="宋体" w:cs="宋体"/>
          <w:i w:val="0"/>
          <w:iCs w:val="0"/>
          <w:color w:val="auto"/>
          <w:sz w:val="24"/>
          <w:szCs w:val="24"/>
          <w:highlight w:val="none"/>
          <w:lang w:val="en-US" w:eastAsia="zh-CN"/>
        </w:rPr>
        <w:t>8.本项目（</w:t>
      </w:r>
      <w:r>
        <w:rPr>
          <w:rFonts w:hint="eastAsia" w:cs="宋体"/>
          <w:i w:val="0"/>
          <w:iCs w:val="0"/>
          <w:color w:val="auto"/>
          <w:sz w:val="24"/>
          <w:szCs w:val="24"/>
          <w:highlight w:val="none"/>
          <w:lang w:val="en-US" w:eastAsia="zh-CN"/>
        </w:rPr>
        <w:t>否</w:t>
      </w:r>
      <w:r>
        <w:rPr>
          <w:rFonts w:hint="eastAsia" w:ascii="宋体" w:hAnsi="宋体" w:eastAsia="宋体" w:cs="宋体"/>
          <w:i w:val="0"/>
          <w:iCs w:val="0"/>
          <w:color w:val="auto"/>
          <w:sz w:val="24"/>
          <w:szCs w:val="24"/>
          <w:highlight w:val="none"/>
          <w:lang w:val="en-US" w:eastAsia="zh-CN"/>
        </w:rPr>
        <w:t>）接受联合体投标。</w:t>
      </w:r>
    </w:p>
    <w:p w14:paraId="230F86F1">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hr-HR" w:eastAsia="zh-CN" w:bidi="ar-SA"/>
        </w:rPr>
      </w:pPr>
      <w:r>
        <w:rPr>
          <w:rFonts w:hint="eastAsia" w:ascii="宋体" w:hAnsi="宋体" w:eastAsia="宋体" w:cs="宋体"/>
          <w:b/>
          <w:bCs/>
          <w:i w:val="0"/>
          <w:iCs w:val="0"/>
          <w:color w:val="auto"/>
          <w:kern w:val="2"/>
          <w:sz w:val="24"/>
          <w:szCs w:val="24"/>
          <w:highlight w:val="none"/>
          <w:lang w:val="en-US" w:eastAsia="zh-CN" w:bidi="ar-SA"/>
        </w:rPr>
        <w:t>二、申请人的</w:t>
      </w:r>
      <w:r>
        <w:rPr>
          <w:rFonts w:hint="eastAsia" w:ascii="宋体" w:hAnsi="宋体" w:eastAsia="宋体" w:cs="宋体"/>
          <w:b/>
          <w:bCs/>
          <w:i w:val="0"/>
          <w:iCs w:val="0"/>
          <w:color w:val="auto"/>
          <w:kern w:val="2"/>
          <w:sz w:val="24"/>
          <w:szCs w:val="24"/>
          <w:highlight w:val="none"/>
          <w:lang w:val="hr-HR" w:eastAsia="zh-CN" w:bidi="ar-SA"/>
        </w:rPr>
        <w:t>资格要求</w:t>
      </w:r>
      <w:bookmarkEnd w:id="17"/>
      <w:bookmarkEnd w:id="18"/>
      <w:bookmarkEnd w:id="19"/>
      <w:bookmarkEnd w:id="20"/>
      <w:bookmarkEnd w:id="21"/>
      <w:bookmarkEnd w:id="22"/>
      <w:bookmarkEnd w:id="23"/>
      <w:bookmarkEnd w:id="24"/>
      <w:bookmarkEnd w:id="25"/>
      <w:bookmarkEnd w:id="26"/>
      <w:bookmarkEnd w:id="27"/>
      <w:bookmarkEnd w:id="28"/>
    </w:p>
    <w:p w14:paraId="07EFACFD">
      <w:pPr>
        <w:ind w:firstLine="480" w:firstLineChars="200"/>
        <w:rPr>
          <w:rFonts w:hint="eastAsia" w:ascii="宋体" w:hAnsi="宋体" w:eastAsia="宋体" w:cs="宋体"/>
          <w:i w:val="0"/>
          <w:iCs w:val="0"/>
          <w:strike/>
          <w:dstrike w:val="0"/>
          <w:color w:val="auto"/>
          <w:sz w:val="24"/>
          <w:szCs w:val="24"/>
          <w:highlight w:val="none"/>
          <w:lang w:val="en-US" w:eastAsia="zh-CN"/>
        </w:rPr>
      </w:pPr>
      <w:bookmarkStart w:id="29" w:name="_Toc35393631"/>
      <w:bookmarkStart w:id="30" w:name="_Toc35393800"/>
      <w:bookmarkStart w:id="31" w:name="_Toc44583630"/>
      <w:bookmarkStart w:id="32" w:name="_Toc28359014"/>
      <w:bookmarkStart w:id="33" w:name="_Toc28359091"/>
      <w:r>
        <w:rPr>
          <w:rFonts w:hint="eastAsia" w:ascii="宋体" w:hAnsi="宋体" w:eastAsia="宋体" w:cs="宋体"/>
          <w:i w:val="0"/>
          <w:iCs w:val="0"/>
          <w:color w:val="auto"/>
          <w:sz w:val="24"/>
          <w:szCs w:val="24"/>
          <w:highlight w:val="none"/>
          <w:lang w:val="en-US" w:eastAsia="zh-CN"/>
        </w:rPr>
        <w:t>1. 满足《中华人民共和国政府采购法》第二十二条规定；</w:t>
      </w:r>
    </w:p>
    <w:p w14:paraId="06DDD19C">
      <w:pPr>
        <w:ind w:firstLine="480" w:firstLineChars="200"/>
        <w:rPr>
          <w:rFonts w:hint="eastAsia" w:ascii="宋体" w:hAnsi="宋体" w:eastAsia="宋体" w:cs="宋体"/>
          <w:i w:val="0"/>
          <w:iCs w:val="0"/>
          <w:color w:val="auto"/>
          <w:sz w:val="24"/>
          <w:szCs w:val="24"/>
          <w:highlight w:val="none"/>
          <w:u w:val="none"/>
          <w:lang w:val="en-US" w:eastAsia="zh-CN"/>
        </w:rPr>
      </w:pPr>
      <w:bookmarkStart w:id="34" w:name="_Hlk89807755"/>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.落实政府采购政策需满足的资格要求：</w:t>
      </w:r>
      <w:r>
        <w:rPr>
          <w:rFonts w:hint="eastAsia" w:ascii="宋体" w:hAnsi="宋体" w:eastAsia="宋体" w:cs="宋体"/>
          <w:i w:val="0"/>
          <w:iCs w:val="0"/>
          <w:caps w:val="0"/>
          <w:color w:val="auto"/>
          <w:spacing w:val="0"/>
          <w:sz w:val="24"/>
          <w:szCs w:val="24"/>
          <w:highlight w:val="none"/>
        </w:rPr>
        <w:t>标项1：</w:t>
      </w:r>
      <w:r>
        <w:rPr>
          <w:rFonts w:hint="eastAsia" w:ascii="宋体" w:hAnsi="宋体" w:eastAsia="宋体" w:cs="宋体"/>
          <w:i w:val="0"/>
          <w:iCs w:val="0"/>
          <w:caps w:val="0"/>
          <w:color w:val="auto"/>
          <w:spacing w:val="0"/>
          <w:sz w:val="24"/>
          <w:szCs w:val="24"/>
          <w:highlight w:val="none"/>
          <w:u w:val="single"/>
        </w:rPr>
        <w:t>本项目专门面向</w:t>
      </w:r>
      <w:r>
        <w:rPr>
          <w:rFonts w:hint="eastAsia" w:cs="宋体"/>
          <w:i w:val="0"/>
          <w:iCs w:val="0"/>
          <w:caps w:val="0"/>
          <w:color w:val="auto"/>
          <w:spacing w:val="0"/>
          <w:sz w:val="24"/>
          <w:szCs w:val="24"/>
          <w:highlight w:val="none"/>
          <w:u w:val="single"/>
          <w:lang w:val="en-US" w:eastAsia="zh-CN"/>
        </w:rPr>
        <w:t>中</w:t>
      </w:r>
      <w:r>
        <w:rPr>
          <w:rFonts w:hint="eastAsia" w:ascii="宋体" w:hAnsi="宋体" w:eastAsia="宋体" w:cs="宋体"/>
          <w:i w:val="0"/>
          <w:iCs w:val="0"/>
          <w:caps w:val="0"/>
          <w:color w:val="auto"/>
          <w:spacing w:val="0"/>
          <w:sz w:val="24"/>
          <w:szCs w:val="24"/>
          <w:highlight w:val="none"/>
          <w:u w:val="single"/>
        </w:rPr>
        <w:t>小企业采购，投标人须按照采购文件要求提供《中小企业声明函》</w:t>
      </w:r>
      <w:r>
        <w:rPr>
          <w:rFonts w:hint="eastAsia" w:cs="宋体"/>
          <w:color w:val="auto"/>
          <w:szCs w:val="24"/>
          <w:highlight w:val="none"/>
          <w:u w:val="single"/>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none"/>
          <w:lang w:val="en-US" w:eastAsia="zh-CN"/>
        </w:rPr>
        <w:t xml:space="preserve">          </w:t>
      </w:r>
    </w:p>
    <w:p w14:paraId="5FC10B48">
      <w:pPr>
        <w:ind w:firstLine="480" w:firstLineChars="200"/>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3.本项目的特定资格要求：</w:t>
      </w:r>
    </w:p>
    <w:p w14:paraId="4335DB38">
      <w:pPr>
        <w:pStyle w:val="40"/>
        <w:ind w:firstLine="480"/>
        <w:rPr>
          <w:rFonts w:hint="eastAsia" w:cs="宋体"/>
          <w:color w:val="auto"/>
          <w:szCs w:val="24"/>
          <w:highlight w:val="none"/>
        </w:rPr>
      </w:pPr>
      <w:r>
        <w:rPr>
          <w:rFonts w:hint="eastAsia" w:ascii="宋体" w:hAnsi="宋体" w:eastAsia="宋体" w:cs="宋体"/>
          <w:i w:val="0"/>
          <w:iCs w:val="0"/>
          <w:caps w:val="0"/>
          <w:color w:val="auto"/>
          <w:spacing w:val="0"/>
          <w:sz w:val="24"/>
          <w:szCs w:val="24"/>
          <w:highlight w:val="none"/>
        </w:rPr>
        <w:t>【标项1】</w:t>
      </w:r>
    </w:p>
    <w:p w14:paraId="2EF6D8DB">
      <w:pPr>
        <w:pStyle w:val="40"/>
        <w:rPr>
          <w:rFonts w:hint="eastAsia" w:ascii="宋体" w:hAnsi="宋体" w:eastAsia="宋体" w:cs="宋体"/>
          <w:b/>
          <w:bCs/>
          <w:i w:val="0"/>
          <w:iCs w:val="0"/>
          <w:color w:val="auto"/>
          <w:sz w:val="24"/>
          <w:szCs w:val="24"/>
          <w:highlight w:val="none"/>
          <w:u w:val="none"/>
          <w:lang w:val="en-US" w:eastAsia="zh-CN"/>
        </w:rPr>
      </w:pPr>
      <w:r>
        <w:rPr>
          <w:rFonts w:hint="eastAsia" w:cs="宋体"/>
          <w:b/>
          <w:bCs/>
          <w:i w:val="0"/>
          <w:iCs w:val="0"/>
          <w:color w:val="auto"/>
          <w:sz w:val="24"/>
          <w:szCs w:val="24"/>
          <w:highlight w:val="none"/>
          <w:u w:val="none"/>
          <w:lang w:val="en-US" w:eastAsia="zh-CN"/>
        </w:rPr>
        <w:t>（1）</w:t>
      </w:r>
      <w:bookmarkEnd w:id="34"/>
      <w:bookmarkStart w:id="35" w:name="_Toc155185862"/>
      <w:bookmarkStart w:id="36" w:name="_Toc163492814"/>
      <w:bookmarkStart w:id="37" w:name="_Toc109899831"/>
      <w:bookmarkStart w:id="38" w:name="_Toc109899412"/>
      <w:bookmarkStart w:id="39" w:name="_Toc109900250"/>
      <w:bookmarkStart w:id="40" w:name="_Toc140132747"/>
      <w:r>
        <w:rPr>
          <w:rFonts w:hint="eastAsia" w:ascii="宋体" w:hAnsi="宋体" w:eastAsia="宋体" w:cs="宋体"/>
          <w:b/>
          <w:bCs/>
          <w:i w:val="0"/>
          <w:iCs w:val="0"/>
          <w:color w:val="auto"/>
          <w:sz w:val="24"/>
          <w:szCs w:val="24"/>
          <w:highlight w:val="none"/>
          <w:u w:val="none"/>
          <w:lang w:val="en-US" w:eastAsia="zh-CN"/>
        </w:rPr>
        <w:t>项目负责人须具有注册造价师执业资格。</w:t>
      </w:r>
    </w:p>
    <w:p w14:paraId="242CF492">
      <w:pPr>
        <w:ind w:firstLine="480" w:firstLineChars="200"/>
        <w:rPr>
          <w:rFonts w:hint="eastAsia" w:ascii="宋体" w:hAnsi="宋体" w:eastAsia="宋体" w:cs="宋体"/>
          <w:i w:val="0"/>
          <w:iCs w:val="0"/>
          <w:color w:val="auto"/>
          <w:sz w:val="24"/>
          <w:szCs w:val="24"/>
          <w:highlight w:val="none"/>
          <w:u w:val="none"/>
          <w:lang w:val="hr-HR" w:eastAsia="zh-CN"/>
        </w:rPr>
      </w:pPr>
      <w:r>
        <w:rPr>
          <w:rFonts w:hint="eastAsia" w:cs="宋体"/>
          <w:i w:val="0"/>
          <w:iCs w:val="0"/>
          <w:color w:val="auto"/>
          <w:sz w:val="24"/>
          <w:szCs w:val="24"/>
          <w:highlight w:val="none"/>
          <w:u w:val="none"/>
          <w:lang w:val="hr-HR" w:eastAsia="zh-CN"/>
        </w:rPr>
        <w:t>（</w:t>
      </w:r>
      <w:r>
        <w:rPr>
          <w:rFonts w:hint="eastAsia" w:cs="宋体"/>
          <w:i w:val="0"/>
          <w:iCs w:val="0"/>
          <w:color w:val="auto"/>
          <w:sz w:val="24"/>
          <w:szCs w:val="24"/>
          <w:highlight w:val="none"/>
          <w:u w:val="none"/>
          <w:lang w:val="en-US" w:eastAsia="zh-CN"/>
        </w:rPr>
        <w:t>2</w:t>
      </w:r>
      <w:r>
        <w:rPr>
          <w:rFonts w:hint="eastAsia" w:cs="宋体"/>
          <w:i w:val="0"/>
          <w:iCs w:val="0"/>
          <w:color w:val="auto"/>
          <w:sz w:val="24"/>
          <w:szCs w:val="24"/>
          <w:highlight w:val="none"/>
          <w:u w:val="none"/>
          <w:lang w:val="hr-HR" w:eastAsia="zh-CN"/>
        </w:rPr>
        <w:t>）</w:t>
      </w:r>
      <w:r>
        <w:rPr>
          <w:rFonts w:hint="eastAsia" w:ascii="宋体" w:hAnsi="宋体" w:eastAsia="宋体" w:cs="宋体"/>
          <w:i w:val="0"/>
          <w:iCs w:val="0"/>
          <w:color w:val="auto"/>
          <w:sz w:val="24"/>
          <w:szCs w:val="24"/>
          <w:highlight w:val="none"/>
          <w:u w:val="none"/>
          <w:lang w:val="hr-HR" w:eastAsia="zh-CN"/>
        </w:rPr>
        <w:t>法定代表人或</w:t>
      </w:r>
      <w:r>
        <w:rPr>
          <w:rFonts w:hint="eastAsia" w:ascii="宋体" w:hAnsi="宋体" w:eastAsia="宋体" w:cs="宋体"/>
          <w:i w:val="0"/>
          <w:iCs w:val="0"/>
          <w:color w:val="auto"/>
          <w:sz w:val="24"/>
          <w:szCs w:val="24"/>
          <w:highlight w:val="none"/>
          <w:u w:val="none"/>
          <w:lang w:val="en-US" w:eastAsia="zh-CN"/>
        </w:rPr>
        <w:t>单位</w:t>
      </w:r>
      <w:r>
        <w:rPr>
          <w:rFonts w:hint="eastAsia" w:ascii="宋体" w:hAnsi="宋体" w:eastAsia="宋体" w:cs="宋体"/>
          <w:i w:val="0"/>
          <w:iCs w:val="0"/>
          <w:color w:val="auto"/>
          <w:sz w:val="24"/>
          <w:szCs w:val="24"/>
          <w:highlight w:val="none"/>
          <w:u w:val="none"/>
          <w:lang w:val="hr-HR" w:eastAsia="zh-CN"/>
        </w:rPr>
        <w:t>负责人为同一人或者存在</w:t>
      </w:r>
      <w:r>
        <w:rPr>
          <w:rFonts w:hint="eastAsia" w:ascii="宋体" w:hAnsi="宋体" w:eastAsia="宋体" w:cs="宋体"/>
          <w:i w:val="0"/>
          <w:iCs w:val="0"/>
          <w:color w:val="auto"/>
          <w:sz w:val="24"/>
          <w:szCs w:val="24"/>
          <w:highlight w:val="none"/>
          <w:u w:val="none"/>
          <w:lang w:val="en-US" w:eastAsia="zh-CN"/>
        </w:rPr>
        <w:t>直接</w:t>
      </w:r>
      <w:r>
        <w:rPr>
          <w:rFonts w:hint="eastAsia" w:ascii="宋体" w:hAnsi="宋体" w:eastAsia="宋体" w:cs="宋体"/>
          <w:i w:val="0"/>
          <w:iCs w:val="0"/>
          <w:color w:val="auto"/>
          <w:sz w:val="24"/>
          <w:szCs w:val="24"/>
          <w:highlight w:val="none"/>
          <w:u w:val="none"/>
          <w:lang w:val="hr-HR" w:eastAsia="zh-CN"/>
        </w:rPr>
        <w:t>控股、管理关系的</w:t>
      </w:r>
      <w:r>
        <w:rPr>
          <w:rFonts w:hint="eastAsia" w:ascii="宋体" w:hAnsi="宋体" w:eastAsia="宋体" w:cs="宋体"/>
          <w:i w:val="0"/>
          <w:iCs w:val="0"/>
          <w:color w:val="auto"/>
          <w:sz w:val="24"/>
          <w:szCs w:val="24"/>
          <w:highlight w:val="none"/>
          <w:u w:val="none"/>
          <w:lang w:val="en-US" w:eastAsia="zh-CN"/>
        </w:rPr>
        <w:t>不同供应商</w:t>
      </w:r>
      <w:r>
        <w:rPr>
          <w:rFonts w:hint="eastAsia" w:ascii="宋体" w:hAnsi="宋体" w:eastAsia="宋体" w:cs="宋体"/>
          <w:i w:val="0"/>
          <w:iCs w:val="0"/>
          <w:color w:val="auto"/>
          <w:sz w:val="24"/>
          <w:szCs w:val="24"/>
          <w:highlight w:val="none"/>
          <w:u w:val="none"/>
          <w:lang w:val="hr-HR" w:eastAsia="zh-CN"/>
        </w:rPr>
        <w:t>，不得参加同一合同项下的政府采购活动。</w:t>
      </w:r>
    </w:p>
    <w:p w14:paraId="0C15E6EA">
      <w:pPr>
        <w:pStyle w:val="40"/>
        <w:rPr>
          <w:rFonts w:hint="eastAsia" w:ascii="宋体" w:hAnsi="宋体" w:eastAsia="宋体" w:cs="宋体"/>
          <w:i w:val="0"/>
          <w:iCs w:val="0"/>
          <w:color w:val="auto"/>
          <w:sz w:val="24"/>
          <w:szCs w:val="24"/>
          <w:highlight w:val="none"/>
          <w:u w:val="none"/>
          <w:lang w:val="hr-HR" w:eastAsia="zh-CN"/>
        </w:rPr>
      </w:pPr>
      <w:r>
        <w:rPr>
          <w:rFonts w:hint="eastAsia" w:ascii="宋体" w:hAnsi="宋体" w:eastAsia="宋体" w:cs="宋体"/>
          <w:i w:val="0"/>
          <w:iCs w:val="0"/>
          <w:color w:val="auto"/>
          <w:sz w:val="24"/>
          <w:szCs w:val="24"/>
          <w:highlight w:val="none"/>
          <w:u w:val="none"/>
          <w:lang w:val="en-US" w:eastAsia="zh-CN"/>
        </w:rPr>
        <w:t>（</w:t>
      </w:r>
      <w:r>
        <w:rPr>
          <w:rFonts w:hint="eastAsia" w:cs="宋体"/>
          <w:i w:val="0"/>
          <w:iCs w:val="0"/>
          <w:color w:val="auto"/>
          <w:sz w:val="24"/>
          <w:szCs w:val="24"/>
          <w:highlight w:val="none"/>
          <w:u w:val="none"/>
          <w:lang w:val="en-US" w:eastAsia="zh-CN"/>
        </w:rPr>
        <w:t>3</w:t>
      </w:r>
      <w:r>
        <w:rPr>
          <w:rFonts w:hint="eastAsia" w:ascii="宋体" w:hAnsi="宋体" w:eastAsia="宋体" w:cs="宋体"/>
          <w:i w:val="0"/>
          <w:iCs w:val="0"/>
          <w:color w:val="auto"/>
          <w:sz w:val="24"/>
          <w:szCs w:val="24"/>
          <w:highlight w:val="none"/>
          <w:u w:val="none"/>
          <w:lang w:val="en-US" w:eastAsia="zh-CN"/>
        </w:rPr>
        <w:t>）</w:t>
      </w:r>
      <w:r>
        <w:rPr>
          <w:rFonts w:hint="eastAsia" w:ascii="宋体" w:hAnsi="宋体" w:eastAsia="宋体" w:cs="宋体"/>
          <w:i w:val="0"/>
          <w:iCs w:val="0"/>
          <w:color w:val="auto"/>
          <w:sz w:val="24"/>
          <w:szCs w:val="24"/>
          <w:highlight w:val="none"/>
          <w:u w:val="none"/>
          <w:lang w:val="hr-HR" w:eastAsia="zh-CN"/>
        </w:rPr>
        <w:t>除单一来源采购项目外，为采购项目提供整体设计、规范编制或者项目管理、监理、检测等服务的供应商，不得再参加该采购项目的其他采购活动。</w:t>
      </w:r>
    </w:p>
    <w:p w14:paraId="2745DDAD">
      <w:pPr>
        <w:pStyle w:val="40"/>
        <w:rPr>
          <w:rFonts w:hint="eastAsia" w:ascii="宋体" w:hAnsi="宋体" w:eastAsia="宋体" w:cs="宋体"/>
          <w:b w:val="0"/>
          <w:bCs w:val="0"/>
          <w:i w:val="0"/>
          <w:iCs w:val="0"/>
          <w:color w:val="auto"/>
          <w:sz w:val="24"/>
          <w:szCs w:val="24"/>
          <w:highlight w:val="none"/>
          <w:u w:val="none"/>
          <w:lang w:val="hr-HR" w:eastAsia="zh-CN"/>
        </w:rPr>
      </w:pPr>
      <w:r>
        <w:rPr>
          <w:rFonts w:hint="eastAsia" w:ascii="宋体" w:hAnsi="宋体" w:eastAsia="宋体" w:cs="宋体"/>
          <w:i w:val="0"/>
          <w:iCs w:val="0"/>
          <w:color w:val="auto"/>
          <w:sz w:val="24"/>
          <w:szCs w:val="24"/>
          <w:highlight w:val="none"/>
          <w:u w:val="none"/>
          <w:lang w:val="hr-HR" w:eastAsia="zh-CN"/>
        </w:rPr>
        <w:t>（</w:t>
      </w:r>
      <w:r>
        <w:rPr>
          <w:rFonts w:hint="eastAsia" w:cs="宋体"/>
          <w:i w:val="0"/>
          <w:iCs w:val="0"/>
          <w:color w:val="auto"/>
          <w:sz w:val="24"/>
          <w:szCs w:val="24"/>
          <w:highlight w:val="none"/>
          <w:u w:val="none"/>
          <w:lang w:val="en-US" w:eastAsia="zh-CN"/>
        </w:rPr>
        <w:t>4</w:t>
      </w:r>
      <w:r>
        <w:rPr>
          <w:rFonts w:hint="eastAsia" w:ascii="宋体" w:hAnsi="宋体" w:eastAsia="宋体" w:cs="宋体"/>
          <w:i w:val="0"/>
          <w:iCs w:val="0"/>
          <w:color w:val="auto"/>
          <w:sz w:val="24"/>
          <w:szCs w:val="24"/>
          <w:highlight w:val="none"/>
          <w:u w:val="none"/>
          <w:lang w:val="en-US" w:eastAsia="zh-CN"/>
        </w:rPr>
        <w:t>）</w:t>
      </w:r>
      <w:r>
        <w:rPr>
          <w:rFonts w:hint="eastAsia" w:ascii="宋体" w:hAnsi="宋体" w:eastAsia="宋体" w:cs="宋体"/>
          <w:i w:val="0"/>
          <w:iCs w:val="0"/>
          <w:color w:val="auto"/>
          <w:sz w:val="24"/>
          <w:szCs w:val="24"/>
          <w:highlight w:val="none"/>
          <w:u w:val="none"/>
          <w:lang w:val="hr-HR"/>
        </w:rPr>
        <w:t>供应商的信用行为</w:t>
      </w:r>
      <w:r>
        <w:rPr>
          <w:rFonts w:hint="eastAsia" w:ascii="宋体" w:hAnsi="宋体" w:eastAsia="宋体" w:cs="宋体"/>
          <w:i w:val="0"/>
          <w:iCs w:val="0"/>
          <w:color w:val="auto"/>
          <w:sz w:val="24"/>
          <w:szCs w:val="24"/>
          <w:highlight w:val="none"/>
          <w:u w:val="none"/>
          <w:lang w:val="hr-HR" w:eastAsia="zh-CN"/>
        </w:rPr>
        <w:t>：</w:t>
      </w:r>
      <w:r>
        <w:rPr>
          <w:rFonts w:hint="eastAsia" w:ascii="宋体" w:hAnsi="宋体" w:eastAsia="宋体" w:cs="宋体"/>
          <w:i w:val="0"/>
          <w:iCs w:val="0"/>
          <w:color w:val="auto"/>
          <w:sz w:val="24"/>
          <w:szCs w:val="24"/>
          <w:highlight w:val="none"/>
          <w:u w:val="none"/>
          <w:lang w:val="hr-HR"/>
        </w:rPr>
        <w:t>在</w:t>
      </w:r>
      <w:r>
        <w:rPr>
          <w:rFonts w:hint="eastAsia" w:ascii="宋体" w:hAnsi="宋体" w:eastAsia="宋体" w:cs="宋体"/>
          <w:i w:val="0"/>
          <w:iCs w:val="0"/>
          <w:color w:val="auto"/>
          <w:sz w:val="24"/>
          <w:szCs w:val="24"/>
          <w:highlight w:val="none"/>
          <w:u w:val="none"/>
          <w:lang w:val="en-US" w:eastAsia="zh-CN"/>
        </w:rPr>
        <w:t>资格审查阶段经查询</w:t>
      </w:r>
      <w:r>
        <w:rPr>
          <w:rFonts w:hint="eastAsia" w:ascii="宋体" w:hAnsi="宋体" w:eastAsia="宋体" w:cs="宋体"/>
          <w:i w:val="0"/>
          <w:iCs w:val="0"/>
          <w:color w:val="auto"/>
          <w:sz w:val="24"/>
          <w:szCs w:val="24"/>
          <w:highlight w:val="none"/>
          <w:u w:val="none"/>
          <w:lang w:val="hr-HR" w:eastAsia="zh-CN"/>
        </w:rPr>
        <w:t>，</w:t>
      </w:r>
      <w:r>
        <w:rPr>
          <w:rFonts w:hint="eastAsia" w:ascii="宋体" w:hAnsi="宋体" w:eastAsia="宋体" w:cs="宋体"/>
          <w:i w:val="0"/>
          <w:iCs w:val="0"/>
          <w:color w:val="auto"/>
          <w:sz w:val="24"/>
          <w:szCs w:val="24"/>
          <w:highlight w:val="none"/>
          <w:u w:val="none"/>
          <w:lang w:val="en-US" w:eastAsia="zh-CN"/>
        </w:rPr>
        <w:t>未被列入“失信被执行人”、“重大税收违法失信主体”、“政府采购严重违法失信行为记录名单”</w:t>
      </w:r>
      <w:r>
        <w:rPr>
          <w:rFonts w:hint="eastAsia" w:ascii="宋体" w:hAnsi="宋体" w:eastAsia="宋体" w:cs="宋体"/>
          <w:i w:val="0"/>
          <w:iCs w:val="0"/>
          <w:color w:val="auto"/>
          <w:sz w:val="24"/>
          <w:szCs w:val="24"/>
          <w:highlight w:val="none"/>
          <w:u w:val="none"/>
          <w:lang w:val="hr-HR"/>
        </w:rPr>
        <w:t>其中之一</w:t>
      </w:r>
      <w:r>
        <w:rPr>
          <w:rFonts w:hint="eastAsia" w:ascii="宋体" w:hAnsi="宋体" w:eastAsia="宋体" w:cs="宋体"/>
          <w:i w:val="0"/>
          <w:iCs w:val="0"/>
          <w:color w:val="auto"/>
          <w:sz w:val="24"/>
          <w:szCs w:val="24"/>
          <w:highlight w:val="none"/>
          <w:u w:val="none"/>
          <w:lang w:val="hr-HR" w:eastAsia="zh-CN"/>
        </w:rPr>
        <w:t>。如有以上不良信用记录</w:t>
      </w:r>
      <w:r>
        <w:rPr>
          <w:rFonts w:hint="eastAsia" w:ascii="宋体" w:hAnsi="宋体" w:eastAsia="宋体" w:cs="宋体"/>
          <w:i w:val="0"/>
          <w:iCs w:val="0"/>
          <w:color w:val="auto"/>
          <w:sz w:val="24"/>
          <w:szCs w:val="24"/>
          <w:highlight w:val="none"/>
          <w:u w:val="none"/>
          <w:lang w:val="en-US" w:eastAsia="zh-CN"/>
        </w:rPr>
        <w:t>之一</w:t>
      </w:r>
      <w:r>
        <w:rPr>
          <w:rFonts w:hint="eastAsia" w:ascii="宋体" w:hAnsi="宋体" w:eastAsia="宋体" w:cs="宋体"/>
          <w:b w:val="0"/>
          <w:bCs w:val="0"/>
          <w:i w:val="0"/>
          <w:iCs w:val="0"/>
          <w:color w:val="auto"/>
          <w:sz w:val="24"/>
          <w:szCs w:val="24"/>
          <w:highlight w:val="none"/>
          <w:u w:val="none"/>
          <w:lang w:val="en-US" w:eastAsia="zh-CN"/>
        </w:rPr>
        <w:t>的，</w:t>
      </w:r>
      <w:r>
        <w:rPr>
          <w:rFonts w:hint="eastAsia" w:ascii="宋体" w:hAnsi="宋体" w:eastAsia="宋体" w:cs="宋体"/>
          <w:b w:val="0"/>
          <w:bCs w:val="0"/>
          <w:i w:val="0"/>
          <w:iCs w:val="0"/>
          <w:color w:val="auto"/>
          <w:sz w:val="24"/>
          <w:szCs w:val="24"/>
          <w:highlight w:val="none"/>
          <w:u w:val="none"/>
          <w:lang w:val="hr-HR" w:eastAsia="zh-CN"/>
        </w:rPr>
        <w:t>其</w:t>
      </w:r>
      <w:r>
        <w:rPr>
          <w:rFonts w:hint="eastAsia" w:ascii="宋体" w:hAnsi="宋体" w:eastAsia="宋体" w:cs="宋体"/>
          <w:b w:val="0"/>
          <w:bCs w:val="0"/>
          <w:i w:val="0"/>
          <w:iCs w:val="0"/>
          <w:color w:val="auto"/>
          <w:sz w:val="24"/>
          <w:szCs w:val="24"/>
          <w:highlight w:val="none"/>
          <w:u w:val="none"/>
          <w:lang w:val="en-US" w:eastAsia="zh-CN"/>
        </w:rPr>
        <w:t>响应无效</w:t>
      </w:r>
      <w:r>
        <w:rPr>
          <w:rFonts w:hint="eastAsia" w:ascii="宋体" w:hAnsi="宋体" w:eastAsia="宋体" w:cs="宋体"/>
          <w:b w:val="0"/>
          <w:bCs w:val="0"/>
          <w:i w:val="0"/>
          <w:iCs w:val="0"/>
          <w:color w:val="auto"/>
          <w:sz w:val="24"/>
          <w:szCs w:val="24"/>
          <w:highlight w:val="none"/>
          <w:u w:val="none"/>
          <w:lang w:val="hr-HR" w:eastAsia="zh-CN"/>
        </w:rPr>
        <w:t>。</w:t>
      </w:r>
    </w:p>
    <w:p w14:paraId="2CD31818">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hr-HR" w:eastAsia="zh-CN" w:bidi="ar-SA"/>
        </w:rPr>
      </w:pPr>
      <w:bookmarkStart w:id="41" w:name="_Toc26657"/>
      <w:r>
        <w:rPr>
          <w:rFonts w:hint="eastAsia" w:ascii="宋体" w:hAnsi="宋体" w:eastAsia="宋体" w:cs="宋体"/>
          <w:b/>
          <w:bCs/>
          <w:i w:val="0"/>
          <w:iCs w:val="0"/>
          <w:color w:val="auto"/>
          <w:kern w:val="2"/>
          <w:sz w:val="24"/>
          <w:szCs w:val="24"/>
          <w:highlight w:val="none"/>
          <w:lang w:val="en-US" w:eastAsia="zh-CN" w:bidi="ar-SA"/>
        </w:rPr>
        <w:t>三、</w:t>
      </w:r>
      <w:r>
        <w:rPr>
          <w:rFonts w:hint="eastAsia" w:ascii="宋体" w:hAnsi="宋体" w:eastAsia="宋体" w:cs="宋体"/>
          <w:b/>
          <w:bCs/>
          <w:i w:val="0"/>
          <w:iCs w:val="0"/>
          <w:color w:val="auto"/>
          <w:kern w:val="2"/>
          <w:sz w:val="24"/>
          <w:szCs w:val="24"/>
          <w:highlight w:val="none"/>
          <w:lang w:val="hr-HR" w:eastAsia="zh-CN" w:bidi="ar-SA"/>
        </w:rPr>
        <w:t>获取</w:t>
      </w:r>
      <w:r>
        <w:rPr>
          <w:rFonts w:hint="eastAsia" w:ascii="宋体" w:hAnsi="宋体" w:eastAsia="宋体" w:cs="宋体"/>
          <w:b/>
          <w:bCs/>
          <w:i w:val="0"/>
          <w:iCs w:val="0"/>
          <w:color w:val="auto"/>
          <w:kern w:val="2"/>
          <w:sz w:val="24"/>
          <w:szCs w:val="24"/>
          <w:highlight w:val="none"/>
          <w:lang w:val="en-US" w:eastAsia="zh-CN" w:bidi="ar-SA"/>
        </w:rPr>
        <w:t>采购</w:t>
      </w:r>
      <w:r>
        <w:rPr>
          <w:rFonts w:hint="eastAsia" w:ascii="宋体" w:hAnsi="宋体" w:eastAsia="宋体" w:cs="宋体"/>
          <w:b/>
          <w:bCs/>
          <w:i w:val="0"/>
          <w:iCs w:val="0"/>
          <w:color w:val="auto"/>
          <w:kern w:val="2"/>
          <w:sz w:val="24"/>
          <w:szCs w:val="24"/>
          <w:highlight w:val="none"/>
          <w:lang w:val="hr-HR" w:eastAsia="zh-CN" w:bidi="ar-SA"/>
        </w:rPr>
        <w:t>文件</w:t>
      </w:r>
      <w:bookmarkEnd w:id="29"/>
      <w:bookmarkEnd w:id="30"/>
      <w:bookmarkEnd w:id="31"/>
      <w:bookmarkEnd w:id="32"/>
      <w:bookmarkEnd w:id="33"/>
      <w:bookmarkEnd w:id="35"/>
      <w:bookmarkEnd w:id="36"/>
      <w:bookmarkEnd w:id="37"/>
      <w:bookmarkEnd w:id="38"/>
      <w:bookmarkEnd w:id="39"/>
      <w:bookmarkEnd w:id="40"/>
      <w:bookmarkEnd w:id="41"/>
      <w:r>
        <w:rPr>
          <w:rFonts w:hint="eastAsia" w:ascii="宋体" w:hAnsi="宋体" w:eastAsia="宋体" w:cs="宋体"/>
          <w:b/>
          <w:bCs/>
          <w:i w:val="0"/>
          <w:iCs w:val="0"/>
          <w:color w:val="auto"/>
          <w:kern w:val="2"/>
          <w:sz w:val="24"/>
          <w:szCs w:val="24"/>
          <w:highlight w:val="none"/>
          <w:lang w:val="hr-HR" w:eastAsia="zh-CN" w:bidi="ar-SA"/>
        </w:rPr>
        <w:t xml:space="preserve"> </w:t>
      </w:r>
    </w:p>
    <w:p w14:paraId="0D505180">
      <w:pPr>
        <w:spacing w:line="360" w:lineRule="auto"/>
        <w:ind w:firstLine="540"/>
        <w:rPr>
          <w:rFonts w:hint="eastAsia" w:ascii="宋体" w:hAnsi="宋体" w:eastAsia="宋体" w:cs="宋体"/>
          <w:i w:val="0"/>
          <w:iCs w:val="0"/>
          <w:color w:val="auto"/>
          <w:sz w:val="24"/>
          <w:szCs w:val="24"/>
          <w:highlight w:val="none"/>
          <w:lang w:val="hr-HR" w:eastAsia="zh-CN"/>
        </w:rPr>
      </w:pPr>
      <w:bookmarkStart w:id="42" w:name="_Hlk130457234"/>
      <w:bookmarkStart w:id="43" w:name="_Toc28359015"/>
      <w:bookmarkStart w:id="44" w:name="_Hlk130457261"/>
      <w:bookmarkStart w:id="45" w:name="_Toc35393632"/>
      <w:bookmarkStart w:id="46" w:name="_Toc28359092"/>
      <w:bookmarkStart w:id="47" w:name="_Hlk130457327"/>
      <w:bookmarkStart w:id="48" w:name="_Toc35393801"/>
      <w:r>
        <w:rPr>
          <w:rFonts w:hint="eastAsia" w:ascii="宋体" w:hAnsi="宋体" w:eastAsia="宋体" w:cs="宋体"/>
          <w:i w:val="0"/>
          <w:iCs w:val="0"/>
          <w:color w:val="auto"/>
          <w:sz w:val="24"/>
          <w:szCs w:val="24"/>
          <w:highlight w:val="none"/>
          <w:lang w:val="hr-HR"/>
        </w:rPr>
        <w:t>1.</w:t>
      </w:r>
      <w:bookmarkEnd w:id="42"/>
      <w:bookmarkStart w:id="49" w:name="_Hlk89807779"/>
      <w:r>
        <w:rPr>
          <w:rFonts w:hint="eastAsia" w:cs="宋体"/>
          <w:color w:val="auto"/>
          <w:szCs w:val="24"/>
          <w:highlight w:val="none"/>
          <w:lang w:val="hr-HR"/>
        </w:rPr>
        <w:t>时间：</w:t>
      </w:r>
      <w:r>
        <w:rPr>
          <w:rFonts w:hint="eastAsia" w:cs="宋体"/>
          <w:color w:val="auto"/>
          <w:szCs w:val="24"/>
          <w:highlight w:val="none"/>
          <w:u w:val="single"/>
        </w:rPr>
        <w:t>　2025年</w:t>
      </w:r>
      <w:r>
        <w:rPr>
          <w:rFonts w:hint="eastAsia" w:cs="宋体"/>
          <w:color w:val="auto"/>
          <w:szCs w:val="24"/>
          <w:highlight w:val="none"/>
          <w:u w:val="single"/>
          <w:lang w:val="en-US" w:eastAsia="zh-CN"/>
        </w:rPr>
        <w:t>4</w:t>
      </w:r>
      <w:r>
        <w:rPr>
          <w:rFonts w:hint="eastAsia" w:cs="宋体"/>
          <w:color w:val="auto"/>
          <w:szCs w:val="24"/>
          <w:highlight w:val="none"/>
          <w:u w:val="single"/>
        </w:rPr>
        <w:t>月</w:t>
      </w:r>
      <w:r>
        <w:rPr>
          <w:rFonts w:hint="eastAsia" w:cs="宋体"/>
          <w:color w:val="auto"/>
          <w:szCs w:val="24"/>
          <w:highlight w:val="none"/>
          <w:u w:val="single"/>
          <w:lang w:val="en-US" w:eastAsia="zh-CN"/>
        </w:rPr>
        <w:t>2</w:t>
      </w:r>
      <w:r>
        <w:rPr>
          <w:rFonts w:hint="eastAsia" w:cs="宋体"/>
          <w:color w:val="auto"/>
          <w:szCs w:val="24"/>
          <w:highlight w:val="none"/>
          <w:u w:val="single"/>
        </w:rPr>
        <w:t>日</w:t>
      </w:r>
      <w:r>
        <w:rPr>
          <w:rFonts w:hint="eastAsia" w:cs="宋体"/>
          <w:color w:val="auto"/>
          <w:szCs w:val="24"/>
          <w:highlight w:val="none"/>
        </w:rPr>
        <w:t>至</w:t>
      </w:r>
      <w:r>
        <w:rPr>
          <w:rFonts w:hint="eastAsia" w:cs="宋体"/>
          <w:color w:val="auto"/>
          <w:szCs w:val="24"/>
          <w:highlight w:val="none"/>
          <w:u w:val="single"/>
        </w:rPr>
        <w:t>2025年</w:t>
      </w:r>
      <w:r>
        <w:rPr>
          <w:rFonts w:hint="eastAsia" w:cs="宋体"/>
          <w:color w:val="auto"/>
          <w:szCs w:val="24"/>
          <w:highlight w:val="none"/>
          <w:u w:val="single"/>
          <w:lang w:val="en-US" w:eastAsia="zh-CN"/>
        </w:rPr>
        <w:t>4</w:t>
      </w:r>
      <w:r>
        <w:rPr>
          <w:rFonts w:hint="eastAsia" w:cs="宋体"/>
          <w:color w:val="auto"/>
          <w:szCs w:val="24"/>
          <w:highlight w:val="none"/>
          <w:u w:val="single"/>
        </w:rPr>
        <w:t>月</w:t>
      </w:r>
      <w:r>
        <w:rPr>
          <w:rFonts w:hint="eastAsia" w:cs="宋体"/>
          <w:color w:val="auto"/>
          <w:szCs w:val="24"/>
          <w:highlight w:val="none"/>
          <w:u w:val="single"/>
          <w:lang w:val="en-US" w:eastAsia="zh-CN"/>
        </w:rPr>
        <w:t>10</w:t>
      </w:r>
      <w:r>
        <w:rPr>
          <w:rFonts w:hint="eastAsia" w:cs="宋体"/>
          <w:color w:val="auto"/>
          <w:szCs w:val="24"/>
          <w:highlight w:val="none"/>
          <w:u w:val="single"/>
        </w:rPr>
        <w:t>日</w:t>
      </w:r>
      <w:r>
        <w:rPr>
          <w:rFonts w:hint="eastAsia" w:cs="宋体"/>
          <w:color w:val="auto"/>
          <w:szCs w:val="24"/>
          <w:highlight w:val="none"/>
        </w:rPr>
        <w:t>，每天上午</w:t>
      </w:r>
      <w:r>
        <w:rPr>
          <w:rFonts w:hint="eastAsia" w:cs="宋体"/>
          <w:color w:val="auto"/>
          <w:szCs w:val="24"/>
          <w:highlight w:val="none"/>
          <w:u w:val="single"/>
        </w:rPr>
        <w:t xml:space="preserve">00:00 </w:t>
      </w:r>
      <w:r>
        <w:rPr>
          <w:rFonts w:hint="eastAsia" w:cs="宋体"/>
          <w:color w:val="auto"/>
          <w:szCs w:val="24"/>
          <w:highlight w:val="none"/>
        </w:rPr>
        <w:t>至</w:t>
      </w:r>
      <w:r>
        <w:rPr>
          <w:rFonts w:hint="eastAsia" w:cs="宋体"/>
          <w:color w:val="auto"/>
          <w:szCs w:val="24"/>
          <w:highlight w:val="none"/>
          <w:u w:val="single"/>
        </w:rPr>
        <w:t>1</w:t>
      </w:r>
      <w:r>
        <w:rPr>
          <w:rFonts w:hint="eastAsia" w:cs="宋体"/>
          <w:color w:val="auto"/>
          <w:szCs w:val="24"/>
          <w:highlight w:val="none"/>
          <w:u w:val="single"/>
          <w:lang w:val="en-US" w:eastAsia="zh-CN"/>
        </w:rPr>
        <w:t>4</w:t>
      </w:r>
      <w:r>
        <w:rPr>
          <w:rFonts w:hint="eastAsia" w:cs="宋体"/>
          <w:color w:val="auto"/>
          <w:szCs w:val="24"/>
          <w:highlight w:val="none"/>
          <w:u w:val="single"/>
        </w:rPr>
        <w:t>:00</w:t>
      </w:r>
      <w:r>
        <w:rPr>
          <w:rFonts w:hint="eastAsia" w:cs="宋体"/>
          <w:color w:val="auto"/>
          <w:szCs w:val="24"/>
          <w:highlight w:val="none"/>
        </w:rPr>
        <w:t>，下午</w:t>
      </w:r>
      <w:r>
        <w:rPr>
          <w:rFonts w:hint="eastAsia" w:cs="宋体"/>
          <w:color w:val="auto"/>
          <w:szCs w:val="24"/>
          <w:highlight w:val="none"/>
          <w:u w:val="single"/>
        </w:rPr>
        <w:t>1</w:t>
      </w:r>
      <w:r>
        <w:rPr>
          <w:rFonts w:hint="eastAsia" w:cs="宋体"/>
          <w:color w:val="auto"/>
          <w:szCs w:val="24"/>
          <w:highlight w:val="none"/>
          <w:u w:val="single"/>
          <w:lang w:val="en-US" w:eastAsia="zh-CN"/>
        </w:rPr>
        <w:t>4</w:t>
      </w:r>
      <w:r>
        <w:rPr>
          <w:rFonts w:hint="eastAsia" w:cs="宋体"/>
          <w:color w:val="auto"/>
          <w:szCs w:val="24"/>
          <w:highlight w:val="none"/>
          <w:u w:val="single"/>
        </w:rPr>
        <w:t>:00</w:t>
      </w:r>
      <w:r>
        <w:rPr>
          <w:rFonts w:hint="eastAsia" w:cs="宋体"/>
          <w:color w:val="auto"/>
          <w:szCs w:val="24"/>
          <w:highlight w:val="none"/>
        </w:rPr>
        <w:t>至</w:t>
      </w:r>
      <w:r>
        <w:rPr>
          <w:rFonts w:hint="eastAsia" w:cs="宋体"/>
          <w:color w:val="auto"/>
          <w:szCs w:val="24"/>
          <w:highlight w:val="none"/>
          <w:u w:val="single"/>
        </w:rPr>
        <w:t>23:59</w:t>
      </w:r>
      <w:r>
        <w:rPr>
          <w:rFonts w:hint="eastAsia" w:cs="宋体"/>
          <w:color w:val="auto"/>
          <w:szCs w:val="24"/>
          <w:highlight w:val="none"/>
        </w:rPr>
        <w:t>（北京时间，法定节假日除外）</w:t>
      </w:r>
      <w:r>
        <w:rPr>
          <w:rFonts w:hint="eastAsia" w:ascii="宋体" w:hAnsi="宋体" w:eastAsia="宋体" w:cs="宋体"/>
          <w:i w:val="0"/>
          <w:iCs w:val="0"/>
          <w:color w:val="auto"/>
          <w:sz w:val="24"/>
          <w:szCs w:val="24"/>
          <w:highlight w:val="none"/>
          <w:lang w:eastAsia="zh-CN"/>
        </w:rPr>
        <w:t>。</w:t>
      </w:r>
    </w:p>
    <w:p w14:paraId="3AB8C7D4">
      <w:pPr>
        <w:pStyle w:val="4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2.</w:t>
      </w: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lang w:val="hr-HR"/>
        </w:rPr>
        <w:t>：政采云平台线上（网址：https://www.zcygov.cn/）</w:t>
      </w:r>
      <w:r>
        <w:rPr>
          <w:rFonts w:hint="eastAsia" w:ascii="宋体" w:hAnsi="宋体" w:eastAsia="宋体" w:cs="宋体"/>
          <w:i w:val="0"/>
          <w:iCs w:val="0"/>
          <w:color w:val="auto"/>
          <w:sz w:val="24"/>
          <w:szCs w:val="24"/>
          <w:highlight w:val="none"/>
        </w:rPr>
        <w:t>。</w:t>
      </w:r>
      <w:bookmarkEnd w:id="49"/>
    </w:p>
    <w:p w14:paraId="26C08C6C">
      <w:pPr>
        <w:pStyle w:val="4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3.</w:t>
      </w:r>
      <w:r>
        <w:rPr>
          <w:rFonts w:hint="eastAsia" w:ascii="宋体" w:hAnsi="宋体" w:eastAsia="宋体" w:cs="宋体"/>
          <w:i w:val="0"/>
          <w:iCs w:val="0"/>
          <w:color w:val="auto"/>
          <w:sz w:val="24"/>
          <w:szCs w:val="24"/>
          <w:highlight w:val="none"/>
        </w:rPr>
        <w:t>方式</w:t>
      </w:r>
      <w:r>
        <w:rPr>
          <w:rFonts w:hint="eastAsia" w:ascii="宋体" w:hAnsi="宋体" w:eastAsia="宋体" w:cs="宋体"/>
          <w:i w:val="0"/>
          <w:iCs w:val="0"/>
          <w:color w:val="auto"/>
          <w:sz w:val="24"/>
          <w:szCs w:val="24"/>
          <w:highlight w:val="none"/>
          <w:lang w:val="hr-HR"/>
        </w:rPr>
        <w:t>：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296B7876">
      <w:pPr>
        <w:pStyle w:val="4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en-US"/>
        </w:rPr>
        <w:t>售价：</w:t>
      </w:r>
      <w:r>
        <w:rPr>
          <w:rFonts w:hint="eastAsia" w:ascii="宋体" w:hAnsi="宋体" w:eastAsia="宋体" w:cs="宋体"/>
          <w:i w:val="0"/>
          <w:iCs w:val="0"/>
          <w:color w:val="auto"/>
          <w:sz w:val="24"/>
          <w:szCs w:val="24"/>
          <w:highlight w:val="none"/>
          <w:lang w:val="en-US" w:eastAsia="zh-CN"/>
        </w:rPr>
        <w:t>0元。</w:t>
      </w:r>
    </w:p>
    <w:bookmarkEnd w:id="43"/>
    <w:bookmarkEnd w:id="44"/>
    <w:bookmarkEnd w:id="45"/>
    <w:bookmarkEnd w:id="46"/>
    <w:bookmarkEnd w:id="47"/>
    <w:bookmarkEnd w:id="48"/>
    <w:p w14:paraId="7A9E6EB9">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hr-HR" w:eastAsia="zh-CN" w:bidi="ar-SA"/>
        </w:rPr>
      </w:pPr>
      <w:bookmarkStart w:id="50" w:name="_Toc163492815"/>
      <w:bookmarkStart w:id="51" w:name="_Toc140132748"/>
      <w:bookmarkStart w:id="52" w:name="_Toc109900251"/>
      <w:bookmarkStart w:id="53" w:name="_Toc155185863"/>
      <w:bookmarkStart w:id="54" w:name="_Toc109899832"/>
      <w:bookmarkStart w:id="55" w:name="_Toc109899413"/>
      <w:bookmarkStart w:id="56" w:name="_Toc19038"/>
      <w:r>
        <w:rPr>
          <w:rFonts w:hint="eastAsia" w:ascii="宋体" w:hAnsi="宋体" w:eastAsia="宋体" w:cs="宋体"/>
          <w:b/>
          <w:bCs/>
          <w:i w:val="0"/>
          <w:iCs w:val="0"/>
          <w:color w:val="auto"/>
          <w:kern w:val="2"/>
          <w:sz w:val="24"/>
          <w:szCs w:val="24"/>
          <w:highlight w:val="none"/>
          <w:lang w:val="en-US" w:eastAsia="zh-CN" w:bidi="ar-SA"/>
        </w:rPr>
        <w:t>四、</w:t>
      </w:r>
      <w:bookmarkEnd w:id="50"/>
      <w:bookmarkEnd w:id="51"/>
      <w:bookmarkEnd w:id="52"/>
      <w:bookmarkEnd w:id="53"/>
      <w:bookmarkEnd w:id="54"/>
      <w:bookmarkEnd w:id="55"/>
      <w:r>
        <w:rPr>
          <w:rFonts w:hint="eastAsia" w:ascii="宋体" w:hAnsi="宋体" w:eastAsia="宋体" w:cs="宋体"/>
          <w:b/>
          <w:bCs/>
          <w:i w:val="0"/>
          <w:iCs w:val="0"/>
          <w:color w:val="auto"/>
          <w:spacing w:val="-6"/>
          <w:kern w:val="2"/>
          <w:sz w:val="24"/>
          <w:szCs w:val="24"/>
          <w:highlight w:val="none"/>
          <w:lang w:val="hr-HR" w:eastAsia="zh-CN" w:bidi="ar-SA"/>
        </w:rPr>
        <w:t>响应文件提交</w:t>
      </w:r>
      <w:bookmarkEnd w:id="56"/>
    </w:p>
    <w:p w14:paraId="11AF967C">
      <w:pPr>
        <w:pStyle w:val="40"/>
        <w:rPr>
          <w:rFonts w:hint="eastAsia" w:ascii="宋体" w:hAnsi="宋体" w:eastAsia="宋体" w:cs="宋体"/>
          <w:i w:val="0"/>
          <w:iCs w:val="0"/>
          <w:color w:val="auto"/>
          <w:sz w:val="24"/>
          <w:szCs w:val="24"/>
          <w:highlight w:val="none"/>
          <w:lang w:eastAsia="zh-CN"/>
        </w:rPr>
      </w:pPr>
      <w:bookmarkStart w:id="57" w:name="_Hlk130457395"/>
      <w:bookmarkStart w:id="58" w:name="_Toc35393634"/>
      <w:bookmarkStart w:id="59" w:name="_Toc28359094"/>
      <w:bookmarkStart w:id="60" w:name="_Toc44583633"/>
      <w:bookmarkStart w:id="61" w:name="_Toc35393803"/>
      <w:bookmarkStart w:id="62" w:name="_Toc28359017"/>
      <w:r>
        <w:rPr>
          <w:rFonts w:hint="eastAsia" w:ascii="宋体" w:hAnsi="宋体" w:eastAsia="宋体" w:cs="宋体"/>
          <w:i w:val="0"/>
          <w:iCs w:val="0"/>
          <w:color w:val="auto"/>
          <w:sz w:val="24"/>
          <w:szCs w:val="24"/>
          <w:highlight w:val="none"/>
        </w:rPr>
        <w:t>1.截止时间</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u w:val="single"/>
          <w:lang w:eastAsia="zh-CN"/>
        </w:rPr>
        <w:t>2025年</w:t>
      </w:r>
      <w:r>
        <w:rPr>
          <w:rFonts w:hint="eastAsia" w:cs="宋体"/>
          <w:i w:val="0"/>
          <w:iCs w:val="0"/>
          <w:color w:val="auto"/>
          <w:sz w:val="24"/>
          <w:szCs w:val="24"/>
          <w:highlight w:val="none"/>
          <w:u w:val="single"/>
          <w:lang w:val="en-US" w:eastAsia="zh-CN"/>
        </w:rPr>
        <w:t>4</w:t>
      </w:r>
      <w:r>
        <w:rPr>
          <w:rFonts w:hint="eastAsia" w:ascii="宋体" w:hAnsi="宋体" w:eastAsia="宋体" w:cs="宋体"/>
          <w:i w:val="0"/>
          <w:iCs w:val="0"/>
          <w:color w:val="auto"/>
          <w:sz w:val="24"/>
          <w:szCs w:val="24"/>
          <w:highlight w:val="none"/>
          <w:u w:val="single"/>
          <w:lang w:eastAsia="zh-CN"/>
        </w:rPr>
        <w:t>月</w:t>
      </w:r>
      <w:r>
        <w:rPr>
          <w:rFonts w:hint="eastAsia" w:cs="宋体"/>
          <w:i w:val="0"/>
          <w:iCs w:val="0"/>
          <w:color w:val="auto"/>
          <w:sz w:val="24"/>
          <w:szCs w:val="24"/>
          <w:highlight w:val="none"/>
          <w:u w:val="single"/>
          <w:lang w:val="en-US" w:eastAsia="zh-CN"/>
        </w:rPr>
        <w:t>14</w:t>
      </w:r>
      <w:r>
        <w:rPr>
          <w:rFonts w:hint="eastAsia" w:ascii="宋体" w:hAnsi="宋体" w:eastAsia="宋体" w:cs="宋体"/>
          <w:i w:val="0"/>
          <w:iCs w:val="0"/>
          <w:color w:val="auto"/>
          <w:sz w:val="24"/>
          <w:szCs w:val="24"/>
          <w:highlight w:val="none"/>
          <w:u w:val="single"/>
          <w:lang w:eastAsia="zh-CN"/>
        </w:rPr>
        <w:t>日1</w:t>
      </w:r>
      <w:r>
        <w:rPr>
          <w:rFonts w:hint="eastAsia" w:cs="宋体"/>
          <w:i w:val="0"/>
          <w:iCs w:val="0"/>
          <w:color w:val="auto"/>
          <w:sz w:val="24"/>
          <w:szCs w:val="24"/>
          <w:highlight w:val="none"/>
          <w:u w:val="single"/>
          <w:lang w:val="en-US" w:eastAsia="zh-CN"/>
        </w:rPr>
        <w:t>6</w:t>
      </w:r>
      <w:r>
        <w:rPr>
          <w:rFonts w:hint="eastAsia" w:ascii="宋体" w:hAnsi="宋体" w:eastAsia="宋体" w:cs="宋体"/>
          <w:i w:val="0"/>
          <w:iCs w:val="0"/>
          <w:color w:val="auto"/>
          <w:sz w:val="24"/>
          <w:szCs w:val="24"/>
          <w:highlight w:val="none"/>
          <w:u w:val="single"/>
          <w:lang w:eastAsia="zh-CN"/>
        </w:rPr>
        <w:t>时00分</w:t>
      </w:r>
      <w:r>
        <w:rPr>
          <w:rFonts w:hint="eastAsia" w:ascii="宋体" w:hAnsi="宋体" w:eastAsia="宋体" w:cs="宋体"/>
          <w:i w:val="0"/>
          <w:iCs w:val="0"/>
          <w:color w:val="auto"/>
          <w:sz w:val="24"/>
          <w:szCs w:val="24"/>
          <w:highlight w:val="none"/>
          <w:lang w:eastAsia="zh-CN"/>
        </w:rPr>
        <w:t>（北京时间）。</w:t>
      </w:r>
    </w:p>
    <w:p w14:paraId="75BBECBE">
      <w:pPr>
        <w:pStyle w:val="4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2.地点：请登录政采云投标客户端投标</w:t>
      </w:r>
      <w:r>
        <w:rPr>
          <w:rFonts w:hint="eastAsia" w:ascii="宋体" w:hAnsi="宋体" w:eastAsia="宋体" w:cs="宋体"/>
          <w:i w:val="0"/>
          <w:iCs w:val="0"/>
          <w:color w:val="auto"/>
          <w:sz w:val="24"/>
          <w:szCs w:val="24"/>
          <w:highlight w:val="none"/>
        </w:rPr>
        <w:t>。</w:t>
      </w:r>
    </w:p>
    <w:bookmarkEnd w:id="57"/>
    <w:p w14:paraId="490FF7B0">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63" w:name="_Toc16856"/>
      <w:bookmarkStart w:id="64" w:name="_Toc140132749"/>
      <w:bookmarkStart w:id="65" w:name="_Toc155185864"/>
      <w:bookmarkStart w:id="66" w:name="_Toc109899414"/>
      <w:bookmarkStart w:id="67" w:name="_Toc109899833"/>
      <w:bookmarkStart w:id="68" w:name="_Toc163492816"/>
      <w:bookmarkStart w:id="69" w:name="_Toc109900252"/>
      <w:r>
        <w:rPr>
          <w:rFonts w:hint="eastAsia" w:ascii="宋体" w:hAnsi="宋体" w:eastAsia="宋体" w:cs="宋体"/>
          <w:b/>
          <w:bCs/>
          <w:i w:val="0"/>
          <w:iCs w:val="0"/>
          <w:color w:val="auto"/>
          <w:kern w:val="2"/>
          <w:sz w:val="24"/>
          <w:szCs w:val="24"/>
          <w:highlight w:val="none"/>
          <w:lang w:val="en-US" w:eastAsia="zh-CN" w:bidi="ar-SA"/>
        </w:rPr>
        <w:t>五、</w:t>
      </w:r>
      <w:r>
        <w:rPr>
          <w:rFonts w:hint="eastAsia" w:ascii="宋体" w:hAnsi="宋体" w:cs="宋体"/>
          <w:b/>
          <w:bCs/>
          <w:i w:val="0"/>
          <w:iCs w:val="0"/>
          <w:color w:val="auto"/>
          <w:kern w:val="2"/>
          <w:sz w:val="24"/>
          <w:szCs w:val="24"/>
          <w:highlight w:val="none"/>
          <w:lang w:val="en-US" w:eastAsia="zh-CN" w:bidi="ar-SA"/>
        </w:rPr>
        <w:t>响应文件</w:t>
      </w:r>
      <w:r>
        <w:rPr>
          <w:rFonts w:hint="eastAsia" w:ascii="宋体" w:hAnsi="宋体" w:eastAsia="宋体" w:cs="宋体"/>
          <w:b/>
          <w:bCs/>
          <w:i w:val="0"/>
          <w:iCs w:val="0"/>
          <w:color w:val="auto"/>
          <w:kern w:val="2"/>
          <w:sz w:val="24"/>
          <w:szCs w:val="24"/>
          <w:highlight w:val="none"/>
          <w:lang w:val="en-US" w:eastAsia="zh-CN" w:bidi="ar-SA"/>
        </w:rPr>
        <w:t>开启</w:t>
      </w:r>
      <w:bookmarkEnd w:id="63"/>
    </w:p>
    <w:p w14:paraId="7B283F65">
      <w:pPr>
        <w:pStyle w:val="4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1.时间：</w:t>
      </w:r>
      <w:r>
        <w:rPr>
          <w:rFonts w:hint="eastAsia" w:ascii="宋体" w:hAnsi="宋体" w:eastAsia="宋体" w:cs="宋体"/>
          <w:i w:val="0"/>
          <w:iCs w:val="0"/>
          <w:color w:val="auto"/>
          <w:sz w:val="24"/>
          <w:szCs w:val="24"/>
          <w:highlight w:val="none"/>
          <w:u w:val="single"/>
          <w:lang w:eastAsia="zh-CN"/>
        </w:rPr>
        <w:t>2025年</w:t>
      </w:r>
      <w:r>
        <w:rPr>
          <w:rFonts w:hint="eastAsia" w:cs="宋体"/>
          <w:i w:val="0"/>
          <w:iCs w:val="0"/>
          <w:color w:val="auto"/>
          <w:sz w:val="24"/>
          <w:szCs w:val="24"/>
          <w:highlight w:val="none"/>
          <w:u w:val="single"/>
          <w:lang w:val="en-US" w:eastAsia="zh-CN"/>
        </w:rPr>
        <w:t>4</w:t>
      </w:r>
      <w:r>
        <w:rPr>
          <w:rFonts w:hint="eastAsia" w:ascii="宋体" w:hAnsi="宋体" w:eastAsia="宋体" w:cs="宋体"/>
          <w:i w:val="0"/>
          <w:iCs w:val="0"/>
          <w:color w:val="auto"/>
          <w:sz w:val="24"/>
          <w:szCs w:val="24"/>
          <w:highlight w:val="none"/>
          <w:u w:val="single"/>
          <w:lang w:eastAsia="zh-CN"/>
        </w:rPr>
        <w:t>月</w:t>
      </w:r>
      <w:r>
        <w:rPr>
          <w:rFonts w:hint="eastAsia" w:cs="宋体"/>
          <w:i w:val="0"/>
          <w:iCs w:val="0"/>
          <w:color w:val="auto"/>
          <w:sz w:val="24"/>
          <w:szCs w:val="24"/>
          <w:highlight w:val="none"/>
          <w:u w:val="single"/>
          <w:lang w:val="en-US" w:eastAsia="zh-CN"/>
        </w:rPr>
        <w:t>14</w:t>
      </w:r>
      <w:r>
        <w:rPr>
          <w:rFonts w:hint="eastAsia" w:ascii="宋体" w:hAnsi="宋体" w:eastAsia="宋体" w:cs="宋体"/>
          <w:i w:val="0"/>
          <w:iCs w:val="0"/>
          <w:color w:val="auto"/>
          <w:sz w:val="24"/>
          <w:szCs w:val="24"/>
          <w:highlight w:val="none"/>
          <w:u w:val="single"/>
          <w:lang w:eastAsia="zh-CN"/>
        </w:rPr>
        <w:t>日1</w:t>
      </w:r>
      <w:r>
        <w:rPr>
          <w:rFonts w:hint="eastAsia" w:cs="宋体"/>
          <w:i w:val="0"/>
          <w:iCs w:val="0"/>
          <w:color w:val="auto"/>
          <w:sz w:val="24"/>
          <w:szCs w:val="24"/>
          <w:highlight w:val="none"/>
          <w:u w:val="single"/>
          <w:lang w:val="en-US" w:eastAsia="zh-CN"/>
        </w:rPr>
        <w:t>6</w:t>
      </w:r>
      <w:bookmarkStart w:id="733" w:name="_GoBack"/>
      <w:bookmarkEnd w:id="733"/>
      <w:r>
        <w:rPr>
          <w:rFonts w:hint="eastAsia" w:ascii="宋体" w:hAnsi="宋体" w:eastAsia="宋体" w:cs="宋体"/>
          <w:i w:val="0"/>
          <w:iCs w:val="0"/>
          <w:color w:val="auto"/>
          <w:sz w:val="24"/>
          <w:szCs w:val="24"/>
          <w:highlight w:val="none"/>
          <w:u w:val="single"/>
          <w:lang w:eastAsia="zh-CN"/>
        </w:rPr>
        <w:t>时00分</w:t>
      </w:r>
      <w:r>
        <w:rPr>
          <w:rFonts w:hint="eastAsia" w:ascii="宋体" w:hAnsi="宋体" w:eastAsia="宋体" w:cs="宋体"/>
          <w:i w:val="0"/>
          <w:iCs w:val="0"/>
          <w:color w:val="auto"/>
          <w:sz w:val="24"/>
          <w:szCs w:val="24"/>
          <w:highlight w:val="none"/>
        </w:rPr>
        <w:t>（北京时间）。</w:t>
      </w:r>
    </w:p>
    <w:p w14:paraId="191B5363">
      <w:pPr>
        <w:pStyle w:val="4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rPr>
        <w:t>地点</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rPr>
        <w:t>供应商登录政采云平台https</w:t>
      </w:r>
      <w:r>
        <w:rPr>
          <w:rFonts w:hint="eastAsia" w:ascii="宋体" w:hAnsi="宋体" w:eastAsia="宋体" w:cs="宋体"/>
          <w:i w:val="0"/>
          <w:iCs w:val="0"/>
          <w:color w:val="auto"/>
          <w:sz w:val="24"/>
          <w:szCs w:val="24"/>
          <w:highlight w:val="none"/>
          <w:lang w:val="hr-HR"/>
        </w:rPr>
        <w:t>:</w:t>
      </w:r>
      <w:r>
        <w:rPr>
          <w:rFonts w:hint="eastAsia" w:ascii="宋体" w:hAnsi="宋体" w:eastAsia="宋体" w:cs="宋体"/>
          <w:i w:val="0"/>
          <w:iCs w:val="0"/>
          <w:color w:val="auto"/>
          <w:sz w:val="24"/>
          <w:szCs w:val="24"/>
          <w:highlight w:val="none"/>
          <w:lang w:val="en-US"/>
        </w:rPr>
        <w:t>//www.zcygov.cn/，进入“项目采购-开评标管理-右边选择对应项目点击“进入项目”进入开标大厅</w:t>
      </w:r>
      <w:r>
        <w:rPr>
          <w:rFonts w:hint="eastAsia" w:ascii="宋体" w:hAnsi="宋体" w:eastAsia="宋体" w:cs="宋体"/>
          <w:i w:val="0"/>
          <w:iCs w:val="0"/>
          <w:color w:val="auto"/>
          <w:sz w:val="24"/>
          <w:szCs w:val="24"/>
          <w:highlight w:val="none"/>
        </w:rPr>
        <w:t>。</w:t>
      </w:r>
    </w:p>
    <w:p w14:paraId="74A73B2C">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hr-HR" w:eastAsia="zh-CN" w:bidi="ar-SA"/>
        </w:rPr>
      </w:pPr>
      <w:bookmarkStart w:id="70" w:name="_Toc582"/>
      <w:r>
        <w:rPr>
          <w:rFonts w:hint="eastAsia" w:ascii="宋体" w:hAnsi="宋体" w:eastAsia="宋体" w:cs="宋体"/>
          <w:b/>
          <w:bCs/>
          <w:i w:val="0"/>
          <w:iCs w:val="0"/>
          <w:color w:val="auto"/>
          <w:kern w:val="2"/>
          <w:sz w:val="24"/>
          <w:szCs w:val="24"/>
          <w:highlight w:val="none"/>
          <w:lang w:val="en-US" w:eastAsia="zh-CN" w:bidi="ar-SA"/>
        </w:rPr>
        <w:t>六、</w:t>
      </w:r>
      <w:r>
        <w:rPr>
          <w:rFonts w:hint="eastAsia" w:ascii="宋体" w:hAnsi="宋体" w:eastAsia="宋体" w:cs="宋体"/>
          <w:b/>
          <w:bCs/>
          <w:i w:val="0"/>
          <w:iCs w:val="0"/>
          <w:color w:val="auto"/>
          <w:kern w:val="2"/>
          <w:sz w:val="24"/>
          <w:szCs w:val="24"/>
          <w:highlight w:val="none"/>
          <w:lang w:val="hr-HR" w:eastAsia="zh-CN" w:bidi="ar-SA"/>
        </w:rPr>
        <w:t>公告期限</w:t>
      </w:r>
      <w:bookmarkEnd w:id="58"/>
      <w:bookmarkEnd w:id="59"/>
      <w:bookmarkEnd w:id="60"/>
      <w:bookmarkEnd w:id="61"/>
      <w:bookmarkEnd w:id="62"/>
      <w:bookmarkEnd w:id="64"/>
      <w:bookmarkEnd w:id="65"/>
      <w:bookmarkEnd w:id="66"/>
      <w:bookmarkEnd w:id="67"/>
      <w:bookmarkEnd w:id="68"/>
      <w:bookmarkEnd w:id="69"/>
      <w:bookmarkEnd w:id="70"/>
    </w:p>
    <w:p w14:paraId="5FBACFA2">
      <w:pPr>
        <w:pageBreakBefore w:val="0"/>
        <w:kinsoku/>
        <w:wordWrap/>
        <w:overflowPunct/>
        <w:topLinePunct w:val="0"/>
        <w:bidi w:val="0"/>
        <w:snapToGrid w:val="0"/>
        <w:spacing w:line="348" w:lineRule="auto"/>
        <w:ind w:left="0" w:leftChars="0" w:firstLine="480" w:firstLineChars="200"/>
        <w:jc w:val="both"/>
        <w:outlineLvl w:val="9"/>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自本公告发布之日起3个工作日。</w:t>
      </w:r>
      <w:bookmarkStart w:id="71" w:name="_Toc35393804"/>
      <w:bookmarkStart w:id="72" w:name="_Toc163492817"/>
      <w:bookmarkStart w:id="73" w:name="_Toc109899415"/>
      <w:bookmarkStart w:id="74" w:name="_Toc109899834"/>
      <w:bookmarkStart w:id="75" w:name="_Toc44583634"/>
      <w:bookmarkStart w:id="76" w:name="_Toc35393635"/>
      <w:bookmarkStart w:id="77" w:name="_Toc140132750"/>
      <w:bookmarkStart w:id="78" w:name="_Toc155185865"/>
      <w:bookmarkStart w:id="79" w:name="_Toc109900253"/>
    </w:p>
    <w:p w14:paraId="6D737EA0">
      <w:pPr>
        <w:pStyle w:val="3"/>
        <w:bidi w:val="0"/>
        <w:spacing w:before="0" w:after="0" w:line="240" w:lineRule="auto"/>
        <w:rPr>
          <w:rFonts w:hint="eastAsia" w:ascii="宋体" w:hAnsi="宋体" w:eastAsia="宋体" w:cs="宋体"/>
          <w:b w:val="0"/>
          <w:bCs w:val="0"/>
          <w:i w:val="0"/>
          <w:iCs w:val="0"/>
          <w:color w:val="auto"/>
          <w:kern w:val="2"/>
          <w:sz w:val="24"/>
          <w:szCs w:val="24"/>
          <w:highlight w:val="none"/>
          <w:lang w:val="hr-HR" w:eastAsia="zh-CN" w:bidi="ar-SA"/>
        </w:rPr>
      </w:pPr>
      <w:bookmarkStart w:id="80" w:name="_Toc2075"/>
      <w:r>
        <w:rPr>
          <w:rFonts w:hint="eastAsia" w:ascii="宋体" w:hAnsi="宋体" w:eastAsia="宋体" w:cs="宋体"/>
          <w:b/>
          <w:bCs/>
          <w:i w:val="0"/>
          <w:iCs w:val="0"/>
          <w:color w:val="auto"/>
          <w:kern w:val="2"/>
          <w:sz w:val="24"/>
          <w:szCs w:val="24"/>
          <w:highlight w:val="none"/>
          <w:lang w:val="hr-HR" w:eastAsia="zh-CN" w:bidi="ar-SA"/>
        </w:rPr>
        <w:t>七、其他补充事宜</w:t>
      </w:r>
      <w:bookmarkEnd w:id="71"/>
      <w:bookmarkEnd w:id="72"/>
      <w:bookmarkEnd w:id="73"/>
      <w:bookmarkEnd w:id="74"/>
      <w:bookmarkEnd w:id="75"/>
      <w:bookmarkEnd w:id="76"/>
      <w:bookmarkEnd w:id="77"/>
      <w:bookmarkEnd w:id="78"/>
      <w:bookmarkEnd w:id="79"/>
      <w:bookmarkEnd w:id="80"/>
      <w:r>
        <w:rPr>
          <w:rFonts w:hint="eastAsia" w:ascii="宋体" w:hAnsi="宋体" w:cs="宋体"/>
          <w:b w:val="0"/>
          <w:bCs w:val="0"/>
          <w:i w:val="0"/>
          <w:iCs w:val="0"/>
          <w:color w:val="auto"/>
          <w:kern w:val="2"/>
          <w:sz w:val="24"/>
          <w:szCs w:val="24"/>
          <w:highlight w:val="none"/>
          <w:lang w:val="en-US" w:eastAsia="zh-CN" w:bidi="ar-SA"/>
        </w:rPr>
        <w:t xml:space="preserve"> </w:t>
      </w:r>
    </w:p>
    <w:p w14:paraId="44BBE191">
      <w:pPr>
        <w:widowControl/>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1、本项目实行网上投标，采用电子投标文件。</w:t>
      </w:r>
    </w:p>
    <w:p w14:paraId="7425ED1C">
      <w:pPr>
        <w:widowControl/>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3ECE8731">
      <w:pPr>
        <w:widowControl/>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3、供应商将政采云电子交易客户端下载、安装完成后，可通过账号密码或CA登录客户端进行投标文件的制作。在使用政采云投标客户端时，建议使用WIN7及以上操作系统。</w:t>
      </w:r>
    </w:p>
    <w:p w14:paraId="5AA5B76D">
      <w:pPr>
        <w:widowControl/>
        <w:spacing w:line="360" w:lineRule="auto"/>
        <w:ind w:firstLine="482" w:firstLineChars="200"/>
        <w:jc w:val="left"/>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lang w:eastAsia="zh-CN"/>
        </w:rPr>
        <w:t>4、其他事项：</w:t>
      </w:r>
    </w:p>
    <w:p w14:paraId="0F360D7D">
      <w:pPr>
        <w:widowControl/>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①</w:t>
      </w:r>
      <w:r>
        <w:rPr>
          <w:rFonts w:hint="eastAsia" w:ascii="宋体" w:hAnsi="宋体" w:eastAsia="宋体" w:cs="宋体"/>
          <w:color w:val="auto"/>
          <w:kern w:val="0"/>
          <w:sz w:val="24"/>
          <w:szCs w:val="24"/>
          <w:highlight w:val="none"/>
          <w:lang w:eastAsia="zh-CN"/>
        </w:rPr>
        <w:t>如需咨询，请联系新疆CA服务热线 0991-2819290；</w:t>
      </w:r>
    </w:p>
    <w:p w14:paraId="116D7EF5">
      <w:pPr>
        <w:widowControl/>
        <w:spacing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②</w:t>
      </w:r>
      <w:r>
        <w:rPr>
          <w:rFonts w:hint="eastAsia" w:ascii="宋体" w:hAnsi="宋体" w:eastAsia="宋体" w:cs="宋体"/>
          <w:color w:val="auto"/>
          <w:kern w:val="0"/>
          <w:sz w:val="24"/>
          <w:szCs w:val="24"/>
          <w:highlight w:val="none"/>
        </w:rPr>
        <w:t>本项目公告期限为</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个工作日，供应商认为采购文件使自己的权益受到损害的，可以自收到采购文件之日（发售截止日之后收到采购文件的，以发售截止日为准）或者采购文件公告期限届满之日起7个工作日内，以书面形式向采购人和采购代理机构提出质疑。分散采购限额标准以上的项目，质疑供应商对采购人、采购代理机构的答复不满意或者采购人、采购代理机构未在规定的时间内作出答复的，可以在答复期满后十五个工作日内向同级政府采购监督管理部门投诉。</w:t>
      </w:r>
    </w:p>
    <w:p w14:paraId="4F2AB33A">
      <w:pPr>
        <w:widowControl/>
        <w:spacing w:line="360" w:lineRule="auto"/>
        <w:ind w:firstLine="480" w:firstLineChars="200"/>
        <w:jc w:val="left"/>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③供应商须注意事项：</w:t>
      </w:r>
      <w:r>
        <w:rPr>
          <w:rFonts w:hint="eastAsia"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本项目实行电子招投标，供应商须登录政采云平台https://www.zcygov.cn/申请获取采购文件，并通过政采云电子投标客户端制作响应文件，同时自行承担与投标有关的一切费用</w:t>
      </w:r>
      <w:r>
        <w:rPr>
          <w:rFonts w:hint="eastAsia" w:cs="宋体"/>
          <w:color w:val="auto"/>
          <w:kern w:val="0"/>
          <w:sz w:val="24"/>
          <w:szCs w:val="24"/>
          <w:highlight w:val="none"/>
          <w:lang w:val="en-US" w:eastAsia="zh-CN"/>
        </w:rPr>
        <w:t>；2）根据国办函〔2019〕41号文促进数字证书（CA）跨平台、跨部门、跨区域互认要求，政府采购云平台目前已支持包括新疆CA、翔晟CA及汇信CA等多家CA的办理及使用。供应商可通过政府采购网-办理指南—供应商—CA证书办理操作指南-进入CA办理界面，按需选择办理任意一家CA厂商的数字证书。CA证书办理操作指南链接：http://u3v.cn/5F3afc；3）客户端请至政采云平台https://www.zcygov.cn/下载专区查看，如有问题可拨打政采云客户服务热线95763进行咨询。如因供应商自身原因导致在规定时间内无法正常解密的（如：浏览器故障、未安装相关驱动、网络故障、加密CA与解密CA不一致等），采购代理机构不予异常处理，视为供应商自动弃标。4）本项目采用不见面开标，供应商须在投标截止时间前通过CA在政采云平台上传加密的电子响应文件。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3F21DBA7">
      <w:pPr>
        <w:pStyle w:val="38"/>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特别提示：</w:t>
      </w:r>
    </w:p>
    <w:p w14:paraId="67739AD5">
      <w:pPr>
        <w:pStyle w:val="38"/>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1、采购限额标准以上，200万元以下的货物和服务采购项目、400万元以下的工程采购项目，适宜由中小企业提供的，采购人应当专门面向中小企业采购。</w:t>
      </w:r>
    </w:p>
    <w:p w14:paraId="76428DB3">
      <w:pPr>
        <w:pStyle w:val="38"/>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2、超过200万元的货物和服务采购项目，预留该部分采购项目预算总额的30%以上专门面向中小企业采购，其中预留给小微企业的比例不低于60%。</w:t>
      </w:r>
    </w:p>
    <w:p w14:paraId="1F8C12DC">
      <w:pPr>
        <w:pStyle w:val="38"/>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3、超过400万元的工程采购项目中适宜由中小企业提供的，预留该部分采购项目预算总额的40%以上专门面向中小企业采购，其中预留给小微企业的比例不低于60%。</w:t>
      </w:r>
    </w:p>
    <w:p w14:paraId="04913E46">
      <w:pPr>
        <w:pStyle w:val="38"/>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57951F7">
      <w:pPr>
        <w:pStyle w:val="38"/>
        <w:rPr>
          <w:rFonts w:hint="eastAsia"/>
          <w:color w:val="auto"/>
          <w:highlight w:val="none"/>
          <w:lang w:eastAsia="zh-CN"/>
        </w:rPr>
      </w:pPr>
      <w:r>
        <w:rPr>
          <w:rFonts w:hint="eastAsia" w:ascii="宋体" w:hAnsi="宋体" w:eastAsia="宋体" w:cs="宋体"/>
          <w:bCs/>
          <w:color w:val="auto"/>
          <w:kern w:val="0"/>
          <w:sz w:val="24"/>
          <w:szCs w:val="24"/>
          <w:highlight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B5DE100">
      <w:pPr>
        <w:pStyle w:val="3"/>
        <w:keepNext/>
        <w:keepLines/>
        <w:pageBreakBefore w:val="0"/>
        <w:widowControl w:val="0"/>
        <w:numPr>
          <w:ilvl w:val="0"/>
          <w:numId w:val="0"/>
        </w:numPr>
        <w:shd w:val="clea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i w:val="0"/>
          <w:iCs w:val="0"/>
          <w:color w:val="auto"/>
          <w:sz w:val="24"/>
          <w:szCs w:val="24"/>
          <w:highlight w:val="none"/>
          <w:lang w:val="hr-HR" w:eastAsia="zh-CN"/>
        </w:rPr>
      </w:pPr>
      <w:bookmarkStart w:id="81" w:name="_Toc11825"/>
      <w:r>
        <w:rPr>
          <w:rFonts w:hint="eastAsia" w:ascii="宋体" w:hAnsi="宋体" w:eastAsia="宋体" w:cs="宋体"/>
          <w:b/>
          <w:bCs/>
          <w:i w:val="0"/>
          <w:iCs w:val="0"/>
          <w:color w:val="auto"/>
          <w:kern w:val="2"/>
          <w:sz w:val="24"/>
          <w:szCs w:val="24"/>
          <w:highlight w:val="none"/>
          <w:lang w:val="en-US" w:eastAsia="zh-CN" w:bidi="ar-SA"/>
        </w:rPr>
        <w:t>八、</w:t>
      </w:r>
      <w:r>
        <w:rPr>
          <w:rFonts w:hint="eastAsia" w:ascii="宋体" w:hAnsi="宋体" w:eastAsia="宋体" w:cs="宋体"/>
          <w:b/>
          <w:bCs/>
          <w:i w:val="0"/>
          <w:iCs w:val="0"/>
          <w:color w:val="auto"/>
          <w:kern w:val="2"/>
          <w:sz w:val="24"/>
          <w:szCs w:val="24"/>
          <w:highlight w:val="none"/>
          <w:lang w:val="hr-HR" w:eastAsia="zh-CN" w:bidi="ar-SA"/>
        </w:rPr>
        <w:t>凡对本次采购提出询问，请按以下方式联系</w:t>
      </w:r>
      <w:bookmarkEnd w:id="81"/>
    </w:p>
    <w:p w14:paraId="09DFEF02">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1.采购人信息</w:t>
      </w:r>
    </w:p>
    <w:p w14:paraId="4FF3F410">
      <w:pPr>
        <w:widowControl/>
        <w:shd w:val="clear" w:color="auto"/>
        <w:wordWrap w:val="0"/>
        <w:spacing w:line="480" w:lineRule="exact"/>
        <w:ind w:firstLine="480" w:firstLineChars="200"/>
        <w:rPr>
          <w:rFonts w:hint="eastAsia" w:eastAsia="宋体" w:cs="宋体"/>
          <w:bCs/>
          <w:color w:val="auto"/>
          <w:kern w:val="0"/>
          <w:szCs w:val="24"/>
          <w:highlight w:val="none"/>
          <w:lang w:eastAsia="zh-CN"/>
        </w:rPr>
      </w:pPr>
      <w:r>
        <w:rPr>
          <w:rFonts w:hint="eastAsia" w:cs="宋体"/>
          <w:bCs/>
          <w:color w:val="auto"/>
          <w:kern w:val="0"/>
          <w:szCs w:val="24"/>
          <w:highlight w:val="none"/>
        </w:rPr>
        <w:t>名 称：</w:t>
      </w:r>
      <w:r>
        <w:rPr>
          <w:rFonts w:hint="eastAsia" w:cs="宋体"/>
          <w:bCs/>
          <w:color w:val="auto"/>
          <w:kern w:val="0"/>
          <w:szCs w:val="24"/>
          <w:highlight w:val="none"/>
          <w:lang w:eastAsia="zh-CN"/>
        </w:rPr>
        <w:t>新疆医科大学第一附属医院</w:t>
      </w:r>
    </w:p>
    <w:p w14:paraId="6A908854">
      <w:pPr>
        <w:widowControl/>
        <w:shd w:val="clear" w:color="auto"/>
        <w:wordWrap w:val="0"/>
        <w:spacing w:line="480" w:lineRule="exact"/>
        <w:ind w:firstLine="480" w:firstLineChars="200"/>
        <w:rPr>
          <w:rFonts w:hint="eastAsia" w:eastAsia="宋体" w:cs="宋体"/>
          <w:bCs/>
          <w:color w:val="auto"/>
          <w:kern w:val="0"/>
          <w:szCs w:val="24"/>
          <w:highlight w:val="none"/>
          <w:lang w:eastAsia="zh-CN"/>
        </w:rPr>
      </w:pPr>
      <w:r>
        <w:rPr>
          <w:rFonts w:hint="eastAsia" w:cs="宋体"/>
          <w:bCs/>
          <w:color w:val="auto"/>
          <w:kern w:val="0"/>
          <w:szCs w:val="24"/>
          <w:highlight w:val="none"/>
        </w:rPr>
        <w:t>地 址：</w:t>
      </w:r>
      <w:r>
        <w:rPr>
          <w:rFonts w:hint="eastAsia" w:cs="宋体"/>
          <w:bCs/>
          <w:color w:val="auto"/>
          <w:kern w:val="0"/>
          <w:szCs w:val="24"/>
          <w:highlight w:val="none"/>
          <w:lang w:eastAsia="zh-CN"/>
        </w:rPr>
        <w:t>乌鲁木齐市新医路393号</w:t>
      </w:r>
    </w:p>
    <w:p w14:paraId="0BA5D337">
      <w:pPr>
        <w:widowControl/>
        <w:shd w:val="clear" w:color="auto"/>
        <w:wordWrap w:val="0"/>
        <w:spacing w:line="480" w:lineRule="exact"/>
        <w:ind w:firstLine="480" w:firstLineChars="200"/>
        <w:rPr>
          <w:rFonts w:hint="eastAsia" w:eastAsia="宋体" w:cs="宋体"/>
          <w:bCs/>
          <w:color w:val="auto"/>
          <w:kern w:val="0"/>
          <w:szCs w:val="24"/>
          <w:highlight w:val="none"/>
          <w:lang w:eastAsia="zh-CN"/>
        </w:rPr>
      </w:pPr>
      <w:r>
        <w:rPr>
          <w:rFonts w:hint="eastAsia" w:cs="宋体"/>
          <w:bCs/>
          <w:color w:val="auto"/>
          <w:kern w:val="0"/>
          <w:szCs w:val="24"/>
          <w:highlight w:val="none"/>
        </w:rPr>
        <w:t>联系方式：</w:t>
      </w:r>
      <w:r>
        <w:rPr>
          <w:rFonts w:hint="eastAsia" w:cs="宋体"/>
          <w:bCs/>
          <w:color w:val="auto"/>
          <w:kern w:val="0"/>
          <w:szCs w:val="24"/>
          <w:highlight w:val="none"/>
          <w:lang w:eastAsia="zh-CN"/>
        </w:rPr>
        <w:t>0991-4362391</w:t>
      </w:r>
    </w:p>
    <w:p w14:paraId="14CCC2D3">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2.采购代理机构信息</w:t>
      </w:r>
    </w:p>
    <w:p w14:paraId="05AE1052">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名 称：中招国际招标有限公司</w:t>
      </w:r>
    </w:p>
    <w:p w14:paraId="4C454747">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地 址：新疆乌鲁木齐市486号南湖明珠二期十四栋商业写字楼8楼</w:t>
      </w:r>
    </w:p>
    <w:p w14:paraId="55A88025">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联系方式：17716905655、18099259977</w:t>
      </w:r>
    </w:p>
    <w:p w14:paraId="1779FC08">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3.项目联系方式</w:t>
      </w:r>
    </w:p>
    <w:p w14:paraId="6F9E34A4">
      <w:pPr>
        <w:widowControl/>
        <w:shd w:val="clear" w:color="auto"/>
        <w:wordWrap w:val="0"/>
        <w:spacing w:line="480" w:lineRule="exact"/>
        <w:ind w:firstLine="480" w:firstLineChars="200"/>
        <w:rPr>
          <w:rFonts w:hint="eastAsia" w:eastAsia="宋体" w:cs="宋体"/>
          <w:bCs/>
          <w:color w:val="auto"/>
          <w:kern w:val="0"/>
          <w:szCs w:val="24"/>
          <w:highlight w:val="none"/>
          <w:lang w:eastAsia="zh-CN"/>
        </w:rPr>
      </w:pPr>
      <w:r>
        <w:rPr>
          <w:rFonts w:hint="eastAsia" w:cs="宋体"/>
          <w:bCs/>
          <w:color w:val="auto"/>
          <w:kern w:val="0"/>
          <w:szCs w:val="24"/>
          <w:highlight w:val="none"/>
        </w:rPr>
        <w:t>项目联系人：罗燕、徐中凤、杨骐骏、陈海云、</w:t>
      </w:r>
      <w:r>
        <w:rPr>
          <w:rFonts w:hint="eastAsia" w:cs="宋体"/>
          <w:bCs/>
          <w:color w:val="auto"/>
          <w:kern w:val="0"/>
          <w:szCs w:val="24"/>
          <w:highlight w:val="none"/>
          <w:lang w:eastAsia="zh-CN"/>
        </w:rPr>
        <w:t>程建军</w:t>
      </w:r>
    </w:p>
    <w:p w14:paraId="58479417">
      <w:pPr>
        <w:widowControl/>
        <w:shd w:val="clear" w:color="auto"/>
        <w:wordWrap w:val="0"/>
        <w:spacing w:line="480" w:lineRule="exact"/>
        <w:ind w:firstLine="480" w:firstLineChars="200"/>
        <w:rPr>
          <w:rFonts w:hint="eastAsia" w:cs="宋体"/>
          <w:bCs/>
          <w:color w:val="auto"/>
          <w:kern w:val="0"/>
          <w:szCs w:val="24"/>
          <w:highlight w:val="none"/>
        </w:rPr>
        <w:sectPr>
          <w:footerReference r:id="rId7" w:type="default"/>
          <w:pgSz w:w="11906" w:h="16838"/>
          <w:pgMar w:top="1440" w:right="1800" w:bottom="1440" w:left="1800" w:header="851" w:footer="992" w:gutter="0"/>
          <w:pgNumType w:fmt="decimal" w:start="1"/>
          <w:cols w:space="425" w:num="1"/>
          <w:docGrid w:type="lines" w:linePitch="312" w:charSpace="0"/>
        </w:sectPr>
      </w:pPr>
      <w:r>
        <w:rPr>
          <w:rFonts w:hint="eastAsia" w:cs="宋体"/>
          <w:bCs/>
          <w:color w:val="auto"/>
          <w:kern w:val="0"/>
          <w:szCs w:val="24"/>
          <w:highlight w:val="none"/>
        </w:rPr>
        <w:t>电 话：17716905655、18099259977</w:t>
      </w:r>
    </w:p>
    <w:p w14:paraId="231EADD0">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pPr>
      <w:bookmarkStart w:id="82" w:name="_Toc11873"/>
      <w:r>
        <w:rPr>
          <w:rFonts w:hint="eastAsia" w:ascii="宋体" w:hAnsi="宋体" w:eastAsia="宋体" w:cs="宋体"/>
          <w:b/>
          <w:bCs/>
          <w:i w:val="0"/>
          <w:iCs w:val="0"/>
          <w:color w:val="auto"/>
          <w:kern w:val="44"/>
          <w:sz w:val="36"/>
          <w:szCs w:val="36"/>
          <w:highlight w:val="none"/>
          <w:lang w:val="en-US" w:eastAsia="zh-CN" w:bidi="ar-SA"/>
        </w:rPr>
        <w:t>第二章 供应商须知</w:t>
      </w:r>
      <w:bookmarkEnd w:id="82"/>
    </w:p>
    <w:p w14:paraId="69950409">
      <w:pPr>
        <w:pStyle w:val="3"/>
        <w:keepNext/>
        <w:keepLines/>
        <w:pageBreakBefore w:val="0"/>
        <w:widowControl w:val="0"/>
        <w:numPr>
          <w:ilvl w:val="0"/>
          <w:numId w:val="0"/>
        </w:numPr>
        <w:kinsoku/>
        <w:wordWrap/>
        <w:overflowPunct/>
        <w:topLinePunct w:val="0"/>
        <w:autoSpaceDE/>
        <w:autoSpaceDN/>
        <w:bidi w:val="0"/>
        <w:adjustRightInd/>
        <w:snapToGrid/>
        <w:spacing w:before="80" w:after="8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en-US" w:eastAsia="zh-CN" w:bidi="ar-SA"/>
        </w:rPr>
      </w:pPr>
      <w:bookmarkStart w:id="83" w:name="_Toc19176"/>
      <w:r>
        <w:rPr>
          <w:rFonts w:hint="eastAsia" w:eastAsia="宋体" w:asciiTheme="majorHAnsi" w:hAnsiTheme="majorHAnsi" w:cstheme="majorBidi"/>
          <w:b/>
          <w:bCs/>
          <w:i w:val="0"/>
          <w:iCs w:val="0"/>
          <w:color w:val="auto"/>
          <w:kern w:val="2"/>
          <w:sz w:val="28"/>
          <w:szCs w:val="28"/>
          <w:highlight w:val="none"/>
          <w:lang w:val="en-US" w:eastAsia="zh-CN" w:bidi="ar-SA"/>
        </w:rPr>
        <w:t>一、供应商须知前附表</w:t>
      </w:r>
      <w:bookmarkEnd w:id="83"/>
    </w:p>
    <w:p w14:paraId="187E6BD3">
      <w:pPr>
        <w:pStyle w:val="40"/>
        <w:ind w:firstLine="480"/>
        <w:rPr>
          <w:i w:val="0"/>
          <w:iCs w:val="0"/>
          <w:color w:val="auto"/>
          <w:highlight w:val="none"/>
        </w:rPr>
      </w:pPr>
      <w:r>
        <w:rPr>
          <w:rFonts w:hint="eastAsia"/>
          <w:i w:val="0"/>
          <w:iCs w:val="0"/>
          <w:color w:val="auto"/>
          <w:highlight w:val="none"/>
        </w:rPr>
        <w:t>磋商供应商应仔细阅读本磋商文件的第二章“供应商须知”，下面所列资料是对“供应商须知”的具体补充和说明。如有矛盾，应以本表为准。</w:t>
      </w:r>
      <w:r>
        <w:rPr>
          <w:rFonts w:hint="eastAsia"/>
          <w:i w:val="0"/>
          <w:iCs w:val="0"/>
          <w:color w:val="auto"/>
          <w:highlight w:val="none"/>
          <w:lang w:val="en-US" w:eastAsia="zh-CN"/>
        </w:rPr>
        <w:t>标记“</w:t>
      </w:r>
      <w:r>
        <w:rPr>
          <w:rFonts w:hint="eastAsia" w:ascii="宋体" w:hAnsi="宋体" w:eastAsia="宋体"/>
          <w:i w:val="0"/>
          <w:iCs w:val="0"/>
          <w:color w:val="auto"/>
          <w:highlight w:val="none"/>
          <w:lang w:val="en-US" w:eastAsia="zh-CN"/>
        </w:rPr>
        <w:t>☑”的选项意为适用于本项目，标记“□”的选项意为不适用于本项目。</w:t>
      </w:r>
    </w:p>
    <w:tbl>
      <w:tblPr>
        <w:tblStyle w:val="32"/>
        <w:tblW w:w="9391" w:type="dxa"/>
        <w:tblInd w:w="-456"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
      <w:tblGrid>
        <w:gridCol w:w="970"/>
        <w:gridCol w:w="1971"/>
        <w:gridCol w:w="6450"/>
      </w:tblGrid>
      <w:tr w14:paraId="0D321BB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63" w:hRule="atLeast"/>
          <w:tblHeader/>
        </w:trPr>
        <w:tc>
          <w:tcPr>
            <w:tcW w:w="97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177A0A26">
            <w:pPr>
              <w:pStyle w:val="51"/>
              <w:jc w:val="center"/>
              <w:rPr>
                <w:rFonts w:hint="eastAsia" w:ascii="宋体" w:hAnsi="宋体" w:eastAsia="宋体" w:cs="宋体"/>
                <w:b/>
                <w:bCs/>
                <w:i w:val="0"/>
                <w:iCs w:val="0"/>
                <w:color w:val="auto"/>
                <w:sz w:val="24"/>
                <w:szCs w:val="24"/>
                <w:highlight w:val="none"/>
              </w:rPr>
            </w:pPr>
            <w:bookmarkStart w:id="84" w:name="_Hlk161703381"/>
            <w:r>
              <w:rPr>
                <w:rFonts w:hint="eastAsia" w:ascii="宋体" w:hAnsi="宋体" w:eastAsia="宋体" w:cs="宋体"/>
                <w:b/>
                <w:bCs/>
                <w:i w:val="0"/>
                <w:iCs w:val="0"/>
                <w:color w:val="auto"/>
                <w:sz w:val="24"/>
                <w:szCs w:val="24"/>
                <w:highlight w:val="none"/>
              </w:rPr>
              <w:t>条款号</w:t>
            </w:r>
          </w:p>
        </w:tc>
        <w:tc>
          <w:tcPr>
            <w:tcW w:w="1971"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440C5315">
            <w:pPr>
              <w:pStyle w:val="51"/>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条款名称</w:t>
            </w:r>
          </w:p>
        </w:tc>
        <w:tc>
          <w:tcPr>
            <w:tcW w:w="645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74B5DCFF">
            <w:pPr>
              <w:pStyle w:val="51"/>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内  容</w:t>
            </w:r>
          </w:p>
        </w:tc>
      </w:tr>
      <w:tr w14:paraId="7D4E30C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12" w:hRule="atLeast"/>
        </w:trPr>
        <w:tc>
          <w:tcPr>
            <w:tcW w:w="970" w:type="dxa"/>
            <w:tcBorders>
              <w:top w:val="single" w:color="auto" w:sz="2" w:space="0"/>
              <w:left w:val="single" w:color="auto" w:sz="2" w:space="0"/>
              <w:bottom w:val="single" w:color="auto" w:sz="2" w:space="0"/>
              <w:right w:val="single" w:color="auto" w:sz="2" w:space="0"/>
            </w:tcBorders>
            <w:vAlign w:val="center"/>
          </w:tcPr>
          <w:p w14:paraId="6624A578">
            <w:pPr>
              <w:pStyle w:val="51"/>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2.5</w:t>
            </w:r>
          </w:p>
        </w:tc>
        <w:tc>
          <w:tcPr>
            <w:tcW w:w="1971" w:type="dxa"/>
            <w:tcBorders>
              <w:top w:val="single" w:color="auto" w:sz="2" w:space="0"/>
              <w:left w:val="single" w:color="auto" w:sz="2" w:space="0"/>
              <w:bottom w:val="single" w:color="auto" w:sz="2" w:space="0"/>
              <w:right w:val="single" w:color="auto" w:sz="2" w:space="0"/>
            </w:tcBorders>
            <w:vAlign w:val="center"/>
          </w:tcPr>
          <w:p w14:paraId="43465851">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服务内容</w:t>
            </w:r>
          </w:p>
        </w:tc>
        <w:tc>
          <w:tcPr>
            <w:tcW w:w="6450" w:type="dxa"/>
            <w:tcBorders>
              <w:top w:val="single" w:color="auto" w:sz="2" w:space="0"/>
              <w:left w:val="single" w:color="auto" w:sz="2" w:space="0"/>
              <w:bottom w:val="single" w:color="auto" w:sz="2" w:space="0"/>
              <w:right w:val="single" w:color="auto" w:sz="2" w:space="0"/>
            </w:tcBorders>
            <w:vAlign w:val="center"/>
          </w:tcPr>
          <w:p w14:paraId="303BCB86">
            <w:pPr>
              <w:pStyle w:val="51"/>
              <w:rPr>
                <w:rFonts w:hint="eastAsia" w:ascii="宋体" w:hAnsi="宋体" w:eastAsia="宋体"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负责编制工程量清单、工程招标控制价；审核工程变更及现场签证（包括工程量的确认与造价的核定）；提供建材材料、设备价格的咨询与确定；审核预付款、进度款、变更款、索赔款；实施施工阶段全过程的造价控制；进行竣工结算审核；全程监控和控制从工程招标阶段、项目建设期间到竣工结算阶段的造价。承担对其他造价公司编制成果的复核工作。参与建设方组织的各类工程会议，详见采购需求。</w:t>
            </w:r>
          </w:p>
        </w:tc>
      </w:tr>
      <w:tr w14:paraId="37C9AC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110733C5">
            <w:pPr>
              <w:pStyle w:val="51"/>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9</w:t>
            </w:r>
            <w:r>
              <w:rPr>
                <w:rFonts w:hint="eastAsia" w:ascii="宋体" w:hAnsi="宋体" w:eastAsia="宋体" w:cs="宋体"/>
                <w:i w:val="0"/>
                <w:iCs w:val="0"/>
                <w:color w:val="auto"/>
                <w:sz w:val="24"/>
                <w:szCs w:val="24"/>
                <w:highlight w:val="none"/>
                <w:lang w:val="en-US" w:eastAsia="zh-CN"/>
              </w:rPr>
              <w:t>.1</w:t>
            </w:r>
          </w:p>
        </w:tc>
        <w:tc>
          <w:tcPr>
            <w:tcW w:w="1971" w:type="dxa"/>
            <w:tcBorders>
              <w:top w:val="single" w:color="auto" w:sz="2" w:space="0"/>
              <w:left w:val="single" w:color="auto" w:sz="2" w:space="0"/>
              <w:bottom w:val="single" w:color="auto" w:sz="2" w:space="0"/>
              <w:right w:val="single" w:color="auto" w:sz="2" w:space="0"/>
            </w:tcBorders>
            <w:vAlign w:val="center"/>
          </w:tcPr>
          <w:p w14:paraId="1341EE3C">
            <w:pPr>
              <w:pStyle w:val="51"/>
              <w:rPr>
                <w:rFonts w:hint="eastAsia" w:ascii="宋体" w:hAnsi="宋体" w:eastAsia="宋体" w:cs="宋体"/>
                <w:i w:val="0"/>
                <w:iCs w:val="0"/>
                <w:color w:val="auto"/>
                <w:sz w:val="24"/>
                <w:szCs w:val="24"/>
                <w:highlight w:val="none"/>
              </w:rPr>
            </w:pPr>
            <w:bookmarkStart w:id="85" w:name="_Hlk143529175"/>
            <w:r>
              <w:rPr>
                <w:rFonts w:hint="eastAsia" w:ascii="宋体" w:hAnsi="宋体" w:eastAsia="宋体" w:cs="宋体"/>
                <w:i w:val="0"/>
                <w:iCs w:val="0"/>
                <w:color w:val="auto"/>
                <w:sz w:val="24"/>
                <w:szCs w:val="24"/>
                <w:highlight w:val="none"/>
              </w:rPr>
              <w:t>现场考察</w:t>
            </w:r>
            <w:bookmarkEnd w:id="85"/>
          </w:p>
        </w:tc>
        <w:tc>
          <w:tcPr>
            <w:tcW w:w="6450" w:type="dxa"/>
            <w:tcBorders>
              <w:top w:val="single" w:color="auto" w:sz="2" w:space="0"/>
              <w:left w:val="single" w:color="auto" w:sz="2" w:space="0"/>
              <w:bottom w:val="single" w:color="auto" w:sz="2" w:space="0"/>
              <w:right w:val="single" w:color="auto" w:sz="2" w:space="0"/>
            </w:tcBorders>
            <w:vAlign w:val="center"/>
          </w:tcPr>
          <w:p w14:paraId="4CE9F680">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不组织，供应商自行前往</w:t>
            </w:r>
          </w:p>
          <w:p w14:paraId="30BF7EC0">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F0A8"/>
            </w:r>
            <w:r>
              <w:rPr>
                <w:rFonts w:hint="eastAsia" w:ascii="宋体" w:hAnsi="宋体" w:eastAsia="宋体" w:cs="宋体"/>
                <w:i w:val="0"/>
                <w:iCs w:val="0"/>
                <w:color w:val="auto"/>
                <w:sz w:val="24"/>
                <w:szCs w:val="24"/>
                <w:highlight w:val="none"/>
              </w:rPr>
              <w:t>组织</w:t>
            </w:r>
          </w:p>
          <w:p w14:paraId="6A0C7BEB">
            <w:pPr>
              <w:pStyle w:val="51"/>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483F689C">
            <w:pPr>
              <w:pStyle w:val="51"/>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27D2F61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5450FE9C">
            <w:pPr>
              <w:pStyle w:val="51"/>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9.5</w:t>
            </w:r>
          </w:p>
        </w:tc>
        <w:tc>
          <w:tcPr>
            <w:tcW w:w="1971" w:type="dxa"/>
            <w:tcBorders>
              <w:top w:val="single" w:color="auto" w:sz="2" w:space="0"/>
              <w:left w:val="single" w:color="auto" w:sz="2" w:space="0"/>
              <w:bottom w:val="single" w:color="auto" w:sz="2" w:space="0"/>
              <w:right w:val="single" w:color="auto" w:sz="2" w:space="0"/>
            </w:tcBorders>
            <w:shd w:val="clear" w:color="auto" w:fill="auto"/>
            <w:vAlign w:val="center"/>
          </w:tcPr>
          <w:p w14:paraId="305DBDF1">
            <w:pPr>
              <w:pStyle w:val="51"/>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答疑会</w:t>
            </w:r>
          </w:p>
        </w:tc>
        <w:tc>
          <w:tcPr>
            <w:tcW w:w="6450" w:type="dxa"/>
            <w:tcBorders>
              <w:top w:val="single" w:color="auto" w:sz="2" w:space="0"/>
              <w:left w:val="single" w:color="auto" w:sz="2" w:space="0"/>
              <w:bottom w:val="single" w:color="auto" w:sz="2" w:space="0"/>
              <w:right w:val="single" w:color="auto" w:sz="2" w:space="0"/>
            </w:tcBorders>
            <w:shd w:val="clear" w:color="auto" w:fill="auto"/>
            <w:vAlign w:val="center"/>
          </w:tcPr>
          <w:p w14:paraId="1807598A">
            <w:pPr>
              <w:pStyle w:val="51"/>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不组织</w:t>
            </w:r>
          </w:p>
          <w:p w14:paraId="5D5720FD">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A8"/>
            </w:r>
            <w:r>
              <w:rPr>
                <w:rFonts w:hint="eastAsia" w:ascii="宋体" w:hAnsi="宋体" w:eastAsia="宋体" w:cs="宋体"/>
                <w:i w:val="0"/>
                <w:iCs w:val="0"/>
                <w:color w:val="auto"/>
                <w:sz w:val="24"/>
                <w:szCs w:val="24"/>
                <w:highlight w:val="none"/>
              </w:rPr>
              <w:t>组织</w:t>
            </w:r>
          </w:p>
          <w:p w14:paraId="49E74ECC">
            <w:pPr>
              <w:pStyle w:val="51"/>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3DBD95D2">
            <w:pPr>
              <w:pStyle w:val="51"/>
              <w:ind w:firstLine="240" w:firstLineChars="100"/>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5561F5D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2F8BE67E">
            <w:pPr>
              <w:pStyle w:val="51"/>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7EDC63C9">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询问</w:t>
            </w:r>
          </w:p>
        </w:tc>
        <w:tc>
          <w:tcPr>
            <w:tcW w:w="6450" w:type="dxa"/>
            <w:tcBorders>
              <w:top w:val="single" w:color="auto" w:sz="2" w:space="0"/>
              <w:left w:val="single" w:color="auto" w:sz="2" w:space="0"/>
              <w:bottom w:val="single" w:color="auto" w:sz="2" w:space="0"/>
              <w:right w:val="single" w:color="auto" w:sz="2" w:space="0"/>
            </w:tcBorders>
            <w:vAlign w:val="center"/>
          </w:tcPr>
          <w:p w14:paraId="28EA9EDC">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方式：</w:t>
            </w:r>
          </w:p>
          <w:p w14:paraId="2ECE779D">
            <w:pPr>
              <w:pStyle w:val="51"/>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在供应商客户端中按照格式填写询问函，并在生成询问函后加盖电子印章提交</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其他询问方式：</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电话</w:t>
            </w:r>
            <w:r>
              <w:rPr>
                <w:rFonts w:hint="eastAsia" w:cs="宋体"/>
                <w:i w:val="0"/>
                <w:iCs w:val="0"/>
                <w:color w:val="auto"/>
                <w:sz w:val="24"/>
                <w:szCs w:val="24"/>
                <w:highlight w:val="none"/>
                <w:u w:val="single"/>
                <w:lang w:val="en-US" w:eastAsia="zh-CN"/>
              </w:rPr>
              <w:t>咨询</w:t>
            </w:r>
            <w:r>
              <w:rPr>
                <w:rFonts w:hint="eastAsia" w:ascii="宋体" w:hAnsi="宋体" w:eastAsia="宋体" w:cs="宋体"/>
                <w:i w:val="0"/>
                <w:iCs w:val="0"/>
                <w:color w:val="auto"/>
                <w:sz w:val="24"/>
                <w:szCs w:val="24"/>
                <w:highlight w:val="none"/>
              </w:rPr>
              <w:t>。</w:t>
            </w:r>
          </w:p>
          <w:p w14:paraId="716B2B40">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lang w:val="en-US" w:eastAsia="zh-CN"/>
              </w:rPr>
              <w:t>要求</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5EBABA6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1BD0EE15">
            <w:pPr>
              <w:pStyle w:val="51"/>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042F9C28">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响应文件有效期</w:t>
            </w:r>
          </w:p>
        </w:tc>
        <w:tc>
          <w:tcPr>
            <w:tcW w:w="6450" w:type="dxa"/>
            <w:tcBorders>
              <w:top w:val="single" w:color="auto" w:sz="2" w:space="0"/>
              <w:left w:val="single" w:color="auto" w:sz="2" w:space="0"/>
              <w:bottom w:val="single" w:color="auto" w:sz="2" w:space="0"/>
              <w:right w:val="single" w:color="auto" w:sz="2" w:space="0"/>
            </w:tcBorders>
            <w:vAlign w:val="center"/>
          </w:tcPr>
          <w:p w14:paraId="77535C0F">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响应文件递交截止日期后</w:t>
            </w:r>
            <w:r>
              <w:rPr>
                <w:rFonts w:hint="eastAsia" w:ascii="宋体" w:hAnsi="宋体" w:eastAsia="宋体" w:cs="宋体"/>
                <w:i w:val="0"/>
                <w:iCs w:val="0"/>
                <w:color w:val="auto"/>
                <w:sz w:val="24"/>
                <w:szCs w:val="24"/>
                <w:highlight w:val="none"/>
                <w:u w:val="single"/>
              </w:rPr>
              <w:t>90</w:t>
            </w:r>
            <w:r>
              <w:rPr>
                <w:rFonts w:hint="eastAsia" w:ascii="宋体" w:hAnsi="宋体" w:eastAsia="宋体" w:cs="宋体"/>
                <w:i w:val="0"/>
                <w:iCs w:val="0"/>
                <w:color w:val="auto"/>
                <w:sz w:val="24"/>
                <w:szCs w:val="24"/>
                <w:highlight w:val="none"/>
              </w:rPr>
              <w:t>日历日。</w:t>
            </w:r>
          </w:p>
        </w:tc>
      </w:tr>
      <w:tr w14:paraId="7E16CC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91" w:hRule="atLeast"/>
        </w:trPr>
        <w:tc>
          <w:tcPr>
            <w:tcW w:w="970" w:type="dxa"/>
            <w:tcBorders>
              <w:top w:val="single" w:color="auto" w:sz="2" w:space="0"/>
              <w:left w:val="single" w:color="auto" w:sz="2" w:space="0"/>
              <w:bottom w:val="single" w:color="auto" w:sz="2" w:space="0"/>
              <w:right w:val="single" w:color="auto" w:sz="2" w:space="0"/>
            </w:tcBorders>
            <w:vAlign w:val="center"/>
          </w:tcPr>
          <w:p w14:paraId="54C73840">
            <w:pPr>
              <w:pStyle w:val="51"/>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17.1</w:t>
            </w:r>
          </w:p>
        </w:tc>
        <w:tc>
          <w:tcPr>
            <w:tcW w:w="1971" w:type="dxa"/>
            <w:tcBorders>
              <w:top w:val="single" w:color="auto" w:sz="2" w:space="0"/>
              <w:left w:val="single" w:color="auto" w:sz="2" w:space="0"/>
              <w:bottom w:val="single" w:color="auto" w:sz="2" w:space="0"/>
              <w:right w:val="single" w:color="auto" w:sz="2" w:space="0"/>
            </w:tcBorders>
            <w:vAlign w:val="center"/>
          </w:tcPr>
          <w:p w14:paraId="6F26E537">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磋商保证金</w:t>
            </w:r>
          </w:p>
        </w:tc>
        <w:tc>
          <w:tcPr>
            <w:tcW w:w="6450" w:type="dxa"/>
            <w:tcBorders>
              <w:top w:val="single" w:color="auto" w:sz="2" w:space="0"/>
              <w:left w:val="single" w:color="auto" w:sz="2" w:space="0"/>
              <w:bottom w:val="single" w:color="auto" w:sz="2" w:space="0"/>
              <w:right w:val="single" w:color="auto" w:sz="2" w:space="0"/>
            </w:tcBorders>
            <w:vAlign w:val="center"/>
          </w:tcPr>
          <w:p w14:paraId="6C54EE34">
            <w:pPr>
              <w:pStyle w:val="61"/>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金额：</w:t>
            </w:r>
          </w:p>
          <w:p w14:paraId="3E23E205">
            <w:pPr>
              <w:pStyle w:val="61"/>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免收</w:t>
            </w:r>
          </w:p>
          <w:p w14:paraId="27327A97">
            <w:pPr>
              <w:pStyle w:val="61"/>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预算金额</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lang w:eastAsia="zh-CN"/>
              </w:rPr>
              <w:t>。</w:t>
            </w:r>
          </w:p>
          <w:p w14:paraId="59C4595E">
            <w:pPr>
              <w:pStyle w:val="61"/>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lang w:eastAsia="zh-CN"/>
              </w:rPr>
            </w:pP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定额收取：</w:t>
            </w:r>
            <w:r>
              <w:rPr>
                <w:rFonts w:hint="eastAsia" w:ascii="宋体" w:hAnsi="宋体" w:eastAsia="宋体" w:cs="宋体"/>
                <w:i w:val="0"/>
                <w:iCs w:val="0"/>
                <w:color w:val="auto"/>
                <w:sz w:val="24"/>
                <w:szCs w:val="24"/>
                <w:highlight w:val="none"/>
                <w:u w:val="single"/>
              </w:rPr>
              <w:t xml:space="preserve">人民币 </w:t>
            </w:r>
            <w:r>
              <w:rPr>
                <w:rFonts w:hint="eastAsia" w:ascii="宋体" w:hAnsi="宋体" w:cs="宋体"/>
                <w:i w:val="0"/>
                <w:iCs w:val="0"/>
                <w:color w:val="auto"/>
                <w:sz w:val="24"/>
                <w:szCs w:val="24"/>
                <w:highlight w:val="none"/>
                <w:u w:val="single"/>
                <w:lang w:val="en-US" w:eastAsia="zh-CN"/>
              </w:rPr>
              <w:t>3000.00</w:t>
            </w:r>
            <w:r>
              <w:rPr>
                <w:rFonts w:hint="eastAsia" w:ascii="宋体" w:hAnsi="宋体" w:eastAsia="宋体" w:cs="宋体"/>
                <w:i w:val="0"/>
                <w:iCs w:val="0"/>
                <w:color w:val="auto"/>
                <w:sz w:val="24"/>
                <w:szCs w:val="24"/>
                <w:highlight w:val="none"/>
                <w:u w:val="single"/>
              </w:rPr>
              <w:t xml:space="preserve"> 元</w:t>
            </w:r>
            <w:r>
              <w:rPr>
                <w:rFonts w:hint="eastAsia" w:ascii="宋体" w:hAnsi="宋体" w:cs="宋体"/>
                <w:i w:val="0"/>
                <w:iCs w:val="0"/>
                <w:color w:val="auto"/>
                <w:sz w:val="24"/>
                <w:szCs w:val="24"/>
                <w:highlight w:val="none"/>
                <w:u w:val="single"/>
                <w:lang w:eastAsia="zh-CN"/>
              </w:rPr>
              <w:t>（</w:t>
            </w:r>
            <w:r>
              <w:rPr>
                <w:rFonts w:hint="eastAsia" w:ascii="宋体" w:hAnsi="宋体" w:cs="宋体"/>
                <w:i w:val="0"/>
                <w:iCs w:val="0"/>
                <w:color w:val="auto"/>
                <w:sz w:val="24"/>
                <w:szCs w:val="24"/>
                <w:highlight w:val="none"/>
                <w:u w:val="single"/>
                <w:lang w:val="en-US" w:eastAsia="zh-CN"/>
              </w:rPr>
              <w:t>叁仟元整</w:t>
            </w:r>
            <w:r>
              <w:rPr>
                <w:rFonts w:hint="eastAsia" w:ascii="宋体" w:hAnsi="宋体" w:cs="宋体"/>
                <w:i w:val="0"/>
                <w:iCs w:val="0"/>
                <w:color w:val="auto"/>
                <w:sz w:val="24"/>
                <w:szCs w:val="24"/>
                <w:highlight w:val="none"/>
                <w:u w:val="single"/>
                <w:lang w:eastAsia="zh-CN"/>
              </w:rPr>
              <w:t>）</w:t>
            </w:r>
            <w:r>
              <w:rPr>
                <w:rFonts w:hint="eastAsia" w:ascii="宋体" w:hAnsi="宋体" w:eastAsia="宋体" w:cs="宋体"/>
                <w:i w:val="0"/>
                <w:iCs w:val="0"/>
                <w:color w:val="auto"/>
                <w:sz w:val="24"/>
                <w:szCs w:val="24"/>
                <w:highlight w:val="none"/>
                <w:lang w:eastAsia="zh-CN"/>
              </w:rPr>
              <w:t>。</w:t>
            </w:r>
          </w:p>
          <w:p w14:paraId="2C722AC3">
            <w:pPr>
              <w:pStyle w:val="61"/>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支付方式：</w:t>
            </w:r>
          </w:p>
          <w:p w14:paraId="0D5BB95D">
            <w:pPr>
              <w:pStyle w:val="61"/>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供应商可自主选择以支票、汇票、本票、电汇、转账、网银、保函等非现金形式缴纳或提交保证金。</w:t>
            </w:r>
          </w:p>
          <w:p w14:paraId="6FAB915D">
            <w:pPr>
              <w:pStyle w:val="61"/>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收取单位：</w:t>
            </w:r>
            <w:r>
              <w:rPr>
                <w:rFonts w:hint="eastAsia" w:ascii="宋体" w:hAnsi="宋体" w:cs="宋体"/>
                <w:color w:val="auto"/>
                <w:kern w:val="0"/>
                <w:sz w:val="24"/>
                <w:szCs w:val="24"/>
                <w:highlight w:val="none"/>
              </w:rPr>
              <w:t>中招国际招标有限公司新疆分公司</w:t>
            </w:r>
            <w:r>
              <w:rPr>
                <w:rFonts w:hint="eastAsia" w:ascii="宋体" w:hAnsi="宋体" w:eastAsia="宋体" w:cs="宋体"/>
                <w:i w:val="0"/>
                <w:iCs w:val="0"/>
                <w:color w:val="auto"/>
                <w:sz w:val="24"/>
                <w:szCs w:val="24"/>
                <w:highlight w:val="none"/>
              </w:rPr>
              <w:t xml:space="preserve">                            </w:t>
            </w:r>
          </w:p>
          <w:p w14:paraId="2350A619">
            <w:pPr>
              <w:pStyle w:val="59"/>
              <w:spacing w:line="360" w:lineRule="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4.收取账号：</w:t>
            </w:r>
          </w:p>
          <w:p w14:paraId="033C6F19">
            <w:pPr>
              <w:pStyle w:val="59"/>
              <w:spacing w:line="360" w:lineRule="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中国工商银行股份有限公司南湖北路支行</w:t>
            </w:r>
          </w:p>
          <w:p w14:paraId="69912EA7">
            <w:pPr>
              <w:pStyle w:val="59"/>
              <w:spacing w:line="360" w:lineRule="auto"/>
              <w:rPr>
                <w:rFonts w:hint="eastAsia" w:ascii="宋体" w:hAnsi="宋体" w:eastAsia="宋体" w:cs="宋体"/>
                <w:i w:val="0"/>
                <w:iCs w:val="0"/>
                <w:color w:val="auto"/>
                <w:sz w:val="24"/>
                <w:szCs w:val="24"/>
                <w:highlight w:val="none"/>
              </w:rPr>
            </w:pPr>
            <w:r>
              <w:rPr>
                <w:rFonts w:hint="eastAsia" w:ascii="宋体" w:hAnsi="宋体" w:cs="宋体"/>
                <w:color w:val="auto"/>
                <w:kern w:val="0"/>
                <w:sz w:val="24"/>
                <w:szCs w:val="24"/>
                <w:highlight w:val="none"/>
              </w:rPr>
              <w:t>账号：3002 0128 1910 0057 504</w:t>
            </w:r>
            <w:r>
              <w:rPr>
                <w:rFonts w:hint="eastAsia" w:ascii="宋体" w:hAnsi="宋体" w:eastAsia="宋体" w:cs="宋体"/>
                <w:i w:val="0"/>
                <w:iCs w:val="0"/>
                <w:color w:val="auto"/>
                <w:sz w:val="24"/>
                <w:szCs w:val="24"/>
                <w:highlight w:val="none"/>
              </w:rPr>
              <w:t xml:space="preserve">              </w:t>
            </w:r>
          </w:p>
          <w:p w14:paraId="2A4C24D5">
            <w:pPr>
              <w:pStyle w:val="61"/>
              <w:spacing w:line="34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退还时间：</w:t>
            </w:r>
            <w:r>
              <w:rPr>
                <w:rFonts w:hint="eastAsia" w:ascii="宋体" w:hAnsi="宋体" w:cs="宋体"/>
                <w:i w:val="0"/>
                <w:iCs w:val="0"/>
                <w:color w:val="auto"/>
                <w:sz w:val="24"/>
                <w:szCs w:val="24"/>
                <w:highlight w:val="none"/>
                <w:lang w:val="en-US" w:eastAsia="zh-CN"/>
              </w:rPr>
              <w:t>中标结果发布后5个工作日内。</w:t>
            </w:r>
            <w:r>
              <w:rPr>
                <w:rFonts w:hint="eastAsia" w:ascii="宋体" w:hAnsi="宋体" w:eastAsia="宋体" w:cs="宋体"/>
                <w:i w:val="0"/>
                <w:iCs w:val="0"/>
                <w:color w:val="auto"/>
                <w:sz w:val="24"/>
                <w:szCs w:val="24"/>
                <w:highlight w:val="none"/>
              </w:rPr>
              <w:t xml:space="preserve">             </w:t>
            </w:r>
          </w:p>
          <w:p w14:paraId="0BF13576">
            <w:pPr>
              <w:pStyle w:val="61"/>
              <w:spacing w:line="340" w:lineRule="exact"/>
              <w:rPr>
                <w:rFonts w:hint="eastAsia" w:ascii="宋体" w:hAnsi="宋体" w:eastAsia="宋体" w:cs="宋体"/>
                <w:i w:val="0"/>
                <w:iCs w:val="0"/>
                <w:color w:val="auto"/>
                <w:sz w:val="24"/>
                <w:szCs w:val="24"/>
                <w:highlight w:val="none"/>
              </w:rPr>
            </w:pPr>
            <w:r>
              <w:rPr>
                <w:rFonts w:hint="eastAsia" w:ascii="宋体" w:hAnsi="宋体" w:eastAsia="宋体" w:cs="宋体"/>
                <w:b/>
                <w:bCs/>
                <w:i w:val="0"/>
                <w:iCs w:val="0"/>
                <w:color w:val="auto"/>
                <w:sz w:val="24"/>
                <w:szCs w:val="24"/>
                <w:highlight w:val="none"/>
              </w:rPr>
              <w:t>注意事项：</w:t>
            </w:r>
          </w:p>
          <w:p w14:paraId="3B76FECA">
            <w:pPr>
              <w:pStyle w:val="61"/>
              <w:spacing w:line="340" w:lineRule="exact"/>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1.以上各类机构出具的以担保函、保证保险承担责任的方式均须满足无条件见索即付条件。</w:t>
            </w:r>
          </w:p>
          <w:p w14:paraId="04E079EA">
            <w:pPr>
              <w:pStyle w:val="61"/>
              <w:spacing w:line="340" w:lineRule="exact"/>
              <w:ind w:firstLine="240" w:firstLineChars="100"/>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2.以担保函、保证保险形式缴纳磋商保证金的，受益人和收取单位须为采购人。</w:t>
            </w:r>
            <w:r>
              <w:rPr>
                <w:rFonts w:hint="eastAsia" w:ascii="宋体" w:hAnsi="宋体" w:eastAsia="宋体" w:cs="宋体"/>
                <w:i w:val="0"/>
                <w:iCs w:val="0"/>
                <w:color w:val="auto"/>
                <w:sz w:val="24"/>
                <w:szCs w:val="24"/>
                <w:highlight w:val="none"/>
              </w:rPr>
              <w:br w:type="textWrapping"/>
            </w:r>
            <w:r>
              <w:rPr>
                <w:rFonts w:hint="eastAsia" w:ascii="宋体" w:hAnsi="宋体" w:cs="宋体"/>
                <w:i w:val="0"/>
                <w:iCs w:val="0"/>
                <w:color w:val="auto"/>
                <w:sz w:val="24"/>
                <w:szCs w:val="24"/>
                <w:highlight w:val="none"/>
                <w:lang w:val="en-US" w:eastAsia="zh-CN"/>
              </w:rPr>
              <w:t xml:space="preserve">  </w:t>
            </w:r>
            <w:r>
              <w:rPr>
                <w:rFonts w:hint="eastAsia" w:ascii="宋体" w:hAnsi="宋体" w:cs="宋体"/>
                <w:b/>
                <w:bCs/>
                <w:i w:val="0"/>
                <w:iCs w:val="0"/>
                <w:color w:val="auto"/>
                <w:sz w:val="24"/>
                <w:szCs w:val="24"/>
                <w:highlight w:val="none"/>
                <w:lang w:val="en-US" w:eastAsia="zh-CN"/>
              </w:rPr>
              <w:t>3.供应商</w:t>
            </w:r>
            <w:r>
              <w:rPr>
                <w:rFonts w:hint="eastAsia" w:ascii="宋体" w:hAnsi="宋体" w:eastAsia="宋体" w:cs="宋体"/>
                <w:b/>
                <w:bCs/>
                <w:i w:val="0"/>
                <w:iCs w:val="0"/>
                <w:color w:val="auto"/>
                <w:sz w:val="24"/>
                <w:szCs w:val="24"/>
                <w:highlight w:val="none"/>
              </w:rPr>
              <w:t>以</w:t>
            </w:r>
            <w:r>
              <w:rPr>
                <w:rFonts w:hint="eastAsia" w:ascii="宋体" w:hAnsi="宋体" w:eastAsia="宋体" w:cs="宋体"/>
                <w:b/>
                <w:bCs/>
                <w:i w:val="0"/>
                <w:iCs w:val="0"/>
                <w:color w:val="auto"/>
                <w:sz w:val="24"/>
                <w:szCs w:val="24"/>
                <w:highlight w:val="none"/>
                <w:lang w:val="en-US" w:eastAsia="zh-CN"/>
              </w:rPr>
              <w:t>保证金</w:t>
            </w:r>
            <w:r>
              <w:rPr>
                <w:rFonts w:hint="eastAsia" w:ascii="宋体" w:hAnsi="宋体" w:eastAsia="宋体" w:cs="宋体"/>
                <w:b/>
                <w:bCs/>
                <w:i w:val="0"/>
                <w:iCs w:val="0"/>
                <w:color w:val="auto"/>
                <w:sz w:val="24"/>
                <w:szCs w:val="24"/>
                <w:highlight w:val="none"/>
              </w:rPr>
              <w:t>形式缴纳磋商保证金的</w:t>
            </w:r>
            <w:r>
              <w:rPr>
                <w:rFonts w:hint="eastAsia" w:ascii="宋体" w:hAnsi="宋体" w:cs="宋体"/>
                <w:b/>
                <w:bCs/>
                <w:i w:val="0"/>
                <w:iCs w:val="0"/>
                <w:color w:val="auto"/>
                <w:sz w:val="24"/>
                <w:szCs w:val="24"/>
                <w:highlight w:val="none"/>
                <w:lang w:val="en-US" w:eastAsia="zh-CN"/>
              </w:rPr>
              <w:t>时请在汇款时注明“TC259H0CA磋商保证金”，对因未注明项目简称及汇款事由而造成保证金不能及时到账的，后果由供应商自负。</w:t>
            </w:r>
          </w:p>
        </w:tc>
      </w:tr>
      <w:tr w14:paraId="19DE420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345" w:hRule="atLeast"/>
        </w:trPr>
        <w:tc>
          <w:tcPr>
            <w:tcW w:w="970" w:type="dxa"/>
            <w:tcBorders>
              <w:top w:val="single" w:color="auto" w:sz="2" w:space="0"/>
              <w:left w:val="single" w:color="auto" w:sz="2" w:space="0"/>
              <w:bottom w:val="single" w:color="auto" w:sz="2" w:space="0"/>
              <w:right w:val="single" w:color="auto" w:sz="2" w:space="0"/>
            </w:tcBorders>
            <w:vAlign w:val="center"/>
          </w:tcPr>
          <w:p w14:paraId="1383A7EE">
            <w:pPr>
              <w:pStyle w:val="51"/>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22.1</w:t>
            </w:r>
          </w:p>
        </w:tc>
        <w:tc>
          <w:tcPr>
            <w:tcW w:w="1971" w:type="dxa"/>
            <w:tcBorders>
              <w:top w:val="single" w:color="auto" w:sz="2" w:space="0"/>
              <w:left w:val="single" w:color="auto" w:sz="2" w:space="0"/>
              <w:bottom w:val="single" w:color="auto" w:sz="2" w:space="0"/>
              <w:right w:val="single" w:color="auto" w:sz="2" w:space="0"/>
            </w:tcBorders>
            <w:vAlign w:val="center"/>
          </w:tcPr>
          <w:p w14:paraId="3B08425C">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实物样品</w:t>
            </w:r>
          </w:p>
        </w:tc>
        <w:tc>
          <w:tcPr>
            <w:tcW w:w="6450" w:type="dxa"/>
            <w:tcBorders>
              <w:top w:val="single" w:color="auto" w:sz="2" w:space="0"/>
              <w:left w:val="single" w:color="auto" w:sz="2" w:space="0"/>
              <w:bottom w:val="single" w:color="auto" w:sz="2" w:space="0"/>
              <w:right w:val="single" w:color="auto" w:sz="2" w:space="0"/>
            </w:tcBorders>
            <w:vAlign w:val="center"/>
          </w:tcPr>
          <w:p w14:paraId="69EB2AC9">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磋商样品递交： </w:t>
            </w:r>
          </w:p>
          <w:p w14:paraId="6BD3390F">
            <w:pPr>
              <w:pStyle w:val="51"/>
              <w:ind w:firstLine="240" w:firstLineChars="100"/>
              <w:rPr>
                <w:rFonts w:hint="eastAsia" w:ascii="宋体" w:hAnsi="宋体" w:eastAsia="宋体" w:cs="宋体"/>
                <w:i w:val="0"/>
                <w:iCs w:val="0"/>
                <w:color w:val="auto"/>
                <w:sz w:val="24"/>
                <w:szCs w:val="24"/>
                <w:highlight w:val="none"/>
              </w:rPr>
            </w:pP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 xml:space="preserve">不需要 </w:t>
            </w:r>
          </w:p>
          <w:p w14:paraId="2FFCC72F">
            <w:pPr>
              <w:pStyle w:val="51"/>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□需要，具体要求如下： </w:t>
            </w:r>
          </w:p>
          <w:p w14:paraId="048EFDBE">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1.样品制作的标准和要求：___</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 xml:space="preserve">___； </w:t>
            </w:r>
          </w:p>
          <w:p w14:paraId="5D684CBF">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2.是否需要随样品提交相关检测报告： </w:t>
            </w:r>
          </w:p>
          <w:p w14:paraId="5C4E396A">
            <w:pPr>
              <w:pStyle w:val="51"/>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□不需要 </w:t>
            </w:r>
          </w:p>
          <w:p w14:paraId="1F429D88">
            <w:pPr>
              <w:pStyle w:val="51"/>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□需要 </w:t>
            </w:r>
          </w:p>
          <w:p w14:paraId="3D311747">
            <w:pPr>
              <w:pStyle w:val="51"/>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3.样品递交要求：</w:t>
            </w:r>
          </w:p>
          <w:p w14:paraId="74A4AF24">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递交时间：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w:t>
            </w:r>
          </w:p>
          <w:p w14:paraId="79CB21A7">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递交</w:t>
            </w: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，逾期提供的样品将不予接受。</w:t>
            </w:r>
            <w:r>
              <w:rPr>
                <w:rFonts w:hint="eastAsia" w:ascii="宋体" w:hAnsi="宋体" w:eastAsia="宋体" w:cs="宋体"/>
                <w:i w:val="0"/>
                <w:iCs w:val="0"/>
                <w:color w:val="auto"/>
                <w:sz w:val="24"/>
                <w:szCs w:val="24"/>
                <w:highlight w:val="none"/>
                <w:lang w:val="en-US" w:eastAsia="zh-CN"/>
              </w:rPr>
              <w:t xml:space="preserve"> </w:t>
            </w:r>
          </w:p>
          <w:p w14:paraId="699566AD">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4.未中标人样品退还：</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w:t>
            </w:r>
          </w:p>
          <w:p w14:paraId="116B4E88">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5.中标人样品保管、封存及退还：</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w:t>
            </w:r>
          </w:p>
          <w:p w14:paraId="6CE4A4B4">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6.其他要求（如有）：</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w:t>
            </w:r>
          </w:p>
        </w:tc>
      </w:tr>
      <w:tr w14:paraId="341F96C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989" w:hRule="atLeast"/>
        </w:trPr>
        <w:tc>
          <w:tcPr>
            <w:tcW w:w="970" w:type="dxa"/>
            <w:tcBorders>
              <w:top w:val="single" w:color="auto" w:sz="2" w:space="0"/>
              <w:left w:val="single" w:color="auto" w:sz="2" w:space="0"/>
              <w:bottom w:val="single" w:color="auto" w:sz="2" w:space="0"/>
              <w:right w:val="single" w:color="auto" w:sz="2" w:space="0"/>
            </w:tcBorders>
            <w:vAlign w:val="center"/>
          </w:tcPr>
          <w:p w14:paraId="13C9CC9A">
            <w:pPr>
              <w:pStyle w:val="51"/>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23.1</w:t>
            </w:r>
          </w:p>
        </w:tc>
        <w:tc>
          <w:tcPr>
            <w:tcW w:w="1971" w:type="dxa"/>
            <w:tcBorders>
              <w:top w:val="single" w:color="auto" w:sz="2" w:space="0"/>
              <w:left w:val="single" w:color="auto" w:sz="2" w:space="0"/>
              <w:bottom w:val="single" w:color="auto" w:sz="2" w:space="0"/>
              <w:right w:val="single" w:color="auto" w:sz="2" w:space="0"/>
            </w:tcBorders>
            <w:vAlign w:val="center"/>
          </w:tcPr>
          <w:p w14:paraId="56E0CC39">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演示</w:t>
            </w:r>
          </w:p>
        </w:tc>
        <w:tc>
          <w:tcPr>
            <w:tcW w:w="6450" w:type="dxa"/>
            <w:tcBorders>
              <w:top w:val="single" w:color="auto" w:sz="2" w:space="0"/>
              <w:left w:val="single" w:color="auto" w:sz="2" w:space="0"/>
              <w:bottom w:val="single" w:color="auto" w:sz="2" w:space="0"/>
              <w:right w:val="single" w:color="auto" w:sz="2" w:space="0"/>
            </w:tcBorders>
            <w:vAlign w:val="center"/>
          </w:tcPr>
          <w:p w14:paraId="147F19E8">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不进行</w:t>
            </w:r>
          </w:p>
          <w:p w14:paraId="0C97445D">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A8"/>
            </w:r>
            <w:r>
              <w:rPr>
                <w:rFonts w:hint="eastAsia" w:ascii="宋体" w:hAnsi="宋体" w:eastAsia="宋体" w:cs="宋体"/>
                <w:i w:val="0"/>
                <w:iCs w:val="0"/>
                <w:color w:val="auto"/>
                <w:sz w:val="24"/>
                <w:szCs w:val="24"/>
                <w:highlight w:val="none"/>
              </w:rPr>
              <w:t>进行，远程线上演示/现场演示</w:t>
            </w:r>
          </w:p>
          <w:p w14:paraId="084BE724">
            <w:pPr>
              <w:pStyle w:val="51"/>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1.演示时间不得超过</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分钟。</w:t>
            </w:r>
          </w:p>
          <w:p w14:paraId="7FE9DEBF">
            <w:pPr>
              <w:pStyle w:val="51"/>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2.进行远程线上演示的，供应商应提前自行准备好演示的软硬配置环境和网络环境，做好演示的各项准备工作。因供应商自身原因无法演示或者演示效果不理想的，导致的后果由供应商自行承担。</w:t>
            </w:r>
          </w:p>
          <w:p w14:paraId="1D6B7DCF">
            <w:pPr>
              <w:pStyle w:val="51"/>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3.进行现场演示的，演示人员不得超过</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rPr>
              <w:t>人，演示现场提供</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152F65A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15" w:hRule="atLeast"/>
        </w:trPr>
        <w:tc>
          <w:tcPr>
            <w:tcW w:w="970" w:type="dxa"/>
            <w:tcBorders>
              <w:top w:val="single" w:color="auto" w:sz="2" w:space="0"/>
              <w:left w:val="single" w:color="auto" w:sz="2" w:space="0"/>
              <w:bottom w:val="single" w:color="auto" w:sz="2" w:space="0"/>
              <w:right w:val="single" w:color="auto" w:sz="2" w:space="0"/>
            </w:tcBorders>
            <w:vAlign w:val="center"/>
          </w:tcPr>
          <w:p w14:paraId="61A0C2E9">
            <w:pPr>
              <w:pStyle w:val="51"/>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25.2</w:t>
            </w:r>
          </w:p>
        </w:tc>
        <w:tc>
          <w:tcPr>
            <w:tcW w:w="1971" w:type="dxa"/>
            <w:tcBorders>
              <w:top w:val="single" w:color="auto" w:sz="2" w:space="0"/>
              <w:left w:val="single" w:color="auto" w:sz="2" w:space="0"/>
              <w:bottom w:val="single" w:color="auto" w:sz="2" w:space="0"/>
              <w:right w:val="single" w:color="auto" w:sz="2" w:space="0"/>
            </w:tcBorders>
            <w:vAlign w:val="center"/>
          </w:tcPr>
          <w:p w14:paraId="4C98E43D">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解密响应文件的时限</w:t>
            </w:r>
          </w:p>
        </w:tc>
        <w:tc>
          <w:tcPr>
            <w:tcW w:w="6450" w:type="dxa"/>
            <w:tcBorders>
              <w:top w:val="single" w:color="auto" w:sz="2" w:space="0"/>
              <w:left w:val="single" w:color="auto" w:sz="2" w:space="0"/>
              <w:bottom w:val="single" w:color="auto" w:sz="2" w:space="0"/>
              <w:right w:val="single" w:color="auto" w:sz="2" w:space="0"/>
            </w:tcBorders>
            <w:vAlign w:val="center"/>
          </w:tcPr>
          <w:p w14:paraId="1A0C25CD">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不见面开标默认解密时长：</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30</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分钟</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 xml:space="preserve"> </w:t>
            </w:r>
          </w:p>
          <w:p w14:paraId="144F1202">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注：</w:t>
            </w:r>
            <w:r>
              <w:rPr>
                <w:rFonts w:hint="eastAsia" w:ascii="宋体" w:hAnsi="宋体" w:eastAsia="宋体" w:cs="宋体"/>
                <w:i w:val="0"/>
                <w:iCs w:val="0"/>
                <w:color w:val="auto"/>
                <w:sz w:val="24"/>
                <w:szCs w:val="24"/>
                <w:highlight w:val="none"/>
              </w:rPr>
              <w:t>除因交易平台发生故障导致响应文件无法按时解密外，响应文件未按时解密的，视为未按规定提交响应文件</w:t>
            </w:r>
            <w:r>
              <w:rPr>
                <w:rFonts w:hint="eastAsia" w:ascii="宋体" w:hAnsi="宋体" w:eastAsia="宋体" w:cs="宋体"/>
                <w:i w:val="0"/>
                <w:iCs w:val="0"/>
                <w:color w:val="auto"/>
                <w:sz w:val="24"/>
                <w:szCs w:val="24"/>
                <w:highlight w:val="none"/>
                <w:lang w:eastAsia="zh-CN"/>
              </w:rPr>
              <w:t>，响应无效。</w:t>
            </w:r>
          </w:p>
        </w:tc>
      </w:tr>
      <w:tr w14:paraId="5763F37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38" w:hRule="atLeast"/>
        </w:trPr>
        <w:tc>
          <w:tcPr>
            <w:tcW w:w="970" w:type="dxa"/>
            <w:tcBorders>
              <w:top w:val="single" w:color="auto" w:sz="2" w:space="0"/>
              <w:left w:val="single" w:color="auto" w:sz="2" w:space="0"/>
              <w:bottom w:val="single" w:color="auto" w:sz="2" w:space="0"/>
              <w:right w:val="single" w:color="auto" w:sz="2" w:space="0"/>
            </w:tcBorders>
            <w:vAlign w:val="center"/>
          </w:tcPr>
          <w:p w14:paraId="684B2B10">
            <w:pPr>
              <w:pStyle w:val="51"/>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29.2</w:t>
            </w:r>
          </w:p>
        </w:tc>
        <w:tc>
          <w:tcPr>
            <w:tcW w:w="1971" w:type="dxa"/>
            <w:tcBorders>
              <w:top w:val="single" w:color="auto" w:sz="2" w:space="0"/>
              <w:left w:val="single" w:color="auto" w:sz="2" w:space="0"/>
              <w:bottom w:val="single" w:color="auto" w:sz="2" w:space="0"/>
              <w:right w:val="single" w:color="auto" w:sz="2" w:space="0"/>
            </w:tcBorders>
            <w:vAlign w:val="center"/>
          </w:tcPr>
          <w:p w14:paraId="2920E41E">
            <w:pPr>
              <w:pStyle w:val="51"/>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推荐成交候选供应商</w:t>
            </w:r>
          </w:p>
        </w:tc>
        <w:tc>
          <w:tcPr>
            <w:tcW w:w="6450" w:type="dxa"/>
            <w:tcBorders>
              <w:top w:val="single" w:color="auto" w:sz="2" w:space="0"/>
              <w:left w:val="single" w:color="auto" w:sz="2" w:space="0"/>
              <w:bottom w:val="single" w:color="auto" w:sz="2" w:space="0"/>
              <w:right w:val="single" w:color="auto" w:sz="2" w:space="0"/>
            </w:tcBorders>
            <w:vAlign w:val="center"/>
          </w:tcPr>
          <w:p w14:paraId="41A88E39">
            <w:pPr>
              <w:pStyle w:val="51"/>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lang w:val="en-US" w:eastAsia="zh-CN"/>
              </w:rPr>
              <w:t>成交候选供应商数量</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3</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none"/>
                <w:lang w:val="en-US" w:eastAsia="zh-CN"/>
              </w:rPr>
              <w:t>家</w:t>
            </w:r>
          </w:p>
        </w:tc>
      </w:tr>
      <w:tr w14:paraId="77CB39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15" w:hRule="atLeast"/>
        </w:trPr>
        <w:tc>
          <w:tcPr>
            <w:tcW w:w="970" w:type="dxa"/>
            <w:tcBorders>
              <w:top w:val="single" w:color="auto" w:sz="2" w:space="0"/>
              <w:left w:val="single" w:color="auto" w:sz="2" w:space="0"/>
              <w:bottom w:val="single" w:color="auto" w:sz="2" w:space="0"/>
              <w:right w:val="single" w:color="auto" w:sz="2" w:space="0"/>
            </w:tcBorders>
            <w:vAlign w:val="center"/>
          </w:tcPr>
          <w:p w14:paraId="4F185861">
            <w:pPr>
              <w:pStyle w:val="51"/>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30</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0518D756">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确定成交供应商</w:t>
            </w:r>
          </w:p>
        </w:tc>
        <w:tc>
          <w:tcPr>
            <w:tcW w:w="6450" w:type="dxa"/>
            <w:tcBorders>
              <w:top w:val="single" w:color="auto" w:sz="2" w:space="0"/>
              <w:left w:val="single" w:color="auto" w:sz="2" w:space="0"/>
              <w:bottom w:val="single" w:color="auto" w:sz="2" w:space="0"/>
              <w:right w:val="single" w:color="auto" w:sz="2" w:space="0"/>
            </w:tcBorders>
            <w:vAlign w:val="center"/>
          </w:tcPr>
          <w:p w14:paraId="5580D35B">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采购人</w:t>
            </w:r>
            <w:r>
              <w:rPr>
                <w:rFonts w:hint="eastAsia" w:ascii="宋体" w:hAnsi="宋体" w:eastAsia="宋体" w:cs="宋体"/>
                <w:i w:val="0"/>
                <w:iCs w:val="0"/>
                <w:color w:val="auto"/>
                <w:sz w:val="24"/>
                <w:szCs w:val="24"/>
                <w:highlight w:val="none"/>
                <w:lang w:eastAsia="zh-CN"/>
              </w:rPr>
              <w:t>在</w:t>
            </w:r>
            <w:r>
              <w:rPr>
                <w:rFonts w:hint="eastAsia" w:ascii="宋体" w:hAnsi="宋体" w:eastAsia="宋体" w:cs="宋体"/>
                <w:i w:val="0"/>
                <w:iCs w:val="0"/>
                <w:color w:val="auto"/>
                <w:sz w:val="24"/>
                <w:szCs w:val="24"/>
                <w:highlight w:val="none"/>
              </w:rPr>
              <w:t>收到评审报告后5个工作日内，按评审报告中推荐的成交候选人排序确定成交供应商。</w:t>
            </w:r>
          </w:p>
          <w:p w14:paraId="3E93D7EE">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A8"/>
            </w:r>
            <w:r>
              <w:rPr>
                <w:rFonts w:hint="eastAsia" w:ascii="宋体" w:hAnsi="宋体" w:eastAsia="宋体" w:cs="宋体"/>
                <w:i w:val="0"/>
                <w:iCs w:val="0"/>
                <w:color w:val="auto"/>
                <w:sz w:val="24"/>
                <w:szCs w:val="24"/>
                <w:highlight w:val="none"/>
              </w:rPr>
              <w:t>采购人委托磋商小组直接确定成交供应商。</w:t>
            </w:r>
          </w:p>
        </w:tc>
      </w:tr>
      <w:tr w14:paraId="6B83241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977" w:hRule="atLeast"/>
        </w:trPr>
        <w:tc>
          <w:tcPr>
            <w:tcW w:w="970" w:type="dxa"/>
            <w:tcBorders>
              <w:top w:val="single" w:color="auto" w:sz="2" w:space="0"/>
              <w:left w:val="single" w:color="auto" w:sz="2" w:space="0"/>
              <w:bottom w:val="single" w:color="auto" w:sz="2" w:space="0"/>
              <w:right w:val="single" w:color="auto" w:sz="2" w:space="0"/>
            </w:tcBorders>
            <w:vAlign w:val="center"/>
          </w:tcPr>
          <w:p w14:paraId="38E4BDDE">
            <w:pPr>
              <w:pStyle w:val="51"/>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0F0DD9B7">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履约保证金</w:t>
            </w:r>
          </w:p>
        </w:tc>
        <w:tc>
          <w:tcPr>
            <w:tcW w:w="6450" w:type="dxa"/>
            <w:tcBorders>
              <w:top w:val="single" w:color="auto" w:sz="2" w:space="0"/>
              <w:left w:val="single" w:color="auto" w:sz="2" w:space="0"/>
              <w:bottom w:val="single" w:color="auto" w:sz="2" w:space="0"/>
              <w:right w:val="single" w:color="auto" w:sz="2" w:space="0"/>
            </w:tcBorders>
            <w:vAlign w:val="center"/>
          </w:tcPr>
          <w:p w14:paraId="51ACC261">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金额：</w:t>
            </w:r>
          </w:p>
          <w:p w14:paraId="55234012">
            <w:pPr>
              <w:pStyle w:val="51"/>
              <w:ind w:firstLine="240" w:firstLineChars="100"/>
              <w:rPr>
                <w:rFonts w:hint="eastAsia" w:ascii="宋体" w:hAnsi="宋体" w:eastAsia="宋体" w:cs="宋体"/>
                <w:i w:val="0"/>
                <w:iCs w:val="0"/>
                <w:color w:val="auto"/>
                <w:sz w:val="24"/>
                <w:szCs w:val="24"/>
                <w:highlight w:val="none"/>
              </w:rPr>
            </w:pPr>
            <w:r>
              <w:rPr>
                <w:rFonts w:hint="eastAsia"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免收</w:t>
            </w:r>
          </w:p>
          <w:p w14:paraId="7820491F">
            <w:pPr>
              <w:pStyle w:val="51"/>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□合同价的</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p>
          <w:p w14:paraId="7DC8E28B">
            <w:pPr>
              <w:pStyle w:val="51"/>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□定额收取：</w:t>
            </w:r>
            <w:r>
              <w:rPr>
                <w:rFonts w:hint="eastAsia" w:ascii="宋体" w:hAnsi="宋体" w:eastAsia="宋体" w:cs="宋体"/>
                <w:i w:val="0"/>
                <w:iCs w:val="0"/>
                <w:color w:val="auto"/>
                <w:sz w:val="24"/>
                <w:szCs w:val="24"/>
                <w:highlight w:val="none"/>
                <w:u w:val="single"/>
              </w:rPr>
              <w:t xml:space="preserve">人民币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元</w:t>
            </w:r>
          </w:p>
          <w:p w14:paraId="5D2FE23B">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支付方式：</w:t>
            </w:r>
          </w:p>
          <w:p w14:paraId="355E9C6D">
            <w:pPr>
              <w:pStyle w:val="61"/>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供应商可自主选择以支票、汇票、本票、电汇、转账、网银、保函等非现金形式缴纳或提交保证金。</w:t>
            </w:r>
          </w:p>
          <w:p w14:paraId="6F737700">
            <w:pPr>
              <w:pStyle w:val="51"/>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lang w:val="en-US" w:eastAsia="zh-CN"/>
              </w:rPr>
              <w:t>3.</w:t>
            </w:r>
            <w:r>
              <w:rPr>
                <w:rFonts w:hint="eastAsia" w:ascii="宋体" w:hAnsi="宋体" w:eastAsia="宋体" w:cs="宋体"/>
                <w:i w:val="0"/>
                <w:iCs w:val="0"/>
                <w:color w:val="auto"/>
                <w:sz w:val="24"/>
                <w:szCs w:val="24"/>
                <w:highlight w:val="none"/>
                <w:u w:val="none"/>
              </w:rPr>
              <w:t>收取单位：</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none"/>
              </w:rPr>
              <w:t xml:space="preserve">                           </w:t>
            </w:r>
          </w:p>
          <w:p w14:paraId="44839345">
            <w:pPr>
              <w:pStyle w:val="51"/>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lang w:val="en-US" w:eastAsia="zh-CN"/>
              </w:rPr>
              <w:t>4.收取账号：</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none"/>
              </w:rPr>
              <w:t xml:space="preserve">             </w:t>
            </w:r>
          </w:p>
          <w:p w14:paraId="22BA0EB4">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none"/>
                <w:lang w:val="en-US" w:eastAsia="zh-CN"/>
              </w:rPr>
              <w:t>5.</w:t>
            </w:r>
            <w:r>
              <w:rPr>
                <w:rFonts w:hint="eastAsia" w:ascii="宋体" w:hAnsi="宋体" w:eastAsia="宋体" w:cs="宋体"/>
                <w:i w:val="0"/>
                <w:iCs w:val="0"/>
                <w:color w:val="auto"/>
                <w:sz w:val="24"/>
                <w:szCs w:val="24"/>
                <w:highlight w:val="none"/>
                <w:u w:val="none"/>
              </w:rPr>
              <w:t>退还时间：</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none"/>
              </w:rPr>
              <w:t xml:space="preserve"> </w:t>
            </w:r>
            <w:r>
              <w:rPr>
                <w:rFonts w:hint="eastAsia" w:ascii="宋体" w:hAnsi="宋体" w:eastAsia="宋体" w:cs="宋体"/>
                <w:i w:val="0"/>
                <w:iCs w:val="0"/>
                <w:color w:val="auto"/>
                <w:sz w:val="24"/>
                <w:szCs w:val="24"/>
                <w:highlight w:val="none"/>
              </w:rPr>
              <w:t xml:space="preserve">           </w:t>
            </w:r>
          </w:p>
          <w:p w14:paraId="2271B19C">
            <w:pPr>
              <w:pStyle w:val="51"/>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注意事项：</w:t>
            </w:r>
          </w:p>
          <w:p w14:paraId="0B147DFC">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以上各类机构出具的以担保函、保证保险承担责任的方式均须满足无条件见索即付条件。</w:t>
            </w:r>
          </w:p>
          <w:p w14:paraId="73EF0EDD">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以担保函、保证保险形式缴纳履约保证金的，受益人和收取单位须为采购人。</w:t>
            </w:r>
          </w:p>
        </w:tc>
      </w:tr>
      <w:tr w14:paraId="23BB8AB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077" w:hRule="atLeast"/>
        </w:trPr>
        <w:tc>
          <w:tcPr>
            <w:tcW w:w="970" w:type="dxa"/>
            <w:tcBorders>
              <w:top w:val="single" w:color="auto" w:sz="2" w:space="0"/>
              <w:left w:val="single" w:color="auto" w:sz="2" w:space="0"/>
              <w:bottom w:val="single" w:color="auto" w:sz="2" w:space="0"/>
              <w:right w:val="single" w:color="auto" w:sz="2" w:space="0"/>
            </w:tcBorders>
            <w:vAlign w:val="center"/>
          </w:tcPr>
          <w:p w14:paraId="495081B1">
            <w:pPr>
              <w:pStyle w:val="51"/>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34.5</w:t>
            </w:r>
          </w:p>
        </w:tc>
        <w:tc>
          <w:tcPr>
            <w:tcW w:w="1971" w:type="dxa"/>
            <w:tcBorders>
              <w:top w:val="single" w:color="auto" w:sz="2" w:space="0"/>
              <w:left w:val="single" w:color="auto" w:sz="2" w:space="0"/>
              <w:bottom w:val="single" w:color="auto" w:sz="2" w:space="0"/>
              <w:right w:val="single" w:color="auto" w:sz="2" w:space="0"/>
            </w:tcBorders>
            <w:vAlign w:val="center"/>
          </w:tcPr>
          <w:p w14:paraId="30F723EB">
            <w:pPr>
              <w:pStyle w:val="51"/>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合同分包</w:t>
            </w:r>
          </w:p>
        </w:tc>
        <w:tc>
          <w:tcPr>
            <w:tcW w:w="6450" w:type="dxa"/>
            <w:tcBorders>
              <w:top w:val="single" w:color="auto" w:sz="2" w:space="0"/>
              <w:left w:val="single" w:color="auto" w:sz="2" w:space="0"/>
              <w:bottom w:val="single" w:color="auto" w:sz="2" w:space="0"/>
              <w:right w:val="single" w:color="auto" w:sz="2" w:space="0"/>
            </w:tcBorders>
            <w:vAlign w:val="center"/>
          </w:tcPr>
          <w:p w14:paraId="0CE07F78">
            <w:pPr>
              <w:pStyle w:val="51"/>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本项目的非主体、非关键性工作是否允许分包： </w:t>
            </w:r>
          </w:p>
          <w:p w14:paraId="73B2E908">
            <w:pPr>
              <w:pStyle w:val="51"/>
              <w:ind w:firstLine="480" w:firstLineChars="200"/>
              <w:rPr>
                <w:rFonts w:hint="eastAsia" w:ascii="宋体" w:hAnsi="宋体" w:eastAsia="宋体" w:cs="宋体"/>
                <w:i w:val="0"/>
                <w:iCs w:val="0"/>
                <w:color w:val="auto"/>
                <w:kern w:val="2"/>
                <w:sz w:val="24"/>
                <w:szCs w:val="24"/>
                <w:highlight w:val="none"/>
                <w:lang w:val="en-US" w:eastAsia="zh-CN" w:bidi="ar-SA"/>
              </w:rPr>
            </w:pPr>
            <w:r>
              <w:rPr>
                <w:rFonts w:hint="eastAsia" w:cs="宋体"/>
                <w:i w:val="0"/>
                <w:iCs w:val="0"/>
                <w:color w:val="auto"/>
                <w:kern w:val="2"/>
                <w:sz w:val="24"/>
                <w:szCs w:val="24"/>
                <w:highlight w:val="none"/>
                <w:lang w:val="en-US" w:eastAsia="zh-CN" w:bidi="ar-SA"/>
              </w:rPr>
              <w:t>☑</w:t>
            </w:r>
            <w:r>
              <w:rPr>
                <w:rFonts w:hint="eastAsia" w:ascii="宋体" w:hAnsi="宋体" w:eastAsia="宋体" w:cs="宋体"/>
                <w:i w:val="0"/>
                <w:iCs w:val="0"/>
                <w:color w:val="auto"/>
                <w:kern w:val="2"/>
                <w:sz w:val="24"/>
                <w:szCs w:val="24"/>
                <w:highlight w:val="none"/>
                <w:lang w:val="en-US" w:eastAsia="zh-CN" w:bidi="ar-SA"/>
              </w:rPr>
              <w:t xml:space="preserve">不允许 </w:t>
            </w:r>
          </w:p>
          <w:p w14:paraId="53976273">
            <w:pPr>
              <w:pStyle w:val="51"/>
              <w:ind w:firstLine="480" w:firstLineChars="200"/>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□允许，具体要求： </w:t>
            </w:r>
          </w:p>
          <w:p w14:paraId="01D2C8DC">
            <w:pPr>
              <w:pStyle w:val="51"/>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     1.可以分包履行的具体内容：</w:t>
            </w:r>
            <w:r>
              <w:rPr>
                <w:rFonts w:hint="eastAsia" w:cs="宋体"/>
                <w:i w:val="0"/>
                <w:iCs w:val="0"/>
                <w:color w:val="auto"/>
                <w:kern w:val="2"/>
                <w:sz w:val="24"/>
                <w:szCs w:val="24"/>
                <w:highlight w:val="none"/>
                <w:u w:val="single"/>
                <w:lang w:val="en-US" w:eastAsia="zh-CN" w:bidi="ar-SA"/>
              </w:rPr>
              <w:t>/</w:t>
            </w:r>
            <w:r>
              <w:rPr>
                <w:rFonts w:hint="eastAsia" w:ascii="宋体" w:hAnsi="宋体" w:eastAsia="宋体" w:cs="宋体"/>
                <w:i w:val="0"/>
                <w:iCs w:val="0"/>
                <w:color w:val="auto"/>
                <w:kern w:val="2"/>
                <w:sz w:val="24"/>
                <w:szCs w:val="24"/>
                <w:highlight w:val="none"/>
                <w:lang w:val="en-US" w:eastAsia="zh-CN" w:bidi="ar-SA"/>
              </w:rPr>
              <w:t xml:space="preserve">； </w:t>
            </w:r>
          </w:p>
          <w:p w14:paraId="2FA9C79B">
            <w:pPr>
              <w:pStyle w:val="51"/>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     2.允许分包的金额或者比例：</w:t>
            </w:r>
            <w:r>
              <w:rPr>
                <w:rFonts w:hint="eastAsia" w:cs="宋体"/>
                <w:i w:val="0"/>
                <w:iCs w:val="0"/>
                <w:color w:val="auto"/>
                <w:kern w:val="2"/>
                <w:sz w:val="24"/>
                <w:szCs w:val="24"/>
                <w:highlight w:val="none"/>
                <w:u w:val="single"/>
                <w:lang w:val="en-US" w:eastAsia="zh-CN" w:bidi="ar-SA"/>
              </w:rPr>
              <w:t>/</w:t>
            </w:r>
            <w:r>
              <w:rPr>
                <w:rFonts w:hint="eastAsia" w:ascii="宋体" w:hAnsi="宋体" w:eastAsia="宋体" w:cs="宋体"/>
                <w:i w:val="0"/>
                <w:iCs w:val="0"/>
                <w:color w:val="auto"/>
                <w:kern w:val="2"/>
                <w:sz w:val="24"/>
                <w:szCs w:val="24"/>
                <w:highlight w:val="none"/>
                <w:lang w:val="en-US" w:eastAsia="zh-CN" w:bidi="ar-SA"/>
              </w:rPr>
              <w:t xml:space="preserve">； </w:t>
            </w:r>
          </w:p>
          <w:p w14:paraId="1116E03A">
            <w:pPr>
              <w:pStyle w:val="51"/>
              <w:ind w:firstLine="480" w:firstLineChars="200"/>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 3.其他要求：</w:t>
            </w:r>
            <w:r>
              <w:rPr>
                <w:rFonts w:hint="eastAsia" w:cs="宋体"/>
                <w:i w:val="0"/>
                <w:iCs w:val="0"/>
                <w:color w:val="auto"/>
                <w:kern w:val="2"/>
                <w:sz w:val="24"/>
                <w:szCs w:val="24"/>
                <w:highlight w:val="none"/>
                <w:u w:val="single"/>
                <w:lang w:val="en-US" w:eastAsia="zh-CN" w:bidi="ar-SA"/>
              </w:rPr>
              <w:t>/</w:t>
            </w:r>
            <w:r>
              <w:rPr>
                <w:rFonts w:hint="eastAsia" w:ascii="宋体" w:hAnsi="宋体" w:eastAsia="宋体" w:cs="宋体"/>
                <w:i w:val="0"/>
                <w:iCs w:val="0"/>
                <w:color w:val="auto"/>
                <w:kern w:val="2"/>
                <w:sz w:val="24"/>
                <w:szCs w:val="24"/>
                <w:highlight w:val="none"/>
                <w:lang w:val="en-US" w:eastAsia="zh-CN" w:bidi="ar-SA"/>
              </w:rPr>
              <w:t>。</w:t>
            </w:r>
          </w:p>
        </w:tc>
      </w:tr>
      <w:tr w14:paraId="43ACB75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46B3F581">
            <w:pPr>
              <w:pStyle w:val="51"/>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35.1</w:t>
            </w:r>
          </w:p>
        </w:tc>
        <w:tc>
          <w:tcPr>
            <w:tcW w:w="1971" w:type="dxa"/>
            <w:tcBorders>
              <w:top w:val="single" w:color="auto" w:sz="2" w:space="0"/>
              <w:left w:val="single" w:color="auto" w:sz="2" w:space="0"/>
              <w:bottom w:val="single" w:color="auto" w:sz="2" w:space="0"/>
              <w:right w:val="single" w:color="auto" w:sz="2" w:space="0"/>
            </w:tcBorders>
            <w:vAlign w:val="center"/>
          </w:tcPr>
          <w:p w14:paraId="350BB989">
            <w:pPr>
              <w:pStyle w:val="51"/>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质疑</w:t>
            </w:r>
          </w:p>
        </w:tc>
        <w:tc>
          <w:tcPr>
            <w:tcW w:w="6450" w:type="dxa"/>
            <w:tcBorders>
              <w:top w:val="single" w:color="auto" w:sz="2" w:space="0"/>
              <w:left w:val="single" w:color="auto" w:sz="2" w:space="0"/>
              <w:bottom w:val="single" w:color="auto" w:sz="2" w:space="0"/>
              <w:right w:val="single" w:color="auto" w:sz="2" w:space="0"/>
            </w:tcBorders>
            <w:vAlign w:val="center"/>
          </w:tcPr>
          <w:p w14:paraId="344E9B74">
            <w:pPr>
              <w:pStyle w:val="59"/>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递交方式：</w:t>
            </w:r>
            <w:r>
              <w:rPr>
                <w:rFonts w:hint="eastAsia" w:ascii="宋体" w:eastAsia="宋体" w:cs="宋体"/>
                <w:color w:val="auto"/>
                <w:sz w:val="24"/>
                <w:highlight w:val="none"/>
              </w:rPr>
              <w:t>纸质版盖章</w:t>
            </w:r>
            <w:r>
              <w:rPr>
                <w:rFonts w:hint="eastAsia" w:ascii="宋体" w:eastAsia="宋体" w:cs="宋体"/>
                <w:color w:val="auto"/>
                <w:sz w:val="24"/>
                <w:highlight w:val="none"/>
                <w:lang w:val="en-US" w:eastAsia="zh-CN"/>
              </w:rPr>
              <w:t>质疑</w:t>
            </w:r>
            <w:r>
              <w:rPr>
                <w:rFonts w:hint="eastAsia" w:ascii="宋体" w:eastAsia="宋体" w:cs="宋体"/>
                <w:color w:val="auto"/>
                <w:sz w:val="24"/>
                <w:highlight w:val="none"/>
              </w:rPr>
              <w:t>函</w:t>
            </w:r>
            <w:r>
              <w:rPr>
                <w:rFonts w:hint="eastAsia" w:ascii="宋体" w:eastAsia="宋体" w:cs="宋体"/>
                <w:color w:val="auto"/>
                <w:sz w:val="24"/>
                <w:highlight w:val="none"/>
                <w:lang w:val="en-US" w:eastAsia="zh-CN"/>
              </w:rPr>
              <w:t>原件</w:t>
            </w:r>
            <w:r>
              <w:rPr>
                <w:rFonts w:hint="eastAsia" w:ascii="宋体" w:eastAsia="宋体" w:cs="宋体"/>
                <w:color w:val="auto"/>
                <w:sz w:val="24"/>
                <w:highlight w:val="none"/>
              </w:rPr>
              <w:t>递交至采购代理公司</w:t>
            </w:r>
            <w:r>
              <w:rPr>
                <w:rFonts w:hint="eastAsia" w:ascii="宋体" w:hAnsi="宋体" w:eastAsia="宋体" w:cs="宋体"/>
                <w:i w:val="0"/>
                <w:iCs w:val="0"/>
                <w:color w:val="auto"/>
                <w:kern w:val="2"/>
                <w:sz w:val="24"/>
                <w:szCs w:val="24"/>
                <w:highlight w:val="none"/>
                <w:lang w:val="zh-CN" w:eastAsia="zh-CN" w:bidi="ar-SA"/>
              </w:rPr>
              <w:t xml:space="preserve">              </w:t>
            </w:r>
          </w:p>
          <w:p w14:paraId="3EAFDFD3">
            <w:pPr>
              <w:pStyle w:val="59"/>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接收部门：</w:t>
            </w:r>
            <w:r>
              <w:rPr>
                <w:rFonts w:hint="eastAsia" w:ascii="宋体" w:hAnsi="宋体" w:cs="宋体"/>
                <w:i w:val="0"/>
                <w:iCs w:val="0"/>
                <w:color w:val="auto"/>
                <w:sz w:val="24"/>
                <w:szCs w:val="24"/>
                <w:highlight w:val="none"/>
                <w:u w:val="single"/>
                <w:lang w:val="en-US" w:eastAsia="zh-CN"/>
              </w:rPr>
              <w:t>中招国际招标有限公司</w:t>
            </w:r>
            <w:r>
              <w:rPr>
                <w:rFonts w:hint="eastAsia" w:ascii="宋体" w:hAnsi="宋体" w:eastAsia="宋体" w:cs="宋体"/>
                <w:i w:val="0"/>
                <w:iCs w:val="0"/>
                <w:color w:val="auto"/>
                <w:kern w:val="2"/>
                <w:sz w:val="24"/>
                <w:szCs w:val="24"/>
                <w:highlight w:val="none"/>
                <w:lang w:val="zh-CN" w:eastAsia="zh-CN" w:bidi="ar-SA"/>
              </w:rPr>
              <w:t xml:space="preserve">              </w:t>
            </w:r>
          </w:p>
          <w:p w14:paraId="2680A9E0">
            <w:pPr>
              <w:pStyle w:val="59"/>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联系电话：罗燕、徐中凤</w:t>
            </w:r>
            <w:r>
              <w:rPr>
                <w:rFonts w:hint="eastAsia" w:ascii="宋体" w:hAnsi="宋体" w:cs="宋体"/>
                <w:i w:val="0"/>
                <w:iCs w:val="0"/>
                <w:color w:val="auto"/>
                <w:kern w:val="2"/>
                <w:sz w:val="24"/>
                <w:szCs w:val="24"/>
                <w:highlight w:val="none"/>
                <w:lang w:val="en-US" w:eastAsia="zh-CN" w:bidi="ar-SA"/>
              </w:rPr>
              <w:t xml:space="preserve"> </w:t>
            </w:r>
            <w:r>
              <w:rPr>
                <w:rFonts w:hint="eastAsia" w:ascii="宋体" w:hAnsi="宋体" w:eastAsia="宋体" w:cs="宋体"/>
                <w:i w:val="0"/>
                <w:iCs w:val="0"/>
                <w:color w:val="auto"/>
                <w:kern w:val="2"/>
                <w:sz w:val="24"/>
                <w:szCs w:val="24"/>
                <w:highlight w:val="none"/>
                <w:lang w:val="zh-CN" w:eastAsia="zh-CN" w:bidi="ar-SA"/>
              </w:rPr>
              <w:t xml:space="preserve">17716905655、18099259977              </w:t>
            </w:r>
          </w:p>
          <w:p w14:paraId="22CBB714">
            <w:pPr>
              <w:pStyle w:val="59"/>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通讯地址：</w:t>
            </w:r>
            <w:r>
              <w:rPr>
                <w:rFonts w:ascii="宋体" w:hAnsi="宋体" w:eastAsia="宋体" w:cs="宋体"/>
                <w:color w:val="auto"/>
                <w:kern w:val="0"/>
                <w:sz w:val="24"/>
                <w:szCs w:val="24"/>
                <w:highlight w:val="none"/>
              </w:rPr>
              <w:t>新疆乌鲁木齐市486号南湖明珠二期十四栋商业写字楼8楼</w:t>
            </w:r>
            <w:r>
              <w:rPr>
                <w:rFonts w:hint="eastAsia" w:ascii="宋体" w:hAnsi="宋体" w:eastAsia="宋体" w:cs="宋体"/>
                <w:i w:val="0"/>
                <w:iCs w:val="0"/>
                <w:color w:val="auto"/>
                <w:kern w:val="2"/>
                <w:sz w:val="24"/>
                <w:szCs w:val="24"/>
                <w:highlight w:val="none"/>
                <w:lang w:val="zh-CN" w:eastAsia="zh-CN" w:bidi="ar-SA"/>
              </w:rPr>
              <w:t xml:space="preserve"> </w:t>
            </w:r>
          </w:p>
        </w:tc>
      </w:tr>
      <w:tr w14:paraId="71A518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78D87689">
            <w:pPr>
              <w:pStyle w:val="51"/>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61FAA63B">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采购代理服务费收取方式和标准</w:t>
            </w:r>
          </w:p>
        </w:tc>
        <w:tc>
          <w:tcPr>
            <w:tcW w:w="6450" w:type="dxa"/>
            <w:tcBorders>
              <w:top w:val="single" w:color="auto" w:sz="2" w:space="0"/>
              <w:left w:val="single" w:color="auto" w:sz="2" w:space="0"/>
              <w:bottom w:val="single" w:color="auto" w:sz="2" w:space="0"/>
              <w:right w:val="single" w:color="auto" w:sz="2" w:space="0"/>
            </w:tcBorders>
            <w:vAlign w:val="center"/>
          </w:tcPr>
          <w:p w14:paraId="0E59731F">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收</w:t>
            </w:r>
            <w:r>
              <w:rPr>
                <w:rFonts w:hint="eastAsia" w:ascii="宋体" w:hAnsi="宋体" w:eastAsia="宋体" w:cs="宋体"/>
                <w:i w:val="0"/>
                <w:iCs w:val="0"/>
                <w:color w:val="auto"/>
                <w:sz w:val="24"/>
                <w:szCs w:val="24"/>
                <w:highlight w:val="none"/>
              </w:rPr>
              <w:t>费</w:t>
            </w:r>
            <w:r>
              <w:rPr>
                <w:rFonts w:hint="eastAsia" w:ascii="宋体" w:hAnsi="宋体" w:eastAsia="宋体" w:cs="宋体"/>
                <w:i w:val="0"/>
                <w:iCs w:val="0"/>
                <w:color w:val="auto"/>
                <w:sz w:val="24"/>
                <w:szCs w:val="24"/>
                <w:highlight w:val="none"/>
                <w:lang w:val="en-US" w:eastAsia="zh-CN"/>
              </w:rPr>
              <w:t>对象</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成交</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 xml:space="preserve">支付 </w:t>
            </w:r>
          </w:p>
          <w:p w14:paraId="5B742BCE">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收费</w:t>
            </w:r>
            <w:r>
              <w:rPr>
                <w:rFonts w:hint="eastAsia" w:ascii="宋体" w:hAnsi="宋体" w:eastAsia="宋体" w:cs="宋体"/>
                <w:i w:val="0"/>
                <w:iCs w:val="0"/>
                <w:color w:val="auto"/>
                <w:sz w:val="24"/>
                <w:szCs w:val="24"/>
                <w:highlight w:val="none"/>
              </w:rPr>
              <w:t>标准：</w:t>
            </w:r>
            <w:r>
              <w:rPr>
                <w:rFonts w:hint="eastAsia" w:ascii="宋体" w:hAnsi="宋体" w:eastAsia="宋体" w:cs="宋体"/>
                <w:color w:val="000000" w:themeColor="text1"/>
                <w:sz w:val="24"/>
                <w:szCs w:val="24"/>
                <w:highlight w:val="none"/>
                <w:u w:val="single"/>
                <w14:textFill>
                  <w14:solidFill>
                    <w14:schemeClr w14:val="tx1"/>
                  </w14:solidFill>
                </w14:textFill>
              </w:rPr>
              <w:t>按发改价格[2011]534号及计价格[2002]1980号文件计算的招标代理服务收费标准下浮40%计取。</w:t>
            </w:r>
          </w:p>
          <w:tbl>
            <w:tblPr>
              <w:tblStyle w:val="32"/>
              <w:tblpPr w:leftFromText="180" w:rightFromText="180" w:vertAnchor="text" w:horzAnchor="page" w:tblpX="-30" w:tblpY="384"/>
              <w:tblOverlap w:val="never"/>
              <w:tblW w:w="6397" w:type="dxa"/>
              <w:tblInd w:w="0" w:type="dxa"/>
              <w:tblLayout w:type="fixed"/>
              <w:tblCellMar>
                <w:top w:w="0" w:type="dxa"/>
                <w:left w:w="0" w:type="dxa"/>
                <w:bottom w:w="0" w:type="dxa"/>
                <w:right w:w="0" w:type="dxa"/>
              </w:tblCellMar>
            </w:tblPr>
            <w:tblGrid>
              <w:gridCol w:w="2098"/>
              <w:gridCol w:w="1433"/>
              <w:gridCol w:w="1433"/>
              <w:gridCol w:w="1433"/>
            </w:tblGrid>
            <w:tr w14:paraId="7865A145">
              <w:tblPrEx>
                <w:tblCellMar>
                  <w:top w:w="0" w:type="dxa"/>
                  <w:left w:w="0" w:type="dxa"/>
                  <w:bottom w:w="0" w:type="dxa"/>
                  <w:right w:w="0" w:type="dxa"/>
                </w:tblCellMar>
              </w:tblPrEx>
              <w:trPr>
                <w:trHeight w:val="2094" w:hRule="atLeast"/>
              </w:trPr>
              <w:tc>
                <w:tcPr>
                  <w:tcW w:w="2098" w:type="dxa"/>
                  <w:tcBorders>
                    <w:top w:val="single" w:color="auto" w:sz="8" w:space="0"/>
                    <w:left w:val="single" w:color="auto" w:sz="8" w:space="0"/>
                    <w:bottom w:val="single" w:color="auto" w:sz="8" w:space="0"/>
                    <w:right w:val="single" w:color="auto" w:sz="8" w:space="0"/>
                  </w:tcBorders>
                </w:tcPr>
                <w:p w14:paraId="2ABFC94F">
                  <w:pPr>
                    <w:ind w:firstLine="840" w:firstLineChars="300"/>
                    <w:rPr>
                      <w:rFonts w:ascii="宋体" w:hAnsi="宋体"/>
                      <w:bCs/>
                      <w:color w:val="auto"/>
                      <w:szCs w:val="20"/>
                      <w:highlight w:val="none"/>
                    </w:rPr>
                  </w:pPr>
                  <w:r>
                    <w:rPr>
                      <w:rFonts w:ascii="宋体" w:hAnsi="宋体"/>
                      <w:color w:val="auto"/>
                      <w:sz w:val="28"/>
                      <w:szCs w:val="28"/>
                      <w:highlight w:val="none"/>
                    </w:rPr>
                    <mc:AlternateContent>
                      <mc:Choice Requires="wps">
                        <w:drawing>
                          <wp:anchor distT="0" distB="0" distL="114300" distR="114300" simplePos="0" relativeHeight="251663360" behindDoc="0" locked="0" layoutInCell="1" allowOverlap="1">
                            <wp:simplePos x="0" y="0"/>
                            <wp:positionH relativeFrom="column">
                              <wp:posOffset>377190</wp:posOffset>
                            </wp:positionH>
                            <wp:positionV relativeFrom="paragraph">
                              <wp:posOffset>-16510</wp:posOffset>
                            </wp:positionV>
                            <wp:extent cx="975360" cy="1523365"/>
                            <wp:effectExtent l="3810" t="2540" r="11430" b="10795"/>
                            <wp:wrapNone/>
                            <wp:docPr id="6" name="直接连接符 6"/>
                            <wp:cNvGraphicFramePr/>
                            <a:graphic xmlns:a="http://schemas.openxmlformats.org/drawingml/2006/main">
                              <a:graphicData uri="http://schemas.microsoft.com/office/word/2010/wordprocessingShape">
                                <wps:wsp>
                                  <wps:cNvCnPr/>
                                  <wps:spPr>
                                    <a:xfrm>
                                      <a:off x="0" y="0"/>
                                      <a:ext cx="975360" cy="152336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29.7pt;margin-top:-1.3pt;height:119.95pt;width:76.8pt;z-index:251663360;mso-width-relative:page;mso-height-relative:page;" filled="f" stroked="t" coordsize="21600,21600" o:gfxdata="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9vN422AAAAAkBAAAPAAAAAAAAAAEAIAAAACIAAABkcnMvZG93bnJldi54bWxQSwECFAAUAAAA&#10;CACHTuJA+DuN1e4BAADdAwAADgAAAAAAAAABACAAAAAnAQAAZHJzL2Uyb0RvYy54bWxQSwUGAAAA&#10;AAYABgBZAQAAhwUAAAAA&#10;">
                            <v:fill on="f" focussize="0,0"/>
                            <v:stroke color="#000000" joinstyle="round"/>
                            <v:imagedata o:title=""/>
                            <o:lock v:ext="edit" aspectratio="f"/>
                          </v:line>
                        </w:pict>
                      </mc:Fallback>
                    </mc:AlternateContent>
                  </w:r>
                  <w:r>
                    <w:rPr>
                      <w:rFonts w:ascii="宋体" w:hAnsi="宋体"/>
                      <w:bCs/>
                      <w:color w:val="auto"/>
                      <w:szCs w:val="20"/>
                      <w:highlight w:val="none"/>
                    </w:rPr>
                    <w:t>服务类型</w:t>
                  </w:r>
                </w:p>
                <w:p w14:paraId="3B9D2514">
                  <w:pPr>
                    <w:ind w:firstLine="240" w:firstLineChars="100"/>
                    <w:rPr>
                      <w:rFonts w:ascii="宋体" w:hAnsi="宋体"/>
                      <w:bCs/>
                      <w:color w:val="auto"/>
                      <w:szCs w:val="20"/>
                      <w:highlight w:val="none"/>
                    </w:rPr>
                  </w:pPr>
                  <w:r>
                    <w:rPr>
                      <w:rFonts w:ascii="宋体" w:hAnsi="宋体"/>
                      <w:bCs/>
                      <w:color w:val="auto"/>
                      <w:szCs w:val="20"/>
                      <w:highlight w:val="none"/>
                    </w:rPr>
                    <w:t>费率</w:t>
                  </w:r>
                </w:p>
                <w:p w14:paraId="61FD1F8A">
                  <w:pPr>
                    <w:rPr>
                      <w:rFonts w:ascii="宋体" w:hAnsi="宋体"/>
                      <w:bCs/>
                      <w:color w:val="auto"/>
                      <w:szCs w:val="20"/>
                      <w:highlight w:val="none"/>
                    </w:rPr>
                  </w:pPr>
                  <w:r>
                    <w:rPr>
                      <w:rFonts w:ascii="宋体" w:hAnsi="宋体"/>
                      <w:color w:val="auto"/>
                      <w:highlight w:val="none"/>
                    </w:rPr>
                    <mc:AlternateContent>
                      <mc:Choice Requires="wps">
                        <w:drawing>
                          <wp:anchor distT="0" distB="0" distL="114300" distR="114300" simplePos="0" relativeHeight="251664384" behindDoc="0" locked="0" layoutInCell="1" allowOverlap="1">
                            <wp:simplePos x="0" y="0"/>
                            <wp:positionH relativeFrom="column">
                              <wp:posOffset>-10160</wp:posOffset>
                            </wp:positionH>
                            <wp:positionV relativeFrom="paragraph">
                              <wp:posOffset>-148590</wp:posOffset>
                            </wp:positionV>
                            <wp:extent cx="1349375" cy="978535"/>
                            <wp:effectExtent l="2540" t="3810" r="6985" b="8255"/>
                            <wp:wrapNone/>
                            <wp:docPr id="5" name="直接连接符 5"/>
                            <wp:cNvGraphicFramePr/>
                            <a:graphic xmlns:a="http://schemas.openxmlformats.org/drawingml/2006/main">
                              <a:graphicData uri="http://schemas.microsoft.com/office/word/2010/wordprocessingShape">
                                <wps:wsp>
                                  <wps:cNvCnPr/>
                                  <wps:spPr>
                                    <a:xfrm>
                                      <a:off x="0" y="0"/>
                                      <a:ext cx="1349375" cy="9785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8pt;margin-top:-11.7pt;height:77.05pt;width:106.25pt;z-index:251664384;mso-width-relative:page;mso-height-relative:page;" filled="f" stroked="t" coordsize="21600,21600" o:gfxdata="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Epp352AAAAAoBAAAPAAAAAAAAAAEAIAAAACIAAABkcnMvZG93bnJldi54bWxQSwECFAAU&#10;AAAACACHTuJA0Q8Jd/EBAADdAwAADgAAAAAAAAABACAAAAAnAQAAZHJzL2Uyb0RvYy54bWxQSwUG&#10;AAAAAAYABgBZAQAAigUAAAAA&#10;">
                            <v:fill on="f" focussize="0,0"/>
                            <v:stroke color="#000000" joinstyle="round"/>
                            <v:imagedata o:title=""/>
                            <o:lock v:ext="edit" aspectratio="f"/>
                          </v:line>
                        </w:pict>
                      </mc:Fallback>
                    </mc:AlternateContent>
                  </w:r>
                </w:p>
                <w:p w14:paraId="5EBD2EA0">
                  <w:pPr>
                    <w:rPr>
                      <w:rFonts w:ascii="宋体" w:hAnsi="宋体"/>
                      <w:bCs/>
                      <w:color w:val="auto"/>
                      <w:szCs w:val="20"/>
                      <w:highlight w:val="none"/>
                    </w:rPr>
                  </w:pPr>
                  <w:r>
                    <w:rPr>
                      <w:rFonts w:ascii="宋体" w:hAnsi="宋体"/>
                      <w:color w:val="auto"/>
                      <w:highlight w:val="none"/>
                    </w:rPr>
                    <mc:AlternateContent>
                      <mc:Choice Requires="wps">
                        <w:drawing>
                          <wp:anchor distT="0" distB="0" distL="114300" distR="114300" simplePos="0" relativeHeight="251662336" behindDoc="0" locked="0" layoutInCell="0" allowOverlap="1">
                            <wp:simplePos x="0" y="0"/>
                            <wp:positionH relativeFrom="column">
                              <wp:posOffset>-114300</wp:posOffset>
                            </wp:positionH>
                            <wp:positionV relativeFrom="paragraph">
                              <wp:posOffset>-9525</wp:posOffset>
                            </wp:positionV>
                            <wp:extent cx="635" cy="0"/>
                            <wp:effectExtent l="0" t="4445" r="0" b="5080"/>
                            <wp:wrapNone/>
                            <wp:docPr id="7" name="直接连接符 7"/>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9pt;margin-top:-0.75pt;height:0pt;width:0.05pt;z-index:251662336;mso-width-relative:page;mso-height-relative:page;" filled="f" stroked="t" coordsize="21600,21600" o:allowincell="f" o:gfxdata="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TkHnt&#10;1wAAAAkBAAAPAAAAAAAAAAEAIAAAACIAAABkcnMvZG93bnJldi54bWxQSwECFAAUAAAACACHTuJA&#10;h2izp+kBAADUAwAADgAAAAAAAAABACAAAAAmAQAAZHJzL2Uyb0RvYy54bWxQSwUGAAAAAAYABgBZ&#10;AQAAgQUAAAAA&#10;">
                            <v:fill on="f" focussize="0,0"/>
                            <v:stroke color="#000000" joinstyle="round"/>
                            <v:imagedata o:title=""/>
                            <o:lock v:ext="edit" aspectratio="f"/>
                          </v:line>
                        </w:pict>
                      </mc:Fallback>
                    </mc:AlternateContent>
                  </w:r>
                  <w:r>
                    <w:rPr>
                      <w:rFonts w:ascii="宋体" w:hAnsi="宋体"/>
                      <w:bCs/>
                      <w:color w:val="auto"/>
                      <w:szCs w:val="20"/>
                      <w:highlight w:val="none"/>
                    </w:rPr>
                    <w:t>中标</w:t>
                  </w:r>
                </w:p>
                <w:p w14:paraId="7748AF45">
                  <w:pPr>
                    <w:rPr>
                      <w:rFonts w:ascii="宋体" w:hAnsi="宋体"/>
                      <w:color w:val="auto"/>
                      <w:szCs w:val="21"/>
                      <w:highlight w:val="none"/>
                    </w:rPr>
                  </w:pPr>
                  <w:r>
                    <w:rPr>
                      <w:rFonts w:ascii="宋体" w:hAnsi="宋体"/>
                      <w:bCs/>
                      <w:color w:val="auto"/>
                      <w:szCs w:val="20"/>
                      <w:highlight w:val="none"/>
                    </w:rPr>
                    <w:t>金额</w:t>
                  </w:r>
                  <w:r>
                    <w:rPr>
                      <w:rFonts w:hint="eastAsia" w:ascii="宋体" w:hAnsi="宋体"/>
                      <w:bCs/>
                      <w:color w:val="auto"/>
                      <w:szCs w:val="20"/>
                      <w:highlight w:val="none"/>
                    </w:rPr>
                    <w:t>（</w:t>
                  </w:r>
                  <w:r>
                    <w:rPr>
                      <w:rFonts w:ascii="宋体" w:hAnsi="宋体"/>
                      <w:bCs/>
                      <w:color w:val="auto"/>
                      <w:szCs w:val="20"/>
                      <w:highlight w:val="none"/>
                    </w:rPr>
                    <w:t>万元）</w:t>
                  </w:r>
                </w:p>
              </w:tc>
              <w:tc>
                <w:tcPr>
                  <w:tcW w:w="1433" w:type="dxa"/>
                  <w:tcBorders>
                    <w:top w:val="single" w:color="auto" w:sz="8" w:space="0"/>
                    <w:left w:val="nil"/>
                    <w:bottom w:val="single" w:color="auto" w:sz="8" w:space="0"/>
                    <w:right w:val="single" w:color="auto" w:sz="4" w:space="0"/>
                  </w:tcBorders>
                  <w:vAlign w:val="center"/>
                </w:tcPr>
                <w:p w14:paraId="157ADD8B">
                  <w:pPr>
                    <w:jc w:val="center"/>
                    <w:rPr>
                      <w:rFonts w:ascii="宋体" w:hAnsi="宋体"/>
                      <w:color w:val="auto"/>
                      <w:szCs w:val="21"/>
                      <w:highlight w:val="none"/>
                    </w:rPr>
                  </w:pPr>
                  <w:r>
                    <w:rPr>
                      <w:rFonts w:ascii="宋体" w:hAnsi="宋体"/>
                      <w:bCs/>
                      <w:color w:val="auto"/>
                      <w:szCs w:val="20"/>
                      <w:highlight w:val="none"/>
                    </w:rPr>
                    <w:t>货物招标</w:t>
                  </w:r>
                </w:p>
              </w:tc>
              <w:tc>
                <w:tcPr>
                  <w:tcW w:w="1433" w:type="dxa"/>
                  <w:tcBorders>
                    <w:top w:val="single" w:color="auto" w:sz="4" w:space="0"/>
                    <w:left w:val="single" w:color="auto" w:sz="4" w:space="0"/>
                    <w:bottom w:val="single" w:color="auto" w:sz="4" w:space="0"/>
                    <w:right w:val="single" w:color="auto" w:sz="4" w:space="0"/>
                  </w:tcBorders>
                  <w:vAlign w:val="center"/>
                </w:tcPr>
                <w:p w14:paraId="260A250B">
                  <w:pPr>
                    <w:jc w:val="center"/>
                    <w:rPr>
                      <w:rFonts w:ascii="宋体" w:hAnsi="宋体"/>
                      <w:color w:val="auto"/>
                      <w:szCs w:val="21"/>
                      <w:highlight w:val="none"/>
                    </w:rPr>
                  </w:pPr>
                  <w:r>
                    <w:rPr>
                      <w:rFonts w:ascii="宋体" w:hAnsi="宋体"/>
                      <w:bCs/>
                      <w:color w:val="auto"/>
                      <w:szCs w:val="20"/>
                      <w:highlight w:val="none"/>
                    </w:rPr>
                    <w:t>服务招标</w:t>
                  </w:r>
                </w:p>
              </w:tc>
              <w:tc>
                <w:tcPr>
                  <w:tcW w:w="1433" w:type="dxa"/>
                  <w:tcBorders>
                    <w:top w:val="single" w:color="auto" w:sz="4" w:space="0"/>
                    <w:left w:val="single" w:color="auto" w:sz="4" w:space="0"/>
                    <w:bottom w:val="single" w:color="auto" w:sz="4" w:space="0"/>
                    <w:right w:val="single" w:color="auto" w:sz="4" w:space="0"/>
                  </w:tcBorders>
                  <w:vAlign w:val="center"/>
                </w:tcPr>
                <w:p w14:paraId="74189F16">
                  <w:pPr>
                    <w:jc w:val="center"/>
                    <w:rPr>
                      <w:rFonts w:ascii="宋体" w:hAnsi="宋体"/>
                      <w:bCs/>
                      <w:color w:val="auto"/>
                      <w:szCs w:val="20"/>
                      <w:highlight w:val="none"/>
                    </w:rPr>
                  </w:pPr>
                  <w:r>
                    <w:rPr>
                      <w:rFonts w:ascii="宋体" w:hAnsi="宋体"/>
                      <w:bCs/>
                      <w:color w:val="auto"/>
                      <w:szCs w:val="20"/>
                      <w:highlight w:val="none"/>
                    </w:rPr>
                    <w:t>工程招标</w:t>
                  </w:r>
                </w:p>
              </w:tc>
            </w:tr>
            <w:tr w14:paraId="49DAB4E0">
              <w:tblPrEx>
                <w:tblCellMar>
                  <w:top w:w="0" w:type="dxa"/>
                  <w:left w:w="0" w:type="dxa"/>
                  <w:bottom w:w="0" w:type="dxa"/>
                  <w:right w:w="0" w:type="dxa"/>
                </w:tblCellMar>
              </w:tblPrEx>
              <w:trPr>
                <w:trHeight w:val="433" w:hRule="atLeast"/>
              </w:trPr>
              <w:tc>
                <w:tcPr>
                  <w:tcW w:w="2098" w:type="dxa"/>
                  <w:tcBorders>
                    <w:top w:val="single" w:color="auto" w:sz="4" w:space="0"/>
                    <w:left w:val="single" w:color="auto" w:sz="8" w:space="0"/>
                    <w:bottom w:val="single" w:color="auto" w:sz="8" w:space="0"/>
                    <w:right w:val="single" w:color="auto" w:sz="8" w:space="0"/>
                  </w:tcBorders>
                  <w:vAlign w:val="center"/>
                </w:tcPr>
                <w:p w14:paraId="114FBD25">
                  <w:pPr>
                    <w:jc w:val="center"/>
                    <w:rPr>
                      <w:rFonts w:ascii="宋体" w:hAnsi="宋体"/>
                      <w:color w:val="auto"/>
                      <w:szCs w:val="21"/>
                      <w:highlight w:val="none"/>
                    </w:rPr>
                  </w:pPr>
                  <w:r>
                    <w:rPr>
                      <w:rFonts w:ascii="宋体" w:hAnsi="宋体"/>
                      <w:color w:val="auto"/>
                      <w:szCs w:val="20"/>
                      <w:highlight w:val="none"/>
                    </w:rPr>
                    <w:t>100以下</w:t>
                  </w:r>
                </w:p>
              </w:tc>
              <w:tc>
                <w:tcPr>
                  <w:tcW w:w="1433" w:type="dxa"/>
                  <w:tcBorders>
                    <w:top w:val="single" w:color="auto" w:sz="4" w:space="0"/>
                    <w:left w:val="nil"/>
                    <w:bottom w:val="single" w:color="auto" w:sz="8" w:space="0"/>
                    <w:right w:val="single" w:color="auto" w:sz="4" w:space="0"/>
                  </w:tcBorders>
                  <w:vAlign w:val="center"/>
                </w:tcPr>
                <w:p w14:paraId="55EF8A1F">
                  <w:pPr>
                    <w:jc w:val="center"/>
                    <w:rPr>
                      <w:rFonts w:ascii="宋体" w:hAnsi="宋体"/>
                      <w:color w:val="auto"/>
                      <w:szCs w:val="21"/>
                      <w:highlight w:val="none"/>
                    </w:rPr>
                  </w:pPr>
                  <w:r>
                    <w:rPr>
                      <w:rFonts w:ascii="宋体" w:hAnsi="宋体"/>
                      <w:color w:val="auto"/>
                      <w:szCs w:val="20"/>
                      <w:highlight w:val="none"/>
                    </w:rPr>
                    <w:t>1.5%</w:t>
                  </w:r>
                </w:p>
              </w:tc>
              <w:tc>
                <w:tcPr>
                  <w:tcW w:w="1433" w:type="dxa"/>
                  <w:tcBorders>
                    <w:top w:val="single" w:color="auto" w:sz="4" w:space="0"/>
                    <w:left w:val="single" w:color="auto" w:sz="4" w:space="0"/>
                    <w:bottom w:val="single" w:color="auto" w:sz="4" w:space="0"/>
                    <w:right w:val="single" w:color="auto" w:sz="4" w:space="0"/>
                  </w:tcBorders>
                  <w:vAlign w:val="center"/>
                </w:tcPr>
                <w:p w14:paraId="1CBC2C95">
                  <w:pPr>
                    <w:jc w:val="center"/>
                    <w:rPr>
                      <w:rFonts w:ascii="宋体" w:hAnsi="宋体"/>
                      <w:color w:val="auto"/>
                      <w:szCs w:val="21"/>
                      <w:highlight w:val="none"/>
                    </w:rPr>
                  </w:pPr>
                  <w:r>
                    <w:rPr>
                      <w:rFonts w:ascii="宋体" w:hAnsi="宋体"/>
                      <w:color w:val="auto"/>
                      <w:szCs w:val="20"/>
                      <w:highlight w:val="none"/>
                    </w:rPr>
                    <w:t>1.5%</w:t>
                  </w:r>
                </w:p>
              </w:tc>
              <w:tc>
                <w:tcPr>
                  <w:tcW w:w="1433" w:type="dxa"/>
                  <w:tcBorders>
                    <w:top w:val="single" w:color="auto" w:sz="4" w:space="0"/>
                    <w:left w:val="single" w:color="auto" w:sz="4" w:space="0"/>
                    <w:bottom w:val="single" w:color="auto" w:sz="4" w:space="0"/>
                    <w:right w:val="single" w:color="auto" w:sz="4" w:space="0"/>
                  </w:tcBorders>
                  <w:vAlign w:val="center"/>
                </w:tcPr>
                <w:p w14:paraId="4DD51054">
                  <w:pPr>
                    <w:jc w:val="center"/>
                    <w:rPr>
                      <w:rFonts w:ascii="宋体" w:hAnsi="宋体"/>
                      <w:bCs/>
                      <w:color w:val="auto"/>
                      <w:szCs w:val="20"/>
                      <w:highlight w:val="none"/>
                    </w:rPr>
                  </w:pPr>
                  <w:r>
                    <w:rPr>
                      <w:rFonts w:ascii="宋体" w:hAnsi="宋体"/>
                      <w:bCs/>
                      <w:color w:val="auto"/>
                      <w:szCs w:val="20"/>
                      <w:highlight w:val="none"/>
                    </w:rPr>
                    <w:t>1.0%</w:t>
                  </w:r>
                </w:p>
              </w:tc>
            </w:tr>
            <w:tr w14:paraId="11EF68F5">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3F711CE4">
                  <w:pPr>
                    <w:jc w:val="center"/>
                    <w:rPr>
                      <w:rFonts w:ascii="宋体" w:hAnsi="宋体"/>
                      <w:color w:val="auto"/>
                      <w:szCs w:val="21"/>
                      <w:highlight w:val="none"/>
                    </w:rPr>
                  </w:pPr>
                  <w:r>
                    <w:rPr>
                      <w:rFonts w:ascii="宋体" w:hAnsi="宋体"/>
                      <w:color w:val="auto"/>
                      <w:szCs w:val="20"/>
                      <w:highlight w:val="none"/>
                    </w:rPr>
                    <w:t>100-500</w:t>
                  </w:r>
                </w:p>
              </w:tc>
              <w:tc>
                <w:tcPr>
                  <w:tcW w:w="1433" w:type="dxa"/>
                  <w:tcBorders>
                    <w:top w:val="nil"/>
                    <w:left w:val="nil"/>
                    <w:bottom w:val="single" w:color="auto" w:sz="8" w:space="0"/>
                    <w:right w:val="single" w:color="auto" w:sz="4" w:space="0"/>
                  </w:tcBorders>
                  <w:vAlign w:val="center"/>
                </w:tcPr>
                <w:p w14:paraId="05DD852E">
                  <w:pPr>
                    <w:jc w:val="center"/>
                    <w:rPr>
                      <w:rFonts w:ascii="宋体" w:hAnsi="宋体"/>
                      <w:color w:val="auto"/>
                      <w:szCs w:val="21"/>
                      <w:highlight w:val="none"/>
                    </w:rPr>
                  </w:pPr>
                  <w:r>
                    <w:rPr>
                      <w:rFonts w:ascii="宋体" w:hAnsi="宋体"/>
                      <w:color w:val="auto"/>
                      <w:szCs w:val="20"/>
                      <w:highlight w:val="none"/>
                    </w:rPr>
                    <w:t>1.1%</w:t>
                  </w:r>
                </w:p>
              </w:tc>
              <w:tc>
                <w:tcPr>
                  <w:tcW w:w="1433" w:type="dxa"/>
                  <w:tcBorders>
                    <w:top w:val="single" w:color="auto" w:sz="4" w:space="0"/>
                    <w:left w:val="single" w:color="auto" w:sz="4" w:space="0"/>
                    <w:bottom w:val="single" w:color="auto" w:sz="4" w:space="0"/>
                    <w:right w:val="single" w:color="auto" w:sz="4" w:space="0"/>
                  </w:tcBorders>
                  <w:vAlign w:val="center"/>
                </w:tcPr>
                <w:p w14:paraId="7AEBCEB1">
                  <w:pPr>
                    <w:jc w:val="center"/>
                    <w:rPr>
                      <w:rFonts w:ascii="宋体" w:hAnsi="宋体"/>
                      <w:color w:val="auto"/>
                      <w:szCs w:val="21"/>
                      <w:highlight w:val="none"/>
                    </w:rPr>
                  </w:pPr>
                  <w:r>
                    <w:rPr>
                      <w:rFonts w:ascii="宋体" w:hAnsi="宋体"/>
                      <w:color w:val="auto"/>
                      <w:szCs w:val="20"/>
                      <w:highlight w:val="none"/>
                    </w:rPr>
                    <w:t>0.8%</w:t>
                  </w:r>
                </w:p>
              </w:tc>
              <w:tc>
                <w:tcPr>
                  <w:tcW w:w="1433" w:type="dxa"/>
                  <w:tcBorders>
                    <w:top w:val="single" w:color="auto" w:sz="4" w:space="0"/>
                    <w:left w:val="single" w:color="auto" w:sz="4" w:space="0"/>
                    <w:bottom w:val="single" w:color="auto" w:sz="4" w:space="0"/>
                    <w:right w:val="single" w:color="auto" w:sz="4" w:space="0"/>
                  </w:tcBorders>
                  <w:vAlign w:val="center"/>
                </w:tcPr>
                <w:p w14:paraId="54B088C5">
                  <w:pPr>
                    <w:jc w:val="center"/>
                    <w:rPr>
                      <w:rFonts w:ascii="宋体" w:hAnsi="宋体"/>
                      <w:bCs/>
                      <w:color w:val="auto"/>
                      <w:szCs w:val="20"/>
                      <w:highlight w:val="none"/>
                    </w:rPr>
                  </w:pPr>
                  <w:r>
                    <w:rPr>
                      <w:rFonts w:ascii="宋体" w:hAnsi="宋体"/>
                      <w:bCs/>
                      <w:color w:val="auto"/>
                      <w:szCs w:val="20"/>
                      <w:highlight w:val="none"/>
                    </w:rPr>
                    <w:t>0.7%</w:t>
                  </w:r>
                </w:p>
              </w:tc>
            </w:tr>
            <w:tr w14:paraId="1A0CEDFC">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4CEC38A8">
                  <w:pPr>
                    <w:jc w:val="center"/>
                    <w:rPr>
                      <w:rFonts w:ascii="宋体" w:hAnsi="宋体"/>
                      <w:color w:val="auto"/>
                      <w:szCs w:val="21"/>
                      <w:highlight w:val="none"/>
                    </w:rPr>
                  </w:pPr>
                  <w:r>
                    <w:rPr>
                      <w:rFonts w:ascii="宋体" w:hAnsi="宋体"/>
                      <w:color w:val="auto"/>
                      <w:szCs w:val="20"/>
                      <w:highlight w:val="none"/>
                    </w:rPr>
                    <w:t>500-1000</w:t>
                  </w:r>
                </w:p>
              </w:tc>
              <w:tc>
                <w:tcPr>
                  <w:tcW w:w="1433" w:type="dxa"/>
                  <w:tcBorders>
                    <w:top w:val="nil"/>
                    <w:left w:val="nil"/>
                    <w:bottom w:val="single" w:color="auto" w:sz="8" w:space="0"/>
                    <w:right w:val="single" w:color="auto" w:sz="4" w:space="0"/>
                  </w:tcBorders>
                  <w:vAlign w:val="center"/>
                </w:tcPr>
                <w:p w14:paraId="7BC62EFC">
                  <w:pPr>
                    <w:jc w:val="center"/>
                    <w:rPr>
                      <w:rFonts w:ascii="宋体" w:hAnsi="宋体"/>
                      <w:color w:val="auto"/>
                      <w:szCs w:val="21"/>
                      <w:highlight w:val="none"/>
                    </w:rPr>
                  </w:pPr>
                  <w:r>
                    <w:rPr>
                      <w:rFonts w:ascii="宋体" w:hAnsi="宋体"/>
                      <w:color w:val="auto"/>
                      <w:szCs w:val="20"/>
                      <w:highlight w:val="none"/>
                    </w:rPr>
                    <w:t>0.8%</w:t>
                  </w:r>
                </w:p>
              </w:tc>
              <w:tc>
                <w:tcPr>
                  <w:tcW w:w="1433" w:type="dxa"/>
                  <w:tcBorders>
                    <w:top w:val="single" w:color="auto" w:sz="4" w:space="0"/>
                    <w:left w:val="single" w:color="auto" w:sz="4" w:space="0"/>
                    <w:bottom w:val="single" w:color="auto" w:sz="4" w:space="0"/>
                    <w:right w:val="single" w:color="auto" w:sz="4" w:space="0"/>
                  </w:tcBorders>
                  <w:vAlign w:val="center"/>
                </w:tcPr>
                <w:p w14:paraId="3077523F">
                  <w:pPr>
                    <w:jc w:val="center"/>
                    <w:rPr>
                      <w:rFonts w:ascii="宋体" w:hAnsi="宋体"/>
                      <w:color w:val="auto"/>
                      <w:szCs w:val="21"/>
                      <w:highlight w:val="none"/>
                    </w:rPr>
                  </w:pPr>
                  <w:r>
                    <w:rPr>
                      <w:rFonts w:ascii="宋体" w:hAnsi="宋体"/>
                      <w:color w:val="auto"/>
                      <w:szCs w:val="20"/>
                      <w:highlight w:val="none"/>
                    </w:rPr>
                    <w:t>0.45%</w:t>
                  </w:r>
                </w:p>
              </w:tc>
              <w:tc>
                <w:tcPr>
                  <w:tcW w:w="1433" w:type="dxa"/>
                  <w:tcBorders>
                    <w:top w:val="single" w:color="auto" w:sz="4" w:space="0"/>
                    <w:left w:val="single" w:color="auto" w:sz="4" w:space="0"/>
                    <w:bottom w:val="single" w:color="auto" w:sz="4" w:space="0"/>
                    <w:right w:val="single" w:color="auto" w:sz="4" w:space="0"/>
                  </w:tcBorders>
                  <w:vAlign w:val="center"/>
                </w:tcPr>
                <w:p w14:paraId="052FDFB3">
                  <w:pPr>
                    <w:jc w:val="center"/>
                    <w:rPr>
                      <w:rFonts w:ascii="宋体" w:hAnsi="宋体"/>
                      <w:bCs/>
                      <w:color w:val="auto"/>
                      <w:szCs w:val="20"/>
                      <w:highlight w:val="none"/>
                    </w:rPr>
                  </w:pPr>
                  <w:r>
                    <w:rPr>
                      <w:rFonts w:ascii="宋体" w:hAnsi="宋体"/>
                      <w:bCs/>
                      <w:color w:val="auto"/>
                      <w:szCs w:val="20"/>
                      <w:highlight w:val="none"/>
                    </w:rPr>
                    <w:t>0.55%</w:t>
                  </w:r>
                </w:p>
              </w:tc>
            </w:tr>
            <w:tr w14:paraId="5DB962FE">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74C2BB25">
                  <w:pPr>
                    <w:jc w:val="center"/>
                    <w:rPr>
                      <w:rFonts w:ascii="宋体" w:hAnsi="宋体"/>
                      <w:color w:val="auto"/>
                      <w:szCs w:val="21"/>
                      <w:highlight w:val="none"/>
                    </w:rPr>
                  </w:pPr>
                  <w:r>
                    <w:rPr>
                      <w:rFonts w:ascii="宋体" w:hAnsi="宋体"/>
                      <w:color w:val="auto"/>
                      <w:szCs w:val="20"/>
                      <w:highlight w:val="none"/>
                    </w:rPr>
                    <w:t>1000-5000</w:t>
                  </w:r>
                </w:p>
              </w:tc>
              <w:tc>
                <w:tcPr>
                  <w:tcW w:w="1433" w:type="dxa"/>
                  <w:tcBorders>
                    <w:top w:val="nil"/>
                    <w:left w:val="nil"/>
                    <w:bottom w:val="single" w:color="auto" w:sz="8" w:space="0"/>
                    <w:right w:val="single" w:color="auto" w:sz="4" w:space="0"/>
                  </w:tcBorders>
                  <w:vAlign w:val="center"/>
                </w:tcPr>
                <w:p w14:paraId="1C3AE952">
                  <w:pPr>
                    <w:jc w:val="center"/>
                    <w:rPr>
                      <w:rFonts w:ascii="宋体" w:hAnsi="宋体"/>
                      <w:color w:val="auto"/>
                      <w:szCs w:val="21"/>
                      <w:highlight w:val="none"/>
                    </w:rPr>
                  </w:pPr>
                  <w:r>
                    <w:rPr>
                      <w:rFonts w:ascii="宋体" w:hAnsi="宋体"/>
                      <w:color w:val="auto"/>
                      <w:szCs w:val="20"/>
                      <w:highlight w:val="none"/>
                    </w:rPr>
                    <w:t>0.5%</w:t>
                  </w:r>
                </w:p>
              </w:tc>
              <w:tc>
                <w:tcPr>
                  <w:tcW w:w="1433" w:type="dxa"/>
                  <w:tcBorders>
                    <w:top w:val="single" w:color="auto" w:sz="4" w:space="0"/>
                    <w:left w:val="single" w:color="auto" w:sz="4" w:space="0"/>
                    <w:bottom w:val="single" w:color="auto" w:sz="4" w:space="0"/>
                    <w:right w:val="single" w:color="auto" w:sz="4" w:space="0"/>
                  </w:tcBorders>
                  <w:vAlign w:val="center"/>
                </w:tcPr>
                <w:p w14:paraId="5FBC5BE7">
                  <w:pPr>
                    <w:jc w:val="center"/>
                    <w:rPr>
                      <w:rFonts w:ascii="宋体" w:hAnsi="宋体"/>
                      <w:color w:val="auto"/>
                      <w:szCs w:val="21"/>
                      <w:highlight w:val="none"/>
                    </w:rPr>
                  </w:pPr>
                  <w:r>
                    <w:rPr>
                      <w:rFonts w:ascii="宋体" w:hAnsi="宋体"/>
                      <w:color w:val="auto"/>
                      <w:szCs w:val="20"/>
                      <w:highlight w:val="none"/>
                    </w:rPr>
                    <w:t>0.25%</w:t>
                  </w:r>
                </w:p>
              </w:tc>
              <w:tc>
                <w:tcPr>
                  <w:tcW w:w="1433" w:type="dxa"/>
                  <w:tcBorders>
                    <w:top w:val="single" w:color="auto" w:sz="4" w:space="0"/>
                    <w:left w:val="single" w:color="auto" w:sz="4" w:space="0"/>
                    <w:bottom w:val="single" w:color="auto" w:sz="4" w:space="0"/>
                    <w:right w:val="single" w:color="auto" w:sz="4" w:space="0"/>
                  </w:tcBorders>
                  <w:vAlign w:val="center"/>
                </w:tcPr>
                <w:p w14:paraId="5D186A73">
                  <w:pPr>
                    <w:jc w:val="center"/>
                    <w:rPr>
                      <w:rFonts w:ascii="宋体" w:hAnsi="宋体"/>
                      <w:bCs/>
                      <w:color w:val="auto"/>
                      <w:szCs w:val="20"/>
                      <w:highlight w:val="none"/>
                    </w:rPr>
                  </w:pPr>
                  <w:r>
                    <w:rPr>
                      <w:rFonts w:ascii="宋体" w:hAnsi="宋体"/>
                      <w:bCs/>
                      <w:color w:val="auto"/>
                      <w:szCs w:val="20"/>
                      <w:highlight w:val="none"/>
                    </w:rPr>
                    <w:t>0.35%</w:t>
                  </w:r>
                </w:p>
              </w:tc>
            </w:tr>
            <w:tr w14:paraId="5A9B8877">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45C7B1D5">
                  <w:pPr>
                    <w:jc w:val="center"/>
                    <w:rPr>
                      <w:rFonts w:ascii="宋体" w:hAnsi="宋体"/>
                      <w:color w:val="auto"/>
                      <w:szCs w:val="20"/>
                      <w:highlight w:val="none"/>
                    </w:rPr>
                  </w:pPr>
                  <w:r>
                    <w:rPr>
                      <w:rFonts w:ascii="宋体" w:hAnsi="宋体"/>
                      <w:color w:val="auto"/>
                      <w:szCs w:val="20"/>
                      <w:highlight w:val="none"/>
                    </w:rPr>
                    <w:t>5000-10000</w:t>
                  </w:r>
                </w:p>
              </w:tc>
              <w:tc>
                <w:tcPr>
                  <w:tcW w:w="1433" w:type="dxa"/>
                  <w:tcBorders>
                    <w:top w:val="nil"/>
                    <w:left w:val="nil"/>
                    <w:bottom w:val="single" w:color="auto" w:sz="8" w:space="0"/>
                    <w:right w:val="single" w:color="auto" w:sz="4" w:space="0"/>
                  </w:tcBorders>
                  <w:vAlign w:val="center"/>
                </w:tcPr>
                <w:p w14:paraId="7EF6715B">
                  <w:pPr>
                    <w:jc w:val="center"/>
                    <w:rPr>
                      <w:rFonts w:ascii="宋体" w:hAnsi="宋体"/>
                      <w:color w:val="auto"/>
                      <w:szCs w:val="20"/>
                      <w:highlight w:val="none"/>
                    </w:rPr>
                  </w:pPr>
                  <w:r>
                    <w:rPr>
                      <w:rFonts w:ascii="宋体" w:hAnsi="宋体"/>
                      <w:color w:val="auto"/>
                      <w:szCs w:val="20"/>
                      <w:highlight w:val="none"/>
                    </w:rPr>
                    <w:t>0.25%</w:t>
                  </w:r>
                </w:p>
              </w:tc>
              <w:tc>
                <w:tcPr>
                  <w:tcW w:w="1433" w:type="dxa"/>
                  <w:tcBorders>
                    <w:top w:val="single" w:color="auto" w:sz="4" w:space="0"/>
                    <w:left w:val="single" w:color="auto" w:sz="4" w:space="0"/>
                    <w:bottom w:val="single" w:color="auto" w:sz="4" w:space="0"/>
                    <w:right w:val="single" w:color="auto" w:sz="4" w:space="0"/>
                  </w:tcBorders>
                  <w:vAlign w:val="center"/>
                </w:tcPr>
                <w:p w14:paraId="590273A4">
                  <w:pPr>
                    <w:jc w:val="center"/>
                    <w:rPr>
                      <w:rFonts w:ascii="宋体" w:hAnsi="宋体"/>
                      <w:color w:val="auto"/>
                      <w:szCs w:val="20"/>
                      <w:highlight w:val="none"/>
                    </w:rPr>
                  </w:pPr>
                  <w:r>
                    <w:rPr>
                      <w:rFonts w:ascii="宋体" w:hAnsi="宋体"/>
                      <w:color w:val="auto"/>
                      <w:szCs w:val="20"/>
                      <w:highlight w:val="none"/>
                    </w:rPr>
                    <w:t>0.10%</w:t>
                  </w:r>
                </w:p>
              </w:tc>
              <w:tc>
                <w:tcPr>
                  <w:tcW w:w="1433" w:type="dxa"/>
                  <w:tcBorders>
                    <w:top w:val="single" w:color="auto" w:sz="4" w:space="0"/>
                    <w:left w:val="single" w:color="auto" w:sz="4" w:space="0"/>
                    <w:bottom w:val="single" w:color="auto" w:sz="4" w:space="0"/>
                    <w:right w:val="single" w:color="auto" w:sz="4" w:space="0"/>
                  </w:tcBorders>
                  <w:vAlign w:val="center"/>
                </w:tcPr>
                <w:p w14:paraId="43F376B2">
                  <w:pPr>
                    <w:jc w:val="center"/>
                    <w:rPr>
                      <w:rFonts w:ascii="宋体" w:hAnsi="宋体"/>
                      <w:bCs/>
                      <w:color w:val="auto"/>
                      <w:szCs w:val="20"/>
                      <w:highlight w:val="none"/>
                    </w:rPr>
                  </w:pPr>
                  <w:r>
                    <w:rPr>
                      <w:rFonts w:ascii="宋体" w:hAnsi="宋体"/>
                      <w:color w:val="auto"/>
                      <w:szCs w:val="20"/>
                      <w:highlight w:val="none"/>
                    </w:rPr>
                    <w:t>0.20%</w:t>
                  </w:r>
                </w:p>
              </w:tc>
            </w:tr>
            <w:tr w14:paraId="39A41780">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5DAE1D21">
                  <w:pPr>
                    <w:jc w:val="center"/>
                    <w:rPr>
                      <w:rFonts w:ascii="宋体" w:hAnsi="宋体"/>
                      <w:color w:val="auto"/>
                      <w:szCs w:val="20"/>
                      <w:highlight w:val="none"/>
                    </w:rPr>
                  </w:pPr>
                  <w:r>
                    <w:rPr>
                      <w:rFonts w:ascii="宋体" w:hAnsi="宋体"/>
                      <w:color w:val="auto"/>
                      <w:szCs w:val="20"/>
                      <w:highlight w:val="none"/>
                    </w:rPr>
                    <w:t>10000-100000</w:t>
                  </w:r>
                </w:p>
              </w:tc>
              <w:tc>
                <w:tcPr>
                  <w:tcW w:w="1433" w:type="dxa"/>
                  <w:tcBorders>
                    <w:top w:val="nil"/>
                    <w:left w:val="nil"/>
                    <w:bottom w:val="single" w:color="auto" w:sz="8" w:space="0"/>
                    <w:right w:val="single" w:color="auto" w:sz="4" w:space="0"/>
                  </w:tcBorders>
                  <w:vAlign w:val="center"/>
                </w:tcPr>
                <w:p w14:paraId="5239AF6C">
                  <w:pPr>
                    <w:jc w:val="center"/>
                    <w:rPr>
                      <w:rFonts w:ascii="宋体" w:hAnsi="宋体"/>
                      <w:color w:val="auto"/>
                      <w:szCs w:val="20"/>
                      <w:highlight w:val="none"/>
                    </w:rPr>
                  </w:pPr>
                  <w:r>
                    <w:rPr>
                      <w:rFonts w:ascii="宋体" w:hAnsi="宋体"/>
                      <w:color w:val="auto"/>
                      <w:szCs w:val="20"/>
                      <w:highlight w:val="none"/>
                    </w:rPr>
                    <w:t>0.05%</w:t>
                  </w:r>
                </w:p>
              </w:tc>
              <w:tc>
                <w:tcPr>
                  <w:tcW w:w="1433" w:type="dxa"/>
                  <w:tcBorders>
                    <w:top w:val="single" w:color="auto" w:sz="4" w:space="0"/>
                    <w:left w:val="single" w:color="auto" w:sz="4" w:space="0"/>
                    <w:bottom w:val="single" w:color="auto" w:sz="4" w:space="0"/>
                    <w:right w:val="single" w:color="auto" w:sz="4" w:space="0"/>
                  </w:tcBorders>
                  <w:vAlign w:val="center"/>
                </w:tcPr>
                <w:p w14:paraId="6E7037E7">
                  <w:pPr>
                    <w:jc w:val="center"/>
                    <w:rPr>
                      <w:rFonts w:ascii="宋体" w:hAnsi="宋体"/>
                      <w:color w:val="auto"/>
                      <w:szCs w:val="20"/>
                      <w:highlight w:val="none"/>
                    </w:rPr>
                  </w:pPr>
                  <w:r>
                    <w:rPr>
                      <w:rFonts w:ascii="宋体" w:hAnsi="宋体"/>
                      <w:color w:val="auto"/>
                      <w:szCs w:val="20"/>
                      <w:highlight w:val="none"/>
                    </w:rPr>
                    <w:t>0.05%</w:t>
                  </w:r>
                </w:p>
              </w:tc>
              <w:tc>
                <w:tcPr>
                  <w:tcW w:w="1433" w:type="dxa"/>
                  <w:tcBorders>
                    <w:top w:val="single" w:color="auto" w:sz="4" w:space="0"/>
                    <w:left w:val="single" w:color="auto" w:sz="4" w:space="0"/>
                    <w:bottom w:val="single" w:color="auto" w:sz="4" w:space="0"/>
                    <w:right w:val="single" w:color="auto" w:sz="4" w:space="0"/>
                  </w:tcBorders>
                  <w:vAlign w:val="center"/>
                </w:tcPr>
                <w:p w14:paraId="655CDE62">
                  <w:pPr>
                    <w:jc w:val="center"/>
                    <w:rPr>
                      <w:rFonts w:ascii="宋体" w:hAnsi="宋体"/>
                      <w:bCs/>
                      <w:color w:val="auto"/>
                      <w:szCs w:val="20"/>
                      <w:highlight w:val="none"/>
                    </w:rPr>
                  </w:pPr>
                  <w:r>
                    <w:rPr>
                      <w:rFonts w:ascii="宋体" w:hAnsi="宋体"/>
                      <w:color w:val="auto"/>
                      <w:szCs w:val="20"/>
                      <w:highlight w:val="none"/>
                    </w:rPr>
                    <w:t>0.05%</w:t>
                  </w:r>
                </w:p>
              </w:tc>
            </w:tr>
            <w:tr w14:paraId="1690D828">
              <w:tblPrEx>
                <w:tblCellMar>
                  <w:top w:w="0" w:type="dxa"/>
                  <w:left w:w="0" w:type="dxa"/>
                  <w:bottom w:w="0" w:type="dxa"/>
                  <w:right w:w="0" w:type="dxa"/>
                </w:tblCellMar>
              </w:tblPrEx>
              <w:trPr>
                <w:trHeight w:val="451" w:hRule="atLeast"/>
              </w:trPr>
              <w:tc>
                <w:tcPr>
                  <w:tcW w:w="2098" w:type="dxa"/>
                  <w:tcBorders>
                    <w:top w:val="nil"/>
                    <w:left w:val="single" w:color="auto" w:sz="8" w:space="0"/>
                    <w:bottom w:val="single" w:color="auto" w:sz="8" w:space="0"/>
                    <w:right w:val="single" w:color="auto" w:sz="8" w:space="0"/>
                  </w:tcBorders>
                  <w:vAlign w:val="center"/>
                </w:tcPr>
                <w:p w14:paraId="6695CAE6">
                  <w:pPr>
                    <w:jc w:val="center"/>
                    <w:rPr>
                      <w:rFonts w:ascii="宋体" w:hAnsi="宋体"/>
                      <w:color w:val="auto"/>
                      <w:szCs w:val="21"/>
                      <w:highlight w:val="none"/>
                    </w:rPr>
                  </w:pPr>
                  <w:r>
                    <w:rPr>
                      <w:rFonts w:ascii="宋体" w:hAnsi="宋体"/>
                      <w:color w:val="auto"/>
                      <w:szCs w:val="21"/>
                      <w:highlight w:val="none"/>
                    </w:rPr>
                    <w:t>100000以上</w:t>
                  </w:r>
                </w:p>
              </w:tc>
              <w:tc>
                <w:tcPr>
                  <w:tcW w:w="1433" w:type="dxa"/>
                  <w:tcBorders>
                    <w:top w:val="nil"/>
                    <w:left w:val="nil"/>
                    <w:bottom w:val="single" w:color="auto" w:sz="8" w:space="0"/>
                    <w:right w:val="single" w:color="auto" w:sz="4" w:space="0"/>
                  </w:tcBorders>
                  <w:vAlign w:val="center"/>
                </w:tcPr>
                <w:p w14:paraId="56AA1687">
                  <w:pPr>
                    <w:jc w:val="center"/>
                    <w:rPr>
                      <w:rFonts w:ascii="宋体" w:hAnsi="宋体"/>
                      <w:color w:val="auto"/>
                      <w:szCs w:val="21"/>
                      <w:highlight w:val="none"/>
                    </w:rPr>
                  </w:pPr>
                  <w:r>
                    <w:rPr>
                      <w:rFonts w:ascii="宋体" w:hAnsi="宋体"/>
                      <w:color w:val="auto"/>
                      <w:szCs w:val="20"/>
                      <w:highlight w:val="none"/>
                    </w:rPr>
                    <w:t>0.01%</w:t>
                  </w:r>
                </w:p>
              </w:tc>
              <w:tc>
                <w:tcPr>
                  <w:tcW w:w="1433" w:type="dxa"/>
                  <w:tcBorders>
                    <w:top w:val="single" w:color="auto" w:sz="4" w:space="0"/>
                    <w:left w:val="single" w:color="auto" w:sz="4" w:space="0"/>
                    <w:bottom w:val="single" w:color="auto" w:sz="4" w:space="0"/>
                    <w:right w:val="single" w:color="auto" w:sz="4" w:space="0"/>
                  </w:tcBorders>
                  <w:vAlign w:val="center"/>
                </w:tcPr>
                <w:p w14:paraId="2A412616">
                  <w:pPr>
                    <w:jc w:val="center"/>
                    <w:rPr>
                      <w:rFonts w:ascii="宋体" w:hAnsi="宋体"/>
                      <w:color w:val="auto"/>
                      <w:szCs w:val="21"/>
                      <w:highlight w:val="none"/>
                    </w:rPr>
                  </w:pPr>
                  <w:r>
                    <w:rPr>
                      <w:rFonts w:ascii="宋体" w:hAnsi="宋体"/>
                      <w:color w:val="auto"/>
                      <w:szCs w:val="20"/>
                      <w:highlight w:val="none"/>
                    </w:rPr>
                    <w:t>0.01%</w:t>
                  </w:r>
                </w:p>
              </w:tc>
              <w:tc>
                <w:tcPr>
                  <w:tcW w:w="1433" w:type="dxa"/>
                  <w:tcBorders>
                    <w:top w:val="single" w:color="auto" w:sz="4" w:space="0"/>
                    <w:left w:val="single" w:color="auto" w:sz="4" w:space="0"/>
                    <w:bottom w:val="single" w:color="auto" w:sz="4" w:space="0"/>
                    <w:right w:val="single" w:color="auto" w:sz="4" w:space="0"/>
                  </w:tcBorders>
                  <w:vAlign w:val="center"/>
                </w:tcPr>
                <w:p w14:paraId="30279AE9">
                  <w:pPr>
                    <w:jc w:val="center"/>
                    <w:rPr>
                      <w:rFonts w:ascii="宋体" w:hAnsi="宋体"/>
                      <w:bCs/>
                      <w:color w:val="auto"/>
                      <w:szCs w:val="20"/>
                      <w:highlight w:val="none"/>
                    </w:rPr>
                  </w:pPr>
                  <w:r>
                    <w:rPr>
                      <w:rFonts w:ascii="宋体" w:hAnsi="宋体"/>
                      <w:color w:val="auto"/>
                      <w:szCs w:val="20"/>
                      <w:highlight w:val="none"/>
                    </w:rPr>
                    <w:t>0.01%</w:t>
                  </w:r>
                </w:p>
              </w:tc>
            </w:tr>
          </w:tbl>
          <w:p w14:paraId="69106411">
            <w:pPr>
              <w:pStyle w:val="51"/>
              <w:rPr>
                <w:rFonts w:hint="eastAsia" w:ascii="宋体" w:hAnsi="宋体" w:eastAsia="宋体" w:cs="宋体"/>
                <w:i w:val="0"/>
                <w:iCs w:val="0"/>
                <w:color w:val="auto"/>
                <w:sz w:val="24"/>
                <w:szCs w:val="24"/>
                <w:highlight w:val="none"/>
              </w:rPr>
            </w:pPr>
          </w:p>
          <w:p w14:paraId="5F567DEA">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收取</w:t>
            </w:r>
            <w:r>
              <w:rPr>
                <w:rFonts w:hint="eastAsia" w:ascii="宋体" w:hAnsi="宋体" w:eastAsia="宋体" w:cs="宋体"/>
                <w:i w:val="0"/>
                <w:iCs w:val="0"/>
                <w:color w:val="auto"/>
                <w:sz w:val="24"/>
                <w:szCs w:val="24"/>
                <w:highlight w:val="none"/>
              </w:rPr>
              <w:t>时间：领取成交通知书前</w:t>
            </w:r>
          </w:p>
          <w:p w14:paraId="18F722DC">
            <w:pPr>
              <w:pStyle w:val="51"/>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收取</w:t>
            </w:r>
            <w:r>
              <w:rPr>
                <w:rFonts w:hint="eastAsia" w:ascii="宋体" w:hAnsi="宋体" w:eastAsia="宋体" w:cs="宋体"/>
                <w:i w:val="0"/>
                <w:iCs w:val="0"/>
                <w:color w:val="auto"/>
                <w:sz w:val="24"/>
                <w:szCs w:val="24"/>
                <w:highlight w:val="none"/>
              </w:rPr>
              <w:t>方式：</w:t>
            </w:r>
            <w:r>
              <w:rPr>
                <w:rFonts w:hint="eastAsia" w:ascii="宋体" w:hAnsi="宋体" w:cs="宋体"/>
                <w:color w:val="auto"/>
                <w:sz w:val="24"/>
                <w:highlight w:val="none"/>
              </w:rPr>
              <w:t>电汇，由成交人一次性支付</w:t>
            </w:r>
            <w:r>
              <w:rPr>
                <w:rFonts w:hint="eastAsia" w:cs="宋体"/>
                <w:color w:val="auto"/>
                <w:sz w:val="24"/>
                <w:highlight w:val="none"/>
                <w:lang w:eastAsia="zh-CN"/>
              </w:rPr>
              <w:t>。</w:t>
            </w:r>
          </w:p>
        </w:tc>
      </w:tr>
      <w:tr w14:paraId="5C2D1F1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09F2E292">
            <w:pPr>
              <w:pStyle w:val="51"/>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41</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01662A2E">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zh-CN"/>
              </w:rPr>
              <w:t>是否接受进口产品</w:t>
            </w:r>
          </w:p>
        </w:tc>
        <w:tc>
          <w:tcPr>
            <w:tcW w:w="6450" w:type="dxa"/>
            <w:tcBorders>
              <w:top w:val="single" w:color="auto" w:sz="2" w:space="0"/>
              <w:left w:val="single" w:color="auto" w:sz="2" w:space="0"/>
              <w:bottom w:val="single" w:color="auto" w:sz="2" w:space="0"/>
              <w:right w:val="single" w:color="auto" w:sz="2" w:space="0"/>
            </w:tcBorders>
            <w:vAlign w:val="center"/>
          </w:tcPr>
          <w:p w14:paraId="49586D8F">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不接受</w:t>
            </w:r>
          </w:p>
          <w:p w14:paraId="40EC89F7">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F0A8"/>
            </w:r>
            <w:r>
              <w:rPr>
                <w:rFonts w:hint="eastAsia" w:ascii="宋体" w:hAnsi="宋体" w:eastAsia="宋体" w:cs="宋体"/>
                <w:i w:val="0"/>
                <w:iCs w:val="0"/>
                <w:color w:val="auto"/>
                <w:sz w:val="24"/>
                <w:szCs w:val="24"/>
                <w:highlight w:val="none"/>
                <w:lang w:val="zh-CN"/>
              </w:rPr>
              <w:t>接受</w:t>
            </w:r>
          </w:p>
        </w:tc>
      </w:tr>
      <w:tr w14:paraId="50A59EA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7E9014C3">
            <w:pPr>
              <w:pStyle w:val="51"/>
              <w:jc w:val="center"/>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val="en-US" w:eastAsia="zh-CN"/>
              </w:rPr>
              <w:t>42</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2</w:t>
            </w:r>
          </w:p>
        </w:tc>
        <w:tc>
          <w:tcPr>
            <w:tcW w:w="1971" w:type="dxa"/>
            <w:tcBorders>
              <w:top w:val="single" w:color="auto" w:sz="2" w:space="0"/>
              <w:left w:val="single" w:color="auto" w:sz="2" w:space="0"/>
              <w:bottom w:val="single" w:color="auto" w:sz="2" w:space="0"/>
              <w:right w:val="single" w:color="auto" w:sz="2" w:space="0"/>
            </w:tcBorders>
            <w:vAlign w:val="center"/>
          </w:tcPr>
          <w:p w14:paraId="7A58329B">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支持中小企业政策</w:t>
            </w:r>
            <w:r>
              <w:rPr>
                <w:rStyle w:val="35"/>
                <w:rFonts w:hint="eastAsia" w:ascii="宋体" w:hAnsi="宋体" w:eastAsia="宋体" w:cs="宋体"/>
                <w:b w:val="0"/>
                <w:i w:val="0"/>
                <w:iCs w:val="0"/>
                <w:color w:val="auto"/>
                <w:sz w:val="24"/>
                <w:szCs w:val="24"/>
                <w:highlight w:val="none"/>
                <w:lang w:val="en-US" w:eastAsia="zh-CN"/>
              </w:rPr>
              <w:t>（非专门面向中小企业采购项目适用）</w:t>
            </w:r>
          </w:p>
        </w:tc>
        <w:tc>
          <w:tcPr>
            <w:tcW w:w="6450" w:type="dxa"/>
            <w:tcBorders>
              <w:top w:val="single" w:color="auto" w:sz="2" w:space="0"/>
              <w:left w:val="single" w:color="auto" w:sz="2" w:space="0"/>
              <w:bottom w:val="single" w:color="auto" w:sz="2" w:space="0"/>
              <w:right w:val="single" w:color="auto" w:sz="2" w:space="0"/>
            </w:tcBorders>
            <w:vAlign w:val="center"/>
          </w:tcPr>
          <w:p w14:paraId="037BAE96">
            <w:pPr>
              <w:pStyle w:val="64"/>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1</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小型和微型企业价格扣除：</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cs="宋体"/>
                <w:b w:val="0"/>
                <w:i w:val="0"/>
                <w:iCs w:val="0"/>
                <w:color w:val="auto"/>
                <w:sz w:val="24"/>
                <w:szCs w:val="24"/>
                <w:highlight w:val="none"/>
                <w:u w:val="single"/>
                <w:lang w:val="en-US" w:eastAsia="zh-CN"/>
              </w:rPr>
              <w:t>/</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ascii="宋体" w:hAnsi="宋体" w:eastAsia="宋体" w:cs="宋体"/>
                <w:b w:val="0"/>
                <w:i w:val="0"/>
                <w:iCs w:val="0"/>
                <w:color w:val="auto"/>
                <w:sz w:val="24"/>
                <w:szCs w:val="24"/>
                <w:highlight w:val="none"/>
              </w:rPr>
              <w:t>。</w:t>
            </w:r>
          </w:p>
          <w:p w14:paraId="18DFD5A2">
            <w:pPr>
              <w:pStyle w:val="64"/>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2</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监狱企业价格扣除：</w:t>
            </w:r>
            <w:r>
              <w:rPr>
                <w:rFonts w:hint="eastAsia" w:ascii="宋体" w:hAnsi="宋体" w:eastAsia="宋体" w:cs="宋体"/>
                <w:b w:val="0"/>
                <w:i w:val="0"/>
                <w:iCs w:val="0"/>
                <w:color w:val="auto"/>
                <w:sz w:val="24"/>
                <w:szCs w:val="24"/>
                <w:highlight w:val="none"/>
                <w:u w:val="none"/>
              </w:rPr>
              <w:t>同小型和微型企业</w:t>
            </w:r>
            <w:r>
              <w:rPr>
                <w:rFonts w:hint="eastAsia" w:ascii="宋体" w:hAnsi="宋体" w:eastAsia="宋体" w:cs="宋体"/>
                <w:b w:val="0"/>
                <w:i w:val="0"/>
                <w:iCs w:val="0"/>
                <w:color w:val="auto"/>
                <w:sz w:val="24"/>
                <w:szCs w:val="24"/>
                <w:highlight w:val="none"/>
              </w:rPr>
              <w:t>。</w:t>
            </w:r>
          </w:p>
          <w:p w14:paraId="568FA892">
            <w:pPr>
              <w:pStyle w:val="64"/>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3</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残疾人福利性单位价格扣除：</w:t>
            </w:r>
            <w:r>
              <w:rPr>
                <w:rFonts w:hint="eastAsia" w:ascii="宋体" w:hAnsi="宋体" w:eastAsia="宋体" w:cs="宋体"/>
                <w:b w:val="0"/>
                <w:i w:val="0"/>
                <w:iCs w:val="0"/>
                <w:color w:val="auto"/>
                <w:sz w:val="24"/>
                <w:szCs w:val="24"/>
                <w:highlight w:val="none"/>
                <w:u w:val="none"/>
              </w:rPr>
              <w:t>同小型和微型企业</w:t>
            </w:r>
            <w:r>
              <w:rPr>
                <w:rFonts w:hint="eastAsia" w:ascii="宋体" w:hAnsi="宋体" w:eastAsia="宋体" w:cs="宋体"/>
                <w:b w:val="0"/>
                <w:i w:val="0"/>
                <w:iCs w:val="0"/>
                <w:color w:val="auto"/>
                <w:sz w:val="24"/>
                <w:szCs w:val="24"/>
                <w:highlight w:val="none"/>
              </w:rPr>
              <w:t>。</w:t>
            </w:r>
          </w:p>
          <w:p w14:paraId="30B8D435">
            <w:pPr>
              <w:pStyle w:val="64"/>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4</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符合条件的联合体价格扣除：</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cs="宋体"/>
                <w:b w:val="0"/>
                <w:i w:val="0"/>
                <w:iCs w:val="0"/>
                <w:color w:val="auto"/>
                <w:sz w:val="24"/>
                <w:szCs w:val="24"/>
                <w:highlight w:val="none"/>
                <w:u w:val="single"/>
                <w:lang w:val="en-US" w:eastAsia="zh-CN"/>
              </w:rPr>
              <w:t>/</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ascii="宋体" w:hAnsi="宋体" w:eastAsia="宋体" w:cs="宋体"/>
                <w:b w:val="0"/>
                <w:i w:val="0"/>
                <w:iCs w:val="0"/>
                <w:color w:val="auto"/>
                <w:sz w:val="24"/>
                <w:szCs w:val="24"/>
                <w:highlight w:val="none"/>
              </w:rPr>
              <w:t>。</w:t>
            </w:r>
          </w:p>
          <w:p w14:paraId="27AFEC6B">
            <w:pPr>
              <w:pStyle w:val="64"/>
              <w:widowControl w:val="0"/>
              <w:spacing w:before="0" w:beforeAutospacing="0" w:after="0" w:afterAutospacing="0" w:line="240" w:lineRule="auto"/>
              <w:jc w:val="both"/>
              <w:rPr>
                <w:rFonts w:hint="eastAsia" w:ascii="宋体" w:hAnsi="宋体" w:eastAsia="宋体" w:cs="宋体"/>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5</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符合条件的向小微企业分包的大中型企业价格扣除：</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cs="宋体"/>
                <w:b w:val="0"/>
                <w:i w:val="0"/>
                <w:iCs w:val="0"/>
                <w:color w:val="auto"/>
                <w:sz w:val="24"/>
                <w:szCs w:val="24"/>
                <w:highlight w:val="none"/>
                <w:u w:val="single"/>
                <w:lang w:val="en-US" w:eastAsia="zh-CN"/>
              </w:rPr>
              <w:t>/</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ascii="宋体" w:hAnsi="宋体" w:eastAsia="宋体" w:cs="宋体"/>
                <w:b w:val="0"/>
                <w:i w:val="0"/>
                <w:iCs w:val="0"/>
                <w:color w:val="auto"/>
                <w:sz w:val="24"/>
                <w:szCs w:val="24"/>
                <w:highlight w:val="none"/>
              </w:rPr>
              <w:t>。（允许大中型企业向小微企业分包的项目适用）</w:t>
            </w:r>
          </w:p>
        </w:tc>
      </w:tr>
      <w:tr w14:paraId="637635E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70" w:hRule="atLeast"/>
        </w:trPr>
        <w:tc>
          <w:tcPr>
            <w:tcW w:w="970" w:type="dxa"/>
            <w:tcBorders>
              <w:top w:val="single" w:color="auto" w:sz="2" w:space="0"/>
              <w:left w:val="single" w:color="auto" w:sz="2" w:space="0"/>
              <w:bottom w:val="single" w:color="auto" w:sz="2" w:space="0"/>
              <w:right w:val="single" w:color="auto" w:sz="2" w:space="0"/>
            </w:tcBorders>
            <w:vAlign w:val="center"/>
          </w:tcPr>
          <w:p w14:paraId="6FD8FF1E">
            <w:pPr>
              <w:pStyle w:val="51"/>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42.9</w:t>
            </w:r>
          </w:p>
        </w:tc>
        <w:tc>
          <w:tcPr>
            <w:tcW w:w="1971" w:type="dxa"/>
            <w:tcBorders>
              <w:top w:val="single" w:color="auto" w:sz="2" w:space="0"/>
              <w:left w:val="single" w:color="auto" w:sz="2" w:space="0"/>
              <w:bottom w:val="single" w:color="auto" w:sz="2" w:space="0"/>
              <w:right w:val="single" w:color="auto" w:sz="2" w:space="0"/>
            </w:tcBorders>
            <w:vAlign w:val="center"/>
          </w:tcPr>
          <w:p w14:paraId="651E405C">
            <w:pPr>
              <w:pStyle w:val="51"/>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标的所属行业</w:t>
            </w:r>
          </w:p>
          <w:p w14:paraId="36A079A2">
            <w:pPr>
              <w:pStyle w:val="51"/>
              <w:rPr>
                <w:rFonts w:hint="eastAsia" w:ascii="宋体" w:hAnsi="宋体" w:eastAsia="宋体" w:cs="宋体"/>
                <w:i w:val="0"/>
                <w:iCs w:val="0"/>
                <w:color w:val="auto"/>
                <w:sz w:val="24"/>
                <w:szCs w:val="24"/>
                <w:highlight w:val="none"/>
              </w:rPr>
            </w:pPr>
            <w:r>
              <w:rPr>
                <w:rStyle w:val="35"/>
                <w:rFonts w:hint="eastAsia" w:ascii="宋体" w:hAnsi="宋体" w:eastAsia="宋体" w:cs="宋体"/>
                <w:b w:val="0"/>
                <w:i w:val="0"/>
                <w:iCs w:val="0"/>
                <w:color w:val="auto"/>
                <w:sz w:val="24"/>
                <w:szCs w:val="24"/>
                <w:highlight w:val="none"/>
                <w:lang w:val="en-US" w:eastAsia="zh-CN"/>
              </w:rPr>
              <w:t>（参照后附</w:t>
            </w:r>
            <w:r>
              <w:rPr>
                <w:rStyle w:val="35"/>
                <w:rFonts w:hint="eastAsia" w:ascii="宋体" w:hAnsi="宋体" w:eastAsia="宋体" w:cs="宋体"/>
                <w:b w:val="0"/>
                <w:i w:val="0"/>
                <w:iCs w:val="0"/>
                <w:color w:val="auto"/>
                <w:sz w:val="24"/>
                <w:szCs w:val="24"/>
                <w:highlight w:val="none"/>
                <w:lang w:eastAsia="zh-CN"/>
              </w:rPr>
              <w:t>《</w:t>
            </w:r>
            <w:r>
              <w:rPr>
                <w:rStyle w:val="35"/>
                <w:rFonts w:hint="eastAsia" w:ascii="宋体" w:hAnsi="宋体" w:eastAsia="宋体" w:cs="宋体"/>
                <w:b w:val="0"/>
                <w:i w:val="0"/>
                <w:iCs w:val="0"/>
                <w:color w:val="auto"/>
                <w:sz w:val="24"/>
                <w:szCs w:val="24"/>
                <w:highlight w:val="none"/>
              </w:rPr>
              <w:t>工信部联企业〔2011〕300号</w:t>
            </w:r>
            <w:r>
              <w:rPr>
                <w:rStyle w:val="35"/>
                <w:rFonts w:hint="eastAsia" w:ascii="宋体" w:hAnsi="宋体" w:eastAsia="宋体" w:cs="宋体"/>
                <w:b w:val="0"/>
                <w:i w:val="0"/>
                <w:iCs w:val="0"/>
                <w:color w:val="auto"/>
                <w:sz w:val="24"/>
                <w:szCs w:val="24"/>
                <w:highlight w:val="none"/>
                <w:lang w:eastAsia="zh-CN"/>
              </w:rPr>
              <w:t>》）</w:t>
            </w:r>
          </w:p>
        </w:tc>
        <w:tc>
          <w:tcPr>
            <w:tcW w:w="6450" w:type="dxa"/>
            <w:tcBorders>
              <w:top w:val="single" w:color="auto" w:sz="2" w:space="0"/>
              <w:left w:val="single" w:color="auto" w:sz="2" w:space="0"/>
              <w:bottom w:val="single" w:color="auto" w:sz="2" w:space="0"/>
              <w:right w:val="single" w:color="auto" w:sz="2" w:space="0"/>
            </w:tcBorders>
            <w:vAlign w:val="center"/>
          </w:tcPr>
          <w:p w14:paraId="0B712097">
            <w:pPr>
              <w:keepNext w:val="0"/>
              <w:keepLines w:val="0"/>
              <w:widowControl/>
              <w:suppressLineNumbers w:val="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val="en-US" w:eastAsia="zh-CN" w:bidi="ar"/>
              </w:rPr>
              <w:t xml:space="preserve">本项目采购标的对应的中小企业划分标准所属行业： </w:t>
            </w:r>
          </w:p>
          <w:tbl>
            <w:tblPr>
              <w:tblStyle w:val="33"/>
              <w:tblW w:w="61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7"/>
              <w:gridCol w:w="2500"/>
              <w:gridCol w:w="2569"/>
            </w:tblGrid>
            <w:tr w14:paraId="20ED2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87" w:type="dxa"/>
                  <w:vAlign w:val="center"/>
                </w:tcPr>
                <w:p w14:paraId="0E15EBC5">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ascii="宋体" w:hAnsi="宋体" w:eastAsia="宋体" w:cs="宋体"/>
                      <w:i w:val="0"/>
                      <w:iCs w:val="0"/>
                      <w:color w:val="auto"/>
                      <w:kern w:val="0"/>
                      <w:sz w:val="24"/>
                      <w:szCs w:val="24"/>
                      <w:highlight w:val="none"/>
                      <w:lang w:val="en-US" w:eastAsia="zh-CN" w:bidi="ar"/>
                    </w:rPr>
                    <w:t>包号</w:t>
                  </w:r>
                </w:p>
              </w:tc>
              <w:tc>
                <w:tcPr>
                  <w:tcW w:w="2500" w:type="dxa"/>
                  <w:vAlign w:val="center"/>
                </w:tcPr>
                <w:p w14:paraId="29FA63E4">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ascii="宋体" w:hAnsi="宋体" w:eastAsia="宋体" w:cs="宋体"/>
                      <w:i w:val="0"/>
                      <w:iCs w:val="0"/>
                      <w:color w:val="auto"/>
                      <w:kern w:val="0"/>
                      <w:sz w:val="24"/>
                      <w:szCs w:val="24"/>
                      <w:highlight w:val="none"/>
                      <w:lang w:val="en-US" w:eastAsia="zh-CN" w:bidi="ar"/>
                    </w:rPr>
                    <w:t>标的名称</w:t>
                  </w:r>
                </w:p>
              </w:tc>
              <w:tc>
                <w:tcPr>
                  <w:tcW w:w="2569" w:type="dxa"/>
                  <w:vAlign w:val="center"/>
                </w:tcPr>
                <w:p w14:paraId="1922017C">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ascii="宋体" w:hAnsi="宋体" w:eastAsia="宋体" w:cs="宋体"/>
                      <w:i w:val="0"/>
                      <w:iCs w:val="0"/>
                      <w:color w:val="auto"/>
                      <w:kern w:val="0"/>
                      <w:sz w:val="24"/>
                      <w:szCs w:val="24"/>
                      <w:highlight w:val="none"/>
                      <w:lang w:val="en-US" w:eastAsia="zh-CN" w:bidi="ar"/>
                    </w:rPr>
                    <w:t>中小企业划分标准所属行业</w:t>
                  </w:r>
                </w:p>
              </w:tc>
            </w:tr>
            <w:tr w14:paraId="5EAC7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29F53102">
                  <w:pPr>
                    <w:keepNext w:val="0"/>
                    <w:keepLines w:val="0"/>
                    <w:widowControl/>
                    <w:suppressLineNumbers w:val="0"/>
                    <w:jc w:val="center"/>
                    <w:rPr>
                      <w:rFonts w:hint="default" w:ascii="宋体" w:hAnsi="宋体" w:eastAsia="宋体" w:cs="宋体"/>
                      <w:i w:val="0"/>
                      <w:iCs w:val="0"/>
                      <w:color w:val="auto"/>
                      <w:kern w:val="0"/>
                      <w:sz w:val="24"/>
                      <w:szCs w:val="24"/>
                      <w:highlight w:val="none"/>
                      <w:vertAlign w:val="baseline"/>
                      <w:lang w:val="en-US" w:eastAsia="zh-CN" w:bidi="ar"/>
                    </w:rPr>
                  </w:pPr>
                  <w:r>
                    <w:rPr>
                      <w:rFonts w:hint="eastAsia" w:cs="宋体"/>
                      <w:i w:val="0"/>
                      <w:iCs w:val="0"/>
                      <w:color w:val="auto"/>
                      <w:kern w:val="0"/>
                      <w:sz w:val="24"/>
                      <w:szCs w:val="24"/>
                      <w:highlight w:val="none"/>
                      <w:vertAlign w:val="baseline"/>
                      <w:lang w:val="en-US" w:eastAsia="zh-CN" w:bidi="ar"/>
                    </w:rPr>
                    <w:t>/</w:t>
                  </w:r>
                </w:p>
              </w:tc>
              <w:tc>
                <w:tcPr>
                  <w:tcW w:w="2500" w:type="dxa"/>
                  <w:vAlign w:val="center"/>
                </w:tcPr>
                <w:p w14:paraId="4DB4AF85">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cs="宋体"/>
                      <w:i w:val="0"/>
                      <w:iCs w:val="0"/>
                      <w:color w:val="auto"/>
                      <w:kern w:val="0"/>
                      <w:sz w:val="24"/>
                      <w:szCs w:val="24"/>
                      <w:highlight w:val="none"/>
                      <w:vertAlign w:val="baseline"/>
                      <w:lang w:val="en-US" w:eastAsia="zh-CN" w:bidi="ar"/>
                    </w:rPr>
                    <w:t>新疆医科大学第一附属医院基建工程项目造价咨询服务项目</w:t>
                  </w:r>
                </w:p>
              </w:tc>
              <w:tc>
                <w:tcPr>
                  <w:tcW w:w="2569" w:type="dxa"/>
                  <w:vAlign w:val="center"/>
                </w:tcPr>
                <w:p w14:paraId="283C12DD">
                  <w:pPr>
                    <w:keepNext w:val="0"/>
                    <w:keepLines w:val="0"/>
                    <w:widowControl/>
                    <w:suppressLineNumbers w:val="0"/>
                    <w:jc w:val="center"/>
                    <w:rPr>
                      <w:rFonts w:hint="default" w:ascii="宋体" w:hAnsi="宋体" w:eastAsia="宋体" w:cs="宋体"/>
                      <w:i w:val="0"/>
                      <w:iCs w:val="0"/>
                      <w:color w:val="auto"/>
                      <w:kern w:val="0"/>
                      <w:sz w:val="24"/>
                      <w:szCs w:val="24"/>
                      <w:highlight w:val="none"/>
                      <w:vertAlign w:val="baseline"/>
                      <w:lang w:val="en-US" w:eastAsia="zh-CN" w:bidi="ar"/>
                    </w:rPr>
                  </w:pPr>
                  <w:r>
                    <w:rPr>
                      <w:rFonts w:hint="eastAsia" w:cs="宋体"/>
                      <w:b/>
                      <w:bCs/>
                      <w:color w:val="auto"/>
                      <w:kern w:val="0"/>
                      <w:sz w:val="24"/>
                      <w:szCs w:val="24"/>
                      <w:highlight w:val="none"/>
                      <w:lang w:val="en-US" w:eastAsia="zh-CN"/>
                    </w:rPr>
                    <w:t>其他未列明行业</w:t>
                  </w:r>
                </w:p>
              </w:tc>
            </w:tr>
          </w:tbl>
          <w:p w14:paraId="7815B183">
            <w:pPr>
              <w:pStyle w:val="51"/>
              <w:rPr>
                <w:rFonts w:hint="eastAsia" w:ascii="宋体" w:hAnsi="宋体" w:eastAsia="宋体" w:cs="宋体"/>
                <w:i w:val="0"/>
                <w:iCs w:val="0"/>
                <w:color w:val="auto"/>
                <w:sz w:val="24"/>
                <w:szCs w:val="24"/>
                <w:highlight w:val="none"/>
              </w:rPr>
            </w:pPr>
          </w:p>
        </w:tc>
      </w:tr>
      <w:tr w14:paraId="202F4FC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89"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124F09EA">
            <w:pPr>
              <w:pStyle w:val="51"/>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43.5</w:t>
            </w:r>
          </w:p>
        </w:tc>
        <w:tc>
          <w:tcPr>
            <w:tcW w:w="1971" w:type="dxa"/>
            <w:tcBorders>
              <w:top w:val="single" w:color="auto" w:sz="2" w:space="0"/>
              <w:left w:val="single" w:color="auto" w:sz="2" w:space="0"/>
              <w:bottom w:val="single" w:color="auto" w:sz="2" w:space="0"/>
              <w:right w:val="single" w:color="auto" w:sz="2" w:space="0"/>
            </w:tcBorders>
            <w:shd w:val="clear" w:color="auto" w:fill="auto"/>
            <w:vAlign w:val="center"/>
          </w:tcPr>
          <w:p w14:paraId="4E15F4D5">
            <w:pPr>
              <w:pStyle w:val="51"/>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优先采购创新节能环保产品</w:t>
            </w:r>
          </w:p>
        </w:tc>
        <w:tc>
          <w:tcPr>
            <w:tcW w:w="6450" w:type="dxa"/>
            <w:tcBorders>
              <w:top w:val="single" w:color="auto" w:sz="2" w:space="0"/>
              <w:left w:val="single" w:color="auto" w:sz="2" w:space="0"/>
              <w:bottom w:val="single" w:color="auto" w:sz="2" w:space="0"/>
              <w:right w:val="single" w:color="auto" w:sz="2" w:space="0"/>
            </w:tcBorders>
            <w:shd w:val="clear" w:color="auto" w:fill="auto"/>
            <w:vAlign w:val="center"/>
          </w:tcPr>
          <w:p w14:paraId="02FF658C">
            <w:pPr>
              <w:pStyle w:val="51"/>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所</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产品纳入创新产品应用示范推荐目录内企业、所</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产品获得节能产品或环境标志产品认证证书的</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报价给予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的价格扣除。</w:t>
            </w:r>
          </w:p>
        </w:tc>
      </w:tr>
      <w:tr w14:paraId="4CCF238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1E46FADC">
            <w:pPr>
              <w:pStyle w:val="51"/>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7</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shd w:val="clear" w:color="auto" w:fill="auto"/>
            <w:vAlign w:val="center"/>
          </w:tcPr>
          <w:p w14:paraId="1D7E0E83">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政府采购</w:t>
            </w:r>
          </w:p>
          <w:p w14:paraId="797DD7EE">
            <w:pPr>
              <w:pStyle w:val="51"/>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合同融资政策</w:t>
            </w:r>
          </w:p>
        </w:tc>
        <w:tc>
          <w:tcPr>
            <w:tcW w:w="6450" w:type="dxa"/>
            <w:tcBorders>
              <w:top w:val="single" w:color="auto" w:sz="2" w:space="0"/>
              <w:left w:val="single" w:color="auto" w:sz="2" w:space="0"/>
              <w:bottom w:val="single" w:color="auto" w:sz="2" w:space="0"/>
              <w:right w:val="single" w:color="auto" w:sz="2" w:space="0"/>
            </w:tcBorders>
            <w:shd w:val="clear" w:color="auto" w:fill="auto"/>
            <w:vAlign w:val="center"/>
          </w:tcPr>
          <w:p w14:paraId="17FC93B6">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1.</w:t>
            </w:r>
            <w:r>
              <w:rPr>
                <w:rFonts w:hint="eastAsia" w:ascii="宋体" w:hAnsi="宋体" w:eastAsia="宋体" w:cs="宋体"/>
                <w:i w:val="0"/>
                <w:iCs w:val="0"/>
                <w:color w:val="auto"/>
                <w:sz w:val="24"/>
                <w:szCs w:val="24"/>
                <w:highlight w:val="none"/>
              </w:rPr>
              <w:t>有融资需求的</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人在获得政府采购</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通知书后，即可向开展“政采贷”业务的金融机构提出申请，金融机构依据政府采购</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通知书和政府采购合同，为中小微企业提供融资服务。</w:t>
            </w:r>
          </w:p>
          <w:p w14:paraId="123A0A39">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渠道和方式：</w:t>
            </w:r>
            <w:r>
              <w:rPr>
                <w:rFonts w:hint="eastAsia" w:ascii="宋体" w:hAnsi="宋体" w:eastAsia="宋体" w:cs="宋体"/>
                <w:i w:val="0"/>
                <w:iCs w:val="0"/>
                <w:color w:val="auto"/>
                <w:sz w:val="24"/>
                <w:szCs w:val="24"/>
                <w:highlight w:val="none"/>
                <w:lang w:val="en-US" w:eastAsia="zh-CN"/>
              </w:rPr>
              <w:t>详见新疆政府采购网</w:t>
            </w:r>
            <w:r>
              <w:rPr>
                <w:rFonts w:hint="eastAsia" w:ascii="宋体" w:hAnsi="宋体" w:eastAsia="宋体" w:cs="宋体"/>
                <w:i w:val="0"/>
                <w:iCs w:val="0"/>
                <w:color w:val="auto"/>
                <w:sz w:val="24"/>
                <w:szCs w:val="24"/>
                <w:highlight w:val="none"/>
              </w:rPr>
              <w:t>。</w:t>
            </w:r>
          </w:p>
          <w:p w14:paraId="004663D4">
            <w:pPr>
              <w:pStyle w:val="51"/>
              <w:ind w:firstLine="240" w:firstLineChars="10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为支持和促进中小企业发展，进一步发挥政府采购政策功能，本采购项目适用于政府采购融资优惠、政采贷、电子保函相关政策，鼓励供应商使用电子保函代替现金缴纳各类保证金，在线完成保函的申请、审核、开票、出函等环节，投标企业注意区分办理保函类型，并确认投标有效期，供应商若想了解或使用相关金融服务，可登录【政府采购网】-顶部通栏【信用融资】、【办事指南】模块查看</w:t>
            </w:r>
            <w:r>
              <w:rPr>
                <w:rFonts w:hint="eastAsia" w:ascii="宋体" w:hAnsi="宋体" w:eastAsia="宋体" w:cs="宋体"/>
                <w:i w:val="0"/>
                <w:iCs w:val="0"/>
                <w:color w:val="auto"/>
                <w:sz w:val="24"/>
                <w:szCs w:val="24"/>
                <w:highlight w:val="none"/>
                <w:lang w:eastAsia="zh-CN"/>
              </w:rPr>
              <w:t>。</w:t>
            </w:r>
          </w:p>
        </w:tc>
      </w:tr>
      <w:tr w14:paraId="4698BB7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6242" w:hRule="atLeast"/>
        </w:trPr>
        <w:tc>
          <w:tcPr>
            <w:tcW w:w="970" w:type="dxa"/>
            <w:tcBorders>
              <w:top w:val="single" w:color="auto" w:sz="2" w:space="0"/>
              <w:left w:val="single" w:color="auto" w:sz="2" w:space="0"/>
              <w:bottom w:val="single" w:color="auto" w:sz="2" w:space="0"/>
              <w:right w:val="single" w:color="auto" w:sz="4" w:space="0"/>
            </w:tcBorders>
            <w:vAlign w:val="center"/>
          </w:tcPr>
          <w:p w14:paraId="63FEC7A7">
            <w:pPr>
              <w:pStyle w:val="51"/>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4" w:space="0"/>
            </w:tcBorders>
            <w:vAlign w:val="center"/>
          </w:tcPr>
          <w:p w14:paraId="238B53F8">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需要补充的其他内容</w:t>
            </w:r>
          </w:p>
        </w:tc>
        <w:tc>
          <w:tcPr>
            <w:tcW w:w="6450" w:type="dxa"/>
            <w:tcBorders>
              <w:top w:val="single" w:color="auto" w:sz="2" w:space="0"/>
              <w:left w:val="single" w:color="auto" w:sz="4" w:space="0"/>
              <w:bottom w:val="single" w:color="auto" w:sz="2" w:space="0"/>
              <w:right w:val="single" w:color="auto" w:sz="2" w:space="0"/>
            </w:tcBorders>
            <w:vAlign w:val="center"/>
          </w:tcPr>
          <w:p w14:paraId="0FF8CEBC">
            <w:pPr>
              <w:pStyle w:val="51"/>
              <w:numPr>
                <w:ilvl w:val="0"/>
                <w:numId w:val="2"/>
              </w:numPr>
              <w:shd w:val="clea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电子标书加盖印章的两种方式:一种为电子章;另一种为纸质版盖章后扫描，两种方式的任意一种在评审时均予认可。</w:t>
            </w:r>
          </w:p>
          <w:p w14:paraId="63C3D971">
            <w:pPr>
              <w:pStyle w:val="51"/>
              <w:numPr>
                <w:ilvl w:val="0"/>
                <w:numId w:val="2"/>
              </w:numPr>
              <w:shd w:val="clea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供应商在上传电子响应文件时，需在“商务技术响应文件”中按响应文件格式要求上传完整的响应文件(从封面开始至最后一页)。</w:t>
            </w:r>
          </w:p>
          <w:p w14:paraId="7766FEAB">
            <w:pPr>
              <w:pStyle w:val="51"/>
              <w:numPr>
                <w:ilvl w:val="0"/>
                <w:numId w:val="2"/>
              </w:numPr>
              <w:shd w:val="clea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潜在供应商领取文件须提前完成注册、CA证书和电子签章申领和绑定、下载投标客户端。因未注册入库、未办理CA数字证书、CA证书故障、操作不当等原因造成无法投标或投标失败等后果由供应商自行承担。CA证书办理可通过在线APP“新疆政务通”或新疆CA网点办理CA数字证书和电子签章；若单位已经办理过新疆CA证书且证书符合国产密码算法要求，可直接联系发证机构，申请增加“政采云”招投标电子签章，无需重新办理。</w:t>
            </w:r>
          </w:p>
          <w:p w14:paraId="3C3213E8">
            <w:pPr>
              <w:pStyle w:val="51"/>
              <w:numPr>
                <w:ilvl w:val="0"/>
                <w:numId w:val="2"/>
              </w:numPr>
              <w:shd w:val="clea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★低于成本价不正当竞争预防措施(实质性要求)：在评审过程中，磋商小组认为供应商报价低于成本价，有可能影响产品质</w:t>
            </w:r>
            <w:r>
              <w:rPr>
                <w:rFonts w:hint="eastAsia" w:ascii="宋体" w:hAnsi="宋体" w:eastAsia="宋体" w:cs="宋体"/>
                <w:b w:val="0"/>
                <w:bCs/>
                <w:color w:val="auto"/>
                <w:sz w:val="24"/>
                <w:szCs w:val="24"/>
                <w:highlight w:val="none"/>
                <w:lang w:eastAsia="zh-CN"/>
              </w:rPr>
              <w:t>量或者不能诚信履约的，磋商小组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w:t>
            </w:r>
            <w:r>
              <w:rPr>
                <w:rFonts w:hint="eastAsia" w:ascii="宋体" w:hAnsi="宋体" w:eastAsia="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eastAsia="zh-CN"/>
              </w:rPr>
              <w:t>供应商为其他组织的，由其主要负责人或者代理人签字确认</w:t>
            </w:r>
            <w:r>
              <w:rPr>
                <w:rFonts w:hint="eastAsia" w:ascii="宋体" w:hAnsi="宋体" w:eastAsia="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eastAsia="zh-CN"/>
              </w:rPr>
              <w:t>供应商为自然人的，由其本人或者代理人签字确认。供应商提供书面说明后，磋商小组应当结合采购项目采购需求、专业实际情况、供应商财务状况报告、与其他供应商比较情况等就供应商书面说明进行审查评价。供应商拒绝或者变相拒绝提供有效书面说明或者书面说明不能证明其报价合理性的，磋商小组应当将其响应文件作为无效处理。</w:t>
            </w:r>
          </w:p>
          <w:p w14:paraId="3353CA42">
            <w:pPr>
              <w:pStyle w:val="51"/>
              <w:numPr>
                <w:ilvl w:val="0"/>
                <w:numId w:val="2"/>
              </w:numPr>
              <w:shd w:val="clear"/>
              <w:rPr>
                <w:rFonts w:hint="eastAsia" w:cs="宋体"/>
                <w:i w:val="0"/>
                <w:iCs w:val="0"/>
                <w:color w:val="auto"/>
                <w:sz w:val="24"/>
                <w:szCs w:val="24"/>
                <w:highlight w:val="none"/>
                <w:lang w:val="en-US" w:eastAsia="zh-CN"/>
              </w:rPr>
            </w:pPr>
            <w:r>
              <w:rPr>
                <w:rFonts w:hint="eastAsia" w:ascii="宋体" w:hAnsi="宋体" w:eastAsia="宋体" w:cs="宋体"/>
                <w:color w:val="auto"/>
                <w:kern w:val="1"/>
                <w:sz w:val="24"/>
                <w:szCs w:val="24"/>
                <w:highlight w:val="none"/>
              </w:rPr>
              <w:t>在评审过程直至签订合同前的任何时间，如经证实发现供应商提供虚假投标资料(包括技术支持资料)或信息骗取成交的，或者未按本竞争性磋商文件要求提交履约保证金的（如有要求），将取消其成交资格，没收其磋商保证金，并报主管部门备案。</w:t>
            </w:r>
          </w:p>
          <w:p w14:paraId="2C74B85D">
            <w:pPr>
              <w:pStyle w:val="51"/>
              <w:numPr>
                <w:ilvl w:val="0"/>
                <w:numId w:val="2"/>
              </w:numPr>
              <w:shd w:val="clea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供应商操作指南详见新疆政府采购网（http://www.ccgp-xinjiang.gov.cn/）—办事指南—操作指南。</w:t>
            </w:r>
          </w:p>
          <w:p w14:paraId="1C17D85D">
            <w:pPr>
              <w:pStyle w:val="51"/>
              <w:numPr>
                <w:ilvl w:val="0"/>
                <w:numId w:val="2"/>
              </w:numPr>
              <w:shd w:val="clea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系统操作问题请咨询技术支持电话0991-2899144，CA办理问题请咨询新疆CA服务电话0991-2819290，或加QQ号800175577。</w:t>
            </w:r>
          </w:p>
          <w:p w14:paraId="1E45C343">
            <w:pPr>
              <w:pStyle w:val="51"/>
              <w:numPr>
                <w:ilvl w:val="0"/>
                <w:numId w:val="2"/>
              </w:numPr>
              <w:shd w:val="clea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为支持和促进中小企业发展，进一步发挥政府采购政策功能，鼓励金融机构积极开发灵活适用的政府采购金融服务产品，拓宽企业融资渠道。鼓励供应商使用政采云电子保函代替现金缴纳磋商保证金，如履约保证金与预付款保证金等，具体可登录【新疆政府采购网】-【电子保函】模块查看：直达链接：</w:t>
            </w:r>
            <w:r>
              <w:rPr>
                <w:rFonts w:hint="eastAsia" w:cs="宋体"/>
                <w:i w:val="0"/>
                <w:iCs w:val="0"/>
                <w:color w:val="auto"/>
                <w:sz w:val="24"/>
                <w:szCs w:val="24"/>
                <w:highlight w:val="none"/>
                <w:lang w:val="en-US" w:eastAsia="zh-CN"/>
              </w:rPr>
              <w:fldChar w:fldCharType="begin"/>
            </w:r>
            <w:r>
              <w:rPr>
                <w:rFonts w:hint="eastAsia" w:cs="宋体"/>
                <w:i w:val="0"/>
                <w:iCs w:val="0"/>
                <w:color w:val="auto"/>
                <w:sz w:val="24"/>
                <w:szCs w:val="24"/>
                <w:highlight w:val="none"/>
                <w:lang w:val="en-US" w:eastAsia="zh-CN"/>
              </w:rPr>
              <w:instrText xml:space="preserve"> HYPERLINK "https://jinrong.zcygov.cn/luban/finance/letter/xinjiang?pageModelFlag=650000" </w:instrText>
            </w:r>
            <w:r>
              <w:rPr>
                <w:rFonts w:hint="eastAsia" w:cs="宋体"/>
                <w:i w:val="0"/>
                <w:iCs w:val="0"/>
                <w:color w:val="auto"/>
                <w:sz w:val="24"/>
                <w:szCs w:val="24"/>
                <w:highlight w:val="none"/>
                <w:lang w:val="en-US" w:eastAsia="zh-CN"/>
              </w:rPr>
              <w:fldChar w:fldCharType="separate"/>
            </w:r>
            <w:r>
              <w:rPr>
                <w:rStyle w:val="36"/>
                <w:rFonts w:hint="eastAsia" w:cs="宋体"/>
                <w:i w:val="0"/>
                <w:iCs w:val="0"/>
                <w:sz w:val="24"/>
                <w:szCs w:val="24"/>
                <w:highlight w:val="none"/>
                <w:lang w:val="en-US" w:eastAsia="zh-CN"/>
              </w:rPr>
              <w:t>https://jinrong.zcygov.cn/luban/finance/letter/xinjiang?pageModelFlag=650000</w:t>
            </w:r>
            <w:r>
              <w:rPr>
                <w:rFonts w:hint="eastAsia" w:cs="宋体"/>
                <w:i w:val="0"/>
                <w:iCs w:val="0"/>
                <w:color w:val="auto"/>
                <w:sz w:val="24"/>
                <w:szCs w:val="24"/>
                <w:highlight w:val="none"/>
                <w:lang w:val="en-US" w:eastAsia="zh-CN"/>
              </w:rPr>
              <w:fldChar w:fldCharType="end"/>
            </w:r>
          </w:p>
          <w:p w14:paraId="65F89C06">
            <w:pPr>
              <w:pStyle w:val="51"/>
              <w:numPr>
                <w:ilvl w:val="0"/>
                <w:numId w:val="0"/>
              </w:numPr>
              <w:shd w:val="clear"/>
              <w:rPr>
                <w:rFonts w:hint="eastAsia" w:cs="宋体"/>
                <w:i w:val="0"/>
                <w:iCs w:val="0"/>
                <w:color w:val="auto"/>
                <w:sz w:val="24"/>
                <w:szCs w:val="24"/>
                <w:highlight w:val="cyan"/>
                <w:lang w:val="en-US" w:eastAsia="zh-CN"/>
              </w:rPr>
            </w:pPr>
          </w:p>
        </w:tc>
      </w:tr>
      <w:tr w14:paraId="2FD7B5C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391" w:type="dxa"/>
            <w:gridSpan w:val="3"/>
            <w:tcBorders>
              <w:top w:val="single" w:color="auto" w:sz="2" w:space="0"/>
              <w:left w:val="single" w:color="auto" w:sz="2" w:space="0"/>
              <w:bottom w:val="single" w:color="auto" w:sz="2" w:space="0"/>
              <w:right w:val="single" w:color="auto" w:sz="2" w:space="0"/>
            </w:tcBorders>
            <w:vAlign w:val="center"/>
          </w:tcPr>
          <w:p w14:paraId="5B1D7000">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 除本竞争性磋商文件另有规定外，竞争性磋商文件中出现的类似于“近三年”或“前三年”、“近五年”或“前五年”均指递交响应文件时间以前三年或前五年，以此类推。如：递交响应文件时间为</w:t>
            </w:r>
            <w:r>
              <w:rPr>
                <w:rFonts w:hint="eastAsia" w:cs="宋体"/>
                <w:i w:val="0"/>
                <w:iCs w:val="0"/>
                <w:color w:val="auto"/>
                <w:sz w:val="24"/>
                <w:szCs w:val="24"/>
                <w:highlight w:val="none"/>
                <w:lang w:val="en-US" w:eastAsia="zh-CN"/>
              </w:rPr>
              <w:t>2025</w:t>
            </w:r>
            <w:r>
              <w:rPr>
                <w:rFonts w:hint="eastAsia" w:ascii="宋体" w:hAnsi="宋体" w:eastAsia="宋体" w:cs="宋体"/>
                <w:i w:val="0"/>
                <w:iCs w:val="0"/>
                <w:color w:val="auto"/>
                <w:sz w:val="24"/>
                <w:szCs w:val="24"/>
                <w:highlight w:val="none"/>
              </w:rPr>
              <w:t>年</w:t>
            </w:r>
            <w:r>
              <w:rPr>
                <w:rFonts w:hint="eastAsia"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月</w:t>
            </w:r>
            <w:r>
              <w:rPr>
                <w:rFonts w:hint="eastAsia"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日，则“近三年”是指</w:t>
            </w:r>
            <w:r>
              <w:rPr>
                <w:rFonts w:hint="eastAsia" w:cs="宋体"/>
                <w:i w:val="0"/>
                <w:iCs w:val="0"/>
                <w:color w:val="auto"/>
                <w:sz w:val="24"/>
                <w:szCs w:val="24"/>
                <w:highlight w:val="none"/>
                <w:lang w:val="en-US" w:eastAsia="zh-CN"/>
              </w:rPr>
              <w:t>2022</w:t>
            </w:r>
            <w:r>
              <w:rPr>
                <w:rFonts w:hint="eastAsia" w:ascii="宋体" w:hAnsi="宋体" w:eastAsia="宋体" w:cs="宋体"/>
                <w:i w:val="0"/>
                <w:iCs w:val="0"/>
                <w:color w:val="auto"/>
                <w:sz w:val="24"/>
                <w:szCs w:val="24"/>
                <w:highlight w:val="none"/>
              </w:rPr>
              <w:t>年</w:t>
            </w:r>
            <w:r>
              <w:rPr>
                <w:rFonts w:hint="eastAsia"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月</w:t>
            </w:r>
            <w:r>
              <w:rPr>
                <w:rFonts w:hint="eastAsia"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日至</w:t>
            </w:r>
            <w:r>
              <w:rPr>
                <w:rFonts w:hint="eastAsia" w:cs="宋体"/>
                <w:i w:val="0"/>
                <w:iCs w:val="0"/>
                <w:color w:val="auto"/>
                <w:sz w:val="24"/>
                <w:szCs w:val="24"/>
                <w:highlight w:val="none"/>
                <w:lang w:val="en-US" w:eastAsia="zh-CN"/>
              </w:rPr>
              <w:t>2025</w:t>
            </w:r>
            <w:r>
              <w:rPr>
                <w:rFonts w:hint="eastAsia" w:ascii="宋体" w:hAnsi="宋体" w:eastAsia="宋体" w:cs="宋体"/>
                <w:i w:val="0"/>
                <w:iCs w:val="0"/>
                <w:color w:val="auto"/>
                <w:sz w:val="24"/>
                <w:szCs w:val="24"/>
                <w:highlight w:val="none"/>
              </w:rPr>
              <w:t>年</w:t>
            </w:r>
            <w:r>
              <w:rPr>
                <w:rFonts w:hint="eastAsia"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月</w:t>
            </w:r>
            <w:r>
              <w:rPr>
                <w:rFonts w:hint="eastAsia"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日。</w:t>
            </w:r>
          </w:p>
          <w:p w14:paraId="28F83114">
            <w:pPr>
              <w:pStyle w:val="5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 本竞争性磋商文件所称的“以上”、“以下”、“内”、“以内”，包括本数；所称的“不足”，不包括本数。</w:t>
            </w:r>
          </w:p>
        </w:tc>
      </w:tr>
      <w:bookmarkEnd w:id="84"/>
    </w:tbl>
    <w:p w14:paraId="741E9E4F">
      <w:pPr>
        <w:rPr>
          <w:i w:val="0"/>
          <w:iCs w:val="0"/>
          <w:color w:val="auto"/>
          <w:highlight w:val="none"/>
        </w:rPr>
      </w:pPr>
    </w:p>
    <w:p w14:paraId="5654F204">
      <w:pPr>
        <w:pStyle w:val="3"/>
        <w:keepNext/>
        <w:keepLines/>
        <w:pageBreakBefore w:val="0"/>
        <w:widowControl w:val="0"/>
        <w:numPr>
          <w:ilvl w:val="0"/>
          <w:numId w:val="0"/>
        </w:numPr>
        <w:kinsoku/>
        <w:wordWrap/>
        <w:overflowPunct/>
        <w:topLinePunct w:val="0"/>
        <w:autoSpaceDE/>
        <w:autoSpaceDN/>
        <w:bidi w:val="0"/>
        <w:adjustRightInd/>
        <w:snapToGrid/>
        <w:spacing w:before="80" w:after="8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en-US" w:eastAsia="zh-CN" w:bidi="ar-SA"/>
        </w:rPr>
      </w:pPr>
      <w:bookmarkStart w:id="86" w:name="_Toc185"/>
      <w:r>
        <w:rPr>
          <w:rFonts w:hint="eastAsia" w:eastAsia="宋体" w:asciiTheme="majorHAnsi" w:hAnsiTheme="majorHAnsi" w:cstheme="majorBidi"/>
          <w:b/>
          <w:bCs/>
          <w:i w:val="0"/>
          <w:iCs w:val="0"/>
          <w:color w:val="auto"/>
          <w:kern w:val="2"/>
          <w:sz w:val="28"/>
          <w:szCs w:val="28"/>
          <w:highlight w:val="none"/>
          <w:lang w:val="en-US" w:eastAsia="zh-CN" w:bidi="ar-SA"/>
        </w:rPr>
        <w:t>二、供应商须知</w:t>
      </w:r>
      <w:bookmarkEnd w:id="86"/>
    </w:p>
    <w:p w14:paraId="4D1347CC">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87" w:name="_Toc163493611"/>
      <w:bookmarkStart w:id="88" w:name="_Toc46771638"/>
      <w:bookmarkStart w:id="89" w:name="_Toc109900370"/>
      <w:bookmarkStart w:id="90" w:name="_Toc21767"/>
      <w:bookmarkStart w:id="91" w:name="_Toc109899951"/>
      <w:bookmarkStart w:id="92" w:name="_Toc109899532"/>
      <w:bookmarkStart w:id="93" w:name="_Toc109897433"/>
      <w:bookmarkStart w:id="94" w:name="_Toc470172694"/>
      <w:r>
        <w:rPr>
          <w:rFonts w:hint="eastAsia" w:ascii="宋体" w:hAnsi="宋体" w:eastAsia="宋体" w:cs="宋体"/>
          <w:b/>
          <w:bCs/>
          <w:i w:val="0"/>
          <w:iCs w:val="0"/>
          <w:color w:val="auto"/>
          <w:kern w:val="2"/>
          <w:sz w:val="24"/>
          <w:szCs w:val="24"/>
          <w:highlight w:val="none"/>
          <w:lang w:val="en-US" w:eastAsia="zh-CN" w:bidi="ar-SA"/>
        </w:rPr>
        <w:t>（一）总则</w:t>
      </w:r>
      <w:bookmarkEnd w:id="87"/>
      <w:bookmarkEnd w:id="88"/>
      <w:bookmarkEnd w:id="89"/>
      <w:bookmarkEnd w:id="90"/>
      <w:bookmarkEnd w:id="91"/>
      <w:bookmarkEnd w:id="92"/>
      <w:bookmarkEnd w:id="93"/>
    </w:p>
    <w:p w14:paraId="3F181F20">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95" w:name="_Toc52962726"/>
      <w:bookmarkStart w:id="96" w:name="_Toc48846108"/>
      <w:bookmarkStart w:id="97" w:name="_Toc52960552"/>
      <w:bookmarkStart w:id="98" w:name="_Toc46771639"/>
      <w:bookmarkStart w:id="99" w:name="_Toc51674210"/>
      <w:bookmarkStart w:id="100" w:name="_Toc470172664"/>
      <w:bookmarkStart w:id="101" w:name="_Toc109900371"/>
      <w:bookmarkStart w:id="102" w:name="_Toc27243"/>
      <w:bookmarkStart w:id="103" w:name="_Toc46772240"/>
      <w:bookmarkStart w:id="104" w:name="_Toc48688788"/>
      <w:bookmarkStart w:id="105" w:name="_Toc109899533"/>
      <w:bookmarkStart w:id="106" w:name="_Toc109899952"/>
      <w:bookmarkStart w:id="107" w:name="_Toc109897434"/>
      <w:r>
        <w:rPr>
          <w:rFonts w:hint="eastAsia" w:ascii="宋体" w:hAnsi="宋体" w:eastAsia="宋体" w:cs="宋体"/>
          <w:b/>
          <w:bCs/>
          <w:i w:val="0"/>
          <w:iCs w:val="0"/>
          <w:color w:val="auto"/>
          <w:kern w:val="2"/>
          <w:sz w:val="24"/>
          <w:szCs w:val="24"/>
          <w:highlight w:val="none"/>
          <w:lang w:val="en-US" w:eastAsia="zh-CN" w:bidi="ar-SA"/>
        </w:rPr>
        <w:t>1.适用范围</w:t>
      </w:r>
      <w:bookmarkEnd w:id="95"/>
      <w:bookmarkEnd w:id="96"/>
      <w:bookmarkEnd w:id="97"/>
      <w:bookmarkEnd w:id="98"/>
      <w:bookmarkEnd w:id="99"/>
      <w:bookmarkEnd w:id="100"/>
      <w:bookmarkEnd w:id="101"/>
      <w:bookmarkEnd w:id="102"/>
      <w:bookmarkEnd w:id="103"/>
      <w:bookmarkEnd w:id="104"/>
      <w:bookmarkEnd w:id="105"/>
      <w:bookmarkEnd w:id="106"/>
      <w:bookmarkEnd w:id="107"/>
    </w:p>
    <w:p w14:paraId="70FD0CDE">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rPr>
        <w:t>1.1本竞争性磋商文件（也称磋商文件或采购文件）仅适用于本次竞争性磋商中所述项目的采购活动。</w:t>
      </w:r>
    </w:p>
    <w:p w14:paraId="1EB15B5C">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08" w:name="_Toc163492824"/>
      <w:r>
        <w:rPr>
          <w:rFonts w:hint="eastAsia" w:ascii="宋体" w:hAnsi="宋体" w:eastAsia="宋体" w:cs="宋体"/>
          <w:b/>
          <w:bCs/>
          <w:i w:val="0"/>
          <w:iCs w:val="0"/>
          <w:color w:val="auto"/>
          <w:kern w:val="2"/>
          <w:sz w:val="24"/>
          <w:szCs w:val="24"/>
          <w:highlight w:val="none"/>
          <w:lang w:val="en-US" w:eastAsia="zh-CN" w:bidi="ar-SA"/>
        </w:rPr>
        <w:t>2.基本定义</w:t>
      </w:r>
      <w:bookmarkEnd w:id="108"/>
    </w:p>
    <w:p w14:paraId="1BF6CDB2">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2.1根据《中华人民共和国政府采购法》及其实施条例等有关法律、法规和规章的规定，制定本竞争性磋商文件。</w:t>
      </w:r>
    </w:p>
    <w:p w14:paraId="4D3583DD">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2.2采购人：</w:t>
      </w:r>
      <w:r>
        <w:rPr>
          <w:rFonts w:hint="eastAsia" w:ascii="宋体" w:hAnsi="宋体" w:eastAsia="宋体" w:cs="宋体"/>
          <w:i w:val="0"/>
          <w:iCs w:val="0"/>
          <w:color w:val="auto"/>
          <w:kern w:val="0"/>
          <w:sz w:val="24"/>
          <w:szCs w:val="24"/>
          <w:highlight w:val="none"/>
          <w:lang w:val="en-US" w:eastAsia="zh-CN" w:bidi="ar"/>
        </w:rPr>
        <w:t>指依法进行政府采购的国家机关、事业单位、团体组织</w:t>
      </w:r>
      <w:r>
        <w:rPr>
          <w:rFonts w:hint="eastAsia" w:ascii="宋体" w:hAnsi="宋体" w:eastAsia="宋体" w:cs="宋体"/>
          <w:i w:val="0"/>
          <w:iCs w:val="0"/>
          <w:color w:val="auto"/>
          <w:sz w:val="24"/>
          <w:szCs w:val="24"/>
          <w:highlight w:val="none"/>
        </w:rPr>
        <w:t>。</w:t>
      </w:r>
    </w:p>
    <w:p w14:paraId="239101B4">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2.3采购代理机构：</w:t>
      </w:r>
      <w:r>
        <w:rPr>
          <w:rFonts w:hint="eastAsia" w:ascii="宋体" w:hAnsi="宋体" w:eastAsia="宋体" w:cs="宋体"/>
          <w:i w:val="0"/>
          <w:iCs w:val="0"/>
          <w:color w:val="auto"/>
          <w:kern w:val="0"/>
          <w:sz w:val="24"/>
          <w:szCs w:val="24"/>
          <w:highlight w:val="none"/>
          <w:lang w:val="en-US" w:eastAsia="zh-CN" w:bidi="ar"/>
        </w:rPr>
        <w:t>指依法进行政府采购的国家机关、事业单位、团体组织</w:t>
      </w:r>
      <w:r>
        <w:rPr>
          <w:rFonts w:hint="eastAsia" w:ascii="宋体" w:hAnsi="宋体" w:eastAsia="宋体" w:cs="宋体"/>
          <w:i w:val="0"/>
          <w:iCs w:val="0"/>
          <w:color w:val="auto"/>
          <w:sz w:val="24"/>
          <w:szCs w:val="24"/>
          <w:highlight w:val="none"/>
          <w:lang w:val="en-US" w:eastAsia="zh-CN"/>
        </w:rPr>
        <w:t>委托的采购代理机构</w:t>
      </w:r>
      <w:r>
        <w:rPr>
          <w:rFonts w:hint="eastAsia" w:ascii="宋体" w:hAnsi="宋体" w:eastAsia="宋体" w:cs="宋体"/>
          <w:i w:val="0"/>
          <w:iCs w:val="0"/>
          <w:color w:val="auto"/>
          <w:sz w:val="24"/>
          <w:szCs w:val="24"/>
          <w:highlight w:val="none"/>
        </w:rPr>
        <w:t>。</w:t>
      </w:r>
    </w:p>
    <w:p w14:paraId="4EC71008">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2.4政府采购监督管理部门：各级人民政府财政部门是负责政府采购监督管理的部门，依法履行对政府采购活动的监督管理职责。各级人民政府其他有关部门依法履行与政府采购活动有关的监督管理职责。</w:t>
      </w:r>
    </w:p>
    <w:p w14:paraId="3CB3D33D">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2.5 服务内容见</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须知前附表”</w:t>
      </w:r>
      <w:r>
        <w:rPr>
          <w:rFonts w:hint="eastAsia" w:ascii="宋体" w:hAnsi="宋体" w:eastAsia="宋体" w:cs="宋体"/>
          <w:i w:val="0"/>
          <w:iCs w:val="0"/>
          <w:color w:val="auto"/>
          <w:sz w:val="24"/>
          <w:szCs w:val="24"/>
          <w:highlight w:val="none"/>
          <w:lang w:val="en-US" w:eastAsia="zh-CN"/>
        </w:rPr>
        <w:t>。</w:t>
      </w:r>
    </w:p>
    <w:p w14:paraId="0E64CAAC">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2.6供应商（也称“申请人”）：指向采购人提供货物、工程或者服务的法人、其他组织或者自然人。</w:t>
      </w:r>
      <w:r>
        <w:rPr>
          <w:rFonts w:hint="eastAsia" w:ascii="宋体" w:hAnsi="宋体" w:eastAsia="宋体" w:cs="宋体"/>
          <w:i w:val="0"/>
          <w:iCs w:val="0"/>
          <w:color w:val="auto"/>
          <w:sz w:val="24"/>
          <w:szCs w:val="24"/>
          <w:highlight w:val="none"/>
        </w:rPr>
        <w:t>分支机构不得参加政府采购活动，但银行、保险、石油石化、电力、电信等</w:t>
      </w:r>
      <w:r>
        <w:rPr>
          <w:rFonts w:hint="eastAsia" w:ascii="宋体" w:hAnsi="宋体" w:eastAsia="宋体" w:cs="宋体"/>
          <w:i w:val="0"/>
          <w:iCs w:val="0"/>
          <w:color w:val="auto"/>
          <w:sz w:val="24"/>
          <w:szCs w:val="24"/>
          <w:highlight w:val="none"/>
          <w:lang w:val="en-US" w:eastAsia="zh-CN"/>
        </w:rPr>
        <w:t>有</w:t>
      </w:r>
      <w:r>
        <w:rPr>
          <w:rFonts w:hint="eastAsia" w:ascii="宋体" w:hAnsi="宋体" w:eastAsia="宋体" w:cs="宋体"/>
          <w:i w:val="0"/>
          <w:iCs w:val="0"/>
          <w:color w:val="auto"/>
          <w:sz w:val="24"/>
          <w:szCs w:val="24"/>
          <w:highlight w:val="none"/>
        </w:rPr>
        <w:t>行业特殊</w:t>
      </w:r>
      <w:r>
        <w:rPr>
          <w:rFonts w:hint="eastAsia" w:ascii="宋体" w:hAnsi="宋体" w:eastAsia="宋体" w:cs="宋体"/>
          <w:i w:val="0"/>
          <w:iCs w:val="0"/>
          <w:color w:val="auto"/>
          <w:sz w:val="24"/>
          <w:szCs w:val="24"/>
          <w:highlight w:val="none"/>
          <w:lang w:val="en-US" w:eastAsia="zh-CN"/>
        </w:rPr>
        <w:t>情况的</w:t>
      </w:r>
      <w:r>
        <w:rPr>
          <w:rFonts w:hint="eastAsia" w:ascii="宋体" w:hAnsi="宋体" w:eastAsia="宋体" w:cs="宋体"/>
          <w:i w:val="0"/>
          <w:iCs w:val="0"/>
          <w:color w:val="auto"/>
          <w:sz w:val="24"/>
          <w:szCs w:val="24"/>
          <w:highlight w:val="none"/>
        </w:rPr>
        <w:t>除外。本项目的</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须满足以下条件：</w:t>
      </w:r>
    </w:p>
    <w:p w14:paraId="7DC6AC8D">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具备《中华人民共和国政府采购法》第二十二条规定的</w:t>
      </w:r>
      <w:r>
        <w:rPr>
          <w:rFonts w:hint="eastAsia" w:ascii="宋体" w:hAnsi="宋体" w:eastAsia="宋体" w:cs="宋体"/>
          <w:i w:val="0"/>
          <w:iCs w:val="0"/>
          <w:color w:val="auto"/>
          <w:sz w:val="24"/>
          <w:szCs w:val="24"/>
          <w:highlight w:val="none"/>
          <w:lang w:val="en-US" w:eastAsia="zh-CN"/>
        </w:rPr>
        <w:t>条件</w:t>
      </w:r>
      <w:r>
        <w:rPr>
          <w:rFonts w:hint="eastAsia" w:ascii="宋体" w:hAnsi="宋体" w:eastAsia="宋体" w:cs="宋体"/>
          <w:i w:val="0"/>
          <w:iCs w:val="0"/>
          <w:color w:val="auto"/>
          <w:sz w:val="24"/>
          <w:szCs w:val="24"/>
          <w:highlight w:val="none"/>
        </w:rPr>
        <w:t>，遵守本项目采购人本级和上级财政部门政府采购的有关规定。</w:t>
      </w:r>
    </w:p>
    <w:p w14:paraId="1163F2DC">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以</w:t>
      </w:r>
      <w:r>
        <w:rPr>
          <w:rFonts w:hint="eastAsia" w:ascii="宋体" w:hAnsi="宋体" w:eastAsia="宋体" w:cs="宋体"/>
          <w:i w:val="0"/>
          <w:iCs w:val="0"/>
          <w:color w:val="auto"/>
          <w:sz w:val="24"/>
          <w:szCs w:val="24"/>
          <w:highlight w:val="none"/>
          <w:lang w:val="en-US" w:eastAsia="zh-CN"/>
        </w:rPr>
        <w:t>竞争性磋商公告中发布</w:t>
      </w:r>
      <w:r>
        <w:rPr>
          <w:rFonts w:hint="eastAsia" w:ascii="宋体" w:hAnsi="宋体" w:eastAsia="宋体" w:cs="宋体"/>
          <w:i w:val="0"/>
          <w:iCs w:val="0"/>
          <w:color w:val="auto"/>
          <w:sz w:val="24"/>
          <w:szCs w:val="24"/>
          <w:highlight w:val="none"/>
        </w:rPr>
        <w:t>的方式</w:t>
      </w:r>
      <w:r>
        <w:rPr>
          <w:rFonts w:hint="eastAsia" w:ascii="宋体" w:hAnsi="宋体" w:eastAsia="宋体" w:cs="宋体"/>
          <w:i w:val="0"/>
          <w:iCs w:val="0"/>
          <w:color w:val="auto"/>
          <w:sz w:val="24"/>
          <w:szCs w:val="24"/>
          <w:highlight w:val="none"/>
          <w:lang w:eastAsia="zh-CN"/>
        </w:rPr>
        <w:t>依法</w:t>
      </w:r>
      <w:r>
        <w:rPr>
          <w:rFonts w:hint="eastAsia" w:ascii="宋体" w:hAnsi="宋体" w:eastAsia="宋体" w:cs="宋体"/>
          <w:i w:val="0"/>
          <w:iCs w:val="0"/>
          <w:color w:val="auto"/>
          <w:sz w:val="24"/>
          <w:szCs w:val="24"/>
          <w:highlight w:val="none"/>
        </w:rPr>
        <w:t>获得了本项目的</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w:t>
      </w:r>
    </w:p>
    <w:p w14:paraId="79128D4B">
      <w:pPr>
        <w:ind w:firstLine="480" w:firstLineChars="20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2.6.3符合本磋商文件规定并参加磋商的供应商。</w:t>
      </w:r>
    </w:p>
    <w:p w14:paraId="21D0CC67">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2.7</w:t>
      </w:r>
      <w:r>
        <w:rPr>
          <w:rFonts w:hint="eastAsia" w:ascii="宋体" w:hAnsi="宋体" w:eastAsia="宋体" w:cs="宋体"/>
          <w:i w:val="0"/>
          <w:iCs w:val="0"/>
          <w:color w:val="auto"/>
          <w:sz w:val="24"/>
          <w:szCs w:val="24"/>
          <w:highlight w:val="none"/>
          <w:shd w:val="clear" w:color="auto" w:fill="FFFFFF" w:themeFill="background1"/>
        </w:rPr>
        <w:t>潜在供应商</w:t>
      </w:r>
      <w:r>
        <w:rPr>
          <w:rFonts w:hint="eastAsia" w:ascii="宋体" w:hAnsi="宋体" w:eastAsia="宋体" w:cs="宋体"/>
          <w:i w:val="0"/>
          <w:iCs w:val="0"/>
          <w:color w:val="auto"/>
          <w:sz w:val="24"/>
          <w:szCs w:val="24"/>
          <w:highlight w:val="none"/>
          <w:shd w:val="clear" w:color="auto" w:fill="FFFFFF" w:themeFill="background1"/>
          <w:lang w:eastAsia="zh-CN"/>
        </w:rPr>
        <w:t>：</w:t>
      </w:r>
      <w:r>
        <w:rPr>
          <w:rFonts w:hint="eastAsia" w:ascii="宋体" w:hAnsi="宋体" w:eastAsia="宋体" w:cs="宋体"/>
          <w:i w:val="0"/>
          <w:iCs w:val="0"/>
          <w:color w:val="auto"/>
          <w:sz w:val="24"/>
          <w:szCs w:val="24"/>
          <w:highlight w:val="none"/>
          <w:shd w:val="clear" w:color="auto" w:fill="FFFFFF" w:themeFill="background1"/>
          <w:lang w:val="en-US" w:eastAsia="zh-CN"/>
        </w:rPr>
        <w:t>指</w:t>
      </w:r>
      <w:r>
        <w:rPr>
          <w:rFonts w:hint="eastAsia" w:ascii="宋体" w:hAnsi="宋体" w:eastAsia="宋体" w:cs="宋体"/>
          <w:i w:val="0"/>
          <w:iCs w:val="0"/>
          <w:color w:val="auto"/>
          <w:sz w:val="24"/>
          <w:szCs w:val="24"/>
          <w:highlight w:val="none"/>
          <w:lang w:val="en-US" w:eastAsia="zh-CN"/>
        </w:rPr>
        <w:t>符合本磋商文件规定的供应商</w:t>
      </w:r>
      <w:r>
        <w:rPr>
          <w:rFonts w:hint="eastAsia" w:ascii="宋体" w:hAnsi="宋体" w:eastAsia="宋体" w:cs="宋体"/>
          <w:i w:val="0"/>
          <w:iCs w:val="0"/>
          <w:color w:val="auto"/>
          <w:sz w:val="24"/>
          <w:szCs w:val="24"/>
          <w:highlight w:val="none"/>
        </w:rPr>
        <w:t>。</w:t>
      </w:r>
    </w:p>
    <w:p w14:paraId="158CA1C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09" w:name="_Toc46772243"/>
      <w:bookmarkStart w:id="110" w:name="_Toc52962729"/>
      <w:bookmarkStart w:id="111" w:name="_Toc109897437"/>
      <w:bookmarkStart w:id="112" w:name="_Toc46771642"/>
      <w:bookmarkStart w:id="113" w:name="_Toc109899536"/>
      <w:bookmarkStart w:id="114" w:name="_Toc51674213"/>
      <w:bookmarkStart w:id="115" w:name="_Toc9974"/>
      <w:bookmarkStart w:id="116" w:name="_Toc109899955"/>
      <w:bookmarkStart w:id="117" w:name="_Toc48688791"/>
      <w:bookmarkStart w:id="118" w:name="_Toc109900374"/>
      <w:bookmarkStart w:id="119" w:name="_Toc52960555"/>
      <w:bookmarkStart w:id="120" w:name="_Toc48846111"/>
      <w:bookmarkStart w:id="121" w:name="_Toc470172667"/>
      <w:r>
        <w:rPr>
          <w:rFonts w:hint="eastAsia" w:ascii="宋体" w:hAnsi="宋体" w:eastAsia="宋体" w:cs="宋体"/>
          <w:b/>
          <w:bCs/>
          <w:i w:val="0"/>
          <w:iCs w:val="0"/>
          <w:color w:val="auto"/>
          <w:kern w:val="2"/>
          <w:sz w:val="24"/>
          <w:szCs w:val="24"/>
          <w:highlight w:val="none"/>
          <w:lang w:val="en-US" w:eastAsia="zh-CN" w:bidi="ar-SA"/>
        </w:rPr>
        <w:t>3.资金来源</w:t>
      </w:r>
    </w:p>
    <w:p w14:paraId="0911D260">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3.1资金来源：</w:t>
      </w:r>
      <w:r>
        <w:rPr>
          <w:rFonts w:hint="eastAsia" w:ascii="宋体" w:hAnsi="宋体" w:eastAsia="宋体" w:cs="宋体"/>
          <w:i w:val="0"/>
          <w:iCs w:val="0"/>
          <w:color w:val="auto"/>
          <w:sz w:val="24"/>
          <w:szCs w:val="24"/>
          <w:highlight w:val="none"/>
          <w:lang w:val="en-US" w:eastAsia="zh-CN"/>
        </w:rPr>
        <w:t>为财政性资金即</w:t>
      </w:r>
      <w:r>
        <w:rPr>
          <w:rFonts w:hint="eastAsia" w:ascii="宋体" w:hAnsi="宋体" w:eastAsia="宋体" w:cs="宋体"/>
          <w:i w:val="0"/>
          <w:iCs w:val="0"/>
          <w:color w:val="auto"/>
          <w:sz w:val="24"/>
          <w:szCs w:val="24"/>
          <w:highlight w:val="none"/>
        </w:rPr>
        <w:t>纳入预算管理的资金</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以财政性资金作为还款来源的借贷资金，视同财政性资金。财政性资金与非财政性资金无法分割采购的，统一适用《中华人民共和国政府采购法》及其实施条例。</w:t>
      </w:r>
    </w:p>
    <w:p w14:paraId="663B780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4.供应商资格要求</w:t>
      </w:r>
    </w:p>
    <w:p w14:paraId="32C68D1A">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4.1</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资格要求：见“</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w:t>
      </w:r>
    </w:p>
    <w:p w14:paraId="511E1218">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lang w:val="zh-CN" w:eastAsia="zh-CN"/>
        </w:rPr>
        <w:t>”规定接受联合体</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lang w:val="zh-CN" w:eastAsia="zh-CN"/>
        </w:rPr>
        <w:t>的，还应遵守以下规定：</w:t>
      </w:r>
    </w:p>
    <w:p w14:paraId="46DFEF13">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zh-CN" w:eastAsia="zh-CN"/>
        </w:rPr>
        <w:t>1两个以上的自然人、法人或者其他组织可以组成一个联合体，以一个供应商的身份共同参加政府采购。</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以联合体形式进行政府采购的，参加联合体的供应商均应当具备《政府采购法》第二十二条规定的条件。</w:t>
      </w:r>
    </w:p>
    <w:p w14:paraId="1DD06BCB">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2.2</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联合体各方应按竞争性磋商文件提供的格式签订联合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协议</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书</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，明确约定联合体各方承担的工作和相应的责任，并将联合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协议</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书</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作为</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响应</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文件的一部分提交，该协议书对联合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体所有成员</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均具有法律约束力。</w:t>
      </w:r>
    </w:p>
    <w:p w14:paraId="502F019C">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4.2.3</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联合体中有同类资质的供应商按照联合体分工承担相同工作的，应当按照资质等级较低的供应商确定资质等级。</w:t>
      </w:r>
    </w:p>
    <w:p w14:paraId="0E43C72C">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以联合体形式参加政府采购活动的，联合体各方不得再单独参加或者与其他供应商另外组成联合体参加</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同一合同项下的磋商</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，否则相关</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响应</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将被认定为</w:t>
      </w:r>
      <w:r>
        <w:rPr>
          <w:rFonts w:hint="eastAsia" w:ascii="宋体" w:hAnsi="宋体" w:eastAsia="宋体" w:cs="宋体"/>
          <w:b/>
          <w:bCs/>
          <w:i w:val="0"/>
          <w:iCs w:val="0"/>
          <w:color w:val="auto"/>
          <w:kern w:val="2"/>
          <w:sz w:val="24"/>
          <w:szCs w:val="24"/>
          <w:highlight w:val="none"/>
          <w:shd w:val="clear" w:color="auto" w:fill="FFFFFF" w:themeFill="background1"/>
          <w:lang w:val="en-US" w:eastAsia="zh-CN" w:bidi="ar-SA"/>
        </w:rPr>
        <w:t>响应</w:t>
      </w:r>
      <w:r>
        <w:rPr>
          <w:rFonts w:hint="eastAsia" w:ascii="宋体" w:hAnsi="宋体" w:eastAsia="宋体" w:cs="宋体"/>
          <w:b/>
          <w:bCs/>
          <w:i w:val="0"/>
          <w:iCs w:val="0"/>
          <w:color w:val="auto"/>
          <w:kern w:val="2"/>
          <w:sz w:val="24"/>
          <w:szCs w:val="24"/>
          <w:highlight w:val="none"/>
          <w:shd w:val="clear" w:color="auto" w:fill="FFFFFF" w:themeFill="background1"/>
          <w:lang w:val="zh-CN" w:eastAsia="zh-CN" w:bidi="ar-SA"/>
        </w:rPr>
        <w:t>无效</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p>
    <w:p w14:paraId="0134D268">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.5大中型企业、其他自然人、法人或者非法人组织与小型、微型企业组成联合体共同参加</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磋商的</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协议</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书</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中应写明小型、微型企业的合同金额占到联合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体磋商合同</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总金额的比例。</w:t>
      </w:r>
    </w:p>
    <w:p w14:paraId="3B787BEF">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.6</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联合体</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成交</w:t>
      </w:r>
      <w:r>
        <w:rPr>
          <w:rFonts w:hint="eastAsia" w:ascii="宋体" w:hAnsi="宋体" w:eastAsia="宋体" w:cs="宋体"/>
          <w:i w:val="0"/>
          <w:iCs w:val="0"/>
          <w:color w:val="auto"/>
          <w:kern w:val="2"/>
          <w:sz w:val="24"/>
          <w:szCs w:val="24"/>
          <w:highlight w:val="none"/>
          <w:u w:val="none"/>
          <w:shd w:val="clear" w:color="auto" w:fill="FFFFFF" w:themeFill="background1"/>
          <w:lang w:val="en-US" w:eastAsia="zh-CN" w:bidi="ar-SA"/>
        </w:rPr>
        <w:t>的</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采购</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合同应由</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联合体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各成员的合法授权代表签字</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及</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加盖</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联合体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各成员公章，</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并</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对联合体成员作为整体和他们各自作为独立体均具有法律约束力，但若该签字或公章不齐全或缺乏，该联合体的牵头人的签署或类似的意思表示人具有代表该联合体的签署或意思表示的法律效力，并且据此各成员为履行合同应向采购人与采购代理机构承担连带责任。</w:t>
      </w:r>
    </w:p>
    <w:p w14:paraId="52BD9F0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.7</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联合体或其成员不得将其在合同项下的权利或义务全部或部分转让给第三人，有关分包事项须事先取得采购</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人</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书面同意并且须遵守相关法律、法规、本次</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磋商</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的全部相关规定。</w:t>
      </w:r>
    </w:p>
    <w:p w14:paraId="1AC091F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8</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对联合体</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磋商</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的其他资格要求见“</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第一章 竞争性磋商公告</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中的“二、供应商的</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资格</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要求”</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p>
    <w:p w14:paraId="25DBBDA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5.费用</w:t>
      </w:r>
      <w:bookmarkEnd w:id="109"/>
      <w:bookmarkEnd w:id="110"/>
      <w:bookmarkEnd w:id="111"/>
      <w:bookmarkEnd w:id="112"/>
      <w:bookmarkEnd w:id="113"/>
      <w:bookmarkEnd w:id="114"/>
      <w:bookmarkEnd w:id="115"/>
      <w:bookmarkEnd w:id="116"/>
      <w:bookmarkEnd w:id="117"/>
      <w:bookmarkEnd w:id="118"/>
      <w:bookmarkEnd w:id="119"/>
      <w:bookmarkEnd w:id="120"/>
      <w:bookmarkEnd w:id="121"/>
      <w:r>
        <w:rPr>
          <w:rFonts w:hint="eastAsia" w:ascii="宋体" w:hAnsi="宋体" w:eastAsia="宋体" w:cs="宋体"/>
          <w:b/>
          <w:bCs/>
          <w:i w:val="0"/>
          <w:iCs w:val="0"/>
          <w:color w:val="auto"/>
          <w:kern w:val="2"/>
          <w:sz w:val="24"/>
          <w:szCs w:val="24"/>
          <w:highlight w:val="none"/>
          <w:lang w:val="en-US" w:eastAsia="zh-CN" w:bidi="ar-SA"/>
        </w:rPr>
        <w:t>承担</w:t>
      </w:r>
    </w:p>
    <w:p w14:paraId="56B22290">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5.1</w:t>
      </w:r>
      <w:r>
        <w:rPr>
          <w:rFonts w:hint="eastAsia" w:ascii="宋体" w:hAnsi="宋体" w:eastAsia="宋体" w:cs="宋体"/>
          <w:i w:val="0"/>
          <w:iCs w:val="0"/>
          <w:snapToGrid w:val="0"/>
          <w:color w:val="auto"/>
          <w:sz w:val="24"/>
          <w:szCs w:val="24"/>
          <w:highlight w:val="none"/>
          <w:lang w:val="zh-CN" w:eastAsia="zh-CN"/>
        </w:rPr>
        <w:t>不论</w:t>
      </w:r>
      <w:r>
        <w:rPr>
          <w:rFonts w:hint="eastAsia" w:ascii="宋体" w:hAnsi="宋体" w:eastAsia="宋体" w:cs="宋体"/>
          <w:i w:val="0"/>
          <w:iCs w:val="0"/>
          <w:snapToGrid w:val="0"/>
          <w:color w:val="auto"/>
          <w:sz w:val="24"/>
          <w:szCs w:val="24"/>
          <w:highlight w:val="none"/>
          <w:lang w:val="en-US" w:eastAsia="zh-CN"/>
        </w:rPr>
        <w:t>磋商</w:t>
      </w:r>
      <w:r>
        <w:rPr>
          <w:rFonts w:hint="eastAsia" w:ascii="宋体" w:hAnsi="宋体" w:eastAsia="宋体" w:cs="宋体"/>
          <w:i w:val="0"/>
          <w:iCs w:val="0"/>
          <w:snapToGrid w:val="0"/>
          <w:color w:val="auto"/>
          <w:sz w:val="24"/>
          <w:szCs w:val="24"/>
          <w:highlight w:val="none"/>
          <w:lang w:val="zh-CN" w:eastAsia="zh-CN"/>
        </w:rPr>
        <w:t>的结果如何，</w:t>
      </w:r>
      <w:r>
        <w:rPr>
          <w:rFonts w:hint="eastAsia" w:ascii="宋体" w:hAnsi="宋体" w:eastAsia="宋体" w:cs="宋体"/>
          <w:i w:val="0"/>
          <w:iCs w:val="0"/>
          <w:snapToGrid w:val="0"/>
          <w:color w:val="auto"/>
          <w:sz w:val="24"/>
          <w:szCs w:val="24"/>
          <w:highlight w:val="none"/>
          <w:lang w:val="en-US" w:eastAsia="zh-CN"/>
        </w:rPr>
        <w:t>供应商</w:t>
      </w:r>
      <w:r>
        <w:rPr>
          <w:rFonts w:hint="eastAsia" w:ascii="宋体" w:hAnsi="宋体" w:eastAsia="宋体" w:cs="宋体"/>
          <w:i w:val="0"/>
          <w:iCs w:val="0"/>
          <w:snapToGrid w:val="0"/>
          <w:color w:val="auto"/>
          <w:sz w:val="24"/>
          <w:szCs w:val="24"/>
          <w:highlight w:val="none"/>
          <w:lang w:val="zh-CN" w:eastAsia="zh-CN"/>
        </w:rPr>
        <w:t>应承担所有与准备和参加</w:t>
      </w:r>
      <w:r>
        <w:rPr>
          <w:rFonts w:hint="eastAsia" w:ascii="宋体" w:hAnsi="宋体" w:eastAsia="宋体" w:cs="宋体"/>
          <w:i w:val="0"/>
          <w:iCs w:val="0"/>
          <w:snapToGrid w:val="0"/>
          <w:color w:val="auto"/>
          <w:sz w:val="24"/>
          <w:szCs w:val="24"/>
          <w:highlight w:val="none"/>
          <w:lang w:val="en-US" w:eastAsia="zh-CN"/>
        </w:rPr>
        <w:t>磋商</w:t>
      </w:r>
      <w:r>
        <w:rPr>
          <w:rFonts w:hint="eastAsia" w:ascii="宋体" w:hAnsi="宋体" w:eastAsia="宋体" w:cs="宋体"/>
          <w:i w:val="0"/>
          <w:iCs w:val="0"/>
          <w:snapToGrid w:val="0"/>
          <w:color w:val="auto"/>
          <w:sz w:val="24"/>
          <w:szCs w:val="24"/>
          <w:highlight w:val="none"/>
          <w:lang w:val="zh-CN" w:eastAsia="zh-CN"/>
        </w:rPr>
        <w:t>有关的费用。</w:t>
      </w:r>
    </w:p>
    <w:p w14:paraId="40A7693A">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22" w:name="_Toc140132761"/>
      <w:bookmarkStart w:id="123" w:name="_Toc161600293"/>
      <w:r>
        <w:rPr>
          <w:rFonts w:hint="eastAsia" w:ascii="宋体" w:hAnsi="宋体" w:eastAsia="宋体" w:cs="宋体"/>
          <w:b/>
          <w:bCs/>
          <w:i w:val="0"/>
          <w:iCs w:val="0"/>
          <w:color w:val="auto"/>
          <w:kern w:val="2"/>
          <w:sz w:val="24"/>
          <w:szCs w:val="24"/>
          <w:highlight w:val="none"/>
          <w:lang w:val="en-US" w:eastAsia="zh-CN" w:bidi="ar-SA"/>
        </w:rPr>
        <w:t>6.保密</w:t>
      </w:r>
      <w:bookmarkEnd w:id="122"/>
      <w:bookmarkEnd w:id="123"/>
    </w:p>
    <w:p w14:paraId="5FC446EC">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6.1</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参与磋商活动的各方应对竞争</w:t>
      </w:r>
      <w:r>
        <w:rPr>
          <w:rFonts w:hint="eastAsia" w:ascii="宋体" w:hAnsi="宋体" w:eastAsia="宋体" w:cs="宋体"/>
          <w:i w:val="0"/>
          <w:iCs w:val="0"/>
          <w:color w:val="auto"/>
          <w:sz w:val="24"/>
          <w:szCs w:val="24"/>
          <w:highlight w:val="none"/>
          <w:lang w:val="en-US" w:eastAsia="zh-CN"/>
        </w:rPr>
        <w:t>性</w:t>
      </w:r>
      <w:r>
        <w:rPr>
          <w:rFonts w:hint="eastAsia" w:ascii="宋体" w:hAnsi="宋体" w:eastAsia="宋体" w:cs="宋体"/>
          <w:i w:val="0"/>
          <w:iCs w:val="0"/>
          <w:color w:val="auto"/>
          <w:sz w:val="24"/>
          <w:szCs w:val="24"/>
          <w:highlight w:val="none"/>
        </w:rPr>
        <w:t>磋商文件和响应文件中的商业和技术等秘密保密，否则应承担相应的法律责任。</w:t>
      </w:r>
    </w:p>
    <w:p w14:paraId="00571342">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lang w:val="en-US" w:eastAsia="zh-CN"/>
        </w:rPr>
        <w:t>6</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2 供应商</w:t>
      </w:r>
      <w:r>
        <w:rPr>
          <w:rFonts w:hint="eastAsia" w:ascii="宋体" w:hAnsi="宋体" w:eastAsia="宋体" w:cs="宋体"/>
          <w:i w:val="0"/>
          <w:iCs w:val="0"/>
          <w:color w:val="auto"/>
          <w:kern w:val="2"/>
          <w:sz w:val="24"/>
          <w:szCs w:val="24"/>
          <w:highlight w:val="none"/>
        </w:rPr>
        <w:t>自领取竞争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磋商文件之日起，须承担本竞争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磋商项目保密义务，不得将因本次竞争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磋商获得的信息向第三人外传。由采购人向</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提供的图纸、详细资料、样品、模型、模件和所有其它资料，被视为保密资料，仅被用于它所规定的用途。除非得到采购人的同意，不能向任何第三方透露。竞争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磋商结束后，应采购人要求，</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应归还所有从采购人处获得的保密资料。</w:t>
      </w:r>
    </w:p>
    <w:p w14:paraId="38CAE872">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lang w:val="en-US" w:eastAsia="zh-CN"/>
        </w:rPr>
        <w:t>6</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 xml:space="preserve">3 </w:t>
      </w:r>
      <w:r>
        <w:rPr>
          <w:rFonts w:hint="eastAsia" w:ascii="宋体" w:hAnsi="宋体" w:eastAsia="宋体" w:cs="宋体"/>
          <w:i w:val="0"/>
          <w:iCs w:val="0"/>
          <w:color w:val="auto"/>
          <w:kern w:val="2"/>
          <w:sz w:val="24"/>
          <w:szCs w:val="24"/>
          <w:highlight w:val="none"/>
        </w:rPr>
        <w:t>采购代理机构有权将</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提供的所有资料向有关政府部门或竞争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磋商的有关人员披露。</w:t>
      </w:r>
    </w:p>
    <w:p w14:paraId="6010BD30">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2"/>
          <w:sz w:val="24"/>
          <w:szCs w:val="24"/>
          <w:highlight w:val="none"/>
          <w:lang w:val="en-US" w:eastAsia="zh-CN"/>
        </w:rPr>
        <w:t>6</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4 各级人民政府财政部门对政府采购活动进行监督检查，有权查阅、复制有关文件、资料，相关单位和人员应当予以配合</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sz w:val="24"/>
          <w:szCs w:val="24"/>
          <w:highlight w:val="none"/>
        </w:rPr>
        <w:t xml:space="preserve"> </w:t>
      </w:r>
    </w:p>
    <w:p w14:paraId="2B2FFAF8">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24" w:name="_Toc140132762"/>
      <w:bookmarkStart w:id="125" w:name="_Toc161600294"/>
      <w:r>
        <w:rPr>
          <w:rFonts w:hint="eastAsia" w:ascii="宋体" w:hAnsi="宋体" w:eastAsia="宋体" w:cs="宋体"/>
          <w:b/>
          <w:bCs/>
          <w:i w:val="0"/>
          <w:iCs w:val="0"/>
          <w:color w:val="auto"/>
          <w:kern w:val="2"/>
          <w:sz w:val="24"/>
          <w:szCs w:val="24"/>
          <w:highlight w:val="none"/>
          <w:lang w:val="en-US" w:eastAsia="zh-CN" w:bidi="ar-SA"/>
        </w:rPr>
        <w:t>7.语言文字</w:t>
      </w:r>
      <w:bookmarkEnd w:id="124"/>
      <w:bookmarkEnd w:id="125"/>
    </w:p>
    <w:p w14:paraId="50AD2F57">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7.1竞争</w:t>
      </w:r>
      <w:r>
        <w:rPr>
          <w:rFonts w:hint="eastAsia" w:ascii="宋体" w:hAnsi="宋体" w:eastAsia="宋体" w:cs="宋体"/>
          <w:i w:val="0"/>
          <w:iCs w:val="0"/>
          <w:color w:val="auto"/>
          <w:sz w:val="24"/>
          <w:szCs w:val="24"/>
          <w:highlight w:val="none"/>
          <w:lang w:val="en-US" w:eastAsia="zh-CN"/>
        </w:rPr>
        <w:t>性</w:t>
      </w:r>
      <w:r>
        <w:rPr>
          <w:rFonts w:hint="eastAsia" w:ascii="宋体" w:hAnsi="宋体" w:eastAsia="宋体" w:cs="宋体"/>
          <w:i w:val="0"/>
          <w:iCs w:val="0"/>
          <w:color w:val="auto"/>
          <w:sz w:val="24"/>
          <w:szCs w:val="24"/>
          <w:highlight w:val="none"/>
        </w:rPr>
        <w:t>磋商</w:t>
      </w:r>
      <w:r>
        <w:rPr>
          <w:rFonts w:hint="eastAsia" w:ascii="宋体" w:hAnsi="宋体" w:eastAsia="宋体" w:cs="宋体"/>
          <w:i w:val="0"/>
          <w:iCs w:val="0"/>
          <w:color w:val="auto"/>
          <w:sz w:val="24"/>
          <w:szCs w:val="24"/>
          <w:highlight w:val="none"/>
          <w:lang w:val="en-US" w:eastAsia="zh-CN"/>
        </w:rPr>
        <w:t>文件及响应</w:t>
      </w:r>
      <w:r>
        <w:rPr>
          <w:rFonts w:hint="eastAsia" w:ascii="宋体" w:hAnsi="宋体" w:eastAsia="宋体" w:cs="宋体"/>
          <w:i w:val="0"/>
          <w:iCs w:val="0"/>
          <w:color w:val="auto"/>
          <w:sz w:val="24"/>
          <w:szCs w:val="24"/>
          <w:highlight w:val="none"/>
        </w:rPr>
        <w:t>文件使用的语言文字为中文。专用术语使用外文的，应附有中文注释。</w:t>
      </w:r>
      <w:r>
        <w:rPr>
          <w:rFonts w:hint="eastAsia" w:ascii="宋体" w:hAnsi="宋体" w:eastAsia="宋体" w:cs="宋体"/>
          <w:i w:val="0"/>
          <w:iCs w:val="0"/>
          <w:color w:val="auto"/>
          <w:sz w:val="24"/>
          <w:szCs w:val="24"/>
          <w:highlight w:val="none"/>
          <w:lang w:val="en-US" w:eastAsia="zh-CN"/>
        </w:rPr>
        <w:t>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14:paraId="72F741B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26" w:name="_Toc140132763"/>
      <w:bookmarkStart w:id="127" w:name="_Toc161600295"/>
      <w:r>
        <w:rPr>
          <w:rFonts w:hint="eastAsia" w:ascii="宋体" w:hAnsi="宋体" w:eastAsia="宋体" w:cs="宋体"/>
          <w:b/>
          <w:bCs/>
          <w:i w:val="0"/>
          <w:iCs w:val="0"/>
          <w:color w:val="auto"/>
          <w:kern w:val="2"/>
          <w:sz w:val="24"/>
          <w:szCs w:val="24"/>
          <w:highlight w:val="none"/>
          <w:lang w:val="en-US" w:eastAsia="zh-CN" w:bidi="ar-SA"/>
        </w:rPr>
        <w:t>8.计量单位</w:t>
      </w:r>
      <w:bookmarkEnd w:id="126"/>
      <w:bookmarkEnd w:id="127"/>
    </w:p>
    <w:p w14:paraId="2A6A80CC">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8.1所有计量均采用中华人民共和国法定计量单位。</w:t>
      </w:r>
    </w:p>
    <w:p w14:paraId="27AC1C1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28" w:name="_Toc161600296"/>
      <w:bookmarkStart w:id="129" w:name="_Toc140132764"/>
      <w:r>
        <w:rPr>
          <w:rFonts w:hint="eastAsia" w:ascii="宋体" w:hAnsi="宋体" w:eastAsia="宋体" w:cs="宋体"/>
          <w:b/>
          <w:bCs/>
          <w:i w:val="0"/>
          <w:iCs w:val="0"/>
          <w:color w:val="auto"/>
          <w:kern w:val="2"/>
          <w:sz w:val="24"/>
          <w:szCs w:val="24"/>
          <w:highlight w:val="none"/>
          <w:lang w:val="en-US" w:eastAsia="zh-CN" w:bidi="ar-SA"/>
        </w:rPr>
        <w:t>9.现场考察和答疑会</w:t>
      </w:r>
      <w:bookmarkEnd w:id="128"/>
      <w:bookmarkEnd w:id="129"/>
    </w:p>
    <w:p w14:paraId="2AA6D6A7">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bookmarkStart w:id="130" w:name="_Hlk143529198"/>
      <w:r>
        <w:rPr>
          <w:rFonts w:hint="eastAsia" w:ascii="宋体" w:hAnsi="宋体" w:eastAsia="宋体" w:cs="宋体"/>
          <w:i w:val="0"/>
          <w:iCs w:val="0"/>
          <w:color w:val="auto"/>
          <w:sz w:val="24"/>
          <w:szCs w:val="24"/>
          <w:highlight w:val="none"/>
        </w:rPr>
        <w:t xml:space="preserve">9.1 “供应商须知前附表”规定组织现场考察的，采购代理机构按“供应商须知前附表”规定的时间、地点组织供应商项目现场考察。 </w:t>
      </w:r>
    </w:p>
    <w:p w14:paraId="6304272F">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9.2 供应商现场考察发生的费用自理。</w:t>
      </w:r>
    </w:p>
    <w:p w14:paraId="68DC2403">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9.3 在现场考察中，因供应商自身原因发生的人员伤亡和财产损失，由供应商自行负责。</w:t>
      </w:r>
    </w:p>
    <w:p w14:paraId="63618E52">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9.4 采购人在现场考察中介绍的项目场地和相关的周边环境情况，仅供供应商在编制响应文件时参考，采购人和采购代理机构不对供应商据此作出的判断和决策负责。</w:t>
      </w:r>
    </w:p>
    <w:p w14:paraId="2C69C25C">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9.5 “供应商须知前附表”规定召开答疑会的，采购代理机构按“供应商须知前附表”规定的时间和地点召开答疑会，澄清供应商提出的问题。</w:t>
      </w:r>
    </w:p>
    <w:p w14:paraId="3DB9C37A">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9.6 由于未参加现场考察或未参加答疑会而导致对项目实际情况不了解，影响响应文件编制、磋商报价准确性、综合因素响应不全面等问题的，由供应商自行承担不利评审后果。</w:t>
      </w:r>
    </w:p>
    <w:bookmarkEnd w:id="130"/>
    <w:p w14:paraId="2D00461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31" w:name="_Toc155185858"/>
      <w:bookmarkStart w:id="132" w:name="_Toc161600298"/>
      <w:r>
        <w:rPr>
          <w:rFonts w:hint="eastAsia" w:ascii="宋体" w:hAnsi="宋体" w:eastAsia="宋体" w:cs="宋体"/>
          <w:b/>
          <w:bCs/>
          <w:i w:val="0"/>
          <w:iCs w:val="0"/>
          <w:color w:val="auto"/>
          <w:kern w:val="2"/>
          <w:sz w:val="24"/>
          <w:szCs w:val="24"/>
          <w:highlight w:val="none"/>
          <w:lang w:val="en-US" w:eastAsia="zh-CN" w:bidi="ar-SA"/>
        </w:rPr>
        <w:t>10.电子标说明</w:t>
      </w:r>
      <w:bookmarkEnd w:id="131"/>
      <w:bookmarkEnd w:id="132"/>
    </w:p>
    <w:p w14:paraId="392B2A40">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10.1 本次采购采用电子交易方式，电子交易平台为</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政府采购电子交易云平台（网址：https://www.zcygov.cn/）。供应商参与本项目电子交易活动前，</w:t>
      </w:r>
      <w:r>
        <w:rPr>
          <w:rFonts w:hint="eastAsia" w:ascii="宋体" w:hAnsi="宋体" w:eastAsia="宋体" w:cs="宋体"/>
          <w:i w:val="0"/>
          <w:iCs w:val="0"/>
          <w:color w:val="auto"/>
          <w:sz w:val="24"/>
          <w:szCs w:val="24"/>
          <w:highlight w:val="none"/>
        </w:rPr>
        <w:t>应</w:t>
      </w:r>
      <w:r>
        <w:rPr>
          <w:rFonts w:hint="eastAsia" w:ascii="宋体" w:hAnsi="宋体" w:eastAsia="宋体" w:cs="宋体"/>
          <w:i w:val="0"/>
          <w:iCs w:val="0"/>
          <w:color w:val="auto"/>
          <w:sz w:val="24"/>
          <w:szCs w:val="24"/>
          <w:highlight w:val="none"/>
          <w:lang w:val="en-US" w:eastAsia="zh-CN"/>
        </w:rPr>
        <w:t>在</w:t>
      </w:r>
      <w:r>
        <w:rPr>
          <w:rFonts w:hint="eastAsia" w:ascii="宋体" w:hAnsi="宋体" w:eastAsia="宋体" w:cs="宋体"/>
          <w:i w:val="0"/>
          <w:iCs w:val="0"/>
          <w:color w:val="auto"/>
          <w:sz w:val="24"/>
          <w:szCs w:val="24"/>
          <w:highlight w:val="none"/>
        </w:rPr>
        <w:t>政</w:t>
      </w:r>
      <w:r>
        <w:rPr>
          <w:rFonts w:hint="eastAsia" w:ascii="宋体" w:hAnsi="宋体" w:eastAsia="宋体" w:cs="宋体"/>
          <w:i w:val="0"/>
          <w:iCs w:val="0"/>
          <w:color w:val="auto"/>
          <w:sz w:val="24"/>
          <w:szCs w:val="24"/>
          <w:highlight w:val="none"/>
          <w:lang w:val="en-US" w:eastAsia="zh-CN"/>
        </w:rPr>
        <w:t>采</w:t>
      </w:r>
      <w:r>
        <w:rPr>
          <w:rFonts w:hint="eastAsia" w:ascii="宋体" w:hAnsi="宋体" w:eastAsia="宋体" w:cs="宋体"/>
          <w:i w:val="0"/>
          <w:iCs w:val="0"/>
          <w:color w:val="auto"/>
          <w:sz w:val="24"/>
          <w:szCs w:val="24"/>
          <w:highlight w:val="none"/>
          <w:lang w:val="en-US"/>
        </w:rPr>
        <w:t>云</w:t>
      </w:r>
      <w:r>
        <w:rPr>
          <w:rFonts w:hint="eastAsia" w:ascii="宋体" w:hAnsi="宋体" w:eastAsia="宋体" w:cs="宋体"/>
          <w:i w:val="0"/>
          <w:iCs w:val="0"/>
          <w:color w:val="auto"/>
          <w:sz w:val="24"/>
          <w:szCs w:val="24"/>
          <w:highlight w:val="none"/>
        </w:rPr>
        <w:t>平台</w:t>
      </w:r>
      <w:r>
        <w:rPr>
          <w:rFonts w:hint="eastAsia" w:ascii="宋体" w:hAnsi="宋体" w:eastAsia="宋体" w:cs="宋体"/>
          <w:i w:val="0"/>
          <w:iCs w:val="0"/>
          <w:color w:val="auto"/>
          <w:sz w:val="24"/>
          <w:szCs w:val="24"/>
          <w:highlight w:val="none"/>
          <w:lang w:val="en-US" w:eastAsia="zh-CN"/>
        </w:rPr>
        <w:t>上</w:t>
      </w:r>
      <w:r>
        <w:rPr>
          <w:rFonts w:hint="eastAsia" w:ascii="宋体" w:hAnsi="宋体" w:eastAsia="宋体" w:cs="宋体"/>
          <w:i w:val="0"/>
          <w:iCs w:val="0"/>
          <w:color w:val="auto"/>
          <w:sz w:val="24"/>
          <w:szCs w:val="24"/>
          <w:highlight w:val="none"/>
        </w:rPr>
        <w:t>注册</w:t>
      </w:r>
      <w:r>
        <w:rPr>
          <w:rFonts w:hint="eastAsia" w:ascii="宋体" w:hAnsi="宋体" w:eastAsia="宋体" w:cs="宋体"/>
          <w:i w:val="0"/>
          <w:iCs w:val="0"/>
          <w:color w:val="auto"/>
          <w:sz w:val="24"/>
          <w:szCs w:val="24"/>
          <w:highlight w:val="none"/>
          <w:lang w:val="en-US" w:eastAsia="zh-CN"/>
        </w:rPr>
        <w:t>供应商账号</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编制电子响应文件前还需申领CA证书并绑定帐号。供应商应充分考虑完成平台注册、申领CA证书等所需的时间。潜在供应商领取文件须提前完成注册、CA证书和电子签章申领和绑定、下载投标客户端。因未办理CA数字证书、CA证书故障、操作不当等原因造成无法磋商或磋商失败等后果由供应商自行承担。供应商登录</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政府采购网“供应商</w:t>
      </w:r>
      <w:r>
        <w:rPr>
          <w:rFonts w:hint="eastAsia" w:cs="宋体"/>
          <w:i w:val="0"/>
          <w:iCs w:val="0"/>
          <w:color w:val="auto"/>
          <w:sz w:val="24"/>
          <w:szCs w:val="24"/>
          <w:highlight w:val="none"/>
          <w:lang w:val="en-US" w:eastAsia="zh-CN"/>
        </w:rPr>
        <w:t>免费</w:t>
      </w:r>
      <w:r>
        <w:rPr>
          <w:rFonts w:hint="eastAsia" w:ascii="宋体" w:hAnsi="宋体" w:eastAsia="宋体" w:cs="宋体"/>
          <w:i w:val="0"/>
          <w:iCs w:val="0"/>
          <w:color w:val="auto"/>
          <w:sz w:val="24"/>
          <w:szCs w:val="24"/>
          <w:highlight w:val="none"/>
          <w:lang w:val="en-US" w:eastAsia="zh-CN"/>
        </w:rPr>
        <w:t>注册”—“</w:t>
      </w:r>
      <w:r>
        <w:rPr>
          <w:rFonts w:hint="eastAsia" w:cs="宋体"/>
          <w:i w:val="0"/>
          <w:iCs w:val="0"/>
          <w:color w:val="auto"/>
          <w:sz w:val="24"/>
          <w:szCs w:val="24"/>
          <w:highlight w:val="none"/>
          <w:lang w:val="en-US" w:eastAsia="zh-CN"/>
        </w:rPr>
        <w:t>新疆维吾尔自治区</w:t>
      </w:r>
      <w:r>
        <w:rPr>
          <w:rFonts w:hint="eastAsia" w:ascii="宋体" w:hAnsi="宋体" w:eastAsia="宋体" w:cs="宋体"/>
          <w:i w:val="0"/>
          <w:iCs w:val="0"/>
          <w:color w:val="auto"/>
          <w:sz w:val="24"/>
          <w:szCs w:val="24"/>
          <w:highlight w:val="none"/>
          <w:lang w:val="en-US" w:eastAsia="zh-CN"/>
        </w:rPr>
        <w:t>供应商入驻登记”—“立即登记”进行自助注册绑定。</w:t>
      </w:r>
    </w:p>
    <w:p w14:paraId="1E592AE0">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10.2 供应商将</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政府采购电子交易云平台电子交易客户端下载、安装完成后，可通过账号密码或CA登录客户端进行响应文件制作。在使用政采云投标客户端时，建议使用WIN7及以上操作系统。供应商登录</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政府采购网“下载专区”—“新疆维吾尔自治区全流程电子招投标项目管理系统--供应商客户端”下载相关客户端，如有问题可拨打政采云客户服务热线95763进行咨询。</w:t>
      </w:r>
    </w:p>
    <w:p w14:paraId="43BE3FD6">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10.3 加密的电子响应文件应在响应文件递交截止时间前通过政采云平台上传完成。逾期上传或者未上传指定地点的响应文件，不予受理。</w:t>
      </w:r>
    </w:p>
    <w:p w14:paraId="1DAB0F1C">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10.4 供应商在磋商前须提前配置好电脑及浏览器，磋商时请使用制作加密电子响应文件的CA锁进行解密及报价确认。本项目响应文件解密时间详“供应商须知前附表”，如因自身原因导致无法正常解密，后果由供应商自行承担。</w:t>
      </w:r>
    </w:p>
    <w:p w14:paraId="26F9656F">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10.5 如遇“</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政府采购电子交易云平台（网址：https://www.zcygov.cn/）”电子交易规则调整，以最新要求为准。</w:t>
      </w:r>
    </w:p>
    <w:p w14:paraId="0210B2F5">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10.6 电子交易系统咨询：供应商应当充分考虑到电子响应可能会发生的各种问题和风险，特别是响应文件签署、提交等问题，可按照“第一章 竞争性磋商公告”的联系方式咨询相关人员。</w:t>
      </w:r>
    </w:p>
    <w:p w14:paraId="33A86F68">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10.7 由于本项目采用电子磋商方式，潜在供应商的名单将在递交响应文件截止时间后才会解密。因此，采购人或采购代理机构无法通过传统的传真或邮件方式，将竞争性磋商文件的澄清或修改内容逐一通知到每位已获取竞争性磋商文件的潜在供应商。为确保信息的及时性和准确性，澄清或修改的内容将仅在政采云平台以更正公告的形式发布。潜在供应商需密切关注该网站，及时查看并下载相关更正公告。若因潜在供应商未能及时查看或下载相关更正公告，而导致的一切后果，将由潜在供应商自行承担。</w:t>
      </w:r>
    </w:p>
    <w:p w14:paraId="10E71399">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33" w:name="_Toc109897438"/>
      <w:bookmarkStart w:id="134" w:name="_Toc46771643"/>
      <w:bookmarkStart w:id="135" w:name="_Toc109899537"/>
      <w:bookmarkStart w:id="136" w:name="_Toc109900375"/>
      <w:bookmarkStart w:id="137" w:name="_Toc470172668"/>
      <w:bookmarkStart w:id="138" w:name="_Toc28430"/>
      <w:bookmarkStart w:id="139" w:name="_Toc109899956"/>
      <w:bookmarkStart w:id="140" w:name="_Toc163493612"/>
      <w:r>
        <w:rPr>
          <w:rFonts w:hint="eastAsia" w:ascii="宋体" w:hAnsi="宋体" w:eastAsia="宋体" w:cs="宋体"/>
          <w:b/>
          <w:bCs/>
          <w:i w:val="0"/>
          <w:iCs w:val="0"/>
          <w:color w:val="auto"/>
          <w:kern w:val="2"/>
          <w:sz w:val="24"/>
          <w:szCs w:val="24"/>
          <w:highlight w:val="none"/>
          <w:lang w:val="en-US" w:eastAsia="zh-CN" w:bidi="ar-SA"/>
        </w:rPr>
        <w:t>（二）磋商文件</w:t>
      </w:r>
      <w:bookmarkEnd w:id="133"/>
      <w:bookmarkEnd w:id="134"/>
      <w:bookmarkEnd w:id="135"/>
      <w:bookmarkEnd w:id="136"/>
      <w:bookmarkEnd w:id="137"/>
      <w:bookmarkEnd w:id="138"/>
      <w:bookmarkEnd w:id="139"/>
      <w:bookmarkEnd w:id="140"/>
    </w:p>
    <w:p w14:paraId="37BA132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41" w:name="_Toc48846113"/>
      <w:bookmarkStart w:id="142" w:name="_Toc48688793"/>
      <w:bookmarkStart w:id="143" w:name="_Toc109900376"/>
      <w:bookmarkStart w:id="144" w:name="_Toc109899538"/>
      <w:bookmarkStart w:id="145" w:name="_Toc46772245"/>
      <w:bookmarkStart w:id="146" w:name="_Toc109897439"/>
      <w:bookmarkStart w:id="147" w:name="_Toc52960557"/>
      <w:bookmarkStart w:id="148" w:name="_Toc52962731"/>
      <w:bookmarkStart w:id="149" w:name="_Toc109899957"/>
      <w:bookmarkStart w:id="150" w:name="_Toc46771644"/>
      <w:bookmarkStart w:id="151" w:name="_Toc470172669"/>
      <w:bookmarkStart w:id="152" w:name="_Toc51674215"/>
      <w:bookmarkStart w:id="153" w:name="_Toc4547"/>
      <w:r>
        <w:rPr>
          <w:rFonts w:hint="eastAsia" w:ascii="宋体" w:hAnsi="宋体" w:eastAsia="宋体" w:cs="宋体"/>
          <w:b/>
          <w:bCs/>
          <w:i w:val="0"/>
          <w:iCs w:val="0"/>
          <w:color w:val="auto"/>
          <w:kern w:val="2"/>
          <w:sz w:val="24"/>
          <w:szCs w:val="24"/>
          <w:highlight w:val="none"/>
          <w:lang w:val="en-US" w:eastAsia="zh-CN" w:bidi="ar-SA"/>
        </w:rPr>
        <w:t>11.磋商文件的构成</w:t>
      </w:r>
      <w:bookmarkEnd w:id="141"/>
      <w:bookmarkEnd w:id="142"/>
      <w:bookmarkEnd w:id="143"/>
      <w:bookmarkEnd w:id="144"/>
      <w:bookmarkEnd w:id="145"/>
      <w:bookmarkEnd w:id="146"/>
      <w:bookmarkEnd w:id="147"/>
      <w:bookmarkEnd w:id="148"/>
      <w:bookmarkEnd w:id="149"/>
      <w:bookmarkEnd w:id="150"/>
      <w:bookmarkEnd w:id="151"/>
      <w:bookmarkEnd w:id="152"/>
      <w:bookmarkEnd w:id="153"/>
    </w:p>
    <w:p w14:paraId="4ED08B47">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lang w:eastAsia="zh-CN"/>
        </w:rPr>
      </w:pPr>
      <w:bookmarkStart w:id="154" w:name="_Toc48688794"/>
      <w:bookmarkStart w:id="155" w:name="_Toc48846114"/>
      <w:bookmarkStart w:id="156" w:name="_Toc46771645"/>
      <w:bookmarkStart w:id="157" w:name="_Toc109897440"/>
      <w:bookmarkStart w:id="158" w:name="_Toc52960558"/>
      <w:bookmarkStart w:id="159" w:name="_Toc46772246"/>
      <w:bookmarkStart w:id="160" w:name="_Toc52962732"/>
      <w:bookmarkStart w:id="161" w:name="_Toc109900377"/>
      <w:bookmarkStart w:id="162" w:name="_Toc478415174"/>
      <w:bookmarkStart w:id="163" w:name="_Toc51674216"/>
      <w:bookmarkStart w:id="164" w:name="_Toc109899958"/>
      <w:bookmarkStart w:id="165" w:name="_Toc109899539"/>
      <w:r>
        <w:rPr>
          <w:rFonts w:hint="eastAsia" w:ascii="宋体" w:hAnsi="宋体" w:eastAsia="宋体" w:cs="宋体"/>
          <w:i w:val="0"/>
          <w:iCs w:val="0"/>
          <w:color w:val="auto"/>
          <w:sz w:val="24"/>
          <w:szCs w:val="24"/>
          <w:highlight w:val="none"/>
        </w:rPr>
        <w:t>第一章 竞争性磋商</w:t>
      </w:r>
      <w:r>
        <w:rPr>
          <w:rFonts w:hint="eastAsia" w:ascii="宋体" w:hAnsi="宋体" w:eastAsia="宋体" w:cs="宋体"/>
          <w:i w:val="0"/>
          <w:iCs w:val="0"/>
          <w:color w:val="auto"/>
          <w:sz w:val="24"/>
          <w:szCs w:val="24"/>
          <w:highlight w:val="none"/>
          <w:lang w:val="en-US" w:eastAsia="zh-CN"/>
        </w:rPr>
        <w:t>公告</w:t>
      </w:r>
    </w:p>
    <w:p w14:paraId="52B4B900">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第二章 供应商须知</w:t>
      </w:r>
    </w:p>
    <w:p w14:paraId="60BAAA28">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p>
    <w:p w14:paraId="72071CC7">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第四章 评审</w:t>
      </w:r>
      <w:r>
        <w:rPr>
          <w:rFonts w:hint="eastAsia" w:ascii="宋体" w:hAnsi="宋体" w:eastAsia="宋体" w:cs="宋体"/>
          <w:i w:val="0"/>
          <w:iCs w:val="0"/>
          <w:color w:val="auto"/>
          <w:sz w:val="24"/>
          <w:szCs w:val="24"/>
          <w:highlight w:val="none"/>
          <w:lang w:val="en-US" w:eastAsia="zh-CN"/>
        </w:rPr>
        <w:t>方</w:t>
      </w:r>
      <w:r>
        <w:rPr>
          <w:rFonts w:hint="eastAsia" w:ascii="宋体" w:hAnsi="宋体" w:eastAsia="宋体" w:cs="宋体"/>
          <w:i w:val="0"/>
          <w:iCs w:val="0"/>
          <w:color w:val="auto"/>
          <w:sz w:val="24"/>
          <w:szCs w:val="24"/>
          <w:highlight w:val="none"/>
        </w:rPr>
        <w:t>法及标准</w:t>
      </w:r>
    </w:p>
    <w:p w14:paraId="0C1C9E13">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第五章 合同草案</w:t>
      </w:r>
    </w:p>
    <w:p w14:paraId="1FAD37F0">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第六章 响应文件的格式</w:t>
      </w:r>
    </w:p>
    <w:p w14:paraId="49F7FF6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12.磋商文件的澄清或修改</w:t>
      </w:r>
      <w:bookmarkEnd w:id="154"/>
      <w:bookmarkEnd w:id="155"/>
      <w:bookmarkEnd w:id="156"/>
      <w:bookmarkEnd w:id="157"/>
      <w:bookmarkEnd w:id="158"/>
      <w:bookmarkEnd w:id="159"/>
      <w:bookmarkEnd w:id="160"/>
      <w:bookmarkEnd w:id="161"/>
      <w:bookmarkEnd w:id="162"/>
      <w:bookmarkEnd w:id="163"/>
      <w:bookmarkEnd w:id="164"/>
      <w:bookmarkEnd w:id="165"/>
    </w:p>
    <w:p w14:paraId="635A264C">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.1 供应商对采购项目有疑问的，可以按照“供应商须知前附表”中的规定提出询问。提出后，请供应商及时通过交易平台“答疑文件下载”栏目查看答疑文件或澄清文件。必要时，采购代理机构将组织相关专家召开答疑会，如召开，答疑会安排另行通知。采购人或采购代理机构将在收到询问后依法予以答复。对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文件询问的答复，在必要时将以澄清形式推送给每个获取竞争性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文件的潜在</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(答复中不包括问题的来源)。</w:t>
      </w:r>
    </w:p>
    <w:p w14:paraId="11FB40EC">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供应商在规定的时间内未对竞争性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文件提出疑问或要求澄清的，采购代理机构将视其为同意，对在“供应商须知前附表”中“</w:t>
      </w:r>
      <w:r>
        <w:rPr>
          <w:rFonts w:hint="eastAsia" w:ascii="宋体" w:hAnsi="宋体" w:eastAsia="宋体" w:cs="宋体"/>
          <w:i w:val="0"/>
          <w:iCs w:val="0"/>
          <w:color w:val="auto"/>
          <w:sz w:val="24"/>
          <w:szCs w:val="24"/>
          <w:highlight w:val="none"/>
          <w:lang w:val="en-US" w:eastAsia="zh-CN"/>
        </w:rPr>
        <w:t>提出询问的</w:t>
      </w: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lang w:val="en-US" w:eastAsia="zh-CN"/>
        </w:rPr>
        <w:t>要求</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之</w:t>
      </w:r>
      <w:r>
        <w:rPr>
          <w:rFonts w:hint="eastAsia" w:ascii="宋体" w:hAnsi="宋体" w:eastAsia="宋体" w:cs="宋体"/>
          <w:i w:val="0"/>
          <w:iCs w:val="0"/>
          <w:color w:val="auto"/>
          <w:sz w:val="24"/>
          <w:szCs w:val="24"/>
          <w:highlight w:val="none"/>
        </w:rPr>
        <w:t>后就竞争性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文件内容提出的疑问及澄清要求将不予受理。</w:t>
      </w:r>
    </w:p>
    <w:p w14:paraId="0ECEC52B">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.2 采购人或者采购代理机构可以对已发出的竞争性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文件进行必要的澄清或者修改。澄清或修改的内容为竞争性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文件的组成部分，并对所有获取竞争性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文件的潜在供应商具有约束力。</w:t>
      </w:r>
    </w:p>
    <w:p w14:paraId="22A671E2">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.3 竞争性磋商文件的澄清或者修</w:t>
      </w:r>
      <w:r>
        <w:rPr>
          <w:rFonts w:hint="eastAsia" w:ascii="宋体" w:hAnsi="宋体" w:eastAsia="宋体" w:cs="宋体"/>
          <w:i w:val="0"/>
          <w:iCs w:val="0"/>
          <w:snapToGrid w:val="0"/>
          <w:color w:val="auto"/>
          <w:sz w:val="24"/>
          <w:szCs w:val="24"/>
          <w:highlight w:val="none"/>
          <w:lang w:val="zh-CN"/>
        </w:rPr>
        <w:t>改以当面交接、邮寄、传真或电子邮件、网站披露等其中至少一种方式，发给所有领取竞争性磋商文件的供应商，但不包括问题的来源。对磋商文件澄清或者修改的内容可能影响响应文件编制的，采购人、采购代理机构或者磋商小组应当在提交首次响应文件截止之日5日前，以书面形式通知所有接收</w:t>
      </w:r>
      <w:r>
        <w:rPr>
          <w:rFonts w:hint="eastAsia" w:ascii="宋体" w:hAnsi="宋体" w:eastAsia="宋体" w:cs="宋体"/>
          <w:i w:val="0"/>
          <w:iCs w:val="0"/>
          <w:color w:val="auto"/>
          <w:sz w:val="24"/>
          <w:szCs w:val="24"/>
          <w:highlight w:val="none"/>
        </w:rPr>
        <w:t>竞争性</w:t>
      </w:r>
      <w:r>
        <w:rPr>
          <w:rFonts w:hint="eastAsia" w:ascii="宋体" w:hAnsi="宋体" w:eastAsia="宋体" w:cs="宋体"/>
          <w:i w:val="0"/>
          <w:iCs w:val="0"/>
          <w:snapToGrid w:val="0"/>
          <w:color w:val="auto"/>
          <w:sz w:val="24"/>
          <w:szCs w:val="24"/>
          <w:highlight w:val="none"/>
          <w:lang w:val="zh-CN"/>
        </w:rPr>
        <w:t>磋商文件的供应商，不足5日的，应当顺延提交首次响应文件</w:t>
      </w:r>
      <w:r>
        <w:rPr>
          <w:rFonts w:hint="eastAsia" w:ascii="宋体" w:hAnsi="宋体" w:eastAsia="宋体" w:cs="宋体"/>
          <w:i w:val="0"/>
          <w:iCs w:val="0"/>
          <w:snapToGrid w:val="0"/>
          <w:color w:val="auto"/>
          <w:sz w:val="24"/>
          <w:szCs w:val="24"/>
          <w:highlight w:val="none"/>
          <w:lang w:val="en-US" w:eastAsia="zh-CN"/>
        </w:rPr>
        <w:t>的</w:t>
      </w:r>
      <w:r>
        <w:rPr>
          <w:rFonts w:hint="eastAsia" w:ascii="宋体" w:hAnsi="宋体" w:eastAsia="宋体" w:cs="宋体"/>
          <w:i w:val="0"/>
          <w:iCs w:val="0"/>
          <w:snapToGrid w:val="0"/>
          <w:color w:val="auto"/>
          <w:sz w:val="24"/>
          <w:szCs w:val="24"/>
          <w:highlight w:val="none"/>
          <w:lang w:val="zh-CN"/>
        </w:rPr>
        <w:t>截止时间</w:t>
      </w:r>
      <w:r>
        <w:rPr>
          <w:rFonts w:hint="eastAsia" w:ascii="宋体" w:hAnsi="宋体" w:eastAsia="宋体" w:cs="宋体"/>
          <w:i w:val="0"/>
          <w:iCs w:val="0"/>
          <w:color w:val="auto"/>
          <w:sz w:val="24"/>
          <w:szCs w:val="24"/>
          <w:highlight w:val="none"/>
        </w:rPr>
        <w:t>。</w:t>
      </w:r>
    </w:p>
    <w:p w14:paraId="14731A74">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 xml:space="preserve">.4 </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须知”所称“书面形式”包括系统消息、政府采购</w:t>
      </w:r>
      <w:r>
        <w:rPr>
          <w:rFonts w:hint="eastAsia" w:ascii="宋体" w:hAnsi="宋体" w:eastAsia="宋体" w:cs="宋体"/>
          <w:i w:val="0"/>
          <w:iCs w:val="0"/>
          <w:color w:val="auto"/>
          <w:sz w:val="24"/>
          <w:szCs w:val="24"/>
          <w:highlight w:val="none"/>
          <w:lang w:val="en-US" w:eastAsia="zh-CN"/>
        </w:rPr>
        <w:t>云平台</w:t>
      </w:r>
      <w:r>
        <w:rPr>
          <w:rFonts w:hint="eastAsia" w:ascii="宋体" w:hAnsi="宋体" w:eastAsia="宋体" w:cs="宋体"/>
          <w:i w:val="0"/>
          <w:iCs w:val="0"/>
          <w:color w:val="auto"/>
          <w:sz w:val="24"/>
          <w:szCs w:val="24"/>
          <w:highlight w:val="none"/>
        </w:rPr>
        <w:t>发布的公告。</w:t>
      </w:r>
    </w:p>
    <w:p w14:paraId="4448E002">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2</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5</w:t>
      </w:r>
      <w:r>
        <w:rPr>
          <w:rFonts w:hint="eastAsia" w:ascii="宋体" w:hAnsi="宋体" w:eastAsia="宋体" w:cs="宋体"/>
          <w:i w:val="0"/>
          <w:iCs w:val="0"/>
          <w:color w:val="auto"/>
          <w:kern w:val="2"/>
          <w:sz w:val="24"/>
          <w:szCs w:val="24"/>
          <w:highlight w:val="none"/>
        </w:rPr>
        <w:t>采购代理机构一旦对竞争性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文件作出了澄清、修改，即刻发生效力，采购代理机构有关的澄清、修改文件，将作为竞争性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文件的组成部分，对所有现实的或潜在的</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均具有约束力，而无论是否已经实际收到上述文件。同时，采购代理机构和</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的权利及义务将受到新的截止期的约束。</w:t>
      </w:r>
    </w:p>
    <w:p w14:paraId="6E6D7F4C">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2</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6</w:t>
      </w:r>
      <w:r>
        <w:rPr>
          <w:rFonts w:hint="eastAsia" w:ascii="宋体" w:hAnsi="宋体" w:eastAsia="宋体" w:cs="宋体"/>
          <w:i w:val="0"/>
          <w:iCs w:val="0"/>
          <w:color w:val="auto"/>
          <w:kern w:val="2"/>
          <w:sz w:val="24"/>
          <w:szCs w:val="24"/>
          <w:highlight w:val="none"/>
        </w:rPr>
        <w:t>采购代理机构对竞争性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文件作出的澄清、修改在平台内进行披露，请</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及时关注并获取相关资料。因登记有误、线路故障或其它任何意外情形，导致</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未及时获取的，采购代理机构不因此承担任何责任，且有关的</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活动继续有效地进行。当竞争性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文件的澄清、修改及进行其他答复等就同一内容的表述不一致时，以最后发布的内容为准。</w:t>
      </w:r>
    </w:p>
    <w:p w14:paraId="78253819">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66" w:name="_Toc13211"/>
      <w:bookmarkStart w:id="167" w:name="_Toc163493613"/>
      <w:bookmarkStart w:id="168" w:name="_Toc109897442"/>
      <w:bookmarkStart w:id="169" w:name="_Toc109899960"/>
      <w:bookmarkStart w:id="170" w:name="_Toc46771647"/>
      <w:bookmarkStart w:id="171" w:name="_Toc109899541"/>
      <w:bookmarkStart w:id="172" w:name="_Toc470172672"/>
      <w:bookmarkStart w:id="173" w:name="_Toc109900379"/>
      <w:r>
        <w:rPr>
          <w:rFonts w:hint="eastAsia" w:ascii="宋体" w:hAnsi="宋体" w:eastAsia="宋体" w:cs="宋体"/>
          <w:b/>
          <w:bCs/>
          <w:i w:val="0"/>
          <w:iCs w:val="0"/>
          <w:color w:val="auto"/>
          <w:kern w:val="2"/>
          <w:sz w:val="24"/>
          <w:szCs w:val="24"/>
          <w:highlight w:val="none"/>
          <w:lang w:val="en-US" w:eastAsia="zh-CN" w:bidi="ar-SA"/>
        </w:rPr>
        <w:t>（三）响应文件</w:t>
      </w:r>
      <w:bookmarkEnd w:id="166"/>
      <w:bookmarkEnd w:id="167"/>
      <w:bookmarkEnd w:id="168"/>
      <w:bookmarkEnd w:id="169"/>
      <w:bookmarkEnd w:id="170"/>
      <w:bookmarkEnd w:id="171"/>
      <w:bookmarkEnd w:id="172"/>
      <w:bookmarkEnd w:id="173"/>
    </w:p>
    <w:p w14:paraId="15FB4EBA">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74" w:name="_Toc32272"/>
      <w:bookmarkStart w:id="175" w:name="_Toc109900381"/>
      <w:bookmarkStart w:id="176" w:name="_Toc46771649"/>
      <w:bookmarkStart w:id="177" w:name="_Toc109899962"/>
      <w:bookmarkStart w:id="178" w:name="_Toc109897444"/>
      <w:bookmarkStart w:id="179" w:name="_Toc48846118"/>
      <w:bookmarkStart w:id="180" w:name="_Toc52962736"/>
      <w:bookmarkStart w:id="181" w:name="_Toc48688798"/>
      <w:bookmarkStart w:id="182" w:name="_Toc470172674"/>
      <w:bookmarkStart w:id="183" w:name="_Toc109899543"/>
      <w:bookmarkStart w:id="184" w:name="_Toc51674220"/>
      <w:bookmarkStart w:id="185" w:name="_Toc52960562"/>
      <w:bookmarkStart w:id="186" w:name="_Toc46772250"/>
      <w:r>
        <w:rPr>
          <w:rFonts w:hint="eastAsia" w:ascii="宋体" w:hAnsi="宋体" w:eastAsia="宋体" w:cs="宋体"/>
          <w:b/>
          <w:bCs/>
          <w:i w:val="0"/>
          <w:iCs w:val="0"/>
          <w:color w:val="auto"/>
          <w:kern w:val="2"/>
          <w:sz w:val="24"/>
          <w:szCs w:val="24"/>
          <w:highlight w:val="none"/>
          <w:lang w:val="en-US" w:eastAsia="zh-CN" w:bidi="ar-SA"/>
        </w:rPr>
        <w:t>13.响应文件的</w:t>
      </w:r>
      <w:bookmarkEnd w:id="174"/>
      <w:bookmarkEnd w:id="175"/>
      <w:bookmarkEnd w:id="176"/>
      <w:bookmarkEnd w:id="177"/>
      <w:bookmarkEnd w:id="178"/>
      <w:bookmarkEnd w:id="179"/>
      <w:bookmarkEnd w:id="180"/>
      <w:bookmarkEnd w:id="181"/>
      <w:bookmarkEnd w:id="182"/>
      <w:bookmarkEnd w:id="183"/>
      <w:bookmarkEnd w:id="184"/>
      <w:bookmarkEnd w:id="185"/>
      <w:bookmarkEnd w:id="186"/>
      <w:r>
        <w:rPr>
          <w:rFonts w:hint="eastAsia" w:ascii="宋体" w:hAnsi="宋体" w:eastAsia="宋体" w:cs="宋体"/>
          <w:b/>
          <w:bCs/>
          <w:i w:val="0"/>
          <w:iCs w:val="0"/>
          <w:color w:val="auto"/>
          <w:kern w:val="2"/>
          <w:sz w:val="24"/>
          <w:szCs w:val="24"/>
          <w:highlight w:val="none"/>
          <w:lang w:val="en-US" w:eastAsia="zh-CN" w:bidi="ar-SA"/>
        </w:rPr>
        <w:t>组成</w:t>
      </w:r>
    </w:p>
    <w:p w14:paraId="0A28FBDE">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lang w:val="en-US" w:eastAsia="zh-CN"/>
        </w:rPr>
        <w:t>13</w:t>
      </w: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应完整地按竞争性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文件提供的</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文件格式及要求编写</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文件，具体内容详见</w:t>
      </w:r>
      <w:r>
        <w:rPr>
          <w:rFonts w:hint="eastAsia" w:ascii="宋体" w:hAnsi="宋体" w:eastAsia="宋体" w:cs="宋体"/>
          <w:i w:val="0"/>
          <w:iCs w:val="0"/>
          <w:color w:val="auto"/>
          <w:kern w:val="2"/>
          <w:sz w:val="24"/>
          <w:szCs w:val="24"/>
          <w:highlight w:val="none"/>
          <w:lang w:eastAsia="zh-CN"/>
        </w:rPr>
        <w:t>“</w:t>
      </w:r>
      <w:r>
        <w:rPr>
          <w:rFonts w:hint="eastAsia" w:ascii="宋体" w:hAnsi="宋体" w:eastAsia="宋体" w:cs="宋体"/>
          <w:i w:val="0"/>
          <w:iCs w:val="0"/>
          <w:color w:val="auto"/>
          <w:kern w:val="2"/>
          <w:sz w:val="24"/>
          <w:szCs w:val="24"/>
          <w:highlight w:val="none"/>
          <w:lang w:val="en-US" w:eastAsia="zh-CN"/>
        </w:rPr>
        <w:t>第六章 响应</w:t>
      </w:r>
      <w:r>
        <w:rPr>
          <w:rFonts w:hint="eastAsia" w:ascii="宋体" w:hAnsi="宋体" w:eastAsia="宋体" w:cs="宋体"/>
          <w:i w:val="0"/>
          <w:iCs w:val="0"/>
          <w:color w:val="auto"/>
          <w:kern w:val="2"/>
          <w:sz w:val="24"/>
          <w:szCs w:val="24"/>
          <w:highlight w:val="none"/>
        </w:rPr>
        <w:t>文件</w:t>
      </w:r>
      <w:r>
        <w:rPr>
          <w:rFonts w:hint="eastAsia" w:ascii="宋体" w:hAnsi="宋体" w:eastAsia="宋体" w:cs="宋体"/>
          <w:i w:val="0"/>
          <w:iCs w:val="0"/>
          <w:color w:val="auto"/>
          <w:kern w:val="2"/>
          <w:sz w:val="24"/>
          <w:szCs w:val="24"/>
          <w:highlight w:val="none"/>
          <w:lang w:val="en-US" w:eastAsia="zh-CN"/>
        </w:rPr>
        <w:t>的</w:t>
      </w:r>
      <w:r>
        <w:rPr>
          <w:rFonts w:hint="eastAsia" w:ascii="宋体" w:hAnsi="宋体" w:eastAsia="宋体" w:cs="宋体"/>
          <w:i w:val="0"/>
          <w:iCs w:val="0"/>
          <w:color w:val="auto"/>
          <w:kern w:val="2"/>
          <w:sz w:val="24"/>
          <w:szCs w:val="24"/>
          <w:highlight w:val="none"/>
        </w:rPr>
        <w:t>格式</w:t>
      </w:r>
      <w:r>
        <w:rPr>
          <w:rFonts w:hint="eastAsia" w:ascii="宋体" w:hAnsi="宋体" w:eastAsia="宋体" w:cs="宋体"/>
          <w:i w:val="0"/>
          <w:iCs w:val="0"/>
          <w:color w:val="auto"/>
          <w:kern w:val="2"/>
          <w:sz w:val="24"/>
          <w:szCs w:val="24"/>
          <w:highlight w:val="none"/>
          <w:lang w:eastAsia="zh-CN"/>
        </w:rPr>
        <w:t>”</w:t>
      </w:r>
      <w:r>
        <w:rPr>
          <w:rFonts w:hint="eastAsia" w:ascii="宋体" w:hAnsi="宋体" w:eastAsia="宋体" w:cs="宋体"/>
          <w:i w:val="0"/>
          <w:iCs w:val="0"/>
          <w:color w:val="auto"/>
          <w:kern w:val="2"/>
          <w:sz w:val="24"/>
          <w:szCs w:val="24"/>
          <w:highlight w:val="none"/>
        </w:rPr>
        <w:t>的相关内容。</w:t>
      </w:r>
    </w:p>
    <w:p w14:paraId="15FE94B6">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13.2供应商</w:t>
      </w:r>
      <w:r>
        <w:rPr>
          <w:rFonts w:hint="eastAsia" w:ascii="宋体" w:hAnsi="宋体" w:eastAsia="宋体" w:cs="宋体"/>
          <w:i w:val="0"/>
          <w:iCs w:val="0"/>
          <w:color w:val="auto"/>
          <w:kern w:val="2"/>
          <w:sz w:val="24"/>
          <w:szCs w:val="24"/>
          <w:highlight w:val="none"/>
        </w:rPr>
        <w:t>应提交竞争性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文件要求的证明文件，证明其</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内容符合竞争性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文件规定</w:t>
      </w:r>
      <w:r>
        <w:rPr>
          <w:rFonts w:hint="eastAsia" w:ascii="宋体" w:hAnsi="宋体" w:eastAsia="宋体" w:cs="宋体"/>
          <w:i w:val="0"/>
          <w:iCs w:val="0"/>
          <w:color w:val="auto"/>
          <w:kern w:val="2"/>
          <w:sz w:val="24"/>
          <w:szCs w:val="24"/>
          <w:highlight w:val="none"/>
          <w:lang w:eastAsia="zh-CN"/>
        </w:rPr>
        <w:t>，</w:t>
      </w:r>
      <w:r>
        <w:rPr>
          <w:rFonts w:hint="eastAsia" w:ascii="宋体" w:hAnsi="宋体" w:eastAsia="宋体" w:cs="宋体"/>
          <w:i w:val="0"/>
          <w:iCs w:val="0"/>
          <w:color w:val="auto"/>
          <w:kern w:val="2"/>
          <w:sz w:val="24"/>
          <w:szCs w:val="24"/>
          <w:highlight w:val="none"/>
        </w:rPr>
        <w:t>该证明文件是</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文件的一部分</w:t>
      </w:r>
      <w:r>
        <w:rPr>
          <w:rFonts w:hint="eastAsia" w:ascii="宋体" w:hAnsi="宋体" w:eastAsia="宋体" w:cs="宋体"/>
          <w:i w:val="0"/>
          <w:iCs w:val="0"/>
          <w:color w:val="auto"/>
          <w:kern w:val="2"/>
          <w:sz w:val="24"/>
          <w:szCs w:val="24"/>
          <w:highlight w:val="none"/>
          <w:lang w:eastAsia="zh-CN"/>
        </w:rPr>
        <w:t>。</w:t>
      </w:r>
      <w:r>
        <w:rPr>
          <w:rFonts w:hint="eastAsia" w:ascii="宋体" w:hAnsi="宋体" w:eastAsia="宋体" w:cs="宋体"/>
          <w:i w:val="0"/>
          <w:iCs w:val="0"/>
          <w:color w:val="auto"/>
          <w:kern w:val="2"/>
          <w:sz w:val="24"/>
          <w:szCs w:val="24"/>
          <w:highlight w:val="none"/>
        </w:rPr>
        <w:t>证明文件</w:t>
      </w:r>
      <w:r>
        <w:rPr>
          <w:rFonts w:hint="eastAsia" w:ascii="宋体" w:hAnsi="宋体" w:eastAsia="宋体" w:cs="宋体"/>
          <w:i w:val="0"/>
          <w:iCs w:val="0"/>
          <w:color w:val="auto"/>
          <w:kern w:val="2"/>
          <w:sz w:val="24"/>
          <w:szCs w:val="24"/>
          <w:highlight w:val="none"/>
          <w:lang w:val="en-US" w:eastAsia="zh-CN"/>
        </w:rPr>
        <w:t>形式</w:t>
      </w:r>
      <w:r>
        <w:rPr>
          <w:rFonts w:hint="eastAsia" w:ascii="宋体" w:hAnsi="宋体" w:eastAsia="宋体" w:cs="宋体"/>
          <w:i w:val="0"/>
          <w:iCs w:val="0"/>
          <w:color w:val="auto"/>
          <w:kern w:val="2"/>
          <w:sz w:val="24"/>
          <w:szCs w:val="24"/>
          <w:highlight w:val="none"/>
        </w:rPr>
        <w:t>可以是文字资料、图纸和数据</w:t>
      </w:r>
      <w:bookmarkStart w:id="187" w:name="_Hlk11703583"/>
      <w:r>
        <w:rPr>
          <w:rFonts w:hint="eastAsia" w:ascii="宋体" w:hAnsi="宋体" w:eastAsia="宋体" w:cs="宋体"/>
          <w:i w:val="0"/>
          <w:iCs w:val="0"/>
          <w:color w:val="auto"/>
          <w:kern w:val="2"/>
          <w:sz w:val="24"/>
          <w:szCs w:val="24"/>
          <w:highlight w:val="none"/>
          <w:lang w:val="en-US" w:eastAsia="zh-CN"/>
        </w:rPr>
        <w:t>等。</w:t>
      </w:r>
    </w:p>
    <w:bookmarkEnd w:id="187"/>
    <w:p w14:paraId="5D48E686">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13.3</w:t>
      </w:r>
      <w:r>
        <w:rPr>
          <w:rFonts w:hint="eastAsia" w:ascii="宋体" w:hAnsi="宋体" w:eastAsia="宋体" w:cs="宋体"/>
          <w:i w:val="0"/>
          <w:iCs w:val="0"/>
          <w:color w:val="auto"/>
          <w:kern w:val="2"/>
          <w:sz w:val="24"/>
          <w:szCs w:val="24"/>
          <w:highlight w:val="none"/>
        </w:rPr>
        <w:t>为保证公平公正，除非</w:t>
      </w:r>
      <w:r>
        <w:rPr>
          <w:rFonts w:hint="eastAsia" w:ascii="宋体" w:hAnsi="宋体" w:eastAsia="宋体" w:cs="宋体"/>
          <w:i w:val="0"/>
          <w:iCs w:val="0"/>
          <w:color w:val="auto"/>
          <w:kern w:val="2"/>
          <w:sz w:val="24"/>
          <w:szCs w:val="24"/>
          <w:highlight w:val="none"/>
          <w:lang w:val="en-US" w:eastAsia="zh-CN"/>
        </w:rPr>
        <w:t>本磋商文件</w:t>
      </w:r>
      <w:r>
        <w:rPr>
          <w:rFonts w:hint="eastAsia" w:ascii="宋体" w:hAnsi="宋体" w:eastAsia="宋体" w:cs="宋体"/>
          <w:i w:val="0"/>
          <w:iCs w:val="0"/>
          <w:color w:val="auto"/>
          <w:kern w:val="2"/>
          <w:sz w:val="24"/>
          <w:szCs w:val="24"/>
          <w:highlight w:val="none"/>
        </w:rPr>
        <w:t>另有规定或说明，</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对同一项目</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时，不得同时提供备选</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方案。</w:t>
      </w:r>
    </w:p>
    <w:p w14:paraId="507859E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88" w:name="_Toc48688800"/>
      <w:bookmarkStart w:id="189" w:name="_Toc470172676"/>
      <w:bookmarkStart w:id="190" w:name="_Toc109897446"/>
      <w:bookmarkStart w:id="191" w:name="_Toc52960564"/>
      <w:bookmarkStart w:id="192" w:name="_Toc109899545"/>
      <w:bookmarkStart w:id="193" w:name="_Toc109899964"/>
      <w:bookmarkStart w:id="194" w:name="_Toc24544"/>
      <w:bookmarkStart w:id="195" w:name="_Toc109900383"/>
      <w:bookmarkStart w:id="196" w:name="_Toc52962738"/>
      <w:bookmarkStart w:id="197" w:name="_Toc46771651"/>
      <w:bookmarkStart w:id="198" w:name="_Toc51674222"/>
      <w:bookmarkStart w:id="199" w:name="_Toc48846120"/>
      <w:bookmarkStart w:id="200" w:name="_Toc46772252"/>
      <w:bookmarkStart w:id="201" w:name="_Toc51674221"/>
      <w:bookmarkStart w:id="202" w:name="_Toc52962737"/>
      <w:bookmarkStart w:id="203" w:name="_Toc25217"/>
      <w:bookmarkStart w:id="204" w:name="_Toc109899963"/>
      <w:bookmarkStart w:id="205" w:name="_Toc46771650"/>
      <w:bookmarkStart w:id="206" w:name="_Toc52960563"/>
      <w:bookmarkStart w:id="207" w:name="_Toc48846119"/>
      <w:bookmarkStart w:id="208" w:name="_Toc48688799"/>
      <w:bookmarkStart w:id="209" w:name="_Toc109899544"/>
      <w:bookmarkStart w:id="210" w:name="_Toc109897445"/>
      <w:bookmarkStart w:id="211" w:name="_Toc109900382"/>
      <w:bookmarkStart w:id="212" w:name="_Toc46772251"/>
      <w:bookmarkStart w:id="213" w:name="_Toc470172675"/>
      <w:r>
        <w:rPr>
          <w:rFonts w:hint="eastAsia" w:ascii="宋体" w:hAnsi="宋体" w:eastAsia="宋体" w:cs="宋体"/>
          <w:b/>
          <w:bCs/>
          <w:i w:val="0"/>
          <w:iCs w:val="0"/>
          <w:color w:val="auto"/>
          <w:kern w:val="2"/>
          <w:sz w:val="24"/>
          <w:szCs w:val="24"/>
          <w:highlight w:val="none"/>
          <w:lang w:val="en-US" w:eastAsia="zh-CN" w:bidi="ar-SA"/>
        </w:rPr>
        <w:t>14.磋商报价</w:t>
      </w:r>
      <w:bookmarkEnd w:id="188"/>
      <w:bookmarkEnd w:id="189"/>
      <w:bookmarkEnd w:id="190"/>
      <w:bookmarkEnd w:id="191"/>
      <w:bookmarkEnd w:id="192"/>
      <w:bookmarkEnd w:id="193"/>
      <w:bookmarkEnd w:id="194"/>
      <w:bookmarkEnd w:id="195"/>
      <w:bookmarkEnd w:id="196"/>
      <w:bookmarkEnd w:id="197"/>
      <w:bookmarkEnd w:id="198"/>
      <w:bookmarkEnd w:id="199"/>
      <w:bookmarkEnd w:id="200"/>
    </w:p>
    <w:p w14:paraId="6EB3FF2F">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.1磋商供应商的报价均应以人民币报价。磋商报价包括磋商供应商在首次提交的响应文件中的报价、磋商过程中的报价和最后报价，</w:t>
      </w:r>
      <w:r>
        <w:rPr>
          <w:rFonts w:hint="eastAsia" w:ascii="宋体" w:hAnsi="宋体" w:eastAsia="宋体" w:cs="宋体"/>
          <w:i w:val="0"/>
          <w:iCs w:val="0"/>
          <w:snapToGrid w:val="0"/>
          <w:color w:val="auto"/>
          <w:sz w:val="24"/>
          <w:szCs w:val="24"/>
          <w:highlight w:val="none"/>
          <w:lang w:val="en-US" w:eastAsia="zh-CN"/>
        </w:rPr>
        <w:t>且均</w:t>
      </w:r>
      <w:r>
        <w:rPr>
          <w:rFonts w:hint="eastAsia" w:ascii="宋体" w:hAnsi="宋体" w:eastAsia="宋体" w:cs="宋体"/>
          <w:i w:val="0"/>
          <w:iCs w:val="0"/>
          <w:color w:val="auto"/>
          <w:sz w:val="24"/>
          <w:szCs w:val="24"/>
          <w:highlight w:val="none"/>
        </w:rPr>
        <w:t>不得超过</w:t>
      </w:r>
      <w:bookmarkStart w:id="214" w:name="_Hlk161703672"/>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”中规定</w:t>
      </w:r>
      <w:bookmarkEnd w:id="214"/>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lang w:val="en-US" w:eastAsia="zh-CN"/>
        </w:rPr>
        <w:t>最高限价或者预算金额</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snapToGrid w:val="0"/>
          <w:color w:val="auto"/>
          <w:sz w:val="24"/>
          <w:szCs w:val="24"/>
          <w:highlight w:val="none"/>
          <w:lang w:val="zh-CN"/>
        </w:rPr>
        <w:t>否则其响应文件将被视为</w:t>
      </w:r>
      <w:r>
        <w:rPr>
          <w:rFonts w:hint="eastAsia" w:ascii="宋体" w:hAnsi="宋体" w:eastAsia="宋体" w:cs="宋体"/>
          <w:b/>
          <w:bCs/>
          <w:i w:val="0"/>
          <w:iCs w:val="0"/>
          <w:snapToGrid w:val="0"/>
          <w:color w:val="auto"/>
          <w:sz w:val="24"/>
          <w:szCs w:val="24"/>
          <w:highlight w:val="none"/>
          <w:lang w:val="zh-CN"/>
        </w:rPr>
        <w:t>无效文件</w:t>
      </w:r>
      <w:r>
        <w:rPr>
          <w:rFonts w:hint="eastAsia" w:ascii="宋体" w:hAnsi="宋体" w:eastAsia="宋体" w:cs="宋体"/>
          <w:i w:val="0"/>
          <w:iCs w:val="0"/>
          <w:snapToGrid w:val="0"/>
          <w:color w:val="auto"/>
          <w:sz w:val="24"/>
          <w:szCs w:val="24"/>
          <w:highlight w:val="none"/>
          <w:lang w:val="zh-CN"/>
        </w:rPr>
        <w:t>。</w:t>
      </w:r>
    </w:p>
    <w:p w14:paraId="2F35A86F">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2供应商应按照本磋商文件规定的采购需求及合同条款进行报价，并按磋商文件确定的格式报出。报价中不得包含磋商文件要求以外的内容，否则，在评审时不予核减。报价中也不得缺漏磋商文件所要求的内容，否则，其响应文件将被视为</w:t>
      </w:r>
      <w:r>
        <w:rPr>
          <w:rFonts w:hint="eastAsia" w:ascii="宋体" w:hAnsi="宋体" w:eastAsia="宋体" w:cs="宋体"/>
          <w:b/>
          <w:bCs/>
          <w:i w:val="0"/>
          <w:iCs w:val="0"/>
          <w:snapToGrid w:val="0"/>
          <w:color w:val="auto"/>
          <w:sz w:val="24"/>
          <w:szCs w:val="24"/>
          <w:highlight w:val="none"/>
          <w:lang w:val="zh-CN"/>
        </w:rPr>
        <w:t>无效文件</w:t>
      </w:r>
      <w:r>
        <w:rPr>
          <w:rFonts w:hint="eastAsia" w:ascii="宋体" w:hAnsi="宋体" w:eastAsia="宋体" w:cs="宋体"/>
          <w:i w:val="0"/>
          <w:iCs w:val="0"/>
          <w:snapToGrid w:val="0"/>
          <w:color w:val="auto"/>
          <w:sz w:val="24"/>
          <w:szCs w:val="24"/>
          <w:highlight w:val="none"/>
          <w:lang w:val="zh-CN"/>
        </w:rPr>
        <w:t>。</w:t>
      </w:r>
    </w:p>
    <w:p w14:paraId="2920C377">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snapToGrid w:val="0"/>
          <w:color w:val="auto"/>
          <w:sz w:val="24"/>
          <w:szCs w:val="24"/>
          <w:highlight w:val="none"/>
          <w:lang w:val="en-US" w:eastAsia="zh-CN"/>
        </w:rPr>
        <w:t>14.3</w:t>
      </w:r>
      <w:r>
        <w:rPr>
          <w:rFonts w:hint="eastAsia" w:ascii="宋体" w:hAnsi="宋体" w:eastAsia="宋体" w:cs="宋体"/>
          <w:i w:val="0"/>
          <w:iCs w:val="0"/>
          <w:snapToGrid w:val="0"/>
          <w:color w:val="auto"/>
          <w:sz w:val="24"/>
          <w:szCs w:val="24"/>
          <w:highlight w:val="none"/>
          <w:lang w:val="zh-CN"/>
        </w:rPr>
        <w:t>供应商</w:t>
      </w:r>
      <w:r>
        <w:rPr>
          <w:rFonts w:hint="eastAsia" w:ascii="宋体" w:hAnsi="宋体" w:eastAsia="宋体" w:cs="宋体"/>
          <w:i w:val="0"/>
          <w:iCs w:val="0"/>
          <w:color w:val="auto"/>
          <w:kern w:val="2"/>
          <w:sz w:val="24"/>
          <w:szCs w:val="24"/>
          <w:highlight w:val="none"/>
          <w:lang w:val="en-US" w:eastAsia="zh-CN"/>
        </w:rPr>
        <w:t>的报价应包括为完成本项目所发生的一切费用和税费，采购人将不再支付报价以外的任何费用。</w:t>
      </w:r>
      <w:r>
        <w:rPr>
          <w:rFonts w:hint="eastAsia" w:ascii="宋体" w:hAnsi="宋体" w:eastAsia="宋体" w:cs="宋体"/>
          <w:i w:val="0"/>
          <w:iCs w:val="0"/>
          <w:color w:val="auto"/>
          <w:kern w:val="2"/>
          <w:sz w:val="24"/>
          <w:szCs w:val="24"/>
          <w:highlight w:val="none"/>
        </w:rPr>
        <w:t>只要投报了一个确定数额的总价，无论分项价格是否全部填报了相应的金额或免费字样，</w:t>
      </w:r>
      <w:r>
        <w:rPr>
          <w:rFonts w:hint="eastAsia" w:ascii="宋体" w:hAnsi="宋体" w:eastAsia="宋体" w:cs="宋体"/>
          <w:i w:val="0"/>
          <w:iCs w:val="0"/>
          <w:color w:val="auto"/>
          <w:kern w:val="2"/>
          <w:sz w:val="24"/>
          <w:szCs w:val="24"/>
          <w:highlight w:val="none"/>
          <w:lang w:val="en-US" w:eastAsia="zh-CN"/>
        </w:rPr>
        <w:t>报价应被视为已经包含了但并不限于本次招标全部采购需求所应提供的服务，以及伴随的货物和工程等的费用和所需缴纳的所有价格、税、费。在其他情况下，由于分项报价填报不完整、不清楚或存在其他任何失误，所导致的任何不利后果均应当由投标人自行承担</w:t>
      </w:r>
      <w:r>
        <w:rPr>
          <w:rFonts w:hint="eastAsia" w:ascii="宋体" w:hAnsi="宋体" w:eastAsia="宋体" w:cs="宋体"/>
          <w:i w:val="0"/>
          <w:iCs w:val="0"/>
          <w:color w:val="auto"/>
          <w:kern w:val="2"/>
          <w:sz w:val="24"/>
          <w:szCs w:val="24"/>
          <w:highlight w:val="none"/>
        </w:rPr>
        <w:t>。</w:t>
      </w:r>
    </w:p>
    <w:p w14:paraId="2375AB76">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color w:val="auto"/>
          <w:kern w:val="2"/>
          <w:sz w:val="24"/>
          <w:szCs w:val="24"/>
          <w:highlight w:val="none"/>
          <w:lang w:val="en-US" w:eastAsia="zh-CN" w:bidi="ar-SA"/>
        </w:rPr>
        <w:t>14.4供应商的报价应包括但不限于按照竞争性磋商文件要求完成本项目的全部相关费用</w:t>
      </w:r>
      <w:r>
        <w:rPr>
          <w:rFonts w:hint="eastAsia" w:ascii="宋体" w:hAnsi="宋体" w:eastAsia="宋体" w:cs="宋体"/>
          <w:i w:val="0"/>
          <w:iCs w:val="0"/>
          <w:color w:val="auto"/>
          <w:kern w:val="2"/>
          <w:sz w:val="24"/>
          <w:szCs w:val="24"/>
          <w:highlight w:val="none"/>
          <w:lang w:val="en-US" w:eastAsia="zh-CN"/>
        </w:rPr>
        <w:t>。</w:t>
      </w:r>
    </w:p>
    <w:p w14:paraId="33CE580E">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5供应商须严格按照分项报价表规定的内容填写服务单价以及其他事项。供应商应根据本</w:t>
      </w:r>
      <w:r>
        <w:rPr>
          <w:rFonts w:hint="eastAsia" w:ascii="宋体" w:hAnsi="宋体" w:eastAsia="宋体" w:cs="宋体"/>
          <w:i w:val="0"/>
          <w:iCs w:val="0"/>
          <w:color w:val="auto"/>
          <w:kern w:val="2"/>
          <w:sz w:val="24"/>
          <w:szCs w:val="24"/>
          <w:highlight w:val="none"/>
          <w:lang w:val="en-US" w:eastAsia="zh-CN" w:bidi="ar-SA"/>
        </w:rPr>
        <w:t>竞争性磋商</w:t>
      </w:r>
      <w:r>
        <w:rPr>
          <w:rFonts w:hint="eastAsia" w:ascii="宋体" w:hAnsi="宋体" w:eastAsia="宋体" w:cs="宋体"/>
          <w:i w:val="0"/>
          <w:iCs w:val="0"/>
          <w:snapToGrid w:val="0"/>
          <w:color w:val="auto"/>
          <w:sz w:val="24"/>
          <w:szCs w:val="24"/>
          <w:highlight w:val="none"/>
          <w:lang w:val="en-US" w:eastAsia="zh-CN"/>
        </w:rPr>
        <w:t>文件的规定和要求、市场价格水平及其走势、供应商的管理水平、供应商的方案和由这些因素决定的供应商之于本项目的成本水平等提出自己的报价。报价应合理，并包含完成本</w:t>
      </w:r>
      <w:r>
        <w:rPr>
          <w:rFonts w:hint="eastAsia" w:ascii="宋体" w:hAnsi="宋体" w:eastAsia="宋体" w:cs="宋体"/>
          <w:i w:val="0"/>
          <w:iCs w:val="0"/>
          <w:color w:val="auto"/>
          <w:kern w:val="2"/>
          <w:sz w:val="24"/>
          <w:szCs w:val="24"/>
          <w:highlight w:val="none"/>
          <w:lang w:val="en-US" w:eastAsia="zh-CN" w:bidi="ar-SA"/>
        </w:rPr>
        <w:t>竞争性磋商</w:t>
      </w:r>
      <w:r>
        <w:rPr>
          <w:rFonts w:hint="eastAsia" w:ascii="宋体" w:hAnsi="宋体" w:eastAsia="宋体" w:cs="宋体"/>
          <w:i w:val="0"/>
          <w:iCs w:val="0"/>
          <w:snapToGrid w:val="0"/>
          <w:color w:val="auto"/>
          <w:sz w:val="24"/>
          <w:szCs w:val="24"/>
          <w:highlight w:val="none"/>
          <w:lang w:val="en-US" w:eastAsia="zh-CN"/>
        </w:rPr>
        <w:t>文件采购需求全部内容的所有费用，所有根据本</w:t>
      </w:r>
      <w:r>
        <w:rPr>
          <w:rFonts w:hint="eastAsia" w:ascii="宋体" w:hAnsi="宋体" w:eastAsia="宋体" w:cs="宋体"/>
          <w:i w:val="0"/>
          <w:iCs w:val="0"/>
          <w:color w:val="auto"/>
          <w:kern w:val="2"/>
          <w:sz w:val="24"/>
          <w:szCs w:val="24"/>
          <w:highlight w:val="none"/>
          <w:lang w:val="en-US" w:eastAsia="zh-CN" w:bidi="ar-SA"/>
        </w:rPr>
        <w:t>竞争性磋商</w:t>
      </w:r>
      <w:r>
        <w:rPr>
          <w:rFonts w:hint="eastAsia" w:ascii="宋体" w:hAnsi="宋体" w:eastAsia="宋体" w:cs="宋体"/>
          <w:i w:val="0"/>
          <w:iCs w:val="0"/>
          <w:snapToGrid w:val="0"/>
          <w:color w:val="auto"/>
          <w:sz w:val="24"/>
          <w:szCs w:val="24"/>
          <w:highlight w:val="none"/>
          <w:lang w:val="en-US" w:eastAsia="zh-CN"/>
        </w:rPr>
        <w:t>文件或其它原因应由供应商支付的税款和其他应交纳的费用都应包括在供应商提交的响应报价中</w:t>
      </w:r>
      <w:r>
        <w:rPr>
          <w:rFonts w:hint="eastAsia" w:ascii="宋体" w:hAnsi="宋体" w:eastAsia="宋体" w:cs="宋体"/>
          <w:i w:val="0"/>
          <w:iCs w:val="0"/>
          <w:snapToGrid w:val="0"/>
          <w:color w:val="auto"/>
          <w:sz w:val="24"/>
          <w:szCs w:val="24"/>
          <w:highlight w:val="none"/>
          <w:lang w:val="zh-CN"/>
        </w:rPr>
        <w:t>。</w:t>
      </w:r>
    </w:p>
    <w:p w14:paraId="6B16430D">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6</w:t>
      </w:r>
      <w:r>
        <w:rPr>
          <w:rFonts w:hint="eastAsia" w:ascii="宋体" w:hAnsi="宋体" w:eastAsia="宋体" w:cs="宋体"/>
          <w:i w:val="0"/>
          <w:iCs w:val="0"/>
          <w:snapToGrid w:val="0"/>
          <w:color w:val="auto"/>
          <w:sz w:val="24"/>
          <w:szCs w:val="24"/>
          <w:highlight w:val="none"/>
          <w:lang w:val="zh-CN"/>
        </w:rPr>
        <w:t>供应商在响应文件中注明免费的项目将视为包含在报价中。</w:t>
      </w:r>
    </w:p>
    <w:p w14:paraId="459982E4">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7</w:t>
      </w:r>
      <w:r>
        <w:rPr>
          <w:rFonts w:hint="eastAsia" w:ascii="宋体" w:hAnsi="宋体" w:eastAsia="宋体" w:cs="宋体"/>
          <w:i w:val="0"/>
          <w:iCs w:val="0"/>
          <w:snapToGrid w:val="0"/>
          <w:color w:val="auto"/>
          <w:sz w:val="24"/>
          <w:szCs w:val="24"/>
          <w:highlight w:val="none"/>
          <w:lang w:val="zh-CN"/>
        </w:rPr>
        <w:t>每一种采购内容只允许有一个报价，否则其响应文件将被视为</w:t>
      </w:r>
      <w:r>
        <w:rPr>
          <w:rFonts w:hint="eastAsia" w:ascii="宋体" w:hAnsi="宋体" w:eastAsia="宋体" w:cs="宋体"/>
          <w:b/>
          <w:bCs/>
          <w:i w:val="0"/>
          <w:iCs w:val="0"/>
          <w:snapToGrid w:val="0"/>
          <w:color w:val="auto"/>
          <w:sz w:val="24"/>
          <w:szCs w:val="24"/>
          <w:highlight w:val="none"/>
          <w:lang w:val="zh-CN"/>
        </w:rPr>
        <w:t>无效文件</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color w:val="auto"/>
          <w:kern w:val="2"/>
          <w:sz w:val="24"/>
          <w:szCs w:val="24"/>
          <w:highlight w:val="none"/>
        </w:rPr>
        <w:t>除非</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文件另有规定，不接受可选择或可调整的</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方案和报价，任何有选择的或可调整的</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方案和报价将被视为非响应性</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而被拒绝。</w:t>
      </w:r>
    </w:p>
    <w:p w14:paraId="63B0ABF4">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4</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 xml:space="preserve">8 </w:t>
      </w:r>
      <w:r>
        <w:rPr>
          <w:rFonts w:hint="eastAsia" w:ascii="宋体" w:hAnsi="宋体" w:eastAsia="宋体" w:cs="宋体"/>
          <w:i w:val="0"/>
          <w:iCs w:val="0"/>
          <w:color w:val="auto"/>
          <w:kern w:val="2"/>
          <w:sz w:val="24"/>
          <w:szCs w:val="24"/>
          <w:highlight w:val="none"/>
          <w:lang w:val="zh-CN" w:eastAsia="zh-CN"/>
        </w:rPr>
        <w:t>供应商</w:t>
      </w:r>
      <w:r>
        <w:rPr>
          <w:rFonts w:hint="eastAsia" w:ascii="宋体" w:hAnsi="宋体" w:eastAsia="宋体" w:cs="宋体"/>
          <w:i w:val="0"/>
          <w:iCs w:val="0"/>
          <w:color w:val="auto"/>
          <w:kern w:val="2"/>
          <w:sz w:val="24"/>
          <w:szCs w:val="24"/>
          <w:highlight w:val="none"/>
          <w:lang w:val="en-US" w:eastAsia="zh-CN"/>
        </w:rPr>
        <w:t>对磋商</w:t>
      </w:r>
      <w:r>
        <w:rPr>
          <w:rFonts w:hint="eastAsia" w:ascii="宋体" w:hAnsi="宋体" w:eastAsia="宋体" w:cs="宋体"/>
          <w:i w:val="0"/>
          <w:iCs w:val="0"/>
          <w:color w:val="auto"/>
          <w:kern w:val="2"/>
          <w:sz w:val="24"/>
          <w:szCs w:val="24"/>
          <w:highlight w:val="none"/>
        </w:rPr>
        <w:t>报价若有说明应在</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文件中显著处注明。</w:t>
      </w:r>
    </w:p>
    <w:p w14:paraId="11F3D751">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除政策性文件规定以外，</w:t>
      </w:r>
      <w:r>
        <w:rPr>
          <w:rFonts w:hint="eastAsia" w:ascii="宋体" w:hAnsi="宋体" w:eastAsia="宋体" w:cs="宋体"/>
          <w:i w:val="0"/>
          <w:iCs w:val="0"/>
          <w:color w:val="auto"/>
          <w:kern w:val="2"/>
          <w:sz w:val="24"/>
          <w:szCs w:val="24"/>
          <w:highlight w:val="none"/>
          <w:lang w:val="zh-CN"/>
        </w:rPr>
        <w:t>供应商</w:t>
      </w:r>
      <w:r>
        <w:rPr>
          <w:rFonts w:hint="eastAsia" w:ascii="宋体" w:hAnsi="宋体" w:eastAsia="宋体" w:cs="宋体"/>
          <w:i w:val="0"/>
          <w:iCs w:val="0"/>
          <w:color w:val="auto"/>
          <w:kern w:val="2"/>
          <w:sz w:val="24"/>
          <w:szCs w:val="24"/>
          <w:highlight w:val="none"/>
        </w:rPr>
        <w:t>所报价格在合同实施期间不因市场变化因素而变动。</w:t>
      </w:r>
    </w:p>
    <w:p w14:paraId="3B13C461">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4</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 xml:space="preserve">9 </w:t>
      </w:r>
      <w:r>
        <w:rPr>
          <w:rFonts w:hint="eastAsia" w:ascii="宋体" w:hAnsi="宋体" w:eastAsia="宋体" w:cs="宋体"/>
          <w:i w:val="0"/>
          <w:iCs w:val="0"/>
          <w:color w:val="auto"/>
          <w:kern w:val="2"/>
          <w:sz w:val="24"/>
          <w:szCs w:val="24"/>
          <w:highlight w:val="none"/>
        </w:rPr>
        <w:t>最低报价不能作为</w:t>
      </w:r>
      <w:r>
        <w:rPr>
          <w:rFonts w:hint="eastAsia" w:ascii="宋体" w:hAnsi="宋体" w:eastAsia="宋体" w:cs="宋体"/>
          <w:i w:val="0"/>
          <w:iCs w:val="0"/>
          <w:color w:val="auto"/>
          <w:kern w:val="2"/>
          <w:sz w:val="24"/>
          <w:szCs w:val="24"/>
          <w:highlight w:val="none"/>
          <w:lang w:val="en-US" w:eastAsia="zh-CN"/>
        </w:rPr>
        <w:t>成交</w:t>
      </w:r>
      <w:r>
        <w:rPr>
          <w:rFonts w:hint="eastAsia" w:ascii="宋体" w:hAnsi="宋体" w:eastAsia="宋体" w:cs="宋体"/>
          <w:i w:val="0"/>
          <w:iCs w:val="0"/>
          <w:color w:val="auto"/>
          <w:kern w:val="2"/>
          <w:sz w:val="24"/>
          <w:szCs w:val="24"/>
          <w:highlight w:val="none"/>
        </w:rPr>
        <w:t>的保证。</w:t>
      </w:r>
    </w:p>
    <w:p w14:paraId="5A75C854">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kern w:val="0"/>
          <w:sz w:val="24"/>
          <w:szCs w:val="24"/>
          <w:highlight w:val="none"/>
          <w:lang w:val="en-US" w:eastAsia="zh-CN" w:bidi="ar"/>
        </w:rPr>
      </w:pPr>
      <w:r>
        <w:rPr>
          <w:rFonts w:hint="eastAsia" w:ascii="宋体" w:hAnsi="宋体" w:eastAsia="宋体" w:cs="宋体"/>
          <w:i w:val="0"/>
          <w:iCs w:val="0"/>
          <w:color w:val="auto"/>
          <w:kern w:val="2"/>
          <w:sz w:val="24"/>
          <w:szCs w:val="24"/>
          <w:highlight w:val="none"/>
          <w:lang w:val="en-US" w:eastAsia="zh-CN"/>
        </w:rPr>
        <w:t>14.10</w:t>
      </w:r>
      <w:r>
        <w:rPr>
          <w:rFonts w:hint="eastAsia" w:ascii="宋体" w:hAnsi="宋体" w:eastAsia="宋体" w:cs="宋体"/>
          <w:i w:val="0"/>
          <w:iCs w:val="0"/>
          <w:color w:val="auto"/>
          <w:kern w:val="0"/>
          <w:sz w:val="24"/>
          <w:szCs w:val="24"/>
          <w:highlight w:val="none"/>
          <w:lang w:val="en-US" w:eastAsia="zh-CN" w:bidi="ar"/>
        </w:rPr>
        <w:t>采购人不得向供应商索要或者接受其给予的赠品、回扣或者与采购无关的其他商品、服务。</w:t>
      </w:r>
    </w:p>
    <w:p w14:paraId="0509ADBD">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kern w:val="0"/>
          <w:sz w:val="24"/>
          <w:szCs w:val="24"/>
          <w:highlight w:val="none"/>
          <w:lang w:val="en-US" w:eastAsia="zh-CN" w:bidi="ar"/>
        </w:rPr>
      </w:pPr>
      <w:r>
        <w:rPr>
          <w:rFonts w:hint="eastAsia" w:ascii="宋体" w:hAnsi="宋体" w:eastAsia="宋体" w:cs="宋体"/>
          <w:i w:val="0"/>
          <w:iCs w:val="0"/>
          <w:color w:val="auto"/>
          <w:kern w:val="0"/>
          <w:sz w:val="24"/>
          <w:szCs w:val="24"/>
          <w:highlight w:val="none"/>
          <w:lang w:val="en-US" w:eastAsia="zh-CN" w:bidi="ar"/>
        </w:rPr>
        <w:t>14.11供应商不能提供任何有选择性或可调整的报价（磋商文件另有规定的除外），否则其</w:t>
      </w:r>
      <w:r>
        <w:rPr>
          <w:rFonts w:hint="eastAsia" w:ascii="宋体" w:hAnsi="宋体" w:eastAsia="宋体" w:cs="宋体"/>
          <w:b/>
          <w:bCs/>
          <w:i w:val="0"/>
          <w:iCs w:val="0"/>
          <w:color w:val="auto"/>
          <w:kern w:val="0"/>
          <w:sz w:val="24"/>
          <w:szCs w:val="24"/>
          <w:highlight w:val="none"/>
          <w:lang w:val="en-US" w:eastAsia="zh-CN" w:bidi="ar"/>
        </w:rPr>
        <w:t>响应无效</w:t>
      </w:r>
      <w:r>
        <w:rPr>
          <w:rFonts w:hint="eastAsia" w:ascii="宋体" w:hAnsi="宋体" w:eastAsia="宋体" w:cs="宋体"/>
          <w:i w:val="0"/>
          <w:iCs w:val="0"/>
          <w:color w:val="auto"/>
          <w:kern w:val="0"/>
          <w:sz w:val="24"/>
          <w:szCs w:val="24"/>
          <w:highlight w:val="none"/>
          <w:lang w:val="en-US" w:eastAsia="zh-CN" w:bidi="ar"/>
        </w:rPr>
        <w:t>。</w:t>
      </w:r>
    </w:p>
    <w:p w14:paraId="1573923D">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15" w:name="_Toc109900388"/>
      <w:bookmarkStart w:id="216" w:name="_Toc46772258"/>
      <w:bookmarkStart w:id="217" w:name="_Toc51674228"/>
      <w:bookmarkStart w:id="218" w:name="_Toc109899969"/>
      <w:bookmarkStart w:id="219" w:name="_Toc5668"/>
      <w:bookmarkStart w:id="220" w:name="_Toc48688806"/>
      <w:bookmarkStart w:id="221" w:name="_Toc52960570"/>
      <w:bookmarkStart w:id="222" w:name="_Toc48846126"/>
      <w:bookmarkStart w:id="223" w:name="_Toc52962744"/>
      <w:bookmarkStart w:id="224" w:name="_Toc470172682"/>
      <w:bookmarkStart w:id="225" w:name="_Toc109897451"/>
      <w:bookmarkStart w:id="226" w:name="_Toc46771657"/>
      <w:bookmarkStart w:id="227" w:name="_Toc109899550"/>
      <w:bookmarkStart w:id="228" w:name="_Toc109897448"/>
      <w:bookmarkStart w:id="229" w:name="_Toc51674224"/>
      <w:bookmarkStart w:id="230" w:name="_Toc46771653"/>
      <w:bookmarkStart w:id="231" w:name="_Toc109900385"/>
      <w:bookmarkStart w:id="232" w:name="_Toc109899547"/>
      <w:bookmarkStart w:id="233" w:name="_Toc48688802"/>
      <w:bookmarkStart w:id="234" w:name="_Toc46772254"/>
      <w:bookmarkStart w:id="235" w:name="_Toc109899966"/>
      <w:bookmarkStart w:id="236" w:name="_Toc3324"/>
      <w:bookmarkStart w:id="237" w:name="_Toc470172678"/>
      <w:bookmarkStart w:id="238" w:name="_Toc52960566"/>
      <w:bookmarkStart w:id="239" w:name="_Toc52962740"/>
      <w:bookmarkStart w:id="240" w:name="_Toc48846122"/>
      <w:r>
        <w:rPr>
          <w:rFonts w:hint="eastAsia" w:ascii="宋体" w:hAnsi="宋体" w:eastAsia="宋体" w:cs="宋体"/>
          <w:b/>
          <w:bCs/>
          <w:i w:val="0"/>
          <w:iCs w:val="0"/>
          <w:color w:val="auto"/>
          <w:kern w:val="2"/>
          <w:sz w:val="24"/>
          <w:szCs w:val="24"/>
          <w:highlight w:val="none"/>
          <w:lang w:val="en-US" w:eastAsia="zh-CN" w:bidi="ar-SA"/>
        </w:rPr>
        <w:t>15.响应文件有效期</w:t>
      </w:r>
      <w:bookmarkEnd w:id="215"/>
      <w:bookmarkEnd w:id="216"/>
      <w:bookmarkEnd w:id="217"/>
      <w:bookmarkEnd w:id="218"/>
      <w:bookmarkEnd w:id="219"/>
      <w:bookmarkEnd w:id="220"/>
      <w:bookmarkEnd w:id="221"/>
      <w:bookmarkEnd w:id="222"/>
      <w:bookmarkEnd w:id="223"/>
      <w:bookmarkEnd w:id="224"/>
      <w:bookmarkEnd w:id="225"/>
      <w:bookmarkEnd w:id="226"/>
      <w:bookmarkEnd w:id="227"/>
    </w:p>
    <w:p w14:paraId="648DA0B4">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5</w:t>
      </w: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供应商提交的</w:t>
      </w:r>
      <w:r>
        <w:rPr>
          <w:rFonts w:hint="eastAsia" w:ascii="宋体" w:hAnsi="宋体" w:eastAsia="宋体" w:cs="宋体"/>
          <w:i w:val="0"/>
          <w:iCs w:val="0"/>
          <w:snapToGrid w:val="0"/>
          <w:color w:val="auto"/>
          <w:sz w:val="24"/>
          <w:szCs w:val="24"/>
          <w:highlight w:val="none"/>
          <w:lang w:val="zh-CN"/>
        </w:rPr>
        <w:t>响应文件有效期见“供应商须知前附表”，磋商供应商承诺的响应文件</w:t>
      </w:r>
      <w:r>
        <w:rPr>
          <w:rFonts w:hint="eastAsia" w:ascii="宋体" w:hAnsi="宋体" w:eastAsia="宋体" w:cs="宋体"/>
          <w:i w:val="0"/>
          <w:iCs w:val="0"/>
          <w:snapToGrid w:val="0"/>
          <w:color w:val="auto"/>
          <w:sz w:val="24"/>
          <w:szCs w:val="24"/>
          <w:highlight w:val="none"/>
          <w:lang w:val="zh-CN" w:eastAsia="zh-CN"/>
        </w:rPr>
        <w:t>有效期少于</w:t>
      </w:r>
      <w:r>
        <w:rPr>
          <w:rFonts w:hint="eastAsia" w:ascii="宋体" w:hAnsi="宋体" w:eastAsia="宋体" w:cs="宋体"/>
          <w:i w:val="0"/>
          <w:iCs w:val="0"/>
          <w:snapToGrid w:val="0"/>
          <w:color w:val="auto"/>
          <w:sz w:val="24"/>
          <w:szCs w:val="24"/>
          <w:highlight w:val="none"/>
          <w:lang w:val="en-US" w:eastAsia="zh-CN"/>
        </w:rPr>
        <w:t>磋商</w:t>
      </w:r>
      <w:r>
        <w:rPr>
          <w:rFonts w:hint="eastAsia" w:ascii="宋体" w:hAnsi="宋体" w:eastAsia="宋体" w:cs="宋体"/>
          <w:i w:val="0"/>
          <w:iCs w:val="0"/>
          <w:snapToGrid w:val="0"/>
          <w:color w:val="auto"/>
          <w:sz w:val="24"/>
          <w:szCs w:val="24"/>
          <w:highlight w:val="none"/>
          <w:lang w:val="zh-CN" w:eastAsia="zh-CN"/>
        </w:rPr>
        <w:t>文件规定期限的，其</w:t>
      </w:r>
      <w:r>
        <w:rPr>
          <w:rFonts w:hint="eastAsia" w:ascii="宋体" w:hAnsi="宋体" w:eastAsia="宋体" w:cs="宋体"/>
          <w:b/>
          <w:bCs/>
          <w:i w:val="0"/>
          <w:iCs w:val="0"/>
          <w:snapToGrid w:val="0"/>
          <w:color w:val="auto"/>
          <w:sz w:val="24"/>
          <w:szCs w:val="24"/>
          <w:highlight w:val="none"/>
          <w:lang w:val="en-US" w:eastAsia="zh-CN"/>
        </w:rPr>
        <w:t>响应</w:t>
      </w:r>
      <w:r>
        <w:rPr>
          <w:rFonts w:hint="eastAsia" w:ascii="宋体" w:hAnsi="宋体" w:eastAsia="宋体" w:cs="宋体"/>
          <w:b/>
          <w:bCs/>
          <w:i w:val="0"/>
          <w:iCs w:val="0"/>
          <w:snapToGrid w:val="0"/>
          <w:color w:val="auto"/>
          <w:sz w:val="24"/>
          <w:szCs w:val="24"/>
          <w:highlight w:val="none"/>
          <w:lang w:val="zh-CN" w:eastAsia="zh-CN"/>
        </w:rPr>
        <w:t>无效</w:t>
      </w:r>
      <w:r>
        <w:rPr>
          <w:rFonts w:hint="eastAsia" w:ascii="宋体" w:hAnsi="宋体" w:eastAsia="宋体" w:cs="宋体"/>
          <w:i w:val="0"/>
          <w:iCs w:val="0"/>
          <w:snapToGrid w:val="0"/>
          <w:color w:val="auto"/>
          <w:sz w:val="24"/>
          <w:szCs w:val="24"/>
          <w:highlight w:val="none"/>
          <w:lang w:val="zh-CN" w:eastAsia="zh-CN"/>
        </w:rPr>
        <w:t>。</w:t>
      </w:r>
    </w:p>
    <w:p w14:paraId="6617F752">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snapToGrid w:val="0"/>
          <w:color w:val="auto"/>
          <w:kern w:val="2"/>
          <w:sz w:val="24"/>
          <w:szCs w:val="24"/>
          <w:highlight w:val="none"/>
          <w:lang w:val="en-US" w:eastAsia="zh-CN" w:bidi="ar-SA"/>
        </w:rPr>
      </w:pPr>
      <w:r>
        <w:rPr>
          <w:rFonts w:hint="eastAsia" w:ascii="宋体" w:hAnsi="宋体" w:eastAsia="宋体" w:cs="宋体"/>
          <w:i w:val="0"/>
          <w:iCs w:val="0"/>
          <w:snapToGrid w:val="0"/>
          <w:color w:val="auto"/>
          <w:kern w:val="2"/>
          <w:sz w:val="24"/>
          <w:szCs w:val="24"/>
          <w:highlight w:val="none"/>
          <w:lang w:val="en-US" w:eastAsia="zh-CN" w:bidi="ar-SA"/>
        </w:rPr>
        <w:t>15.2 响应文件有效期从递交响应文件的截止之日起算。响应文件中承诺的有效期应当不少于竞争性磋商文件中载明的响应文件有效期。响应文件有效期内供应商撤销响应文件的，采购人或者采购代理机构可以不退还磋商保证金。</w:t>
      </w:r>
    </w:p>
    <w:p w14:paraId="4838F07D">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kern w:val="2"/>
          <w:sz w:val="24"/>
          <w:szCs w:val="24"/>
          <w:highlight w:val="none"/>
          <w:lang w:val="zh-CN" w:eastAsia="zh-CN" w:bidi="ar-SA"/>
        </w:rPr>
        <w:t>1</w:t>
      </w:r>
      <w:r>
        <w:rPr>
          <w:rFonts w:hint="eastAsia" w:ascii="宋体" w:hAnsi="宋体" w:eastAsia="宋体" w:cs="宋体"/>
          <w:i w:val="0"/>
          <w:iCs w:val="0"/>
          <w:snapToGrid w:val="0"/>
          <w:color w:val="auto"/>
          <w:kern w:val="2"/>
          <w:sz w:val="24"/>
          <w:szCs w:val="24"/>
          <w:highlight w:val="none"/>
          <w:lang w:val="en-US" w:eastAsia="zh-CN" w:bidi="ar-SA"/>
        </w:rPr>
        <w:t>5</w:t>
      </w:r>
      <w:r>
        <w:rPr>
          <w:rFonts w:hint="eastAsia" w:ascii="宋体" w:hAnsi="宋体" w:eastAsia="宋体" w:cs="宋体"/>
          <w:i w:val="0"/>
          <w:iCs w:val="0"/>
          <w:snapToGrid w:val="0"/>
          <w:color w:val="auto"/>
          <w:kern w:val="2"/>
          <w:sz w:val="24"/>
          <w:szCs w:val="24"/>
          <w:highlight w:val="none"/>
          <w:lang w:val="zh-CN" w:eastAsia="zh-CN" w:bidi="ar-SA"/>
        </w:rPr>
        <w:t>.</w:t>
      </w:r>
      <w:r>
        <w:rPr>
          <w:rFonts w:hint="eastAsia" w:ascii="宋体" w:hAnsi="宋体" w:eastAsia="宋体" w:cs="宋体"/>
          <w:i w:val="0"/>
          <w:iCs w:val="0"/>
          <w:snapToGrid w:val="0"/>
          <w:color w:val="auto"/>
          <w:kern w:val="2"/>
          <w:sz w:val="24"/>
          <w:szCs w:val="24"/>
          <w:highlight w:val="none"/>
          <w:lang w:val="en-US" w:eastAsia="zh-CN" w:bidi="ar-SA"/>
        </w:rPr>
        <w:t>3</w:t>
      </w:r>
      <w:r>
        <w:rPr>
          <w:rFonts w:hint="eastAsia" w:ascii="宋体" w:hAnsi="宋体" w:eastAsia="宋体" w:cs="宋体"/>
          <w:i w:val="0"/>
          <w:iCs w:val="0"/>
          <w:snapToGrid w:val="0"/>
          <w:color w:val="auto"/>
          <w:kern w:val="2"/>
          <w:sz w:val="24"/>
          <w:szCs w:val="24"/>
          <w:highlight w:val="none"/>
          <w:lang w:val="zh-CN" w:eastAsia="zh-CN" w:bidi="ar-SA"/>
        </w:rPr>
        <w:t>特殊情况下，在原响应文件有效期截止之前，采购代理机构或采购人</w:t>
      </w:r>
      <w:r>
        <w:rPr>
          <w:rFonts w:hint="eastAsia" w:ascii="宋体" w:hAnsi="宋体" w:eastAsia="宋体" w:cs="宋体"/>
          <w:i w:val="0"/>
          <w:iCs w:val="0"/>
          <w:snapToGrid w:val="0"/>
          <w:color w:val="auto"/>
          <w:sz w:val="24"/>
          <w:szCs w:val="24"/>
          <w:highlight w:val="none"/>
          <w:lang w:val="zh-CN"/>
        </w:rPr>
        <w:t>可要求供应商延长响应文件有效期。需要延长响应文件有效期时，采购代理机构或采购人将以书面形式通知所有磋商供应商，供应商应以书面形式答复是否同意延长响应文件有效期。</w:t>
      </w:r>
    </w:p>
    <w:p w14:paraId="13A29EBD">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5</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供应商同意延长的，</w:t>
      </w:r>
      <w:r>
        <w:rPr>
          <w:rFonts w:hint="eastAsia" w:ascii="宋体" w:hAnsi="宋体" w:eastAsia="宋体" w:cs="宋体"/>
          <w:i w:val="0"/>
          <w:iCs w:val="0"/>
          <w:snapToGrid w:val="0"/>
          <w:color w:val="auto"/>
          <w:sz w:val="24"/>
          <w:szCs w:val="24"/>
          <w:highlight w:val="none"/>
          <w:lang w:val="en-US" w:eastAsia="zh-CN"/>
        </w:rPr>
        <w:t>其磋商</w:t>
      </w:r>
      <w:r>
        <w:rPr>
          <w:rFonts w:hint="eastAsia" w:ascii="宋体" w:hAnsi="宋体" w:eastAsia="宋体" w:cs="宋体"/>
          <w:i w:val="0"/>
          <w:iCs w:val="0"/>
          <w:snapToGrid w:val="0"/>
          <w:color w:val="auto"/>
          <w:sz w:val="24"/>
          <w:szCs w:val="24"/>
          <w:highlight w:val="none"/>
          <w:lang w:val="zh-CN"/>
        </w:rPr>
        <w:t>保证金的有效期也相应延长</w:t>
      </w:r>
      <w:r>
        <w:rPr>
          <w:rFonts w:hint="eastAsia" w:ascii="宋体" w:hAnsi="宋体" w:eastAsia="宋体" w:cs="宋体"/>
          <w:i w:val="0"/>
          <w:iCs w:val="0"/>
          <w:snapToGrid w:val="0"/>
          <w:color w:val="auto"/>
          <w:sz w:val="24"/>
          <w:szCs w:val="24"/>
          <w:highlight w:val="none"/>
          <w:lang w:val="zh-CN" w:eastAsia="zh-CN"/>
        </w:rPr>
        <w:t>，</w:t>
      </w:r>
      <w:r>
        <w:rPr>
          <w:rFonts w:hint="eastAsia" w:ascii="宋体" w:hAnsi="宋体" w:eastAsia="宋体" w:cs="宋体"/>
          <w:i w:val="0"/>
          <w:iCs w:val="0"/>
          <w:snapToGrid w:val="0"/>
          <w:color w:val="auto"/>
          <w:sz w:val="24"/>
          <w:szCs w:val="24"/>
          <w:highlight w:val="none"/>
          <w:lang w:val="zh-CN"/>
        </w:rPr>
        <w:t>不得要求或被允许修改或撤销其响应文件；供应商拒绝延长的，其响应文件在原响应文件有效期满后将不再有效</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但其提交的磋商保证金可予以退还</w:t>
      </w:r>
      <w:r>
        <w:rPr>
          <w:rFonts w:hint="eastAsia" w:ascii="宋体" w:hAnsi="宋体" w:eastAsia="宋体" w:cs="宋体"/>
          <w:i w:val="0"/>
          <w:iCs w:val="0"/>
          <w:snapToGrid w:val="0"/>
          <w:color w:val="auto"/>
          <w:sz w:val="24"/>
          <w:szCs w:val="24"/>
          <w:highlight w:val="none"/>
          <w:lang w:val="zh-CN"/>
        </w:rPr>
        <w:t>。</w:t>
      </w:r>
    </w:p>
    <w:bookmarkEnd w:id="228"/>
    <w:bookmarkEnd w:id="229"/>
    <w:bookmarkEnd w:id="230"/>
    <w:bookmarkEnd w:id="231"/>
    <w:bookmarkEnd w:id="232"/>
    <w:bookmarkEnd w:id="233"/>
    <w:bookmarkEnd w:id="234"/>
    <w:bookmarkEnd w:id="235"/>
    <w:bookmarkEnd w:id="236"/>
    <w:bookmarkEnd w:id="237"/>
    <w:bookmarkEnd w:id="238"/>
    <w:bookmarkEnd w:id="239"/>
    <w:bookmarkEnd w:id="240"/>
    <w:p w14:paraId="43CAD0BB">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16.响应文件的编制</w:t>
      </w:r>
      <w:bookmarkEnd w:id="201"/>
      <w:bookmarkEnd w:id="202"/>
      <w:bookmarkEnd w:id="203"/>
      <w:bookmarkEnd w:id="204"/>
      <w:bookmarkEnd w:id="205"/>
      <w:bookmarkEnd w:id="206"/>
      <w:bookmarkEnd w:id="207"/>
      <w:bookmarkEnd w:id="208"/>
      <w:bookmarkEnd w:id="209"/>
      <w:bookmarkEnd w:id="210"/>
      <w:bookmarkEnd w:id="211"/>
      <w:bookmarkEnd w:id="212"/>
      <w:bookmarkEnd w:id="213"/>
    </w:p>
    <w:p w14:paraId="65E7B22E">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文件应在供应商客户端中进行编制，在</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文件中要求加盖印章的，除有特殊说明之外，</w:t>
      </w:r>
      <w:r>
        <w:rPr>
          <w:rFonts w:hint="eastAsia" w:ascii="宋体" w:hAnsi="宋体" w:eastAsia="宋体" w:cs="宋体"/>
          <w:i w:val="0"/>
          <w:iCs w:val="0"/>
          <w:color w:val="auto"/>
          <w:sz w:val="24"/>
          <w:szCs w:val="24"/>
          <w:highlight w:val="none"/>
          <w:lang w:val="en-US" w:eastAsia="zh-CN"/>
        </w:rPr>
        <w:t>可</w:t>
      </w:r>
      <w:r>
        <w:rPr>
          <w:rFonts w:hint="eastAsia" w:ascii="宋体" w:hAnsi="宋体" w:eastAsia="宋体" w:cs="宋体"/>
          <w:i w:val="0"/>
          <w:iCs w:val="0"/>
          <w:color w:val="auto"/>
          <w:sz w:val="24"/>
          <w:szCs w:val="24"/>
          <w:highlight w:val="none"/>
        </w:rPr>
        <w:t>使用电子签章签署。</w:t>
      </w:r>
    </w:p>
    <w:p w14:paraId="791AA99F">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在供应商客户端中按照供应商客户端中的格式要求填写响应内容后，生成</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须按照</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文件的要求使用电子签章对要求加盖印章的部分逐一进行签章。</w:t>
      </w:r>
    </w:p>
    <w:p w14:paraId="7424A243">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3供应商</w:t>
      </w:r>
      <w:r>
        <w:rPr>
          <w:rFonts w:hint="eastAsia" w:ascii="宋体" w:hAnsi="宋体" w:eastAsia="宋体" w:cs="宋体"/>
          <w:i w:val="0"/>
          <w:iCs w:val="0"/>
          <w:color w:val="auto"/>
          <w:sz w:val="24"/>
          <w:szCs w:val="24"/>
          <w:highlight w:val="none"/>
        </w:rPr>
        <w:t>应详细阅读</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文件的全部内容。</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文件须对</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文件中的内容作出实质性和完整的响应，如果</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文件填报的内容不详，或没有提供</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文件中所要求的全部资料及数据，将可能</w:t>
      </w:r>
      <w:r>
        <w:rPr>
          <w:rFonts w:hint="eastAsia" w:ascii="宋体" w:hAnsi="宋体" w:eastAsia="宋体" w:cs="宋体"/>
          <w:b/>
          <w:bCs/>
          <w:i w:val="0"/>
          <w:iCs w:val="0"/>
          <w:color w:val="auto"/>
          <w:sz w:val="24"/>
          <w:szCs w:val="24"/>
          <w:highlight w:val="none"/>
        </w:rPr>
        <w:t>导致</w:t>
      </w:r>
      <w:r>
        <w:rPr>
          <w:rFonts w:hint="eastAsia" w:ascii="宋体" w:hAnsi="宋体" w:eastAsia="宋体" w:cs="宋体"/>
          <w:b/>
          <w:bCs/>
          <w:i w:val="0"/>
          <w:iCs w:val="0"/>
          <w:color w:val="auto"/>
          <w:sz w:val="24"/>
          <w:szCs w:val="24"/>
          <w:highlight w:val="none"/>
          <w:lang w:val="en-US" w:eastAsia="zh-CN"/>
        </w:rPr>
        <w:t>其响应无效</w:t>
      </w:r>
      <w:r>
        <w:rPr>
          <w:rFonts w:hint="eastAsia" w:ascii="宋体" w:hAnsi="宋体" w:eastAsia="宋体" w:cs="宋体"/>
          <w:i w:val="0"/>
          <w:iCs w:val="0"/>
          <w:color w:val="auto"/>
          <w:sz w:val="24"/>
          <w:szCs w:val="24"/>
          <w:highlight w:val="none"/>
        </w:rPr>
        <w:t>。</w:t>
      </w:r>
    </w:p>
    <w:p w14:paraId="11CFCB96">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4响应</w:t>
      </w:r>
      <w:r>
        <w:rPr>
          <w:rFonts w:hint="eastAsia" w:ascii="宋体" w:hAnsi="宋体" w:eastAsia="宋体" w:cs="宋体"/>
          <w:i w:val="0"/>
          <w:iCs w:val="0"/>
          <w:color w:val="auto"/>
          <w:sz w:val="24"/>
          <w:szCs w:val="24"/>
          <w:highlight w:val="none"/>
        </w:rPr>
        <w:t>文件须严格按照</w:t>
      </w:r>
      <w:r>
        <w:rPr>
          <w:rFonts w:hint="eastAsia" w:ascii="宋体" w:hAnsi="宋体" w:eastAsia="宋体" w:cs="宋体"/>
          <w:i w:val="0"/>
          <w:iCs w:val="0"/>
          <w:color w:val="auto"/>
          <w:sz w:val="24"/>
          <w:szCs w:val="24"/>
          <w:highlight w:val="none"/>
          <w:lang w:val="en-US" w:eastAsia="zh-CN"/>
        </w:rPr>
        <w:t>本竞争性磋商</w:t>
      </w:r>
      <w:r>
        <w:rPr>
          <w:rFonts w:hint="eastAsia" w:ascii="宋体" w:hAnsi="宋体" w:eastAsia="宋体" w:cs="宋体"/>
          <w:i w:val="0"/>
          <w:iCs w:val="0"/>
          <w:color w:val="auto"/>
          <w:sz w:val="24"/>
          <w:szCs w:val="24"/>
          <w:highlight w:val="none"/>
        </w:rPr>
        <w:t>文件第</w:t>
      </w:r>
      <w:r>
        <w:rPr>
          <w:rFonts w:hint="eastAsia" w:ascii="宋体" w:hAnsi="宋体" w:eastAsia="宋体" w:cs="宋体"/>
          <w:i w:val="0"/>
          <w:iCs w:val="0"/>
          <w:color w:val="auto"/>
          <w:sz w:val="24"/>
          <w:szCs w:val="24"/>
          <w:highlight w:val="none"/>
          <w:lang w:val="en-US" w:eastAsia="zh-CN"/>
        </w:rPr>
        <w:t>六章</w:t>
      </w:r>
      <w:r>
        <w:rPr>
          <w:rFonts w:hint="eastAsia" w:ascii="宋体" w:hAnsi="宋体" w:eastAsia="宋体" w:cs="宋体"/>
          <w:i w:val="0"/>
          <w:iCs w:val="0"/>
          <w:color w:val="auto"/>
          <w:sz w:val="24"/>
          <w:szCs w:val="24"/>
          <w:highlight w:val="none"/>
        </w:rPr>
        <w:t>规定的格式提交，并按规定的统一格式逐项填写，不准有空项；无相应内容可填的项，应填写“无”、“未测试”、“没有相应指标”等明确的回答文字。由于编排混乱导致</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文件被误读或查找不到，其责任由</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承担。</w:t>
      </w:r>
    </w:p>
    <w:p w14:paraId="5E13E6DC">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5供应商</w:t>
      </w:r>
      <w:r>
        <w:rPr>
          <w:rFonts w:hint="eastAsia" w:ascii="宋体" w:hAnsi="宋体" w:eastAsia="宋体" w:cs="宋体"/>
          <w:i w:val="0"/>
          <w:iCs w:val="0"/>
          <w:color w:val="auto"/>
          <w:sz w:val="24"/>
          <w:szCs w:val="24"/>
          <w:highlight w:val="none"/>
        </w:rPr>
        <w:t>须注意：为合理节约政府采购评审成本，提倡诚实信用的</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行为，特别要求</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应本着诚信精神，在本次</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文件的偏离表中，均以审慎的态度明确、清楚地披露各项偏离。若</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对某一事项是否存在或是否属于偏离不能确定，亦必须在偏离表中清楚地表明该偏离事项，并可以注明不能确定的字样。任何情况下，对于</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没有在偏离表中明确、清楚地披露的事项，包括可能属于被</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在偏离表中遗漏披露的事项，一旦在评审中被发现存在偏离或被认定为属于偏离，则评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委员会有权视具体情形评审时予以处理，</w:t>
      </w:r>
      <w:r>
        <w:rPr>
          <w:rFonts w:hint="eastAsia" w:ascii="宋体" w:hAnsi="宋体" w:eastAsia="宋体" w:cs="宋体"/>
          <w:b/>
          <w:bCs/>
          <w:i w:val="0"/>
          <w:iCs w:val="0"/>
          <w:color w:val="auto"/>
          <w:sz w:val="24"/>
          <w:szCs w:val="24"/>
          <w:highlight w:val="none"/>
        </w:rPr>
        <w:t>将可能导致</w:t>
      </w:r>
      <w:r>
        <w:rPr>
          <w:rFonts w:hint="eastAsia" w:ascii="宋体" w:hAnsi="宋体" w:eastAsia="宋体" w:cs="宋体"/>
          <w:b/>
          <w:bCs/>
          <w:i w:val="0"/>
          <w:iCs w:val="0"/>
          <w:color w:val="auto"/>
          <w:sz w:val="24"/>
          <w:szCs w:val="24"/>
          <w:highlight w:val="none"/>
          <w:lang w:eastAsia="zh-CN"/>
        </w:rPr>
        <w:t>响应</w:t>
      </w:r>
      <w:r>
        <w:rPr>
          <w:rFonts w:hint="eastAsia" w:ascii="宋体" w:hAnsi="宋体" w:eastAsia="宋体" w:cs="宋体"/>
          <w:b/>
          <w:bCs/>
          <w:i w:val="0"/>
          <w:iCs w:val="0"/>
          <w:color w:val="auto"/>
          <w:sz w:val="24"/>
          <w:szCs w:val="24"/>
          <w:highlight w:val="none"/>
          <w:lang w:val="en-US" w:eastAsia="zh-CN"/>
        </w:rPr>
        <w:t>无效</w:t>
      </w:r>
      <w:r>
        <w:rPr>
          <w:rFonts w:hint="eastAsia" w:ascii="宋体" w:hAnsi="宋体" w:eastAsia="宋体" w:cs="宋体"/>
          <w:i w:val="0"/>
          <w:iCs w:val="0"/>
          <w:color w:val="auto"/>
          <w:sz w:val="24"/>
          <w:szCs w:val="24"/>
          <w:highlight w:val="none"/>
        </w:rPr>
        <w:t>。</w:t>
      </w:r>
    </w:p>
    <w:p w14:paraId="5A17647F">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6供应商</w:t>
      </w:r>
      <w:r>
        <w:rPr>
          <w:rFonts w:hint="eastAsia" w:ascii="宋体" w:hAnsi="宋体" w:eastAsia="宋体" w:cs="宋体"/>
          <w:i w:val="0"/>
          <w:iCs w:val="0"/>
          <w:color w:val="auto"/>
          <w:sz w:val="24"/>
          <w:szCs w:val="24"/>
          <w:highlight w:val="none"/>
        </w:rPr>
        <w:t>必须保证</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文件所提供的全部资料真实可靠，并接受采购</w:t>
      </w:r>
      <w:r>
        <w:rPr>
          <w:rFonts w:hint="eastAsia" w:ascii="宋体" w:hAnsi="宋体" w:eastAsia="宋体" w:cs="宋体"/>
          <w:i w:val="0"/>
          <w:iCs w:val="0"/>
          <w:color w:val="auto"/>
          <w:sz w:val="24"/>
          <w:szCs w:val="24"/>
          <w:highlight w:val="none"/>
          <w:lang w:val="en-US" w:eastAsia="zh-CN"/>
        </w:rPr>
        <w:t>人、采购</w:t>
      </w:r>
      <w:r>
        <w:rPr>
          <w:rFonts w:hint="eastAsia" w:ascii="宋体" w:hAnsi="宋体" w:eastAsia="宋体" w:cs="宋体"/>
          <w:i w:val="0"/>
          <w:iCs w:val="0"/>
          <w:color w:val="auto"/>
          <w:sz w:val="24"/>
          <w:szCs w:val="24"/>
          <w:highlight w:val="none"/>
        </w:rPr>
        <w:t>代理机构或评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委员会对其中任何资料进一步审查的要求。</w:t>
      </w:r>
    </w:p>
    <w:p w14:paraId="4173C9AC">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7供应商</w:t>
      </w:r>
      <w:r>
        <w:rPr>
          <w:rFonts w:hint="eastAsia" w:ascii="宋体" w:hAnsi="宋体" w:eastAsia="宋体" w:cs="宋体"/>
          <w:i w:val="0"/>
          <w:iCs w:val="0"/>
          <w:color w:val="auto"/>
          <w:sz w:val="24"/>
          <w:szCs w:val="24"/>
          <w:highlight w:val="none"/>
        </w:rPr>
        <w:t>在</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文件及相关文件的签订、履行、通知等事项的文件中的单位盖章、印章、公章等处均指与当事人全称相一致的标准公章，不得使用其他形式（如带有“专用章”等字样的印章）。不符合本条规定的按</w:t>
      </w:r>
      <w:r>
        <w:rPr>
          <w:rFonts w:hint="eastAsia" w:ascii="宋体" w:hAnsi="宋体" w:eastAsia="宋体" w:cs="宋体"/>
          <w:b/>
          <w:bCs/>
          <w:i w:val="0"/>
          <w:iCs w:val="0"/>
          <w:color w:val="auto"/>
          <w:sz w:val="24"/>
          <w:szCs w:val="24"/>
          <w:highlight w:val="none"/>
        </w:rPr>
        <w:t>无效</w:t>
      </w:r>
      <w:r>
        <w:rPr>
          <w:rFonts w:hint="eastAsia" w:ascii="宋体" w:hAnsi="宋体" w:eastAsia="宋体" w:cs="宋体"/>
          <w:b/>
          <w:bCs/>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处理。</w:t>
      </w:r>
    </w:p>
    <w:p w14:paraId="4EA4DD57">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16.8电子响应文件的编制</w:t>
      </w:r>
    </w:p>
    <w:p w14:paraId="69C4BD81">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16.8.1电子响应文件需按竞争性磋商文件要求进行制作编制。响应文件制作时，不同内容按标签提示制作导入，按照竞争性磋商文件中明确的响应文件目录和格式进行编制，保证目录清晰、内容完整。           </w:t>
      </w:r>
    </w:p>
    <w:p w14:paraId="775C3083">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16.8.2电子磋商文件及响应文件具有法律效力，与其他形式的磋商文件及响应文件在内容和格式上等同，若响应文件与竞争性磋商文件要求不一致，其内容影响成交结果时，责任由供应商自行承担。供应商递交的电子响应文件因供应商自身原因而导致无法导入电子辅助评标系统，该响应文件视为无效响应文件，</w:t>
      </w:r>
      <w:r>
        <w:rPr>
          <w:rFonts w:hint="eastAsia" w:ascii="宋体" w:hAnsi="宋体" w:eastAsia="宋体" w:cs="宋体"/>
          <w:b/>
          <w:bCs/>
          <w:i w:val="0"/>
          <w:iCs w:val="0"/>
          <w:color w:val="auto"/>
          <w:kern w:val="2"/>
          <w:sz w:val="24"/>
          <w:szCs w:val="24"/>
          <w:highlight w:val="none"/>
          <w:shd w:val="clear" w:color="auto" w:fill="FFFFFF" w:themeFill="background1"/>
          <w:lang w:val="en-US" w:eastAsia="zh-CN" w:bidi="ar-SA"/>
        </w:rPr>
        <w:t>其响应无效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w:t>
      </w:r>
    </w:p>
    <w:p w14:paraId="36AADD33">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41" w:name="_Toc470172684"/>
      <w:bookmarkStart w:id="242" w:name="_Toc109900390"/>
      <w:bookmarkStart w:id="243" w:name="_Toc109899552"/>
      <w:bookmarkStart w:id="244" w:name="_Toc109899971"/>
      <w:bookmarkStart w:id="245" w:name="_Toc46771659"/>
      <w:bookmarkStart w:id="246" w:name="_Toc109897453"/>
      <w:bookmarkStart w:id="247" w:name="_Toc163493614"/>
      <w:bookmarkStart w:id="248" w:name="_Toc26555"/>
      <w:r>
        <w:rPr>
          <w:rFonts w:hint="eastAsia" w:ascii="宋体" w:hAnsi="宋体" w:eastAsia="宋体" w:cs="宋体"/>
          <w:b/>
          <w:bCs/>
          <w:i w:val="0"/>
          <w:iCs w:val="0"/>
          <w:color w:val="auto"/>
          <w:kern w:val="2"/>
          <w:sz w:val="24"/>
          <w:szCs w:val="24"/>
          <w:highlight w:val="none"/>
          <w:lang w:val="en-US" w:eastAsia="zh-CN" w:bidi="ar-SA"/>
        </w:rPr>
        <w:t>（四）响应文件的</w:t>
      </w:r>
      <w:bookmarkEnd w:id="241"/>
      <w:bookmarkEnd w:id="242"/>
      <w:bookmarkEnd w:id="243"/>
      <w:bookmarkEnd w:id="244"/>
      <w:bookmarkEnd w:id="245"/>
      <w:bookmarkEnd w:id="246"/>
      <w:r>
        <w:rPr>
          <w:rFonts w:hint="eastAsia" w:ascii="宋体" w:hAnsi="宋体" w:eastAsia="宋体" w:cs="宋体"/>
          <w:b/>
          <w:bCs/>
          <w:i w:val="0"/>
          <w:iCs w:val="0"/>
          <w:color w:val="auto"/>
          <w:kern w:val="2"/>
          <w:sz w:val="24"/>
          <w:szCs w:val="24"/>
          <w:highlight w:val="none"/>
          <w:lang w:val="en-US" w:eastAsia="zh-CN" w:bidi="ar-SA"/>
        </w:rPr>
        <w:t>递交</w:t>
      </w:r>
      <w:bookmarkEnd w:id="247"/>
      <w:bookmarkEnd w:id="248"/>
    </w:p>
    <w:p w14:paraId="51AD0D9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49" w:name="_Toc109897552"/>
      <w:bookmarkStart w:id="250" w:name="_Toc109899651"/>
      <w:bookmarkStart w:id="251" w:name="_Toc109900070"/>
      <w:bookmarkStart w:id="252" w:name="_Toc109900489"/>
      <w:bookmarkStart w:id="253" w:name="_Toc156490296"/>
      <w:bookmarkStart w:id="254" w:name="_Toc155095707"/>
      <w:bookmarkStart w:id="255" w:name="_Toc109899652"/>
      <w:bookmarkStart w:id="256" w:name="_Toc109900071"/>
      <w:bookmarkStart w:id="257" w:name="_Toc109897553"/>
      <w:bookmarkStart w:id="258" w:name="_Toc109900490"/>
      <w:bookmarkStart w:id="259" w:name="_Toc155095708"/>
      <w:bookmarkStart w:id="260" w:name="_Toc156490297"/>
      <w:r>
        <w:rPr>
          <w:rFonts w:hint="eastAsia" w:ascii="宋体" w:hAnsi="宋体" w:eastAsia="宋体" w:cs="宋体"/>
          <w:b/>
          <w:bCs/>
          <w:i w:val="0"/>
          <w:iCs w:val="0"/>
          <w:color w:val="auto"/>
          <w:kern w:val="2"/>
          <w:sz w:val="24"/>
          <w:szCs w:val="24"/>
          <w:highlight w:val="none"/>
          <w:lang w:val="en-US" w:eastAsia="zh-CN" w:bidi="ar-SA"/>
        </w:rPr>
        <w:t>17.磋商保证金</w:t>
      </w:r>
    </w:p>
    <w:p w14:paraId="094BCA72">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17.1供应商应按照竞争性磋商文件“供应商须知前附表”规定的金额及要求交纳磋商保证金。供应商自愿超额缴纳磋商保证金的，响应文件不做无效处理。</w:t>
      </w:r>
    </w:p>
    <w:p w14:paraId="178B9497">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17.2交纳磋商保证金可采用的形式：政府采购法律法规接受的支票、汇票、本票、网上银行支付或者金融机构、担保机构出具的保函等非现金形式。未按磋商文件要求提交磋商保证金的，其</w:t>
      </w:r>
      <w:r>
        <w:rPr>
          <w:rFonts w:hint="eastAsia" w:ascii="宋体" w:hAnsi="宋体" w:eastAsia="宋体" w:cs="宋体"/>
          <w:b/>
          <w:bCs/>
          <w:i w:val="0"/>
          <w:iCs w:val="0"/>
          <w:color w:val="auto"/>
          <w:kern w:val="2"/>
          <w:sz w:val="24"/>
          <w:szCs w:val="24"/>
          <w:highlight w:val="none"/>
          <w:shd w:val="clear" w:color="auto" w:fill="FFFFFF" w:themeFill="background1"/>
          <w:lang w:val="en-US" w:eastAsia="zh-CN" w:bidi="ar-SA"/>
        </w:rPr>
        <w:t>响应无效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w:t>
      </w:r>
      <w:r>
        <w:rPr>
          <w:rFonts w:hint="eastAsia" w:ascii="宋体" w:hAnsi="宋体" w:eastAsia="宋体" w:cs="宋体"/>
          <w:i w:val="0"/>
          <w:iCs w:val="0"/>
          <w:color w:val="auto"/>
          <w:sz w:val="24"/>
          <w:szCs w:val="24"/>
          <w:highlight w:val="none"/>
          <w:lang w:val="en-US" w:eastAsia="zh-CN"/>
        </w:rPr>
        <w:t>磋商保证金有效期同响应文件有效期。</w:t>
      </w:r>
    </w:p>
    <w:p w14:paraId="236ECE66">
      <w:pPr>
        <w:pStyle w:val="7"/>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17.3磋商保证金到账（保函提交）截止时间同响应文件递交截止时间。以支票、汇票、本票、网上银行支付等形式提交磋商保证金的，应在响应文件递交截止时间前到账；以金融机构、担保机构出具的保函等形式提交磋商保证金的，应在响应文件递交截止时间前将磋商保证金支付原件扫描后作为响应文件的组成部分与响应文件一起上传。由于到账时间晚于响应文件递交截止时间，或者票据错误、印鉴不清等原因导致不能到账的，其</w:t>
      </w:r>
      <w:r>
        <w:rPr>
          <w:rFonts w:hint="eastAsia" w:ascii="宋体" w:hAnsi="宋体" w:eastAsia="宋体" w:cs="宋体"/>
          <w:b/>
          <w:bCs/>
          <w:i w:val="0"/>
          <w:iCs w:val="0"/>
          <w:color w:val="auto"/>
          <w:kern w:val="2"/>
          <w:sz w:val="24"/>
          <w:szCs w:val="24"/>
          <w:highlight w:val="none"/>
          <w:shd w:val="clear" w:color="auto" w:fill="FFFFFF" w:themeFill="background1"/>
          <w:lang w:val="en-US" w:eastAsia="zh-CN" w:bidi="ar-SA"/>
        </w:rPr>
        <w:t>响应无效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w:t>
      </w:r>
    </w:p>
    <w:p w14:paraId="74C0AFE3">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17.4 供应商为联合体的，可以由联合体中的一方或者多方共同交纳磋商保证金，其交纳的磋商保证金对联合体各方均具有约束力。 </w:t>
      </w:r>
    </w:p>
    <w:p w14:paraId="2C3C2914">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17.5采购人或者采购代理机构应当在采购活动结束后及时退还供应商的磋商保证金，采用银行保函、担保机构担保函等形式递交的磋商保证金，经供应商同意后采购人、采购代理机构可以不再退还，但因供应商自身原因导致无法及时退还的除外。未成交供应商的磋商保证金应当自成交通知书发出之日起 5 个工作日内退还，成交供应商的磋商保证金应当自采购合同签订之日起 5 个工作日内退还。 </w:t>
      </w:r>
    </w:p>
    <w:p w14:paraId="6A06783D">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17.6 供应商在响应文件递交截止时间前撤回已提交的响应文件的，自收到供应商书面撤回通知之日起 5 个工作日内，退还已收取的磋商保证金，但因供应商自身原因导致无法及时退还的除外。 </w:t>
      </w:r>
    </w:p>
    <w:p w14:paraId="7FEE2EF6">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17.7 终止磋商的项目已经收取磋商保证金的，自终止采购活动后5个工作日内退还已收取的磋商保证金及其在银行产生的孳息。</w:t>
      </w:r>
    </w:p>
    <w:p w14:paraId="73759E1A">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17.8有下列情形之一的，磋商保证金不予退还,</w:t>
      </w:r>
      <w:r>
        <w:rPr>
          <w:rFonts w:hint="eastAsia" w:ascii="宋体" w:hAnsi="宋体" w:eastAsia="宋体" w:cs="宋体"/>
          <w:i w:val="0"/>
          <w:iCs w:val="0"/>
          <w:color w:val="auto"/>
          <w:kern w:val="2"/>
          <w:sz w:val="24"/>
          <w:szCs w:val="24"/>
          <w:highlight w:val="none"/>
        </w:rPr>
        <w:t>情节严重的将其列入不良记录名单</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 </w:t>
      </w:r>
    </w:p>
    <w:p w14:paraId="336F481F">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17.8.1供应商在提交响应文件截止时间后撤回响应文件的； </w:t>
      </w:r>
    </w:p>
    <w:p w14:paraId="7618E14C">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17.8.2供应商在响应文件中提供虚假材料的； </w:t>
      </w:r>
    </w:p>
    <w:p w14:paraId="50FA88DB">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17.8.3除因不可抗力或磋商文件认可的情形以外，成交供应商不与采购人签订合同的； </w:t>
      </w:r>
    </w:p>
    <w:p w14:paraId="616B80C2">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17.8.4供应商与采购人、其他供应商或者采购代理机构恶意串通的； </w:t>
      </w:r>
    </w:p>
    <w:p w14:paraId="49E9C0BA">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17.8.5磋商文件规定的其他情形。</w:t>
      </w:r>
    </w:p>
    <w:p w14:paraId="20314629">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17.9如开启时供应商对本单位磋商保证金缴纳情况有疑义，供应商应在开启结束前向采购人提交书面申请核实保证金缴纳情况。由银行或保险公司核实后出具书面材料予以答复。</w:t>
      </w:r>
    </w:p>
    <w:p w14:paraId="579F0B8B">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17.10为支持和促进中小企业发展，进一步发挥政府采购政策功能，鼓励供应商使用电子保函代替现金缴纳磋商保证金，在线完成保函的申请、审核、开票、出函等环节，供应商企业注意区分办理保函类型，并确认响应文件有效期，如采用政采云电子保函，可登录“新疆政府采购网”—顶部通栏“电子保函”查看：</w:t>
      </w:r>
    </w:p>
    <w:p w14:paraId="4255C2D8">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直达链接（电子保函）：</w:t>
      </w:r>
    </w:p>
    <w:p w14:paraId="0F3D8A86">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fldChar w:fldCharType="begin"/>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instrText xml:space="preserve"> HYPERLINK "https://jinrong.zcygov.cn/luban/finance/letter/xinjiang?pageModelFlag=650000&amp;utm=site.site-PC-42166.1718-block_comp_1709189989843012.6.053859d0f9e911ef9f451b050959d3ba" </w:instrTex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fldChar w:fldCharType="separate"/>
      </w:r>
      <w:r>
        <w:rPr>
          <w:rStyle w:val="36"/>
          <w:rFonts w:hint="eastAsia" w:ascii="宋体" w:hAnsi="宋体" w:eastAsia="宋体" w:cs="宋体"/>
          <w:i w:val="0"/>
          <w:iCs w:val="0"/>
          <w:color w:val="auto"/>
          <w:kern w:val="2"/>
          <w:sz w:val="24"/>
          <w:szCs w:val="24"/>
          <w:highlight w:val="none"/>
          <w:shd w:val="clear" w:color="auto" w:fill="FFFFFF" w:themeFill="background1"/>
          <w:lang w:val="en-US" w:eastAsia="zh-CN" w:bidi="ar-SA"/>
        </w:rPr>
        <w:t>https://jinrong.zcygov.cn/luban/finance/letter/xinjiang?pageModelFlag=650000&amp;utm=site.site-PC-42166.1718-block_comp_1709189989843012.6.053859d0f9e911ef9f451b050959d3ba</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fldChar w:fldCharType="end"/>
      </w:r>
    </w:p>
    <w:p w14:paraId="69BF5102">
      <w:pPr>
        <w:pStyle w:val="62"/>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金融服务支撑热线：0991-2661159     </w:t>
      </w:r>
    </w:p>
    <w:p w14:paraId="57CD10F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18.响应文件的</w:t>
      </w:r>
      <w:bookmarkEnd w:id="249"/>
      <w:bookmarkEnd w:id="250"/>
      <w:bookmarkEnd w:id="251"/>
      <w:bookmarkEnd w:id="252"/>
      <w:r>
        <w:rPr>
          <w:rFonts w:hint="eastAsia" w:ascii="宋体" w:hAnsi="宋体" w:eastAsia="宋体" w:cs="宋体"/>
          <w:b/>
          <w:bCs/>
          <w:i w:val="0"/>
          <w:iCs w:val="0"/>
          <w:color w:val="auto"/>
          <w:kern w:val="2"/>
          <w:sz w:val="24"/>
          <w:szCs w:val="24"/>
          <w:highlight w:val="none"/>
          <w:lang w:val="en-US" w:eastAsia="zh-CN" w:bidi="ar-SA"/>
        </w:rPr>
        <w:t>加密</w:t>
      </w:r>
      <w:bookmarkEnd w:id="253"/>
      <w:bookmarkEnd w:id="254"/>
    </w:p>
    <w:p w14:paraId="6B1C6051">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18.1 供应商在供应商客户端中生成响应文件并完成签章之后，使用CA证书在供应商客户端中对响应文件进行加密。</w:t>
      </w:r>
    </w:p>
    <w:p w14:paraId="01B5BAB0">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18.2 供应商应在供应商客户端中对加密的响应文件进行解密验证，以防止响应文件加密异常，在开启时无法解密。</w:t>
      </w:r>
    </w:p>
    <w:p w14:paraId="17911F7D">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18.3 供应商应保证加密响应文件的CA证书有效期在开启时间之前。若CA证书有效期临近开启时间，建议供应商提前办理CA证书续期，以免开启时无法进行解密。</w:t>
      </w:r>
    </w:p>
    <w:p w14:paraId="1ADA8F76">
      <w:pPr>
        <w:keepNext w:val="0"/>
        <w:keepLines w:val="0"/>
        <w:pageBreakBefore w:val="0"/>
        <w:widowControl w:val="0"/>
        <w:kinsoku/>
        <w:wordWrap w:val="0"/>
        <w:overflowPunct/>
        <w:topLinePunct w:val="0"/>
        <w:autoSpaceDE/>
        <w:autoSpaceDN/>
        <w:bidi w:val="0"/>
        <w:adjustRightInd/>
        <w:snapToGri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供应商</w:t>
      </w:r>
      <w:r>
        <w:rPr>
          <w:rFonts w:hint="eastAsia" w:ascii="宋体" w:hAnsi="宋体" w:eastAsia="宋体" w:cs="宋体"/>
          <w:i w:val="0"/>
          <w:iCs w:val="0"/>
          <w:color w:val="auto"/>
          <w:sz w:val="24"/>
          <w:szCs w:val="24"/>
          <w:highlight w:val="none"/>
        </w:rPr>
        <w:t>在</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lang w:eastAsia="zh-CN"/>
        </w:rPr>
        <w:t>文件</w:t>
      </w:r>
      <w:r>
        <w:rPr>
          <w:rFonts w:hint="eastAsia" w:ascii="宋体" w:hAnsi="宋体" w:eastAsia="宋体" w:cs="宋体"/>
          <w:i w:val="0"/>
          <w:iCs w:val="0"/>
          <w:color w:val="auto"/>
          <w:sz w:val="24"/>
          <w:szCs w:val="24"/>
          <w:highlight w:val="none"/>
        </w:rPr>
        <w:t>递交截</w:t>
      </w:r>
      <w:r>
        <w:rPr>
          <w:rFonts w:hint="eastAsia" w:ascii="宋体" w:hAnsi="宋体" w:eastAsia="宋体" w:cs="宋体"/>
          <w:i w:val="0"/>
          <w:iCs w:val="0"/>
          <w:color w:val="auto"/>
          <w:sz w:val="24"/>
          <w:szCs w:val="24"/>
          <w:highlight w:val="none"/>
          <w:lang w:val="en-US" w:eastAsia="zh-CN"/>
        </w:rPr>
        <w:t>止</w:t>
      </w:r>
      <w:r>
        <w:rPr>
          <w:rFonts w:hint="eastAsia" w:ascii="宋体" w:hAnsi="宋体" w:eastAsia="宋体" w:cs="宋体"/>
          <w:i w:val="0"/>
          <w:iCs w:val="0"/>
          <w:color w:val="auto"/>
          <w:sz w:val="24"/>
          <w:szCs w:val="24"/>
          <w:highlight w:val="none"/>
        </w:rPr>
        <w:t>时间前通过</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rPr>
        <w:t>政府采购网（http://ccgp-bingtuan.gov.cn/）的”政采云登录入口”登录后，将加密电子</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lang w:eastAsia="zh-CN"/>
        </w:rPr>
        <w:t>文件</w:t>
      </w:r>
      <w:r>
        <w:rPr>
          <w:rFonts w:hint="eastAsia" w:ascii="宋体" w:hAnsi="宋体" w:eastAsia="宋体" w:cs="宋体"/>
          <w:i w:val="0"/>
          <w:iCs w:val="0"/>
          <w:color w:val="auto"/>
          <w:sz w:val="24"/>
          <w:szCs w:val="24"/>
          <w:highlight w:val="none"/>
        </w:rPr>
        <w:t>（为.jmbs后缀格式）上传到对应项目的指定位置</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认为有必要提交的其他资料请于</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lang w:eastAsia="zh-CN"/>
        </w:rPr>
        <w:t>文件</w:t>
      </w:r>
      <w:r>
        <w:rPr>
          <w:rFonts w:hint="eastAsia" w:ascii="宋体" w:hAnsi="宋体" w:eastAsia="宋体" w:cs="宋体"/>
          <w:i w:val="0"/>
          <w:iCs w:val="0"/>
          <w:color w:val="auto"/>
          <w:sz w:val="24"/>
          <w:szCs w:val="24"/>
          <w:highlight w:val="none"/>
        </w:rPr>
        <w:t>递交截止时间前一并提交。</w:t>
      </w:r>
    </w:p>
    <w:p w14:paraId="6761AA3E">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如果</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未按上述要求</w:t>
      </w:r>
      <w:r>
        <w:rPr>
          <w:rFonts w:hint="eastAsia" w:ascii="宋体" w:hAnsi="宋体" w:eastAsia="宋体" w:cs="宋体"/>
          <w:i w:val="0"/>
          <w:iCs w:val="0"/>
          <w:color w:val="auto"/>
          <w:sz w:val="24"/>
          <w:szCs w:val="24"/>
          <w:highlight w:val="none"/>
          <w:lang w:val="en-US" w:eastAsia="zh-CN"/>
        </w:rPr>
        <w:t>加密并上传</w:t>
      </w:r>
      <w:r>
        <w:rPr>
          <w:rFonts w:hint="eastAsia" w:ascii="宋体" w:hAnsi="宋体" w:eastAsia="宋体" w:cs="宋体"/>
          <w:i w:val="0"/>
          <w:iCs w:val="0"/>
          <w:color w:val="auto"/>
          <w:sz w:val="24"/>
          <w:szCs w:val="24"/>
          <w:highlight w:val="none"/>
        </w:rPr>
        <w:t>，采购代理机构对</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文件的误投</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无法解密、传输错误等问题</w:t>
      </w:r>
      <w:r>
        <w:rPr>
          <w:rFonts w:hint="eastAsia" w:ascii="宋体" w:hAnsi="宋体" w:eastAsia="宋体" w:cs="宋体"/>
          <w:i w:val="0"/>
          <w:iCs w:val="0"/>
          <w:color w:val="auto"/>
          <w:sz w:val="24"/>
          <w:szCs w:val="24"/>
          <w:highlight w:val="none"/>
        </w:rPr>
        <w:t>概不负责。对由此造成</w:t>
      </w:r>
      <w:r>
        <w:rPr>
          <w:rFonts w:hint="eastAsia" w:ascii="宋体" w:hAnsi="宋体" w:eastAsia="宋体" w:cs="宋体"/>
          <w:i w:val="0"/>
          <w:iCs w:val="0"/>
          <w:color w:val="auto"/>
          <w:sz w:val="24"/>
          <w:szCs w:val="24"/>
          <w:highlight w:val="none"/>
          <w:lang w:val="en-US" w:eastAsia="zh-CN"/>
        </w:rPr>
        <w:t>无法正常开启</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文件，采购代理机构有权予以拒绝，并退回</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w:t>
      </w:r>
    </w:p>
    <w:p w14:paraId="286AAB62">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本项目采用不见面开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方式，无需提供电子</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文件U盘。</w:t>
      </w:r>
    </w:p>
    <w:p w14:paraId="191984C0">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19.响应文件的</w:t>
      </w:r>
      <w:bookmarkEnd w:id="255"/>
      <w:bookmarkEnd w:id="256"/>
      <w:bookmarkEnd w:id="257"/>
      <w:bookmarkEnd w:id="258"/>
      <w:r>
        <w:rPr>
          <w:rFonts w:hint="eastAsia" w:ascii="宋体" w:hAnsi="宋体" w:eastAsia="宋体" w:cs="宋体"/>
          <w:b/>
          <w:bCs/>
          <w:i w:val="0"/>
          <w:iCs w:val="0"/>
          <w:color w:val="auto"/>
          <w:kern w:val="2"/>
          <w:sz w:val="24"/>
          <w:szCs w:val="24"/>
          <w:highlight w:val="none"/>
          <w:lang w:val="en-US" w:eastAsia="zh-CN" w:bidi="ar-SA"/>
        </w:rPr>
        <w:t>递交</w:t>
      </w:r>
      <w:bookmarkEnd w:id="259"/>
      <w:bookmarkEnd w:id="260"/>
      <w:r>
        <w:rPr>
          <w:rFonts w:hint="eastAsia" w:ascii="宋体" w:hAnsi="宋体" w:eastAsia="宋体" w:cs="宋体"/>
          <w:b/>
          <w:bCs/>
          <w:i w:val="0"/>
          <w:iCs w:val="0"/>
          <w:color w:val="auto"/>
          <w:kern w:val="2"/>
          <w:sz w:val="24"/>
          <w:szCs w:val="24"/>
          <w:highlight w:val="none"/>
          <w:lang w:val="en-US" w:eastAsia="zh-CN" w:bidi="ar-SA"/>
        </w:rPr>
        <w:t>（上传）</w:t>
      </w:r>
    </w:p>
    <w:p w14:paraId="04E686B0">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19.1 供应商应在“</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”规定的响应文件递交截止时间前递交（上传）响应文件。</w:t>
      </w:r>
    </w:p>
    <w:p w14:paraId="03C7A621">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19.2 供应商递交（上传）响应文件的地点见“</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w:t>
      </w:r>
    </w:p>
    <w:p w14:paraId="5C2163F8">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19.3供应商应充分评估集中同时递交响应文件带来的网络影响，尽量避开递交响应文件高峰时间，错峰进行递交。供应商递交全部的响应文件后可在政采云平台（项目采购</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投标文件上传）中获取响应文件递交回执单。</w:t>
      </w:r>
    </w:p>
    <w:p w14:paraId="0459FCFC">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19.4 供应商应在供应商客户端中下载未加密且完成签章的响应文件妥善保存，以便启动应急开启程序时使用。</w:t>
      </w:r>
    </w:p>
    <w:p w14:paraId="023D3023">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19.5供应商所递交的响应文件不予退还。</w:t>
      </w:r>
    </w:p>
    <w:p w14:paraId="507AA3A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61" w:name="_Toc156490298"/>
      <w:bookmarkStart w:id="262" w:name="_Toc155095709"/>
      <w:r>
        <w:rPr>
          <w:rFonts w:hint="eastAsia" w:ascii="宋体" w:hAnsi="宋体" w:eastAsia="宋体" w:cs="宋体"/>
          <w:b/>
          <w:bCs/>
          <w:i w:val="0"/>
          <w:iCs w:val="0"/>
          <w:color w:val="auto"/>
          <w:kern w:val="2"/>
          <w:sz w:val="24"/>
          <w:szCs w:val="24"/>
          <w:highlight w:val="none"/>
          <w:lang w:val="en-US" w:eastAsia="zh-CN" w:bidi="ar-SA"/>
        </w:rPr>
        <w:t>20.拒收</w:t>
      </w:r>
      <w:bookmarkEnd w:id="261"/>
      <w:bookmarkEnd w:id="262"/>
    </w:p>
    <w:p w14:paraId="406505A1">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20.1超过递交响应文件的截止时间或者不按照本章要求加密的响应文件，交易系统应当拒收。</w:t>
      </w:r>
    </w:p>
    <w:p w14:paraId="4C6BC80E">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63" w:name="_Toc109897555"/>
      <w:bookmarkStart w:id="264" w:name="_Toc109900492"/>
      <w:bookmarkStart w:id="265" w:name="_Toc109899654"/>
      <w:bookmarkStart w:id="266" w:name="_Toc109900073"/>
      <w:bookmarkStart w:id="267" w:name="_Toc155095710"/>
      <w:bookmarkStart w:id="268" w:name="_Toc156490299"/>
      <w:r>
        <w:rPr>
          <w:rFonts w:hint="eastAsia" w:ascii="宋体" w:hAnsi="宋体" w:eastAsia="宋体" w:cs="宋体"/>
          <w:b/>
          <w:bCs/>
          <w:i w:val="0"/>
          <w:iCs w:val="0"/>
          <w:color w:val="auto"/>
          <w:kern w:val="2"/>
          <w:sz w:val="24"/>
          <w:szCs w:val="24"/>
          <w:highlight w:val="none"/>
          <w:lang w:val="en-US" w:eastAsia="zh-CN" w:bidi="ar-SA"/>
        </w:rPr>
        <w:t>21.响应文件的修改与撤回</w:t>
      </w:r>
      <w:bookmarkEnd w:id="263"/>
      <w:bookmarkEnd w:id="264"/>
      <w:bookmarkEnd w:id="265"/>
      <w:bookmarkEnd w:id="266"/>
      <w:bookmarkEnd w:id="267"/>
      <w:bookmarkEnd w:id="268"/>
    </w:p>
    <w:p w14:paraId="2DBE0E9C">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2</w:t>
      </w:r>
      <w:r>
        <w:rPr>
          <w:rFonts w:hint="eastAsia" w:ascii="宋体" w:hAnsi="宋体" w:eastAsia="宋体" w:cs="宋体"/>
          <w:i w:val="0"/>
          <w:iCs w:val="0"/>
          <w:snapToGrid w:val="0"/>
          <w:color w:val="auto"/>
          <w:sz w:val="24"/>
          <w:szCs w:val="24"/>
          <w:highlight w:val="none"/>
          <w:lang w:val="zh-CN" w:eastAsia="zh-CN"/>
        </w:rPr>
        <w:t>1</w:t>
      </w:r>
      <w:r>
        <w:rPr>
          <w:rFonts w:hint="eastAsia" w:ascii="宋体" w:hAnsi="宋体" w:eastAsia="宋体" w:cs="宋体"/>
          <w:i w:val="0"/>
          <w:iCs w:val="0"/>
          <w:snapToGrid w:val="0"/>
          <w:color w:val="auto"/>
          <w:sz w:val="24"/>
          <w:szCs w:val="24"/>
          <w:highlight w:val="none"/>
          <w:lang w:val="zh-CN"/>
        </w:rPr>
        <w:t>.1</w:t>
      </w:r>
      <w:bookmarkStart w:id="269" w:name="_Hlk143532466"/>
      <w:r>
        <w:rPr>
          <w:rFonts w:hint="eastAsia" w:ascii="宋体" w:hAnsi="宋体" w:eastAsia="宋体" w:cs="宋体"/>
          <w:i w:val="0"/>
          <w:iCs w:val="0"/>
          <w:snapToGrid w:val="0"/>
          <w:color w:val="auto"/>
          <w:sz w:val="24"/>
          <w:szCs w:val="24"/>
          <w:highlight w:val="none"/>
          <w:lang w:val="zh-CN" w:eastAsia="zh-CN"/>
        </w:rPr>
        <w:t>供应商</w:t>
      </w:r>
      <w:r>
        <w:rPr>
          <w:rFonts w:hint="eastAsia" w:ascii="宋体" w:hAnsi="宋体" w:eastAsia="宋体" w:cs="宋体"/>
          <w:i w:val="0"/>
          <w:iCs w:val="0"/>
          <w:snapToGrid w:val="0"/>
          <w:color w:val="auto"/>
          <w:sz w:val="24"/>
          <w:szCs w:val="24"/>
          <w:highlight w:val="none"/>
          <w:lang w:val="zh-CN"/>
        </w:rPr>
        <w:t>在</w:t>
      </w:r>
      <w:r>
        <w:rPr>
          <w:rFonts w:hint="eastAsia" w:ascii="宋体" w:hAnsi="宋体" w:eastAsia="宋体" w:cs="宋体"/>
          <w:i w:val="0"/>
          <w:iCs w:val="0"/>
          <w:snapToGrid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snapToGrid w:val="0"/>
          <w:color w:val="auto"/>
          <w:sz w:val="24"/>
          <w:szCs w:val="24"/>
          <w:highlight w:val="none"/>
          <w:lang w:val="zh-CN" w:eastAsia="zh-CN"/>
        </w:rPr>
        <w:t>”</w:t>
      </w:r>
      <w:r>
        <w:rPr>
          <w:rFonts w:hint="eastAsia" w:ascii="宋体" w:hAnsi="宋体" w:eastAsia="宋体" w:cs="宋体"/>
          <w:i w:val="0"/>
          <w:iCs w:val="0"/>
          <w:snapToGrid w:val="0"/>
          <w:color w:val="auto"/>
          <w:sz w:val="24"/>
          <w:szCs w:val="24"/>
          <w:highlight w:val="none"/>
          <w:lang w:val="zh-CN"/>
        </w:rPr>
        <w:t>规定的</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lang w:val="zh-CN" w:eastAsia="zh-CN"/>
        </w:rPr>
        <w:t>文件</w:t>
      </w:r>
      <w:r>
        <w:rPr>
          <w:rFonts w:hint="eastAsia" w:ascii="宋体" w:hAnsi="宋体" w:eastAsia="宋体" w:cs="宋体"/>
          <w:i w:val="0"/>
          <w:iCs w:val="0"/>
          <w:snapToGrid w:val="0"/>
          <w:color w:val="auto"/>
          <w:sz w:val="24"/>
          <w:szCs w:val="24"/>
          <w:highlight w:val="none"/>
          <w:lang w:val="zh-CN"/>
        </w:rPr>
        <w:t>递交截止时间之前，可在</w:t>
      </w:r>
      <w:r>
        <w:rPr>
          <w:rFonts w:hint="eastAsia" w:cs="宋体"/>
          <w:i w:val="0"/>
          <w:iCs w:val="0"/>
          <w:snapToGrid w:val="0"/>
          <w:color w:val="auto"/>
          <w:sz w:val="24"/>
          <w:szCs w:val="24"/>
          <w:highlight w:val="none"/>
          <w:lang w:val="en-US" w:eastAsia="zh-CN"/>
        </w:rPr>
        <w:t>新疆</w:t>
      </w:r>
      <w:r>
        <w:rPr>
          <w:rFonts w:hint="eastAsia" w:ascii="宋体" w:hAnsi="宋体" w:eastAsia="宋体" w:cs="宋体"/>
          <w:i w:val="0"/>
          <w:iCs w:val="0"/>
          <w:snapToGrid w:val="0"/>
          <w:color w:val="auto"/>
          <w:sz w:val="24"/>
          <w:szCs w:val="24"/>
          <w:highlight w:val="none"/>
          <w:lang w:val="zh-CN"/>
        </w:rPr>
        <w:t>政府采购电子交易云平台上随时撤回已上传的电子</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lang w:val="zh-CN" w:eastAsia="zh-CN"/>
        </w:rPr>
        <w:t>文件</w:t>
      </w:r>
      <w:r>
        <w:rPr>
          <w:rFonts w:hint="eastAsia" w:ascii="宋体" w:hAnsi="宋体" w:eastAsia="宋体" w:cs="宋体"/>
          <w:i w:val="0"/>
          <w:iCs w:val="0"/>
          <w:snapToGrid w:val="0"/>
          <w:color w:val="auto"/>
          <w:sz w:val="24"/>
          <w:szCs w:val="24"/>
          <w:highlight w:val="none"/>
          <w:lang w:val="zh-CN"/>
        </w:rPr>
        <w:t>，将修改好的电子</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lang w:val="zh-CN" w:eastAsia="zh-CN"/>
        </w:rPr>
        <w:t>文件</w:t>
      </w:r>
      <w:r>
        <w:rPr>
          <w:rFonts w:hint="eastAsia" w:ascii="宋体" w:hAnsi="宋体" w:eastAsia="宋体" w:cs="宋体"/>
          <w:i w:val="0"/>
          <w:iCs w:val="0"/>
          <w:snapToGrid w:val="0"/>
          <w:color w:val="auto"/>
          <w:sz w:val="24"/>
          <w:szCs w:val="24"/>
          <w:highlight w:val="none"/>
          <w:lang w:val="zh-CN"/>
        </w:rPr>
        <w:t>在</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lang w:val="zh-CN" w:eastAsia="zh-CN"/>
        </w:rPr>
        <w:t>文件</w:t>
      </w:r>
      <w:r>
        <w:rPr>
          <w:rFonts w:hint="eastAsia" w:ascii="宋体" w:hAnsi="宋体" w:eastAsia="宋体" w:cs="宋体"/>
          <w:i w:val="0"/>
          <w:iCs w:val="0"/>
          <w:snapToGrid w:val="0"/>
          <w:color w:val="auto"/>
          <w:sz w:val="24"/>
          <w:szCs w:val="24"/>
          <w:highlight w:val="none"/>
          <w:lang w:val="zh-CN"/>
        </w:rPr>
        <w:t>递交截止时间前重新上传到</w:t>
      </w:r>
      <w:r>
        <w:rPr>
          <w:rFonts w:hint="eastAsia" w:cs="宋体"/>
          <w:i w:val="0"/>
          <w:iCs w:val="0"/>
          <w:snapToGrid w:val="0"/>
          <w:color w:val="auto"/>
          <w:sz w:val="24"/>
          <w:szCs w:val="24"/>
          <w:highlight w:val="none"/>
          <w:lang w:val="en-US" w:eastAsia="zh-CN"/>
        </w:rPr>
        <w:t>新疆</w:t>
      </w:r>
      <w:r>
        <w:rPr>
          <w:rFonts w:hint="eastAsia" w:ascii="宋体" w:hAnsi="宋体" w:eastAsia="宋体" w:cs="宋体"/>
          <w:i w:val="0"/>
          <w:iCs w:val="0"/>
          <w:snapToGrid w:val="0"/>
          <w:color w:val="auto"/>
          <w:sz w:val="24"/>
          <w:szCs w:val="24"/>
          <w:highlight w:val="none"/>
          <w:lang w:val="zh-CN"/>
        </w:rPr>
        <w:t>政府采购电子交易云平台的</w:t>
      </w:r>
      <w:r>
        <w:rPr>
          <w:rFonts w:hint="eastAsia" w:ascii="宋体" w:hAnsi="宋体" w:eastAsia="宋体" w:cs="宋体"/>
          <w:i w:val="0"/>
          <w:iCs w:val="0"/>
          <w:snapToGrid w:val="0"/>
          <w:color w:val="auto"/>
          <w:sz w:val="24"/>
          <w:szCs w:val="24"/>
          <w:highlight w:val="none"/>
          <w:lang w:val="zh-CN" w:eastAsia="zh-CN"/>
        </w:rPr>
        <w:t>指</w:t>
      </w:r>
      <w:r>
        <w:rPr>
          <w:rFonts w:hint="eastAsia" w:ascii="宋体" w:hAnsi="宋体" w:eastAsia="宋体" w:cs="宋体"/>
          <w:i w:val="0"/>
          <w:iCs w:val="0"/>
          <w:snapToGrid w:val="0"/>
          <w:color w:val="auto"/>
          <w:sz w:val="24"/>
          <w:szCs w:val="24"/>
          <w:highlight w:val="none"/>
          <w:lang w:val="zh-CN"/>
        </w:rPr>
        <w:t>定位置。</w:t>
      </w:r>
    </w:p>
    <w:bookmarkEnd w:id="269"/>
    <w:p w14:paraId="148A3D7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70" w:name="_Toc155185973"/>
      <w:bookmarkStart w:id="271" w:name="_Toc155185874"/>
      <w:bookmarkStart w:id="272" w:name="_Toc158888664"/>
      <w:r>
        <w:rPr>
          <w:rFonts w:hint="eastAsia" w:ascii="宋体" w:hAnsi="宋体" w:eastAsia="宋体" w:cs="宋体"/>
          <w:b/>
          <w:bCs/>
          <w:i w:val="0"/>
          <w:iCs w:val="0"/>
          <w:color w:val="auto"/>
          <w:kern w:val="2"/>
          <w:sz w:val="24"/>
          <w:szCs w:val="24"/>
          <w:highlight w:val="none"/>
          <w:lang w:val="en-US" w:eastAsia="zh-CN" w:bidi="ar-SA"/>
        </w:rPr>
        <w:t>22.实物样品</w:t>
      </w:r>
      <w:bookmarkEnd w:id="270"/>
      <w:bookmarkEnd w:id="271"/>
      <w:bookmarkEnd w:id="272"/>
    </w:p>
    <w:p w14:paraId="50217376">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22.1“供应商须知前附表”要求提供样品的，样品的具体要求及评审详见“第三章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采购需求”和“第</w:t>
      </w:r>
      <w:r>
        <w:rPr>
          <w:rFonts w:hint="eastAsia" w:ascii="宋体" w:hAnsi="宋体" w:eastAsia="宋体" w:cs="宋体"/>
          <w:i w:val="0"/>
          <w:iCs w:val="0"/>
          <w:color w:val="auto"/>
          <w:sz w:val="24"/>
          <w:szCs w:val="24"/>
          <w:highlight w:val="none"/>
          <w:lang w:val="en-US" w:eastAsia="zh-CN"/>
        </w:rPr>
        <w:t>四</w:t>
      </w:r>
      <w:r>
        <w:rPr>
          <w:rFonts w:hint="eastAsia" w:ascii="宋体" w:hAnsi="宋体" w:eastAsia="宋体" w:cs="宋体"/>
          <w:i w:val="0"/>
          <w:iCs w:val="0"/>
          <w:color w:val="auto"/>
          <w:sz w:val="24"/>
          <w:szCs w:val="24"/>
          <w:highlight w:val="none"/>
        </w:rPr>
        <w:t>章 评审</w:t>
      </w:r>
      <w:r>
        <w:rPr>
          <w:rFonts w:hint="eastAsia" w:ascii="宋体" w:hAnsi="宋体" w:eastAsia="宋体" w:cs="宋体"/>
          <w:i w:val="0"/>
          <w:iCs w:val="0"/>
          <w:color w:val="auto"/>
          <w:sz w:val="24"/>
          <w:szCs w:val="24"/>
          <w:highlight w:val="none"/>
          <w:lang w:val="en-US" w:eastAsia="zh-CN"/>
        </w:rPr>
        <w:t>方</w:t>
      </w:r>
      <w:r>
        <w:rPr>
          <w:rFonts w:hint="eastAsia" w:ascii="宋体" w:hAnsi="宋体" w:eastAsia="宋体" w:cs="宋体"/>
          <w:i w:val="0"/>
          <w:iCs w:val="0"/>
          <w:color w:val="auto"/>
          <w:sz w:val="24"/>
          <w:szCs w:val="24"/>
          <w:highlight w:val="none"/>
        </w:rPr>
        <w:t>法及标准”。</w:t>
      </w:r>
    </w:p>
    <w:p w14:paraId="05680FAD">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22.2样品退还：未成交的供应商应</w:t>
      </w:r>
      <w:r>
        <w:rPr>
          <w:rFonts w:hint="eastAsia" w:ascii="宋体" w:hAnsi="宋体" w:eastAsia="宋体" w:cs="宋体"/>
          <w:i w:val="0"/>
          <w:iCs w:val="0"/>
          <w:color w:val="auto"/>
          <w:sz w:val="24"/>
          <w:szCs w:val="24"/>
          <w:highlight w:val="none"/>
          <w:lang w:val="en-US" w:eastAsia="zh-CN"/>
        </w:rPr>
        <w:t>按照</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须知前附表”</w:t>
      </w:r>
      <w:r>
        <w:rPr>
          <w:rFonts w:hint="eastAsia" w:ascii="宋体" w:hAnsi="宋体" w:eastAsia="宋体" w:cs="宋体"/>
          <w:i w:val="0"/>
          <w:iCs w:val="0"/>
          <w:color w:val="auto"/>
          <w:sz w:val="24"/>
          <w:szCs w:val="24"/>
          <w:highlight w:val="none"/>
          <w:lang w:val="en-US" w:eastAsia="zh-CN"/>
        </w:rPr>
        <w:t>要求</w:t>
      </w:r>
      <w:r>
        <w:rPr>
          <w:rFonts w:hint="eastAsia" w:ascii="宋体" w:hAnsi="宋体" w:eastAsia="宋体" w:cs="宋体"/>
          <w:i w:val="0"/>
          <w:iCs w:val="0"/>
          <w:color w:val="auto"/>
          <w:sz w:val="24"/>
          <w:szCs w:val="24"/>
          <w:highlight w:val="none"/>
        </w:rPr>
        <w:t>自行联系采购人取回递交样品；成交供应商的样品由采购人进行保管、封存，并作为履约验收的参考（竞争性磋商文件另有规定的从其规定）。</w:t>
      </w:r>
    </w:p>
    <w:p w14:paraId="50230F9E">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73" w:name="_Toc155185974"/>
      <w:bookmarkStart w:id="274" w:name="_Toc158888665"/>
      <w:bookmarkStart w:id="275" w:name="_Toc155185875"/>
      <w:r>
        <w:rPr>
          <w:rFonts w:hint="eastAsia" w:ascii="宋体" w:hAnsi="宋体" w:eastAsia="宋体" w:cs="宋体"/>
          <w:b/>
          <w:bCs/>
          <w:i w:val="0"/>
          <w:iCs w:val="0"/>
          <w:color w:val="auto"/>
          <w:kern w:val="2"/>
          <w:sz w:val="24"/>
          <w:szCs w:val="24"/>
          <w:highlight w:val="none"/>
          <w:lang w:val="en-US" w:eastAsia="zh-CN" w:bidi="ar-SA"/>
        </w:rPr>
        <w:t>23.项目演示</w:t>
      </w:r>
      <w:bookmarkEnd w:id="273"/>
      <w:bookmarkEnd w:id="274"/>
      <w:bookmarkEnd w:id="275"/>
    </w:p>
    <w:p w14:paraId="7F416831">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23.1要求供应商进行演示的，演示要求详见“供应商须知前附表”。</w:t>
      </w:r>
    </w:p>
    <w:p w14:paraId="02BCE05C">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23.2演示的评审详见“第三章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采购需求”和“第四章 评审</w:t>
      </w:r>
      <w:r>
        <w:rPr>
          <w:rFonts w:hint="eastAsia" w:ascii="宋体" w:hAnsi="宋体" w:eastAsia="宋体" w:cs="宋体"/>
          <w:i w:val="0"/>
          <w:iCs w:val="0"/>
          <w:color w:val="auto"/>
          <w:sz w:val="24"/>
          <w:szCs w:val="24"/>
          <w:highlight w:val="none"/>
          <w:lang w:val="en-US" w:eastAsia="zh-CN"/>
        </w:rPr>
        <w:t>方</w:t>
      </w:r>
      <w:r>
        <w:rPr>
          <w:rFonts w:hint="eastAsia" w:ascii="宋体" w:hAnsi="宋体" w:eastAsia="宋体" w:cs="宋体"/>
          <w:i w:val="0"/>
          <w:iCs w:val="0"/>
          <w:color w:val="auto"/>
          <w:sz w:val="24"/>
          <w:szCs w:val="24"/>
          <w:highlight w:val="none"/>
        </w:rPr>
        <w:t>法及标准”</w:t>
      </w:r>
    </w:p>
    <w:p w14:paraId="46B93A68">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76" w:name="_Toc163493615"/>
      <w:bookmarkStart w:id="277" w:name="_Toc22772"/>
      <w:bookmarkStart w:id="278" w:name="_Toc109897458"/>
      <w:bookmarkStart w:id="279" w:name="_Toc109899976"/>
      <w:bookmarkStart w:id="280" w:name="_Toc46771664"/>
      <w:bookmarkStart w:id="281" w:name="_Toc470172689"/>
      <w:bookmarkStart w:id="282" w:name="_Toc109900395"/>
      <w:bookmarkStart w:id="283" w:name="_Toc109899557"/>
      <w:r>
        <w:rPr>
          <w:rFonts w:hint="eastAsia" w:ascii="宋体" w:hAnsi="宋体" w:eastAsia="宋体" w:cs="宋体"/>
          <w:b/>
          <w:bCs/>
          <w:i w:val="0"/>
          <w:iCs w:val="0"/>
          <w:color w:val="auto"/>
          <w:kern w:val="2"/>
          <w:sz w:val="24"/>
          <w:szCs w:val="24"/>
          <w:highlight w:val="none"/>
          <w:lang w:val="en-US" w:eastAsia="zh-CN" w:bidi="ar-SA"/>
        </w:rPr>
        <w:t>（五）</w:t>
      </w:r>
      <w:bookmarkEnd w:id="276"/>
      <w:r>
        <w:rPr>
          <w:rFonts w:hint="eastAsia" w:ascii="宋体" w:hAnsi="宋体" w:eastAsia="宋体" w:cs="宋体"/>
          <w:b/>
          <w:bCs/>
          <w:i w:val="0"/>
          <w:iCs w:val="0"/>
          <w:color w:val="auto"/>
          <w:kern w:val="2"/>
          <w:sz w:val="24"/>
          <w:szCs w:val="24"/>
          <w:highlight w:val="none"/>
          <w:lang w:val="en-US" w:eastAsia="zh-CN" w:bidi="ar-SA"/>
        </w:rPr>
        <w:t>响应文件开启</w:t>
      </w:r>
      <w:bookmarkEnd w:id="277"/>
    </w:p>
    <w:p w14:paraId="4479E40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84" w:name="_Hlk161704700"/>
      <w:r>
        <w:rPr>
          <w:rFonts w:hint="eastAsia" w:ascii="宋体" w:hAnsi="宋体" w:eastAsia="宋体" w:cs="宋体"/>
          <w:b/>
          <w:bCs/>
          <w:i w:val="0"/>
          <w:iCs w:val="0"/>
          <w:color w:val="auto"/>
          <w:kern w:val="2"/>
          <w:sz w:val="24"/>
          <w:szCs w:val="24"/>
          <w:highlight w:val="none"/>
          <w:lang w:val="en-US" w:eastAsia="zh-CN" w:bidi="ar-SA"/>
        </w:rPr>
        <w:t>24.响应文件开启</w:t>
      </w:r>
    </w:p>
    <w:p w14:paraId="316D9270">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bCs/>
          <w:i w:val="0"/>
          <w:iCs w:val="0"/>
          <w:color w:val="auto"/>
          <w:sz w:val="24"/>
          <w:szCs w:val="24"/>
          <w:highlight w:val="none"/>
        </w:rPr>
      </w:pPr>
      <w:bookmarkStart w:id="285" w:name="_Toc140132781"/>
      <w:r>
        <w:rPr>
          <w:rFonts w:hint="eastAsia" w:ascii="宋体" w:hAnsi="宋体" w:eastAsia="宋体" w:cs="宋体"/>
          <w:i w:val="0"/>
          <w:iCs w:val="0"/>
          <w:color w:val="auto"/>
          <w:sz w:val="24"/>
          <w:szCs w:val="24"/>
          <w:highlight w:val="none"/>
        </w:rPr>
        <w:t>24.1供应商应按照“</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”中的要求参与开启。</w:t>
      </w:r>
      <w:bookmarkEnd w:id="285"/>
    </w:p>
    <w:p w14:paraId="27E801F8">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86" w:name="_Toc140132782"/>
      <w:bookmarkStart w:id="287" w:name="_Toc161600316"/>
      <w:r>
        <w:rPr>
          <w:rFonts w:hint="eastAsia" w:ascii="宋体" w:hAnsi="宋体" w:eastAsia="宋体" w:cs="宋体"/>
          <w:b/>
          <w:bCs/>
          <w:i w:val="0"/>
          <w:iCs w:val="0"/>
          <w:color w:val="auto"/>
          <w:kern w:val="2"/>
          <w:sz w:val="24"/>
          <w:szCs w:val="24"/>
          <w:highlight w:val="none"/>
          <w:lang w:val="en-US" w:eastAsia="zh-CN" w:bidi="ar-SA"/>
        </w:rPr>
        <w:t>25.开启时间和地点</w:t>
      </w:r>
      <w:bookmarkEnd w:id="286"/>
      <w:bookmarkEnd w:id="287"/>
    </w:p>
    <w:p w14:paraId="377D2342">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25.1开启时间和地点</w:t>
      </w:r>
    </w:p>
    <w:p w14:paraId="13D4F52D">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递交</w:t>
      </w:r>
      <w:r>
        <w:rPr>
          <w:rFonts w:hint="eastAsia" w:ascii="宋体" w:hAnsi="宋体" w:eastAsia="宋体" w:cs="宋体"/>
          <w:i w:val="0"/>
          <w:iCs w:val="0"/>
          <w:color w:val="auto"/>
          <w:sz w:val="24"/>
          <w:szCs w:val="24"/>
          <w:highlight w:val="none"/>
        </w:rPr>
        <w:t>响应文件截止时间前，供应商登录供应商客户端，</w:t>
      </w:r>
      <w:r>
        <w:rPr>
          <w:rFonts w:hint="eastAsia" w:ascii="宋体" w:hAnsi="宋体" w:eastAsia="宋体" w:cs="宋体"/>
          <w:i w:val="0"/>
          <w:iCs w:val="0"/>
          <w:snapToGrid w:val="0"/>
          <w:color w:val="auto"/>
          <w:sz w:val="24"/>
          <w:szCs w:val="24"/>
          <w:highlight w:val="none"/>
          <w:lang w:val="zh-CN"/>
        </w:rPr>
        <w:t>通过供应商客户端进入交易系统</w:t>
      </w:r>
      <w:r>
        <w:rPr>
          <w:rFonts w:hint="eastAsia" w:ascii="宋体" w:hAnsi="宋体" w:eastAsia="宋体" w:cs="宋体"/>
          <w:i w:val="0"/>
          <w:iCs w:val="0"/>
          <w:color w:val="auto"/>
          <w:sz w:val="24"/>
          <w:szCs w:val="24"/>
          <w:highlight w:val="none"/>
        </w:rPr>
        <w:t>“开标大厅”选择所投项目（或采购包）完成项目签到工作。</w:t>
      </w:r>
    </w:p>
    <w:p w14:paraId="2BEA625B">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zh-CN"/>
        </w:rPr>
        <w:t>（2）在</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规</w:t>
      </w:r>
      <w:r>
        <w:rPr>
          <w:rFonts w:hint="eastAsia" w:ascii="宋体" w:hAnsi="宋体" w:eastAsia="宋体" w:cs="宋体"/>
          <w:i w:val="0"/>
          <w:iCs w:val="0"/>
          <w:color w:val="auto"/>
          <w:sz w:val="24"/>
          <w:szCs w:val="24"/>
          <w:highlight w:val="none"/>
          <w:lang w:val="zh-CN"/>
        </w:rPr>
        <w:t>定的</w:t>
      </w:r>
      <w:r>
        <w:rPr>
          <w:rFonts w:hint="eastAsia" w:ascii="宋体" w:hAnsi="宋体" w:eastAsia="宋体" w:cs="宋体"/>
          <w:i w:val="0"/>
          <w:iCs w:val="0"/>
          <w:color w:val="auto"/>
          <w:sz w:val="24"/>
          <w:szCs w:val="24"/>
          <w:highlight w:val="none"/>
          <w:lang w:val="en-US" w:eastAsia="zh-CN"/>
        </w:rPr>
        <w:t>递交</w:t>
      </w:r>
      <w:r>
        <w:rPr>
          <w:rFonts w:hint="eastAsia" w:ascii="宋体" w:hAnsi="宋体" w:eastAsia="宋体" w:cs="宋体"/>
          <w:i w:val="0"/>
          <w:iCs w:val="0"/>
          <w:color w:val="auto"/>
          <w:sz w:val="24"/>
          <w:szCs w:val="24"/>
          <w:highlight w:val="none"/>
          <w:lang w:val="zh-CN"/>
        </w:rPr>
        <w:t>响应文件截止时间、开启时间及地点，采购代理机构通过</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zh-CN" w:eastAsia="zh-CN"/>
        </w:rPr>
        <w:t>政府采购电子交易云平台</w:t>
      </w:r>
      <w:r>
        <w:rPr>
          <w:rFonts w:hint="eastAsia" w:ascii="宋体" w:hAnsi="宋体" w:eastAsia="宋体" w:cs="宋体"/>
          <w:i w:val="0"/>
          <w:iCs w:val="0"/>
          <w:color w:val="auto"/>
          <w:kern w:val="2"/>
          <w:sz w:val="24"/>
          <w:szCs w:val="24"/>
          <w:highlight w:val="none"/>
        </w:rPr>
        <w:t>的“政采云远程开标大厅”</w:t>
      </w:r>
      <w:r>
        <w:rPr>
          <w:rFonts w:hint="eastAsia" w:ascii="宋体" w:hAnsi="宋体" w:eastAsia="宋体" w:cs="宋体"/>
          <w:i w:val="0"/>
          <w:iCs w:val="0"/>
          <w:color w:val="auto"/>
          <w:sz w:val="24"/>
          <w:szCs w:val="24"/>
          <w:highlight w:val="none"/>
          <w:lang w:val="zh-CN"/>
        </w:rPr>
        <w:t>组织响应文件开启工作。</w:t>
      </w:r>
    </w:p>
    <w:p w14:paraId="4CC39E28">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25.2响应文件开启：</w:t>
      </w:r>
      <w:r>
        <w:rPr>
          <w:rFonts w:hint="eastAsia" w:ascii="宋体" w:hAnsi="宋体" w:eastAsia="宋体" w:cs="宋体"/>
          <w:i w:val="0"/>
          <w:iCs w:val="0"/>
          <w:color w:val="auto"/>
          <w:sz w:val="24"/>
          <w:szCs w:val="24"/>
          <w:highlight w:val="none"/>
          <w:lang w:val="en-US" w:eastAsia="zh-CN"/>
        </w:rPr>
        <w:t>递交</w:t>
      </w:r>
      <w:r>
        <w:rPr>
          <w:rFonts w:hint="eastAsia" w:ascii="宋体" w:hAnsi="宋体" w:eastAsia="宋体" w:cs="宋体"/>
          <w:i w:val="0"/>
          <w:iCs w:val="0"/>
          <w:color w:val="auto"/>
          <w:sz w:val="24"/>
          <w:szCs w:val="24"/>
          <w:highlight w:val="none"/>
        </w:rPr>
        <w:t>响应文件截止时间到后，工作人员启动开始解密指令，供应商应当按照“供应商须知前附表”规定及时进行响应文件解密，完成响应文件开启工作。</w:t>
      </w:r>
    </w:p>
    <w:p w14:paraId="761D25C5">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25.3规定的时间内，非因</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zh-CN" w:eastAsia="zh-CN"/>
        </w:rPr>
        <w:t>政府采购电子交易云平台</w:t>
      </w:r>
      <w:r>
        <w:rPr>
          <w:rFonts w:hint="eastAsia" w:ascii="宋体" w:hAnsi="宋体" w:eastAsia="宋体" w:cs="宋体"/>
          <w:i w:val="0"/>
          <w:iCs w:val="0"/>
          <w:color w:val="auto"/>
          <w:sz w:val="24"/>
          <w:szCs w:val="24"/>
          <w:highlight w:val="none"/>
        </w:rPr>
        <w:t>原因造成响应文件未解密的，视为供应商撤回响应文件。停止解密后，已解密开启的响应文件不足3家的，应当终止采购活动。</w:t>
      </w:r>
    </w:p>
    <w:p w14:paraId="13666101">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25.4供应商或其授权代表对响应文件开启过程有疑义的，以及认为采购人、采购代理机构相关工作人员有需要回避的情形的，应在开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会议中提出询问或者回避申请。采购人、采购代理机构对</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授权代表提出的询问或者回避申请应当及时处理。</w:t>
      </w:r>
    </w:p>
    <w:p w14:paraId="4EFA7156">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w:t>
      </w:r>
      <w:r>
        <w:rPr>
          <w:rFonts w:hint="eastAsia" w:ascii="宋体" w:hAnsi="宋体" w:eastAsia="宋体" w:cs="宋体"/>
          <w:i w:val="0"/>
          <w:iCs w:val="0"/>
          <w:color w:val="auto"/>
          <w:sz w:val="24"/>
          <w:szCs w:val="24"/>
          <w:highlight w:val="none"/>
          <w:lang w:val="en-US" w:eastAsia="zh-CN"/>
        </w:rPr>
        <w:t>5供应商</w:t>
      </w:r>
      <w:r>
        <w:rPr>
          <w:rFonts w:hint="eastAsia" w:ascii="宋体" w:hAnsi="宋体" w:eastAsia="宋体" w:cs="宋体"/>
          <w:i w:val="0"/>
          <w:iCs w:val="0"/>
          <w:color w:val="auto"/>
          <w:sz w:val="24"/>
          <w:szCs w:val="24"/>
          <w:highlight w:val="none"/>
        </w:rPr>
        <w:t>未参加开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的，视同认可开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结果。</w:t>
      </w:r>
    </w:p>
    <w:bookmarkEnd w:id="278"/>
    <w:bookmarkEnd w:id="279"/>
    <w:bookmarkEnd w:id="280"/>
    <w:bookmarkEnd w:id="281"/>
    <w:bookmarkEnd w:id="282"/>
    <w:bookmarkEnd w:id="283"/>
    <w:bookmarkEnd w:id="284"/>
    <w:p w14:paraId="433E2AD6">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88" w:name="_Toc140132785"/>
      <w:bookmarkStart w:id="289" w:name="_Toc163492854"/>
      <w:bookmarkStart w:id="290" w:name="_Toc25520"/>
      <w:bookmarkStart w:id="291" w:name="_Toc155185877"/>
      <w:r>
        <w:rPr>
          <w:rFonts w:hint="eastAsia" w:ascii="宋体" w:hAnsi="宋体" w:eastAsia="宋体" w:cs="宋体"/>
          <w:b/>
          <w:bCs/>
          <w:i w:val="0"/>
          <w:iCs w:val="0"/>
          <w:color w:val="auto"/>
          <w:kern w:val="2"/>
          <w:sz w:val="24"/>
          <w:szCs w:val="24"/>
          <w:highlight w:val="none"/>
          <w:lang w:val="en-US" w:eastAsia="zh-CN" w:bidi="ar-SA"/>
        </w:rPr>
        <w:t>（六）资格审查</w:t>
      </w:r>
      <w:bookmarkEnd w:id="288"/>
      <w:bookmarkEnd w:id="289"/>
      <w:bookmarkEnd w:id="290"/>
      <w:bookmarkEnd w:id="291"/>
    </w:p>
    <w:p w14:paraId="18C3AF0B">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92" w:name="_Toc163492855"/>
      <w:r>
        <w:rPr>
          <w:rFonts w:hint="eastAsia" w:ascii="宋体" w:hAnsi="宋体" w:eastAsia="宋体" w:cs="宋体"/>
          <w:b/>
          <w:bCs/>
          <w:i w:val="0"/>
          <w:iCs w:val="0"/>
          <w:color w:val="auto"/>
          <w:kern w:val="2"/>
          <w:sz w:val="24"/>
          <w:szCs w:val="24"/>
          <w:highlight w:val="none"/>
          <w:lang w:val="en-US" w:eastAsia="zh-CN" w:bidi="ar-SA"/>
        </w:rPr>
        <w:t>26.资格审查及审查主体</w:t>
      </w:r>
      <w:bookmarkEnd w:id="292"/>
    </w:p>
    <w:p w14:paraId="04AE228E">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bookmarkStart w:id="293" w:name="_Toc140132786"/>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.1开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结束后，</w:t>
      </w:r>
      <w:r>
        <w:rPr>
          <w:rFonts w:hint="eastAsia" w:ascii="宋体" w:hAnsi="宋体" w:eastAsia="宋体" w:cs="宋体"/>
          <w:i w:val="0"/>
          <w:iCs w:val="0"/>
          <w:color w:val="auto"/>
          <w:sz w:val="24"/>
          <w:szCs w:val="24"/>
          <w:highlight w:val="none"/>
          <w:lang w:val="en-US" w:eastAsia="zh-CN"/>
        </w:rPr>
        <w:t>磋商小组</w:t>
      </w:r>
      <w:r>
        <w:rPr>
          <w:rFonts w:hint="eastAsia" w:ascii="宋体" w:hAnsi="宋体" w:eastAsia="宋体" w:cs="宋体"/>
          <w:i w:val="0"/>
          <w:iCs w:val="0"/>
          <w:color w:val="auto"/>
          <w:sz w:val="24"/>
          <w:szCs w:val="24"/>
          <w:highlight w:val="none"/>
        </w:rPr>
        <w:t>依据法律法规和本</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文件的规定，依法对</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资格进行审查，以确定</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是否具备</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资格。</w:t>
      </w:r>
      <w:bookmarkEnd w:id="293"/>
    </w:p>
    <w:p w14:paraId="5744016B">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bookmarkStart w:id="294" w:name="_Toc140132787"/>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.2资格审查按“第四章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snapToGrid w:val="0"/>
          <w:color w:val="auto"/>
          <w:sz w:val="24"/>
          <w:szCs w:val="24"/>
          <w:highlight w:val="none"/>
          <w:lang w:val="zh-CN"/>
        </w:rPr>
        <w:t>评审</w:t>
      </w:r>
      <w:r>
        <w:rPr>
          <w:rFonts w:hint="eastAsia" w:ascii="宋体" w:hAnsi="宋体" w:eastAsia="宋体" w:cs="宋体"/>
          <w:i w:val="0"/>
          <w:iCs w:val="0"/>
          <w:snapToGrid w:val="0"/>
          <w:color w:val="auto"/>
          <w:sz w:val="24"/>
          <w:szCs w:val="24"/>
          <w:highlight w:val="none"/>
          <w:lang w:val="en-US" w:eastAsia="zh-CN"/>
        </w:rPr>
        <w:t>方</w:t>
      </w:r>
      <w:r>
        <w:rPr>
          <w:rFonts w:hint="eastAsia" w:ascii="宋体" w:hAnsi="宋体" w:eastAsia="宋体" w:cs="宋体"/>
          <w:i w:val="0"/>
          <w:iCs w:val="0"/>
          <w:snapToGrid w:val="0"/>
          <w:color w:val="auto"/>
          <w:sz w:val="24"/>
          <w:szCs w:val="24"/>
          <w:highlight w:val="none"/>
          <w:lang w:val="zh-CN"/>
        </w:rPr>
        <w:t>法及标准</w:t>
      </w:r>
      <w:r>
        <w:rPr>
          <w:rFonts w:hint="eastAsia" w:ascii="宋体" w:hAnsi="宋体" w:eastAsia="宋体" w:cs="宋体"/>
          <w:i w:val="0"/>
          <w:iCs w:val="0"/>
          <w:color w:val="auto"/>
          <w:sz w:val="24"/>
          <w:szCs w:val="24"/>
          <w:highlight w:val="none"/>
        </w:rPr>
        <w:t>”的规定进行。</w:t>
      </w:r>
      <w:bookmarkEnd w:id="294"/>
    </w:p>
    <w:p w14:paraId="7DBFFA73">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bookmarkStart w:id="295" w:name="_Toc140132788"/>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.3资格审查结束后，应及时对资格审查结果进行复核，对资格审查错误进行及时纠正并记录。</w:t>
      </w:r>
      <w:bookmarkEnd w:id="295"/>
    </w:p>
    <w:p w14:paraId="4C2B4ACE">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26.4</w:t>
      </w:r>
      <w:r>
        <w:rPr>
          <w:rFonts w:hint="eastAsia" w:ascii="宋体" w:hAnsi="宋体" w:eastAsia="宋体" w:cs="宋体"/>
          <w:i w:val="0"/>
          <w:iCs w:val="0"/>
          <w:color w:val="auto"/>
          <w:sz w:val="24"/>
          <w:szCs w:val="24"/>
          <w:highlight w:val="none"/>
        </w:rPr>
        <w:t>资格审查合格</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不足3家的，不得评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w:t>
      </w:r>
    </w:p>
    <w:p w14:paraId="62EE3FE3">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36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96" w:name="_Toc163492856"/>
      <w:bookmarkStart w:id="297" w:name="_Toc140132789"/>
      <w:bookmarkStart w:id="298" w:name="_Toc155185878"/>
      <w:bookmarkStart w:id="299" w:name="_Toc21173"/>
      <w:r>
        <w:rPr>
          <w:rFonts w:hint="eastAsia" w:ascii="宋体" w:hAnsi="宋体" w:eastAsia="宋体" w:cs="宋体"/>
          <w:b/>
          <w:bCs/>
          <w:i w:val="0"/>
          <w:iCs w:val="0"/>
          <w:color w:val="auto"/>
          <w:kern w:val="2"/>
          <w:sz w:val="24"/>
          <w:szCs w:val="24"/>
          <w:highlight w:val="none"/>
          <w:lang w:val="en-US" w:eastAsia="zh-CN" w:bidi="ar-SA"/>
        </w:rPr>
        <w:t>（七）项目评</w:t>
      </w:r>
      <w:bookmarkEnd w:id="296"/>
      <w:bookmarkEnd w:id="297"/>
      <w:bookmarkEnd w:id="298"/>
      <w:r>
        <w:rPr>
          <w:rFonts w:hint="eastAsia" w:ascii="宋体" w:hAnsi="宋体" w:eastAsia="宋体" w:cs="宋体"/>
          <w:b/>
          <w:bCs/>
          <w:i w:val="0"/>
          <w:iCs w:val="0"/>
          <w:color w:val="auto"/>
          <w:kern w:val="2"/>
          <w:sz w:val="24"/>
          <w:szCs w:val="24"/>
          <w:highlight w:val="none"/>
          <w:lang w:val="en-US" w:eastAsia="zh-CN" w:bidi="ar-SA"/>
        </w:rPr>
        <w:t>审</w:t>
      </w:r>
      <w:bookmarkEnd w:id="299"/>
    </w:p>
    <w:p w14:paraId="4D26C75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27.评审方法、程序及标准</w:t>
      </w:r>
    </w:p>
    <w:p w14:paraId="1B167813">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zh-CN"/>
        </w:rPr>
        <w:t>2</w:t>
      </w:r>
      <w:r>
        <w:rPr>
          <w:rFonts w:hint="eastAsia" w:ascii="宋体" w:hAnsi="宋体" w:eastAsia="宋体" w:cs="宋体"/>
          <w:i w:val="0"/>
          <w:iCs w:val="0"/>
          <w:snapToGrid w:val="0"/>
          <w:color w:val="auto"/>
          <w:sz w:val="24"/>
          <w:szCs w:val="24"/>
          <w:highlight w:val="none"/>
          <w:lang w:val="en-US" w:eastAsia="zh-CN"/>
        </w:rPr>
        <w:t>7</w:t>
      </w: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评审方法：综合评分法。</w:t>
      </w:r>
    </w:p>
    <w:p w14:paraId="47AAE17E">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eastAsia="zh-CN"/>
        </w:rPr>
        <w:t>综合评分法，是指响应文件满足磋商文件全部实质性要求且按评审因素的量化指标评审得分最高的供应商为成交候选供应商的评审方法。</w:t>
      </w:r>
    </w:p>
    <w:p w14:paraId="7BC328DC">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en-US" w:eastAsia="zh-CN"/>
        </w:rPr>
        <w:t>本</w:t>
      </w:r>
      <w:r>
        <w:rPr>
          <w:rFonts w:hint="eastAsia" w:ascii="宋体" w:hAnsi="宋体" w:eastAsia="宋体" w:cs="宋体"/>
          <w:i w:val="0"/>
          <w:iCs w:val="0"/>
          <w:snapToGrid w:val="0"/>
          <w:color w:val="auto"/>
          <w:sz w:val="24"/>
          <w:szCs w:val="24"/>
          <w:highlight w:val="none"/>
          <w:lang w:val="zh-CN"/>
        </w:rPr>
        <w:t>项目评审方法、程序及标准详见“第</w:t>
      </w:r>
      <w:r>
        <w:rPr>
          <w:rFonts w:hint="eastAsia" w:ascii="宋体" w:hAnsi="宋体" w:eastAsia="宋体" w:cs="宋体"/>
          <w:i w:val="0"/>
          <w:iCs w:val="0"/>
          <w:snapToGrid w:val="0"/>
          <w:color w:val="auto"/>
          <w:sz w:val="24"/>
          <w:szCs w:val="24"/>
          <w:highlight w:val="none"/>
          <w:lang w:val="en-US" w:eastAsia="zh-CN"/>
        </w:rPr>
        <w:t>四</w:t>
      </w:r>
      <w:r>
        <w:rPr>
          <w:rFonts w:hint="eastAsia" w:ascii="宋体" w:hAnsi="宋体" w:eastAsia="宋体" w:cs="宋体"/>
          <w:i w:val="0"/>
          <w:iCs w:val="0"/>
          <w:snapToGrid w:val="0"/>
          <w:color w:val="auto"/>
          <w:sz w:val="24"/>
          <w:szCs w:val="24"/>
          <w:highlight w:val="none"/>
          <w:lang w:val="zh-CN"/>
        </w:rPr>
        <w:t>章 评审</w:t>
      </w:r>
      <w:r>
        <w:rPr>
          <w:rFonts w:hint="eastAsia" w:ascii="宋体" w:hAnsi="宋体" w:eastAsia="宋体" w:cs="宋体"/>
          <w:i w:val="0"/>
          <w:iCs w:val="0"/>
          <w:snapToGrid w:val="0"/>
          <w:color w:val="auto"/>
          <w:sz w:val="24"/>
          <w:szCs w:val="24"/>
          <w:highlight w:val="none"/>
          <w:lang w:val="en-US" w:eastAsia="zh-CN"/>
        </w:rPr>
        <w:t>方</w:t>
      </w:r>
      <w:r>
        <w:rPr>
          <w:rFonts w:hint="eastAsia" w:ascii="宋体" w:hAnsi="宋体" w:eastAsia="宋体" w:cs="宋体"/>
          <w:i w:val="0"/>
          <w:iCs w:val="0"/>
          <w:snapToGrid w:val="0"/>
          <w:color w:val="auto"/>
          <w:sz w:val="24"/>
          <w:szCs w:val="24"/>
          <w:highlight w:val="none"/>
          <w:lang w:val="zh-CN"/>
        </w:rPr>
        <w:t>法及标准”。</w:t>
      </w:r>
    </w:p>
    <w:p w14:paraId="484E7820">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2</w:t>
      </w:r>
      <w:r>
        <w:rPr>
          <w:rFonts w:hint="eastAsia" w:ascii="宋体" w:hAnsi="宋体" w:eastAsia="宋体" w:cs="宋体"/>
          <w:i w:val="0"/>
          <w:iCs w:val="0"/>
          <w:snapToGrid w:val="0"/>
          <w:color w:val="auto"/>
          <w:sz w:val="24"/>
          <w:szCs w:val="24"/>
          <w:highlight w:val="none"/>
          <w:lang w:val="en-US" w:eastAsia="zh-CN"/>
        </w:rPr>
        <w:t>7</w:t>
      </w:r>
      <w:r>
        <w:rPr>
          <w:rFonts w:hint="eastAsia" w:ascii="宋体" w:hAnsi="宋体" w:eastAsia="宋体" w:cs="宋体"/>
          <w:i w:val="0"/>
          <w:iCs w:val="0"/>
          <w:snapToGrid w:val="0"/>
          <w:color w:val="auto"/>
          <w:sz w:val="24"/>
          <w:szCs w:val="24"/>
          <w:highlight w:val="none"/>
          <w:lang w:val="zh-CN"/>
        </w:rPr>
        <w:t>.2磋商准备：供应商应当按照“</w:t>
      </w:r>
      <w:r>
        <w:rPr>
          <w:rFonts w:hint="eastAsia" w:ascii="宋体" w:hAnsi="宋体" w:eastAsia="宋体" w:cs="宋体"/>
          <w:i w:val="0"/>
          <w:iCs w:val="0"/>
          <w:snapToGrid w:val="0"/>
          <w:color w:val="auto"/>
          <w:sz w:val="24"/>
          <w:szCs w:val="24"/>
          <w:highlight w:val="none"/>
          <w:lang w:val="zh-CN" w:eastAsia="zh-CN"/>
        </w:rPr>
        <w:t>第</w:t>
      </w:r>
      <w:r>
        <w:rPr>
          <w:rFonts w:hint="eastAsia" w:ascii="宋体" w:hAnsi="宋体" w:eastAsia="宋体" w:cs="宋体"/>
          <w:i w:val="0"/>
          <w:iCs w:val="0"/>
          <w:snapToGrid w:val="0"/>
          <w:color w:val="auto"/>
          <w:sz w:val="24"/>
          <w:szCs w:val="24"/>
          <w:highlight w:val="none"/>
          <w:lang w:val="en-US" w:eastAsia="zh-CN"/>
        </w:rPr>
        <w:t>二</w:t>
      </w:r>
      <w:r>
        <w:rPr>
          <w:rFonts w:hint="eastAsia" w:ascii="宋体" w:hAnsi="宋体" w:eastAsia="宋体" w:cs="宋体"/>
          <w:i w:val="0"/>
          <w:iCs w:val="0"/>
          <w:snapToGrid w:val="0"/>
          <w:color w:val="auto"/>
          <w:sz w:val="24"/>
          <w:szCs w:val="24"/>
          <w:highlight w:val="none"/>
          <w:lang w:val="zh-CN" w:eastAsia="zh-CN"/>
        </w:rPr>
        <w:t xml:space="preserve">章 </w:t>
      </w:r>
      <w:r>
        <w:rPr>
          <w:rFonts w:hint="eastAsia" w:ascii="宋体" w:hAnsi="宋体" w:eastAsia="宋体" w:cs="宋体"/>
          <w:i w:val="0"/>
          <w:iCs w:val="0"/>
          <w:snapToGrid w:val="0"/>
          <w:color w:val="auto"/>
          <w:sz w:val="24"/>
          <w:szCs w:val="24"/>
          <w:highlight w:val="none"/>
          <w:lang w:val="en-US" w:eastAsia="zh-CN"/>
        </w:rPr>
        <w:t>供应商须知</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的</w:t>
      </w:r>
      <w:r>
        <w:rPr>
          <w:rFonts w:hint="eastAsia" w:ascii="宋体" w:hAnsi="宋体" w:eastAsia="宋体" w:cs="宋体"/>
          <w:i w:val="0"/>
          <w:iCs w:val="0"/>
          <w:snapToGrid w:val="0"/>
          <w:color w:val="auto"/>
          <w:sz w:val="24"/>
          <w:szCs w:val="24"/>
          <w:highlight w:val="none"/>
          <w:lang w:val="zh-CN"/>
        </w:rPr>
        <w:t>要求提前准备好磋商所需的设备，确保设备稳定可靠、互联网畅通。</w:t>
      </w:r>
      <w:r>
        <w:rPr>
          <w:rFonts w:hint="eastAsia" w:ascii="宋体" w:hAnsi="宋体" w:eastAsia="宋体" w:cs="宋体"/>
          <w:i w:val="0"/>
          <w:iCs w:val="0"/>
          <w:color w:val="auto"/>
          <w:sz w:val="24"/>
          <w:szCs w:val="24"/>
          <w:highlight w:val="none"/>
        </w:rPr>
        <w:t>供应商登录供应商客户端，</w:t>
      </w:r>
      <w:r>
        <w:rPr>
          <w:rFonts w:hint="eastAsia" w:ascii="宋体" w:hAnsi="宋体" w:eastAsia="宋体" w:cs="宋体"/>
          <w:i w:val="0"/>
          <w:iCs w:val="0"/>
          <w:snapToGrid w:val="0"/>
          <w:color w:val="auto"/>
          <w:sz w:val="24"/>
          <w:szCs w:val="24"/>
          <w:highlight w:val="none"/>
          <w:lang w:val="zh-CN"/>
        </w:rPr>
        <w:t>通过供应商客户端进入交易系统“</w:t>
      </w:r>
      <w:r>
        <w:rPr>
          <w:rFonts w:hint="eastAsia" w:ascii="宋体" w:hAnsi="宋体" w:eastAsia="宋体" w:cs="宋体"/>
          <w:i w:val="0"/>
          <w:iCs w:val="0"/>
          <w:snapToGrid w:val="0"/>
          <w:color w:val="auto"/>
          <w:sz w:val="24"/>
          <w:szCs w:val="24"/>
          <w:highlight w:val="none"/>
          <w:lang w:val="en-US" w:eastAsia="zh-CN"/>
        </w:rPr>
        <w:t>开</w:t>
      </w:r>
      <w:r>
        <w:rPr>
          <w:rFonts w:hint="eastAsia" w:ascii="宋体" w:hAnsi="宋体" w:eastAsia="宋体" w:cs="宋体"/>
          <w:i w:val="0"/>
          <w:iCs w:val="0"/>
          <w:snapToGrid w:val="0"/>
          <w:color w:val="auto"/>
          <w:sz w:val="24"/>
          <w:szCs w:val="24"/>
          <w:highlight w:val="none"/>
          <w:lang w:val="zh-CN"/>
        </w:rPr>
        <w:t>标大厅”，准时参加在线磋商，按照工作人员提示进行相关操作。未按上述要求进行的，导致的后果由供应商自行承担。</w:t>
      </w:r>
    </w:p>
    <w:p w14:paraId="1DBDEAF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00" w:name="_Toc140132790"/>
      <w:bookmarkStart w:id="301" w:name="_Toc163492857"/>
      <w:r>
        <w:rPr>
          <w:rFonts w:hint="eastAsia" w:ascii="宋体" w:hAnsi="宋体" w:eastAsia="宋体" w:cs="宋体"/>
          <w:b/>
          <w:bCs/>
          <w:i w:val="0"/>
          <w:iCs w:val="0"/>
          <w:color w:val="auto"/>
          <w:kern w:val="2"/>
          <w:sz w:val="24"/>
          <w:szCs w:val="24"/>
          <w:highlight w:val="none"/>
          <w:lang w:val="en-US" w:eastAsia="zh-CN" w:bidi="ar-SA"/>
        </w:rPr>
        <w:t>28.</w:t>
      </w:r>
      <w:bookmarkEnd w:id="300"/>
      <w:bookmarkEnd w:id="301"/>
      <w:r>
        <w:rPr>
          <w:rFonts w:hint="eastAsia" w:ascii="宋体" w:hAnsi="宋体" w:eastAsia="宋体" w:cs="宋体"/>
          <w:b/>
          <w:bCs/>
          <w:i w:val="0"/>
          <w:iCs w:val="0"/>
          <w:color w:val="auto"/>
          <w:kern w:val="2"/>
          <w:sz w:val="24"/>
          <w:szCs w:val="24"/>
          <w:highlight w:val="none"/>
          <w:lang w:val="en-US" w:eastAsia="zh-CN" w:bidi="ar-SA"/>
        </w:rPr>
        <w:t>磋商小组</w:t>
      </w:r>
    </w:p>
    <w:p w14:paraId="473A9FB2">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 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52DE5191">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.2 磋商小组成员有下列情形之一的，应当回避：</w:t>
      </w:r>
    </w:p>
    <w:p w14:paraId="314FDEBF">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（1）参加采购活动前3年内与</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存在劳动关系；</w:t>
      </w:r>
    </w:p>
    <w:p w14:paraId="132C8306">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（2）参加采购活动前3年内担任</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的董事、监事；</w:t>
      </w:r>
    </w:p>
    <w:p w14:paraId="50ECCF2E">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（3）参加采购活动前3年内是</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的控股股东或者实际控制人；</w:t>
      </w:r>
    </w:p>
    <w:p w14:paraId="2189E507">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（4）与</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的法定代表人或者负责人有夫妻、直系血亲、三代以内旁系血亲或者近姻亲关系；</w:t>
      </w:r>
    </w:p>
    <w:p w14:paraId="4A744A9E">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（5）与</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有其他可能影响采购活动公平、公正进行的关系。</w:t>
      </w:r>
    </w:p>
    <w:p w14:paraId="5DF4FBE0">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02" w:name="_Toc163492858"/>
      <w:bookmarkStart w:id="303" w:name="_Toc140132791"/>
      <w:r>
        <w:rPr>
          <w:rFonts w:hint="eastAsia" w:ascii="宋体" w:hAnsi="宋体" w:eastAsia="宋体" w:cs="宋体"/>
          <w:b/>
          <w:bCs/>
          <w:i w:val="0"/>
          <w:iCs w:val="0"/>
          <w:color w:val="auto"/>
          <w:kern w:val="2"/>
          <w:sz w:val="24"/>
          <w:szCs w:val="24"/>
          <w:highlight w:val="none"/>
          <w:lang w:val="en-US" w:eastAsia="zh-CN" w:bidi="ar-SA"/>
        </w:rPr>
        <w:t>29.</w:t>
      </w:r>
      <w:bookmarkEnd w:id="302"/>
      <w:bookmarkEnd w:id="303"/>
      <w:r>
        <w:rPr>
          <w:rFonts w:hint="eastAsia" w:ascii="宋体" w:hAnsi="宋体" w:eastAsia="宋体" w:cs="宋体"/>
          <w:b/>
          <w:bCs/>
          <w:i w:val="0"/>
          <w:iCs w:val="0"/>
          <w:color w:val="auto"/>
          <w:kern w:val="2"/>
          <w:sz w:val="24"/>
          <w:szCs w:val="24"/>
          <w:highlight w:val="none"/>
          <w:lang w:val="en-US" w:eastAsia="zh-CN" w:bidi="ar-SA"/>
        </w:rPr>
        <w:t>评审</w:t>
      </w:r>
    </w:p>
    <w:p w14:paraId="181B6186">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29</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1 </w:t>
      </w:r>
      <w:r>
        <w:rPr>
          <w:rFonts w:hint="eastAsia" w:ascii="宋体" w:hAnsi="宋体" w:eastAsia="宋体" w:cs="宋体"/>
          <w:i w:val="0"/>
          <w:iCs w:val="0"/>
          <w:color w:val="auto"/>
          <w:sz w:val="24"/>
          <w:szCs w:val="24"/>
          <w:highlight w:val="none"/>
        </w:rPr>
        <w:t>磋商小组按照“第</w:t>
      </w:r>
      <w:r>
        <w:rPr>
          <w:rFonts w:hint="eastAsia" w:ascii="宋体" w:hAnsi="宋体" w:eastAsia="宋体" w:cs="宋体"/>
          <w:i w:val="0"/>
          <w:iCs w:val="0"/>
          <w:color w:val="auto"/>
          <w:sz w:val="24"/>
          <w:szCs w:val="24"/>
          <w:highlight w:val="none"/>
          <w:lang w:val="en-US" w:eastAsia="zh-CN"/>
        </w:rPr>
        <w:t>四</w:t>
      </w:r>
      <w:r>
        <w:rPr>
          <w:rFonts w:hint="eastAsia" w:ascii="宋体" w:hAnsi="宋体" w:eastAsia="宋体" w:cs="宋体"/>
          <w:i w:val="0"/>
          <w:iCs w:val="0"/>
          <w:color w:val="auto"/>
          <w:sz w:val="24"/>
          <w:szCs w:val="24"/>
          <w:highlight w:val="none"/>
        </w:rPr>
        <w:t>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方法及标准”</w:t>
      </w:r>
      <w:r>
        <w:rPr>
          <w:rFonts w:hint="eastAsia" w:ascii="宋体" w:hAnsi="宋体" w:eastAsia="宋体" w:cs="宋体"/>
          <w:i w:val="0"/>
          <w:iCs w:val="0"/>
          <w:color w:val="auto"/>
          <w:sz w:val="24"/>
          <w:szCs w:val="24"/>
          <w:highlight w:val="none"/>
          <w:lang w:val="en-US" w:eastAsia="zh-CN"/>
        </w:rPr>
        <w:t>的</w:t>
      </w:r>
      <w:r>
        <w:rPr>
          <w:rFonts w:hint="eastAsia" w:ascii="宋体" w:hAnsi="宋体" w:eastAsia="宋体" w:cs="宋体"/>
          <w:i w:val="0"/>
          <w:iCs w:val="0"/>
          <w:color w:val="auto"/>
          <w:sz w:val="24"/>
          <w:szCs w:val="24"/>
          <w:highlight w:val="none"/>
        </w:rPr>
        <w:t>规定对</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文件进行评审。“第</w:t>
      </w:r>
      <w:r>
        <w:rPr>
          <w:rFonts w:hint="eastAsia" w:ascii="宋体" w:hAnsi="宋体" w:eastAsia="宋体" w:cs="宋体"/>
          <w:i w:val="0"/>
          <w:iCs w:val="0"/>
          <w:color w:val="auto"/>
          <w:sz w:val="24"/>
          <w:szCs w:val="24"/>
          <w:highlight w:val="none"/>
          <w:lang w:val="en-US" w:eastAsia="zh-CN"/>
        </w:rPr>
        <w:t>四</w:t>
      </w:r>
      <w:r>
        <w:rPr>
          <w:rFonts w:hint="eastAsia" w:ascii="宋体" w:hAnsi="宋体" w:eastAsia="宋体" w:cs="宋体"/>
          <w:i w:val="0"/>
          <w:iCs w:val="0"/>
          <w:color w:val="auto"/>
          <w:sz w:val="24"/>
          <w:szCs w:val="24"/>
          <w:highlight w:val="none"/>
        </w:rPr>
        <w:t>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方法及标准”没有规定的方法、评审因素和标准，不作为评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依据。</w:t>
      </w:r>
    </w:p>
    <w:p w14:paraId="3489F85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29</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2 </w:t>
      </w:r>
      <w:r>
        <w:rPr>
          <w:rFonts w:hint="eastAsia" w:ascii="宋体" w:hAnsi="宋体" w:eastAsia="宋体" w:cs="宋体"/>
          <w:i w:val="0"/>
          <w:iCs w:val="0"/>
          <w:color w:val="auto"/>
          <w:sz w:val="24"/>
          <w:szCs w:val="24"/>
          <w:highlight w:val="none"/>
        </w:rPr>
        <w:t>磋商小组按“</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须知前附表”规定的</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候选人数量在评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报告中向采购人推荐</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候选人。</w:t>
      </w:r>
    </w:p>
    <w:p w14:paraId="53B538FC">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29.3 开启之后，直到签订合同止，凡是属于审查、澄清、评价和比较磋商的有关资料以及确定成交意向等，均不得向供应商或者其他与评审无关的人员透露。</w:t>
      </w:r>
    </w:p>
    <w:p w14:paraId="519E4ABE">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29.4 在确定成交人之前，供应商试图在响应文件审查、澄清、比较和评审时对</w:t>
      </w:r>
      <w:r>
        <w:rPr>
          <w:rFonts w:hint="eastAsia" w:ascii="宋体" w:hAnsi="宋体" w:eastAsia="宋体" w:cs="宋体"/>
          <w:i w:val="0"/>
          <w:iCs w:val="0"/>
          <w:color w:val="auto"/>
          <w:sz w:val="24"/>
          <w:szCs w:val="24"/>
          <w:highlight w:val="none"/>
        </w:rPr>
        <w:t>磋商小组</w:t>
      </w:r>
      <w:r>
        <w:rPr>
          <w:rFonts w:hint="eastAsia" w:ascii="宋体" w:hAnsi="宋体" w:eastAsia="宋体" w:cs="宋体"/>
          <w:i w:val="0"/>
          <w:iCs w:val="0"/>
          <w:color w:val="auto"/>
          <w:sz w:val="24"/>
          <w:szCs w:val="24"/>
          <w:highlight w:val="none"/>
          <w:lang w:val="en-US" w:eastAsia="zh-CN"/>
        </w:rPr>
        <w:t>、采购人和采购代理机构施加任何影响都可能导致其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i w:val="0"/>
          <w:iCs w:val="0"/>
          <w:color w:val="auto"/>
          <w:sz w:val="24"/>
          <w:szCs w:val="24"/>
          <w:highlight w:val="none"/>
          <w:lang w:val="en-US" w:eastAsia="zh-CN"/>
        </w:rPr>
        <w:t>。</w:t>
      </w:r>
    </w:p>
    <w:p w14:paraId="25703026">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29.5 电子招投标的应急措施</w:t>
      </w:r>
    </w:p>
    <w:p w14:paraId="177E781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29.5.1电子开启、评审如出现下列原因，导致系统无法正常运行或无法正常评审时，应采取应急措施。</w:t>
      </w:r>
    </w:p>
    <w:p w14:paraId="59563197">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（1）系统服务器发生故障，无法访问或无法使用系统；</w:t>
      </w:r>
    </w:p>
    <w:p w14:paraId="61BF6C62">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（2）系统的软件或数据库出现错误，不能进行正常操作；</w:t>
      </w:r>
    </w:p>
    <w:p w14:paraId="77E72DD8">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（3）系统发现有安全漏洞，有潜在的泄密危险；</w:t>
      </w:r>
    </w:p>
    <w:p w14:paraId="5A584DDB">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（4）病毒发作或受到外来病毒的攻击；</w:t>
      </w:r>
    </w:p>
    <w:p w14:paraId="269D9B2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（5）出现其他不可抗拒的客观原因造成开评标系统无法正常使用。</w:t>
      </w:r>
    </w:p>
    <w:p w14:paraId="07F3C422">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出现上述情况时，应对未开启的暂停开启。已在系统内开启、评审的立即停止。采取应急措施时，必须对原有资料及信息作出妥善保密处理。</w:t>
      </w:r>
    </w:p>
    <w:p w14:paraId="16CB505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29.5.2因系统原因导致供应商均无法解密电子响应文件时，采购代理机构可在开启现场直接导入供应商在递交响应文件截止时间前递交的未加密的电子响应文件进行开启、评审。</w:t>
      </w:r>
    </w:p>
    <w:p w14:paraId="6FC75C94">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29.6 供应商瑕疵滞后发现的处理规则</w:t>
      </w:r>
    </w:p>
    <w:p w14:paraId="65721EB1">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29.6.1无论基于何种原因，各项本应作拒绝处理的情形即便未被及时发现而使该供应商进入初审、综合评审或其他后续程序，包括已经签订合同的情形，一旦供应商被拒绝或该供应商的此前评议结果被取消，其现有的位置将被其他供应商依序替代，相关的一切损失均由该供应商承担。</w:t>
      </w:r>
    </w:p>
    <w:p w14:paraId="06FAF6B4">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04" w:name="_Toc109900401"/>
      <w:bookmarkStart w:id="305" w:name="_Toc109897464"/>
      <w:bookmarkStart w:id="306" w:name="_Toc109899982"/>
      <w:bookmarkStart w:id="307" w:name="_Toc470172692"/>
      <w:bookmarkStart w:id="308" w:name="_Toc6316"/>
      <w:bookmarkStart w:id="309" w:name="_Toc46771670"/>
      <w:bookmarkStart w:id="310" w:name="_Toc163493616"/>
      <w:bookmarkStart w:id="311" w:name="_Toc109899563"/>
      <w:r>
        <w:rPr>
          <w:rFonts w:hint="eastAsia" w:ascii="宋体" w:hAnsi="宋体" w:eastAsia="宋体" w:cs="宋体"/>
          <w:b/>
          <w:bCs/>
          <w:i w:val="0"/>
          <w:iCs w:val="0"/>
          <w:color w:val="auto"/>
          <w:kern w:val="2"/>
          <w:sz w:val="24"/>
          <w:szCs w:val="24"/>
          <w:highlight w:val="none"/>
          <w:lang w:val="en-US" w:eastAsia="zh-CN" w:bidi="ar-SA"/>
        </w:rPr>
        <w:t>（八）成交</w:t>
      </w:r>
      <w:bookmarkEnd w:id="304"/>
      <w:bookmarkEnd w:id="305"/>
      <w:bookmarkEnd w:id="306"/>
      <w:bookmarkEnd w:id="307"/>
      <w:bookmarkEnd w:id="308"/>
      <w:bookmarkEnd w:id="309"/>
      <w:bookmarkEnd w:id="310"/>
      <w:bookmarkEnd w:id="311"/>
    </w:p>
    <w:p w14:paraId="62138C8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12" w:name="_Toc46771671"/>
      <w:bookmarkStart w:id="313" w:name="_Toc109899564"/>
      <w:bookmarkStart w:id="314" w:name="_Toc51674242"/>
      <w:bookmarkStart w:id="315" w:name="_Toc48688820"/>
      <w:bookmarkStart w:id="316" w:name="_Toc48846140"/>
      <w:bookmarkStart w:id="317" w:name="_Toc52960584"/>
      <w:bookmarkStart w:id="318" w:name="_Toc109897465"/>
      <w:bookmarkStart w:id="319" w:name="_Toc52962758"/>
      <w:bookmarkStart w:id="320" w:name="_Toc109900402"/>
      <w:bookmarkStart w:id="321" w:name="_Toc46772272"/>
      <w:bookmarkStart w:id="322" w:name="_Toc109899983"/>
      <w:bookmarkStart w:id="323" w:name="_Hlk143533953"/>
      <w:r>
        <w:rPr>
          <w:rFonts w:hint="eastAsia" w:ascii="宋体" w:hAnsi="宋体" w:eastAsia="宋体" w:cs="宋体"/>
          <w:b/>
          <w:bCs/>
          <w:i w:val="0"/>
          <w:iCs w:val="0"/>
          <w:color w:val="auto"/>
          <w:kern w:val="2"/>
          <w:sz w:val="24"/>
          <w:szCs w:val="24"/>
          <w:highlight w:val="none"/>
          <w:lang w:val="en-US" w:eastAsia="zh-CN" w:bidi="ar-SA"/>
        </w:rPr>
        <w:t>30.确定成交供应商</w:t>
      </w:r>
      <w:bookmarkEnd w:id="312"/>
      <w:bookmarkEnd w:id="313"/>
      <w:bookmarkEnd w:id="314"/>
      <w:bookmarkEnd w:id="315"/>
      <w:bookmarkEnd w:id="316"/>
      <w:bookmarkEnd w:id="317"/>
      <w:bookmarkEnd w:id="318"/>
      <w:bookmarkEnd w:id="319"/>
      <w:bookmarkEnd w:id="320"/>
      <w:bookmarkEnd w:id="321"/>
      <w:bookmarkEnd w:id="322"/>
    </w:p>
    <w:p w14:paraId="47B97776">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en-US" w:eastAsia="zh-CN"/>
        </w:rPr>
        <w:t>30</w:t>
      </w:r>
      <w:r>
        <w:rPr>
          <w:rFonts w:hint="eastAsia" w:ascii="宋体" w:hAnsi="宋体" w:eastAsia="宋体" w:cs="宋体"/>
          <w:i w:val="0"/>
          <w:iCs w:val="0"/>
          <w:snapToGrid w:val="0"/>
          <w:color w:val="auto"/>
          <w:sz w:val="24"/>
          <w:szCs w:val="24"/>
          <w:highlight w:val="none"/>
          <w:lang w:val="zh-CN"/>
        </w:rPr>
        <w:t>.1确定成交供应商详见”供应商须知前附表”。</w:t>
      </w:r>
    </w:p>
    <w:p w14:paraId="4B75E6C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31.成交结果公告</w:t>
      </w:r>
    </w:p>
    <w:p w14:paraId="1FB2A74D">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bidi="ar"/>
        </w:rPr>
      </w:pPr>
      <w:r>
        <w:rPr>
          <w:rFonts w:hint="eastAsia" w:ascii="宋体" w:hAnsi="宋体" w:eastAsia="宋体" w:cs="宋体"/>
          <w:i w:val="0"/>
          <w:iCs w:val="0"/>
          <w:snapToGrid w:val="0"/>
          <w:color w:val="auto"/>
          <w:sz w:val="24"/>
          <w:szCs w:val="24"/>
          <w:highlight w:val="none"/>
          <w:lang w:val="en-US" w:eastAsia="zh-CN"/>
        </w:rPr>
        <w:t>31</w:t>
      </w: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color w:val="auto"/>
          <w:sz w:val="24"/>
          <w:szCs w:val="24"/>
          <w:highlight w:val="none"/>
          <w:lang w:bidi="ar"/>
        </w:rPr>
        <w:t>采购人或者采购代理机构应当在成交供应商确定后2个工作日内，在省级以上财政部门指定的政府采购信息发布媒体上公告成交结果，磋商文件</w:t>
      </w:r>
      <w:r>
        <w:rPr>
          <w:rFonts w:hint="eastAsia" w:ascii="宋体" w:hAnsi="宋体" w:eastAsia="宋体" w:cs="宋体"/>
          <w:i w:val="0"/>
          <w:iCs w:val="0"/>
          <w:color w:val="auto"/>
          <w:sz w:val="24"/>
          <w:szCs w:val="24"/>
          <w:highlight w:val="none"/>
          <w:lang w:eastAsia="zh-CN" w:bidi="ar"/>
        </w:rPr>
        <w:t>、</w:t>
      </w:r>
      <w:r>
        <w:rPr>
          <w:rFonts w:hint="eastAsia" w:ascii="宋体" w:hAnsi="宋体" w:eastAsia="宋体" w:cs="宋体"/>
          <w:bCs/>
          <w:i w:val="0"/>
          <w:iCs w:val="0"/>
          <w:color w:val="auto"/>
          <w:sz w:val="24"/>
          <w:szCs w:val="24"/>
          <w:highlight w:val="none"/>
          <w:lang w:eastAsia="zh-CN"/>
        </w:rPr>
        <w:t>成交</w:t>
      </w:r>
      <w:r>
        <w:rPr>
          <w:rFonts w:hint="eastAsia" w:ascii="宋体" w:hAnsi="宋体" w:eastAsia="宋体" w:cs="宋体"/>
          <w:bCs/>
          <w:i w:val="0"/>
          <w:iCs w:val="0"/>
          <w:color w:val="auto"/>
          <w:sz w:val="24"/>
          <w:szCs w:val="24"/>
          <w:highlight w:val="none"/>
          <w:lang w:val="en-US" w:eastAsia="zh-CN"/>
        </w:rPr>
        <w:t>供应商的评审总得分</w:t>
      </w:r>
      <w:r>
        <w:rPr>
          <w:rFonts w:hint="eastAsia" w:ascii="宋体" w:hAnsi="宋体" w:eastAsia="宋体" w:cs="宋体"/>
          <w:i w:val="0"/>
          <w:iCs w:val="0"/>
          <w:color w:val="auto"/>
          <w:sz w:val="24"/>
          <w:szCs w:val="24"/>
          <w:highlight w:val="none"/>
          <w:lang w:bidi="ar"/>
        </w:rPr>
        <w:t>随成交结果同时公告。</w:t>
      </w:r>
    </w:p>
    <w:p w14:paraId="1CDF00BF">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bidi="ar"/>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1</w:t>
      </w:r>
      <w:r>
        <w:rPr>
          <w:rFonts w:hint="eastAsia" w:ascii="宋体" w:hAnsi="宋体" w:eastAsia="宋体" w:cs="宋体"/>
          <w:bCs/>
          <w:i w:val="0"/>
          <w:iCs w:val="0"/>
          <w:color w:val="auto"/>
          <w:sz w:val="24"/>
          <w:szCs w:val="24"/>
          <w:highlight w:val="none"/>
        </w:rPr>
        <w:t>.2</w:t>
      </w:r>
      <w:r>
        <w:rPr>
          <w:rFonts w:hint="eastAsia" w:ascii="宋体" w:hAnsi="宋体" w:eastAsia="宋体" w:cs="宋体"/>
          <w:bCs/>
          <w:i w:val="0"/>
          <w:iCs w:val="0"/>
          <w:color w:val="auto"/>
          <w:sz w:val="24"/>
          <w:szCs w:val="24"/>
          <w:highlight w:val="none"/>
          <w:lang w:eastAsia="zh-CN"/>
        </w:rPr>
        <w:t>成交</w:t>
      </w:r>
      <w:r>
        <w:rPr>
          <w:rFonts w:hint="eastAsia" w:ascii="宋体" w:hAnsi="宋体" w:eastAsia="宋体" w:cs="宋体"/>
          <w:bCs/>
          <w:i w:val="0"/>
          <w:iCs w:val="0"/>
          <w:color w:val="auto"/>
          <w:sz w:val="24"/>
          <w:szCs w:val="24"/>
          <w:highlight w:val="none"/>
          <w:lang w:val="en-US" w:eastAsia="zh-CN"/>
        </w:rPr>
        <w:t>人</w:t>
      </w:r>
      <w:r>
        <w:rPr>
          <w:rFonts w:hint="eastAsia" w:ascii="宋体" w:hAnsi="宋体" w:eastAsia="宋体" w:cs="宋体"/>
          <w:bCs/>
          <w:i w:val="0"/>
          <w:iCs w:val="0"/>
          <w:color w:val="auto"/>
          <w:sz w:val="24"/>
          <w:szCs w:val="24"/>
          <w:highlight w:val="none"/>
          <w:lang w:eastAsia="zh-CN"/>
        </w:rPr>
        <w:t>为中小企业</w:t>
      </w:r>
      <w:r>
        <w:rPr>
          <w:rFonts w:hint="eastAsia" w:ascii="宋体" w:hAnsi="宋体" w:eastAsia="宋体" w:cs="宋体"/>
          <w:bCs/>
          <w:i w:val="0"/>
          <w:iCs w:val="0"/>
          <w:color w:val="auto"/>
          <w:sz w:val="24"/>
          <w:szCs w:val="24"/>
          <w:highlight w:val="none"/>
          <w:lang w:val="en-US" w:eastAsia="zh-CN"/>
        </w:rPr>
        <w:t>享受中小企业扶持政策的</w:t>
      </w:r>
      <w:r>
        <w:rPr>
          <w:rFonts w:hint="eastAsia" w:ascii="宋体" w:hAnsi="宋体" w:eastAsia="宋体" w:cs="宋体"/>
          <w:bCs/>
          <w:i w:val="0"/>
          <w:iCs w:val="0"/>
          <w:color w:val="auto"/>
          <w:sz w:val="24"/>
          <w:szCs w:val="24"/>
          <w:highlight w:val="none"/>
          <w:lang w:eastAsia="zh-CN"/>
        </w:rPr>
        <w:t>，其“中小企业声明函”随成交结果同时公告。成交</w:t>
      </w:r>
      <w:r>
        <w:rPr>
          <w:rFonts w:hint="eastAsia" w:ascii="宋体" w:hAnsi="宋体" w:eastAsia="宋体" w:cs="宋体"/>
          <w:bCs/>
          <w:i w:val="0"/>
          <w:iCs w:val="0"/>
          <w:color w:val="auto"/>
          <w:sz w:val="24"/>
          <w:szCs w:val="24"/>
          <w:highlight w:val="none"/>
          <w:lang w:val="en-US" w:eastAsia="zh-CN"/>
        </w:rPr>
        <w:t>人</w:t>
      </w:r>
      <w:r>
        <w:rPr>
          <w:rFonts w:hint="eastAsia" w:ascii="宋体" w:hAnsi="宋体" w:eastAsia="宋体" w:cs="宋体"/>
          <w:bCs/>
          <w:i w:val="0"/>
          <w:iCs w:val="0"/>
          <w:color w:val="auto"/>
          <w:sz w:val="24"/>
          <w:szCs w:val="24"/>
          <w:highlight w:val="none"/>
          <w:lang w:eastAsia="zh-CN"/>
        </w:rPr>
        <w:t>为残疾人福利性单位的，其“残疾人福利性单位声明函”随成交结果同时公告。</w:t>
      </w:r>
    </w:p>
    <w:p w14:paraId="5754E4A0">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32.成交通知书</w:t>
      </w:r>
    </w:p>
    <w:p w14:paraId="6E1BB993">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en-US" w:eastAsia="zh-CN"/>
        </w:rPr>
        <w:t>32</w:t>
      </w:r>
      <w:r>
        <w:rPr>
          <w:rFonts w:hint="eastAsia" w:ascii="宋体" w:hAnsi="宋体" w:eastAsia="宋体" w:cs="宋体"/>
          <w:i w:val="0"/>
          <w:iCs w:val="0"/>
          <w:snapToGrid w:val="0"/>
          <w:color w:val="auto"/>
          <w:sz w:val="24"/>
          <w:szCs w:val="24"/>
          <w:highlight w:val="none"/>
          <w:lang w:val="zh-CN"/>
        </w:rPr>
        <w:t>.1发布成交结果公告同时向成交供应商发出成交通知书。成交通知书是合同的组成部分,对成交供应商和采购人具有同等法律效力。</w:t>
      </w:r>
    </w:p>
    <w:p w14:paraId="5ABD7558">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24" w:name="_Toc163493617"/>
      <w:bookmarkStart w:id="325" w:name="_Toc2979"/>
      <w:r>
        <w:rPr>
          <w:rFonts w:hint="eastAsia" w:ascii="宋体" w:hAnsi="宋体" w:eastAsia="宋体" w:cs="宋体"/>
          <w:b/>
          <w:bCs/>
          <w:i w:val="0"/>
          <w:iCs w:val="0"/>
          <w:color w:val="auto"/>
          <w:kern w:val="2"/>
          <w:sz w:val="24"/>
          <w:szCs w:val="24"/>
          <w:highlight w:val="none"/>
          <w:lang w:val="en-US" w:eastAsia="zh-CN" w:bidi="ar-SA"/>
        </w:rPr>
        <w:t>（九）签订合同</w:t>
      </w:r>
      <w:bookmarkEnd w:id="324"/>
      <w:bookmarkEnd w:id="325"/>
    </w:p>
    <w:p w14:paraId="7591255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26" w:name="_Toc48846141"/>
      <w:bookmarkStart w:id="327" w:name="_Toc46772273"/>
      <w:bookmarkStart w:id="328" w:name="_Toc48688821"/>
      <w:bookmarkStart w:id="329" w:name="_Toc109900403"/>
      <w:bookmarkStart w:id="330" w:name="_Toc52960585"/>
      <w:bookmarkStart w:id="331" w:name="_Toc109899984"/>
      <w:bookmarkStart w:id="332" w:name="_Toc46771672"/>
      <w:bookmarkStart w:id="333" w:name="_Toc109899565"/>
      <w:bookmarkStart w:id="334" w:name="_Toc52962759"/>
      <w:bookmarkStart w:id="335" w:name="_Toc51674243"/>
      <w:bookmarkStart w:id="336" w:name="_Toc109897466"/>
      <w:r>
        <w:rPr>
          <w:rFonts w:hint="eastAsia" w:ascii="宋体" w:hAnsi="宋体" w:eastAsia="宋体" w:cs="宋体"/>
          <w:b/>
          <w:bCs/>
          <w:i w:val="0"/>
          <w:iCs w:val="0"/>
          <w:color w:val="auto"/>
          <w:kern w:val="2"/>
          <w:sz w:val="24"/>
          <w:szCs w:val="24"/>
          <w:highlight w:val="none"/>
          <w:lang w:val="en-US" w:eastAsia="zh-CN" w:bidi="ar-SA"/>
        </w:rPr>
        <w:t>33.履约保证金</w:t>
      </w:r>
    </w:p>
    <w:p w14:paraId="06CC9D01">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.1在签订合同前，成交供应商应按“供应商须知前附表”规定的金额、担保形式和采购人认可的履约担保格式向采购人提交履约保证金。</w:t>
      </w:r>
    </w:p>
    <w:p w14:paraId="164CA329">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.2成交供应商不能按本章第3</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.1项要求提交履约担保的，视为放弃成交，给采购人造成损失的，成交供应商还应当承担民事责任。</w:t>
      </w:r>
    </w:p>
    <w:p w14:paraId="4B224ECE">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34.签订合同</w:t>
      </w:r>
      <w:bookmarkEnd w:id="326"/>
      <w:bookmarkEnd w:id="327"/>
      <w:bookmarkEnd w:id="328"/>
      <w:bookmarkEnd w:id="329"/>
      <w:bookmarkEnd w:id="330"/>
      <w:bookmarkEnd w:id="331"/>
      <w:bookmarkEnd w:id="332"/>
      <w:bookmarkEnd w:id="333"/>
      <w:bookmarkEnd w:id="334"/>
      <w:bookmarkEnd w:id="335"/>
      <w:bookmarkEnd w:id="336"/>
    </w:p>
    <w:p w14:paraId="5058C0C6">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snapToGrid w:val="0"/>
          <w:color w:val="auto"/>
          <w:sz w:val="24"/>
          <w:szCs w:val="24"/>
          <w:highlight w:val="none"/>
          <w:lang w:val="zh-CN"/>
        </w:rPr>
        <w:t>3</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.1采购人与成交供应商应当在成交通知书发出之日起</w:t>
      </w:r>
      <w:r>
        <w:rPr>
          <w:rFonts w:hint="eastAsia" w:cs="宋体"/>
          <w:i w:val="0"/>
          <w:iCs w:val="0"/>
          <w:snapToGrid w:val="0"/>
          <w:color w:val="auto"/>
          <w:sz w:val="24"/>
          <w:szCs w:val="24"/>
          <w:highlight w:val="none"/>
          <w:lang w:val="en-US" w:eastAsia="zh-CN"/>
        </w:rPr>
        <w:t>30</w:t>
      </w:r>
      <w:r>
        <w:rPr>
          <w:rFonts w:hint="eastAsia" w:ascii="宋体" w:hAnsi="宋体" w:eastAsia="宋体" w:cs="宋体"/>
          <w:i w:val="0"/>
          <w:iCs w:val="0"/>
          <w:snapToGrid w:val="0"/>
          <w:color w:val="auto"/>
          <w:sz w:val="24"/>
          <w:szCs w:val="24"/>
          <w:highlight w:val="none"/>
          <w:lang w:val="zh-CN"/>
        </w:rPr>
        <w:t>日内，按照磋商文件确定的合同文本以及采购标的、规格型号、采购金额、采购数量、技术和服务要求等事项签订政府采购合同。</w:t>
      </w:r>
      <w:r>
        <w:rPr>
          <w:rFonts w:hint="eastAsia" w:ascii="宋体" w:hAnsi="宋体" w:eastAsia="宋体" w:cs="宋体"/>
          <w:i w:val="0"/>
          <w:iCs w:val="0"/>
          <w:color w:val="auto"/>
          <w:sz w:val="24"/>
          <w:szCs w:val="24"/>
          <w:highlight w:val="none"/>
        </w:rPr>
        <w:t>采购人因不可抗力原因迟延签订合同的，应当自不可抗力事由消除之日起7日内完成合同签订事宜。所签订的合同不得对</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文件和</w:t>
      </w:r>
      <w:r>
        <w:rPr>
          <w:rFonts w:hint="eastAsia" w:ascii="宋体" w:hAnsi="宋体" w:eastAsia="宋体" w:cs="宋体"/>
          <w:i w:val="0"/>
          <w:iCs w:val="0"/>
          <w:color w:val="auto"/>
          <w:sz w:val="24"/>
          <w:szCs w:val="24"/>
          <w:highlight w:val="none"/>
          <w:lang w:val="en-US" w:eastAsia="zh-CN"/>
        </w:rPr>
        <w:t>成交供应商响应</w:t>
      </w:r>
      <w:r>
        <w:rPr>
          <w:rFonts w:hint="eastAsia" w:ascii="宋体" w:hAnsi="宋体" w:eastAsia="宋体" w:cs="宋体"/>
          <w:i w:val="0"/>
          <w:iCs w:val="0"/>
          <w:color w:val="auto"/>
          <w:sz w:val="24"/>
          <w:szCs w:val="24"/>
          <w:highlight w:val="none"/>
        </w:rPr>
        <w:t>文件作实质性修改。</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人无正当理由拒签合同，给采购人造成损失的，</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人还应当承担民事责任。</w:t>
      </w:r>
    </w:p>
    <w:p w14:paraId="3EAF3456">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zh-CN"/>
        </w:rPr>
        <w:t>成交供应商拒绝签订政府采购合同的，采购人可以</w:t>
      </w:r>
      <w:r>
        <w:rPr>
          <w:rFonts w:hint="eastAsia" w:ascii="宋体" w:hAnsi="宋体" w:eastAsia="宋体" w:cs="宋体"/>
          <w:i w:val="0"/>
          <w:iCs w:val="0"/>
          <w:color w:val="auto"/>
          <w:sz w:val="24"/>
          <w:szCs w:val="24"/>
          <w:highlight w:val="none"/>
          <w:lang w:val="en-US" w:eastAsia="zh-CN"/>
        </w:rPr>
        <w:t>按照</w:t>
      </w:r>
      <w:r>
        <w:rPr>
          <w:rFonts w:hint="eastAsia" w:ascii="宋体" w:hAnsi="宋体" w:eastAsia="宋体" w:cs="宋体"/>
          <w:i w:val="0"/>
          <w:iCs w:val="0"/>
          <w:color w:val="auto"/>
          <w:sz w:val="24"/>
          <w:szCs w:val="24"/>
          <w:highlight w:val="none"/>
          <w:lang w:val="zh-CN"/>
        </w:rPr>
        <w:t>《政府采购竞争性磋商采购方式管理暂行办法》（财库〔2014〕214号）第二十八条第二款的规定确定其他供应商作为成交供应商并签订政府采购合同，也可以重新开展采购活动。拒绝签订政府采购合同的成交供应商不得参加对该项目重新开展的采购活动。</w:t>
      </w:r>
    </w:p>
    <w:p w14:paraId="75E2BDEC">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4</w:t>
      </w:r>
      <w:r>
        <w:rPr>
          <w:rFonts w:hint="eastAsia" w:ascii="宋体" w:hAnsi="宋体" w:eastAsia="宋体" w:cs="宋体"/>
          <w:bCs/>
          <w:i w:val="0"/>
          <w:iCs w:val="0"/>
          <w:color w:val="auto"/>
          <w:sz w:val="24"/>
          <w:szCs w:val="24"/>
          <w:highlight w:val="none"/>
        </w:rPr>
        <w:t>.3</w:t>
      </w:r>
      <w:r>
        <w:rPr>
          <w:rFonts w:hint="eastAsia" w:ascii="宋体" w:hAnsi="宋体" w:eastAsia="宋体" w:cs="宋体"/>
          <w:i w:val="0"/>
          <w:iCs w:val="0"/>
          <w:color w:val="auto"/>
          <w:sz w:val="24"/>
          <w:szCs w:val="24"/>
          <w:highlight w:val="none"/>
        </w:rPr>
        <w:t>采购人和</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供应商不得向对方提出任何不合理的要求，作为签订合同的条件，双方不得私下订立背离合同实质性内容的协议。</w:t>
      </w:r>
    </w:p>
    <w:p w14:paraId="5359F461">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34.4联合体成交的，联合体各方应当共同与采购人签订合同，就采购合同约定的事项向采购人承担连带责任。</w:t>
      </w:r>
    </w:p>
    <w:p w14:paraId="53534F51">
      <w:pPr>
        <w:pStyle w:val="40"/>
        <w:keepNext w:val="0"/>
        <w:keepLines w:val="0"/>
        <w:pageBreakBefore w:val="0"/>
        <w:widowControl w:val="0"/>
        <w:kinsoku/>
        <w:overflowPunct/>
        <w:topLinePunct w:val="0"/>
        <w:bidi w:val="0"/>
        <w:ind w:firstLine="480"/>
        <w:textAlignment w:val="auto"/>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34.5本项目的非主体、非关键性工作是否允许分包，见“供应商须知前附表”。</w:t>
      </w:r>
      <w:r>
        <w:rPr>
          <w:rFonts w:hint="eastAsia" w:ascii="宋体" w:hAnsi="宋体" w:eastAsia="宋体" w:cs="宋体"/>
          <w:i w:val="0"/>
          <w:iCs w:val="0"/>
          <w:color w:val="auto"/>
          <w:sz w:val="24"/>
          <w:szCs w:val="24"/>
          <w:highlight w:val="none"/>
        </w:rPr>
        <w:t>供应商未遵守竞争性磋商文件分包规定的，其</w:t>
      </w:r>
      <w:r>
        <w:rPr>
          <w:rFonts w:hint="eastAsia" w:ascii="宋体" w:hAnsi="宋体" w:eastAsia="宋体" w:cs="宋体"/>
          <w:b/>
          <w:bCs/>
          <w:i w:val="0"/>
          <w:iCs w:val="0"/>
          <w:color w:val="auto"/>
          <w:sz w:val="24"/>
          <w:szCs w:val="24"/>
          <w:highlight w:val="none"/>
        </w:rPr>
        <w:t>响应无效</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采购人允许采用分包方式履行合同的，成交供应商可以依法在成交后将成交项目的非主体、非关键性工作采取分包方式履行合同。政府采购合同分包履行的，应当在响应文件中载明分包承担主体，分包承担主体应当具备相应资质条件且不得再次分包，否则</w:t>
      </w:r>
      <w:r>
        <w:rPr>
          <w:rFonts w:hint="eastAsia" w:ascii="宋体" w:hAnsi="宋体" w:eastAsia="宋体" w:cs="宋体"/>
          <w:b/>
          <w:bCs/>
          <w:i w:val="0"/>
          <w:iCs w:val="0"/>
          <w:color w:val="auto"/>
          <w:sz w:val="24"/>
          <w:szCs w:val="24"/>
          <w:highlight w:val="none"/>
          <w:lang w:val="en-US" w:eastAsia="zh-CN"/>
        </w:rPr>
        <w:t>成交无效</w:t>
      </w:r>
      <w:r>
        <w:rPr>
          <w:rFonts w:hint="eastAsia" w:ascii="宋体" w:hAnsi="宋体" w:eastAsia="宋体" w:cs="宋体"/>
          <w:i w:val="0"/>
          <w:iCs w:val="0"/>
          <w:color w:val="auto"/>
          <w:sz w:val="24"/>
          <w:szCs w:val="24"/>
          <w:highlight w:val="none"/>
          <w:lang w:val="en-US" w:eastAsia="zh-CN"/>
        </w:rPr>
        <w:t>。成交供应商就采购项目和分包项目向采购人负责，分包供应商就分包项目承担责任。</w:t>
      </w:r>
      <w:r>
        <w:rPr>
          <w:rFonts w:hint="eastAsia" w:ascii="宋体" w:hAnsi="宋体" w:eastAsia="宋体" w:cs="宋体"/>
          <w:b/>
          <w:bCs/>
          <w:i w:val="0"/>
          <w:iCs w:val="0"/>
          <w:color w:val="auto"/>
          <w:sz w:val="24"/>
          <w:szCs w:val="24"/>
          <w:highlight w:val="none"/>
          <w:lang w:val="en-US" w:eastAsia="zh-CN"/>
        </w:rPr>
        <w:t>政府采购合同不能转包。</w:t>
      </w:r>
    </w:p>
    <w:p w14:paraId="3FFAB156">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采购合同履行中，采购人需追加与合同标的相同的</w:t>
      </w:r>
      <w:r>
        <w:rPr>
          <w:rFonts w:hint="eastAsia" w:ascii="宋体" w:hAnsi="宋体" w:eastAsia="宋体" w:cs="宋体"/>
          <w:i w:val="0"/>
          <w:iCs w:val="0"/>
          <w:color w:val="auto"/>
          <w:sz w:val="24"/>
          <w:szCs w:val="24"/>
          <w:highlight w:val="none"/>
          <w:lang w:val="en-US" w:eastAsia="zh-CN"/>
        </w:rPr>
        <w:t>货物、工程或者服务</w:t>
      </w:r>
      <w:r>
        <w:rPr>
          <w:rFonts w:hint="eastAsia" w:ascii="宋体" w:hAnsi="宋体" w:eastAsia="宋体" w:cs="宋体"/>
          <w:i w:val="0"/>
          <w:iCs w:val="0"/>
          <w:color w:val="auto"/>
          <w:sz w:val="24"/>
          <w:szCs w:val="24"/>
          <w:highlight w:val="none"/>
        </w:rPr>
        <w:t>的，在不改变合同其他条款的前提下，可以与成交供应商协商签订补充合同，但所有补充合同的采购金额不得超过原合同采购金额的百分之十。</w:t>
      </w:r>
    </w:p>
    <w:p w14:paraId="49F4F39A">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34.7采购人应于签订合同之日起2个工作日内在政采云平台备案公示。</w:t>
      </w:r>
    </w:p>
    <w:bookmarkEnd w:id="323"/>
    <w:p w14:paraId="09BDEAA0">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37" w:name="_Toc109900404"/>
      <w:bookmarkStart w:id="338" w:name="_Toc109899985"/>
      <w:bookmarkStart w:id="339" w:name="_Toc163493618"/>
      <w:bookmarkStart w:id="340" w:name="_Toc109897467"/>
      <w:bookmarkStart w:id="341" w:name="_Toc46771673"/>
      <w:bookmarkStart w:id="342" w:name="_Toc10843"/>
      <w:bookmarkStart w:id="343" w:name="_Toc109899566"/>
      <w:bookmarkStart w:id="344" w:name="_Toc470172693"/>
      <w:r>
        <w:rPr>
          <w:rFonts w:hint="eastAsia" w:ascii="宋体" w:hAnsi="宋体" w:eastAsia="宋体" w:cs="宋体"/>
          <w:b/>
          <w:bCs/>
          <w:i w:val="0"/>
          <w:iCs w:val="0"/>
          <w:color w:val="auto"/>
          <w:kern w:val="2"/>
          <w:sz w:val="24"/>
          <w:szCs w:val="24"/>
          <w:highlight w:val="none"/>
          <w:lang w:val="en-US" w:eastAsia="zh-CN" w:bidi="ar-SA"/>
        </w:rPr>
        <w:t>（十）质疑和投诉</w:t>
      </w:r>
      <w:bookmarkEnd w:id="337"/>
      <w:bookmarkEnd w:id="338"/>
      <w:bookmarkEnd w:id="339"/>
      <w:bookmarkEnd w:id="340"/>
      <w:bookmarkEnd w:id="341"/>
      <w:bookmarkEnd w:id="342"/>
      <w:bookmarkEnd w:id="343"/>
    </w:p>
    <w:p w14:paraId="537D2B2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45" w:name="_Toc109897468"/>
      <w:bookmarkStart w:id="346" w:name="_Toc48688823"/>
      <w:bookmarkStart w:id="347" w:name="_Toc109899986"/>
      <w:bookmarkStart w:id="348" w:name="_Toc51674245"/>
      <w:bookmarkStart w:id="349" w:name="_Toc46771674"/>
      <w:bookmarkStart w:id="350" w:name="_Toc46772275"/>
      <w:bookmarkStart w:id="351" w:name="_Toc109900405"/>
      <w:bookmarkStart w:id="352" w:name="_Toc52962761"/>
      <w:bookmarkStart w:id="353" w:name="_Toc109899567"/>
      <w:bookmarkStart w:id="354" w:name="_Toc52960587"/>
      <w:bookmarkStart w:id="355" w:name="_Toc48846143"/>
      <w:r>
        <w:rPr>
          <w:rFonts w:hint="eastAsia" w:ascii="宋体" w:hAnsi="宋体" w:eastAsia="宋体" w:cs="宋体"/>
          <w:b/>
          <w:bCs/>
          <w:i w:val="0"/>
          <w:iCs w:val="0"/>
          <w:color w:val="auto"/>
          <w:kern w:val="2"/>
          <w:sz w:val="24"/>
          <w:szCs w:val="24"/>
          <w:highlight w:val="none"/>
          <w:lang w:val="en-US" w:eastAsia="zh-CN" w:bidi="ar-SA"/>
        </w:rPr>
        <w:t>35.质疑</w:t>
      </w:r>
      <w:bookmarkEnd w:id="345"/>
      <w:bookmarkEnd w:id="346"/>
      <w:bookmarkEnd w:id="347"/>
      <w:bookmarkEnd w:id="348"/>
      <w:bookmarkEnd w:id="349"/>
      <w:bookmarkEnd w:id="350"/>
      <w:bookmarkEnd w:id="351"/>
      <w:bookmarkEnd w:id="352"/>
      <w:bookmarkEnd w:id="353"/>
      <w:bookmarkEnd w:id="354"/>
      <w:bookmarkEnd w:id="355"/>
    </w:p>
    <w:bookmarkEnd w:id="94"/>
    <w:bookmarkEnd w:id="344"/>
    <w:p w14:paraId="07AA3BA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bookmarkStart w:id="356" w:name="_Toc46772276"/>
      <w:bookmarkStart w:id="357" w:name="_Toc51674246"/>
      <w:bookmarkStart w:id="358" w:name="_Toc109897469"/>
      <w:bookmarkStart w:id="359" w:name="_Toc48846144"/>
      <w:bookmarkStart w:id="360" w:name="_Toc52960588"/>
      <w:bookmarkStart w:id="361" w:name="_Toc109899568"/>
      <w:bookmarkStart w:id="362" w:name="_Toc109899987"/>
      <w:bookmarkStart w:id="363" w:name="_Toc52962762"/>
      <w:bookmarkStart w:id="364" w:name="_Toc109900406"/>
      <w:bookmarkStart w:id="365" w:name="_Toc46771675"/>
      <w:bookmarkStart w:id="366" w:name="_Toc48688824"/>
      <w:bookmarkStart w:id="367" w:name="_Toc163493619"/>
      <w:bookmarkStart w:id="368" w:name="_Toc109900408"/>
      <w:bookmarkStart w:id="369" w:name="_Hlk60570485"/>
      <w:bookmarkStart w:id="370" w:name="_Toc109897471"/>
      <w:bookmarkStart w:id="371" w:name="_Toc109899570"/>
      <w:bookmarkStart w:id="372" w:name="_Toc109899989"/>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.1供应商认为</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w:t>
      </w:r>
      <w:r>
        <w:rPr>
          <w:rFonts w:hint="eastAsia" w:ascii="宋体" w:hAnsi="宋体" w:eastAsia="宋体" w:cs="宋体"/>
          <w:i w:val="0"/>
          <w:iCs w:val="0"/>
          <w:color w:val="auto"/>
          <w:sz w:val="24"/>
          <w:szCs w:val="24"/>
          <w:highlight w:val="none"/>
          <w:lang w:eastAsia="zh-CN"/>
        </w:rPr>
        <w:t>评审</w:t>
      </w:r>
      <w:r>
        <w:rPr>
          <w:rFonts w:hint="eastAsia" w:ascii="宋体" w:hAnsi="宋体" w:eastAsia="宋体" w:cs="宋体"/>
          <w:i w:val="0"/>
          <w:iCs w:val="0"/>
          <w:color w:val="auto"/>
          <w:sz w:val="24"/>
          <w:szCs w:val="24"/>
          <w:highlight w:val="none"/>
        </w:rPr>
        <w:t>过程、成交结果使自己的权益受到损害的，可以在知道或者应知其权益受到损害之日起7个工作日内，以书面形式向采购人、采购代理机构提出质疑</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详见“供应商须知前附表”</w:t>
      </w:r>
      <w:r>
        <w:rPr>
          <w:rFonts w:hint="eastAsia" w:ascii="宋体" w:hAnsi="宋体" w:eastAsia="宋体" w:cs="宋体"/>
          <w:i w:val="0"/>
          <w:iCs w:val="0"/>
          <w:color w:val="auto"/>
          <w:sz w:val="24"/>
          <w:szCs w:val="24"/>
          <w:highlight w:val="none"/>
        </w:rPr>
        <w:t>。供应商在法定质疑期内一次性提出针对同一采购程序环节的质疑。</w:t>
      </w:r>
    </w:p>
    <w:p w14:paraId="5E161E37">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.2提出质疑的供应商（以下简称质疑供应商）应当是参与所质疑项目采购活动的供应商。</w:t>
      </w:r>
    </w:p>
    <w:p w14:paraId="4B26E251">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35.3</w:t>
      </w:r>
      <w:r>
        <w:rPr>
          <w:rFonts w:hint="eastAsia" w:ascii="宋体" w:hAnsi="宋体" w:eastAsia="宋体" w:cs="宋体"/>
          <w:i w:val="0"/>
          <w:iCs w:val="0"/>
          <w:color w:val="auto"/>
          <w:sz w:val="24"/>
          <w:szCs w:val="24"/>
          <w:highlight w:val="none"/>
        </w:rPr>
        <w:t>潜在供应商已依法获取其可质疑的</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文件的，可以对该文件提出质疑。对</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文件提出质疑的，应当在获取</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文件或者</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文件公告期限届满之日起7个工作日内提出。</w:t>
      </w:r>
    </w:p>
    <w:p w14:paraId="75848CE8">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35.4</w:t>
      </w:r>
      <w:r>
        <w:rPr>
          <w:rFonts w:hint="eastAsia" w:ascii="宋体" w:hAnsi="宋体" w:eastAsia="宋体" w:cs="宋体"/>
          <w:i w:val="0"/>
          <w:iCs w:val="0"/>
          <w:color w:val="auto"/>
          <w:sz w:val="24"/>
          <w:szCs w:val="24"/>
          <w:highlight w:val="none"/>
        </w:rPr>
        <w:t>供应商提出质疑应当提交质疑函和必要的证明材料。质疑函应当包括下列内容：</w:t>
      </w:r>
    </w:p>
    <w:p w14:paraId="45B8F417">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）供应商的姓名或者名称、地址、邮编、联系人及联系电话；</w:t>
      </w:r>
    </w:p>
    <w:p w14:paraId="13C59923">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）质疑项目的名称、</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编号</w:t>
      </w:r>
      <w:r>
        <w:rPr>
          <w:rFonts w:hint="eastAsia" w:ascii="宋体" w:hAnsi="宋体" w:eastAsia="宋体" w:cs="宋体"/>
          <w:i w:val="0"/>
          <w:iCs w:val="0"/>
          <w:color w:val="auto"/>
          <w:sz w:val="24"/>
          <w:szCs w:val="24"/>
          <w:highlight w:val="none"/>
          <w:lang w:val="en-US" w:eastAsia="zh-CN"/>
        </w:rPr>
        <w:t>/包号</w:t>
      </w:r>
      <w:r>
        <w:rPr>
          <w:rFonts w:hint="eastAsia" w:ascii="宋体" w:hAnsi="宋体" w:eastAsia="宋体" w:cs="宋体"/>
          <w:i w:val="0"/>
          <w:iCs w:val="0"/>
          <w:color w:val="auto"/>
          <w:sz w:val="24"/>
          <w:szCs w:val="24"/>
          <w:highlight w:val="none"/>
        </w:rPr>
        <w:t>；</w:t>
      </w:r>
    </w:p>
    <w:p w14:paraId="39F57BDB">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）具体、明确的质疑事项和与质疑事项相关的请求；</w:t>
      </w:r>
    </w:p>
    <w:p w14:paraId="4DBFE033">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）事实依据；</w:t>
      </w:r>
    </w:p>
    <w:p w14:paraId="0202C93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）必要的法律依据；</w:t>
      </w:r>
    </w:p>
    <w:p w14:paraId="2CC057DD">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）提出质疑的日期。</w:t>
      </w:r>
    </w:p>
    <w:p w14:paraId="3F51C6E8">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供应商为自然人的，应当由本人签字；供应商为法人或者其他组织的，应当由法定代表人、主要负责人，或者其授权代表签字或者盖章，并加盖公章。</w:t>
      </w:r>
    </w:p>
    <w:p w14:paraId="249156E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.5质疑函不符合上述要求的，采购人或代理机构应书面告知具体事项，质疑人应当按要求进行修改或补充，并在质疑有效期限内提交。</w:t>
      </w:r>
    </w:p>
    <w:p w14:paraId="36DB2C8E">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rPr>
        <w:t>3</w:t>
      </w:r>
      <w:r>
        <w:rPr>
          <w:rFonts w:hint="eastAsia" w:ascii="宋体" w:hAnsi="宋体" w:eastAsia="宋体" w:cs="宋体"/>
          <w:i w:val="0"/>
          <w:iCs w:val="0"/>
          <w:snapToGrid w:val="0"/>
          <w:color w:val="auto"/>
          <w:sz w:val="24"/>
          <w:szCs w:val="24"/>
          <w:highlight w:val="none"/>
          <w:lang w:val="en-US" w:eastAsia="zh-CN"/>
        </w:rPr>
        <w:t>5</w:t>
      </w:r>
      <w:r>
        <w:rPr>
          <w:rFonts w:hint="eastAsia" w:ascii="宋体" w:hAnsi="宋体" w:eastAsia="宋体" w:cs="宋体"/>
          <w:i w:val="0"/>
          <w:iCs w:val="0"/>
          <w:snapToGrid w:val="0"/>
          <w:color w:val="auto"/>
          <w:sz w:val="24"/>
          <w:szCs w:val="24"/>
          <w:highlight w:val="none"/>
        </w:rPr>
        <w:t>.</w:t>
      </w:r>
      <w:r>
        <w:rPr>
          <w:rFonts w:hint="eastAsia" w:ascii="宋体" w:hAnsi="宋体" w:eastAsia="宋体" w:cs="宋体"/>
          <w:i w:val="0"/>
          <w:iCs w:val="0"/>
          <w:snapToGrid w:val="0"/>
          <w:color w:val="auto"/>
          <w:sz w:val="24"/>
          <w:szCs w:val="24"/>
          <w:highlight w:val="none"/>
          <w:lang w:val="en-US" w:eastAsia="zh-CN"/>
        </w:rPr>
        <w:t>6供应商</w:t>
      </w:r>
      <w:r>
        <w:rPr>
          <w:rFonts w:hint="eastAsia" w:ascii="宋体" w:hAnsi="宋体" w:eastAsia="宋体" w:cs="宋体"/>
          <w:i w:val="0"/>
          <w:iCs w:val="0"/>
          <w:snapToGrid w:val="0"/>
          <w:color w:val="auto"/>
          <w:sz w:val="24"/>
          <w:szCs w:val="24"/>
          <w:highlight w:val="none"/>
        </w:rPr>
        <w:t>进行虚假和恶意</w:t>
      </w:r>
      <w:r>
        <w:rPr>
          <w:rFonts w:hint="eastAsia" w:ascii="宋体" w:hAnsi="宋体" w:eastAsia="宋体" w:cs="宋体"/>
          <w:i w:val="0"/>
          <w:iCs w:val="0"/>
          <w:snapToGrid w:val="0"/>
          <w:color w:val="auto"/>
          <w:sz w:val="24"/>
          <w:szCs w:val="24"/>
          <w:highlight w:val="none"/>
          <w:lang w:val="en-US" w:eastAsia="zh-CN"/>
        </w:rPr>
        <w:t>质疑投诉</w:t>
      </w:r>
      <w:r>
        <w:rPr>
          <w:rFonts w:hint="eastAsia" w:ascii="宋体" w:hAnsi="宋体" w:eastAsia="宋体" w:cs="宋体"/>
          <w:i w:val="0"/>
          <w:iCs w:val="0"/>
          <w:snapToGrid w:val="0"/>
          <w:color w:val="auto"/>
          <w:sz w:val="24"/>
          <w:szCs w:val="24"/>
          <w:highlight w:val="none"/>
        </w:rPr>
        <w:t>的，采购代理机构将提请有关部门将其列入不良记录名单，在一至三年内禁止参加政府采购活动，并将处理决定在相关政府采购媒体上公布。</w:t>
      </w:r>
    </w:p>
    <w:p w14:paraId="1C88FA18">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35.7</w:t>
      </w:r>
      <w:r>
        <w:rPr>
          <w:rFonts w:hint="eastAsia" w:ascii="宋体" w:hAnsi="宋体" w:eastAsia="宋体" w:cs="宋体"/>
          <w:i w:val="0"/>
          <w:iCs w:val="0"/>
          <w:color w:val="auto"/>
          <w:sz w:val="24"/>
          <w:szCs w:val="24"/>
          <w:highlight w:val="none"/>
        </w:rPr>
        <w:t>质疑函</w:t>
      </w:r>
      <w:r>
        <w:rPr>
          <w:rFonts w:hint="eastAsia" w:ascii="宋体" w:hAnsi="宋体" w:eastAsia="宋体" w:cs="宋体"/>
          <w:i w:val="0"/>
          <w:iCs w:val="0"/>
          <w:color w:val="auto"/>
          <w:sz w:val="24"/>
          <w:szCs w:val="24"/>
          <w:highlight w:val="none"/>
          <w:lang w:val="en-US" w:eastAsia="zh-CN"/>
        </w:rPr>
        <w:t>应当使用中文，并采用财政部门制定的范本。</w:t>
      </w:r>
    </w:p>
    <w:p w14:paraId="4BC3BA3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36.质疑答复</w:t>
      </w:r>
      <w:bookmarkEnd w:id="356"/>
      <w:bookmarkEnd w:id="357"/>
      <w:bookmarkEnd w:id="358"/>
      <w:bookmarkEnd w:id="359"/>
      <w:bookmarkEnd w:id="360"/>
      <w:bookmarkEnd w:id="361"/>
      <w:bookmarkEnd w:id="362"/>
      <w:bookmarkEnd w:id="363"/>
      <w:bookmarkEnd w:id="364"/>
      <w:bookmarkEnd w:id="365"/>
      <w:bookmarkEnd w:id="366"/>
    </w:p>
    <w:p w14:paraId="25644D8B">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bookmarkStart w:id="373" w:name="_Toc46772277"/>
      <w:bookmarkStart w:id="374" w:name="_Toc109899569"/>
      <w:bookmarkStart w:id="375" w:name="_Toc52962763"/>
      <w:bookmarkStart w:id="376" w:name="_Toc109897470"/>
      <w:bookmarkStart w:id="377" w:name="_Toc109899988"/>
      <w:bookmarkStart w:id="378" w:name="_Toc51674247"/>
      <w:bookmarkStart w:id="379" w:name="_Toc48688825"/>
      <w:bookmarkStart w:id="380" w:name="_Toc48846145"/>
      <w:bookmarkStart w:id="381" w:name="_Toc46771676"/>
      <w:bookmarkStart w:id="382" w:name="_Toc52960589"/>
      <w:bookmarkStart w:id="383" w:name="_Toc109900407"/>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.1采购人、采购代理机构不得拒收质疑供应商在法定质疑期内发出的质疑函，应当在收到质疑函后7个工作日内作出答复，并以书面形式通知质疑供应商和其他有关供应商。</w:t>
      </w:r>
    </w:p>
    <w:p w14:paraId="72784DD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36.2供应商对评审过程、成交结果提出质疑的，采购人、采购代理机构可以组织原竞争性磋商小组协助答复质疑。</w:t>
      </w:r>
    </w:p>
    <w:p w14:paraId="344D075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质疑答复应当包括下列内容：</w:t>
      </w:r>
    </w:p>
    <w:p w14:paraId="5DBE76F9">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val="zh-CN" w:eastAsia="zh-CN"/>
        </w:rPr>
        <w:t>）质疑供应商的姓名或者名称；</w:t>
      </w:r>
    </w:p>
    <w:p w14:paraId="15006B8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zh-CN" w:eastAsia="zh-CN"/>
        </w:rPr>
        <w:t>）收到质疑函的日期、质疑项目名称及</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lang w:val="zh-CN" w:eastAsia="zh-CN"/>
        </w:rPr>
        <w:t>编号/包号；</w:t>
      </w:r>
    </w:p>
    <w:p w14:paraId="5B4360F4">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val="zh-CN" w:eastAsia="zh-CN"/>
        </w:rPr>
        <w:t>）质疑事项、质疑答复的具体内容、事实依据和法律依据；</w:t>
      </w:r>
    </w:p>
    <w:p w14:paraId="4E421E33">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zh-CN" w:eastAsia="zh-CN"/>
        </w:rPr>
        <w:t>）告知质疑供应商依法投诉的权利；</w:t>
      </w:r>
    </w:p>
    <w:p w14:paraId="21D25519">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lang w:val="zh-CN" w:eastAsia="zh-CN"/>
        </w:rPr>
        <w:t>）质疑答复人名称；</w:t>
      </w:r>
    </w:p>
    <w:p w14:paraId="72E77D04">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lang w:val="zh-CN" w:eastAsia="zh-CN"/>
        </w:rPr>
        <w:t>）答复质疑的日期。</w:t>
      </w:r>
    </w:p>
    <w:p w14:paraId="22FC7F1A">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en-US" w:eastAsia="zh-CN"/>
        </w:rPr>
        <w:t>36.3</w:t>
      </w:r>
      <w:r>
        <w:rPr>
          <w:rFonts w:hint="eastAsia" w:ascii="宋体" w:hAnsi="宋体" w:eastAsia="宋体" w:cs="宋体"/>
          <w:i w:val="0"/>
          <w:iCs w:val="0"/>
          <w:color w:val="auto"/>
          <w:sz w:val="24"/>
          <w:szCs w:val="24"/>
          <w:highlight w:val="none"/>
          <w:lang w:val="zh-CN" w:eastAsia="zh-CN"/>
        </w:rPr>
        <w:t>质疑答复的内容不得涉及商业秘密。</w:t>
      </w:r>
    </w:p>
    <w:p w14:paraId="0145162A">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37.投诉</w:t>
      </w:r>
      <w:bookmarkEnd w:id="373"/>
      <w:bookmarkEnd w:id="374"/>
      <w:bookmarkEnd w:id="375"/>
      <w:bookmarkEnd w:id="376"/>
      <w:bookmarkEnd w:id="377"/>
      <w:bookmarkEnd w:id="378"/>
      <w:bookmarkEnd w:id="379"/>
      <w:bookmarkEnd w:id="380"/>
      <w:bookmarkEnd w:id="381"/>
      <w:bookmarkEnd w:id="382"/>
      <w:bookmarkEnd w:id="383"/>
    </w:p>
    <w:p w14:paraId="0C73178D">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37.1</w:t>
      </w:r>
      <w:r>
        <w:rPr>
          <w:rFonts w:hint="eastAsia" w:ascii="宋体" w:hAnsi="宋体" w:eastAsia="宋体" w:cs="宋体"/>
          <w:i w:val="0"/>
          <w:iCs w:val="0"/>
          <w:color w:val="auto"/>
          <w:sz w:val="24"/>
          <w:szCs w:val="24"/>
          <w:highlight w:val="none"/>
        </w:rPr>
        <w:t>质疑供应商对采购人、采购代理机构的答复不满意，或者采购人、采购代理机构未在规定时间内作出答复的，可以在答复期满后15个工作日内向</w:t>
      </w:r>
      <w:r>
        <w:rPr>
          <w:rFonts w:hint="eastAsia" w:ascii="宋体" w:hAnsi="宋体" w:eastAsia="宋体" w:cs="宋体"/>
          <w:i w:val="0"/>
          <w:iCs w:val="0"/>
          <w:color w:val="auto"/>
          <w:sz w:val="24"/>
          <w:szCs w:val="24"/>
          <w:highlight w:val="none"/>
          <w:lang w:val="en-US" w:eastAsia="zh-CN"/>
        </w:rPr>
        <w:t>同级政府采购监督管理部门</w:t>
      </w:r>
      <w:r>
        <w:rPr>
          <w:rFonts w:hint="eastAsia" w:ascii="宋体" w:hAnsi="宋体" w:eastAsia="宋体" w:cs="宋体"/>
          <w:i w:val="0"/>
          <w:iCs w:val="0"/>
          <w:color w:val="auto"/>
          <w:sz w:val="24"/>
          <w:szCs w:val="24"/>
          <w:highlight w:val="none"/>
        </w:rPr>
        <w:t>提起投诉。</w:t>
      </w:r>
    </w:p>
    <w:p w14:paraId="3EB6A05F">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37.2</w:t>
      </w:r>
      <w:r>
        <w:rPr>
          <w:rFonts w:hint="eastAsia" w:ascii="宋体" w:hAnsi="宋体" w:eastAsia="宋体" w:cs="宋体"/>
          <w:i w:val="0"/>
          <w:iCs w:val="0"/>
          <w:color w:val="auto"/>
          <w:sz w:val="24"/>
          <w:szCs w:val="24"/>
          <w:highlight w:val="none"/>
        </w:rPr>
        <w:t>投诉人投诉时,应当提交投诉书和必要的证明材料，并按照被投诉采购人、采购代理机构（以下简称被投诉人）和与投诉事项有关的供应商数量提供投诉书的副本。投诉书应当包括下列内容：</w:t>
      </w:r>
    </w:p>
    <w:p w14:paraId="301DF1FC">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）投诉人和被投诉人的姓名或者名称、通讯地址、邮编、联系人及联系电话；</w:t>
      </w:r>
    </w:p>
    <w:p w14:paraId="079C27ED">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）质疑和质疑答复情况说明及相关证明材料；</w:t>
      </w:r>
    </w:p>
    <w:p w14:paraId="21287769">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）具体、明确的投诉事项和与投诉事项相关的投诉请求；</w:t>
      </w:r>
    </w:p>
    <w:p w14:paraId="0E2E2E4D">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）事实依据；</w:t>
      </w:r>
    </w:p>
    <w:p w14:paraId="5DCB7244">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）法律依据；</w:t>
      </w:r>
    </w:p>
    <w:p w14:paraId="22E379BE">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）提起投诉的日期。</w:t>
      </w:r>
    </w:p>
    <w:p w14:paraId="28F8406A">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投诉人为自然人的，应当由本人签字；投诉人为法人或者其他组织的，应当由法定代表人、主要负责人，或者其授权代表签字或者盖章，并加盖公章。</w:t>
      </w:r>
    </w:p>
    <w:p w14:paraId="355697B9">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37.3</w:t>
      </w:r>
      <w:r>
        <w:rPr>
          <w:rFonts w:hint="eastAsia" w:ascii="宋体" w:hAnsi="宋体" w:eastAsia="宋体" w:cs="宋体"/>
          <w:i w:val="0"/>
          <w:iCs w:val="0"/>
          <w:color w:val="auto"/>
          <w:sz w:val="24"/>
          <w:szCs w:val="24"/>
          <w:highlight w:val="none"/>
        </w:rPr>
        <w:t>供应商</w:t>
      </w:r>
      <w:r>
        <w:rPr>
          <w:rFonts w:hint="eastAsia" w:ascii="宋体" w:hAnsi="宋体" w:eastAsia="宋体" w:cs="宋体"/>
          <w:i w:val="0"/>
          <w:iCs w:val="0"/>
          <w:color w:val="auto"/>
          <w:sz w:val="24"/>
          <w:szCs w:val="24"/>
          <w:highlight w:val="none"/>
          <w:lang w:val="en-US" w:eastAsia="zh-CN"/>
        </w:rPr>
        <w:t>质疑、</w:t>
      </w:r>
      <w:r>
        <w:rPr>
          <w:rFonts w:hint="eastAsia" w:ascii="宋体" w:hAnsi="宋体" w:eastAsia="宋体" w:cs="宋体"/>
          <w:i w:val="0"/>
          <w:iCs w:val="0"/>
          <w:color w:val="auto"/>
          <w:sz w:val="24"/>
          <w:szCs w:val="24"/>
          <w:highlight w:val="none"/>
        </w:rPr>
        <w:t>投诉</w:t>
      </w:r>
      <w:r>
        <w:rPr>
          <w:rFonts w:hint="eastAsia" w:ascii="宋体" w:hAnsi="宋体" w:eastAsia="宋体" w:cs="宋体"/>
          <w:i w:val="0"/>
          <w:iCs w:val="0"/>
          <w:color w:val="auto"/>
          <w:sz w:val="24"/>
          <w:szCs w:val="24"/>
          <w:highlight w:val="none"/>
          <w:lang w:val="en-US" w:eastAsia="zh-CN"/>
        </w:rPr>
        <w:t>应当有明确的请求和必要的证明材料</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供应商投诉的事项不得超出</w:t>
      </w:r>
      <w:r>
        <w:rPr>
          <w:rFonts w:hint="eastAsia" w:ascii="宋体" w:hAnsi="宋体" w:eastAsia="宋体" w:cs="宋体"/>
          <w:i w:val="0"/>
          <w:iCs w:val="0"/>
          <w:color w:val="auto"/>
          <w:sz w:val="24"/>
          <w:szCs w:val="24"/>
          <w:highlight w:val="none"/>
          <w:lang w:val="en-US" w:eastAsia="zh-CN"/>
        </w:rPr>
        <w:t>已</w:t>
      </w:r>
      <w:r>
        <w:rPr>
          <w:rFonts w:hint="eastAsia" w:ascii="宋体" w:hAnsi="宋体" w:eastAsia="宋体" w:cs="宋体"/>
          <w:i w:val="0"/>
          <w:iCs w:val="0"/>
          <w:color w:val="auto"/>
          <w:sz w:val="24"/>
          <w:szCs w:val="24"/>
          <w:highlight w:val="none"/>
        </w:rPr>
        <w:t>质疑事项的范围，但基于质疑答复内容提出的投诉事项除外</w:t>
      </w:r>
      <w:r>
        <w:rPr>
          <w:rFonts w:hint="eastAsia" w:ascii="宋体" w:hAnsi="宋体" w:eastAsia="宋体" w:cs="宋体"/>
          <w:bCs/>
          <w:i w:val="0"/>
          <w:iCs w:val="0"/>
          <w:color w:val="auto"/>
          <w:sz w:val="24"/>
          <w:szCs w:val="24"/>
          <w:highlight w:val="none"/>
        </w:rPr>
        <w:t>。</w:t>
      </w:r>
    </w:p>
    <w:p w14:paraId="3C57D05A">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snapToGrid w:val="0"/>
          <w:color w:val="auto"/>
          <w:sz w:val="24"/>
          <w:szCs w:val="24"/>
          <w:highlight w:val="none"/>
          <w:lang w:val="en-US" w:eastAsia="zh-CN"/>
        </w:rPr>
        <w:t>37.4</w:t>
      </w:r>
      <w:r>
        <w:rPr>
          <w:rFonts w:hint="eastAsia" w:ascii="宋体" w:hAnsi="宋体" w:eastAsia="宋体" w:cs="宋体"/>
          <w:i w:val="0"/>
          <w:iCs w:val="0"/>
          <w:color w:val="auto"/>
          <w:sz w:val="24"/>
          <w:szCs w:val="24"/>
          <w:highlight w:val="none"/>
          <w:lang w:val="en-US" w:eastAsia="zh-CN"/>
        </w:rPr>
        <w:t>投诉书应当使用中文，并采用财政部门制定的范本</w:t>
      </w:r>
      <w:r>
        <w:rPr>
          <w:rFonts w:hint="eastAsia" w:ascii="宋体" w:hAnsi="宋体" w:eastAsia="宋体" w:cs="宋体"/>
          <w:i w:val="0"/>
          <w:iCs w:val="0"/>
          <w:color w:val="auto"/>
          <w:sz w:val="24"/>
          <w:szCs w:val="24"/>
          <w:highlight w:val="none"/>
          <w:lang w:val="zh-CN" w:eastAsia="zh-CN"/>
        </w:rPr>
        <w:t>。</w:t>
      </w:r>
    </w:p>
    <w:p w14:paraId="14DAA7E2">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84" w:name="_Toc21708"/>
      <w:r>
        <w:rPr>
          <w:rFonts w:hint="eastAsia" w:ascii="宋体" w:hAnsi="宋体" w:eastAsia="宋体" w:cs="宋体"/>
          <w:b/>
          <w:bCs/>
          <w:i w:val="0"/>
          <w:iCs w:val="0"/>
          <w:color w:val="auto"/>
          <w:kern w:val="2"/>
          <w:sz w:val="24"/>
          <w:szCs w:val="24"/>
          <w:highlight w:val="none"/>
          <w:lang w:val="en-US" w:eastAsia="zh-CN" w:bidi="ar-SA"/>
        </w:rPr>
        <w:t>（十一）采购代理服务费</w:t>
      </w:r>
      <w:bookmarkEnd w:id="367"/>
      <w:bookmarkEnd w:id="384"/>
    </w:p>
    <w:p w14:paraId="568FDF87">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38.收取方式和标准</w:t>
      </w:r>
    </w:p>
    <w:p w14:paraId="77E8F637">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.1采购代理机构按“供应商须知前附表”规定的方式和标准收取采购代理服务费。</w:t>
      </w:r>
    </w:p>
    <w:p w14:paraId="02F25B2B">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85" w:name="_Toc14684"/>
      <w:bookmarkStart w:id="386" w:name="_Toc163493620"/>
      <w:r>
        <w:rPr>
          <w:rFonts w:hint="eastAsia" w:ascii="宋体" w:hAnsi="宋体" w:eastAsia="宋体" w:cs="宋体"/>
          <w:b/>
          <w:bCs/>
          <w:i w:val="0"/>
          <w:iCs w:val="0"/>
          <w:color w:val="auto"/>
          <w:kern w:val="2"/>
          <w:sz w:val="24"/>
          <w:szCs w:val="24"/>
          <w:highlight w:val="none"/>
          <w:lang w:val="en-US" w:eastAsia="zh-CN" w:bidi="ar-SA"/>
        </w:rPr>
        <w:t>（十二）无效响应和终止采购活动</w:t>
      </w:r>
      <w:bookmarkEnd w:id="385"/>
      <w:bookmarkEnd w:id="386"/>
    </w:p>
    <w:p w14:paraId="44D3D5EE">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87" w:name="_Toc161600338"/>
      <w:bookmarkStart w:id="388" w:name="_Toc140132806"/>
      <w:r>
        <w:rPr>
          <w:rFonts w:hint="eastAsia" w:ascii="宋体" w:hAnsi="宋体" w:eastAsia="宋体" w:cs="宋体"/>
          <w:b/>
          <w:bCs/>
          <w:i w:val="0"/>
          <w:iCs w:val="0"/>
          <w:color w:val="auto"/>
          <w:kern w:val="2"/>
          <w:sz w:val="24"/>
          <w:szCs w:val="24"/>
          <w:highlight w:val="none"/>
          <w:lang w:val="en-US" w:eastAsia="zh-CN" w:bidi="ar-SA"/>
        </w:rPr>
        <w:t>39.无效</w:t>
      </w:r>
      <w:bookmarkEnd w:id="387"/>
      <w:bookmarkEnd w:id="388"/>
      <w:r>
        <w:rPr>
          <w:rFonts w:hint="eastAsia" w:ascii="宋体" w:hAnsi="宋体" w:eastAsia="宋体" w:cs="宋体"/>
          <w:b/>
          <w:bCs/>
          <w:i w:val="0"/>
          <w:iCs w:val="0"/>
          <w:color w:val="auto"/>
          <w:kern w:val="2"/>
          <w:sz w:val="24"/>
          <w:szCs w:val="24"/>
          <w:highlight w:val="none"/>
          <w:lang w:val="en-US" w:eastAsia="zh-CN" w:bidi="ar-SA"/>
        </w:rPr>
        <w:t>响应</w:t>
      </w:r>
    </w:p>
    <w:p w14:paraId="692E5F39">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9</w:t>
      </w:r>
      <w:r>
        <w:rPr>
          <w:rFonts w:hint="eastAsia" w:ascii="宋体" w:hAnsi="宋体" w:eastAsia="宋体" w:cs="宋体"/>
          <w:i w:val="0"/>
          <w:iCs w:val="0"/>
          <w:color w:val="auto"/>
          <w:sz w:val="24"/>
          <w:szCs w:val="24"/>
          <w:highlight w:val="none"/>
        </w:rPr>
        <w:t>.1响应文件存在“第四章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评审方法及标准”规定的</w:t>
      </w:r>
      <w:r>
        <w:rPr>
          <w:rFonts w:hint="eastAsia" w:ascii="宋体" w:hAnsi="宋体" w:eastAsia="宋体" w:cs="宋体"/>
          <w:b/>
          <w:bCs/>
          <w:i w:val="0"/>
          <w:iCs w:val="0"/>
          <w:color w:val="auto"/>
          <w:sz w:val="24"/>
          <w:szCs w:val="24"/>
          <w:highlight w:val="none"/>
        </w:rPr>
        <w:t>响应无效</w:t>
      </w:r>
      <w:r>
        <w:rPr>
          <w:rFonts w:hint="eastAsia" w:ascii="宋体" w:hAnsi="宋体" w:eastAsia="宋体" w:cs="宋体"/>
          <w:i w:val="0"/>
          <w:iCs w:val="0"/>
          <w:color w:val="auto"/>
          <w:sz w:val="24"/>
          <w:szCs w:val="24"/>
          <w:highlight w:val="none"/>
        </w:rPr>
        <w:t>情形的，做</w:t>
      </w:r>
      <w:r>
        <w:rPr>
          <w:rFonts w:hint="eastAsia" w:ascii="宋体" w:hAnsi="宋体" w:eastAsia="宋体" w:cs="宋体"/>
          <w:b/>
          <w:bCs/>
          <w:i w:val="0"/>
          <w:iCs w:val="0"/>
          <w:color w:val="auto"/>
          <w:sz w:val="24"/>
          <w:szCs w:val="24"/>
          <w:highlight w:val="none"/>
        </w:rPr>
        <w:t>无效响应</w:t>
      </w:r>
      <w:r>
        <w:rPr>
          <w:rFonts w:hint="eastAsia" w:ascii="宋体" w:hAnsi="宋体" w:eastAsia="宋体" w:cs="宋体"/>
          <w:i w:val="0"/>
          <w:iCs w:val="0"/>
          <w:color w:val="auto"/>
          <w:sz w:val="24"/>
          <w:szCs w:val="24"/>
          <w:highlight w:val="none"/>
        </w:rPr>
        <w:t>处理。</w:t>
      </w:r>
    </w:p>
    <w:p w14:paraId="4674CF4B">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40.终止采购活动</w:t>
      </w:r>
    </w:p>
    <w:p w14:paraId="27174250">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40</w:t>
      </w:r>
      <w:r>
        <w:rPr>
          <w:rFonts w:hint="eastAsia" w:ascii="宋体" w:hAnsi="宋体" w:eastAsia="宋体" w:cs="宋体"/>
          <w:i w:val="0"/>
          <w:iCs w:val="0"/>
          <w:color w:val="auto"/>
          <w:sz w:val="24"/>
          <w:szCs w:val="24"/>
          <w:highlight w:val="none"/>
        </w:rPr>
        <w:t>.1出现下列情形之一的，应当终止竞争性磋商采购活动，发布项目终止公告并说明原因，重新开展采购活动：</w:t>
      </w:r>
    </w:p>
    <w:p w14:paraId="347EE61E">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（1）因情况变化，不再符合规定的竞争性磋商采购方式适用情形的；</w:t>
      </w:r>
    </w:p>
    <w:p w14:paraId="451D4CD9">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（2）出现影响采购公正的违法、违规行为的；</w:t>
      </w:r>
    </w:p>
    <w:p w14:paraId="1E9B74CA">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在采购过程中符合要求的供应商或者报价未超过采购预算的供应商不足3家的（市场竞争不充分的科研项目、需要扶持的科技成果转化项目以及政府购买服务项目&lt;含政府和社会资本合作项目&gt;）的提交最后报价的供应商可以为2家）。</w:t>
      </w:r>
    </w:p>
    <w:p w14:paraId="60EF9DAA">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40.2在采购活动中因重大变故，采购任务取消的，采购人或者采购代理机构应当终止采购活动，通知所有参加采购活动的供应商，并将项目实施情况和采购任务取消原因报送本级财政部门。</w:t>
      </w:r>
    </w:p>
    <w:p w14:paraId="4D0C73A9">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89" w:name="_Toc161600340"/>
      <w:bookmarkStart w:id="390" w:name="_Toc140132766"/>
      <w:bookmarkStart w:id="391" w:name="_Toc163493621"/>
      <w:bookmarkStart w:id="392" w:name="_Toc14581"/>
      <w:r>
        <w:rPr>
          <w:rFonts w:hint="eastAsia" w:ascii="宋体" w:hAnsi="宋体" w:eastAsia="宋体" w:cs="宋体"/>
          <w:b/>
          <w:bCs/>
          <w:i w:val="0"/>
          <w:iCs w:val="0"/>
          <w:color w:val="auto"/>
          <w:kern w:val="2"/>
          <w:sz w:val="24"/>
          <w:szCs w:val="24"/>
          <w:highlight w:val="none"/>
          <w:lang w:val="en-US" w:eastAsia="zh-CN" w:bidi="ar-SA"/>
        </w:rPr>
        <w:t>（十三）落实政府采购政策</w:t>
      </w:r>
      <w:bookmarkEnd w:id="389"/>
      <w:bookmarkEnd w:id="390"/>
      <w:bookmarkEnd w:id="391"/>
      <w:r>
        <w:rPr>
          <w:rFonts w:hint="eastAsia" w:ascii="宋体" w:hAnsi="宋体" w:eastAsia="宋体" w:cs="宋体"/>
          <w:b/>
          <w:bCs/>
          <w:i w:val="0"/>
          <w:iCs w:val="0"/>
          <w:color w:val="auto"/>
          <w:kern w:val="2"/>
          <w:sz w:val="24"/>
          <w:szCs w:val="24"/>
          <w:highlight w:val="none"/>
          <w:lang w:val="en-US" w:eastAsia="zh-CN" w:bidi="ar-SA"/>
        </w:rPr>
        <w:t>（包括但不限于下列具体政策要求）</w:t>
      </w:r>
      <w:bookmarkEnd w:id="392"/>
    </w:p>
    <w:p w14:paraId="1F0D2CE2">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93" w:name="_Toc161600341"/>
      <w:r>
        <w:rPr>
          <w:rFonts w:hint="eastAsia" w:ascii="宋体" w:hAnsi="宋体" w:eastAsia="宋体" w:cs="宋体"/>
          <w:b/>
          <w:bCs/>
          <w:i w:val="0"/>
          <w:iCs w:val="0"/>
          <w:color w:val="auto"/>
          <w:kern w:val="2"/>
          <w:sz w:val="24"/>
          <w:szCs w:val="24"/>
          <w:highlight w:val="none"/>
          <w:lang w:val="en-US" w:eastAsia="zh-CN" w:bidi="ar-SA"/>
        </w:rPr>
        <w:t>41.支持国产和进口产品审批</w:t>
      </w:r>
      <w:bookmarkEnd w:id="393"/>
    </w:p>
    <w:p w14:paraId="3DEDA456">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41.1除“供应商须知前附表”另有规定外，政府采购应当采购本国货物、工程和服务，确需采购进口产品的，采购人应当按照《政府采购进口产品管理办法》（财库〔2007〕119 号文）、《关于政府采购进口产品管理有关问题的通知》（财办库〔2008〕248号）规定执行进口产品审批制，科研院所监管部门另有规定的从其规定。项目若涉及采购进口产品的，具体要求详见“第三章 项目采购需求”。</w:t>
      </w:r>
    </w:p>
    <w:p w14:paraId="7EFE22AE">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41.2进口产品指通过中国海关报关验放进入中国境内且产自关境外的产品，包括已经进入中国境内的进口产品。</w:t>
      </w:r>
    </w:p>
    <w:p w14:paraId="5517F6F3">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41.3若采购需求中写明允许采购进口产品，供应商应保证所响应产品可履行合法报通关手续进入中国关境内。</w:t>
      </w:r>
    </w:p>
    <w:p w14:paraId="0DFC8ACE">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41.4若采购需求中未写明允许采购进口产品，如供应商所响应产品为进口产品，其响应将被认定为</w:t>
      </w:r>
      <w:r>
        <w:rPr>
          <w:rFonts w:hint="eastAsia" w:ascii="宋体" w:hAnsi="宋体" w:eastAsia="宋体" w:cs="宋体"/>
          <w:b/>
          <w:bCs/>
          <w:i w:val="0"/>
          <w:iCs w:val="0"/>
          <w:snapToGrid w:val="0"/>
          <w:color w:val="auto"/>
          <w:sz w:val="24"/>
          <w:szCs w:val="24"/>
          <w:highlight w:val="none"/>
          <w:lang w:val="en-US" w:eastAsia="zh-CN"/>
        </w:rPr>
        <w:t>响应无效</w:t>
      </w:r>
      <w:r>
        <w:rPr>
          <w:rFonts w:hint="eastAsia" w:ascii="宋体" w:hAnsi="宋体" w:eastAsia="宋体" w:cs="宋体"/>
          <w:i w:val="0"/>
          <w:iCs w:val="0"/>
          <w:snapToGrid w:val="0"/>
          <w:color w:val="auto"/>
          <w:sz w:val="24"/>
          <w:szCs w:val="24"/>
          <w:highlight w:val="none"/>
          <w:lang w:val="en-US" w:eastAsia="zh-CN"/>
        </w:rPr>
        <w:t>。</w:t>
      </w:r>
    </w:p>
    <w:p w14:paraId="5F417BB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94" w:name="_Toc161600342"/>
      <w:r>
        <w:rPr>
          <w:rFonts w:hint="eastAsia" w:ascii="宋体" w:hAnsi="宋体" w:eastAsia="宋体" w:cs="宋体"/>
          <w:b/>
          <w:bCs/>
          <w:i w:val="0"/>
          <w:iCs w:val="0"/>
          <w:color w:val="auto"/>
          <w:kern w:val="2"/>
          <w:sz w:val="24"/>
          <w:szCs w:val="24"/>
          <w:highlight w:val="none"/>
          <w:lang w:val="en-US" w:eastAsia="zh-CN" w:bidi="ar-SA"/>
        </w:rPr>
        <w:t>42.中小企业、监狱企业及残疾人福利性单位</w:t>
      </w:r>
      <w:bookmarkEnd w:id="394"/>
    </w:p>
    <w:p w14:paraId="1EC0E944">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42</w:t>
      </w:r>
      <w:r>
        <w:rPr>
          <w:rFonts w:hint="eastAsia" w:ascii="宋体" w:hAnsi="宋体" w:eastAsia="宋体" w:cs="宋体"/>
          <w:i w:val="0"/>
          <w:iCs w:val="0"/>
          <w:snapToGrid w:val="0"/>
          <w:color w:val="auto"/>
          <w:sz w:val="24"/>
          <w:szCs w:val="24"/>
          <w:highlight w:val="none"/>
        </w:rPr>
        <w:t>.</w:t>
      </w:r>
      <w:r>
        <w:rPr>
          <w:rFonts w:hint="eastAsia" w:ascii="宋体" w:hAnsi="宋体" w:eastAsia="宋体" w:cs="宋体"/>
          <w:i w:val="0"/>
          <w:iCs w:val="0"/>
          <w:snapToGrid w:val="0"/>
          <w:color w:val="auto"/>
          <w:sz w:val="24"/>
          <w:szCs w:val="24"/>
          <w:highlight w:val="none"/>
          <w:lang w:val="en-US" w:eastAsia="zh-CN"/>
        </w:rPr>
        <w:t xml:space="preserve">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关于进一步加大政府采购支持中小企业力度的通知》（财库〔2022〕19 号）、《政府采购促进中小企业发展管理办法》（财库〔2020〕46 号）、《关于印发中小企业划型标准规定的通知》（工信部联企业〔2011〕300 号）、《金融业企业划型标准规定》（〔2015〕309 号）等国务院批准的中小企业划分标准执行。 </w:t>
      </w:r>
    </w:p>
    <w:p w14:paraId="2EA258B7">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eastAsia="zh-CN"/>
        </w:rPr>
      </w:pPr>
      <w:r>
        <w:rPr>
          <w:rFonts w:hint="eastAsia" w:ascii="宋体" w:hAnsi="宋体" w:eastAsia="宋体" w:cs="宋体"/>
          <w:i w:val="0"/>
          <w:iCs w:val="0"/>
          <w:snapToGrid w:val="0"/>
          <w:color w:val="auto"/>
          <w:sz w:val="24"/>
          <w:szCs w:val="24"/>
          <w:highlight w:val="none"/>
          <w:lang w:val="en-US" w:eastAsia="zh-CN"/>
        </w:rPr>
        <w:t>42</w:t>
      </w:r>
      <w:r>
        <w:rPr>
          <w:rFonts w:hint="eastAsia" w:ascii="宋体" w:hAnsi="宋体" w:eastAsia="宋体" w:cs="宋体"/>
          <w:i w:val="0"/>
          <w:iCs w:val="0"/>
          <w:snapToGrid w:val="0"/>
          <w:color w:val="auto"/>
          <w:sz w:val="24"/>
          <w:szCs w:val="24"/>
          <w:highlight w:val="none"/>
        </w:rPr>
        <w:t>.</w:t>
      </w:r>
      <w:r>
        <w:rPr>
          <w:rFonts w:hint="eastAsia" w:ascii="宋体" w:hAnsi="宋体" w:eastAsia="宋体" w:cs="宋体"/>
          <w:i w:val="0"/>
          <w:iCs w:val="0"/>
          <w:snapToGrid w:val="0"/>
          <w:color w:val="auto"/>
          <w:sz w:val="24"/>
          <w:szCs w:val="24"/>
          <w:highlight w:val="none"/>
          <w:lang w:val="en-US" w:eastAsia="zh-CN"/>
        </w:rPr>
        <w:t>2</w:t>
      </w:r>
      <w:r>
        <w:rPr>
          <w:rFonts w:hint="eastAsia" w:ascii="宋体" w:hAnsi="宋体" w:eastAsia="宋体" w:cs="宋体"/>
          <w:i w:val="0"/>
          <w:iCs w:val="0"/>
          <w:snapToGrid w:val="0"/>
          <w:color w:val="auto"/>
          <w:sz w:val="24"/>
          <w:szCs w:val="24"/>
          <w:highlight w:val="none"/>
        </w:rPr>
        <w:t>为促进中小企业发展，依据《关于印发&lt;政府采购促进中小企业发展管理办法&gt;的通知》（财库〔2020〕46号）、《财政部 司法部关于政府采购支持监狱企业发展有关问题的通知》（财库〔2014〕68号）、《关于促进残疾人就业政府采购政策的通知》（财库〔2017〕141号）的规定，本项目供应商如</w:t>
      </w:r>
      <w:r>
        <w:rPr>
          <w:rFonts w:hint="eastAsia" w:ascii="宋体" w:hAnsi="宋体" w:eastAsia="宋体" w:cs="宋体"/>
          <w:i w:val="0"/>
          <w:iCs w:val="0"/>
          <w:snapToGrid w:val="0"/>
          <w:color w:val="auto"/>
          <w:sz w:val="24"/>
          <w:szCs w:val="24"/>
          <w:highlight w:val="none"/>
          <w:lang w:eastAsia="zh-CN"/>
        </w:rPr>
        <w:t>需享受中小企业相关政策的，且</w:t>
      </w:r>
      <w:r>
        <w:rPr>
          <w:rFonts w:hint="eastAsia" w:ascii="宋体" w:hAnsi="宋体" w:eastAsia="宋体" w:cs="宋体"/>
          <w:i w:val="0"/>
          <w:iCs w:val="0"/>
          <w:snapToGrid w:val="0"/>
          <w:color w:val="auto"/>
          <w:sz w:val="24"/>
          <w:szCs w:val="24"/>
          <w:highlight w:val="none"/>
        </w:rPr>
        <w:t>符合上述文件规定的，</w:t>
      </w:r>
      <w:r>
        <w:rPr>
          <w:rFonts w:hint="eastAsia" w:ascii="宋体" w:hAnsi="宋体" w:eastAsia="宋体" w:cs="宋体"/>
          <w:i w:val="0"/>
          <w:iCs w:val="0"/>
          <w:snapToGrid w:val="0"/>
          <w:color w:val="auto"/>
          <w:sz w:val="24"/>
          <w:szCs w:val="24"/>
          <w:highlight w:val="none"/>
          <w:lang w:eastAsia="zh-CN"/>
        </w:rPr>
        <w:t>应按本磋商文件规定格式</w:t>
      </w:r>
      <w:r>
        <w:rPr>
          <w:rFonts w:hint="eastAsia" w:ascii="宋体" w:hAnsi="宋体" w:eastAsia="宋体" w:cs="宋体"/>
          <w:i w:val="0"/>
          <w:iCs w:val="0"/>
          <w:snapToGrid w:val="0"/>
          <w:color w:val="auto"/>
          <w:sz w:val="24"/>
          <w:szCs w:val="24"/>
          <w:highlight w:val="none"/>
        </w:rPr>
        <w:t>提供</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rPr>
        <w:t>中小企业声明函</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或“</w:t>
      </w:r>
      <w:r>
        <w:rPr>
          <w:rFonts w:hint="eastAsia" w:ascii="宋体" w:hAnsi="宋体" w:eastAsia="宋体" w:cs="宋体"/>
          <w:i w:val="0"/>
          <w:iCs w:val="0"/>
          <w:snapToGrid w:val="0"/>
          <w:color w:val="auto"/>
          <w:sz w:val="24"/>
          <w:szCs w:val="24"/>
          <w:highlight w:val="none"/>
        </w:rPr>
        <w:t>监狱企业证明文件</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或</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rPr>
        <w:t>残疾人福利性单位声明函</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rPr>
        <w:t>，评审时，磋商小组将依据</w:t>
      </w:r>
      <w:r>
        <w:rPr>
          <w:rFonts w:hint="eastAsia" w:ascii="宋体" w:hAnsi="宋体" w:eastAsia="宋体" w:cs="宋体"/>
          <w:i w:val="0"/>
          <w:iCs w:val="0"/>
          <w:snapToGrid w:val="0"/>
          <w:color w:val="auto"/>
          <w:sz w:val="24"/>
          <w:szCs w:val="24"/>
          <w:highlight w:val="none"/>
          <w:lang w:eastAsia="zh-CN"/>
        </w:rPr>
        <w:t>本磋商文件</w:t>
      </w:r>
      <w:r>
        <w:rPr>
          <w:rFonts w:hint="eastAsia" w:ascii="宋体" w:hAnsi="宋体" w:eastAsia="宋体" w:cs="宋体"/>
          <w:i w:val="0"/>
          <w:iCs w:val="0"/>
          <w:snapToGrid w:val="0"/>
          <w:color w:val="auto"/>
          <w:sz w:val="24"/>
          <w:szCs w:val="24"/>
          <w:highlight w:val="none"/>
        </w:rPr>
        <w:t>“供应商须知前附表”规定的报价扣除比例，对供应商报价进行价格扣除，用扣除后的价格参与评审</w:t>
      </w:r>
      <w:r>
        <w:rPr>
          <w:rFonts w:hint="eastAsia" w:ascii="宋体" w:hAnsi="宋体" w:eastAsia="宋体" w:cs="宋体"/>
          <w:i w:val="0"/>
          <w:iCs w:val="0"/>
          <w:snapToGrid w:val="0"/>
          <w:color w:val="auto"/>
          <w:sz w:val="24"/>
          <w:szCs w:val="24"/>
          <w:highlight w:val="none"/>
          <w:lang w:eastAsia="zh-CN"/>
        </w:rPr>
        <w:t>；磋商公告中明确项目专门面向中小企业采购的，“</w:t>
      </w:r>
      <w:r>
        <w:rPr>
          <w:rFonts w:hint="eastAsia" w:ascii="宋体" w:hAnsi="宋体" w:eastAsia="宋体" w:cs="宋体"/>
          <w:i w:val="0"/>
          <w:iCs w:val="0"/>
          <w:snapToGrid w:val="0"/>
          <w:color w:val="auto"/>
          <w:sz w:val="24"/>
          <w:szCs w:val="24"/>
          <w:highlight w:val="none"/>
        </w:rPr>
        <w:t>中小企业声明函</w:t>
      </w:r>
      <w:r>
        <w:rPr>
          <w:rFonts w:hint="eastAsia" w:ascii="宋体" w:hAnsi="宋体" w:eastAsia="宋体" w:cs="宋体"/>
          <w:i w:val="0"/>
          <w:iCs w:val="0"/>
          <w:snapToGrid w:val="0"/>
          <w:color w:val="auto"/>
          <w:sz w:val="24"/>
          <w:szCs w:val="24"/>
          <w:highlight w:val="none"/>
          <w:lang w:eastAsia="zh-CN"/>
        </w:rPr>
        <w:t>”为资格要求文件，</w:t>
      </w:r>
      <w:r>
        <w:rPr>
          <w:rFonts w:hint="eastAsia" w:ascii="宋体" w:hAnsi="宋体" w:eastAsia="宋体" w:cs="宋体"/>
          <w:i w:val="0"/>
          <w:iCs w:val="0"/>
          <w:snapToGrid w:val="0"/>
          <w:color w:val="auto"/>
          <w:sz w:val="24"/>
          <w:szCs w:val="24"/>
          <w:highlight w:val="none"/>
        </w:rPr>
        <w:t>供应商</w:t>
      </w:r>
      <w:r>
        <w:rPr>
          <w:rFonts w:hint="eastAsia" w:ascii="宋体" w:hAnsi="宋体" w:eastAsia="宋体" w:cs="宋体"/>
          <w:i w:val="0"/>
          <w:iCs w:val="0"/>
          <w:snapToGrid w:val="0"/>
          <w:color w:val="auto"/>
          <w:sz w:val="24"/>
          <w:szCs w:val="24"/>
          <w:highlight w:val="none"/>
          <w:lang w:eastAsia="zh-CN"/>
        </w:rPr>
        <w:t>参与磋商须按本磋商文件规定格式</w:t>
      </w:r>
      <w:r>
        <w:rPr>
          <w:rFonts w:hint="eastAsia" w:ascii="宋体" w:hAnsi="宋体" w:eastAsia="宋体" w:cs="宋体"/>
          <w:i w:val="0"/>
          <w:iCs w:val="0"/>
          <w:snapToGrid w:val="0"/>
          <w:color w:val="auto"/>
          <w:sz w:val="24"/>
          <w:szCs w:val="24"/>
          <w:highlight w:val="none"/>
        </w:rPr>
        <w:t>提供</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rPr>
        <w:t>中小企业声明函</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或“</w:t>
      </w:r>
      <w:r>
        <w:rPr>
          <w:rFonts w:hint="eastAsia" w:ascii="宋体" w:hAnsi="宋体" w:eastAsia="宋体" w:cs="宋体"/>
          <w:i w:val="0"/>
          <w:iCs w:val="0"/>
          <w:snapToGrid w:val="0"/>
          <w:color w:val="auto"/>
          <w:sz w:val="24"/>
          <w:szCs w:val="24"/>
          <w:highlight w:val="none"/>
        </w:rPr>
        <w:t>监狱企业证明文件</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或“</w:t>
      </w:r>
      <w:r>
        <w:rPr>
          <w:rFonts w:hint="eastAsia" w:ascii="宋体" w:hAnsi="宋体" w:eastAsia="宋体" w:cs="宋体"/>
          <w:i w:val="0"/>
          <w:iCs w:val="0"/>
          <w:snapToGrid w:val="0"/>
          <w:color w:val="auto"/>
          <w:sz w:val="24"/>
          <w:szCs w:val="24"/>
          <w:highlight w:val="none"/>
        </w:rPr>
        <w:t>残疾人福利性单位声明函</w:t>
      </w:r>
      <w:r>
        <w:rPr>
          <w:rFonts w:hint="eastAsia" w:ascii="宋体" w:hAnsi="宋体" w:eastAsia="宋体" w:cs="宋体"/>
          <w:i w:val="0"/>
          <w:iCs w:val="0"/>
          <w:snapToGrid w:val="0"/>
          <w:color w:val="auto"/>
          <w:sz w:val="24"/>
          <w:szCs w:val="24"/>
          <w:highlight w:val="none"/>
          <w:lang w:eastAsia="zh-CN"/>
        </w:rPr>
        <w:t>”等作为资格证明文件。</w:t>
      </w:r>
    </w:p>
    <w:p w14:paraId="7E72F782">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42.3供应商提供的货物、工程或者服务符合下列情形的，享受中小企业扶持政策： </w:t>
      </w:r>
    </w:p>
    <w:p w14:paraId="54C91FC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42.3.1在货物采购项目中，货物由中小企业制造，即货物由中小企业生产且使用该中小企业商号或者注册商标； </w:t>
      </w:r>
    </w:p>
    <w:p w14:paraId="1E32AFE2">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42.3.2在工程采购项目中，工程由中小企业承建，即工程施工单位为中小企业； </w:t>
      </w:r>
    </w:p>
    <w:p w14:paraId="3CA81B6B">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42.3.3在服务采购项目中，服务由中小企业承接，即提供服务的人员为中小企业依照《中华人民共和国劳动合同法》订立劳动合同的从业人员。</w:t>
      </w:r>
    </w:p>
    <w:p w14:paraId="1F3EFCCE">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42.4 在货物采购项目中，供应商提供的货物既有中小企业制造货物，也有大型企业制造货物的，不享受中小企业扶持政策。 </w:t>
      </w:r>
    </w:p>
    <w:p w14:paraId="2FD23F6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42.5 以联合体形式参加政府采购活动，联合体各方均为中小企业的，联合体视同中小企业。其中，联合体各方均为小微企业的，联合体视同小微企业。      42.6 在政府采购活动中，监狱企业视同小型、微型企业，享受预留份额、评审中价格扣除等政府采购促进中小企业发展的政府采购政策。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4807893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 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p>
    <w:p w14:paraId="1B46F1D9">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42.7.1 安置的残疾人占本单位在职职工人数的比例不低于 25% （含 25%），并且安置的残疾人人数不少于 10 人（含 10人）； </w:t>
      </w:r>
    </w:p>
    <w:p w14:paraId="22A5818F">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42.7.2 依法与安置的每位残疾人签订了1年以上（含1年）的劳动合同或服务协议； </w:t>
      </w:r>
    </w:p>
    <w:p w14:paraId="57E43A8A">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42.7.3 为安置的每位残疾人按月足额缴纳了基本养老保险、基本医疗保险、失业保险、工伤保险和生育保险等社会保险费； </w:t>
      </w:r>
    </w:p>
    <w:p w14:paraId="2C02BCE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42.7.4 通过银行等金融机构向安置的每位残疾人，按月支付了不低于单位所在区县适用的经省级人民政府批准的月最低工资标准的工资； </w:t>
      </w:r>
    </w:p>
    <w:p w14:paraId="0A601BE8">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42.7.5 提供本单位制造的货物、承担的工程或者服务（以下简称产品），或者提供其他残疾人福利性单位制造的货物（不包括使用非残疾人福利性单位注册商标的货物）； </w:t>
      </w:r>
    </w:p>
    <w:p w14:paraId="14312B1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42.7.6 前款所称残疾人是指法定劳动年龄内，持有《中华人民共和国残疾人证》或者《中华人民共和国残疾军人证（1 至 8 级）》的自然人，包括具有劳动条件和劳动意愿的精神残疾人。在职职工人数是指与残疾人福利性单位建立劳动关系并依法签订劳动合同或服务协议的雇员人数。 </w:t>
      </w:r>
    </w:p>
    <w:p w14:paraId="7D21EBB4">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42.8 本项目是否专门面向中小企业预留采购份额见“第一章 竞争性磋商邀请”。</w:t>
      </w:r>
    </w:p>
    <w:p w14:paraId="38DA8EDD">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42.9 采购标的对应的中小企业划分标准所属行业见“供应商须知前附表”。    42.10小微企业价格评审优惠的政策调整：见“第四章 评审方法及标准”。</w:t>
      </w:r>
    </w:p>
    <w:p w14:paraId="0EAE5FB1">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95" w:name="_Toc161600343"/>
      <w:r>
        <w:rPr>
          <w:rFonts w:hint="eastAsia" w:ascii="宋体" w:hAnsi="宋体" w:eastAsia="宋体" w:cs="宋体"/>
          <w:b/>
          <w:bCs/>
          <w:i w:val="0"/>
          <w:iCs w:val="0"/>
          <w:color w:val="auto"/>
          <w:kern w:val="2"/>
          <w:sz w:val="24"/>
          <w:szCs w:val="24"/>
          <w:highlight w:val="none"/>
          <w:lang w:val="en-US" w:eastAsia="zh-CN" w:bidi="ar-SA"/>
        </w:rPr>
        <w:t>43.政府采购节能产品、环境标志产品</w:t>
      </w:r>
      <w:bookmarkEnd w:id="395"/>
    </w:p>
    <w:p w14:paraId="572D6556">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43.1 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关于政府采购节能产品、环境标志产品的相关规定依据《关于调整优化节能产品、环境标志产品政府采购执行机制的通知》（财库〔2019〕9 号）、《关于印发环境标志产品政府采购品目清单的通知》（财库〔2019〕18号）、《关于印发节能产品政府采购品目清单的通知》（财库〔2019〕19号）的规定。</w:t>
      </w:r>
    </w:p>
    <w:p w14:paraId="66067521">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43.2 采购人拟采购的产品属于品目清单范围的，采购人及其委托的采购代理机构依据国家确定的认证机构出具的、处于有效期之内的节能产品、环境标志产品认证证书，对获得证书的产品实施政府优先采购或强制采购。 </w:t>
      </w:r>
    </w:p>
    <w:p w14:paraId="32590B9D">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43.3 如本项目采购产品属于实施政府强制采购品目清单范围的节能产品，则供应商所报产品必须获得国家确定的认证机构出具的、处于有效期之内的节能产品认证证书，否则</w:t>
      </w:r>
      <w:r>
        <w:rPr>
          <w:rFonts w:hint="eastAsia" w:ascii="宋体" w:hAnsi="宋体" w:eastAsia="宋体" w:cs="宋体"/>
          <w:b/>
          <w:bCs/>
          <w:i w:val="0"/>
          <w:iCs w:val="0"/>
          <w:snapToGrid w:val="0"/>
          <w:color w:val="auto"/>
          <w:sz w:val="24"/>
          <w:szCs w:val="24"/>
          <w:highlight w:val="none"/>
          <w:lang w:val="en-US" w:eastAsia="zh-CN"/>
        </w:rPr>
        <w:t>响应无效</w:t>
      </w:r>
      <w:r>
        <w:rPr>
          <w:rFonts w:hint="eastAsia" w:ascii="宋体" w:hAnsi="宋体" w:eastAsia="宋体" w:cs="宋体"/>
          <w:i w:val="0"/>
          <w:iCs w:val="0"/>
          <w:snapToGrid w:val="0"/>
          <w:color w:val="auto"/>
          <w:sz w:val="24"/>
          <w:szCs w:val="24"/>
          <w:highlight w:val="none"/>
          <w:lang w:val="en-US" w:eastAsia="zh-CN"/>
        </w:rPr>
        <w:t xml:space="preserve">。 </w:t>
      </w:r>
    </w:p>
    <w:p w14:paraId="7CBDD3DB">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43.4 非政府强制采购的节能产品或环境标志产品，依据品目清单和认证证书实施政府优先采购。优先采购的具体规定见“第四章 评审方法及标准”（如涉及）。</w:t>
      </w:r>
    </w:p>
    <w:p w14:paraId="4472EF53">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43.5 供应商</w:t>
      </w:r>
      <w:r>
        <w:rPr>
          <w:rFonts w:hint="eastAsia" w:ascii="宋体" w:hAnsi="宋体" w:eastAsia="宋体" w:cs="宋体"/>
          <w:i w:val="0"/>
          <w:iCs w:val="0"/>
          <w:snapToGrid w:val="0"/>
          <w:color w:val="auto"/>
          <w:sz w:val="24"/>
          <w:szCs w:val="24"/>
          <w:highlight w:val="none"/>
        </w:rPr>
        <w:t>所</w:t>
      </w:r>
      <w:r>
        <w:rPr>
          <w:rFonts w:hint="eastAsia" w:ascii="宋体" w:hAnsi="宋体" w:eastAsia="宋体" w:cs="宋体"/>
          <w:i w:val="0"/>
          <w:iCs w:val="0"/>
          <w:snapToGrid w:val="0"/>
          <w:color w:val="auto"/>
          <w:sz w:val="24"/>
          <w:szCs w:val="24"/>
          <w:highlight w:val="none"/>
          <w:lang w:val="en-US" w:eastAsia="zh-CN"/>
        </w:rPr>
        <w:t>报</w:t>
      </w:r>
      <w:r>
        <w:rPr>
          <w:rFonts w:hint="eastAsia" w:ascii="宋体" w:hAnsi="宋体" w:eastAsia="宋体" w:cs="宋体"/>
          <w:i w:val="0"/>
          <w:iCs w:val="0"/>
          <w:snapToGrid w:val="0"/>
          <w:color w:val="auto"/>
          <w:sz w:val="24"/>
          <w:szCs w:val="24"/>
          <w:highlight w:val="none"/>
        </w:rPr>
        <w:t>产品如属于节能产品政府采购品目清单、环境标志产品政府采购品目清单范围的，须提供国家确定的认证机构出具的、处于有效期内的产品认证证书，认证证书的产品型号与所</w:t>
      </w:r>
      <w:r>
        <w:rPr>
          <w:rFonts w:hint="eastAsia" w:ascii="宋体" w:hAnsi="宋体" w:eastAsia="宋体" w:cs="宋体"/>
          <w:i w:val="0"/>
          <w:iCs w:val="0"/>
          <w:snapToGrid w:val="0"/>
          <w:color w:val="auto"/>
          <w:sz w:val="24"/>
          <w:szCs w:val="24"/>
          <w:highlight w:val="none"/>
          <w:lang w:val="en-US" w:eastAsia="zh-CN"/>
        </w:rPr>
        <w:t>报</w:t>
      </w:r>
      <w:r>
        <w:rPr>
          <w:rFonts w:hint="eastAsia" w:ascii="宋体" w:hAnsi="宋体" w:eastAsia="宋体" w:cs="宋体"/>
          <w:i w:val="0"/>
          <w:iCs w:val="0"/>
          <w:snapToGrid w:val="0"/>
          <w:color w:val="auto"/>
          <w:sz w:val="24"/>
          <w:szCs w:val="24"/>
          <w:highlight w:val="none"/>
        </w:rPr>
        <w:t>产品不一致的，视为未提供。属于政府强制采购产品的，已作为</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rPr>
        <w:t>时强制性要求不再给予</w:t>
      </w:r>
      <w:r>
        <w:rPr>
          <w:rFonts w:hint="eastAsia" w:ascii="宋体" w:hAnsi="宋体" w:eastAsia="宋体" w:cs="宋体"/>
          <w:i w:val="0"/>
          <w:iCs w:val="0"/>
          <w:snapToGrid w:val="0"/>
          <w:color w:val="auto"/>
          <w:sz w:val="24"/>
          <w:szCs w:val="24"/>
          <w:highlight w:val="none"/>
          <w:lang w:val="en-US" w:eastAsia="zh-CN"/>
        </w:rPr>
        <w:t>价格评审优惠</w:t>
      </w:r>
      <w:r>
        <w:rPr>
          <w:rFonts w:hint="eastAsia" w:ascii="宋体" w:hAnsi="宋体" w:eastAsia="宋体" w:cs="宋体"/>
          <w:i w:val="0"/>
          <w:iCs w:val="0"/>
          <w:snapToGrid w:val="0"/>
          <w:color w:val="auto"/>
          <w:sz w:val="24"/>
          <w:szCs w:val="24"/>
          <w:highlight w:val="none"/>
        </w:rPr>
        <w:t>，未提供认证证书的视为</w:t>
      </w:r>
      <w:r>
        <w:rPr>
          <w:rFonts w:hint="eastAsia" w:ascii="宋体" w:hAnsi="宋体" w:eastAsia="宋体" w:cs="宋体"/>
          <w:b/>
          <w:bCs/>
          <w:i w:val="0"/>
          <w:iCs w:val="0"/>
          <w:snapToGrid w:val="0"/>
          <w:color w:val="auto"/>
          <w:sz w:val="24"/>
          <w:szCs w:val="24"/>
          <w:highlight w:val="none"/>
        </w:rPr>
        <w:t>无效响应</w:t>
      </w:r>
      <w:r>
        <w:rPr>
          <w:rFonts w:hint="eastAsia" w:ascii="宋体" w:hAnsi="宋体" w:eastAsia="宋体" w:cs="宋体"/>
          <w:i w:val="0"/>
          <w:iCs w:val="0"/>
          <w:snapToGrid w:val="0"/>
          <w:color w:val="auto"/>
          <w:sz w:val="24"/>
          <w:szCs w:val="24"/>
          <w:highlight w:val="none"/>
        </w:rPr>
        <w:t>。属于</w:t>
      </w:r>
      <w:r>
        <w:rPr>
          <w:rFonts w:hint="eastAsia" w:ascii="宋体" w:hAnsi="宋体" w:eastAsia="宋体" w:cs="宋体"/>
          <w:i w:val="0"/>
          <w:iCs w:val="0"/>
          <w:snapToGrid w:val="0"/>
          <w:color w:val="auto"/>
          <w:sz w:val="24"/>
          <w:szCs w:val="24"/>
          <w:highlight w:val="none"/>
          <w:lang w:val="en-US" w:eastAsia="zh-CN"/>
        </w:rPr>
        <w:t>优先采购</w:t>
      </w:r>
      <w:r>
        <w:rPr>
          <w:rFonts w:hint="eastAsia" w:ascii="宋体" w:hAnsi="宋体" w:eastAsia="宋体" w:cs="宋体"/>
          <w:i w:val="0"/>
          <w:iCs w:val="0"/>
          <w:snapToGrid w:val="0"/>
          <w:color w:val="auto"/>
          <w:sz w:val="24"/>
          <w:szCs w:val="24"/>
          <w:highlight w:val="none"/>
        </w:rPr>
        <w:t>节能产品政府采购品目清单、环境标志产品政府采购品目清单</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创新产品</w:t>
      </w:r>
      <w:r>
        <w:rPr>
          <w:rFonts w:hint="eastAsia" w:ascii="宋体" w:hAnsi="宋体" w:eastAsia="宋体" w:cs="宋体"/>
          <w:i w:val="0"/>
          <w:iCs w:val="0"/>
          <w:snapToGrid w:val="0"/>
          <w:color w:val="auto"/>
          <w:sz w:val="24"/>
          <w:szCs w:val="24"/>
          <w:highlight w:val="none"/>
        </w:rPr>
        <w:t>范围的，按照“</w:t>
      </w:r>
      <w:r>
        <w:rPr>
          <w:rFonts w:hint="eastAsia" w:ascii="宋体" w:hAnsi="宋体" w:eastAsia="宋体" w:cs="宋体"/>
          <w:i w:val="0"/>
          <w:iCs w:val="0"/>
          <w:snapToGrid w:val="0"/>
          <w:color w:val="auto"/>
          <w:sz w:val="24"/>
          <w:szCs w:val="24"/>
          <w:highlight w:val="none"/>
          <w:lang w:val="en-US" w:eastAsia="zh-CN"/>
        </w:rPr>
        <w:t>第四章 评审方法及标准</w:t>
      </w:r>
      <w:r>
        <w:rPr>
          <w:rFonts w:hint="eastAsia" w:ascii="宋体" w:hAnsi="宋体" w:eastAsia="宋体" w:cs="宋体"/>
          <w:i w:val="0"/>
          <w:iCs w:val="0"/>
          <w:snapToGrid w:val="0"/>
          <w:color w:val="auto"/>
          <w:sz w:val="24"/>
          <w:szCs w:val="24"/>
          <w:highlight w:val="none"/>
        </w:rPr>
        <w:t>”中相关规定</w:t>
      </w:r>
      <w:r>
        <w:rPr>
          <w:rFonts w:hint="eastAsia" w:ascii="宋体" w:hAnsi="宋体" w:eastAsia="宋体" w:cs="宋体"/>
          <w:i w:val="0"/>
          <w:iCs w:val="0"/>
          <w:color w:val="auto"/>
          <w:sz w:val="24"/>
          <w:szCs w:val="24"/>
          <w:highlight w:val="none"/>
          <w:lang w:val="en-US" w:eastAsia="zh-CN"/>
        </w:rPr>
        <w:t>在评审时给予价格评审优惠，具体详见</w:t>
      </w:r>
      <w:r>
        <w:rPr>
          <w:rFonts w:hint="eastAsia" w:ascii="宋体" w:hAnsi="宋体" w:eastAsia="宋体" w:cs="宋体"/>
          <w:i w:val="0"/>
          <w:iCs w:val="0"/>
          <w:snapToGrid w:val="0"/>
          <w:color w:val="auto"/>
          <w:sz w:val="24"/>
          <w:szCs w:val="24"/>
          <w:highlight w:val="none"/>
          <w:lang w:val="en-US" w:eastAsia="zh-CN"/>
        </w:rPr>
        <w:t>“供应商须知前附表”及</w:t>
      </w:r>
      <w:r>
        <w:rPr>
          <w:rFonts w:hint="eastAsia" w:ascii="宋体" w:hAnsi="宋体" w:eastAsia="宋体" w:cs="宋体"/>
          <w:i w:val="0"/>
          <w:iCs w:val="0"/>
          <w:color w:val="auto"/>
          <w:sz w:val="24"/>
          <w:szCs w:val="24"/>
          <w:highlight w:val="none"/>
          <w:lang w:val="en-US" w:eastAsia="zh-CN"/>
        </w:rPr>
        <w:t>“第四章 评审方法及标准”</w:t>
      </w:r>
      <w:r>
        <w:rPr>
          <w:rFonts w:hint="eastAsia" w:ascii="宋体" w:hAnsi="宋体" w:eastAsia="宋体" w:cs="宋体"/>
          <w:i w:val="0"/>
          <w:iCs w:val="0"/>
          <w:color w:val="auto"/>
          <w:sz w:val="24"/>
          <w:szCs w:val="24"/>
          <w:highlight w:val="none"/>
        </w:rPr>
        <w:t>。</w:t>
      </w:r>
    </w:p>
    <w:p w14:paraId="407118D8">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44.正版软件</w:t>
      </w:r>
    </w:p>
    <w:p w14:paraId="2E9C8FA4">
      <w:pPr>
        <w:pStyle w:val="40"/>
        <w:keepNext w:val="0"/>
        <w:keepLines w:val="0"/>
        <w:pageBreakBefore w:val="0"/>
        <w:widowControl w:val="0"/>
        <w:kinsoku/>
        <w:overflowPunct/>
        <w:topLinePunct w:val="0"/>
        <w:autoSpaceDE/>
        <w:autoSpaceDN/>
        <w:bidi w:val="0"/>
        <w:adjustRightInd/>
        <w:snapToGri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44.1 依据《财政部 国家发展改革委 信息产业部关于印发无线局域网产品政府采购实施意见的通知》（财库〔2005〕366 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15629.11/1102）并通过国家产品认证的产品。其中，国家有特殊信息安全要求的项目必须采购认证产品，否则</w:t>
      </w:r>
      <w:r>
        <w:rPr>
          <w:rFonts w:hint="eastAsia" w:ascii="宋体" w:hAnsi="宋体" w:eastAsia="宋体" w:cs="宋体"/>
          <w:b/>
          <w:bCs/>
          <w:i w:val="0"/>
          <w:iCs w:val="0"/>
          <w:snapToGrid w:val="0"/>
          <w:color w:val="auto"/>
          <w:sz w:val="24"/>
          <w:szCs w:val="24"/>
          <w:highlight w:val="none"/>
          <w:lang w:val="en-US" w:eastAsia="zh-CN"/>
        </w:rPr>
        <w:t>响应无效</w:t>
      </w:r>
      <w:r>
        <w:rPr>
          <w:rFonts w:hint="eastAsia" w:ascii="宋体" w:hAnsi="宋体" w:eastAsia="宋体" w:cs="宋体"/>
          <w:i w:val="0"/>
          <w:iCs w:val="0"/>
          <w:snapToGrid w:val="0"/>
          <w:color w:val="auto"/>
          <w:sz w:val="24"/>
          <w:szCs w:val="24"/>
          <w:highlight w:val="none"/>
          <w:lang w:val="en-US" w:eastAsia="zh-CN"/>
        </w:rPr>
        <w:t xml:space="preserve">。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 </w:t>
      </w:r>
    </w:p>
    <w:p w14:paraId="4EBE0264">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 xml:space="preserve">44.2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70EA330D">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 xml:space="preserve">45.网络安全专用产品 </w:t>
      </w:r>
    </w:p>
    <w:p w14:paraId="0B0AEFEA">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45.1本项目中如涉及网络关键设备或网络安全专用产品的，应严格执行国家互联网信息办公室、工业和信息化部、公安部、财政部和国家认证认可监督管理委员会 2023年第 1 号《关于调整网络安全专用产品安全管理有关事项的公告》及国家互联网信息办公室、工业和信息化部、公安部和国家认证认可监督管理委员会 2023 年第 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采购人、中标(成交)人双方签订合同及验收环节，应包含上述网络安全要求的条款。</w:t>
      </w:r>
    </w:p>
    <w:p w14:paraId="52B8E4E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45.2本项目中如涉及国家强制性产品认证证书（CCC 认证证书）、电信设备进网许可证、无线电发射设备核准证等市场准入类资质的，应严格执行国家相关法律法规的要求。采购人、中标(成交)人双方签订合同及验收环节，应包含上述市场准入类资质要求的条款。</w:t>
      </w:r>
    </w:p>
    <w:p w14:paraId="1164075C">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 xml:space="preserve">46.采购需求标准 </w:t>
      </w:r>
    </w:p>
    <w:bookmarkEnd w:id="368"/>
    <w:bookmarkEnd w:id="369"/>
    <w:bookmarkEnd w:id="370"/>
    <w:bookmarkEnd w:id="371"/>
    <w:bookmarkEnd w:id="372"/>
    <w:p w14:paraId="7F34C0D9">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bookmarkStart w:id="396" w:name="_Toc163493622"/>
      <w:bookmarkStart w:id="397" w:name="_Toc109900412"/>
      <w:bookmarkStart w:id="398" w:name="_Toc109897475"/>
      <w:bookmarkStart w:id="399" w:name="_Toc109899574"/>
      <w:bookmarkStart w:id="400" w:name="_Toc109899993"/>
      <w:r>
        <w:rPr>
          <w:rFonts w:hint="eastAsia" w:ascii="宋体" w:hAnsi="宋体" w:eastAsia="宋体" w:cs="宋体"/>
          <w:i w:val="0"/>
          <w:iCs w:val="0"/>
          <w:snapToGrid w:val="0"/>
          <w:color w:val="auto"/>
          <w:sz w:val="24"/>
          <w:szCs w:val="24"/>
          <w:highlight w:val="none"/>
          <w:lang w:val="en-US" w:eastAsia="zh-CN"/>
        </w:rPr>
        <w:t xml:space="preserve">46.1 商品包装、快递包装政府采购需求标准（试行） </w:t>
      </w:r>
    </w:p>
    <w:p w14:paraId="4A47925E">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为助力打好污染防治攻坚战，推广使用绿色包装，根据财政部关于印发《商品包装政府采购需求标准（试行）》、《快递包装政府采购需求标准（试行）》的通知（财办库〔2020〕123 号），本项目如涉及商品包装和快递包装的，则其具体要求见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 xml:space="preserve">。 </w:t>
      </w:r>
    </w:p>
    <w:p w14:paraId="6C4A138E">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 xml:space="preserve">46.2 绿色数据中心政府采购需求标准（试行） </w:t>
      </w:r>
    </w:p>
    <w:p w14:paraId="0E6492A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为加快数据中心绿色转型，根据财政部 生态环境部 工业和信息化部关于印发《绿色数据中心政府采购需求标准（试行）》的通知（财库〔2023〕7 号），本项目如涉及绿色数据中心，则具体要求见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 xml:space="preserve">。 </w:t>
      </w:r>
    </w:p>
    <w:p w14:paraId="7AC1D91D">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46.3台式计算机政府采购需求标准</w:t>
      </w:r>
    </w:p>
    <w:p w14:paraId="03AB415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为提高台式计算机政府采购需求管理的科学化、规范化水平，进一步落实政府采购公平竞争原则，优化营商环境，营造良好的产业生态，财政部 工业和信息化部关于印发《台式计算机政府采购需求标准（2023年版）》的通知（财库〔2023〕29号），本项目如涉及台式计算机采购，则具体要求见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6241A793">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46.4便携式计算机政府采购需求标准</w:t>
      </w:r>
    </w:p>
    <w:p w14:paraId="02CCCC81">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为提高便携式计算机政府采购需求管理的科学化、规范化水平，进一步落实政府采购公平竞争原则，优化营商环境，营造良好的产业生态，财政部 工业和信息化部关于印发《便携式计算机政府采购需求标准（2023年版）》的通知（财库〔2023〕30号），本项目如涉及便携式计算机采购，则具体要求见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1DD2D6D3">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46.5一体式计算机政府采购需求标准</w:t>
      </w:r>
    </w:p>
    <w:p w14:paraId="304B3102">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为提高一体式计算机政府采购需求管理的科学化、规范化水平，进一步落实政府采购公平竞争原则，优化营商环境，营造良好的产业生态，财政部 工业和信息化部关于印发《一体式计算机政府采购需求标准（2023年版）》的通知（财库〔2023〕31号），本项目如涉及一体式计算机采购，则具体要求见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0E87B92C">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46.6工作站政府采购需求标准</w:t>
      </w:r>
    </w:p>
    <w:p w14:paraId="480B2B1B">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为提高工作站政府采购需求管理的科学化、规范化水平，进一步落实政府采购公平竞争原则，优化营商环境，营造良好的产业生态，财政部 工业和信息化部关于印发《工作站政府采购需求标准（2023年版）》的通知（财库〔2023〕32号），本项目如涉及工作站采购，则具体要求见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0309DA1C">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46.7通用服务器政府采购需求标准</w:t>
      </w:r>
    </w:p>
    <w:p w14:paraId="3FFDB91B">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为提高通用服务器政府采购需求管理的科学化、规范化水平，进一步落实政府采购公平竞争原则，优化营商环境，营造良好的产业生态，财政部 工业和信息化部关于印发《通用服务器政府采购需求标准（2023年版）》的通知（财库〔2023〕33号），本项目如涉及通用服务器采购，则具体要求见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59A10642">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46.8操作系统政府采购需求标准</w:t>
      </w:r>
    </w:p>
    <w:p w14:paraId="6272384F">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为提高操作系统政府采购需求管理的科学化、规范化水平，进一步落实政府采购公平竞争原则，优化营商环境，营造良好的产业生态，财政部 工业和信息化部关于印发《操作系统政府采购需求标准（2023年版）》的通知（财库〔2023〕34号），本项目如涉及操作系统采购，则具体要求见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7754D6DB">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46.9数据库政府采购需求标准</w:t>
      </w:r>
    </w:p>
    <w:p w14:paraId="332ACB5A">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为提高数据库政府采购需求管理的科学化、规范化水平，进一步落实政府采购公平竞争原则，优化营商环境，营造良好的产业生态，财政部 工业和信息化部关于印发《数据库政府采购需求标准（2023年版）》的通知（财库〔2023〕35号），本项目如涉及数据库采购，则具体要求见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098B9B3E">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46.10物业管理服务政府采购需求标准（办公场所类）（试行）</w:t>
      </w:r>
    </w:p>
    <w:p w14:paraId="6509E4B7">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贯彻落实中央全面深化改革委员会审议通过的《深化政府采购制度改革方案》有关要求，推动政府采购需求标准建设，财政部办公厅关于印发《物业管理服务政府采购需求标准（办公场所类）（试行）》的通知（财办库〔2024〕113号），本项目如涉及物业管理服务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7FBC8BBB">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01" w:name="_Toc26488"/>
      <w:r>
        <w:rPr>
          <w:rFonts w:hint="eastAsia" w:ascii="宋体" w:hAnsi="宋体" w:eastAsia="宋体" w:cs="宋体"/>
          <w:b/>
          <w:bCs/>
          <w:i w:val="0"/>
          <w:iCs w:val="0"/>
          <w:color w:val="auto"/>
          <w:kern w:val="2"/>
          <w:sz w:val="24"/>
          <w:szCs w:val="24"/>
          <w:highlight w:val="none"/>
          <w:lang w:val="en-US" w:eastAsia="zh-CN" w:bidi="ar-SA"/>
        </w:rPr>
        <w:t>（十四）政府采购合同融资政策</w:t>
      </w:r>
      <w:bookmarkEnd w:id="396"/>
      <w:bookmarkEnd w:id="397"/>
      <w:bookmarkEnd w:id="398"/>
      <w:bookmarkEnd w:id="399"/>
      <w:bookmarkEnd w:id="400"/>
      <w:bookmarkEnd w:id="401"/>
    </w:p>
    <w:p w14:paraId="7B03FA4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02" w:name="_Toc161600345"/>
      <w:bookmarkStart w:id="403" w:name="_Toc109897476"/>
      <w:r>
        <w:rPr>
          <w:rFonts w:hint="eastAsia" w:ascii="宋体" w:hAnsi="宋体" w:eastAsia="宋体" w:cs="宋体"/>
          <w:b/>
          <w:bCs/>
          <w:i w:val="0"/>
          <w:iCs w:val="0"/>
          <w:color w:val="auto"/>
          <w:kern w:val="2"/>
          <w:sz w:val="24"/>
          <w:szCs w:val="24"/>
          <w:highlight w:val="none"/>
          <w:lang w:val="en-US" w:eastAsia="zh-CN" w:bidi="ar-SA"/>
        </w:rPr>
        <w:t>47.政府采购合同融资政策</w:t>
      </w:r>
      <w:bookmarkEnd w:id="402"/>
    </w:p>
    <w:p w14:paraId="3882DBB5">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7</w:t>
      </w:r>
      <w:r>
        <w:rPr>
          <w:rFonts w:hint="eastAsia" w:ascii="宋体" w:hAnsi="宋体" w:eastAsia="宋体" w:cs="宋体"/>
          <w:i w:val="0"/>
          <w:iCs w:val="0"/>
          <w:color w:val="auto"/>
          <w:sz w:val="24"/>
          <w:szCs w:val="24"/>
          <w:highlight w:val="none"/>
        </w:rPr>
        <w:t>.1政府采购合同融资政策：见供应商须知前附表。</w:t>
      </w:r>
    </w:p>
    <w:p w14:paraId="7B2AF4A9">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04" w:name="_Toc109900413"/>
      <w:bookmarkStart w:id="405" w:name="_Toc163493623"/>
      <w:bookmarkStart w:id="406" w:name="_Toc109899994"/>
      <w:bookmarkStart w:id="407" w:name="_Toc109899575"/>
      <w:bookmarkStart w:id="408" w:name="_Toc29816"/>
      <w:r>
        <w:rPr>
          <w:rFonts w:hint="eastAsia" w:ascii="宋体" w:hAnsi="宋体" w:eastAsia="宋体" w:cs="宋体"/>
          <w:b/>
          <w:bCs/>
          <w:i w:val="0"/>
          <w:iCs w:val="0"/>
          <w:color w:val="auto"/>
          <w:kern w:val="2"/>
          <w:sz w:val="24"/>
          <w:szCs w:val="24"/>
          <w:highlight w:val="none"/>
          <w:lang w:val="en-US" w:eastAsia="zh-CN" w:bidi="ar-SA"/>
        </w:rPr>
        <w:t>（十五）其他</w:t>
      </w:r>
      <w:bookmarkEnd w:id="403"/>
      <w:bookmarkEnd w:id="404"/>
      <w:bookmarkEnd w:id="405"/>
      <w:bookmarkEnd w:id="406"/>
      <w:bookmarkEnd w:id="407"/>
      <w:bookmarkEnd w:id="408"/>
    </w:p>
    <w:p w14:paraId="5F2353F2">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09" w:name="_Toc161600347"/>
      <w:r>
        <w:rPr>
          <w:rFonts w:hint="eastAsia" w:ascii="宋体" w:hAnsi="宋体" w:eastAsia="宋体" w:cs="宋体"/>
          <w:b/>
          <w:bCs/>
          <w:i w:val="0"/>
          <w:iCs w:val="0"/>
          <w:color w:val="auto"/>
          <w:kern w:val="2"/>
          <w:sz w:val="24"/>
          <w:szCs w:val="24"/>
          <w:highlight w:val="none"/>
          <w:lang w:val="en-US" w:eastAsia="zh-CN" w:bidi="ar-SA"/>
        </w:rPr>
        <w:t>48.需要补充的其他内容</w:t>
      </w:r>
      <w:bookmarkEnd w:id="409"/>
    </w:p>
    <w:p w14:paraId="5215A123">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.1需要补充的其他内容：见供应商须知前附表。</w:t>
      </w:r>
    </w:p>
    <w:p w14:paraId="299B33C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10" w:name="_Toc109899576"/>
      <w:bookmarkStart w:id="411" w:name="_Toc109897477"/>
      <w:bookmarkStart w:id="412" w:name="_Toc109899995"/>
      <w:bookmarkStart w:id="413" w:name="_Toc109900414"/>
      <w:r>
        <w:rPr>
          <w:rFonts w:hint="eastAsia" w:ascii="宋体" w:hAnsi="宋体" w:eastAsia="宋体" w:cs="宋体"/>
          <w:b/>
          <w:bCs/>
          <w:i w:val="0"/>
          <w:iCs w:val="0"/>
          <w:color w:val="auto"/>
          <w:kern w:val="2"/>
          <w:sz w:val="24"/>
          <w:szCs w:val="24"/>
          <w:highlight w:val="none"/>
          <w:lang w:val="en-US" w:eastAsia="zh-CN" w:bidi="ar-SA"/>
        </w:rPr>
        <w:t>49.适用法律</w:t>
      </w:r>
      <w:bookmarkEnd w:id="410"/>
      <w:bookmarkEnd w:id="411"/>
      <w:bookmarkEnd w:id="412"/>
      <w:bookmarkEnd w:id="413"/>
    </w:p>
    <w:p w14:paraId="4DC70582">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4</w:t>
      </w:r>
      <w:r>
        <w:rPr>
          <w:rFonts w:hint="eastAsia" w:ascii="宋体" w:hAnsi="宋体" w:eastAsia="宋体" w:cs="宋体"/>
          <w:i w:val="0"/>
          <w:iCs w:val="0"/>
          <w:snapToGrid w:val="0"/>
          <w:color w:val="auto"/>
          <w:sz w:val="24"/>
          <w:szCs w:val="24"/>
          <w:highlight w:val="none"/>
          <w:lang w:val="en-US" w:eastAsia="zh-CN"/>
        </w:rPr>
        <w:t>9</w:t>
      </w:r>
      <w:r>
        <w:rPr>
          <w:rFonts w:hint="eastAsia" w:ascii="宋体" w:hAnsi="宋体" w:eastAsia="宋体" w:cs="宋体"/>
          <w:i w:val="0"/>
          <w:iCs w:val="0"/>
          <w:snapToGrid w:val="0"/>
          <w:color w:val="auto"/>
          <w:sz w:val="24"/>
          <w:szCs w:val="24"/>
          <w:highlight w:val="none"/>
          <w:lang w:val="zh-CN"/>
        </w:rPr>
        <w:t>.1采购人、采购代理机构及供应商的一切采购活动均适用《</w:t>
      </w:r>
      <w:r>
        <w:rPr>
          <w:rFonts w:hint="eastAsia" w:ascii="宋体" w:hAnsi="宋体" w:eastAsia="宋体" w:cs="宋体"/>
          <w:i w:val="0"/>
          <w:iCs w:val="0"/>
          <w:snapToGrid w:val="0"/>
          <w:color w:val="auto"/>
          <w:sz w:val="24"/>
          <w:szCs w:val="24"/>
          <w:highlight w:val="none"/>
        </w:rPr>
        <w:t>中华人民共和国</w:t>
      </w:r>
      <w:r>
        <w:rPr>
          <w:rFonts w:hint="eastAsia" w:ascii="宋体" w:hAnsi="宋体" w:eastAsia="宋体" w:cs="宋体"/>
          <w:i w:val="0"/>
          <w:iCs w:val="0"/>
          <w:snapToGrid w:val="0"/>
          <w:color w:val="auto"/>
          <w:sz w:val="24"/>
          <w:szCs w:val="24"/>
          <w:highlight w:val="none"/>
          <w:lang w:val="zh-CN"/>
        </w:rPr>
        <w:t>政府采购法》、《</w:t>
      </w:r>
      <w:r>
        <w:rPr>
          <w:rFonts w:hint="eastAsia" w:ascii="宋体" w:hAnsi="宋体" w:eastAsia="宋体" w:cs="宋体"/>
          <w:i w:val="0"/>
          <w:iCs w:val="0"/>
          <w:snapToGrid w:val="0"/>
          <w:color w:val="auto"/>
          <w:sz w:val="24"/>
          <w:szCs w:val="24"/>
          <w:highlight w:val="none"/>
        </w:rPr>
        <w:t>中华人民共和国</w:t>
      </w:r>
      <w:r>
        <w:rPr>
          <w:rFonts w:hint="eastAsia" w:ascii="宋体" w:hAnsi="宋体" w:eastAsia="宋体" w:cs="宋体"/>
          <w:i w:val="0"/>
          <w:iCs w:val="0"/>
          <w:snapToGrid w:val="0"/>
          <w:color w:val="auto"/>
          <w:sz w:val="24"/>
          <w:szCs w:val="24"/>
          <w:highlight w:val="none"/>
          <w:lang w:val="zh-CN"/>
        </w:rPr>
        <w:t>政府采购法实施条例》、</w:t>
      </w:r>
      <w:r>
        <w:rPr>
          <w:rFonts w:hint="eastAsia" w:ascii="宋体" w:hAnsi="宋体" w:eastAsia="宋体" w:cs="宋体"/>
          <w:i w:val="0"/>
          <w:iCs w:val="0"/>
          <w:color w:val="auto"/>
          <w:sz w:val="24"/>
          <w:szCs w:val="24"/>
          <w:highlight w:val="none"/>
        </w:rPr>
        <w:t>《政府采购竞争性磋商采购方式管理暂行办法》（财库〔2014〕214号）</w:t>
      </w:r>
      <w:r>
        <w:rPr>
          <w:rFonts w:hint="eastAsia" w:ascii="宋体" w:hAnsi="宋体" w:eastAsia="宋体" w:cs="宋体"/>
          <w:i w:val="0"/>
          <w:iCs w:val="0"/>
          <w:snapToGrid w:val="0"/>
          <w:color w:val="auto"/>
          <w:sz w:val="24"/>
          <w:szCs w:val="24"/>
          <w:highlight w:val="none"/>
          <w:lang w:val="zh-CN"/>
        </w:rPr>
        <w:t>及相关法律法规。</w:t>
      </w:r>
    </w:p>
    <w:p w14:paraId="07E586D2">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4</w:t>
      </w:r>
      <w:r>
        <w:rPr>
          <w:rFonts w:hint="eastAsia" w:ascii="宋体" w:hAnsi="宋体" w:eastAsia="宋体" w:cs="宋体"/>
          <w:i w:val="0"/>
          <w:iCs w:val="0"/>
          <w:snapToGrid w:val="0"/>
          <w:color w:val="auto"/>
          <w:sz w:val="24"/>
          <w:szCs w:val="24"/>
          <w:highlight w:val="none"/>
          <w:lang w:val="en-US" w:eastAsia="zh-CN"/>
        </w:rPr>
        <w:t>9</w:t>
      </w:r>
      <w:r>
        <w:rPr>
          <w:rFonts w:hint="eastAsia" w:ascii="宋体" w:hAnsi="宋体" w:eastAsia="宋体" w:cs="宋体"/>
          <w:i w:val="0"/>
          <w:iCs w:val="0"/>
          <w:snapToGrid w:val="0"/>
          <w:color w:val="auto"/>
          <w:sz w:val="24"/>
          <w:szCs w:val="24"/>
          <w:highlight w:val="none"/>
          <w:lang w:val="zh-CN"/>
        </w:rPr>
        <w:t>.2政府采购合同的履行、违约责任和解决争议的方法等适用《</w:t>
      </w:r>
      <w:r>
        <w:rPr>
          <w:rFonts w:hint="eastAsia" w:ascii="宋体" w:hAnsi="宋体" w:eastAsia="宋体" w:cs="宋体"/>
          <w:i w:val="0"/>
          <w:iCs w:val="0"/>
          <w:snapToGrid w:val="0"/>
          <w:color w:val="auto"/>
          <w:sz w:val="24"/>
          <w:szCs w:val="24"/>
          <w:highlight w:val="none"/>
        </w:rPr>
        <w:t>中华人民共和国</w:t>
      </w:r>
      <w:r>
        <w:rPr>
          <w:rFonts w:hint="eastAsia" w:ascii="宋体" w:hAnsi="宋体" w:eastAsia="宋体" w:cs="宋体"/>
          <w:i w:val="0"/>
          <w:iCs w:val="0"/>
          <w:snapToGrid w:val="0"/>
          <w:color w:val="auto"/>
          <w:sz w:val="24"/>
          <w:szCs w:val="24"/>
          <w:highlight w:val="none"/>
          <w:lang w:val="zh-CN"/>
        </w:rPr>
        <w:t>民法典》。</w:t>
      </w:r>
    </w:p>
    <w:p w14:paraId="0DD5DDEC">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14" w:name="_Toc155185887"/>
      <w:bookmarkStart w:id="415" w:name="_Toc161600349"/>
      <w:r>
        <w:rPr>
          <w:rFonts w:hint="eastAsia" w:ascii="宋体" w:hAnsi="宋体" w:eastAsia="宋体" w:cs="宋体"/>
          <w:b/>
          <w:bCs/>
          <w:i w:val="0"/>
          <w:iCs w:val="0"/>
          <w:color w:val="auto"/>
          <w:kern w:val="2"/>
          <w:sz w:val="24"/>
          <w:szCs w:val="24"/>
          <w:highlight w:val="none"/>
          <w:lang w:val="en-US" w:eastAsia="zh-CN" w:bidi="ar-SA"/>
        </w:rPr>
        <w:t>50.解释权</w:t>
      </w:r>
      <w:bookmarkEnd w:id="414"/>
      <w:bookmarkEnd w:id="415"/>
    </w:p>
    <w:p w14:paraId="100A2FBC">
      <w:pPr>
        <w:pStyle w:val="40"/>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50</w:t>
      </w:r>
      <w:r>
        <w:rPr>
          <w:rFonts w:hint="eastAsia" w:ascii="宋体" w:hAnsi="宋体" w:eastAsia="宋体" w:cs="宋体"/>
          <w:i w:val="0"/>
          <w:iCs w:val="0"/>
          <w:snapToGrid w:val="0"/>
          <w:color w:val="auto"/>
          <w:sz w:val="24"/>
          <w:szCs w:val="24"/>
          <w:highlight w:val="none"/>
        </w:rPr>
        <w:t>.1本竞争性磋商文件最终解释权归采购人或采购代理机构所有。</w:t>
      </w:r>
    </w:p>
    <w:p w14:paraId="272446E3">
      <w:pPr>
        <w:pStyle w:val="40"/>
        <w:ind w:firstLine="480"/>
        <w:rPr>
          <w:rFonts w:hint="eastAsia" w:ascii="宋体" w:hAnsi="宋体" w:eastAsia="宋体" w:cs="宋体"/>
          <w:i w:val="0"/>
          <w:iCs w:val="0"/>
          <w:color w:val="auto"/>
          <w:sz w:val="24"/>
          <w:szCs w:val="24"/>
          <w:highlight w:val="none"/>
        </w:rPr>
      </w:pPr>
    </w:p>
    <w:p w14:paraId="5DC4D2D8">
      <w:pPr>
        <w:pStyle w:val="40"/>
        <w:ind w:firstLine="480"/>
        <w:rPr>
          <w:i w:val="0"/>
          <w:iCs w:val="0"/>
          <w:color w:val="auto"/>
          <w:highlight w:val="none"/>
        </w:rPr>
      </w:pPr>
    </w:p>
    <w:p w14:paraId="746B4328">
      <w:pPr>
        <w:pStyle w:val="40"/>
        <w:ind w:firstLine="480"/>
        <w:rPr>
          <w:i w:val="0"/>
          <w:iCs w:val="0"/>
          <w:color w:val="auto"/>
          <w:highlight w:val="none"/>
        </w:rPr>
        <w:sectPr>
          <w:footerReference r:id="rId8" w:type="default"/>
          <w:pgSz w:w="11906" w:h="16838"/>
          <w:pgMar w:top="1440" w:right="1800" w:bottom="1440" w:left="1800" w:header="851" w:footer="652" w:gutter="0"/>
          <w:pgNumType w:fmt="decimal"/>
          <w:cols w:space="0" w:num="1"/>
          <w:rtlGutter w:val="0"/>
          <w:docGrid w:type="lines" w:linePitch="312" w:charSpace="0"/>
        </w:sectPr>
      </w:pPr>
    </w:p>
    <w:p w14:paraId="3F8E390A">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pPr>
      <w:bookmarkStart w:id="416" w:name="_Toc25233"/>
      <w:r>
        <w:rPr>
          <w:rFonts w:hint="eastAsia" w:ascii="宋体" w:hAnsi="宋体" w:eastAsia="宋体" w:cs="宋体"/>
          <w:b/>
          <w:bCs/>
          <w:i w:val="0"/>
          <w:iCs w:val="0"/>
          <w:color w:val="auto"/>
          <w:kern w:val="44"/>
          <w:sz w:val="36"/>
          <w:szCs w:val="36"/>
          <w:highlight w:val="none"/>
          <w:lang w:val="en-US" w:eastAsia="zh-CN" w:bidi="ar-SA"/>
        </w:rPr>
        <w:t>第三章 项目采购需求</w:t>
      </w:r>
      <w:bookmarkEnd w:id="416"/>
    </w:p>
    <w:p w14:paraId="42912494">
      <w:pPr>
        <w:pStyle w:val="40"/>
        <w:keepNext w:val="0"/>
        <w:keepLines w:val="0"/>
        <w:pageBreakBefore w:val="0"/>
        <w:widowControl w:val="0"/>
        <w:kinsoku/>
        <w:overflowPunct/>
        <w:topLinePunct w:val="0"/>
        <w:autoSpaceDE/>
        <w:autoSpaceDN/>
        <w:bidi w:val="0"/>
        <w:adjustRightInd/>
        <w:textAlignment w:val="auto"/>
        <w:rPr>
          <w:rFonts w:hint="eastAsia"/>
          <w:b/>
          <w:bCs/>
          <w:i w:val="0"/>
          <w:iCs w:val="0"/>
          <w:snapToGrid w:val="0"/>
          <w:color w:val="auto"/>
          <w:sz w:val="24"/>
          <w:szCs w:val="24"/>
          <w:highlight w:val="none"/>
          <w:lang w:val="en-US" w:eastAsia="zh-CN"/>
        </w:rPr>
      </w:pPr>
      <w:bookmarkStart w:id="417" w:name="_Toc163492886"/>
      <w:bookmarkStart w:id="418" w:name="_Toc140132812"/>
      <w:bookmarkStart w:id="419" w:name="_Toc155185889"/>
      <w:r>
        <w:rPr>
          <w:rFonts w:hint="eastAsia"/>
          <w:b/>
          <w:bCs/>
          <w:i w:val="0"/>
          <w:iCs w:val="0"/>
          <w:snapToGrid w:val="0"/>
          <w:color w:val="auto"/>
          <w:sz w:val="24"/>
          <w:szCs w:val="24"/>
          <w:highlight w:val="none"/>
          <w:lang w:val="en-US" w:eastAsia="zh-CN"/>
        </w:rPr>
        <w:t xml:space="preserve">说明： </w:t>
      </w:r>
    </w:p>
    <w:p w14:paraId="3A4B5CBB">
      <w:pPr>
        <w:pStyle w:val="40"/>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sz w:val="24"/>
          <w:szCs w:val="24"/>
          <w:highlight w:val="none"/>
          <w:lang w:val="en-US" w:eastAsia="zh-CN"/>
        </w:rPr>
      </w:pPr>
      <w:r>
        <w:rPr>
          <w:rFonts w:hint="eastAsia"/>
          <w:i w:val="0"/>
          <w:iCs w:val="0"/>
          <w:snapToGrid w:val="0"/>
          <w:color w:val="auto"/>
          <w:sz w:val="24"/>
          <w:szCs w:val="24"/>
          <w:highlight w:val="none"/>
          <w:lang w:val="en-US" w:eastAsia="zh-CN"/>
        </w:rPr>
        <w:t>1. 当采购项目涉及数据中心相关设备、运维服务时，采购需求应当符合《绿色数据中心政府采购需求标准（试行）》（财库〔</w:t>
      </w:r>
      <w:r>
        <w:rPr>
          <w:rFonts w:hint="default"/>
          <w:i w:val="0"/>
          <w:iCs w:val="0"/>
          <w:snapToGrid w:val="0"/>
          <w:color w:val="auto"/>
          <w:sz w:val="24"/>
          <w:szCs w:val="24"/>
          <w:highlight w:val="none"/>
          <w:lang w:val="en-US" w:eastAsia="zh-CN"/>
        </w:rPr>
        <w:t>2023</w:t>
      </w:r>
      <w:r>
        <w:rPr>
          <w:rFonts w:hint="eastAsia"/>
          <w:i w:val="0"/>
          <w:iCs w:val="0"/>
          <w:snapToGrid w:val="0"/>
          <w:color w:val="auto"/>
          <w:sz w:val="24"/>
          <w:szCs w:val="24"/>
          <w:highlight w:val="none"/>
          <w:lang w:val="en-US" w:eastAsia="zh-CN"/>
        </w:rPr>
        <w:t>〕</w:t>
      </w:r>
      <w:r>
        <w:rPr>
          <w:rFonts w:hint="default"/>
          <w:i w:val="0"/>
          <w:iCs w:val="0"/>
          <w:snapToGrid w:val="0"/>
          <w:color w:val="auto"/>
          <w:sz w:val="24"/>
          <w:szCs w:val="24"/>
          <w:highlight w:val="none"/>
          <w:lang w:val="en-US" w:eastAsia="zh-CN"/>
        </w:rPr>
        <w:t xml:space="preserve">7 </w:t>
      </w:r>
      <w:r>
        <w:rPr>
          <w:rFonts w:hint="eastAsia"/>
          <w:i w:val="0"/>
          <w:iCs w:val="0"/>
          <w:snapToGrid w:val="0"/>
          <w:color w:val="auto"/>
          <w:sz w:val="24"/>
          <w:szCs w:val="24"/>
          <w:highlight w:val="none"/>
          <w:lang w:val="en-US" w:eastAsia="zh-CN"/>
        </w:rPr>
        <w:t xml:space="preserve">号）的有关要求。 </w:t>
      </w:r>
    </w:p>
    <w:p w14:paraId="0E00C358">
      <w:pPr>
        <w:pStyle w:val="40"/>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sz w:val="24"/>
          <w:szCs w:val="24"/>
          <w:highlight w:val="none"/>
          <w:lang w:val="en-US" w:eastAsia="zh-CN"/>
        </w:rPr>
      </w:pPr>
      <w:r>
        <w:rPr>
          <w:rFonts w:hint="default"/>
          <w:i w:val="0"/>
          <w:iCs w:val="0"/>
          <w:snapToGrid w:val="0"/>
          <w:color w:val="auto"/>
          <w:sz w:val="24"/>
          <w:szCs w:val="24"/>
          <w:highlight w:val="none"/>
          <w:lang w:val="en-US" w:eastAsia="zh-CN"/>
        </w:rPr>
        <w:t xml:space="preserve">2. </w:t>
      </w:r>
      <w:r>
        <w:rPr>
          <w:rFonts w:hint="eastAsia"/>
          <w:i w:val="0"/>
          <w:iCs w:val="0"/>
          <w:snapToGrid w:val="0"/>
          <w:color w:val="auto"/>
          <w:sz w:val="24"/>
          <w:szCs w:val="24"/>
          <w:highlight w:val="none"/>
          <w:lang w:val="en-US" w:eastAsia="zh-CN"/>
        </w:rPr>
        <w:t>当采购项目涉及政务信息系统时，采购需求应当符合《政务信息系统政府采购管理暂行办法》（财库〔</w:t>
      </w:r>
      <w:r>
        <w:rPr>
          <w:rFonts w:hint="default"/>
          <w:i w:val="0"/>
          <w:iCs w:val="0"/>
          <w:snapToGrid w:val="0"/>
          <w:color w:val="auto"/>
          <w:sz w:val="24"/>
          <w:szCs w:val="24"/>
          <w:highlight w:val="none"/>
          <w:lang w:val="en-US" w:eastAsia="zh-CN"/>
        </w:rPr>
        <w:t>2017</w:t>
      </w:r>
      <w:r>
        <w:rPr>
          <w:rFonts w:hint="eastAsia"/>
          <w:i w:val="0"/>
          <w:iCs w:val="0"/>
          <w:snapToGrid w:val="0"/>
          <w:color w:val="auto"/>
          <w:sz w:val="24"/>
          <w:szCs w:val="24"/>
          <w:highlight w:val="none"/>
          <w:lang w:val="en-US" w:eastAsia="zh-CN"/>
        </w:rPr>
        <w:t>〕</w:t>
      </w:r>
      <w:r>
        <w:rPr>
          <w:rFonts w:hint="default"/>
          <w:i w:val="0"/>
          <w:iCs w:val="0"/>
          <w:snapToGrid w:val="0"/>
          <w:color w:val="auto"/>
          <w:sz w:val="24"/>
          <w:szCs w:val="24"/>
          <w:highlight w:val="none"/>
          <w:lang w:val="en-US" w:eastAsia="zh-CN"/>
        </w:rPr>
        <w:t xml:space="preserve">210 </w:t>
      </w:r>
      <w:r>
        <w:rPr>
          <w:rFonts w:hint="eastAsia"/>
          <w:i w:val="0"/>
          <w:iCs w:val="0"/>
          <w:snapToGrid w:val="0"/>
          <w:color w:val="auto"/>
          <w:sz w:val="24"/>
          <w:szCs w:val="24"/>
          <w:highlight w:val="none"/>
          <w:lang w:val="en-US" w:eastAsia="zh-CN"/>
        </w:rPr>
        <w:t xml:space="preserve">号）的相关要求。 </w:t>
      </w:r>
    </w:p>
    <w:p w14:paraId="30D12DA1">
      <w:pPr>
        <w:pStyle w:val="3"/>
        <w:bidi w:val="0"/>
        <w:spacing w:before="0" w:after="0" w:line="240" w:lineRule="auto"/>
        <w:ind w:firstLine="562" w:firstLineChars="200"/>
        <w:rPr>
          <w:rFonts w:hint="eastAsia"/>
          <w:color w:val="auto"/>
          <w:sz w:val="28"/>
          <w:szCs w:val="28"/>
          <w:highlight w:val="none"/>
          <w:lang w:val="en-US" w:eastAsia="zh-CN"/>
        </w:rPr>
      </w:pPr>
      <w:bookmarkStart w:id="420" w:name="_Toc31980"/>
      <w:r>
        <w:rPr>
          <w:rFonts w:hint="eastAsia"/>
          <w:color w:val="auto"/>
          <w:sz w:val="28"/>
          <w:szCs w:val="28"/>
          <w:highlight w:val="none"/>
          <w:lang w:val="en-US" w:eastAsia="zh-CN"/>
        </w:rPr>
        <w:t>一、采购标的</w:t>
      </w:r>
      <w:bookmarkEnd w:id="420"/>
      <w:r>
        <w:rPr>
          <w:rFonts w:hint="eastAsia"/>
          <w:color w:val="auto"/>
          <w:sz w:val="28"/>
          <w:szCs w:val="28"/>
          <w:highlight w:val="none"/>
          <w:lang w:val="en-US" w:eastAsia="zh-CN"/>
        </w:rPr>
        <w:t xml:space="preserve"> </w:t>
      </w:r>
    </w:p>
    <w:p w14:paraId="0D7EC84F">
      <w:pPr>
        <w:pStyle w:val="40"/>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sz w:val="24"/>
          <w:szCs w:val="24"/>
          <w:highlight w:val="none"/>
          <w:lang w:val="en-US" w:eastAsia="zh-CN"/>
        </w:rPr>
      </w:pPr>
      <w:r>
        <w:rPr>
          <w:rFonts w:hint="default"/>
          <w:i w:val="0"/>
          <w:iCs w:val="0"/>
          <w:snapToGrid w:val="0"/>
          <w:color w:val="auto"/>
          <w:sz w:val="24"/>
          <w:szCs w:val="24"/>
          <w:highlight w:val="none"/>
          <w:lang w:val="en-US" w:eastAsia="zh-CN"/>
        </w:rPr>
        <w:t xml:space="preserve">1. </w:t>
      </w:r>
      <w:r>
        <w:rPr>
          <w:rFonts w:hint="eastAsia"/>
          <w:i w:val="0"/>
          <w:iCs w:val="0"/>
          <w:snapToGrid w:val="0"/>
          <w:color w:val="auto"/>
          <w:sz w:val="24"/>
          <w:szCs w:val="24"/>
          <w:highlight w:val="none"/>
          <w:lang w:val="en-US" w:eastAsia="zh-CN"/>
        </w:rPr>
        <w:t xml:space="preserve">采购标的（服务需求一览表或简要服务内容及数量） </w:t>
      </w:r>
    </w:p>
    <w:tbl>
      <w:tblPr>
        <w:tblStyle w:val="32"/>
        <w:tblpPr w:leftFromText="180" w:rightFromText="180" w:vertAnchor="text" w:horzAnchor="page" w:tblpX="1786" w:tblpY="622"/>
        <w:tblOverlap w:val="never"/>
        <w:tblW w:w="876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89"/>
        <w:gridCol w:w="1392"/>
        <w:gridCol w:w="6187"/>
        <w:gridCol w:w="594"/>
      </w:tblGrid>
      <w:tr w14:paraId="52B334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7" w:hRule="atLeast"/>
        </w:trPr>
        <w:tc>
          <w:tcPr>
            <w:tcW w:w="589" w:type="dxa"/>
            <w:noWrap w:val="0"/>
            <w:vAlign w:val="center"/>
          </w:tcPr>
          <w:p w14:paraId="3B3C34FA">
            <w:pPr>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序号</w:t>
            </w:r>
          </w:p>
        </w:tc>
        <w:tc>
          <w:tcPr>
            <w:tcW w:w="1392" w:type="dxa"/>
            <w:noWrap w:val="0"/>
            <w:vAlign w:val="center"/>
          </w:tcPr>
          <w:p w14:paraId="28D692DB">
            <w:pPr>
              <w:jc w:val="center"/>
              <w:rPr>
                <w:rFonts w:hint="eastAsia" w:ascii="宋体" w:hAnsi="宋体" w:eastAsia="宋体" w:cs="宋体"/>
                <w:color w:val="auto"/>
                <w:sz w:val="18"/>
                <w:szCs w:val="18"/>
                <w:highlight w:val="none"/>
              </w:rPr>
            </w:pPr>
            <w:r>
              <w:rPr>
                <w:rFonts w:hint="eastAsia" w:cs="宋体"/>
                <w:color w:val="auto"/>
                <w:sz w:val="18"/>
                <w:szCs w:val="18"/>
                <w:highlight w:val="none"/>
                <w:lang w:val="en-US" w:eastAsia="zh-CN"/>
              </w:rPr>
              <w:t>包号</w:t>
            </w:r>
          </w:p>
        </w:tc>
        <w:tc>
          <w:tcPr>
            <w:tcW w:w="6187" w:type="dxa"/>
            <w:noWrap w:val="0"/>
            <w:vAlign w:val="center"/>
          </w:tcPr>
          <w:p w14:paraId="3FC06FD7">
            <w:pPr>
              <w:jc w:val="center"/>
              <w:rPr>
                <w:rFonts w:hint="default"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服务内容及要求</w:t>
            </w:r>
          </w:p>
        </w:tc>
        <w:tc>
          <w:tcPr>
            <w:tcW w:w="594" w:type="dxa"/>
            <w:noWrap w:val="0"/>
            <w:vAlign w:val="center"/>
          </w:tcPr>
          <w:p w14:paraId="2D95801A">
            <w:pPr>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数量</w:t>
            </w:r>
          </w:p>
        </w:tc>
      </w:tr>
      <w:tr w14:paraId="666D0E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7" w:hRule="atLeast"/>
        </w:trPr>
        <w:tc>
          <w:tcPr>
            <w:tcW w:w="589" w:type="dxa"/>
            <w:noWrap w:val="0"/>
            <w:vAlign w:val="center"/>
          </w:tcPr>
          <w:p w14:paraId="678EDA54">
            <w:pPr>
              <w:jc w:val="center"/>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lang w:val="en-US" w:eastAsia="zh-CN"/>
              </w:rPr>
              <w:t>1</w:t>
            </w:r>
          </w:p>
        </w:tc>
        <w:tc>
          <w:tcPr>
            <w:tcW w:w="1392" w:type="dxa"/>
            <w:noWrap w:val="0"/>
            <w:vAlign w:val="center"/>
          </w:tcPr>
          <w:p w14:paraId="0FEE2359">
            <w:pPr>
              <w:jc w:val="center"/>
              <w:rPr>
                <w:rFonts w:hint="default" w:ascii="宋体" w:hAnsi="宋体" w:eastAsia="宋体" w:cs="宋体"/>
                <w:color w:val="auto"/>
                <w:sz w:val="18"/>
                <w:szCs w:val="18"/>
                <w:highlight w:val="none"/>
                <w:lang w:val="en-US" w:eastAsia="zh-CN"/>
              </w:rPr>
            </w:pPr>
            <w:r>
              <w:rPr>
                <w:rFonts w:hint="eastAsia" w:cs="宋体"/>
                <w:color w:val="auto"/>
                <w:sz w:val="18"/>
                <w:szCs w:val="18"/>
                <w:highlight w:val="none"/>
                <w:lang w:val="en-US" w:eastAsia="zh-CN"/>
              </w:rPr>
              <w:t>/</w:t>
            </w:r>
          </w:p>
        </w:tc>
        <w:tc>
          <w:tcPr>
            <w:tcW w:w="6187" w:type="dxa"/>
            <w:noWrap w:val="0"/>
            <w:vAlign w:val="center"/>
          </w:tcPr>
          <w:p w14:paraId="2275F3C7">
            <w:pPr>
              <w:jc w:val="left"/>
              <w:rPr>
                <w:rFonts w:hint="default" w:ascii="宋体" w:hAnsi="宋体" w:eastAsia="宋体" w:cs="宋体"/>
                <w:color w:val="auto"/>
                <w:sz w:val="18"/>
                <w:szCs w:val="18"/>
                <w:highlight w:val="none"/>
                <w:lang w:val="en-US" w:eastAsia="zh-CN"/>
              </w:rPr>
            </w:pPr>
            <w:r>
              <w:rPr>
                <w:rFonts w:hint="eastAsia" w:cs="宋体"/>
                <w:i w:val="0"/>
                <w:iCs w:val="0"/>
                <w:color w:val="auto"/>
                <w:sz w:val="24"/>
                <w:szCs w:val="24"/>
                <w:highlight w:val="none"/>
                <w:lang w:val="hr-HR" w:eastAsia="zh-CN"/>
              </w:rPr>
              <w:t>负责编制工程量清单、工程招标控制价；审核工程变更及现场签证（包括工程量的确认与造价的核定）；提供建材材料、设备价格的咨询与确定；审核预付款、进度款、变更款、索赔款；实施施工阶段全过程的造价控制；进行竣工结算审核；全程监控和控制从工程招标阶段、项目建设期间到竣工结算阶段的造价。承担对其他造价公司编制成果的复核工作。参与建设方组织的各类工程会议。</w:t>
            </w:r>
          </w:p>
        </w:tc>
        <w:tc>
          <w:tcPr>
            <w:tcW w:w="594" w:type="dxa"/>
            <w:noWrap w:val="0"/>
            <w:vAlign w:val="center"/>
          </w:tcPr>
          <w:p w14:paraId="1E432BA9">
            <w:pPr>
              <w:jc w:val="center"/>
              <w:rPr>
                <w:rFonts w:hint="default" w:ascii="宋体" w:hAnsi="宋体" w:eastAsia="宋体" w:cs="宋体"/>
                <w:color w:val="auto"/>
                <w:sz w:val="18"/>
                <w:szCs w:val="18"/>
                <w:highlight w:val="none"/>
                <w:lang w:val="en-US" w:eastAsia="zh-CN"/>
              </w:rPr>
            </w:pPr>
            <w:r>
              <w:rPr>
                <w:rFonts w:hint="eastAsia" w:cs="宋体"/>
                <w:color w:val="auto"/>
                <w:sz w:val="18"/>
                <w:szCs w:val="18"/>
                <w:highlight w:val="none"/>
                <w:lang w:val="en-US" w:eastAsia="zh-CN"/>
              </w:rPr>
              <w:t>1</w:t>
            </w:r>
          </w:p>
        </w:tc>
      </w:tr>
    </w:tbl>
    <w:p w14:paraId="12C74BDF">
      <w:pPr>
        <w:pStyle w:val="40"/>
        <w:keepNext w:val="0"/>
        <w:keepLines w:val="0"/>
        <w:pageBreakBefore w:val="0"/>
        <w:widowControl w:val="0"/>
        <w:kinsoku/>
        <w:overflowPunct/>
        <w:topLinePunct w:val="0"/>
        <w:autoSpaceDE/>
        <w:autoSpaceDN/>
        <w:bidi w:val="0"/>
        <w:adjustRightInd/>
        <w:textAlignment w:val="auto"/>
        <w:rPr>
          <w:rFonts w:hint="default"/>
          <w:i w:val="0"/>
          <w:iCs w:val="0"/>
          <w:snapToGrid w:val="0"/>
          <w:color w:val="auto"/>
          <w:sz w:val="24"/>
          <w:szCs w:val="24"/>
          <w:highlight w:val="none"/>
          <w:lang w:val="en-US" w:eastAsia="zh-CN"/>
        </w:rPr>
      </w:pPr>
      <w:r>
        <w:rPr>
          <w:rFonts w:hint="eastAsia"/>
          <w:i w:val="0"/>
          <w:iCs w:val="0"/>
          <w:snapToGrid w:val="0"/>
          <w:color w:val="auto"/>
          <w:sz w:val="24"/>
          <w:szCs w:val="24"/>
          <w:highlight w:val="none"/>
          <w:lang w:val="en-US" w:eastAsia="zh-CN"/>
        </w:rPr>
        <w:t xml:space="preserve"> </w:t>
      </w:r>
    </w:p>
    <w:p w14:paraId="2DE0D850">
      <w:pPr>
        <w:pStyle w:val="3"/>
        <w:numPr>
          <w:ilvl w:val="0"/>
          <w:numId w:val="3"/>
        </w:numPr>
        <w:bidi w:val="0"/>
        <w:spacing w:before="0" w:after="0" w:line="240" w:lineRule="auto"/>
        <w:ind w:firstLine="562" w:firstLineChars="200"/>
        <w:rPr>
          <w:rFonts w:hint="eastAsia"/>
          <w:color w:val="auto"/>
          <w:sz w:val="28"/>
          <w:szCs w:val="28"/>
          <w:highlight w:val="none"/>
          <w:lang w:val="en-US" w:eastAsia="zh-CN"/>
        </w:rPr>
      </w:pPr>
      <w:bookmarkStart w:id="421" w:name="_Toc21526"/>
      <w:r>
        <w:rPr>
          <w:rFonts w:hint="eastAsia"/>
          <w:color w:val="auto"/>
          <w:sz w:val="28"/>
          <w:szCs w:val="28"/>
          <w:highlight w:val="none"/>
          <w:lang w:val="en-US" w:eastAsia="zh-CN"/>
        </w:rPr>
        <w:t>商务要求</w:t>
      </w:r>
      <w:bookmarkEnd w:id="421"/>
      <w:r>
        <w:rPr>
          <w:rFonts w:hint="eastAsia"/>
          <w:color w:val="auto"/>
          <w:sz w:val="28"/>
          <w:szCs w:val="28"/>
          <w:highlight w:val="none"/>
          <w:lang w:val="en-US" w:eastAsia="zh-CN"/>
        </w:rPr>
        <w:t xml:space="preserve"> </w:t>
      </w:r>
    </w:p>
    <w:p w14:paraId="5E31A0AA">
      <w:pPr>
        <w:pStyle w:val="40"/>
        <w:ind w:firstLine="480"/>
        <w:rPr>
          <w:snapToGrid w:val="0"/>
          <w:color w:val="auto"/>
          <w:sz w:val="24"/>
          <w:szCs w:val="24"/>
          <w:highlight w:val="none"/>
        </w:rPr>
      </w:pPr>
      <w:r>
        <w:rPr>
          <w:rFonts w:hint="eastAsia"/>
          <w:color w:val="auto"/>
          <w:sz w:val="24"/>
          <w:szCs w:val="24"/>
          <w:highlight w:val="none"/>
        </w:rPr>
        <w:t>★</w:t>
      </w:r>
      <w:r>
        <w:rPr>
          <w:snapToGrid w:val="0"/>
          <w:color w:val="auto"/>
          <w:sz w:val="24"/>
          <w:szCs w:val="24"/>
          <w:highlight w:val="none"/>
        </w:rPr>
        <w:t xml:space="preserve">1. </w:t>
      </w:r>
      <w:r>
        <w:rPr>
          <w:rFonts w:hint="eastAsia"/>
          <w:snapToGrid w:val="0"/>
          <w:color w:val="auto"/>
          <w:sz w:val="24"/>
          <w:szCs w:val="24"/>
          <w:highlight w:val="none"/>
        </w:rPr>
        <w:t>交付（实施）的时间（或服务期限）</w:t>
      </w:r>
    </w:p>
    <w:p w14:paraId="4FC95C75">
      <w:pPr>
        <w:pStyle w:val="40"/>
        <w:ind w:left="480" w:leftChars="200" w:firstLine="0" w:firstLineChars="0"/>
        <w:rPr>
          <w:rFonts w:hint="eastAsia"/>
          <w:snapToGrid w:val="0"/>
          <w:color w:val="auto"/>
          <w:sz w:val="24"/>
          <w:szCs w:val="24"/>
          <w:highlight w:val="none"/>
        </w:rPr>
      </w:pPr>
      <w:r>
        <w:rPr>
          <w:rFonts w:hint="eastAsia"/>
          <w:snapToGrid w:val="0"/>
          <w:color w:val="auto"/>
          <w:sz w:val="24"/>
          <w:szCs w:val="24"/>
          <w:highlight w:val="none"/>
        </w:rPr>
        <w:t>服务期限</w:t>
      </w:r>
      <w:r>
        <w:rPr>
          <w:rFonts w:hint="eastAsia"/>
          <w:snapToGrid w:val="0"/>
          <w:color w:val="auto"/>
          <w:sz w:val="24"/>
          <w:szCs w:val="24"/>
          <w:highlight w:val="none"/>
          <w:lang w:eastAsia="zh-CN"/>
        </w:rPr>
        <w:t>：</w:t>
      </w:r>
      <w:r>
        <w:rPr>
          <w:rFonts w:hint="eastAsia"/>
          <w:snapToGrid w:val="0"/>
          <w:color w:val="auto"/>
          <w:sz w:val="24"/>
          <w:szCs w:val="24"/>
          <w:highlight w:val="none"/>
        </w:rPr>
        <w:t>服务期限2年（以最终项目实施完成时间为准）。</w:t>
      </w:r>
    </w:p>
    <w:p w14:paraId="3AF6E94F">
      <w:pPr>
        <w:pStyle w:val="40"/>
        <w:ind w:left="480" w:leftChars="200" w:firstLine="0" w:firstLineChars="0"/>
        <w:rPr>
          <w:rFonts w:hint="default" w:eastAsia="宋体"/>
          <w:snapToGrid w:val="0"/>
          <w:color w:val="auto"/>
          <w:sz w:val="24"/>
          <w:szCs w:val="24"/>
          <w:highlight w:val="none"/>
          <w:lang w:val="en-US" w:eastAsia="zh-CN"/>
        </w:rPr>
      </w:pPr>
      <w:r>
        <w:rPr>
          <w:rFonts w:hint="eastAsia"/>
          <w:color w:val="auto"/>
          <w:sz w:val="24"/>
          <w:szCs w:val="24"/>
          <w:highlight w:val="none"/>
        </w:rPr>
        <w:t>★</w:t>
      </w:r>
      <w:r>
        <w:rPr>
          <w:rFonts w:hint="eastAsia"/>
          <w:snapToGrid w:val="0"/>
          <w:color w:val="auto"/>
          <w:sz w:val="24"/>
          <w:szCs w:val="24"/>
          <w:highlight w:val="none"/>
          <w:lang w:val="en-US" w:eastAsia="zh-CN"/>
        </w:rPr>
        <w:t>2.服务地点：乌鲁木齐市鲤鱼山南路137号，具体以采购人指定地点为准，响应采购人要求。</w:t>
      </w:r>
    </w:p>
    <w:p w14:paraId="70262B5F">
      <w:pPr>
        <w:pStyle w:val="40"/>
        <w:ind w:firstLine="480"/>
        <w:rPr>
          <w:snapToGrid w:val="0"/>
          <w:color w:val="auto"/>
          <w:sz w:val="24"/>
          <w:szCs w:val="24"/>
          <w:highlight w:val="none"/>
        </w:rPr>
      </w:pPr>
      <w:r>
        <w:rPr>
          <w:rFonts w:hint="eastAsia"/>
          <w:color w:val="auto"/>
          <w:sz w:val="24"/>
          <w:szCs w:val="24"/>
          <w:highlight w:val="none"/>
        </w:rPr>
        <w:t>★</w:t>
      </w:r>
      <w:r>
        <w:rPr>
          <w:rFonts w:hint="eastAsia"/>
          <w:color w:val="auto"/>
          <w:sz w:val="24"/>
          <w:szCs w:val="24"/>
          <w:highlight w:val="none"/>
          <w:lang w:val="en-US" w:eastAsia="zh-CN"/>
        </w:rPr>
        <w:t>3</w:t>
      </w:r>
      <w:r>
        <w:rPr>
          <w:snapToGrid w:val="0"/>
          <w:color w:val="auto"/>
          <w:sz w:val="24"/>
          <w:szCs w:val="24"/>
          <w:highlight w:val="none"/>
        </w:rPr>
        <w:t>.</w:t>
      </w:r>
      <w:r>
        <w:rPr>
          <w:rFonts w:hint="eastAsia"/>
          <w:snapToGrid w:val="0"/>
          <w:color w:val="auto"/>
          <w:sz w:val="24"/>
          <w:szCs w:val="24"/>
          <w:highlight w:val="none"/>
        </w:rPr>
        <w:t>付款条件（进度和方式）</w:t>
      </w:r>
      <w:r>
        <w:rPr>
          <w:rFonts w:hint="eastAsia"/>
          <w:snapToGrid w:val="0"/>
          <w:color w:val="auto"/>
          <w:sz w:val="24"/>
          <w:szCs w:val="24"/>
          <w:highlight w:val="none"/>
          <w:lang w:eastAsia="zh-CN"/>
        </w:rPr>
        <w:t>：</w:t>
      </w:r>
      <w:r>
        <w:rPr>
          <w:rFonts w:hint="eastAsia"/>
          <w:snapToGrid w:val="0"/>
          <w:color w:val="auto"/>
          <w:sz w:val="24"/>
          <w:szCs w:val="24"/>
          <w:highlight w:val="none"/>
        </w:rPr>
        <w:t>一次性支付</w:t>
      </w:r>
      <w:r>
        <w:rPr>
          <w:rFonts w:hint="eastAsia"/>
          <w:b/>
          <w:bCs/>
          <w:snapToGrid w:val="0"/>
          <w:color w:val="auto"/>
          <w:sz w:val="24"/>
          <w:szCs w:val="24"/>
          <w:highlight w:val="none"/>
        </w:rPr>
        <w:t>已完成</w:t>
      </w:r>
      <w:r>
        <w:rPr>
          <w:rFonts w:hint="eastAsia"/>
          <w:snapToGrid w:val="0"/>
          <w:color w:val="auto"/>
          <w:sz w:val="24"/>
          <w:szCs w:val="24"/>
          <w:highlight w:val="none"/>
        </w:rPr>
        <w:t>工程项目的造价咨询费</w:t>
      </w:r>
      <w:r>
        <w:rPr>
          <w:rFonts w:hint="eastAsia" w:cs="宋体"/>
          <w:color w:val="auto"/>
          <w:kern w:val="0"/>
          <w:sz w:val="24"/>
          <w:szCs w:val="24"/>
          <w:highlight w:val="none"/>
        </w:rPr>
        <w:t>。</w:t>
      </w:r>
    </w:p>
    <w:p w14:paraId="6317FB13">
      <w:pPr>
        <w:pStyle w:val="40"/>
        <w:ind w:firstLine="480"/>
        <w:rPr>
          <w:rFonts w:hint="eastAsia"/>
          <w:color w:val="auto"/>
          <w:sz w:val="24"/>
          <w:szCs w:val="24"/>
          <w:highlight w:val="none"/>
        </w:rPr>
      </w:pPr>
      <w:r>
        <w:rPr>
          <w:rFonts w:hint="eastAsia"/>
          <w:color w:val="auto"/>
          <w:sz w:val="24"/>
          <w:szCs w:val="24"/>
          <w:highlight w:val="none"/>
        </w:rPr>
        <w:t>★</w:t>
      </w:r>
      <w:r>
        <w:rPr>
          <w:rFonts w:hint="eastAsia"/>
          <w:color w:val="auto"/>
          <w:sz w:val="24"/>
          <w:szCs w:val="24"/>
          <w:highlight w:val="none"/>
          <w:lang w:val="en-US" w:eastAsia="zh-CN"/>
        </w:rPr>
        <w:t>4.响应文件有效期：响应文件递交截止日期后90日历日。</w:t>
      </w:r>
    </w:p>
    <w:p w14:paraId="4F6C6459">
      <w:pPr>
        <w:pStyle w:val="40"/>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sz w:val="24"/>
          <w:szCs w:val="24"/>
          <w:highlight w:val="none"/>
          <w:lang w:val="en-US" w:eastAsia="zh-CN"/>
        </w:rPr>
      </w:pPr>
      <w:r>
        <w:rPr>
          <w:rFonts w:hint="eastAsia"/>
          <w:color w:val="auto"/>
          <w:sz w:val="24"/>
          <w:szCs w:val="24"/>
          <w:highlight w:val="none"/>
        </w:rPr>
        <w:t>★</w:t>
      </w:r>
      <w:r>
        <w:rPr>
          <w:rFonts w:hint="eastAsia"/>
          <w:color w:val="auto"/>
          <w:sz w:val="24"/>
          <w:szCs w:val="24"/>
          <w:highlight w:val="none"/>
          <w:lang w:val="en-US" w:eastAsia="zh-CN"/>
        </w:rPr>
        <w:t>5.</w:t>
      </w:r>
      <w:r>
        <w:rPr>
          <w:rFonts w:hint="eastAsia"/>
          <w:i w:val="0"/>
          <w:iCs w:val="0"/>
          <w:snapToGrid w:val="0"/>
          <w:color w:val="auto"/>
          <w:sz w:val="24"/>
          <w:szCs w:val="24"/>
          <w:highlight w:val="none"/>
          <w:lang w:val="en-US" w:eastAsia="zh-CN"/>
        </w:rPr>
        <w:t>本章节中的参数仅供参考，但响应参数不得低于上述要求（实质性要求）。</w:t>
      </w:r>
    </w:p>
    <w:p w14:paraId="1BCB8E22">
      <w:pPr>
        <w:pStyle w:val="3"/>
        <w:bidi w:val="0"/>
        <w:spacing w:before="0" w:after="0" w:line="240" w:lineRule="auto"/>
        <w:ind w:firstLine="562" w:firstLineChars="200"/>
        <w:rPr>
          <w:rFonts w:hint="eastAsia"/>
          <w:color w:val="auto"/>
          <w:sz w:val="28"/>
          <w:szCs w:val="28"/>
          <w:highlight w:val="none"/>
          <w:lang w:val="en-US" w:eastAsia="zh-CN"/>
        </w:rPr>
      </w:pPr>
      <w:bookmarkStart w:id="422" w:name="_Toc8025"/>
      <w:r>
        <w:rPr>
          <w:rFonts w:hint="eastAsia"/>
          <w:color w:val="auto"/>
          <w:sz w:val="28"/>
          <w:szCs w:val="28"/>
          <w:highlight w:val="none"/>
          <w:lang w:val="en-US" w:eastAsia="zh-CN"/>
        </w:rPr>
        <w:t>三、技术要求</w:t>
      </w:r>
      <w:bookmarkEnd w:id="422"/>
      <w:r>
        <w:rPr>
          <w:rFonts w:hint="eastAsia"/>
          <w:color w:val="auto"/>
          <w:sz w:val="28"/>
          <w:szCs w:val="28"/>
          <w:highlight w:val="none"/>
          <w:lang w:val="en-US" w:eastAsia="zh-CN"/>
        </w:rPr>
        <w:t xml:space="preserve"> </w:t>
      </w:r>
    </w:p>
    <w:bookmarkEnd w:id="417"/>
    <w:bookmarkEnd w:id="418"/>
    <w:bookmarkEnd w:id="419"/>
    <w:p w14:paraId="0C8D0BD1">
      <w:pPr>
        <w:pStyle w:val="2"/>
        <w:numPr>
          <w:ilvl w:val="0"/>
          <w:numId w:val="0"/>
        </w:numPr>
        <w:spacing w:line="360" w:lineRule="auto"/>
        <w:jc w:val="center"/>
        <w:rPr>
          <w:rFonts w:hint="eastAsia" w:ascii="宋体" w:hAnsi="宋体" w:eastAsia="宋体" w:cs="宋体"/>
          <w:sz w:val="24"/>
          <w:szCs w:val="24"/>
        </w:rPr>
      </w:pPr>
      <w:bookmarkStart w:id="423" w:name="_Toc298240411"/>
      <w:bookmarkStart w:id="424" w:name="_Toc130822451"/>
      <w:bookmarkStart w:id="425" w:name="_Toc349573127"/>
      <w:bookmarkStart w:id="426" w:name="_Toc349637926"/>
      <w:bookmarkStart w:id="427" w:name="_Toc12488"/>
      <w:r>
        <w:rPr>
          <w:rFonts w:hint="eastAsia" w:ascii="宋体" w:hAnsi="宋体" w:eastAsia="宋体" w:cs="宋体"/>
          <w:sz w:val="24"/>
          <w:szCs w:val="24"/>
        </w:rPr>
        <w:t>基建工程项目造价咨询服务需求及技术要求</w:t>
      </w:r>
      <w:bookmarkEnd w:id="423"/>
      <w:bookmarkEnd w:id="424"/>
      <w:bookmarkEnd w:id="425"/>
      <w:bookmarkEnd w:id="426"/>
    </w:p>
    <w:p w14:paraId="7947B7B7">
      <w:pPr>
        <w:widowControl/>
        <w:numPr>
          <w:ilvl w:val="0"/>
          <w:numId w:val="4"/>
        </w:numPr>
        <w:bidi w:val="0"/>
        <w:adjustRightInd w:val="0"/>
        <w:spacing w:line="360" w:lineRule="auto"/>
        <w:ind w:left="0" w:leftChars="0" w:firstLine="420" w:firstLineChars="0"/>
        <w:jc w:val="left"/>
        <w:rPr>
          <w:rFonts w:hint="eastAsia" w:ascii="宋体" w:hAnsi="宋体" w:eastAsia="宋体" w:cs="宋体"/>
          <w:b/>
          <w:bCs/>
          <w:kern w:val="2"/>
          <w:sz w:val="24"/>
          <w:szCs w:val="24"/>
          <w:lang w:bidi="ar-SA"/>
        </w:rPr>
      </w:pPr>
      <w:r>
        <w:rPr>
          <w:rFonts w:hint="eastAsia" w:ascii="宋体" w:hAnsi="宋体" w:eastAsia="宋体" w:cs="宋体"/>
          <w:b/>
          <w:bCs/>
          <w:kern w:val="2"/>
          <w:sz w:val="24"/>
          <w:szCs w:val="24"/>
          <w:lang w:bidi="ar-SA"/>
        </w:rPr>
        <w:t>预算额度：依据中价协【2013】35号文件规定，下调50%。</w:t>
      </w:r>
    </w:p>
    <w:p w14:paraId="3353565B">
      <w:pPr>
        <w:widowControl/>
        <w:numPr>
          <w:ilvl w:val="0"/>
          <w:numId w:val="4"/>
        </w:numPr>
        <w:bidi w:val="0"/>
        <w:adjustRightInd w:val="0"/>
        <w:spacing w:line="360" w:lineRule="auto"/>
        <w:ind w:left="0" w:leftChars="0" w:firstLine="420" w:firstLineChars="0"/>
        <w:jc w:val="left"/>
        <w:rPr>
          <w:rFonts w:hint="eastAsia" w:ascii="宋体" w:hAnsi="宋体" w:eastAsia="宋体" w:cs="宋体"/>
          <w:b/>
          <w:bCs/>
          <w:kern w:val="2"/>
          <w:sz w:val="24"/>
          <w:szCs w:val="24"/>
          <w:lang w:bidi="ar-SA"/>
        </w:rPr>
      </w:pPr>
      <w:r>
        <w:rPr>
          <w:rFonts w:hint="eastAsia" w:ascii="宋体" w:hAnsi="宋体" w:eastAsia="宋体" w:cs="宋体"/>
          <w:b/>
          <w:bCs/>
          <w:kern w:val="2"/>
          <w:sz w:val="24"/>
          <w:szCs w:val="24"/>
          <w:lang w:bidi="ar-SA"/>
        </w:rPr>
        <w:t>服务范围：涵盖工程项目的施工预算，总金额为3780万元。</w:t>
      </w:r>
    </w:p>
    <w:p w14:paraId="2CCE2764">
      <w:pPr>
        <w:widowControl/>
        <w:numPr>
          <w:ilvl w:val="0"/>
          <w:numId w:val="4"/>
        </w:numPr>
        <w:bidi w:val="0"/>
        <w:adjustRightInd w:val="0"/>
        <w:spacing w:line="360" w:lineRule="auto"/>
        <w:ind w:left="0" w:leftChars="0" w:firstLine="420" w:firstLineChars="0"/>
        <w:jc w:val="left"/>
        <w:rPr>
          <w:rFonts w:hint="eastAsia" w:ascii="宋体" w:hAnsi="宋体" w:eastAsia="宋体" w:cs="宋体"/>
          <w:b/>
          <w:bCs/>
          <w:kern w:val="2"/>
          <w:sz w:val="24"/>
          <w:szCs w:val="24"/>
          <w:lang w:bidi="ar-SA"/>
        </w:rPr>
      </w:pPr>
      <w:r>
        <w:rPr>
          <w:rFonts w:hint="eastAsia" w:ascii="宋体" w:hAnsi="宋体" w:eastAsia="宋体" w:cs="宋体"/>
          <w:b/>
          <w:bCs/>
          <w:kern w:val="2"/>
          <w:sz w:val="24"/>
          <w:szCs w:val="24"/>
          <w:lang w:bidi="ar-SA"/>
        </w:rPr>
        <w:t>服务内容：</w:t>
      </w:r>
    </w:p>
    <w:p w14:paraId="70693E6C">
      <w:pPr>
        <w:widowControl/>
        <w:bidi w:val="0"/>
        <w:adjustRightInd w:val="0"/>
        <w:spacing w:line="360" w:lineRule="auto"/>
        <w:ind w:firstLine="480" w:firstLineChars="200"/>
        <w:jc w:val="left"/>
        <w:rPr>
          <w:rFonts w:hint="eastAsia" w:ascii="宋体" w:hAnsi="宋体" w:eastAsia="宋体" w:cs="宋体"/>
          <w:kern w:val="2"/>
          <w:sz w:val="24"/>
          <w:szCs w:val="24"/>
          <w:lang w:bidi="ar-SA"/>
        </w:rPr>
      </w:pPr>
      <w:r>
        <w:rPr>
          <w:rFonts w:hint="eastAsia" w:ascii="宋体" w:hAnsi="宋体" w:eastAsia="宋体" w:cs="宋体"/>
          <w:kern w:val="2"/>
          <w:sz w:val="24"/>
          <w:szCs w:val="24"/>
          <w:lang w:bidi="ar-SA"/>
        </w:rPr>
        <w:t>负责编制工程量清单、工程招标控制价；审核工程变更及现场签证（包括工程量的确认与造价的核定）；提供建材材料、设备价格的咨询与确定；审核预付款、进度款、变更款、索赔款；实施施工阶段全过程的造价控制；进行竣工结算审核；全程监控和控制从工程招标阶段、项目建设期间到竣工结算阶段的造价。承担对其他造价公司编制成果的复核工作。参与建设方组织的各类工程会议。</w:t>
      </w:r>
    </w:p>
    <w:p w14:paraId="0EAD49F8">
      <w:pPr>
        <w:widowControl/>
        <w:numPr>
          <w:ilvl w:val="0"/>
          <w:numId w:val="4"/>
        </w:numPr>
        <w:bidi w:val="0"/>
        <w:adjustRightInd w:val="0"/>
        <w:spacing w:line="360" w:lineRule="auto"/>
        <w:ind w:left="0" w:leftChars="0" w:firstLine="420" w:firstLineChars="0"/>
        <w:jc w:val="left"/>
        <w:rPr>
          <w:rFonts w:hint="eastAsia" w:ascii="宋体" w:hAnsi="宋体" w:eastAsia="宋体" w:cs="宋体"/>
          <w:b/>
          <w:bCs/>
          <w:kern w:val="2"/>
          <w:sz w:val="24"/>
          <w:szCs w:val="24"/>
          <w:lang w:bidi="ar-SA"/>
        </w:rPr>
      </w:pPr>
      <w:r>
        <w:rPr>
          <w:rFonts w:hint="eastAsia" w:ascii="宋体" w:hAnsi="宋体" w:eastAsia="宋体" w:cs="宋体"/>
          <w:b/>
          <w:bCs/>
          <w:kern w:val="2"/>
          <w:sz w:val="24"/>
          <w:szCs w:val="24"/>
          <w:lang w:bidi="ar-SA"/>
        </w:rPr>
        <w:t>报价要求（不满足将导致非实质性响应）</w:t>
      </w:r>
    </w:p>
    <w:p w14:paraId="3B1AA0A4">
      <w:pPr>
        <w:widowControl/>
        <w:bidi w:val="0"/>
        <w:adjustRightInd w:val="0"/>
        <w:spacing w:line="360" w:lineRule="auto"/>
        <w:ind w:firstLine="480" w:firstLineChars="200"/>
        <w:jc w:val="left"/>
        <w:rPr>
          <w:rFonts w:hint="eastAsia" w:ascii="宋体" w:hAnsi="宋体" w:eastAsia="宋体" w:cs="宋体"/>
          <w:kern w:val="2"/>
          <w:sz w:val="24"/>
          <w:szCs w:val="24"/>
          <w:lang w:bidi="ar-SA"/>
        </w:rPr>
      </w:pPr>
      <w:r>
        <w:rPr>
          <w:rFonts w:hint="eastAsia" w:ascii="宋体" w:hAnsi="宋体" w:eastAsia="宋体" w:cs="宋体"/>
          <w:kern w:val="2"/>
          <w:sz w:val="24"/>
          <w:szCs w:val="24"/>
          <w:lang w:bidi="ar-SA"/>
        </w:rPr>
        <w:t>最高限价：依据中价协【2013】35号文件规定，下调50%。</w:t>
      </w:r>
    </w:p>
    <w:p w14:paraId="68D18130">
      <w:pPr>
        <w:widowControl/>
        <w:numPr>
          <w:ilvl w:val="0"/>
          <w:numId w:val="4"/>
        </w:numPr>
        <w:bidi w:val="0"/>
        <w:adjustRightInd w:val="0"/>
        <w:spacing w:line="360" w:lineRule="auto"/>
        <w:ind w:left="0" w:leftChars="0" w:firstLine="420" w:firstLineChars="0"/>
        <w:jc w:val="left"/>
        <w:rPr>
          <w:rFonts w:hint="eastAsia" w:ascii="宋体" w:hAnsi="宋体" w:eastAsia="宋体" w:cs="宋体"/>
          <w:b/>
          <w:bCs/>
          <w:kern w:val="2"/>
          <w:sz w:val="24"/>
          <w:szCs w:val="24"/>
          <w:lang w:bidi="ar-SA"/>
        </w:rPr>
      </w:pPr>
      <w:r>
        <w:rPr>
          <w:rFonts w:hint="eastAsia" w:ascii="宋体" w:hAnsi="宋体" w:eastAsia="宋体" w:cs="宋体"/>
          <w:b/>
          <w:bCs/>
          <w:kern w:val="2"/>
          <w:sz w:val="24"/>
          <w:szCs w:val="24"/>
          <w:lang w:bidi="ar-SA"/>
        </w:rPr>
        <w:t>付款方式：一次性支付已完成工程项目的造价咨询费</w:t>
      </w:r>
    </w:p>
    <w:p w14:paraId="40B4FA78">
      <w:pPr>
        <w:widowControl/>
        <w:numPr>
          <w:ilvl w:val="0"/>
          <w:numId w:val="4"/>
        </w:numPr>
        <w:bidi w:val="0"/>
        <w:adjustRightInd w:val="0"/>
        <w:spacing w:line="360" w:lineRule="auto"/>
        <w:ind w:left="0" w:leftChars="0" w:firstLine="420" w:firstLineChars="0"/>
        <w:jc w:val="left"/>
        <w:rPr>
          <w:rFonts w:hint="eastAsia" w:ascii="宋体" w:hAnsi="宋体" w:eastAsia="宋体" w:cs="宋体"/>
          <w:b/>
          <w:bCs/>
          <w:kern w:val="2"/>
          <w:sz w:val="24"/>
          <w:szCs w:val="24"/>
          <w:lang w:eastAsia="zh-CN" w:bidi="ar-SA"/>
        </w:rPr>
      </w:pPr>
      <w:r>
        <w:rPr>
          <w:rFonts w:hint="eastAsia" w:ascii="宋体" w:hAnsi="宋体" w:eastAsia="宋体" w:cs="宋体"/>
          <w:b/>
          <w:bCs/>
          <w:kern w:val="2"/>
          <w:sz w:val="24"/>
          <w:szCs w:val="24"/>
          <w:lang w:bidi="ar-SA"/>
        </w:rPr>
        <w:t>服务期限：服务期限</w:t>
      </w:r>
      <w:r>
        <w:rPr>
          <w:rFonts w:hint="eastAsia" w:ascii="宋体" w:hAnsi="宋体" w:eastAsia="宋体" w:cs="宋体"/>
          <w:b/>
          <w:bCs/>
          <w:kern w:val="2"/>
          <w:sz w:val="24"/>
          <w:szCs w:val="24"/>
          <w:lang w:val="en-US" w:eastAsia="zh-CN" w:bidi="ar-SA"/>
        </w:rPr>
        <w:t>2</w:t>
      </w:r>
      <w:r>
        <w:rPr>
          <w:rFonts w:hint="eastAsia" w:ascii="宋体" w:hAnsi="宋体" w:eastAsia="宋体" w:cs="宋体"/>
          <w:b/>
          <w:bCs/>
          <w:kern w:val="2"/>
          <w:sz w:val="24"/>
          <w:szCs w:val="24"/>
          <w:lang w:bidi="ar-SA"/>
        </w:rPr>
        <w:t>年</w:t>
      </w:r>
      <w:r>
        <w:rPr>
          <w:rFonts w:hint="eastAsia" w:ascii="宋体" w:hAnsi="宋体" w:eastAsia="宋体" w:cs="宋体"/>
          <w:b/>
          <w:bCs/>
          <w:kern w:val="2"/>
          <w:sz w:val="24"/>
          <w:szCs w:val="24"/>
          <w:lang w:eastAsia="zh-CN" w:bidi="ar-SA"/>
        </w:rPr>
        <w:t>（</w:t>
      </w:r>
      <w:r>
        <w:rPr>
          <w:rFonts w:hint="eastAsia" w:ascii="宋体" w:hAnsi="宋体" w:eastAsia="宋体" w:cs="宋体"/>
          <w:b/>
          <w:bCs/>
          <w:kern w:val="2"/>
          <w:sz w:val="24"/>
          <w:szCs w:val="24"/>
          <w:lang w:val="en-US" w:eastAsia="zh-CN" w:bidi="ar-SA"/>
        </w:rPr>
        <w:t>以最终项目实施完成时间为准</w:t>
      </w:r>
      <w:r>
        <w:rPr>
          <w:rFonts w:hint="eastAsia" w:ascii="宋体" w:hAnsi="宋体" w:eastAsia="宋体" w:cs="宋体"/>
          <w:b/>
          <w:bCs/>
          <w:kern w:val="2"/>
          <w:sz w:val="24"/>
          <w:szCs w:val="24"/>
          <w:lang w:eastAsia="zh-CN" w:bidi="ar-SA"/>
        </w:rPr>
        <w:t>）</w:t>
      </w:r>
    </w:p>
    <w:p w14:paraId="29D3C689">
      <w:pPr>
        <w:widowControl/>
        <w:numPr>
          <w:ilvl w:val="0"/>
          <w:numId w:val="4"/>
        </w:numPr>
        <w:bidi w:val="0"/>
        <w:adjustRightInd w:val="0"/>
        <w:spacing w:line="360" w:lineRule="auto"/>
        <w:ind w:left="0" w:leftChars="0" w:firstLine="420" w:firstLineChars="0"/>
        <w:jc w:val="left"/>
        <w:rPr>
          <w:rFonts w:hint="eastAsia" w:ascii="宋体" w:hAnsi="宋体" w:eastAsia="宋体" w:cs="宋体"/>
          <w:b/>
          <w:bCs/>
          <w:kern w:val="2"/>
          <w:sz w:val="24"/>
          <w:szCs w:val="24"/>
          <w:lang w:bidi="ar-SA"/>
        </w:rPr>
      </w:pPr>
      <w:r>
        <w:rPr>
          <w:rFonts w:hint="eastAsia" w:ascii="宋体" w:hAnsi="宋体" w:eastAsia="宋体" w:cs="宋体"/>
          <w:b/>
          <w:bCs/>
          <w:kern w:val="2"/>
          <w:sz w:val="24"/>
          <w:szCs w:val="24"/>
          <w:lang w:bidi="ar-SA"/>
        </w:rPr>
        <w:t>工作要求：</w:t>
      </w:r>
    </w:p>
    <w:p w14:paraId="20D64D09">
      <w:pPr>
        <w:widowControl/>
        <w:bidi w:val="0"/>
        <w:adjustRightInd w:val="0"/>
        <w:spacing w:line="360" w:lineRule="auto"/>
        <w:ind w:firstLine="480" w:firstLineChars="200"/>
        <w:jc w:val="left"/>
        <w:rPr>
          <w:rFonts w:hint="eastAsia" w:ascii="宋体" w:hAnsi="宋体" w:eastAsia="宋体" w:cs="宋体"/>
          <w:kern w:val="2"/>
          <w:sz w:val="24"/>
          <w:szCs w:val="24"/>
          <w:lang w:bidi="ar-SA"/>
        </w:rPr>
      </w:pPr>
      <w:r>
        <w:rPr>
          <w:rFonts w:hint="eastAsia" w:ascii="宋体" w:hAnsi="宋体" w:eastAsia="宋体" w:cs="宋体"/>
          <w:kern w:val="2"/>
          <w:sz w:val="24"/>
          <w:szCs w:val="24"/>
          <w:lang w:bidi="ar-SA"/>
        </w:rPr>
        <w:t xml:space="preserve">1、供应商应确保服务单位的审计情况和结果的可靠性； </w:t>
      </w:r>
    </w:p>
    <w:p w14:paraId="701ADFE2">
      <w:pPr>
        <w:widowControl/>
        <w:bidi w:val="0"/>
        <w:adjustRightInd w:val="0"/>
        <w:spacing w:line="360" w:lineRule="auto"/>
        <w:ind w:firstLine="480" w:firstLineChars="200"/>
        <w:jc w:val="left"/>
        <w:rPr>
          <w:rFonts w:hint="eastAsia" w:ascii="宋体" w:hAnsi="宋体" w:eastAsia="宋体" w:cs="宋体"/>
          <w:kern w:val="2"/>
          <w:sz w:val="24"/>
          <w:szCs w:val="24"/>
          <w:lang w:bidi="ar-SA"/>
        </w:rPr>
      </w:pPr>
      <w:r>
        <w:rPr>
          <w:rFonts w:hint="eastAsia" w:ascii="宋体" w:hAnsi="宋体" w:eastAsia="宋体" w:cs="宋体"/>
          <w:kern w:val="2"/>
          <w:sz w:val="24"/>
          <w:szCs w:val="24"/>
          <w:lang w:bidi="ar-SA"/>
        </w:rPr>
        <w:t>2、供应商必须独立完成全部审计工作，禁止转包或由其他中介组织承担部分审计工作；</w:t>
      </w:r>
    </w:p>
    <w:p w14:paraId="176A9D7D">
      <w:pPr>
        <w:widowControl/>
        <w:bidi w:val="0"/>
        <w:adjustRightInd w:val="0"/>
        <w:spacing w:line="360" w:lineRule="auto"/>
        <w:ind w:firstLine="480" w:firstLineChars="200"/>
        <w:jc w:val="left"/>
        <w:rPr>
          <w:rFonts w:hint="eastAsia" w:ascii="宋体" w:hAnsi="宋体" w:eastAsia="宋体" w:cs="宋体"/>
          <w:kern w:val="2"/>
          <w:sz w:val="24"/>
          <w:szCs w:val="24"/>
          <w:lang w:bidi="ar-SA"/>
        </w:rPr>
      </w:pPr>
      <w:r>
        <w:rPr>
          <w:rFonts w:hint="eastAsia" w:ascii="宋体" w:hAnsi="宋体" w:eastAsia="宋体" w:cs="宋体"/>
          <w:kern w:val="2"/>
          <w:sz w:val="24"/>
          <w:szCs w:val="24"/>
          <w:lang w:bidi="ar-SA"/>
        </w:rPr>
        <w:t>3、供应商选派的项目负责人应具备</w:t>
      </w:r>
      <w:r>
        <w:rPr>
          <w:rFonts w:hint="eastAsia" w:ascii="宋体" w:hAnsi="宋体" w:eastAsia="宋体" w:cs="宋体"/>
          <w:kern w:val="2"/>
          <w:sz w:val="24"/>
          <w:szCs w:val="24"/>
          <w:lang w:val="en-US" w:eastAsia="zh-CN" w:bidi="ar-SA"/>
        </w:rPr>
        <w:t>注册造价师执业资格</w:t>
      </w:r>
      <w:r>
        <w:rPr>
          <w:rFonts w:hint="eastAsia" w:ascii="宋体" w:hAnsi="宋体" w:eastAsia="宋体" w:cs="宋体"/>
          <w:kern w:val="2"/>
          <w:sz w:val="24"/>
          <w:szCs w:val="24"/>
          <w:lang w:bidi="ar-SA"/>
        </w:rPr>
        <w:t>；</w:t>
      </w:r>
    </w:p>
    <w:p w14:paraId="5AC2E855">
      <w:pPr>
        <w:widowControl/>
        <w:bidi w:val="0"/>
        <w:adjustRightInd w:val="0"/>
        <w:spacing w:line="360" w:lineRule="auto"/>
        <w:ind w:firstLine="480" w:firstLineChars="200"/>
        <w:jc w:val="left"/>
        <w:rPr>
          <w:rFonts w:hint="eastAsia" w:ascii="宋体" w:hAnsi="宋体" w:eastAsia="宋体" w:cs="宋体"/>
          <w:kern w:val="2"/>
          <w:sz w:val="24"/>
          <w:szCs w:val="24"/>
          <w:lang w:bidi="ar-SA"/>
        </w:rPr>
      </w:pPr>
      <w:r>
        <w:rPr>
          <w:rFonts w:hint="eastAsia" w:ascii="宋体" w:hAnsi="宋体" w:eastAsia="宋体" w:cs="宋体"/>
          <w:kern w:val="2"/>
          <w:sz w:val="24"/>
          <w:szCs w:val="24"/>
          <w:lang w:bidi="ar-SA"/>
        </w:rPr>
        <w:t>4、供应商项目负责人必须参与甲方涉及工程造价等的所有会议；提供建材价格信息咨询确定；</w:t>
      </w:r>
    </w:p>
    <w:p w14:paraId="3232A1E3">
      <w:pPr>
        <w:widowControl/>
        <w:bidi w:val="0"/>
        <w:adjustRightInd w:val="0"/>
        <w:spacing w:line="360" w:lineRule="auto"/>
        <w:ind w:firstLine="480" w:firstLineChars="200"/>
        <w:jc w:val="left"/>
        <w:rPr>
          <w:rFonts w:hint="eastAsia" w:ascii="宋体" w:hAnsi="宋体" w:eastAsia="宋体" w:cs="宋体"/>
          <w:kern w:val="2"/>
          <w:sz w:val="24"/>
          <w:szCs w:val="24"/>
          <w:lang w:bidi="ar-SA"/>
        </w:rPr>
      </w:pPr>
      <w:r>
        <w:rPr>
          <w:rFonts w:hint="eastAsia" w:ascii="宋体" w:hAnsi="宋体" w:eastAsia="宋体" w:cs="宋体"/>
          <w:kern w:val="2"/>
          <w:sz w:val="24"/>
          <w:szCs w:val="24"/>
          <w:lang w:bidi="ar-SA"/>
        </w:rPr>
        <w:t>5、供应商需按照甲方要求提供每周工作小结、现场勘察记录、会议纪要等。</w:t>
      </w:r>
    </w:p>
    <w:p w14:paraId="467464AE">
      <w:pPr>
        <w:widowControl/>
        <w:bidi w:val="0"/>
        <w:adjustRightInd w:val="0"/>
        <w:spacing w:line="360" w:lineRule="auto"/>
        <w:ind w:firstLine="480" w:firstLineChars="200"/>
        <w:jc w:val="left"/>
        <w:rPr>
          <w:rFonts w:hint="eastAsia" w:ascii="宋体" w:hAnsi="宋体" w:eastAsia="宋体" w:cs="宋体"/>
          <w:kern w:val="2"/>
          <w:sz w:val="24"/>
          <w:szCs w:val="24"/>
          <w:lang w:bidi="ar-SA"/>
        </w:rPr>
      </w:pPr>
      <w:r>
        <w:rPr>
          <w:rFonts w:hint="eastAsia" w:ascii="宋体" w:hAnsi="宋体" w:eastAsia="宋体" w:cs="宋体"/>
          <w:kern w:val="2"/>
          <w:sz w:val="24"/>
          <w:szCs w:val="24"/>
          <w:lang w:bidi="ar-SA"/>
        </w:rPr>
        <w:t>6、如出现超国家规定范围内的较大工作失误三次及以上者，委托单位有权提交造价、招标主管单位予以通报。</w:t>
      </w:r>
    </w:p>
    <w:p w14:paraId="5198330F">
      <w:pPr>
        <w:widowControl w:val="0"/>
        <w:bidi w:val="0"/>
        <w:adjustRightInd w:val="0"/>
        <w:spacing w:line="360" w:lineRule="auto"/>
        <w:ind w:firstLine="482" w:firstLineChars="200"/>
        <w:jc w:val="both"/>
        <w:rPr>
          <w:rFonts w:hint="eastAsia" w:ascii="宋体" w:hAnsi="宋体" w:eastAsia="宋体" w:cs="宋体"/>
          <w:b/>
          <w:bCs/>
          <w:color w:val="000000"/>
          <w:kern w:val="2"/>
          <w:sz w:val="24"/>
          <w:szCs w:val="24"/>
          <w:highlight w:val="none"/>
          <w:lang w:bidi="ar-SA"/>
        </w:rPr>
      </w:pPr>
      <w:r>
        <w:rPr>
          <w:rFonts w:hint="eastAsia" w:ascii="宋体" w:hAnsi="宋体" w:eastAsia="宋体" w:cs="宋体"/>
          <w:b/>
          <w:bCs/>
          <w:color w:val="000000"/>
          <w:kern w:val="2"/>
          <w:sz w:val="24"/>
          <w:szCs w:val="24"/>
          <w:highlight w:val="none"/>
          <w:lang w:bidi="ar-SA"/>
        </w:rPr>
        <w:t>备注：</w:t>
      </w:r>
    </w:p>
    <w:p w14:paraId="282B2614">
      <w:pPr>
        <w:widowControl w:val="0"/>
        <w:bidi w:val="0"/>
        <w:adjustRightInd w:val="0"/>
        <w:spacing w:line="360" w:lineRule="auto"/>
        <w:ind w:firstLine="482" w:firstLineChars="200"/>
        <w:jc w:val="both"/>
        <w:rPr>
          <w:rFonts w:hint="eastAsia" w:ascii="宋体" w:hAnsi="宋体" w:eastAsia="宋体" w:cs="宋体"/>
          <w:b/>
          <w:bCs/>
          <w:color w:val="000000"/>
          <w:kern w:val="2"/>
          <w:sz w:val="24"/>
          <w:szCs w:val="24"/>
          <w:highlight w:val="none"/>
          <w:lang w:bidi="ar-SA"/>
        </w:rPr>
      </w:pPr>
      <w:r>
        <w:rPr>
          <w:rFonts w:hint="eastAsia" w:ascii="宋体" w:hAnsi="宋体" w:eastAsia="宋体" w:cs="宋体"/>
          <w:b/>
          <w:bCs/>
          <w:color w:val="000000"/>
          <w:kern w:val="2"/>
          <w:sz w:val="24"/>
          <w:szCs w:val="24"/>
          <w:highlight w:val="none"/>
          <w:lang w:bidi="ar-SA"/>
        </w:rPr>
        <w:t>1、本章节中的参数仅供参考，但响应参数不得低于上述要求（实质性要求）。</w:t>
      </w:r>
    </w:p>
    <w:p w14:paraId="491AD066">
      <w:pPr>
        <w:widowControl w:val="0"/>
        <w:bidi w:val="0"/>
        <w:adjustRightInd w:val="0"/>
        <w:spacing w:line="360" w:lineRule="auto"/>
        <w:ind w:firstLine="482" w:firstLineChars="200"/>
        <w:jc w:val="both"/>
        <w:rPr>
          <w:rFonts w:hint="eastAsia" w:ascii="宋体" w:hAnsi="宋体" w:eastAsia="宋体" w:cs="宋体"/>
          <w:b/>
          <w:bCs/>
          <w:color w:val="000000"/>
          <w:kern w:val="2"/>
          <w:sz w:val="24"/>
          <w:szCs w:val="24"/>
          <w:highlight w:val="none"/>
          <w:lang w:bidi="ar-SA"/>
        </w:rPr>
      </w:pPr>
      <w:r>
        <w:rPr>
          <w:rFonts w:hint="eastAsia" w:ascii="宋体" w:hAnsi="宋体" w:eastAsia="宋体" w:cs="宋体"/>
          <w:b/>
          <w:bCs/>
          <w:color w:val="000000"/>
          <w:kern w:val="2"/>
          <w:sz w:val="24"/>
          <w:szCs w:val="24"/>
          <w:highlight w:val="none"/>
          <w:lang w:bidi="ar-SA"/>
        </w:rPr>
        <w:t>2、报价格式必须参照范本格式。</w:t>
      </w:r>
    </w:p>
    <w:p w14:paraId="46492704">
      <w:pPr>
        <w:widowControl w:val="0"/>
        <w:bidi w:val="0"/>
        <w:adjustRightInd w:val="0"/>
        <w:spacing w:line="360" w:lineRule="auto"/>
        <w:ind w:firstLine="482" w:firstLineChars="200"/>
        <w:jc w:val="both"/>
        <w:rPr>
          <w:rFonts w:hint="eastAsia" w:ascii="宋体" w:hAnsi="宋体" w:eastAsia="宋体" w:cs="宋体"/>
          <w:b/>
          <w:bCs/>
          <w:color w:val="000000"/>
          <w:kern w:val="2"/>
          <w:sz w:val="24"/>
          <w:szCs w:val="24"/>
          <w:lang w:bidi="ar-SA"/>
        </w:rPr>
      </w:pPr>
      <w:r>
        <w:rPr>
          <w:rFonts w:hint="eastAsia" w:ascii="宋体" w:hAnsi="宋体" w:eastAsia="宋体" w:cs="宋体"/>
          <w:b/>
          <w:bCs/>
          <w:color w:val="000000"/>
          <w:kern w:val="2"/>
          <w:sz w:val="24"/>
          <w:szCs w:val="24"/>
          <w:lang w:bidi="ar-SA"/>
        </w:rPr>
        <w:t>3、提供与本项目相关的项目业绩，包括项目名称、加盖单位公章的合同复印件和用户电话联系方式。</w:t>
      </w:r>
    </w:p>
    <w:p w14:paraId="42E7A20E">
      <w:pPr>
        <w:widowControl w:val="0"/>
        <w:bidi w:val="0"/>
        <w:adjustRightInd w:val="0"/>
        <w:spacing w:line="360" w:lineRule="auto"/>
        <w:ind w:firstLine="482" w:firstLineChars="200"/>
        <w:jc w:val="both"/>
        <w:rPr>
          <w:rFonts w:hint="eastAsia" w:ascii="宋体" w:hAnsi="宋体" w:eastAsia="宋体" w:cs="宋体"/>
          <w:b/>
          <w:bCs/>
          <w:color w:val="000000"/>
          <w:kern w:val="2"/>
          <w:sz w:val="24"/>
          <w:szCs w:val="24"/>
          <w:lang w:bidi="ar-SA"/>
        </w:rPr>
      </w:pPr>
      <w:r>
        <w:rPr>
          <w:rFonts w:hint="eastAsia" w:ascii="宋体" w:hAnsi="宋体" w:eastAsia="宋体" w:cs="宋体"/>
          <w:b/>
          <w:bCs/>
          <w:color w:val="000000"/>
          <w:kern w:val="2"/>
          <w:sz w:val="24"/>
          <w:szCs w:val="24"/>
          <w:lang w:bidi="ar-SA"/>
        </w:rPr>
        <w:t>4、提供详细的服务方案。</w:t>
      </w:r>
    </w:p>
    <w:p w14:paraId="4524A221">
      <w:pPr>
        <w:widowControl w:val="0"/>
        <w:bidi w:val="0"/>
        <w:adjustRightInd w:val="0"/>
        <w:spacing w:line="360" w:lineRule="auto"/>
        <w:ind w:firstLine="482" w:firstLineChars="200"/>
        <w:jc w:val="both"/>
        <w:rPr>
          <w:rFonts w:hint="eastAsia" w:ascii="宋体" w:hAnsi="宋体" w:eastAsia="宋体" w:cs="宋体"/>
          <w:b/>
          <w:bCs/>
          <w:color w:val="000000"/>
          <w:sz w:val="24"/>
          <w:szCs w:val="24"/>
          <w:lang w:eastAsia="zh-CN"/>
        </w:rPr>
      </w:pPr>
      <w:r>
        <w:rPr>
          <w:rFonts w:hint="eastAsia" w:ascii="宋体" w:hAnsi="宋体" w:eastAsia="宋体" w:cs="宋体"/>
          <w:b/>
          <w:bCs/>
          <w:color w:val="000000"/>
          <w:kern w:val="2"/>
          <w:sz w:val="24"/>
          <w:szCs w:val="24"/>
          <w:lang w:bidi="ar-SA"/>
        </w:rPr>
        <w:t>5、准确提供本项目总负责人及主要人员的姓名、职务、详细的地址和联系方式。</w:t>
      </w:r>
    </w:p>
    <w:p w14:paraId="2B59C884">
      <w:pPr>
        <w:spacing w:line="460" w:lineRule="exact"/>
        <w:contextualSpacing/>
        <w:jc w:val="left"/>
        <w:rPr>
          <w:rFonts w:hint="eastAsia" w:ascii="宋体" w:hAnsi="宋体" w:cs="Arial"/>
          <w:b/>
          <w:bCs/>
          <w:sz w:val="30"/>
          <w:szCs w:val="30"/>
        </w:rPr>
      </w:pPr>
    </w:p>
    <w:p w14:paraId="7241529F">
      <w:pPr>
        <w:rPr>
          <w:rFonts w:hint="eastAsia" w:ascii="宋体" w:hAnsi="宋体" w:eastAsia="宋体" w:cs="宋体"/>
          <w:b/>
          <w:bCs/>
          <w:i w:val="0"/>
          <w:iCs w:val="0"/>
          <w:color w:val="auto"/>
          <w:kern w:val="44"/>
          <w:sz w:val="36"/>
          <w:szCs w:val="36"/>
          <w:highlight w:val="none"/>
          <w:lang w:val="en-US" w:eastAsia="zh-CN" w:bidi="ar-SA"/>
        </w:rPr>
      </w:pPr>
    </w:p>
    <w:p w14:paraId="708099C7">
      <w:pPr>
        <w:rPr>
          <w:rFonts w:hint="eastAsia" w:ascii="宋体" w:hAnsi="宋体" w:eastAsia="宋体" w:cs="宋体"/>
          <w:b/>
          <w:bCs/>
          <w:i w:val="0"/>
          <w:iCs w:val="0"/>
          <w:color w:val="auto"/>
          <w:kern w:val="44"/>
          <w:sz w:val="36"/>
          <w:szCs w:val="36"/>
          <w:highlight w:val="none"/>
          <w:lang w:val="en-US" w:eastAsia="zh-CN" w:bidi="ar-SA"/>
        </w:rPr>
      </w:pPr>
      <w:r>
        <w:rPr>
          <w:rFonts w:hint="eastAsia" w:ascii="宋体" w:hAnsi="宋体" w:eastAsia="宋体" w:cs="宋体"/>
          <w:b/>
          <w:bCs/>
          <w:i w:val="0"/>
          <w:iCs w:val="0"/>
          <w:color w:val="auto"/>
          <w:kern w:val="44"/>
          <w:sz w:val="36"/>
          <w:szCs w:val="36"/>
          <w:highlight w:val="none"/>
          <w:lang w:val="en-US" w:eastAsia="zh-CN" w:bidi="ar-SA"/>
        </w:rPr>
        <w:br w:type="page"/>
      </w:r>
    </w:p>
    <w:p w14:paraId="4D82554F">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pPr>
      <w:r>
        <w:rPr>
          <w:rFonts w:hint="eastAsia" w:ascii="宋体" w:hAnsi="宋体" w:eastAsia="宋体" w:cs="宋体"/>
          <w:b/>
          <w:bCs/>
          <w:i w:val="0"/>
          <w:iCs w:val="0"/>
          <w:color w:val="auto"/>
          <w:kern w:val="44"/>
          <w:sz w:val="36"/>
          <w:szCs w:val="36"/>
          <w:highlight w:val="none"/>
          <w:lang w:val="en-US" w:eastAsia="zh-CN" w:bidi="ar-SA"/>
        </w:rPr>
        <w:t>第四章 评审方法及标准</w:t>
      </w:r>
      <w:bookmarkEnd w:id="427"/>
    </w:p>
    <w:p w14:paraId="79A3CF49">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40" w:lineRule="exact"/>
        <w:ind w:left="420" w:leftChars="0" w:hanging="420" w:firstLineChars="0"/>
        <w:textAlignment w:val="auto"/>
        <w:rPr>
          <w:rFonts w:hint="eastAsia"/>
          <w:i w:val="0"/>
          <w:iCs w:val="0"/>
          <w:color w:val="auto"/>
          <w:sz w:val="28"/>
          <w:szCs w:val="28"/>
          <w:highlight w:val="none"/>
          <w:lang w:val="zh-CN" w:eastAsia="zh-CN"/>
        </w:rPr>
      </w:pPr>
      <w:bookmarkStart w:id="428" w:name="_Toc1665"/>
      <w:r>
        <w:rPr>
          <w:rFonts w:hint="eastAsia"/>
          <w:i w:val="0"/>
          <w:iCs w:val="0"/>
          <w:color w:val="auto"/>
          <w:sz w:val="28"/>
          <w:szCs w:val="28"/>
          <w:highlight w:val="none"/>
          <w:lang w:val="en-US" w:eastAsia="zh-CN"/>
        </w:rPr>
        <w:t>一、</w:t>
      </w:r>
      <w:r>
        <w:rPr>
          <w:rFonts w:hint="eastAsia"/>
          <w:i w:val="0"/>
          <w:iCs w:val="0"/>
          <w:color w:val="auto"/>
          <w:sz w:val="28"/>
          <w:szCs w:val="28"/>
          <w:highlight w:val="none"/>
          <w:lang w:val="zh-CN" w:eastAsia="zh-CN"/>
        </w:rPr>
        <w:t>评审方法</w:t>
      </w:r>
      <w:bookmarkEnd w:id="428"/>
    </w:p>
    <w:p w14:paraId="58F17002">
      <w:pPr>
        <w:pStyle w:val="40"/>
        <w:pageBreakBefore w:val="0"/>
        <w:kinsoku/>
        <w:overflowPunct/>
        <w:topLinePunct w:val="0"/>
        <w:autoSpaceDE/>
        <w:autoSpaceDN/>
        <w:bidi w:val="0"/>
        <w:spacing w:line="440" w:lineRule="exact"/>
        <w:ind w:firstLine="480"/>
        <w:textAlignment w:val="auto"/>
        <w:rPr>
          <w:i w:val="0"/>
          <w:iCs w:val="0"/>
          <w:color w:val="auto"/>
          <w:highlight w:val="none"/>
        </w:rPr>
      </w:pPr>
      <w:r>
        <w:rPr>
          <w:rFonts w:hint="eastAsia"/>
          <w:i w:val="0"/>
          <w:iCs w:val="0"/>
          <w:color w:val="auto"/>
          <w:highlight w:val="none"/>
        </w:rPr>
        <w:t>本项目采用综合评分法。综合评分法是指经磋商确定最终采购需求和提交最后报价</w:t>
      </w:r>
      <w:r>
        <w:rPr>
          <w:rFonts w:hint="eastAsia"/>
          <w:b/>
          <w:bCs/>
          <w:i w:val="0"/>
          <w:iCs w:val="0"/>
          <w:color w:val="auto"/>
          <w:szCs w:val="24"/>
          <w:highlight w:val="none"/>
          <w:lang w:val="zh-CN"/>
        </w:rPr>
        <w:t>（因落实政府采购政策进行价格调整的，以调整后的价格计算）</w:t>
      </w:r>
      <w:r>
        <w:rPr>
          <w:rFonts w:hint="eastAsia"/>
          <w:i w:val="0"/>
          <w:iCs w:val="0"/>
          <w:color w:val="auto"/>
          <w:highlight w:val="none"/>
        </w:rPr>
        <w:t>的供应商的响应文件满足磋商文件全部实质性要求且按评审因素的量化指标评审得分最高的供应商为成交候选供应商的评审方法。</w:t>
      </w:r>
    </w:p>
    <w:p w14:paraId="1B7551B3">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40" w:lineRule="exact"/>
        <w:ind w:left="420" w:leftChars="0" w:hanging="420" w:firstLineChars="0"/>
        <w:textAlignment w:val="auto"/>
        <w:rPr>
          <w:rFonts w:hint="eastAsia"/>
          <w:i w:val="0"/>
          <w:iCs w:val="0"/>
          <w:color w:val="auto"/>
          <w:sz w:val="28"/>
          <w:szCs w:val="28"/>
          <w:highlight w:val="none"/>
          <w:lang w:val="zh-CN" w:eastAsia="zh-CN"/>
        </w:rPr>
      </w:pPr>
      <w:bookmarkStart w:id="429" w:name="_Toc27740"/>
      <w:r>
        <w:rPr>
          <w:rFonts w:hint="eastAsia"/>
          <w:i w:val="0"/>
          <w:iCs w:val="0"/>
          <w:color w:val="auto"/>
          <w:sz w:val="28"/>
          <w:szCs w:val="28"/>
          <w:highlight w:val="none"/>
          <w:lang w:val="en-US" w:eastAsia="zh-CN"/>
        </w:rPr>
        <w:t>二、</w:t>
      </w:r>
      <w:r>
        <w:rPr>
          <w:rFonts w:hint="eastAsia"/>
          <w:i w:val="0"/>
          <w:iCs w:val="0"/>
          <w:color w:val="auto"/>
          <w:sz w:val="28"/>
          <w:szCs w:val="28"/>
          <w:highlight w:val="none"/>
          <w:lang w:val="zh-CN" w:eastAsia="zh-CN"/>
        </w:rPr>
        <w:t>评审程序</w:t>
      </w:r>
      <w:bookmarkEnd w:id="429"/>
    </w:p>
    <w:p w14:paraId="75646A5F">
      <w:pPr>
        <w:pStyle w:val="4"/>
        <w:keepNext/>
        <w:keepLines/>
        <w:pageBreakBefore w:val="0"/>
        <w:widowControl w:val="0"/>
        <w:numPr>
          <w:ilvl w:val="0"/>
          <w:numId w:val="0"/>
        </w:numPr>
        <w:kinsoku/>
        <w:wordWrap/>
        <w:overflowPunct/>
        <w:topLinePunct w:val="0"/>
        <w:autoSpaceDE/>
        <w:autoSpaceDN/>
        <w:bidi w:val="0"/>
        <w:adjustRightInd/>
        <w:snapToGrid/>
        <w:spacing w:before="80" w:after="8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30" w:name="_Toc163493634"/>
      <w:bookmarkStart w:id="431" w:name="_Toc16996"/>
      <w:r>
        <w:rPr>
          <w:rFonts w:hint="eastAsia" w:ascii="宋体" w:hAnsi="宋体" w:eastAsia="宋体" w:cs="宋体"/>
          <w:b/>
          <w:bCs/>
          <w:i w:val="0"/>
          <w:iCs w:val="0"/>
          <w:color w:val="auto"/>
          <w:kern w:val="2"/>
          <w:sz w:val="24"/>
          <w:szCs w:val="24"/>
          <w:highlight w:val="none"/>
          <w:lang w:val="zh-CN" w:eastAsia="zh-CN" w:bidi="ar-SA"/>
        </w:rPr>
        <w:t>（一）资格审查和符合性审查</w:t>
      </w:r>
      <w:bookmarkEnd w:id="430"/>
      <w:bookmarkEnd w:id="431"/>
    </w:p>
    <w:p w14:paraId="4E579E32">
      <w:pPr>
        <w:pageBreakBefore w:val="0"/>
        <w:tabs>
          <w:tab w:val="left" w:pos="312"/>
        </w:tabs>
        <w:kinsoku/>
        <w:wordWrap w:val="0"/>
        <w:overflowPunct/>
        <w:topLinePunct w:val="0"/>
        <w:autoSpaceDE/>
        <w:autoSpaceDN/>
        <w:bidi w:val="0"/>
        <w:adjustRightInd w:val="0"/>
        <w:snapToGrid w:val="0"/>
        <w:spacing w:line="440" w:lineRule="exact"/>
        <w:ind w:firstLine="480" w:firstLineChars="200"/>
        <w:textAlignment w:val="auto"/>
        <w:rPr>
          <w:rFonts w:hint="eastAsia"/>
          <w:i w:val="0"/>
          <w:iCs w:val="0"/>
          <w:color w:val="auto"/>
          <w:highlight w:val="none"/>
          <w:lang w:val="zh-CN"/>
        </w:rPr>
      </w:pPr>
      <w:r>
        <w:rPr>
          <w:rFonts w:hint="eastAsia"/>
          <w:i w:val="0"/>
          <w:iCs w:val="0"/>
          <w:color w:val="auto"/>
          <w:szCs w:val="24"/>
          <w:highlight w:val="none"/>
        </w:rPr>
        <w:t>1</w:t>
      </w:r>
      <w:r>
        <w:rPr>
          <w:i w:val="0"/>
          <w:iCs w:val="0"/>
          <w:color w:val="auto"/>
          <w:szCs w:val="24"/>
          <w:highlight w:val="none"/>
        </w:rPr>
        <w:t>.</w:t>
      </w:r>
      <w:r>
        <w:rPr>
          <w:rFonts w:hint="eastAsia"/>
          <w:i w:val="0"/>
          <w:iCs w:val="0"/>
          <w:color w:val="auto"/>
          <w:szCs w:val="24"/>
          <w:highlight w:val="none"/>
        </w:rPr>
        <w:t>磋商小组</w:t>
      </w:r>
      <w:r>
        <w:rPr>
          <w:rFonts w:hint="eastAsia" w:cs="宋体"/>
          <w:i w:val="0"/>
          <w:iCs w:val="0"/>
          <w:color w:val="auto"/>
          <w:highlight w:val="none"/>
        </w:rPr>
        <w:t>根据磋商文件规定的供应商资格条件、评</w:t>
      </w:r>
      <w:r>
        <w:rPr>
          <w:rFonts w:hint="eastAsia" w:cs="宋体"/>
          <w:i w:val="0"/>
          <w:iCs w:val="0"/>
          <w:color w:val="auto"/>
          <w:highlight w:val="none"/>
          <w:lang w:val="en-US" w:eastAsia="zh-CN"/>
        </w:rPr>
        <w:t>审</w:t>
      </w:r>
      <w:r>
        <w:rPr>
          <w:rFonts w:hint="eastAsia" w:cs="宋体"/>
          <w:i w:val="0"/>
          <w:iCs w:val="0"/>
          <w:color w:val="auto"/>
          <w:highlight w:val="none"/>
        </w:rPr>
        <w:t>成交的标准等事项，对供应商的响应文件进行评审。资格审查和符合性审查不符合磋商文件要求的响应文件，按</w:t>
      </w:r>
      <w:r>
        <w:rPr>
          <w:rFonts w:hint="eastAsia" w:cs="宋体"/>
          <w:b/>
          <w:bCs/>
          <w:i w:val="0"/>
          <w:iCs w:val="0"/>
          <w:color w:val="auto"/>
          <w:highlight w:val="none"/>
        </w:rPr>
        <w:t>无效文件</w:t>
      </w:r>
      <w:r>
        <w:rPr>
          <w:rFonts w:hint="eastAsia" w:cs="宋体"/>
          <w:i w:val="0"/>
          <w:iCs w:val="0"/>
          <w:color w:val="auto"/>
          <w:highlight w:val="none"/>
        </w:rPr>
        <w:t>处理，不进入磋商，并告知有关供应商</w:t>
      </w:r>
      <w:r>
        <w:rPr>
          <w:rFonts w:hint="eastAsia"/>
          <w:i w:val="0"/>
          <w:iCs w:val="0"/>
          <w:color w:val="auto"/>
          <w:highlight w:val="none"/>
          <w:lang w:val="zh-CN"/>
        </w:rPr>
        <w:t>。</w:t>
      </w:r>
    </w:p>
    <w:p w14:paraId="10081395">
      <w:pPr>
        <w:pStyle w:val="40"/>
        <w:pageBreakBefore w:val="0"/>
        <w:kinsoku/>
        <w:overflowPunct/>
        <w:topLinePunct w:val="0"/>
        <w:autoSpaceDE/>
        <w:autoSpaceDN/>
        <w:bidi w:val="0"/>
        <w:spacing w:line="440" w:lineRule="exact"/>
        <w:ind w:firstLine="480"/>
        <w:textAlignment w:val="auto"/>
        <w:rPr>
          <w:rFonts w:hint="eastAsia"/>
          <w:i w:val="0"/>
          <w:iCs w:val="0"/>
          <w:color w:val="auto"/>
          <w:highlight w:val="none"/>
        </w:rPr>
      </w:pPr>
      <w:r>
        <w:rPr>
          <w:rFonts w:hint="eastAsia"/>
          <w:i w:val="0"/>
          <w:iCs w:val="0"/>
          <w:color w:val="auto"/>
          <w:highlight w:val="none"/>
        </w:rPr>
        <w:t>2.</w:t>
      </w:r>
      <w:r>
        <w:rPr>
          <w:rFonts w:hint="eastAsia"/>
          <w:i w:val="0"/>
          <w:iCs w:val="0"/>
          <w:color w:val="auto"/>
          <w:highlight w:val="none"/>
          <w:lang w:val="en-US" w:eastAsia="zh-CN"/>
        </w:rPr>
        <w:t>通过</w:t>
      </w:r>
      <w:r>
        <w:rPr>
          <w:rFonts w:hint="eastAsia" w:cs="宋体"/>
          <w:i w:val="0"/>
          <w:iCs w:val="0"/>
          <w:color w:val="auto"/>
          <w:highlight w:val="none"/>
        </w:rPr>
        <w:t>资格性审查和符合性审查</w:t>
      </w:r>
      <w:r>
        <w:rPr>
          <w:rFonts w:hint="eastAsia" w:cs="宋体"/>
          <w:i w:val="0"/>
          <w:iCs w:val="0"/>
          <w:color w:val="auto"/>
          <w:highlight w:val="none"/>
          <w:lang w:val="en-US" w:eastAsia="zh-CN"/>
        </w:rPr>
        <w:t>的</w:t>
      </w:r>
      <w:r>
        <w:rPr>
          <w:rFonts w:hint="eastAsia"/>
          <w:i w:val="0"/>
          <w:iCs w:val="0"/>
          <w:color w:val="auto"/>
          <w:highlight w:val="none"/>
        </w:rPr>
        <w:t>有效</w:t>
      </w:r>
      <w:r>
        <w:rPr>
          <w:rFonts w:hint="eastAsia"/>
          <w:i w:val="0"/>
          <w:iCs w:val="0"/>
          <w:color w:val="auto"/>
          <w:highlight w:val="none"/>
          <w:lang w:eastAsia="zh-CN"/>
        </w:rPr>
        <w:t>供应商</w:t>
      </w:r>
      <w:r>
        <w:rPr>
          <w:rFonts w:hint="eastAsia"/>
          <w:i w:val="0"/>
          <w:iCs w:val="0"/>
          <w:color w:val="auto"/>
          <w:highlight w:val="none"/>
        </w:rPr>
        <w:t>不足3家的应当终止竞争性磋商采购活动，发布项目终止公告并说明原因，重新开展采购活动。</w:t>
      </w:r>
    </w:p>
    <w:p w14:paraId="156057B8">
      <w:pPr>
        <w:pStyle w:val="40"/>
        <w:pageBreakBefore w:val="0"/>
        <w:kinsoku/>
        <w:overflowPunct/>
        <w:topLinePunct w:val="0"/>
        <w:autoSpaceDE/>
        <w:autoSpaceDN/>
        <w:bidi w:val="0"/>
        <w:spacing w:line="440" w:lineRule="exact"/>
        <w:ind w:firstLine="480"/>
        <w:textAlignment w:val="auto"/>
        <w:rPr>
          <w:rFonts w:hint="default" w:eastAsia="宋体"/>
          <w:i w:val="0"/>
          <w:iCs w:val="0"/>
          <w:color w:val="auto"/>
          <w:highlight w:val="none"/>
          <w:lang w:val="en-US" w:eastAsia="zh-CN"/>
        </w:rPr>
      </w:pPr>
      <w:r>
        <w:rPr>
          <w:rFonts w:hint="eastAsia"/>
          <w:i w:val="0"/>
          <w:iCs w:val="0"/>
          <w:color w:val="auto"/>
          <w:highlight w:val="none"/>
          <w:lang w:val="en-US" w:eastAsia="zh-CN"/>
        </w:rPr>
        <w:t>3.根据《财政部关于政府采购竞争性磋商采购方式管理暂行办法有关问题的补充通知》的要求，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4E1C0129">
      <w:pPr>
        <w:pStyle w:val="4"/>
        <w:keepNext/>
        <w:keepLines/>
        <w:pageBreakBefore w:val="0"/>
        <w:widowControl w:val="0"/>
        <w:numPr>
          <w:ilvl w:val="0"/>
          <w:numId w:val="0"/>
        </w:numPr>
        <w:kinsoku/>
        <w:wordWrap/>
        <w:overflowPunct/>
        <w:topLinePunct w:val="0"/>
        <w:autoSpaceDE/>
        <w:autoSpaceDN/>
        <w:bidi w:val="0"/>
        <w:adjustRightInd/>
        <w:snapToGrid/>
        <w:spacing w:before="80" w:after="8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32" w:name="_Toc163493635"/>
      <w:bookmarkStart w:id="433" w:name="_Toc13167"/>
      <w:bookmarkStart w:id="434" w:name="_Hlk158124046"/>
      <w:bookmarkStart w:id="435" w:name="_Toc102116178"/>
      <w:bookmarkStart w:id="436" w:name="_Toc102119879"/>
      <w:bookmarkStart w:id="437" w:name="_Toc102056244"/>
      <w:bookmarkStart w:id="438" w:name="_Toc102114946"/>
      <w:bookmarkStart w:id="439" w:name="_Toc102057744"/>
      <w:bookmarkStart w:id="440" w:name="_Toc102116048"/>
      <w:r>
        <w:rPr>
          <w:rFonts w:hint="eastAsia" w:ascii="宋体" w:hAnsi="宋体" w:eastAsia="宋体" w:cs="宋体"/>
          <w:b/>
          <w:bCs/>
          <w:i w:val="0"/>
          <w:iCs w:val="0"/>
          <w:color w:val="auto"/>
          <w:kern w:val="2"/>
          <w:sz w:val="24"/>
          <w:szCs w:val="24"/>
          <w:highlight w:val="none"/>
          <w:lang w:val="en-US" w:eastAsia="zh-CN" w:bidi="ar-SA"/>
        </w:rPr>
        <w:t>（二）</w:t>
      </w:r>
      <w:r>
        <w:rPr>
          <w:rFonts w:hint="eastAsia" w:ascii="宋体" w:hAnsi="宋体" w:eastAsia="宋体" w:cs="宋体"/>
          <w:b/>
          <w:bCs/>
          <w:i w:val="0"/>
          <w:iCs w:val="0"/>
          <w:color w:val="auto"/>
          <w:kern w:val="2"/>
          <w:sz w:val="24"/>
          <w:szCs w:val="24"/>
          <w:highlight w:val="none"/>
          <w:lang w:val="zh-CN" w:eastAsia="zh-CN" w:bidi="ar-SA"/>
        </w:rPr>
        <w:t>响应文件澄清</w:t>
      </w:r>
      <w:bookmarkEnd w:id="432"/>
      <w:bookmarkEnd w:id="433"/>
    </w:p>
    <w:p w14:paraId="33D21241">
      <w:pPr>
        <w:pStyle w:val="40"/>
        <w:pageBreakBefore w:val="0"/>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rPr>
      </w:pPr>
      <w:r>
        <w:rPr>
          <w:rFonts w:hint="eastAsia" w:ascii="宋体" w:hAnsi="宋体" w:eastAsia="宋体"/>
          <w:i w:val="0"/>
          <w:iCs w:val="0"/>
          <w:color w:val="auto"/>
          <w:highlight w:val="none"/>
        </w:rPr>
        <w:t>1.</w:t>
      </w:r>
      <w:r>
        <w:rPr>
          <w:rFonts w:hint="eastAsia" w:ascii="宋体" w:hAnsi="宋体" w:eastAsia="宋体"/>
          <w:i w:val="0"/>
          <w:iCs w:val="0"/>
          <w:color w:val="auto"/>
          <w:highlight w:val="none"/>
          <w:lang w:val="en-US" w:eastAsia="zh-CN"/>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756F006">
      <w:pPr>
        <w:pStyle w:val="40"/>
        <w:pageBreakBefore w:val="0"/>
        <w:kinsoku/>
        <w:overflowPunct/>
        <w:topLinePunct w:val="0"/>
        <w:autoSpaceDE/>
        <w:autoSpaceDN/>
        <w:bidi w:val="0"/>
        <w:spacing w:line="440" w:lineRule="exact"/>
        <w:ind w:firstLine="480"/>
        <w:textAlignment w:val="auto"/>
        <w:rPr>
          <w:i w:val="0"/>
          <w:iCs w:val="0"/>
          <w:color w:val="auto"/>
          <w:highlight w:val="none"/>
        </w:rPr>
      </w:pPr>
      <w:r>
        <w:rPr>
          <w:rFonts w:hint="eastAsia" w:ascii="宋体" w:hAnsi="宋体" w:eastAsia="宋体"/>
          <w:i w:val="0"/>
          <w:iCs w:val="0"/>
          <w:color w:val="auto"/>
          <w:highlight w:val="none"/>
          <w:lang w:val="en-US" w:eastAsia="zh-CN"/>
        </w:rPr>
        <w:t>2.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bookmarkEnd w:id="434"/>
    <w:p w14:paraId="5CA497FC">
      <w:pPr>
        <w:pStyle w:val="4"/>
        <w:keepNext/>
        <w:keepLines/>
        <w:pageBreakBefore w:val="0"/>
        <w:widowControl w:val="0"/>
        <w:numPr>
          <w:ilvl w:val="0"/>
          <w:numId w:val="0"/>
        </w:numPr>
        <w:kinsoku/>
        <w:wordWrap/>
        <w:overflowPunct/>
        <w:topLinePunct w:val="0"/>
        <w:autoSpaceDE/>
        <w:autoSpaceDN/>
        <w:bidi w:val="0"/>
        <w:adjustRightInd/>
        <w:snapToGrid/>
        <w:spacing w:before="80" w:after="8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41" w:name="_Toc163493636"/>
      <w:bookmarkStart w:id="442" w:name="_Toc10518"/>
      <w:r>
        <w:rPr>
          <w:rFonts w:hint="eastAsia" w:ascii="宋体" w:hAnsi="宋体" w:eastAsia="宋体" w:cs="宋体"/>
          <w:b/>
          <w:bCs/>
          <w:i w:val="0"/>
          <w:iCs w:val="0"/>
          <w:color w:val="auto"/>
          <w:kern w:val="2"/>
          <w:sz w:val="24"/>
          <w:szCs w:val="24"/>
          <w:highlight w:val="none"/>
          <w:lang w:val="en-US" w:eastAsia="zh-CN" w:bidi="ar-SA"/>
        </w:rPr>
        <w:t>（三）</w:t>
      </w:r>
      <w:r>
        <w:rPr>
          <w:rFonts w:hint="eastAsia" w:ascii="宋体" w:hAnsi="宋体" w:eastAsia="宋体" w:cs="宋体"/>
          <w:b/>
          <w:bCs/>
          <w:i w:val="0"/>
          <w:iCs w:val="0"/>
          <w:color w:val="auto"/>
          <w:kern w:val="2"/>
          <w:sz w:val="24"/>
          <w:szCs w:val="24"/>
          <w:highlight w:val="none"/>
          <w:lang w:val="zh-CN" w:eastAsia="zh-CN" w:bidi="ar-SA"/>
        </w:rPr>
        <w:t>磋商程序</w:t>
      </w:r>
      <w:bookmarkEnd w:id="441"/>
      <w:bookmarkEnd w:id="442"/>
    </w:p>
    <w:p w14:paraId="3520ED55">
      <w:pPr>
        <w:pStyle w:val="40"/>
        <w:pageBreakBefore w:val="0"/>
        <w:kinsoku/>
        <w:overflowPunct/>
        <w:topLinePunct w:val="0"/>
        <w:autoSpaceDE/>
        <w:autoSpaceDN/>
        <w:bidi w:val="0"/>
        <w:spacing w:line="440" w:lineRule="exact"/>
        <w:ind w:firstLine="480"/>
        <w:textAlignment w:val="auto"/>
        <w:rPr>
          <w:i w:val="0"/>
          <w:iCs w:val="0"/>
          <w:color w:val="auto"/>
          <w:highlight w:val="none"/>
        </w:rPr>
      </w:pPr>
      <w:r>
        <w:rPr>
          <w:rFonts w:hint="eastAsia"/>
          <w:i w:val="0"/>
          <w:iCs w:val="0"/>
          <w:color w:val="auto"/>
          <w:highlight w:val="none"/>
        </w:rPr>
        <w:t>磋商小组应当依据磋商文件规定的程序、评</w:t>
      </w:r>
      <w:r>
        <w:rPr>
          <w:rFonts w:hint="eastAsia"/>
          <w:i w:val="0"/>
          <w:iCs w:val="0"/>
          <w:color w:val="auto"/>
          <w:highlight w:val="none"/>
          <w:lang w:val="en-US" w:eastAsia="zh-CN"/>
        </w:rPr>
        <w:t>审</w:t>
      </w:r>
      <w:r>
        <w:rPr>
          <w:rFonts w:hint="eastAsia"/>
          <w:i w:val="0"/>
          <w:iCs w:val="0"/>
          <w:color w:val="auto"/>
          <w:highlight w:val="none"/>
        </w:rPr>
        <w:t>成交的标准等事项与</w:t>
      </w:r>
      <w:r>
        <w:rPr>
          <w:rFonts w:hint="eastAsia" w:cs="Helvetica"/>
          <w:i w:val="0"/>
          <w:iCs w:val="0"/>
          <w:color w:val="auto"/>
          <w:szCs w:val="24"/>
          <w:highlight w:val="none"/>
          <w:lang w:val="zh-CN"/>
        </w:rPr>
        <w:t>实质性</w:t>
      </w:r>
      <w:r>
        <w:rPr>
          <w:rFonts w:hint="eastAsia"/>
          <w:i w:val="0"/>
          <w:iCs w:val="0"/>
          <w:color w:val="auto"/>
          <w:highlight w:val="none"/>
        </w:rPr>
        <w:t>响应磋商文件要求的供应商</w:t>
      </w:r>
      <w:r>
        <w:rPr>
          <w:i w:val="0"/>
          <w:iCs w:val="0"/>
          <w:color w:val="auto"/>
          <w:highlight w:val="none"/>
        </w:rPr>
        <w:t>进行</w:t>
      </w:r>
      <w:r>
        <w:rPr>
          <w:rFonts w:hint="eastAsia"/>
          <w:i w:val="0"/>
          <w:iCs w:val="0"/>
          <w:color w:val="auto"/>
          <w:highlight w:val="none"/>
        </w:rPr>
        <w:t>磋商。</w:t>
      </w:r>
    </w:p>
    <w:p w14:paraId="6E36FA1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1.第一轮磋商</w:t>
      </w:r>
    </w:p>
    <w:p w14:paraId="085D7BDA">
      <w:pPr>
        <w:pStyle w:val="40"/>
        <w:pageBreakBefore w:val="0"/>
        <w:kinsoku/>
        <w:overflowPunct/>
        <w:topLinePunct w:val="0"/>
        <w:autoSpaceDE/>
        <w:autoSpaceDN/>
        <w:bidi w:val="0"/>
        <w:spacing w:line="440" w:lineRule="exact"/>
        <w:ind w:firstLine="480"/>
        <w:textAlignment w:val="auto"/>
        <w:rPr>
          <w:rFonts w:cs="宋体"/>
          <w:i w:val="0"/>
          <w:iCs w:val="0"/>
          <w:color w:val="auto"/>
          <w:szCs w:val="24"/>
          <w:highlight w:val="none"/>
        </w:rPr>
      </w:pPr>
      <w:r>
        <w:rPr>
          <w:rFonts w:hint="eastAsia"/>
          <w:i w:val="0"/>
          <w:iCs w:val="0"/>
          <w:color w:val="auto"/>
          <w:highlight w:val="none"/>
          <w:lang w:val="zh-CN"/>
        </w:rPr>
        <w:t>1</w:t>
      </w:r>
      <w:r>
        <w:rPr>
          <w:i w:val="0"/>
          <w:iCs w:val="0"/>
          <w:color w:val="auto"/>
          <w:highlight w:val="none"/>
          <w:lang w:val="zh-CN"/>
        </w:rPr>
        <w:t>.1</w:t>
      </w:r>
      <w:r>
        <w:rPr>
          <w:rFonts w:hint="eastAsia"/>
          <w:i w:val="0"/>
          <w:iCs w:val="0"/>
          <w:color w:val="auto"/>
          <w:highlight w:val="none"/>
          <w:lang w:val="zh-CN"/>
        </w:rPr>
        <w:t>磋商小组将按照系统随机的顺序决定供应商的磋商顺序，并集中与单一供应商分别进行磋商</w:t>
      </w:r>
      <w:r>
        <w:rPr>
          <w:rFonts w:hint="eastAsia" w:cs="宋体"/>
          <w:i w:val="0"/>
          <w:iCs w:val="0"/>
          <w:color w:val="auto"/>
          <w:szCs w:val="24"/>
          <w:highlight w:val="none"/>
        </w:rPr>
        <w:t>。</w:t>
      </w:r>
    </w:p>
    <w:p w14:paraId="7C2AC2E3">
      <w:pPr>
        <w:pStyle w:val="40"/>
        <w:pageBreakBefore w:val="0"/>
        <w:kinsoku/>
        <w:overflowPunct/>
        <w:topLinePunct w:val="0"/>
        <w:autoSpaceDE/>
        <w:autoSpaceDN/>
        <w:bidi w:val="0"/>
        <w:spacing w:line="440" w:lineRule="exact"/>
        <w:ind w:firstLine="480"/>
        <w:textAlignment w:val="auto"/>
        <w:rPr>
          <w:rFonts w:cs="宋体"/>
          <w:i w:val="0"/>
          <w:iCs w:val="0"/>
          <w:color w:val="auto"/>
          <w:szCs w:val="24"/>
          <w:highlight w:val="none"/>
        </w:rPr>
      </w:pPr>
      <w:r>
        <w:rPr>
          <w:rFonts w:hint="eastAsia" w:cs="宋体"/>
          <w:i w:val="0"/>
          <w:iCs w:val="0"/>
          <w:color w:val="auto"/>
          <w:szCs w:val="24"/>
          <w:highlight w:val="none"/>
        </w:rPr>
        <w:t>1</w:t>
      </w:r>
      <w:r>
        <w:rPr>
          <w:rFonts w:cs="宋体"/>
          <w:i w:val="0"/>
          <w:iCs w:val="0"/>
          <w:color w:val="auto"/>
          <w:szCs w:val="24"/>
          <w:highlight w:val="none"/>
        </w:rPr>
        <w:t>.2</w:t>
      </w:r>
      <w:r>
        <w:rPr>
          <w:rFonts w:hint="eastAsia" w:cs="宋体"/>
          <w:i w:val="0"/>
          <w:iCs w:val="0"/>
          <w:color w:val="auto"/>
          <w:szCs w:val="24"/>
          <w:highlight w:val="none"/>
        </w:rPr>
        <w:t>磋商小组所有成员应当对照磋商文件和响应文件就采购需求、质量和服务等内容集中与单一供应商分别进行磋商，并给予所有参加磋商的供应商平等的磋商机会。在磋商中，磋商的任何一方不得透露与磋商有关的其他供应商的技术资料、价格和其他信息。</w:t>
      </w:r>
    </w:p>
    <w:p w14:paraId="10904269">
      <w:pPr>
        <w:pStyle w:val="40"/>
        <w:pageBreakBefore w:val="0"/>
        <w:kinsoku/>
        <w:overflowPunct/>
        <w:topLinePunct w:val="0"/>
        <w:autoSpaceDE/>
        <w:autoSpaceDN/>
        <w:bidi w:val="0"/>
        <w:spacing w:line="440" w:lineRule="exact"/>
        <w:ind w:firstLine="480"/>
        <w:textAlignment w:val="auto"/>
        <w:rPr>
          <w:rFonts w:hint="eastAsia" w:eastAsia="宋体" w:cs="宋体"/>
          <w:i w:val="0"/>
          <w:iCs w:val="0"/>
          <w:color w:val="auto"/>
          <w:szCs w:val="24"/>
          <w:highlight w:val="none"/>
          <w:lang w:eastAsia="zh-CN"/>
        </w:rPr>
      </w:pPr>
      <w:r>
        <w:rPr>
          <w:rFonts w:hint="eastAsia" w:cs="宋体"/>
          <w:i w:val="0"/>
          <w:iCs w:val="0"/>
          <w:color w:val="auto"/>
          <w:szCs w:val="24"/>
          <w:highlight w:val="none"/>
        </w:rPr>
        <w:t>1</w:t>
      </w:r>
      <w:r>
        <w:rPr>
          <w:rFonts w:cs="宋体"/>
          <w:i w:val="0"/>
          <w:iCs w:val="0"/>
          <w:color w:val="auto"/>
          <w:szCs w:val="24"/>
          <w:highlight w:val="none"/>
        </w:rPr>
        <w:t>.3</w:t>
      </w:r>
      <w:r>
        <w:rPr>
          <w:rFonts w:hint="eastAsia" w:cs="宋体"/>
          <w:i w:val="0"/>
          <w:iCs w:val="0"/>
          <w:color w:val="auto"/>
          <w:szCs w:val="24"/>
          <w:highlight w:val="none"/>
        </w:rPr>
        <w:t>磋商过程中，磋商小组可以根据磋商文件和磋商情况实质性变动采购需求中的技术、服务要求以及合同草案条款，但不得变动磋商文件中的其他内容。实质性变动的内容，须经采购人代表确认。</w:t>
      </w:r>
    </w:p>
    <w:p w14:paraId="717C3476">
      <w:pPr>
        <w:pStyle w:val="40"/>
        <w:pageBreakBefore w:val="0"/>
        <w:kinsoku/>
        <w:overflowPunct/>
        <w:topLinePunct w:val="0"/>
        <w:autoSpaceDE/>
        <w:autoSpaceDN/>
        <w:bidi w:val="0"/>
        <w:spacing w:line="440" w:lineRule="exact"/>
        <w:ind w:firstLine="480"/>
        <w:textAlignment w:val="auto"/>
        <w:rPr>
          <w:rFonts w:hint="eastAsia" w:cs="宋体"/>
          <w:i w:val="0"/>
          <w:iCs w:val="0"/>
          <w:color w:val="auto"/>
          <w:szCs w:val="24"/>
          <w:highlight w:val="none"/>
        </w:rPr>
      </w:pPr>
      <w:r>
        <w:rPr>
          <w:rFonts w:hint="eastAsia" w:cs="宋体"/>
          <w:i w:val="0"/>
          <w:iCs w:val="0"/>
          <w:color w:val="auto"/>
          <w:szCs w:val="24"/>
          <w:highlight w:val="none"/>
        </w:rPr>
        <w:t>1</w:t>
      </w:r>
      <w:r>
        <w:rPr>
          <w:rFonts w:cs="宋体"/>
          <w:i w:val="0"/>
          <w:iCs w:val="0"/>
          <w:color w:val="auto"/>
          <w:szCs w:val="24"/>
          <w:highlight w:val="none"/>
        </w:rPr>
        <w:t>.4</w:t>
      </w:r>
      <w:r>
        <w:rPr>
          <w:rFonts w:hint="eastAsia" w:cs="宋体"/>
          <w:i w:val="0"/>
          <w:iCs w:val="0"/>
          <w:color w:val="auto"/>
          <w:szCs w:val="24"/>
          <w:highlight w:val="none"/>
        </w:rPr>
        <w:t>对磋商文件作出的实质性变动的内容是磋商文件的有效组成部分。磋商小组应将磋商文件的变动情况以书面</w:t>
      </w:r>
      <w:r>
        <w:rPr>
          <w:rFonts w:hint="eastAsia" w:cs="宋体"/>
          <w:i w:val="0"/>
          <w:iCs w:val="0"/>
          <w:color w:val="auto"/>
          <w:szCs w:val="24"/>
          <w:highlight w:val="none"/>
          <w:lang w:val="en-US" w:eastAsia="zh-CN"/>
        </w:rPr>
        <w:t>形</w:t>
      </w:r>
      <w:r>
        <w:rPr>
          <w:rFonts w:hint="eastAsia" w:cs="宋体"/>
          <w:i w:val="0"/>
          <w:iCs w:val="0"/>
          <w:color w:val="auto"/>
          <w:szCs w:val="24"/>
          <w:highlight w:val="none"/>
        </w:rPr>
        <w:t>式通知所有参加磋商的供应商。</w:t>
      </w:r>
    </w:p>
    <w:p w14:paraId="0DA52989">
      <w:pPr>
        <w:pStyle w:val="40"/>
        <w:pageBreakBefore w:val="0"/>
        <w:kinsoku/>
        <w:overflowPunct/>
        <w:topLinePunct w:val="0"/>
        <w:autoSpaceDE/>
        <w:autoSpaceDN/>
        <w:bidi w:val="0"/>
        <w:spacing w:line="440" w:lineRule="exact"/>
        <w:ind w:firstLine="480"/>
        <w:textAlignment w:val="auto"/>
        <w:rPr>
          <w:rFonts w:hint="eastAsia" w:cs="宋体"/>
          <w:i w:val="0"/>
          <w:iCs w:val="0"/>
          <w:color w:val="auto"/>
          <w:szCs w:val="24"/>
          <w:highlight w:val="none"/>
        </w:rPr>
      </w:pPr>
      <w:r>
        <w:rPr>
          <w:rFonts w:hint="eastAsia" w:cs="宋体"/>
          <w:i w:val="0"/>
          <w:iCs w:val="0"/>
          <w:color w:val="auto"/>
          <w:szCs w:val="24"/>
          <w:highlight w:val="none"/>
        </w:rPr>
        <w:t>1</w:t>
      </w:r>
      <w:r>
        <w:rPr>
          <w:rFonts w:cs="宋体"/>
          <w:i w:val="0"/>
          <w:iCs w:val="0"/>
          <w:color w:val="auto"/>
          <w:szCs w:val="24"/>
          <w:highlight w:val="none"/>
        </w:rPr>
        <w:t>.5</w:t>
      </w:r>
      <w:r>
        <w:rPr>
          <w:rFonts w:hint="eastAsia" w:cs="宋体"/>
          <w:i w:val="0"/>
          <w:iCs w:val="0"/>
          <w:color w:val="auto"/>
          <w:szCs w:val="24"/>
          <w:highlight w:val="none"/>
        </w:rPr>
        <w:t>供应商应当按照磋商文件的变动情况和磋商小组的要求在规定的时间内重新提交响应文件，并由其法定代表人或授权代表签字或者加盖公章。由授权代表签字的，应当附法定代表人授权书。供应商为自然人的，应当由本人签字并附身份证明。逾时不提交的，视同退出磋商。</w:t>
      </w:r>
    </w:p>
    <w:p w14:paraId="2932D39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2.多轮磋商</w:t>
      </w:r>
    </w:p>
    <w:p w14:paraId="2199E266">
      <w:pPr>
        <w:pStyle w:val="40"/>
        <w:pageBreakBefore w:val="0"/>
        <w:kinsoku/>
        <w:overflowPunct/>
        <w:topLinePunct w:val="0"/>
        <w:autoSpaceDE/>
        <w:autoSpaceDN/>
        <w:bidi w:val="0"/>
        <w:spacing w:line="440" w:lineRule="exact"/>
        <w:ind w:firstLine="480"/>
        <w:textAlignment w:val="auto"/>
        <w:rPr>
          <w:i w:val="0"/>
          <w:iCs w:val="0"/>
          <w:color w:val="auto"/>
          <w:highlight w:val="none"/>
        </w:rPr>
      </w:pPr>
      <w:r>
        <w:rPr>
          <w:i w:val="0"/>
          <w:iCs w:val="0"/>
          <w:color w:val="auto"/>
          <w:highlight w:val="none"/>
        </w:rPr>
        <w:t>2.1</w:t>
      </w:r>
      <w:r>
        <w:rPr>
          <w:rFonts w:hint="eastAsia"/>
          <w:i w:val="0"/>
          <w:iCs w:val="0"/>
          <w:color w:val="auto"/>
          <w:highlight w:val="none"/>
        </w:rPr>
        <w:t>磋商文件中不能详细列明采购标的的技术、服务要求，需经磋商由供应商提供最终设计方案或解决方案的项目，磋商小组可以根据采购人对采购需求的确认情况，进行多轮磋商，直到采购人代表最终确认采购需求为止。</w:t>
      </w:r>
    </w:p>
    <w:p w14:paraId="1156D507">
      <w:pPr>
        <w:pStyle w:val="40"/>
        <w:pageBreakBefore w:val="0"/>
        <w:kinsoku/>
        <w:overflowPunct/>
        <w:topLinePunct w:val="0"/>
        <w:autoSpaceDE/>
        <w:autoSpaceDN/>
        <w:bidi w:val="0"/>
        <w:spacing w:line="440" w:lineRule="exact"/>
        <w:ind w:firstLine="480"/>
        <w:textAlignment w:val="auto"/>
        <w:rPr>
          <w:i w:val="0"/>
          <w:iCs w:val="0"/>
          <w:color w:val="auto"/>
          <w:sz w:val="28"/>
          <w:highlight w:val="none"/>
        </w:rPr>
      </w:pPr>
      <w:r>
        <w:rPr>
          <w:rFonts w:hint="eastAsia"/>
          <w:i w:val="0"/>
          <w:iCs w:val="0"/>
          <w:color w:val="auto"/>
          <w:highlight w:val="none"/>
        </w:rPr>
        <w:t>2</w:t>
      </w:r>
      <w:r>
        <w:rPr>
          <w:i w:val="0"/>
          <w:iCs w:val="0"/>
          <w:color w:val="auto"/>
          <w:highlight w:val="none"/>
        </w:rPr>
        <w:t>.3</w:t>
      </w:r>
      <w:r>
        <w:rPr>
          <w:rFonts w:hint="eastAsia"/>
          <w:i w:val="0"/>
          <w:iCs w:val="0"/>
          <w:color w:val="auto"/>
          <w:highlight w:val="none"/>
        </w:rPr>
        <w:t>磋商程序同第一轮磋商。</w:t>
      </w:r>
    </w:p>
    <w:p w14:paraId="2984028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3.最后报价</w:t>
      </w:r>
    </w:p>
    <w:p w14:paraId="186FFD39">
      <w:pPr>
        <w:pStyle w:val="40"/>
        <w:pageBreakBefore w:val="0"/>
        <w:kinsoku/>
        <w:overflowPunct/>
        <w:topLinePunct w:val="0"/>
        <w:autoSpaceDE/>
        <w:autoSpaceDN/>
        <w:bidi w:val="0"/>
        <w:spacing w:line="440" w:lineRule="exact"/>
        <w:ind w:firstLine="480"/>
        <w:textAlignment w:val="auto"/>
        <w:rPr>
          <w:i w:val="0"/>
          <w:iCs w:val="0"/>
          <w:color w:val="auto"/>
          <w:highlight w:val="none"/>
        </w:rPr>
      </w:pPr>
      <w:r>
        <w:rPr>
          <w:rFonts w:hint="eastAsia"/>
          <w:i w:val="0"/>
          <w:iCs w:val="0"/>
          <w:color w:val="auto"/>
          <w:highlight w:val="none"/>
        </w:rPr>
        <w:t>3</w:t>
      </w:r>
      <w:r>
        <w:rPr>
          <w:i w:val="0"/>
          <w:iCs w:val="0"/>
          <w:color w:val="auto"/>
          <w:highlight w:val="none"/>
        </w:rPr>
        <w:t>.1</w:t>
      </w:r>
      <w:r>
        <w:rPr>
          <w:rFonts w:hint="eastAsia"/>
          <w:i w:val="0"/>
          <w:iCs w:val="0"/>
          <w:color w:val="auto"/>
          <w:highlight w:val="none"/>
        </w:rPr>
        <w:t>磋商文件中能够详细列明采购标的的技术、服务要求的，磋商结束后，磋商小组应当要求所有</w:t>
      </w:r>
      <w:r>
        <w:rPr>
          <w:rFonts w:hint="eastAsia"/>
          <w:i w:val="0"/>
          <w:iCs w:val="0"/>
          <w:color w:val="auto"/>
          <w:highlight w:val="none"/>
          <w:lang w:val="en-US" w:eastAsia="zh-CN"/>
        </w:rPr>
        <w:t>实质性响应</w:t>
      </w:r>
      <w:r>
        <w:rPr>
          <w:rFonts w:hint="eastAsia"/>
          <w:i w:val="0"/>
          <w:iCs w:val="0"/>
          <w:color w:val="auto"/>
          <w:highlight w:val="none"/>
        </w:rPr>
        <w:t>的供应商，在规定时间内，以书面的方式经授权代表签字（或加盖公章）后提交最后报价，提交最后报价的供应商不得少于3家</w:t>
      </w:r>
      <w:r>
        <w:rPr>
          <w:rFonts w:hint="eastAsia"/>
          <w:i w:val="0"/>
          <w:iCs w:val="0"/>
          <w:color w:val="auto"/>
          <w:szCs w:val="24"/>
          <w:highlight w:val="none"/>
          <w:lang w:val="zh-CN"/>
        </w:rPr>
        <w:t>（</w:t>
      </w:r>
      <w:r>
        <w:rPr>
          <w:rFonts w:hint="eastAsia"/>
          <w:i w:val="0"/>
          <w:iCs w:val="0"/>
          <w:color w:val="auto"/>
          <w:highlight w:val="none"/>
        </w:rPr>
        <w:t>市场竞争不充分的科研项目，以及需要扶持的科技成果转化项目可以为</w:t>
      </w:r>
      <w:r>
        <w:rPr>
          <w:i w:val="0"/>
          <w:iCs w:val="0"/>
          <w:color w:val="auto"/>
          <w:highlight w:val="none"/>
        </w:rPr>
        <w:t>2家</w:t>
      </w:r>
      <w:r>
        <w:rPr>
          <w:rFonts w:hint="eastAsia"/>
          <w:i w:val="0"/>
          <w:iCs w:val="0"/>
          <w:color w:val="auto"/>
          <w:highlight w:val="none"/>
        </w:rPr>
        <w:t>，</w:t>
      </w:r>
      <w:r>
        <w:rPr>
          <w:rFonts w:hint="eastAsia"/>
          <w:i w:val="0"/>
          <w:iCs w:val="0"/>
          <w:snapToGrid w:val="0"/>
          <w:color w:val="auto"/>
          <w:highlight w:val="none"/>
        </w:rPr>
        <w:t>政府购买服务项目[含政府和社会资本合作项目]，在采购过程中符合要求的供应商[社会资本]只有2家的</w:t>
      </w:r>
      <w:r>
        <w:rPr>
          <w:rFonts w:hint="eastAsia"/>
          <w:i w:val="0"/>
          <w:iCs w:val="0"/>
          <w:color w:val="auto"/>
          <w:highlight w:val="none"/>
        </w:rPr>
        <w:t>可以为</w:t>
      </w:r>
      <w:r>
        <w:rPr>
          <w:i w:val="0"/>
          <w:iCs w:val="0"/>
          <w:color w:val="auto"/>
          <w:highlight w:val="none"/>
        </w:rPr>
        <w:t>2家</w:t>
      </w:r>
      <w:r>
        <w:rPr>
          <w:i w:val="0"/>
          <w:iCs w:val="0"/>
          <w:color w:val="auto"/>
          <w:szCs w:val="24"/>
          <w:highlight w:val="none"/>
          <w:lang w:val="zh-CN"/>
        </w:rPr>
        <w:t>）</w:t>
      </w:r>
      <w:r>
        <w:rPr>
          <w:rFonts w:hint="eastAsia"/>
          <w:i w:val="0"/>
          <w:iCs w:val="0"/>
          <w:color w:val="auto"/>
          <w:highlight w:val="none"/>
        </w:rPr>
        <w:t>。</w:t>
      </w:r>
    </w:p>
    <w:p w14:paraId="4B855E9D">
      <w:pPr>
        <w:pStyle w:val="40"/>
        <w:pageBreakBefore w:val="0"/>
        <w:kinsoku/>
        <w:overflowPunct/>
        <w:topLinePunct w:val="0"/>
        <w:autoSpaceDE/>
        <w:autoSpaceDN/>
        <w:bidi w:val="0"/>
        <w:spacing w:line="440" w:lineRule="exact"/>
        <w:ind w:firstLine="480"/>
        <w:textAlignment w:val="auto"/>
        <w:rPr>
          <w:rFonts w:hint="eastAsia"/>
          <w:i w:val="0"/>
          <w:iCs w:val="0"/>
          <w:color w:val="auto"/>
          <w:highlight w:val="none"/>
        </w:rPr>
      </w:pPr>
      <w:r>
        <w:rPr>
          <w:i w:val="0"/>
          <w:iCs w:val="0"/>
          <w:color w:val="auto"/>
          <w:highlight w:val="none"/>
        </w:rPr>
        <w:t>3.2</w:t>
      </w:r>
      <w:r>
        <w:rPr>
          <w:rFonts w:hint="eastAsia"/>
          <w:i w:val="0"/>
          <w:iCs w:val="0"/>
          <w:color w:val="auto"/>
          <w:highlight w:val="none"/>
        </w:rPr>
        <w:t>磋商文件中不能详细列明采购标的的技术、服务要求，需经磋商由供应商提供最</w:t>
      </w:r>
      <w:r>
        <w:rPr>
          <w:rFonts w:hint="eastAsia"/>
          <w:i w:val="0"/>
          <w:iCs w:val="0"/>
          <w:color w:val="auto"/>
          <w:highlight w:val="none"/>
          <w:lang w:val="en-US" w:eastAsia="zh-CN"/>
        </w:rPr>
        <w:t>终</w:t>
      </w:r>
      <w:r>
        <w:rPr>
          <w:rFonts w:hint="eastAsia"/>
          <w:i w:val="0"/>
          <w:iCs w:val="0"/>
          <w:color w:val="auto"/>
          <w:highlight w:val="none"/>
        </w:rPr>
        <w:t>设计方案或解决方案的，磋商结束后，磋商小组应当按照少数服从多数的原则投票推荐3家以上供应商的设计方案或者解决方案，并要求其在规定时间内提交最后报价。</w:t>
      </w:r>
    </w:p>
    <w:p w14:paraId="174AC392">
      <w:pPr>
        <w:pStyle w:val="40"/>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rPr>
      </w:pPr>
      <w:r>
        <w:rPr>
          <w:i w:val="0"/>
          <w:iCs w:val="0"/>
          <w:color w:val="auto"/>
          <w:highlight w:val="none"/>
        </w:rPr>
        <w:t>3.</w:t>
      </w:r>
      <w:r>
        <w:rPr>
          <w:rFonts w:hint="eastAsia"/>
          <w:i w:val="0"/>
          <w:iCs w:val="0"/>
          <w:color w:val="auto"/>
          <w:highlight w:val="none"/>
          <w:lang w:val="en-US" w:eastAsia="zh-CN"/>
        </w:rPr>
        <w:t>3</w:t>
      </w:r>
      <w:r>
        <w:rPr>
          <w:rFonts w:hint="eastAsia"/>
          <w:i w:val="0"/>
          <w:iCs w:val="0"/>
          <w:color w:val="auto"/>
          <w:highlight w:val="none"/>
        </w:rPr>
        <w:t>最后报价是供应商响应文件的有效组成部分。逾时不提交的，视同退出</w:t>
      </w:r>
      <w:r>
        <w:rPr>
          <w:rFonts w:hint="eastAsia" w:ascii="宋体" w:hAnsi="宋体" w:eastAsia="宋体"/>
          <w:i w:val="0"/>
          <w:iCs w:val="0"/>
          <w:color w:val="auto"/>
          <w:highlight w:val="none"/>
        </w:rPr>
        <w:t>磋商。</w:t>
      </w:r>
    </w:p>
    <w:p w14:paraId="271C284E">
      <w:pPr>
        <w:pStyle w:val="40"/>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最后</w:t>
      </w:r>
      <w:r>
        <w:rPr>
          <w:rFonts w:ascii="宋体" w:hAnsi="宋体" w:eastAsia="宋体"/>
          <w:i w:val="0"/>
          <w:iCs w:val="0"/>
          <w:color w:val="auto"/>
          <w:highlight w:val="none"/>
          <w:lang w:val="zh-CN"/>
        </w:rPr>
        <w:t>报价出现</w:t>
      </w:r>
      <w:r>
        <w:rPr>
          <w:rFonts w:hint="eastAsia" w:ascii="宋体" w:hAnsi="宋体" w:eastAsia="宋体"/>
          <w:i w:val="0"/>
          <w:iCs w:val="0"/>
          <w:color w:val="auto"/>
          <w:highlight w:val="none"/>
          <w:lang w:val="zh-CN"/>
        </w:rPr>
        <w:t>前后不一致的</w:t>
      </w:r>
      <w:r>
        <w:rPr>
          <w:rFonts w:ascii="宋体" w:hAnsi="宋体" w:eastAsia="宋体"/>
          <w:i w:val="0"/>
          <w:iCs w:val="0"/>
          <w:color w:val="auto"/>
          <w:highlight w:val="none"/>
          <w:lang w:val="zh-CN"/>
        </w:rPr>
        <w:t>，按照下列规定修正：</w:t>
      </w:r>
    </w:p>
    <w:p w14:paraId="184984DB">
      <w:pPr>
        <w:pStyle w:val="40"/>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（1）</w:t>
      </w:r>
      <w:r>
        <w:rPr>
          <w:rFonts w:ascii="宋体" w:hAnsi="宋体" w:eastAsia="宋体"/>
          <w:i w:val="0"/>
          <w:iCs w:val="0"/>
          <w:color w:val="auto"/>
          <w:highlight w:val="none"/>
          <w:lang w:val="zh-CN"/>
        </w:rPr>
        <w:t>大写金额和小写金额不一致的，以大写金额为准</w:t>
      </w:r>
      <w:r>
        <w:rPr>
          <w:rFonts w:hint="eastAsia" w:ascii="宋体" w:hAnsi="宋体" w:eastAsia="宋体"/>
          <w:i w:val="0"/>
          <w:iCs w:val="0"/>
          <w:color w:val="auto"/>
          <w:highlight w:val="none"/>
          <w:lang w:val="zh-CN"/>
        </w:rPr>
        <w:t>；</w:t>
      </w:r>
    </w:p>
    <w:p w14:paraId="0C46EA24">
      <w:pPr>
        <w:pStyle w:val="40"/>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（2）</w:t>
      </w:r>
      <w:r>
        <w:rPr>
          <w:rFonts w:ascii="宋体" w:hAnsi="宋体" w:eastAsia="宋体"/>
          <w:i w:val="0"/>
          <w:iCs w:val="0"/>
          <w:color w:val="auto"/>
          <w:highlight w:val="none"/>
          <w:lang w:val="zh-CN"/>
        </w:rPr>
        <w:t>单价金额</w:t>
      </w:r>
      <w:r>
        <w:rPr>
          <w:rFonts w:ascii="宋体" w:hAnsi="宋体" w:eastAsia="宋体"/>
          <w:i w:val="0"/>
          <w:iCs w:val="0"/>
          <w:color w:val="auto"/>
          <w:highlight w:val="none"/>
        </w:rPr>
        <w:t>小数点</w:t>
      </w:r>
      <w:r>
        <w:rPr>
          <w:rFonts w:ascii="宋体" w:hAnsi="宋体" w:eastAsia="宋体"/>
          <w:i w:val="0"/>
          <w:iCs w:val="0"/>
          <w:color w:val="auto"/>
          <w:highlight w:val="none"/>
          <w:lang w:val="zh-CN"/>
        </w:rPr>
        <w:t>或百分比有明显错位的，以</w:t>
      </w:r>
      <w:r>
        <w:rPr>
          <w:rFonts w:hint="eastAsia" w:ascii="宋体" w:hAnsi="宋体" w:eastAsia="宋体"/>
          <w:i w:val="0"/>
          <w:iCs w:val="0"/>
          <w:color w:val="auto"/>
          <w:highlight w:val="none"/>
          <w:lang w:val="zh-CN"/>
        </w:rPr>
        <w:t>最后报价表</w:t>
      </w:r>
      <w:r>
        <w:rPr>
          <w:rFonts w:ascii="宋体" w:hAnsi="宋体" w:eastAsia="宋体"/>
          <w:i w:val="0"/>
          <w:iCs w:val="0"/>
          <w:color w:val="auto"/>
          <w:highlight w:val="none"/>
          <w:lang w:val="zh-CN"/>
        </w:rPr>
        <w:t>的总价为准，并修改单价</w:t>
      </w:r>
      <w:r>
        <w:rPr>
          <w:rFonts w:hint="eastAsia" w:ascii="宋体" w:hAnsi="宋体" w:eastAsia="宋体"/>
          <w:i w:val="0"/>
          <w:iCs w:val="0"/>
          <w:color w:val="auto"/>
          <w:highlight w:val="none"/>
          <w:lang w:val="zh-CN"/>
        </w:rPr>
        <w:t>；</w:t>
      </w:r>
    </w:p>
    <w:p w14:paraId="38F00E8C">
      <w:pPr>
        <w:pStyle w:val="40"/>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（3）</w:t>
      </w:r>
      <w:r>
        <w:rPr>
          <w:rFonts w:ascii="宋体" w:hAnsi="宋体" w:eastAsia="宋体"/>
          <w:i w:val="0"/>
          <w:iCs w:val="0"/>
          <w:color w:val="auto"/>
          <w:highlight w:val="none"/>
          <w:lang w:val="zh-CN"/>
        </w:rPr>
        <w:t>总价金额与按单价汇总金额不一致的，以单价金额计算结果为准</w:t>
      </w:r>
      <w:r>
        <w:rPr>
          <w:rFonts w:hint="eastAsia" w:ascii="宋体" w:hAnsi="宋体" w:eastAsia="宋体"/>
          <w:i w:val="0"/>
          <w:iCs w:val="0"/>
          <w:color w:val="auto"/>
          <w:highlight w:val="none"/>
          <w:lang w:val="zh-CN"/>
        </w:rPr>
        <w:t>；</w:t>
      </w:r>
    </w:p>
    <w:p w14:paraId="666E4BFE">
      <w:pPr>
        <w:pStyle w:val="40"/>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（4）</w:t>
      </w:r>
      <w:r>
        <w:rPr>
          <w:rFonts w:ascii="宋体" w:hAnsi="宋体" w:eastAsia="宋体"/>
          <w:i w:val="0"/>
          <w:iCs w:val="0"/>
          <w:color w:val="auto"/>
          <w:highlight w:val="none"/>
          <w:lang w:val="zh-CN"/>
        </w:rPr>
        <w:t>同时出现</w:t>
      </w:r>
      <w:r>
        <w:rPr>
          <w:rFonts w:ascii="宋体" w:hAnsi="宋体" w:eastAsia="宋体"/>
          <w:i w:val="0"/>
          <w:iCs w:val="0"/>
          <w:color w:val="auto"/>
          <w:highlight w:val="none"/>
        </w:rPr>
        <w:t>两种</w:t>
      </w:r>
      <w:r>
        <w:rPr>
          <w:rFonts w:ascii="宋体" w:hAnsi="宋体" w:eastAsia="宋体"/>
          <w:i w:val="0"/>
          <w:iCs w:val="0"/>
          <w:color w:val="auto"/>
          <w:highlight w:val="none"/>
          <w:lang w:val="zh-CN"/>
        </w:rPr>
        <w:t>以上不一致的，按照前款规定的顺序修正</w:t>
      </w:r>
      <w:r>
        <w:rPr>
          <w:rFonts w:hint="eastAsia" w:ascii="宋体" w:hAnsi="宋体" w:eastAsia="宋体"/>
          <w:i w:val="0"/>
          <w:iCs w:val="0"/>
          <w:color w:val="auto"/>
          <w:highlight w:val="none"/>
          <w:lang w:val="zh-CN"/>
        </w:rPr>
        <w:t>；</w:t>
      </w:r>
    </w:p>
    <w:p w14:paraId="2809B63C">
      <w:pPr>
        <w:pStyle w:val="40"/>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rPr>
      </w:pPr>
      <w:r>
        <w:rPr>
          <w:rFonts w:hint="eastAsia" w:ascii="宋体" w:hAnsi="宋体" w:eastAsia="宋体"/>
          <w:i w:val="0"/>
          <w:iCs w:val="0"/>
          <w:color w:val="auto"/>
          <w:highlight w:val="none"/>
          <w:lang w:val="zh-CN"/>
        </w:rPr>
        <w:t>（5）</w:t>
      </w:r>
      <w:r>
        <w:rPr>
          <w:rFonts w:ascii="宋体" w:hAnsi="宋体" w:eastAsia="宋体"/>
          <w:i w:val="0"/>
          <w:iCs w:val="0"/>
          <w:color w:val="auto"/>
          <w:highlight w:val="none"/>
          <w:lang w:val="zh-CN"/>
        </w:rPr>
        <w:t>修正后的报价</w:t>
      </w:r>
      <w:r>
        <w:rPr>
          <w:rFonts w:hint="eastAsia" w:ascii="宋体" w:hAnsi="宋体" w:eastAsia="宋体"/>
          <w:i w:val="0"/>
          <w:iCs w:val="0"/>
          <w:color w:val="auto"/>
          <w:highlight w:val="none"/>
          <w:lang w:val="zh-CN"/>
        </w:rPr>
        <w:t>应通过书面方式</w:t>
      </w:r>
      <w:r>
        <w:rPr>
          <w:rFonts w:ascii="宋体" w:hAnsi="宋体" w:eastAsia="宋体"/>
          <w:i w:val="0"/>
          <w:iCs w:val="0"/>
          <w:color w:val="auto"/>
          <w:highlight w:val="none"/>
          <w:lang w:val="zh-CN"/>
        </w:rPr>
        <w:t>通知</w:t>
      </w:r>
      <w:r>
        <w:rPr>
          <w:rFonts w:hint="eastAsia" w:ascii="宋体" w:hAnsi="宋体" w:eastAsia="宋体"/>
          <w:i w:val="0"/>
          <w:iCs w:val="0"/>
          <w:color w:val="auto"/>
          <w:highlight w:val="none"/>
          <w:lang w:val="zh-CN"/>
        </w:rPr>
        <w:t>供应商，由</w:t>
      </w:r>
      <w:r>
        <w:rPr>
          <w:rFonts w:ascii="宋体" w:hAnsi="宋体" w:eastAsia="宋体"/>
          <w:i w:val="0"/>
          <w:iCs w:val="0"/>
          <w:color w:val="auto"/>
          <w:highlight w:val="none"/>
          <w:lang w:val="zh-CN"/>
        </w:rPr>
        <w:t>供应商</w:t>
      </w:r>
      <w:r>
        <w:rPr>
          <w:rFonts w:hint="eastAsia" w:ascii="宋体" w:hAnsi="宋体" w:eastAsia="宋体"/>
          <w:i w:val="0"/>
          <w:iCs w:val="0"/>
          <w:color w:val="auto"/>
          <w:highlight w:val="none"/>
          <w:lang w:val="zh-CN"/>
        </w:rPr>
        <w:t>授权代表签字（或加盖公章）</w:t>
      </w:r>
      <w:r>
        <w:rPr>
          <w:rFonts w:ascii="宋体" w:hAnsi="宋体" w:eastAsia="宋体"/>
          <w:i w:val="0"/>
          <w:iCs w:val="0"/>
          <w:color w:val="auto"/>
          <w:highlight w:val="none"/>
          <w:lang w:val="zh-CN"/>
        </w:rPr>
        <w:t>确认后产生约束力，供应商不确认的，</w:t>
      </w:r>
      <w:r>
        <w:rPr>
          <w:rFonts w:hint="eastAsia" w:ascii="宋体" w:hAnsi="宋体" w:eastAsia="宋体"/>
          <w:i w:val="0"/>
          <w:iCs w:val="0"/>
          <w:color w:val="auto"/>
          <w:highlight w:val="none"/>
          <w:lang w:val="zh-CN"/>
        </w:rPr>
        <w:t>按照</w:t>
      </w:r>
      <w:r>
        <w:rPr>
          <w:rFonts w:ascii="宋体" w:hAnsi="宋体" w:eastAsia="宋体"/>
          <w:i w:val="0"/>
          <w:iCs w:val="0"/>
          <w:color w:val="auto"/>
          <w:highlight w:val="none"/>
          <w:lang w:val="zh-CN"/>
        </w:rPr>
        <w:t>无效</w:t>
      </w:r>
      <w:r>
        <w:rPr>
          <w:rFonts w:hint="eastAsia" w:ascii="宋体" w:hAnsi="宋体" w:eastAsia="宋体"/>
          <w:i w:val="0"/>
          <w:iCs w:val="0"/>
          <w:color w:val="auto"/>
          <w:highlight w:val="none"/>
          <w:lang w:val="zh-CN"/>
        </w:rPr>
        <w:t>响应处理</w:t>
      </w:r>
      <w:r>
        <w:rPr>
          <w:rFonts w:ascii="宋体" w:hAnsi="宋体" w:eastAsia="宋体"/>
          <w:i w:val="0"/>
          <w:iCs w:val="0"/>
          <w:color w:val="auto"/>
          <w:highlight w:val="none"/>
          <w:lang w:val="zh-CN"/>
        </w:rPr>
        <w:t>。</w:t>
      </w:r>
    </w:p>
    <w:p w14:paraId="00F39F19">
      <w:pPr>
        <w:pageBreakBefore w:val="0"/>
        <w:tabs>
          <w:tab w:val="left" w:pos="993"/>
        </w:tabs>
        <w:kinsoku/>
        <w:wordWrap w:val="0"/>
        <w:overflowPunct/>
        <w:topLinePunct w:val="0"/>
        <w:autoSpaceDE/>
        <w:autoSpaceDN/>
        <w:bidi w:val="0"/>
        <w:adjustRightInd w:val="0"/>
        <w:snapToGrid w:val="0"/>
        <w:spacing w:line="440" w:lineRule="exact"/>
        <w:ind w:firstLine="480" w:firstLineChars="200"/>
        <w:textAlignment w:val="auto"/>
        <w:rPr>
          <w:i w:val="0"/>
          <w:iCs w:val="0"/>
          <w:color w:val="auto"/>
          <w:highlight w:val="none"/>
        </w:rPr>
      </w:pPr>
      <w:r>
        <w:rPr>
          <w:rFonts w:hint="eastAsia" w:ascii="宋体" w:hAnsi="宋体" w:eastAsia="宋体"/>
          <w:i w:val="0"/>
          <w:iCs w:val="0"/>
          <w:color w:val="auto"/>
          <w:highlight w:val="none"/>
          <w:lang w:val="en-US" w:eastAsia="zh-CN"/>
        </w:rPr>
        <w:t>3.4已提交响应文件的供应商，在提交最后报价之前，可以根据磋商情况退出磋商，退出磋商供应商的磋商保证金</w:t>
      </w:r>
      <w:r>
        <w:rPr>
          <w:rFonts w:hint="eastAsia"/>
          <w:i w:val="0"/>
          <w:iCs w:val="0"/>
          <w:color w:val="auto"/>
          <w:highlight w:val="none"/>
          <w:lang w:val="en-US" w:eastAsia="zh-CN"/>
        </w:rPr>
        <w:t>可予以</w:t>
      </w:r>
      <w:r>
        <w:rPr>
          <w:rFonts w:hint="eastAsia" w:ascii="宋体" w:hAnsi="宋体" w:eastAsia="宋体"/>
          <w:i w:val="0"/>
          <w:iCs w:val="0"/>
          <w:color w:val="auto"/>
          <w:highlight w:val="none"/>
          <w:lang w:val="en-US" w:eastAsia="zh-CN"/>
        </w:rPr>
        <w:t>退还</w:t>
      </w:r>
      <w:r>
        <w:rPr>
          <w:i w:val="0"/>
          <w:iCs w:val="0"/>
          <w:color w:val="auto"/>
          <w:szCs w:val="24"/>
          <w:highlight w:val="none"/>
          <w:lang w:val="zh-CN"/>
        </w:rPr>
        <w:t>。</w:t>
      </w:r>
    </w:p>
    <w:p w14:paraId="6C160EA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43" w:name="_Toc102056245"/>
      <w:bookmarkStart w:id="444" w:name="_Toc102116179"/>
      <w:bookmarkStart w:id="445" w:name="_Toc102114947"/>
      <w:bookmarkStart w:id="446" w:name="_Toc102057745"/>
      <w:bookmarkStart w:id="447" w:name="_Toc102116049"/>
      <w:bookmarkStart w:id="448" w:name="_Toc102119880"/>
      <w:r>
        <w:rPr>
          <w:rFonts w:hint="eastAsia" w:ascii="宋体" w:hAnsi="宋体" w:eastAsia="宋体" w:cs="宋体"/>
          <w:b/>
          <w:bCs/>
          <w:i w:val="0"/>
          <w:iCs w:val="0"/>
          <w:color w:val="auto"/>
          <w:kern w:val="2"/>
          <w:sz w:val="24"/>
          <w:szCs w:val="24"/>
          <w:highlight w:val="none"/>
          <w:lang w:val="en-US" w:eastAsia="zh-CN" w:bidi="ar-SA"/>
        </w:rPr>
        <w:t>4.商务技术评审</w:t>
      </w:r>
    </w:p>
    <w:p w14:paraId="10860B19">
      <w:pPr>
        <w:pStyle w:val="40"/>
        <w:pageBreakBefore w:val="0"/>
        <w:kinsoku/>
        <w:overflowPunct/>
        <w:topLinePunct w:val="0"/>
        <w:autoSpaceDE/>
        <w:autoSpaceDN/>
        <w:bidi w:val="0"/>
        <w:spacing w:line="440" w:lineRule="exact"/>
        <w:ind w:firstLine="480"/>
        <w:textAlignment w:val="auto"/>
        <w:rPr>
          <w:rFonts w:hint="eastAsia"/>
          <w:i w:val="0"/>
          <w:iCs w:val="0"/>
          <w:color w:val="auto"/>
          <w:highlight w:val="none"/>
          <w:lang w:val="zh-CN"/>
        </w:rPr>
      </w:pPr>
      <w:r>
        <w:rPr>
          <w:rFonts w:hint="eastAsia"/>
          <w:i w:val="0"/>
          <w:iCs w:val="0"/>
          <w:color w:val="auto"/>
          <w:highlight w:val="none"/>
          <w:lang w:val="zh-CN"/>
        </w:rPr>
        <w:t>4</w:t>
      </w:r>
      <w:r>
        <w:rPr>
          <w:i w:val="0"/>
          <w:iCs w:val="0"/>
          <w:color w:val="auto"/>
          <w:highlight w:val="none"/>
          <w:lang w:val="zh-CN"/>
        </w:rPr>
        <w:t>.1</w:t>
      </w:r>
      <w:r>
        <w:rPr>
          <w:rFonts w:hint="eastAsia"/>
          <w:i w:val="0"/>
          <w:iCs w:val="0"/>
          <w:color w:val="auto"/>
          <w:highlight w:val="none"/>
          <w:lang w:val="zh-CN"/>
        </w:rPr>
        <w:t>经磋商确定最终采购需求和提交最后报价的供应商后，由磋商小组采用综合评分法对提交最后报价的供应商的响应文件和最后报价进行综合评分。</w:t>
      </w:r>
    </w:p>
    <w:bookmarkEnd w:id="435"/>
    <w:bookmarkEnd w:id="436"/>
    <w:bookmarkEnd w:id="437"/>
    <w:bookmarkEnd w:id="438"/>
    <w:bookmarkEnd w:id="439"/>
    <w:bookmarkEnd w:id="440"/>
    <w:bookmarkEnd w:id="443"/>
    <w:bookmarkEnd w:id="444"/>
    <w:bookmarkEnd w:id="445"/>
    <w:bookmarkEnd w:id="446"/>
    <w:bookmarkEnd w:id="447"/>
    <w:bookmarkEnd w:id="448"/>
    <w:p w14:paraId="3FC2C2C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49" w:name="_Toc102056247"/>
      <w:bookmarkStart w:id="450" w:name="_Toc102116051"/>
      <w:bookmarkStart w:id="451" w:name="_Toc102114949"/>
      <w:bookmarkStart w:id="452" w:name="_Toc102057747"/>
      <w:bookmarkStart w:id="453" w:name="_Toc102116181"/>
      <w:bookmarkStart w:id="454" w:name="_Toc102119882"/>
      <w:r>
        <w:rPr>
          <w:rFonts w:hint="eastAsia" w:ascii="宋体" w:hAnsi="宋体" w:eastAsia="宋体" w:cs="宋体"/>
          <w:b/>
          <w:bCs/>
          <w:i w:val="0"/>
          <w:iCs w:val="0"/>
          <w:color w:val="auto"/>
          <w:kern w:val="2"/>
          <w:sz w:val="24"/>
          <w:szCs w:val="24"/>
          <w:highlight w:val="none"/>
          <w:lang w:val="en-US" w:eastAsia="zh-CN" w:bidi="ar-SA"/>
        </w:rPr>
        <w:t>5.报价评</w:t>
      </w:r>
      <w:bookmarkEnd w:id="449"/>
      <w:bookmarkEnd w:id="450"/>
      <w:bookmarkEnd w:id="451"/>
      <w:bookmarkEnd w:id="452"/>
      <w:bookmarkEnd w:id="453"/>
      <w:bookmarkEnd w:id="454"/>
      <w:r>
        <w:rPr>
          <w:rFonts w:hint="eastAsia" w:ascii="宋体" w:hAnsi="宋体" w:eastAsia="宋体" w:cs="宋体"/>
          <w:b/>
          <w:bCs/>
          <w:i w:val="0"/>
          <w:iCs w:val="0"/>
          <w:color w:val="auto"/>
          <w:kern w:val="2"/>
          <w:sz w:val="24"/>
          <w:szCs w:val="24"/>
          <w:highlight w:val="none"/>
          <w:lang w:val="en-US" w:eastAsia="zh-CN" w:bidi="ar-SA"/>
        </w:rPr>
        <w:t>审</w:t>
      </w:r>
    </w:p>
    <w:p w14:paraId="721C740D">
      <w:pPr>
        <w:pStyle w:val="40"/>
        <w:pageBreakBefore w:val="0"/>
        <w:kinsoku/>
        <w:overflowPunct/>
        <w:topLinePunct w:val="0"/>
        <w:autoSpaceDE/>
        <w:autoSpaceDN/>
        <w:bidi w:val="0"/>
        <w:spacing w:line="440" w:lineRule="exact"/>
        <w:ind w:firstLine="480"/>
        <w:textAlignment w:val="auto"/>
        <w:rPr>
          <w:bCs/>
          <w:i w:val="0"/>
          <w:iCs w:val="0"/>
          <w:color w:val="auto"/>
          <w:szCs w:val="21"/>
          <w:highlight w:val="none"/>
          <w:lang w:val="zh-CN"/>
        </w:rPr>
      </w:pPr>
      <w:r>
        <w:rPr>
          <w:rFonts w:hint="eastAsia"/>
          <w:i w:val="0"/>
          <w:iCs w:val="0"/>
          <w:color w:val="auto"/>
          <w:highlight w:val="none"/>
          <w:lang w:val="zh-CN"/>
        </w:rPr>
        <w:t>5</w:t>
      </w:r>
      <w:r>
        <w:rPr>
          <w:i w:val="0"/>
          <w:iCs w:val="0"/>
          <w:color w:val="auto"/>
          <w:highlight w:val="none"/>
          <w:lang w:val="zh-CN"/>
        </w:rPr>
        <w:t>.1</w:t>
      </w:r>
      <w:r>
        <w:rPr>
          <w:rFonts w:hint="eastAsia"/>
          <w:i w:val="0"/>
          <w:iCs w:val="0"/>
          <w:color w:val="auto"/>
          <w:highlight w:val="none"/>
          <w:lang w:val="zh-CN"/>
        </w:rPr>
        <w:t>报价合理性说明：磋商</w:t>
      </w:r>
      <w:r>
        <w:rPr>
          <w:i w:val="0"/>
          <w:iCs w:val="0"/>
          <w:color w:val="auto"/>
          <w:highlight w:val="none"/>
          <w:lang w:val="zh-CN"/>
        </w:rPr>
        <w:t>小组认为供应商的</w:t>
      </w:r>
      <w:r>
        <w:rPr>
          <w:rFonts w:hint="eastAsia"/>
          <w:i w:val="0"/>
          <w:iCs w:val="0"/>
          <w:color w:val="auto"/>
          <w:highlight w:val="none"/>
          <w:lang w:val="zh-CN"/>
        </w:rPr>
        <w:t>最后</w:t>
      </w:r>
      <w:r>
        <w:rPr>
          <w:i w:val="0"/>
          <w:iCs w:val="0"/>
          <w:color w:val="auto"/>
          <w:highlight w:val="none"/>
          <w:lang w:val="zh-CN"/>
        </w:rPr>
        <w:t>报价明显低于其他供应商</w:t>
      </w:r>
      <w:r>
        <w:rPr>
          <w:rFonts w:hint="eastAsia"/>
          <w:i w:val="0"/>
          <w:iCs w:val="0"/>
          <w:color w:val="auto"/>
          <w:highlight w:val="none"/>
          <w:lang w:val="zh-CN"/>
        </w:rPr>
        <w:t>最后</w:t>
      </w:r>
      <w:r>
        <w:rPr>
          <w:i w:val="0"/>
          <w:iCs w:val="0"/>
          <w:color w:val="auto"/>
          <w:highlight w:val="none"/>
          <w:lang w:val="zh-CN"/>
        </w:rPr>
        <w:t>报价，有可能影响</w:t>
      </w:r>
      <w:r>
        <w:rPr>
          <w:rFonts w:hint="eastAsia"/>
          <w:i w:val="0"/>
          <w:iCs w:val="0"/>
          <w:color w:val="auto"/>
          <w:highlight w:val="none"/>
          <w:lang w:val="en-US" w:eastAsia="zh-CN"/>
        </w:rPr>
        <w:t>服务</w:t>
      </w:r>
      <w:r>
        <w:rPr>
          <w:i w:val="0"/>
          <w:iCs w:val="0"/>
          <w:color w:val="auto"/>
          <w:highlight w:val="none"/>
          <w:lang w:val="zh-CN"/>
        </w:rPr>
        <w:t>质量或者不能诚信履约的，应当要求其</w:t>
      </w:r>
      <w:r>
        <w:rPr>
          <w:rFonts w:hint="eastAsia"/>
          <w:i w:val="0"/>
          <w:iCs w:val="0"/>
          <w:color w:val="auto"/>
          <w:highlight w:val="none"/>
          <w:lang w:val="zh-CN"/>
        </w:rPr>
        <w:t>在</w:t>
      </w:r>
      <w:r>
        <w:rPr>
          <w:i w:val="0"/>
          <w:iCs w:val="0"/>
          <w:color w:val="auto"/>
          <w:highlight w:val="none"/>
          <w:lang w:val="zh-CN"/>
        </w:rPr>
        <w:t>合理的时间内提供说明，必要时提交相关证明材料；供应商不能证明其</w:t>
      </w:r>
      <w:r>
        <w:rPr>
          <w:rFonts w:hint="eastAsia"/>
          <w:i w:val="0"/>
          <w:iCs w:val="0"/>
          <w:color w:val="auto"/>
          <w:highlight w:val="none"/>
          <w:lang w:val="zh-CN"/>
        </w:rPr>
        <w:t>最后</w:t>
      </w:r>
      <w:r>
        <w:rPr>
          <w:i w:val="0"/>
          <w:iCs w:val="0"/>
          <w:color w:val="auto"/>
          <w:highlight w:val="none"/>
          <w:lang w:val="zh-CN"/>
        </w:rPr>
        <w:t>报价合理性的，</w:t>
      </w:r>
      <w:r>
        <w:rPr>
          <w:rFonts w:hint="eastAsia"/>
          <w:i w:val="0"/>
          <w:iCs w:val="0"/>
          <w:color w:val="auto"/>
          <w:highlight w:val="none"/>
          <w:lang w:val="zh-CN"/>
        </w:rPr>
        <w:t>磋商</w:t>
      </w:r>
      <w:r>
        <w:rPr>
          <w:i w:val="0"/>
          <w:iCs w:val="0"/>
          <w:color w:val="auto"/>
          <w:highlight w:val="none"/>
          <w:lang w:val="zh-CN"/>
        </w:rPr>
        <w:t>小组</w:t>
      </w:r>
      <w:r>
        <w:rPr>
          <w:rFonts w:hint="eastAsia"/>
          <w:i w:val="0"/>
          <w:iCs w:val="0"/>
          <w:color w:val="auto"/>
          <w:highlight w:val="none"/>
          <w:lang w:val="zh-CN"/>
        </w:rPr>
        <w:t>应当将其作</w:t>
      </w:r>
      <w:r>
        <w:rPr>
          <w:b/>
          <w:i w:val="0"/>
          <w:iCs w:val="0"/>
          <w:color w:val="auto"/>
          <w:highlight w:val="none"/>
          <w:lang w:val="zh-CN"/>
        </w:rPr>
        <w:t>无效</w:t>
      </w:r>
      <w:r>
        <w:rPr>
          <w:rFonts w:hint="eastAsia"/>
          <w:b/>
          <w:i w:val="0"/>
          <w:iCs w:val="0"/>
          <w:color w:val="auto"/>
          <w:highlight w:val="none"/>
          <w:lang w:val="zh-CN"/>
        </w:rPr>
        <w:t>响应</w:t>
      </w:r>
      <w:r>
        <w:rPr>
          <w:b/>
          <w:i w:val="0"/>
          <w:iCs w:val="0"/>
          <w:color w:val="auto"/>
          <w:highlight w:val="none"/>
          <w:lang w:val="zh-CN"/>
        </w:rPr>
        <w:t>处理</w:t>
      </w:r>
      <w:r>
        <w:rPr>
          <w:i w:val="0"/>
          <w:iCs w:val="0"/>
          <w:color w:val="auto"/>
          <w:highlight w:val="none"/>
          <w:lang w:val="zh-CN"/>
        </w:rPr>
        <w:t>。</w:t>
      </w:r>
    </w:p>
    <w:p w14:paraId="1A9C11D5">
      <w:pPr>
        <w:pStyle w:val="40"/>
        <w:pageBreakBefore w:val="0"/>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5.1.1供应商应根据答疑内容在规定的时间内提供说明和成本清单等相关证明材料，磋商小组认定相关证明材料对此报价的说明或者证明材料可以佐证此报价的服务质量和具有诚信履约能力，予以通过审查；</w:t>
      </w:r>
    </w:p>
    <w:p w14:paraId="7BE73330">
      <w:pPr>
        <w:pStyle w:val="40"/>
        <w:pageBreakBefore w:val="0"/>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5.1.2供应商提供的说明或者证明材料必须按照国家财务会计制度的规定要求，逐项就供应商提供的货物和服务的主营业务成本、税收及附加、销售费用、管理费用、财务费用等成本构成事项详细陈述，并由法定代表人或者其授权代表签字确认并加盖公章；</w:t>
      </w:r>
    </w:p>
    <w:p w14:paraId="2952C3D1">
      <w:pPr>
        <w:pStyle w:val="40"/>
        <w:pageBreakBefore w:val="0"/>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5.1.3供应商不能合理说明或者不能提供相关证明材料的，由磋商小组认定该供应商以低于成本报价竞标，有可能影响服务质量或者不能诚信履约，应当</w:t>
      </w:r>
      <w:r>
        <w:rPr>
          <w:rFonts w:hint="eastAsia"/>
          <w:i w:val="0"/>
          <w:iCs w:val="0"/>
          <w:color w:val="auto"/>
          <w:highlight w:val="none"/>
          <w:lang w:val="zh-CN"/>
        </w:rPr>
        <w:t>将其作为</w:t>
      </w:r>
      <w:r>
        <w:rPr>
          <w:b/>
          <w:i w:val="0"/>
          <w:iCs w:val="0"/>
          <w:color w:val="auto"/>
          <w:highlight w:val="none"/>
          <w:lang w:val="zh-CN"/>
        </w:rPr>
        <w:t>无效</w:t>
      </w:r>
      <w:r>
        <w:rPr>
          <w:rFonts w:hint="eastAsia"/>
          <w:b/>
          <w:i w:val="0"/>
          <w:iCs w:val="0"/>
          <w:color w:val="auto"/>
          <w:highlight w:val="none"/>
          <w:lang w:val="zh-CN"/>
        </w:rPr>
        <w:t>响应</w:t>
      </w:r>
      <w:r>
        <w:rPr>
          <w:b/>
          <w:i w:val="0"/>
          <w:iCs w:val="0"/>
          <w:color w:val="auto"/>
          <w:highlight w:val="none"/>
          <w:lang w:val="zh-CN"/>
        </w:rPr>
        <w:t>处理</w:t>
      </w:r>
      <w:r>
        <w:rPr>
          <w:rFonts w:hint="eastAsia" w:ascii="宋体" w:hAnsi="宋体" w:eastAsia="宋体"/>
          <w:i w:val="0"/>
          <w:iCs w:val="0"/>
          <w:color w:val="auto"/>
          <w:highlight w:val="none"/>
          <w:lang w:val="en-US" w:eastAsia="zh-CN"/>
        </w:rPr>
        <w:t>；</w:t>
      </w:r>
    </w:p>
    <w:p w14:paraId="16DCE3B4">
      <w:pPr>
        <w:pStyle w:val="40"/>
        <w:pageBreakBefore w:val="0"/>
        <w:shd w:val="clear"/>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lang w:val="zh-CN"/>
        </w:rPr>
      </w:pPr>
      <w:r>
        <w:rPr>
          <w:rFonts w:hint="eastAsia" w:ascii="宋体" w:hAnsi="宋体" w:eastAsia="宋体"/>
          <w:i w:val="0"/>
          <w:iCs w:val="0"/>
          <w:color w:val="auto"/>
          <w:highlight w:val="none"/>
          <w:lang w:val="en-US" w:eastAsia="zh-CN"/>
        </w:rPr>
        <w:t>5.1.4供应商也可以有预见性地准备好上述要求的书面说明和相关证明材料并加盖公章。</w:t>
      </w:r>
    </w:p>
    <w:p w14:paraId="00091A58">
      <w:pPr>
        <w:pStyle w:val="40"/>
        <w:pageBreakBefore w:val="0"/>
        <w:shd w:val="clear"/>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5</w:t>
      </w:r>
      <w:r>
        <w:rPr>
          <w:i w:val="0"/>
          <w:iCs w:val="0"/>
          <w:color w:val="auto"/>
          <w:highlight w:val="none"/>
          <w:lang w:val="zh-CN"/>
        </w:rPr>
        <w:t>.2</w:t>
      </w:r>
      <w:r>
        <w:rPr>
          <w:rFonts w:hint="eastAsia"/>
          <w:i w:val="0"/>
          <w:iCs w:val="0"/>
          <w:color w:val="auto"/>
          <w:highlight w:val="none"/>
          <w:lang w:val="zh-CN"/>
        </w:rPr>
        <w:t>价格扣除：</w:t>
      </w:r>
      <w:r>
        <w:rPr>
          <w:i w:val="0"/>
          <w:iCs w:val="0"/>
          <w:color w:val="auto"/>
          <w:highlight w:val="none"/>
          <w:lang w:val="zh-CN"/>
        </w:rPr>
        <w:t xml:space="preserve"> </w:t>
      </w:r>
    </w:p>
    <w:p w14:paraId="48B84817">
      <w:pPr>
        <w:pStyle w:val="40"/>
        <w:pageBreakBefore w:val="0"/>
        <w:numPr>
          <w:ilvl w:val="0"/>
          <w:numId w:val="0"/>
        </w:numPr>
        <w:shd w:val="clear" w:color="auto"/>
        <w:kinsoku/>
        <w:overflowPunct/>
        <w:topLinePunct w:val="0"/>
        <w:autoSpaceDE/>
        <w:autoSpaceDN/>
        <w:bidi w:val="0"/>
        <w:spacing w:line="440" w:lineRule="exact"/>
        <w:ind w:firstLine="480" w:firstLineChars="200"/>
        <w:textAlignment w:val="auto"/>
        <w:rPr>
          <w:i w:val="0"/>
          <w:iCs w:val="0"/>
          <w:color w:val="auto"/>
          <w:highlight w:val="none"/>
        </w:rPr>
      </w:pPr>
      <w:r>
        <w:rPr>
          <w:rFonts w:ascii="宋体" w:hAnsi="宋体" w:eastAsia="宋体" w:cstheme="minorBidi"/>
          <w:i w:val="0"/>
          <w:iCs w:val="0"/>
          <w:color w:val="auto"/>
          <w:kern w:val="2"/>
          <w:sz w:val="24"/>
          <w:szCs w:val="22"/>
          <w:highlight w:val="none"/>
          <w:lang w:val="en-US" w:eastAsia="zh-CN" w:bidi="ar-SA"/>
        </w:rPr>
        <w:t>（1）</w:t>
      </w:r>
      <w:r>
        <w:rPr>
          <w:rFonts w:hint="eastAsia"/>
          <w:i w:val="0"/>
          <w:iCs w:val="0"/>
          <w:color w:val="auto"/>
          <w:highlight w:val="none"/>
        </w:rPr>
        <w:t>非专门面向中小企业的采购项目或采购包，对符合规定的小微企业（监狱企业、残疾人福利性单位、联合体各方均为小微企业的联合体、符合小微企业划分标准的个体工商户视同小微企业）报价按照竞争性磋商文件</w:t>
      </w:r>
      <w:r>
        <w:rPr>
          <w:rFonts w:hint="eastAsia"/>
          <w:i w:val="0"/>
          <w:iCs w:val="0"/>
          <w:color w:val="auto"/>
          <w:highlight w:val="none"/>
          <w:lang w:eastAsia="zh-CN"/>
        </w:rPr>
        <w:t>“</w:t>
      </w:r>
      <w:r>
        <w:rPr>
          <w:rFonts w:hint="eastAsia"/>
          <w:i w:val="0"/>
          <w:iCs w:val="0"/>
          <w:color w:val="auto"/>
          <w:highlight w:val="none"/>
        </w:rPr>
        <w:t>供应商须知前附表”中的规定扣除，对小微企业中的监狱企业、残疾人福利性单位、采购产品纳入创新产品应用示范推荐目录内企业、采购产品获得节能产品或环境标志产品认证证书的企业报价按照本竞争性磋商文件</w:t>
      </w:r>
      <w:r>
        <w:rPr>
          <w:rFonts w:hint="eastAsia"/>
          <w:i w:val="0"/>
          <w:iCs w:val="0"/>
          <w:color w:val="auto"/>
          <w:highlight w:val="none"/>
          <w:lang w:eastAsia="zh-CN"/>
        </w:rPr>
        <w:t>“</w:t>
      </w:r>
      <w:r>
        <w:rPr>
          <w:rFonts w:hint="eastAsia"/>
          <w:i w:val="0"/>
          <w:iCs w:val="0"/>
          <w:color w:val="auto"/>
          <w:highlight w:val="none"/>
        </w:rPr>
        <w:t>供应商须知前附表”中的规定扣除，用扣除后的价格计算评审基准价。</w:t>
      </w:r>
    </w:p>
    <w:p w14:paraId="342BE1B2">
      <w:pPr>
        <w:pStyle w:val="40"/>
        <w:pageBreakBefore w:val="0"/>
        <w:numPr>
          <w:ilvl w:val="0"/>
          <w:numId w:val="0"/>
        </w:numPr>
        <w:shd w:val="clear" w:color="auto"/>
        <w:kinsoku/>
        <w:overflowPunct/>
        <w:topLinePunct w:val="0"/>
        <w:autoSpaceDE/>
        <w:autoSpaceDN/>
        <w:bidi w:val="0"/>
        <w:spacing w:line="440" w:lineRule="exact"/>
        <w:ind w:firstLine="480" w:firstLineChars="200"/>
        <w:textAlignment w:val="auto"/>
        <w:rPr>
          <w:i w:val="0"/>
          <w:iCs w:val="0"/>
          <w:color w:val="auto"/>
          <w:highlight w:val="none"/>
        </w:rPr>
      </w:pPr>
      <w:r>
        <w:rPr>
          <w:rFonts w:ascii="宋体" w:hAnsi="宋体" w:eastAsia="宋体" w:cstheme="minorBidi"/>
          <w:i w:val="0"/>
          <w:iCs w:val="0"/>
          <w:color w:val="auto"/>
          <w:kern w:val="2"/>
          <w:sz w:val="24"/>
          <w:szCs w:val="22"/>
          <w:highlight w:val="none"/>
          <w:lang w:val="en-US" w:eastAsia="zh-CN" w:bidi="ar-SA"/>
        </w:rPr>
        <w:t>（2）</w:t>
      </w:r>
      <w:r>
        <w:rPr>
          <w:rFonts w:hint="eastAsia"/>
          <w:i w:val="0"/>
          <w:iCs w:val="0"/>
          <w:color w:val="auto"/>
          <w:highlight w:val="none"/>
        </w:rPr>
        <w:t>参加政府采购活动的小微企业（含节能环保、创新产品企业）未提供“中小企业声明函”的；监狱企业未提供“监狱企业证明文件”的；残疾人福利性单位未提供“残疾人福利性单位声明函”的；不得享受相应的价格扣除优惠。组成联合体或者接受分包的小微企业与联合体内其他企业、分包企业之间存在直接控股、管理关系的，不得享受价格扣除优惠。</w:t>
      </w:r>
    </w:p>
    <w:p w14:paraId="7972A9CA">
      <w:pPr>
        <w:pStyle w:val="40"/>
        <w:pageBreakBefore w:val="0"/>
        <w:numPr>
          <w:ilvl w:val="0"/>
          <w:numId w:val="0"/>
        </w:numPr>
        <w:shd w:val="clear" w:color="auto"/>
        <w:kinsoku/>
        <w:overflowPunct/>
        <w:topLinePunct w:val="0"/>
        <w:autoSpaceDE/>
        <w:autoSpaceDN/>
        <w:bidi w:val="0"/>
        <w:spacing w:line="440" w:lineRule="exact"/>
        <w:ind w:firstLine="480" w:firstLineChars="200"/>
        <w:textAlignment w:val="auto"/>
        <w:rPr>
          <w:rFonts w:ascii="宋体" w:hAnsi="宋体" w:eastAsia="宋体" w:cstheme="minorBidi"/>
          <w:i w:val="0"/>
          <w:iCs w:val="0"/>
          <w:color w:val="auto"/>
          <w:kern w:val="2"/>
          <w:sz w:val="24"/>
          <w:szCs w:val="22"/>
          <w:highlight w:val="none"/>
          <w:lang w:val="en-US" w:eastAsia="zh-CN" w:bidi="ar-SA"/>
        </w:rPr>
      </w:pPr>
      <w:r>
        <w:rPr>
          <w:rFonts w:ascii="宋体" w:hAnsi="宋体" w:eastAsia="宋体" w:cstheme="minorBidi"/>
          <w:i w:val="0"/>
          <w:iCs w:val="0"/>
          <w:color w:val="auto"/>
          <w:kern w:val="2"/>
          <w:sz w:val="24"/>
          <w:szCs w:val="22"/>
          <w:highlight w:val="none"/>
          <w:lang w:val="en-US" w:eastAsia="zh-CN" w:bidi="ar-SA"/>
        </w:rPr>
        <w:t>（3）组成联合体或者接受分包的小微企业与联合体内其他企业、分包企业</w:t>
      </w:r>
      <w:r>
        <w:rPr>
          <w:rFonts w:hint="default" w:ascii="宋体" w:hAnsi="宋体" w:eastAsia="宋体" w:cstheme="minorBidi"/>
          <w:i w:val="0"/>
          <w:iCs w:val="0"/>
          <w:color w:val="auto"/>
          <w:kern w:val="2"/>
          <w:sz w:val="24"/>
          <w:szCs w:val="22"/>
          <w:highlight w:val="none"/>
          <w:lang w:val="en-US" w:eastAsia="zh-CN" w:bidi="ar-SA"/>
        </w:rPr>
        <w:t>之间存在直接控股、管理关系的，不享受价格扣除优惠政策。</w:t>
      </w:r>
    </w:p>
    <w:p w14:paraId="02ECE3E0">
      <w:pPr>
        <w:pStyle w:val="40"/>
        <w:pageBreakBefore w:val="0"/>
        <w:numPr>
          <w:ilvl w:val="0"/>
          <w:numId w:val="0"/>
        </w:numPr>
        <w:shd w:val="clear" w:color="auto"/>
        <w:kinsoku/>
        <w:overflowPunct/>
        <w:topLinePunct w:val="0"/>
        <w:autoSpaceDE/>
        <w:autoSpaceDN/>
        <w:bidi w:val="0"/>
        <w:spacing w:line="440" w:lineRule="exact"/>
        <w:ind w:firstLine="480" w:firstLineChars="200"/>
        <w:textAlignment w:val="auto"/>
        <w:rPr>
          <w:rFonts w:ascii="宋体" w:hAnsi="宋体" w:eastAsia="宋体" w:cstheme="minorBidi"/>
          <w:i w:val="0"/>
          <w:iCs w:val="0"/>
          <w:color w:val="auto"/>
          <w:kern w:val="2"/>
          <w:sz w:val="24"/>
          <w:szCs w:val="22"/>
          <w:highlight w:val="none"/>
          <w:lang w:val="en-US" w:eastAsia="zh-CN" w:bidi="ar-SA"/>
        </w:rPr>
      </w:pPr>
      <w:r>
        <w:rPr>
          <w:rFonts w:ascii="宋体" w:hAnsi="宋体" w:eastAsia="宋体" w:cstheme="minorBidi"/>
          <w:i w:val="0"/>
          <w:iCs w:val="0"/>
          <w:color w:val="auto"/>
          <w:kern w:val="2"/>
          <w:sz w:val="24"/>
          <w:szCs w:val="22"/>
          <w:highlight w:val="none"/>
          <w:lang w:val="en-US" w:eastAsia="zh-CN" w:bidi="ar-SA"/>
        </w:rPr>
        <w:t>（</w:t>
      </w:r>
      <w:r>
        <w:rPr>
          <w:rFonts w:hint="eastAsia" w:cstheme="minorBidi"/>
          <w:i w:val="0"/>
          <w:iCs w:val="0"/>
          <w:color w:val="auto"/>
          <w:kern w:val="2"/>
          <w:sz w:val="24"/>
          <w:szCs w:val="22"/>
          <w:highlight w:val="none"/>
          <w:lang w:val="en-US" w:eastAsia="zh-CN" w:bidi="ar-SA"/>
        </w:rPr>
        <w:t>4</w:t>
      </w:r>
      <w:r>
        <w:rPr>
          <w:rFonts w:ascii="宋体" w:hAnsi="宋体" w:eastAsia="宋体" w:cstheme="minorBidi"/>
          <w:i w:val="0"/>
          <w:iCs w:val="0"/>
          <w:color w:val="auto"/>
          <w:kern w:val="2"/>
          <w:sz w:val="24"/>
          <w:szCs w:val="22"/>
          <w:highlight w:val="none"/>
          <w:lang w:val="en-US" w:eastAsia="zh-CN" w:bidi="ar-SA"/>
        </w:rPr>
        <w:t>）价格扣除比例对小型企业和微型企业同等对待，不作区分。</w:t>
      </w:r>
    </w:p>
    <w:p w14:paraId="19955508">
      <w:pPr>
        <w:pStyle w:val="40"/>
        <w:pageBreakBefore w:val="0"/>
        <w:numPr>
          <w:ilvl w:val="0"/>
          <w:numId w:val="0"/>
        </w:numPr>
        <w:shd w:val="clear" w:color="auto"/>
        <w:kinsoku/>
        <w:overflowPunct/>
        <w:topLinePunct w:val="0"/>
        <w:autoSpaceDE/>
        <w:autoSpaceDN/>
        <w:bidi w:val="0"/>
        <w:spacing w:line="440" w:lineRule="exact"/>
        <w:ind w:firstLine="480" w:firstLineChars="200"/>
        <w:textAlignment w:val="auto"/>
        <w:rPr>
          <w:rFonts w:hint="eastAsia"/>
          <w:i w:val="0"/>
          <w:iCs w:val="0"/>
          <w:color w:val="auto"/>
          <w:highlight w:val="none"/>
        </w:rPr>
      </w:pPr>
      <w:r>
        <w:rPr>
          <w:rFonts w:ascii="宋体" w:hAnsi="宋体" w:eastAsia="宋体" w:cstheme="minorBidi"/>
          <w:i w:val="0"/>
          <w:iCs w:val="0"/>
          <w:color w:val="auto"/>
          <w:kern w:val="2"/>
          <w:sz w:val="24"/>
          <w:szCs w:val="22"/>
          <w:highlight w:val="none"/>
          <w:lang w:val="en-US" w:eastAsia="zh-CN" w:bidi="ar-SA"/>
        </w:rPr>
        <w:t>（</w:t>
      </w:r>
      <w:r>
        <w:rPr>
          <w:rFonts w:hint="eastAsia" w:cstheme="minorBidi"/>
          <w:i w:val="0"/>
          <w:iCs w:val="0"/>
          <w:color w:val="auto"/>
          <w:kern w:val="2"/>
          <w:sz w:val="24"/>
          <w:szCs w:val="22"/>
          <w:highlight w:val="none"/>
          <w:lang w:val="en-US" w:eastAsia="zh-CN" w:bidi="ar-SA"/>
        </w:rPr>
        <w:t>5</w:t>
      </w:r>
      <w:r>
        <w:rPr>
          <w:rFonts w:ascii="宋体" w:hAnsi="宋体" w:eastAsia="宋体" w:cstheme="minorBidi"/>
          <w:i w:val="0"/>
          <w:iCs w:val="0"/>
          <w:color w:val="auto"/>
          <w:kern w:val="2"/>
          <w:sz w:val="24"/>
          <w:szCs w:val="22"/>
          <w:highlight w:val="none"/>
          <w:lang w:val="en-US" w:eastAsia="zh-CN" w:bidi="ar-SA"/>
        </w:rPr>
        <w:t>）</w:t>
      </w:r>
      <w:r>
        <w:rPr>
          <w:rFonts w:hint="eastAsia"/>
          <w:i w:val="0"/>
          <w:iCs w:val="0"/>
          <w:color w:val="auto"/>
          <w:highlight w:val="none"/>
        </w:rPr>
        <w:t>专门面向中小企业、预留部分采购份额面向中小企业采购的项目或采购包，评审时不再进行价格扣除。</w:t>
      </w:r>
    </w:p>
    <w:p w14:paraId="1DE9090E">
      <w:pPr>
        <w:pStyle w:val="40"/>
        <w:pageBreakBefore w:val="0"/>
        <w:numPr>
          <w:ilvl w:val="0"/>
          <w:numId w:val="0"/>
        </w:numPr>
        <w:shd w:val="clear" w:color="auto"/>
        <w:kinsoku/>
        <w:overflowPunct/>
        <w:topLinePunct w:val="0"/>
        <w:autoSpaceDE/>
        <w:autoSpaceDN/>
        <w:bidi w:val="0"/>
        <w:spacing w:line="440" w:lineRule="exact"/>
        <w:ind w:firstLine="480" w:firstLineChars="200"/>
        <w:textAlignment w:val="auto"/>
        <w:rPr>
          <w:i w:val="0"/>
          <w:iCs w:val="0"/>
          <w:color w:val="auto"/>
          <w:highlight w:val="none"/>
        </w:rPr>
      </w:pPr>
      <w:r>
        <w:rPr>
          <w:rFonts w:hint="eastAsia"/>
          <w:i w:val="0"/>
          <w:iCs w:val="0"/>
          <w:color w:val="auto"/>
          <w:highlight w:val="none"/>
          <w:lang w:eastAsia="zh-CN"/>
        </w:rPr>
        <w:t>（</w:t>
      </w:r>
      <w:r>
        <w:rPr>
          <w:rFonts w:hint="eastAsia"/>
          <w:i w:val="0"/>
          <w:iCs w:val="0"/>
          <w:color w:val="auto"/>
          <w:highlight w:val="none"/>
          <w:lang w:val="en-US" w:eastAsia="zh-CN"/>
        </w:rPr>
        <w:t>6）若供应商同时属于小型或微型企业、监狱企业、残疾人福利性单位 中的两种及以上，将不重复享受小微企业价格扣减的优惠政策。</w:t>
      </w:r>
    </w:p>
    <w:p w14:paraId="2C96D654">
      <w:pPr>
        <w:pStyle w:val="40"/>
        <w:pageBreakBefore w:val="0"/>
        <w:shd w:val="clear"/>
        <w:kinsoku/>
        <w:overflowPunct/>
        <w:topLinePunct w:val="0"/>
        <w:autoSpaceDE/>
        <w:autoSpaceDN/>
        <w:bidi w:val="0"/>
        <w:spacing w:line="440" w:lineRule="exact"/>
        <w:ind w:firstLine="480"/>
        <w:textAlignment w:val="auto"/>
        <w:rPr>
          <w:rFonts w:hint="eastAsia"/>
          <w:i w:val="0"/>
          <w:iCs w:val="0"/>
          <w:color w:val="auto"/>
          <w:highlight w:val="none"/>
          <w:lang w:val="zh-CN"/>
        </w:rPr>
      </w:pPr>
      <w:r>
        <w:rPr>
          <w:i w:val="0"/>
          <w:iCs w:val="0"/>
          <w:color w:val="auto"/>
          <w:highlight w:val="none"/>
          <w:lang w:val="zh-CN"/>
        </w:rPr>
        <w:t>5.3价格分采用</w:t>
      </w:r>
      <w:r>
        <w:rPr>
          <w:i w:val="0"/>
          <w:iCs w:val="0"/>
          <w:color w:val="auto"/>
          <w:szCs w:val="24"/>
          <w:highlight w:val="none"/>
          <w:lang w:val="zh-CN"/>
        </w:rPr>
        <w:t>低价</w:t>
      </w:r>
      <w:r>
        <w:rPr>
          <w:i w:val="0"/>
          <w:iCs w:val="0"/>
          <w:color w:val="auto"/>
          <w:highlight w:val="none"/>
          <w:lang w:val="zh-CN"/>
        </w:rPr>
        <w:t>优先法计算，</w:t>
      </w:r>
      <w:r>
        <w:rPr>
          <w:rFonts w:hint="eastAsia"/>
          <w:i w:val="0"/>
          <w:iCs w:val="0"/>
          <w:color w:val="auto"/>
          <w:highlight w:val="none"/>
          <w:lang w:val="zh-CN"/>
        </w:rPr>
        <w:t>即满足磋商文件要求且最后报价最低的供应商的价格为磋商基准价，其价格分为满分。其他供应商的价格分统一按照下列公式计算：</w:t>
      </w:r>
    </w:p>
    <w:p w14:paraId="47313612">
      <w:pPr>
        <w:pStyle w:val="40"/>
        <w:pageBreakBefore w:val="0"/>
        <w:kinsoku/>
        <w:overflowPunct/>
        <w:topLinePunct w:val="0"/>
        <w:autoSpaceDE/>
        <w:autoSpaceDN/>
        <w:bidi w:val="0"/>
        <w:spacing w:line="440" w:lineRule="exact"/>
        <w:ind w:firstLine="480"/>
        <w:textAlignment w:val="auto"/>
        <w:rPr>
          <w:rFonts w:hint="eastAsia"/>
          <w:i w:val="0"/>
          <w:iCs w:val="0"/>
          <w:color w:val="auto"/>
          <w:highlight w:val="none"/>
          <w:lang w:val="zh-CN"/>
        </w:rPr>
      </w:pPr>
      <w:r>
        <w:rPr>
          <w:rFonts w:hint="eastAsia"/>
          <w:i w:val="0"/>
          <w:iCs w:val="0"/>
          <w:color w:val="auto"/>
          <w:highlight w:val="none"/>
          <w:lang w:val="zh-CN"/>
        </w:rPr>
        <w:t>磋商报价得分=（磋商基准价/最后磋商报价）×</w:t>
      </w:r>
      <w:r>
        <w:rPr>
          <w:rFonts w:hint="eastAsia"/>
          <w:i w:val="0"/>
          <w:iCs w:val="0"/>
          <w:color w:val="auto"/>
          <w:highlight w:val="none"/>
        </w:rPr>
        <w:t>价格分值</w:t>
      </w:r>
    </w:p>
    <w:p w14:paraId="509B7D8A">
      <w:pPr>
        <w:pStyle w:val="40"/>
        <w:pageBreakBefore w:val="0"/>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项目评审过程中，不得去掉最后报价中的最高报价和最低报价。</w:t>
      </w:r>
      <w:r>
        <w:rPr>
          <w:i w:val="0"/>
          <w:iCs w:val="0"/>
          <w:color w:val="auto"/>
          <w:highlight w:val="none"/>
          <w:lang w:val="zh-CN"/>
        </w:rPr>
        <w:t>计算方法详见本章“三、</w:t>
      </w:r>
      <w:r>
        <w:rPr>
          <w:rFonts w:hint="eastAsia"/>
          <w:i w:val="0"/>
          <w:iCs w:val="0"/>
          <w:color w:val="auto"/>
          <w:highlight w:val="none"/>
          <w:lang w:val="zh-CN"/>
        </w:rPr>
        <w:t>评审</w:t>
      </w:r>
      <w:r>
        <w:rPr>
          <w:i w:val="0"/>
          <w:iCs w:val="0"/>
          <w:color w:val="auto"/>
          <w:highlight w:val="none"/>
          <w:lang w:val="zh-CN"/>
        </w:rPr>
        <w:t>标准”中的具体计算公式。</w:t>
      </w:r>
    </w:p>
    <w:p w14:paraId="754625F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55" w:name="_Toc102119884"/>
      <w:bookmarkStart w:id="456" w:name="_Toc102057749"/>
      <w:bookmarkStart w:id="457" w:name="_Toc102116053"/>
      <w:bookmarkStart w:id="458" w:name="_Toc102056249"/>
      <w:bookmarkStart w:id="459" w:name="_Toc102116183"/>
      <w:bookmarkStart w:id="460" w:name="_Toc102114951"/>
      <w:bookmarkStart w:id="461" w:name="_Toc102116184"/>
      <w:bookmarkStart w:id="462" w:name="_Toc102114952"/>
      <w:bookmarkStart w:id="463" w:name="_Toc102119885"/>
      <w:bookmarkStart w:id="464" w:name="_Toc102056250"/>
      <w:bookmarkStart w:id="465" w:name="_Toc102057750"/>
      <w:bookmarkStart w:id="466" w:name="_Toc102116054"/>
      <w:r>
        <w:rPr>
          <w:rFonts w:hint="eastAsia" w:ascii="宋体" w:hAnsi="宋体" w:eastAsia="宋体" w:cs="宋体"/>
          <w:b/>
          <w:bCs/>
          <w:i w:val="0"/>
          <w:iCs w:val="0"/>
          <w:color w:val="auto"/>
          <w:kern w:val="2"/>
          <w:sz w:val="24"/>
          <w:szCs w:val="24"/>
          <w:highlight w:val="none"/>
          <w:lang w:val="en-US" w:eastAsia="zh-CN" w:bidi="ar-SA"/>
        </w:rPr>
        <w:t>6.计分办法</w:t>
      </w:r>
      <w:bookmarkEnd w:id="455"/>
      <w:bookmarkEnd w:id="456"/>
      <w:bookmarkEnd w:id="457"/>
      <w:bookmarkEnd w:id="458"/>
      <w:bookmarkEnd w:id="459"/>
      <w:bookmarkEnd w:id="460"/>
      <w:r>
        <w:rPr>
          <w:rFonts w:hint="eastAsia" w:ascii="宋体" w:hAnsi="宋体" w:eastAsia="宋体" w:cs="宋体"/>
          <w:b/>
          <w:bCs/>
          <w:i w:val="0"/>
          <w:iCs w:val="0"/>
          <w:color w:val="auto"/>
          <w:kern w:val="2"/>
          <w:sz w:val="24"/>
          <w:szCs w:val="24"/>
          <w:highlight w:val="none"/>
          <w:lang w:val="en-US" w:eastAsia="zh-CN" w:bidi="ar-SA"/>
        </w:rPr>
        <w:t>及复核</w:t>
      </w:r>
    </w:p>
    <w:p w14:paraId="6ADF7DA8">
      <w:pPr>
        <w:pStyle w:val="40"/>
        <w:pageBreakBefore w:val="0"/>
        <w:kinsoku/>
        <w:overflowPunct/>
        <w:topLinePunct w:val="0"/>
        <w:autoSpaceDE/>
        <w:autoSpaceDN/>
        <w:bidi w:val="0"/>
        <w:spacing w:line="440" w:lineRule="exact"/>
        <w:ind w:firstLine="480"/>
        <w:textAlignment w:val="auto"/>
        <w:rPr>
          <w:i w:val="0"/>
          <w:iCs w:val="0"/>
          <w:color w:val="auto"/>
          <w:kern w:val="0"/>
          <w:highlight w:val="none"/>
          <w:lang w:val="zh-CN"/>
        </w:rPr>
      </w:pPr>
      <w:r>
        <w:rPr>
          <w:rFonts w:hint="eastAsia"/>
          <w:i w:val="0"/>
          <w:iCs w:val="0"/>
          <w:color w:val="auto"/>
          <w:highlight w:val="none"/>
          <w:lang w:val="zh-CN"/>
        </w:rPr>
        <w:t>6</w:t>
      </w:r>
      <w:r>
        <w:rPr>
          <w:i w:val="0"/>
          <w:iCs w:val="0"/>
          <w:color w:val="auto"/>
          <w:highlight w:val="none"/>
          <w:lang w:val="zh-CN"/>
        </w:rPr>
        <w:t>.1</w:t>
      </w:r>
      <w:r>
        <w:rPr>
          <w:rFonts w:hint="eastAsia"/>
          <w:i w:val="0"/>
          <w:iCs w:val="0"/>
          <w:color w:val="auto"/>
          <w:highlight w:val="none"/>
          <w:lang w:val="zh-CN"/>
        </w:rPr>
        <w:t>评审过程中，各项分值一般精确到小数点后两位，评审得分应当为商务评分、技术评分、报价评分之和。磋商小组各成员应当汇总每个供应商的得分。</w:t>
      </w:r>
    </w:p>
    <w:p w14:paraId="19B885C9">
      <w:pPr>
        <w:pStyle w:val="40"/>
        <w:pageBreakBefore w:val="0"/>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6</w:t>
      </w:r>
      <w:r>
        <w:rPr>
          <w:i w:val="0"/>
          <w:iCs w:val="0"/>
          <w:color w:val="auto"/>
          <w:highlight w:val="none"/>
          <w:lang w:val="zh-CN"/>
        </w:rPr>
        <w:t>.2</w:t>
      </w:r>
      <w:r>
        <w:rPr>
          <w:rFonts w:hint="eastAsia"/>
          <w:i w:val="0"/>
          <w:iCs w:val="0"/>
          <w:color w:val="auto"/>
          <w:highlight w:val="none"/>
          <w:lang w:val="zh-CN"/>
        </w:rPr>
        <w:t>评审结果汇总完成后，采购代理机构应当对评审结果进行复核。经复核发现存在以下情形之一的，磋商小组应当当场修改评审结果，并在评审报告中记载：</w:t>
      </w:r>
    </w:p>
    <w:p w14:paraId="6D08A4DB">
      <w:pPr>
        <w:pStyle w:val="40"/>
        <w:pageBreakBefore w:val="0"/>
        <w:kinsoku/>
        <w:overflowPunct/>
        <w:topLinePunct w:val="0"/>
        <w:autoSpaceDE/>
        <w:autoSpaceDN/>
        <w:bidi w:val="0"/>
        <w:spacing w:line="440" w:lineRule="exact"/>
        <w:ind w:firstLine="480"/>
        <w:textAlignment w:val="auto"/>
        <w:rPr>
          <w:rFonts w:cs="Times New Roman"/>
          <w:i w:val="0"/>
          <w:iCs w:val="0"/>
          <w:color w:val="auto"/>
          <w:szCs w:val="20"/>
          <w:highlight w:val="none"/>
          <w:lang w:val="zh-CN"/>
        </w:rPr>
      </w:pPr>
      <w:r>
        <w:rPr>
          <w:rFonts w:hint="eastAsia"/>
          <w:i w:val="0"/>
          <w:iCs w:val="0"/>
          <w:color w:val="auto"/>
          <w:highlight w:val="none"/>
          <w:lang w:val="zh-CN"/>
        </w:rPr>
        <w:t>（1）</w:t>
      </w:r>
      <w:r>
        <w:rPr>
          <w:rFonts w:hint="eastAsia"/>
          <w:i w:val="0"/>
          <w:iCs w:val="0"/>
          <w:color w:val="auto"/>
          <w:highlight w:val="none"/>
          <w:lang w:val="zh-CN" w:eastAsia="zh-CN"/>
        </w:rPr>
        <w:t>资格性检查认定错误</w:t>
      </w:r>
      <w:r>
        <w:rPr>
          <w:rFonts w:hint="eastAsia"/>
          <w:i w:val="0"/>
          <w:iCs w:val="0"/>
          <w:color w:val="auto"/>
          <w:highlight w:val="none"/>
          <w:lang w:val="zh-CN"/>
        </w:rPr>
        <w:t xml:space="preserve">的； </w:t>
      </w:r>
    </w:p>
    <w:p w14:paraId="42D1275F">
      <w:pPr>
        <w:pStyle w:val="40"/>
        <w:pageBreakBefore w:val="0"/>
        <w:kinsoku/>
        <w:overflowPunct/>
        <w:topLinePunct w:val="0"/>
        <w:autoSpaceDE/>
        <w:autoSpaceDN/>
        <w:bidi w:val="0"/>
        <w:spacing w:line="440" w:lineRule="exact"/>
        <w:ind w:firstLine="480"/>
        <w:textAlignment w:val="auto"/>
        <w:rPr>
          <w:rFonts w:cs="Times New Roman"/>
          <w:i w:val="0"/>
          <w:iCs w:val="0"/>
          <w:color w:val="auto"/>
          <w:szCs w:val="20"/>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2</w:t>
      </w:r>
      <w:r>
        <w:rPr>
          <w:rFonts w:hint="eastAsia"/>
          <w:i w:val="0"/>
          <w:iCs w:val="0"/>
          <w:color w:val="auto"/>
          <w:highlight w:val="none"/>
          <w:lang w:val="zh-CN"/>
        </w:rPr>
        <w:t xml:space="preserve">）分值汇总计算错误的； </w:t>
      </w:r>
    </w:p>
    <w:p w14:paraId="24BF23EF">
      <w:pPr>
        <w:pStyle w:val="40"/>
        <w:pageBreakBefore w:val="0"/>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3</w:t>
      </w:r>
      <w:r>
        <w:rPr>
          <w:rFonts w:hint="eastAsia"/>
          <w:i w:val="0"/>
          <w:iCs w:val="0"/>
          <w:color w:val="auto"/>
          <w:highlight w:val="none"/>
          <w:lang w:val="zh-CN"/>
        </w:rPr>
        <w:t>）分项评分超出评分标准范围的；</w:t>
      </w:r>
    </w:p>
    <w:p w14:paraId="08C2AD02">
      <w:pPr>
        <w:pStyle w:val="40"/>
        <w:pageBreakBefore w:val="0"/>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4</w:t>
      </w:r>
      <w:r>
        <w:rPr>
          <w:rFonts w:hint="eastAsia"/>
          <w:i w:val="0"/>
          <w:iCs w:val="0"/>
          <w:color w:val="auto"/>
          <w:highlight w:val="none"/>
          <w:lang w:val="zh-CN"/>
        </w:rPr>
        <w:t>）</w:t>
      </w:r>
      <w:r>
        <w:rPr>
          <w:rFonts w:hint="eastAsia" w:cs="Helvetica"/>
          <w:i w:val="0"/>
          <w:iCs w:val="0"/>
          <w:color w:val="auto"/>
          <w:szCs w:val="24"/>
          <w:highlight w:val="none"/>
          <w:lang w:val="zh-CN"/>
        </w:rPr>
        <w:t>磋商小组</w:t>
      </w:r>
      <w:r>
        <w:rPr>
          <w:rFonts w:hint="eastAsia"/>
          <w:i w:val="0"/>
          <w:iCs w:val="0"/>
          <w:color w:val="auto"/>
          <w:highlight w:val="none"/>
          <w:lang w:val="zh-CN"/>
        </w:rPr>
        <w:t>成员对客观</w:t>
      </w:r>
      <w:r>
        <w:rPr>
          <w:rFonts w:hint="eastAsia"/>
          <w:i w:val="0"/>
          <w:iCs w:val="0"/>
          <w:color w:val="auto"/>
          <w:highlight w:val="none"/>
          <w:lang w:val="en-US" w:eastAsia="zh-CN"/>
        </w:rPr>
        <w:t>分</w:t>
      </w:r>
      <w:r>
        <w:rPr>
          <w:rFonts w:hint="eastAsia"/>
          <w:i w:val="0"/>
          <w:iCs w:val="0"/>
          <w:color w:val="auto"/>
          <w:highlight w:val="none"/>
          <w:lang w:val="zh-CN"/>
        </w:rPr>
        <w:t>评分不一致的；</w:t>
      </w:r>
    </w:p>
    <w:p w14:paraId="4CAD3587">
      <w:pPr>
        <w:pStyle w:val="40"/>
        <w:pageBreakBefore w:val="0"/>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5</w:t>
      </w:r>
      <w:r>
        <w:rPr>
          <w:rFonts w:hint="eastAsia"/>
          <w:i w:val="0"/>
          <w:iCs w:val="0"/>
          <w:color w:val="auto"/>
          <w:highlight w:val="none"/>
          <w:lang w:val="zh-CN"/>
        </w:rPr>
        <w:t>）经</w:t>
      </w:r>
      <w:r>
        <w:rPr>
          <w:rFonts w:hint="eastAsia" w:cs="Helvetica"/>
          <w:i w:val="0"/>
          <w:iCs w:val="0"/>
          <w:color w:val="auto"/>
          <w:szCs w:val="24"/>
          <w:highlight w:val="none"/>
          <w:lang w:val="zh-CN"/>
        </w:rPr>
        <w:t>磋商小组</w:t>
      </w:r>
      <w:r>
        <w:rPr>
          <w:rFonts w:hint="eastAsia" w:cs="Helvetica"/>
          <w:i w:val="0"/>
          <w:iCs w:val="0"/>
          <w:color w:val="auto"/>
          <w:szCs w:val="24"/>
          <w:highlight w:val="none"/>
          <w:lang w:val="en-US" w:eastAsia="zh-CN"/>
        </w:rPr>
        <w:t>一致</w:t>
      </w:r>
      <w:r>
        <w:rPr>
          <w:rFonts w:hint="eastAsia"/>
          <w:i w:val="0"/>
          <w:iCs w:val="0"/>
          <w:color w:val="auto"/>
          <w:highlight w:val="none"/>
          <w:lang w:val="zh-CN"/>
        </w:rPr>
        <w:t>认定评分畸高、畸低的。</w:t>
      </w:r>
    </w:p>
    <w:p w14:paraId="569F3A00">
      <w:pPr>
        <w:pStyle w:val="40"/>
        <w:pageBreakBefore w:val="0"/>
        <w:kinsoku/>
        <w:overflowPunct/>
        <w:topLinePunct w:val="0"/>
        <w:autoSpaceDE/>
        <w:autoSpaceDN/>
        <w:bidi w:val="0"/>
        <w:spacing w:line="440" w:lineRule="exact"/>
        <w:ind w:firstLine="480"/>
        <w:textAlignment w:val="auto"/>
        <w:rPr>
          <w:rFonts w:hint="eastAsia"/>
          <w:i w:val="0"/>
          <w:iCs w:val="0"/>
          <w:color w:val="auto"/>
          <w:highlight w:val="none"/>
          <w:lang w:val="zh-CN"/>
        </w:rPr>
      </w:pPr>
      <w:r>
        <w:rPr>
          <w:rFonts w:hint="eastAsia"/>
          <w:i w:val="0"/>
          <w:iCs w:val="0"/>
          <w:color w:val="auto"/>
          <w:highlight w:val="none"/>
          <w:lang w:val="zh-CN"/>
        </w:rPr>
        <w:t>6</w:t>
      </w:r>
      <w:r>
        <w:rPr>
          <w:i w:val="0"/>
          <w:iCs w:val="0"/>
          <w:color w:val="auto"/>
          <w:highlight w:val="none"/>
          <w:lang w:val="zh-CN"/>
        </w:rPr>
        <w:t>.3</w:t>
      </w:r>
      <w:r>
        <w:rPr>
          <w:rFonts w:hint="eastAsia"/>
          <w:i w:val="0"/>
          <w:iCs w:val="0"/>
          <w:color w:val="auto"/>
          <w:highlight w:val="none"/>
          <w:lang w:val="zh-CN"/>
        </w:rPr>
        <w:t>各供应商的最终得分为磋商小组所有成员对各供应商评审得分汇总后的算术平均值。</w:t>
      </w:r>
    </w:p>
    <w:p w14:paraId="2481B632">
      <w:pPr>
        <w:pStyle w:val="40"/>
        <w:pageBreakBefore w:val="0"/>
        <w:kinsoku/>
        <w:overflowPunct/>
        <w:topLinePunct w:val="0"/>
        <w:autoSpaceDE/>
        <w:autoSpaceDN/>
        <w:bidi w:val="0"/>
        <w:spacing w:line="440" w:lineRule="exact"/>
        <w:ind w:firstLine="480"/>
        <w:textAlignment w:val="auto"/>
        <w:rPr>
          <w:rFonts w:hint="eastAsia"/>
          <w:i w:val="0"/>
          <w:iCs w:val="0"/>
          <w:color w:val="auto"/>
          <w:highlight w:val="none"/>
          <w:lang w:val="en-US" w:eastAsia="zh-CN"/>
        </w:rPr>
      </w:pPr>
      <w:r>
        <w:rPr>
          <w:rFonts w:hint="eastAsia"/>
          <w:i w:val="0"/>
          <w:iCs w:val="0"/>
          <w:color w:val="auto"/>
          <w:highlight w:val="none"/>
          <w:lang w:val="en-US" w:eastAsia="zh-CN"/>
        </w:rPr>
        <w:t>6.4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并同时书面报告本级财政部门。</w:t>
      </w:r>
    </w:p>
    <w:p w14:paraId="16A834DD">
      <w:pPr>
        <w:pStyle w:val="40"/>
        <w:pageBreakBefore w:val="0"/>
        <w:kinsoku/>
        <w:overflowPunct/>
        <w:topLinePunct w:val="0"/>
        <w:autoSpaceDE/>
        <w:autoSpaceDN/>
        <w:bidi w:val="0"/>
        <w:spacing w:line="440" w:lineRule="exact"/>
        <w:ind w:firstLine="480"/>
        <w:textAlignment w:val="auto"/>
        <w:rPr>
          <w:rFonts w:hint="eastAsia"/>
          <w:i w:val="0"/>
          <w:iCs w:val="0"/>
          <w:color w:val="auto"/>
          <w:highlight w:val="none"/>
          <w:lang w:val="en-US" w:eastAsia="zh-CN"/>
        </w:rPr>
      </w:pPr>
      <w:r>
        <w:rPr>
          <w:rFonts w:hint="eastAsia"/>
          <w:i w:val="0"/>
          <w:iCs w:val="0"/>
          <w:color w:val="auto"/>
          <w:highlight w:val="none"/>
          <w:lang w:val="en-US" w:eastAsia="zh-CN"/>
        </w:rPr>
        <w:t>6.5采购人或者采购代理机构不得通过对样品进行检测、对供应商进行考察等方式改变评审结果。</w:t>
      </w:r>
    </w:p>
    <w:p w14:paraId="0454CB58">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7.评审报告</w:t>
      </w:r>
      <w:bookmarkEnd w:id="461"/>
      <w:bookmarkEnd w:id="462"/>
      <w:bookmarkEnd w:id="463"/>
      <w:bookmarkEnd w:id="464"/>
      <w:bookmarkEnd w:id="465"/>
      <w:bookmarkEnd w:id="466"/>
    </w:p>
    <w:p w14:paraId="5E7A6D8A">
      <w:pPr>
        <w:pStyle w:val="40"/>
        <w:pageBreakBefore w:val="0"/>
        <w:kinsoku/>
        <w:overflowPunct/>
        <w:topLinePunct w:val="0"/>
        <w:autoSpaceDE/>
        <w:autoSpaceDN/>
        <w:bidi w:val="0"/>
        <w:spacing w:line="440" w:lineRule="exact"/>
        <w:ind w:firstLine="480"/>
        <w:textAlignment w:val="auto"/>
        <w:rPr>
          <w:rFonts w:cs="Helvetica"/>
          <w:i w:val="0"/>
          <w:iCs w:val="0"/>
          <w:color w:val="auto"/>
          <w:szCs w:val="24"/>
          <w:highlight w:val="none"/>
          <w:lang w:val="zh-CN"/>
        </w:rPr>
      </w:pPr>
      <w:r>
        <w:rPr>
          <w:rFonts w:hint="eastAsia" w:cs="Helvetica"/>
          <w:i w:val="0"/>
          <w:iCs w:val="0"/>
          <w:color w:val="auto"/>
          <w:szCs w:val="24"/>
          <w:highlight w:val="none"/>
          <w:lang w:val="en-US" w:eastAsia="zh-CN"/>
        </w:rPr>
        <w:t>7</w:t>
      </w:r>
      <w:r>
        <w:rPr>
          <w:rFonts w:cs="Helvetica"/>
          <w:i w:val="0"/>
          <w:iCs w:val="0"/>
          <w:color w:val="auto"/>
          <w:szCs w:val="24"/>
          <w:highlight w:val="none"/>
          <w:lang w:val="zh-CN"/>
        </w:rPr>
        <w:t>.1</w:t>
      </w:r>
      <w:r>
        <w:rPr>
          <w:rFonts w:hint="eastAsia" w:cs="Helvetica"/>
          <w:i w:val="0"/>
          <w:iCs w:val="0"/>
          <w:color w:val="auto"/>
          <w:szCs w:val="24"/>
          <w:highlight w:val="none"/>
          <w:lang w:val="zh-CN"/>
        </w:rPr>
        <w:t>磋商小组</w:t>
      </w:r>
      <w:r>
        <w:rPr>
          <w:rFonts w:hint="eastAsia"/>
          <w:i w:val="0"/>
          <w:iCs w:val="0"/>
          <w:color w:val="auto"/>
          <w:highlight w:val="none"/>
        </w:rPr>
        <w:t>从质量和服务均能满足磋商文件实质性要求的供应商中，按照</w:t>
      </w:r>
      <w:r>
        <w:rPr>
          <w:rFonts w:hint="eastAsia"/>
          <w:i w:val="0"/>
          <w:iCs w:val="0"/>
          <w:color w:val="auto"/>
          <w:highlight w:val="none"/>
          <w:lang w:val="en-US" w:eastAsia="zh-CN"/>
        </w:rPr>
        <w:t>评审</w:t>
      </w:r>
      <w:r>
        <w:rPr>
          <w:rFonts w:hint="eastAsia"/>
          <w:i w:val="0"/>
          <w:iCs w:val="0"/>
          <w:color w:val="auto"/>
          <w:highlight w:val="none"/>
        </w:rPr>
        <w:t>得分由高到低的顺序推荐3名</w:t>
      </w:r>
      <w:r>
        <w:rPr>
          <w:rFonts w:hint="eastAsia"/>
          <w:i w:val="0"/>
          <w:iCs w:val="0"/>
          <w:color w:val="auto"/>
          <w:szCs w:val="24"/>
          <w:highlight w:val="none"/>
          <w:lang w:val="zh-CN"/>
        </w:rPr>
        <w:t>（</w:t>
      </w:r>
      <w:r>
        <w:rPr>
          <w:rFonts w:hint="eastAsia"/>
          <w:i w:val="0"/>
          <w:iCs w:val="0"/>
          <w:color w:val="auto"/>
          <w:highlight w:val="none"/>
        </w:rPr>
        <w:t>市场竞争不充分的科研项目，以及需要扶持的科技成果转化项目可以为</w:t>
      </w:r>
      <w:r>
        <w:rPr>
          <w:i w:val="0"/>
          <w:iCs w:val="0"/>
          <w:color w:val="auto"/>
          <w:highlight w:val="none"/>
        </w:rPr>
        <w:t>2家</w:t>
      </w:r>
      <w:r>
        <w:rPr>
          <w:rFonts w:hint="eastAsia"/>
          <w:i w:val="0"/>
          <w:iCs w:val="0"/>
          <w:color w:val="auto"/>
          <w:highlight w:val="none"/>
        </w:rPr>
        <w:t>，</w:t>
      </w:r>
      <w:r>
        <w:rPr>
          <w:rFonts w:hint="eastAsia"/>
          <w:i w:val="0"/>
          <w:iCs w:val="0"/>
          <w:snapToGrid w:val="0"/>
          <w:color w:val="auto"/>
          <w:highlight w:val="none"/>
        </w:rPr>
        <w:t>政府购买服务项目[含政府和社会资本合作项目]，在采购过程中符合要求的供应商[社会资本]只有2家的</w:t>
      </w:r>
      <w:r>
        <w:rPr>
          <w:rFonts w:hint="eastAsia"/>
          <w:i w:val="0"/>
          <w:iCs w:val="0"/>
          <w:color w:val="auto"/>
          <w:highlight w:val="none"/>
        </w:rPr>
        <w:t>可以为</w:t>
      </w:r>
      <w:r>
        <w:rPr>
          <w:i w:val="0"/>
          <w:iCs w:val="0"/>
          <w:color w:val="auto"/>
          <w:highlight w:val="none"/>
        </w:rPr>
        <w:t>2家</w:t>
      </w:r>
      <w:r>
        <w:rPr>
          <w:i w:val="0"/>
          <w:iCs w:val="0"/>
          <w:color w:val="auto"/>
          <w:szCs w:val="24"/>
          <w:highlight w:val="none"/>
          <w:lang w:val="zh-CN"/>
        </w:rPr>
        <w:t>）</w:t>
      </w:r>
      <w:r>
        <w:rPr>
          <w:rFonts w:hint="eastAsia"/>
          <w:i w:val="0"/>
          <w:iCs w:val="0"/>
          <w:color w:val="auto"/>
          <w:highlight w:val="none"/>
        </w:rPr>
        <w:t>以上</w:t>
      </w:r>
      <w:r>
        <w:rPr>
          <w:rFonts w:hint="eastAsia" w:cs="Helvetica"/>
          <w:i w:val="0"/>
          <w:iCs w:val="0"/>
          <w:color w:val="auto"/>
          <w:szCs w:val="24"/>
          <w:highlight w:val="none"/>
          <w:lang w:val="zh-CN"/>
        </w:rPr>
        <w:t>成交</w:t>
      </w:r>
      <w:r>
        <w:rPr>
          <w:rFonts w:hint="eastAsia"/>
          <w:i w:val="0"/>
          <w:iCs w:val="0"/>
          <w:color w:val="auto"/>
          <w:highlight w:val="none"/>
        </w:rPr>
        <w:t>候选供应商。评审得</w:t>
      </w:r>
      <w:r>
        <w:rPr>
          <w:i w:val="0"/>
          <w:iCs w:val="0"/>
          <w:color w:val="auto"/>
          <w:highlight w:val="none"/>
        </w:rPr>
        <w:t>分相同的，</w:t>
      </w:r>
      <w:r>
        <w:rPr>
          <w:rFonts w:hint="eastAsia" w:cs="Helvetica"/>
          <w:i w:val="0"/>
          <w:iCs w:val="0"/>
          <w:color w:val="auto"/>
          <w:szCs w:val="24"/>
          <w:highlight w:val="none"/>
          <w:lang w:val="zh-CN"/>
        </w:rPr>
        <w:t>磋商小组</w:t>
      </w:r>
      <w:r>
        <w:rPr>
          <w:rFonts w:hint="eastAsia"/>
          <w:i w:val="0"/>
          <w:iCs w:val="0"/>
          <w:color w:val="auto"/>
          <w:highlight w:val="none"/>
        </w:rPr>
        <w:t>按照最后报价由低到高的顺序</w:t>
      </w:r>
      <w:r>
        <w:rPr>
          <w:i w:val="0"/>
          <w:iCs w:val="0"/>
          <w:color w:val="auto"/>
          <w:highlight w:val="none"/>
        </w:rPr>
        <w:t>推荐</w:t>
      </w:r>
      <w:r>
        <w:rPr>
          <w:rFonts w:hint="eastAsia"/>
          <w:i w:val="0"/>
          <w:iCs w:val="0"/>
          <w:color w:val="auto"/>
          <w:highlight w:val="none"/>
        </w:rPr>
        <w:t>；</w:t>
      </w:r>
      <w:r>
        <w:rPr>
          <w:rFonts w:hint="eastAsia"/>
          <w:i w:val="0"/>
          <w:iCs w:val="0"/>
          <w:color w:val="auto"/>
          <w:highlight w:val="none"/>
          <w:lang w:val="en-US" w:eastAsia="zh-CN"/>
        </w:rPr>
        <w:t>评审</w:t>
      </w:r>
      <w:r>
        <w:rPr>
          <w:rFonts w:hint="eastAsia"/>
          <w:i w:val="0"/>
          <w:iCs w:val="0"/>
          <w:color w:val="auto"/>
          <w:highlight w:val="none"/>
        </w:rPr>
        <w:t>得分且最后报价相同的，按</w:t>
      </w:r>
      <w:r>
        <w:rPr>
          <w:rFonts w:hint="eastAsia"/>
          <w:i w:val="0"/>
          <w:iCs w:val="0"/>
          <w:color w:val="auto"/>
          <w:highlight w:val="none"/>
          <w:lang w:val="en-US" w:eastAsia="zh-CN"/>
        </w:rPr>
        <w:t>照</w:t>
      </w:r>
      <w:r>
        <w:rPr>
          <w:rFonts w:hint="eastAsia"/>
          <w:i w:val="0"/>
          <w:iCs w:val="0"/>
          <w:color w:val="auto"/>
          <w:highlight w:val="none"/>
        </w:rPr>
        <w:t>技术</w:t>
      </w:r>
      <w:r>
        <w:rPr>
          <w:rFonts w:hint="eastAsia"/>
          <w:i w:val="0"/>
          <w:iCs w:val="0"/>
          <w:color w:val="auto"/>
          <w:highlight w:val="none"/>
          <w:lang w:val="en-US" w:eastAsia="zh-CN"/>
        </w:rPr>
        <w:t>指标</w:t>
      </w:r>
      <w:r>
        <w:rPr>
          <w:rFonts w:hint="eastAsia"/>
          <w:i w:val="0"/>
          <w:iCs w:val="0"/>
          <w:color w:val="auto"/>
          <w:highlight w:val="none"/>
        </w:rPr>
        <w:t>优劣顺序推荐</w:t>
      </w:r>
      <w:r>
        <w:rPr>
          <w:rFonts w:hint="eastAsia" w:cs="Helvetica"/>
          <w:i w:val="0"/>
          <w:iCs w:val="0"/>
          <w:color w:val="auto"/>
          <w:szCs w:val="24"/>
          <w:highlight w:val="none"/>
          <w:lang w:val="zh-CN"/>
        </w:rPr>
        <w:t>。响应文件满足磋商文件全部实质性要求且评审得分</w:t>
      </w:r>
      <w:r>
        <w:rPr>
          <w:rFonts w:cs="Helvetica"/>
          <w:i w:val="0"/>
          <w:iCs w:val="0"/>
          <w:color w:val="auto"/>
          <w:szCs w:val="24"/>
          <w:highlight w:val="none"/>
          <w:lang w:val="zh-CN"/>
        </w:rPr>
        <w:t>最高</w:t>
      </w:r>
      <w:r>
        <w:rPr>
          <w:rFonts w:hint="eastAsia" w:cs="Helvetica"/>
          <w:i w:val="0"/>
          <w:iCs w:val="0"/>
          <w:color w:val="auto"/>
          <w:szCs w:val="24"/>
          <w:highlight w:val="none"/>
          <w:lang w:val="zh-CN"/>
        </w:rPr>
        <w:t>的供应商为排名第一的成交候选供应商。</w:t>
      </w:r>
      <w:r>
        <w:rPr>
          <w:rFonts w:hint="eastAsia"/>
          <w:i w:val="0"/>
          <w:iCs w:val="0"/>
          <w:color w:val="auto"/>
          <w:highlight w:val="none"/>
        </w:rPr>
        <w:t>磋商小组依据评审结果</w:t>
      </w:r>
      <w:r>
        <w:rPr>
          <w:rFonts w:hint="eastAsia"/>
          <w:i w:val="0"/>
          <w:iCs w:val="0"/>
          <w:color w:val="auto"/>
          <w:highlight w:val="none"/>
          <w:lang w:eastAsia="zh-CN"/>
        </w:rPr>
        <w:t>形成评审报告</w:t>
      </w:r>
      <w:r>
        <w:rPr>
          <w:rFonts w:hint="eastAsia" w:ascii="宋体" w:hAnsi="宋体" w:eastAsia="宋体"/>
          <w:i w:val="0"/>
          <w:iCs w:val="0"/>
          <w:color w:val="auto"/>
          <w:highlight w:val="none"/>
          <w:lang w:eastAsia="zh-CN"/>
        </w:rPr>
        <w:t>。</w:t>
      </w:r>
    </w:p>
    <w:p w14:paraId="503E4226">
      <w:pPr>
        <w:pStyle w:val="40"/>
        <w:pageBreakBefore w:val="0"/>
        <w:kinsoku/>
        <w:overflowPunct/>
        <w:topLinePunct w:val="0"/>
        <w:autoSpaceDE/>
        <w:autoSpaceDN/>
        <w:bidi w:val="0"/>
        <w:spacing w:line="440" w:lineRule="exact"/>
        <w:ind w:firstLine="480"/>
        <w:textAlignment w:val="auto"/>
        <w:rPr>
          <w:rFonts w:hint="eastAsia" w:cs="Helvetica"/>
          <w:i w:val="0"/>
          <w:iCs w:val="0"/>
          <w:color w:val="auto"/>
          <w:szCs w:val="24"/>
          <w:highlight w:val="none"/>
          <w:lang w:val="zh-CN"/>
        </w:rPr>
      </w:pPr>
      <w:r>
        <w:rPr>
          <w:rFonts w:hint="eastAsia" w:cs="Helvetica"/>
          <w:i w:val="0"/>
          <w:iCs w:val="0"/>
          <w:color w:val="auto"/>
          <w:szCs w:val="24"/>
          <w:highlight w:val="none"/>
          <w:lang w:val="en-US" w:eastAsia="zh-CN"/>
        </w:rPr>
        <w:t>7</w:t>
      </w:r>
      <w:r>
        <w:rPr>
          <w:rFonts w:cs="Helvetica"/>
          <w:i w:val="0"/>
          <w:iCs w:val="0"/>
          <w:color w:val="auto"/>
          <w:szCs w:val="24"/>
          <w:highlight w:val="none"/>
          <w:lang w:val="zh-CN"/>
        </w:rPr>
        <w:t>.</w:t>
      </w:r>
      <w:r>
        <w:rPr>
          <w:rFonts w:hint="eastAsia" w:cs="Helvetica"/>
          <w:i w:val="0"/>
          <w:iCs w:val="0"/>
          <w:color w:val="auto"/>
          <w:szCs w:val="24"/>
          <w:highlight w:val="none"/>
          <w:lang w:val="en-US" w:eastAsia="zh-CN"/>
        </w:rPr>
        <w:t>2</w:t>
      </w:r>
      <w:r>
        <w:rPr>
          <w:rFonts w:hint="eastAsia"/>
          <w:i w:val="0"/>
          <w:iCs w:val="0"/>
          <w:color w:val="auto"/>
          <w:highlight w:val="none"/>
          <w:lang w:val="zh-CN" w:eastAsia="zh-CN"/>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r>
        <w:rPr>
          <w:rFonts w:hint="eastAsia" w:cs="Helvetica"/>
          <w:i w:val="0"/>
          <w:iCs w:val="0"/>
          <w:color w:val="auto"/>
          <w:szCs w:val="24"/>
          <w:highlight w:val="none"/>
          <w:lang w:val="zh-CN"/>
        </w:rPr>
        <w:t>。</w:t>
      </w:r>
    </w:p>
    <w:p w14:paraId="44DBF11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8.响应无效的情形</w:t>
      </w:r>
    </w:p>
    <w:p w14:paraId="5360D611">
      <w:pPr>
        <w:keepNext w:val="0"/>
        <w:keepLines w:val="0"/>
        <w:pageBreakBefore w:val="0"/>
        <w:widowControl/>
        <w:suppressLineNumbers w:val="0"/>
        <w:kinsoku/>
        <w:overflowPunct/>
        <w:topLinePunct w:val="0"/>
        <w:autoSpaceDE/>
        <w:autoSpaceDN/>
        <w:bidi w:val="0"/>
        <w:spacing w:line="440" w:lineRule="exact"/>
        <w:ind w:firstLine="480" w:firstLineChars="200"/>
        <w:jc w:val="left"/>
        <w:textAlignment w:val="auto"/>
        <w:rPr>
          <w:rFonts w:hint="eastAsia" w:cstheme="minorBidi"/>
          <w:i w:val="0"/>
          <w:iCs w:val="0"/>
          <w:color w:val="auto"/>
          <w:kern w:val="2"/>
          <w:sz w:val="24"/>
          <w:szCs w:val="22"/>
          <w:highlight w:val="none"/>
          <w:lang w:val="en-US" w:eastAsia="zh-CN" w:bidi="ar-SA"/>
        </w:rPr>
      </w:pPr>
      <w:r>
        <w:rPr>
          <w:rFonts w:hint="eastAsia" w:cstheme="minorBidi"/>
          <w:i w:val="0"/>
          <w:iCs w:val="0"/>
          <w:color w:val="auto"/>
          <w:kern w:val="2"/>
          <w:sz w:val="24"/>
          <w:szCs w:val="22"/>
          <w:highlight w:val="none"/>
          <w:lang w:val="en-US" w:eastAsia="zh-CN" w:bidi="ar-SA"/>
        </w:rPr>
        <w:t>8.1</w:t>
      </w:r>
      <w:r>
        <w:rPr>
          <w:rFonts w:hint="eastAsia" w:ascii="宋体" w:hAnsi="宋体" w:eastAsia="宋体" w:cs="宋体"/>
          <w:b w:val="0"/>
          <w:bCs w:val="0"/>
          <w:i w:val="0"/>
          <w:iCs w:val="0"/>
          <w:color w:val="auto"/>
          <w:sz w:val="24"/>
          <w:szCs w:val="24"/>
          <w:highlight w:val="none"/>
        </w:rPr>
        <w:t>供应商存在下列情况之一的，</w:t>
      </w:r>
      <w:r>
        <w:rPr>
          <w:rFonts w:hint="eastAsia" w:cs="宋体"/>
          <w:b w:val="0"/>
          <w:bCs w:val="0"/>
          <w:i w:val="0"/>
          <w:iCs w:val="0"/>
          <w:color w:val="auto"/>
          <w:sz w:val="24"/>
          <w:szCs w:val="24"/>
          <w:highlight w:val="none"/>
          <w:lang w:val="en-US" w:eastAsia="zh-CN"/>
        </w:rPr>
        <w:t>其</w:t>
      </w:r>
      <w:r>
        <w:rPr>
          <w:rFonts w:hint="eastAsia" w:cs="宋体"/>
          <w:b/>
          <w:bCs/>
          <w:i w:val="0"/>
          <w:iCs w:val="0"/>
          <w:color w:val="auto"/>
          <w:sz w:val="24"/>
          <w:szCs w:val="24"/>
          <w:highlight w:val="none"/>
          <w:lang w:val="en-US" w:eastAsia="zh-CN"/>
        </w:rPr>
        <w:t>响应</w:t>
      </w:r>
      <w:r>
        <w:rPr>
          <w:rFonts w:hint="eastAsia" w:ascii="宋体" w:hAnsi="宋体" w:eastAsia="宋体" w:cs="宋体"/>
          <w:b/>
          <w:bCs/>
          <w:i w:val="0"/>
          <w:iCs w:val="0"/>
          <w:color w:val="auto"/>
          <w:sz w:val="24"/>
          <w:szCs w:val="24"/>
          <w:highlight w:val="none"/>
        </w:rPr>
        <w:t>无效</w:t>
      </w:r>
      <w:r>
        <w:rPr>
          <w:rFonts w:hint="eastAsia" w:ascii="宋体" w:hAnsi="宋体" w:eastAsia="宋体" w:cs="宋体"/>
          <w:b w:val="0"/>
          <w:bCs w:val="0"/>
          <w:i w:val="0"/>
          <w:iCs w:val="0"/>
          <w:color w:val="auto"/>
          <w:sz w:val="24"/>
          <w:szCs w:val="24"/>
          <w:highlight w:val="none"/>
        </w:rPr>
        <w:t>：</w:t>
      </w:r>
    </w:p>
    <w:p w14:paraId="49BC5947">
      <w:pPr>
        <w:pStyle w:val="62"/>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1）</w:t>
      </w:r>
      <w:r>
        <w:rPr>
          <w:rFonts w:hint="eastAsia" w:ascii="宋体" w:hAnsi="宋体" w:eastAsia="宋体" w:cs="宋体"/>
          <w:b w:val="0"/>
          <w:bCs w:val="0"/>
          <w:i w:val="0"/>
          <w:iCs w:val="0"/>
          <w:color w:val="auto"/>
          <w:sz w:val="24"/>
          <w:szCs w:val="24"/>
          <w:highlight w:val="none"/>
        </w:rPr>
        <w:t>不同供应商的响应文件由同一单位或者个人编制；</w:t>
      </w:r>
    </w:p>
    <w:p w14:paraId="545F554D">
      <w:pPr>
        <w:pStyle w:val="62"/>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2）</w:t>
      </w:r>
      <w:r>
        <w:rPr>
          <w:rFonts w:hint="eastAsia" w:ascii="宋体" w:hAnsi="宋体" w:eastAsia="宋体" w:cs="宋体"/>
          <w:b w:val="0"/>
          <w:bCs w:val="0"/>
          <w:i w:val="0"/>
          <w:iCs w:val="0"/>
          <w:color w:val="auto"/>
          <w:sz w:val="24"/>
          <w:szCs w:val="24"/>
          <w:highlight w:val="none"/>
        </w:rPr>
        <w:t>不同供应商委托同一单位或者个人办理</w:t>
      </w:r>
      <w:r>
        <w:rPr>
          <w:rFonts w:hint="eastAsia" w:ascii="宋体" w:hAnsi="宋体" w:eastAsia="宋体" w:cs="宋体"/>
          <w:b w:val="0"/>
          <w:bCs w:val="0"/>
          <w:i w:val="0"/>
          <w:iCs w:val="0"/>
          <w:color w:val="auto"/>
          <w:sz w:val="24"/>
          <w:szCs w:val="24"/>
          <w:highlight w:val="none"/>
          <w:lang w:val="en-US" w:eastAsia="zh-CN"/>
        </w:rPr>
        <w:t>磋商响应</w:t>
      </w:r>
      <w:r>
        <w:rPr>
          <w:rFonts w:hint="eastAsia" w:ascii="宋体" w:hAnsi="宋体" w:eastAsia="宋体" w:cs="宋体"/>
          <w:b w:val="0"/>
          <w:bCs w:val="0"/>
          <w:i w:val="0"/>
          <w:iCs w:val="0"/>
          <w:color w:val="auto"/>
          <w:sz w:val="24"/>
          <w:szCs w:val="24"/>
          <w:highlight w:val="none"/>
        </w:rPr>
        <w:t>事宜；</w:t>
      </w:r>
    </w:p>
    <w:p w14:paraId="0418FA4C">
      <w:pPr>
        <w:pStyle w:val="62"/>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3）</w:t>
      </w:r>
      <w:r>
        <w:rPr>
          <w:rFonts w:hint="eastAsia" w:ascii="宋体" w:hAnsi="宋体" w:eastAsia="宋体" w:cs="宋体"/>
          <w:b w:val="0"/>
          <w:bCs w:val="0"/>
          <w:i w:val="0"/>
          <w:iCs w:val="0"/>
          <w:color w:val="auto"/>
          <w:sz w:val="24"/>
          <w:szCs w:val="24"/>
          <w:highlight w:val="none"/>
        </w:rPr>
        <w:t>不同供应商的响应文件载明的项目管理成员或者联系人员为同一人；</w:t>
      </w:r>
    </w:p>
    <w:p w14:paraId="4C8B8AE3">
      <w:pPr>
        <w:pStyle w:val="62"/>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4）</w:t>
      </w:r>
      <w:r>
        <w:rPr>
          <w:rFonts w:hint="eastAsia" w:ascii="宋体" w:hAnsi="宋体" w:eastAsia="宋体" w:cs="宋体"/>
          <w:b w:val="0"/>
          <w:bCs w:val="0"/>
          <w:i w:val="0"/>
          <w:iCs w:val="0"/>
          <w:color w:val="auto"/>
          <w:sz w:val="24"/>
          <w:szCs w:val="24"/>
          <w:highlight w:val="none"/>
        </w:rPr>
        <w:t>不同供应商的响应文件异常一致或者</w:t>
      </w:r>
      <w:r>
        <w:rPr>
          <w:rFonts w:hint="eastAsia" w:ascii="宋体" w:hAnsi="宋体" w:eastAsia="宋体" w:cs="宋体"/>
          <w:b w:val="0"/>
          <w:bCs w:val="0"/>
          <w:i w:val="0"/>
          <w:iCs w:val="0"/>
          <w:color w:val="auto"/>
          <w:sz w:val="24"/>
          <w:szCs w:val="24"/>
          <w:highlight w:val="none"/>
          <w:lang w:val="en-US" w:eastAsia="zh-CN"/>
        </w:rPr>
        <w:t>磋商</w:t>
      </w:r>
      <w:r>
        <w:rPr>
          <w:rFonts w:hint="eastAsia" w:ascii="宋体" w:hAnsi="宋体" w:eastAsia="宋体" w:cs="宋体"/>
          <w:b w:val="0"/>
          <w:bCs w:val="0"/>
          <w:i w:val="0"/>
          <w:iCs w:val="0"/>
          <w:color w:val="auto"/>
          <w:sz w:val="24"/>
          <w:szCs w:val="24"/>
          <w:highlight w:val="none"/>
        </w:rPr>
        <w:t>报价呈规律性差异；</w:t>
      </w:r>
    </w:p>
    <w:p w14:paraId="1677611C">
      <w:pPr>
        <w:pStyle w:val="62"/>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5）</w:t>
      </w:r>
      <w:r>
        <w:rPr>
          <w:rFonts w:hint="eastAsia" w:ascii="宋体" w:hAnsi="宋体" w:eastAsia="宋体" w:cs="宋体"/>
          <w:b w:val="0"/>
          <w:bCs w:val="0"/>
          <w:i w:val="0"/>
          <w:iCs w:val="0"/>
          <w:color w:val="auto"/>
          <w:sz w:val="24"/>
          <w:szCs w:val="24"/>
          <w:highlight w:val="none"/>
        </w:rPr>
        <w:t>不同供应商的响应文件相互混装；</w:t>
      </w:r>
    </w:p>
    <w:p w14:paraId="658F5D27">
      <w:pPr>
        <w:pStyle w:val="62"/>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lang w:val="en-US" w:eastAsia="zh-CN"/>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6）</w:t>
      </w:r>
      <w:r>
        <w:rPr>
          <w:rFonts w:hint="eastAsia" w:ascii="宋体" w:hAnsi="宋体" w:eastAsia="宋体" w:cs="宋体"/>
          <w:b w:val="0"/>
          <w:bCs w:val="0"/>
          <w:i w:val="0"/>
          <w:iCs w:val="0"/>
          <w:color w:val="auto"/>
          <w:sz w:val="24"/>
          <w:szCs w:val="24"/>
          <w:highlight w:val="none"/>
        </w:rPr>
        <w:t>不同供应商的磋商保证金从同一单位或者个人的账户转出</w:t>
      </w:r>
      <w:r>
        <w:rPr>
          <w:rFonts w:hint="eastAsia" w:ascii="宋体" w:hAnsi="宋体" w:eastAsia="宋体" w:cs="宋体"/>
          <w:b w:val="0"/>
          <w:bCs w:val="0"/>
          <w:i w:val="0"/>
          <w:iCs w:val="0"/>
          <w:color w:val="auto"/>
          <w:sz w:val="24"/>
          <w:szCs w:val="24"/>
          <w:highlight w:val="none"/>
          <w:lang w:val="en-US" w:eastAsia="zh-CN"/>
        </w:rPr>
        <w:t>；</w:t>
      </w:r>
    </w:p>
    <w:p w14:paraId="00C93CF4">
      <w:pPr>
        <w:pStyle w:val="40"/>
        <w:pageBreakBefore w:val="0"/>
        <w:kinsoku/>
        <w:overflowPunct/>
        <w:topLinePunct w:val="0"/>
        <w:autoSpaceDE/>
        <w:autoSpaceDN/>
        <w:bidi w:val="0"/>
        <w:spacing w:line="440" w:lineRule="exact"/>
        <w:textAlignment w:val="auto"/>
        <w:rPr>
          <w:rFonts w:hint="eastAsia"/>
          <w:i w:val="0"/>
          <w:iCs w:val="0"/>
          <w:color w:val="auto"/>
          <w:highlight w:val="none"/>
          <w:lang w:val="en-US" w:eastAsia="zh-CN"/>
        </w:rPr>
      </w:pPr>
      <w:r>
        <w:rPr>
          <w:rFonts w:hint="eastAsia"/>
          <w:i w:val="0"/>
          <w:iCs w:val="0"/>
          <w:color w:val="auto"/>
          <w:highlight w:val="none"/>
          <w:lang w:val="en-US" w:eastAsia="zh-CN"/>
        </w:rPr>
        <w:t>（7）</w:t>
      </w:r>
      <w:r>
        <w:rPr>
          <w:rFonts w:hint="eastAsia"/>
          <w:i w:val="0"/>
          <w:iCs w:val="0"/>
          <w:color w:val="auto"/>
          <w:highlight w:val="none"/>
          <w:lang w:val="zh-CN" w:eastAsia="zh-CN"/>
        </w:rPr>
        <w:t>不同</w:t>
      </w:r>
      <w:r>
        <w:rPr>
          <w:rFonts w:hint="eastAsia"/>
          <w:i w:val="0"/>
          <w:iCs w:val="0"/>
          <w:color w:val="auto"/>
          <w:highlight w:val="none"/>
          <w:lang w:val="en-US" w:eastAsia="zh-CN"/>
        </w:rPr>
        <w:t>供应商</w:t>
      </w:r>
      <w:r>
        <w:rPr>
          <w:rFonts w:hint="eastAsia"/>
          <w:i w:val="0"/>
          <w:iCs w:val="0"/>
          <w:color w:val="auto"/>
          <w:highlight w:val="none"/>
          <w:lang w:val="zh-CN" w:eastAsia="zh-CN"/>
        </w:rPr>
        <w:t>使用同一电脑（机器特征值一致：如MAC地址等）或使用同一电子密钥，编制或上传电子</w:t>
      </w:r>
      <w:r>
        <w:rPr>
          <w:rFonts w:hint="eastAsia"/>
          <w:i w:val="0"/>
          <w:iCs w:val="0"/>
          <w:color w:val="auto"/>
          <w:highlight w:val="none"/>
          <w:lang w:val="en-US" w:eastAsia="zh-CN"/>
        </w:rPr>
        <w:t>响应</w:t>
      </w:r>
      <w:r>
        <w:rPr>
          <w:rFonts w:hint="eastAsia"/>
          <w:i w:val="0"/>
          <w:iCs w:val="0"/>
          <w:color w:val="auto"/>
          <w:highlight w:val="none"/>
          <w:lang w:val="zh-CN" w:eastAsia="zh-CN"/>
        </w:rPr>
        <w:t>文件</w:t>
      </w:r>
      <w:r>
        <w:rPr>
          <w:rFonts w:hint="eastAsia"/>
          <w:i w:val="0"/>
          <w:iCs w:val="0"/>
          <w:color w:val="auto"/>
          <w:highlight w:val="none"/>
          <w:lang w:val="en-US" w:eastAsia="zh-CN"/>
        </w:rPr>
        <w:t>；</w:t>
      </w:r>
    </w:p>
    <w:p w14:paraId="61787A0B">
      <w:pPr>
        <w:pStyle w:val="40"/>
        <w:pageBreakBefore w:val="0"/>
        <w:kinsoku/>
        <w:overflowPunct/>
        <w:topLinePunct w:val="0"/>
        <w:autoSpaceDE/>
        <w:autoSpaceDN/>
        <w:bidi w:val="0"/>
        <w:spacing w:line="440" w:lineRule="exact"/>
        <w:textAlignment w:val="auto"/>
        <w:rPr>
          <w:rFonts w:hint="eastAsia"/>
          <w:i w:val="0"/>
          <w:iCs w:val="0"/>
          <w:color w:val="auto"/>
          <w:highlight w:val="none"/>
          <w:lang w:val="en-US" w:eastAsia="zh-CN"/>
        </w:rPr>
      </w:pPr>
      <w:r>
        <w:rPr>
          <w:rFonts w:hint="eastAsia"/>
          <w:i w:val="0"/>
          <w:iCs w:val="0"/>
          <w:color w:val="auto"/>
          <w:highlight w:val="none"/>
          <w:lang w:val="en-US" w:eastAsia="zh-CN"/>
        </w:rPr>
        <w:t>（8）法律、法规、规章和竞争性磋商文件规定的其他响应无效的情形。</w:t>
      </w:r>
    </w:p>
    <w:p w14:paraId="4A152A6C">
      <w:pPr>
        <w:pStyle w:val="62"/>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val="en-US" w:eastAsia="zh-CN"/>
        </w:rPr>
        <w:t>8</w:t>
      </w:r>
      <w:r>
        <w:rPr>
          <w:rFonts w:hint="eastAsia" w:ascii="宋体" w:hAnsi="宋体" w:eastAsia="宋体" w:cs="宋体"/>
          <w:b w:val="0"/>
          <w:bCs w:val="0"/>
          <w:i w:val="0"/>
          <w:iCs w:val="0"/>
          <w:color w:val="auto"/>
          <w:sz w:val="24"/>
          <w:szCs w:val="24"/>
          <w:highlight w:val="none"/>
        </w:rPr>
        <w:t>.</w:t>
      </w:r>
      <w:r>
        <w:rPr>
          <w:rFonts w:hint="eastAsia" w:ascii="宋体" w:hAnsi="宋体" w:eastAsia="宋体" w:cs="宋体"/>
          <w:b w:val="0"/>
          <w:bCs w:val="0"/>
          <w:i w:val="0"/>
          <w:iCs w:val="0"/>
          <w:color w:val="auto"/>
          <w:sz w:val="24"/>
          <w:szCs w:val="24"/>
          <w:highlight w:val="none"/>
          <w:lang w:val="en-US" w:eastAsia="zh-CN"/>
        </w:rPr>
        <w:t>2</w:t>
      </w:r>
      <w:r>
        <w:rPr>
          <w:rFonts w:hint="eastAsia" w:ascii="宋体" w:hAnsi="宋体" w:eastAsia="宋体" w:cs="宋体"/>
          <w:b w:val="0"/>
          <w:bCs w:val="0"/>
          <w:i w:val="0"/>
          <w:iCs w:val="0"/>
          <w:color w:val="auto"/>
          <w:sz w:val="24"/>
          <w:szCs w:val="24"/>
          <w:highlight w:val="none"/>
        </w:rPr>
        <w:t xml:space="preserve"> </w:t>
      </w:r>
      <w:r>
        <w:rPr>
          <w:rFonts w:hint="eastAsia" w:ascii="宋体" w:hAnsi="宋体" w:eastAsia="宋体" w:cs="宋体"/>
          <w:b w:val="0"/>
          <w:bCs w:val="0"/>
          <w:i w:val="0"/>
          <w:iCs w:val="0"/>
          <w:color w:val="auto"/>
          <w:sz w:val="24"/>
          <w:szCs w:val="24"/>
          <w:highlight w:val="none"/>
          <w:lang w:val="en-US" w:eastAsia="zh-CN"/>
        </w:rPr>
        <w:t>磋商</w:t>
      </w:r>
      <w:r>
        <w:rPr>
          <w:rFonts w:hint="eastAsia" w:ascii="宋体" w:hAnsi="宋体" w:eastAsia="宋体" w:cs="宋体"/>
          <w:b w:val="0"/>
          <w:bCs w:val="0"/>
          <w:i w:val="0"/>
          <w:iCs w:val="0"/>
          <w:color w:val="auto"/>
          <w:sz w:val="24"/>
          <w:szCs w:val="24"/>
          <w:highlight w:val="none"/>
        </w:rPr>
        <w:t>小组应当审查</w:t>
      </w:r>
      <w:r>
        <w:rPr>
          <w:rFonts w:hint="eastAsia" w:ascii="宋体" w:hAnsi="宋体" w:eastAsia="宋体" w:cs="宋体"/>
          <w:b w:val="0"/>
          <w:bCs w:val="0"/>
          <w:i w:val="0"/>
          <w:iCs w:val="0"/>
          <w:color w:val="auto"/>
          <w:sz w:val="24"/>
          <w:szCs w:val="24"/>
          <w:highlight w:val="none"/>
          <w:lang w:val="en-US" w:eastAsia="zh-CN"/>
        </w:rPr>
        <w:t>所有供应商的</w:t>
      </w:r>
      <w:r>
        <w:rPr>
          <w:rFonts w:hint="eastAsia" w:ascii="宋体" w:hAnsi="宋体" w:eastAsia="宋体" w:cs="宋体"/>
          <w:b w:val="0"/>
          <w:bCs w:val="0"/>
          <w:i w:val="0"/>
          <w:iCs w:val="0"/>
          <w:color w:val="auto"/>
          <w:sz w:val="24"/>
          <w:szCs w:val="24"/>
          <w:highlight w:val="none"/>
        </w:rPr>
        <w:t>响应文件是否对竞争性磋商文件提出的所有实质性要求和条件做出响应。未能在实质上响应的</w:t>
      </w:r>
      <w:r>
        <w:rPr>
          <w:rFonts w:hint="eastAsia" w:ascii="宋体" w:hAnsi="宋体" w:eastAsia="宋体" w:cs="宋体"/>
          <w:b w:val="0"/>
          <w:bCs w:val="0"/>
          <w:i w:val="0"/>
          <w:iCs w:val="0"/>
          <w:color w:val="auto"/>
          <w:sz w:val="24"/>
          <w:szCs w:val="24"/>
          <w:highlight w:val="none"/>
          <w:lang w:val="en-US" w:eastAsia="zh-CN"/>
        </w:rPr>
        <w:t>供应商</w:t>
      </w:r>
      <w:r>
        <w:rPr>
          <w:rFonts w:hint="eastAsia" w:ascii="宋体" w:hAnsi="宋体" w:eastAsia="宋体" w:cs="宋体"/>
          <w:b w:val="0"/>
          <w:bCs w:val="0"/>
          <w:i w:val="0"/>
          <w:iCs w:val="0"/>
          <w:color w:val="auto"/>
          <w:sz w:val="24"/>
          <w:szCs w:val="24"/>
          <w:highlight w:val="none"/>
        </w:rPr>
        <w:t>，其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b w:val="0"/>
          <w:bCs w:val="0"/>
          <w:i w:val="0"/>
          <w:iCs w:val="0"/>
          <w:color w:val="auto"/>
          <w:sz w:val="24"/>
          <w:szCs w:val="24"/>
          <w:highlight w:val="none"/>
        </w:rPr>
        <w:t>。</w:t>
      </w:r>
    </w:p>
    <w:p w14:paraId="7BBDD7AC">
      <w:pPr>
        <w:pStyle w:val="40"/>
        <w:pageBreakBefore w:val="0"/>
        <w:kinsoku/>
        <w:overflowPunct/>
        <w:topLinePunct w:val="0"/>
        <w:autoSpaceDE/>
        <w:autoSpaceDN/>
        <w:bidi w:val="0"/>
        <w:spacing w:line="440" w:lineRule="exact"/>
        <w:ind w:firstLine="480"/>
        <w:textAlignment w:val="auto"/>
        <w:rPr>
          <w:rFonts w:hint="eastAsia" w:cs="Helvetica"/>
          <w:i w:val="0"/>
          <w:iCs w:val="0"/>
          <w:color w:val="auto"/>
          <w:szCs w:val="24"/>
          <w:highlight w:val="none"/>
          <w:lang w:val="zh-CN"/>
        </w:rPr>
      </w:pPr>
      <w:r>
        <w:rPr>
          <w:rFonts w:hint="eastAsia" w:ascii="宋体" w:hAnsi="宋体" w:eastAsia="宋体" w:cs="宋体"/>
          <w:b w:val="0"/>
          <w:bCs w:val="0"/>
          <w:i w:val="0"/>
          <w:iCs w:val="0"/>
          <w:color w:val="auto"/>
          <w:sz w:val="24"/>
          <w:szCs w:val="24"/>
          <w:highlight w:val="none"/>
          <w:lang w:val="en-US" w:eastAsia="zh-CN"/>
        </w:rPr>
        <w:t>8</w:t>
      </w:r>
      <w:r>
        <w:rPr>
          <w:rFonts w:hint="eastAsia" w:ascii="宋体" w:hAnsi="宋体" w:eastAsia="宋体" w:cs="宋体"/>
          <w:b w:val="0"/>
          <w:bCs w:val="0"/>
          <w:i w:val="0"/>
          <w:iCs w:val="0"/>
          <w:color w:val="auto"/>
          <w:sz w:val="24"/>
          <w:szCs w:val="24"/>
          <w:highlight w:val="none"/>
        </w:rPr>
        <w:t>.</w:t>
      </w:r>
      <w:r>
        <w:rPr>
          <w:rFonts w:hint="eastAsia" w:ascii="宋体" w:hAnsi="宋体" w:eastAsia="宋体" w:cs="宋体"/>
          <w:b w:val="0"/>
          <w:bCs w:val="0"/>
          <w:i w:val="0"/>
          <w:iCs w:val="0"/>
          <w:color w:val="auto"/>
          <w:sz w:val="24"/>
          <w:szCs w:val="24"/>
          <w:highlight w:val="none"/>
          <w:lang w:val="en-US" w:eastAsia="zh-CN"/>
        </w:rPr>
        <w:t>3</w:t>
      </w:r>
      <w:r>
        <w:rPr>
          <w:rFonts w:hint="eastAsia" w:ascii="宋体" w:hAnsi="宋体" w:eastAsia="宋体" w:cs="宋体"/>
          <w:b w:val="0"/>
          <w:bCs w:val="0"/>
          <w:i w:val="0"/>
          <w:iCs w:val="0"/>
          <w:color w:val="auto"/>
          <w:sz w:val="24"/>
          <w:szCs w:val="24"/>
          <w:highlight w:val="none"/>
        </w:rPr>
        <w:t xml:space="preserve"> 供应商不得误导、干扰</w:t>
      </w:r>
      <w:r>
        <w:rPr>
          <w:rFonts w:hint="eastAsia" w:ascii="宋体" w:hAnsi="宋体" w:eastAsia="宋体" w:cs="宋体"/>
          <w:b w:val="0"/>
          <w:bCs w:val="0"/>
          <w:i w:val="0"/>
          <w:iCs w:val="0"/>
          <w:color w:val="auto"/>
          <w:sz w:val="24"/>
          <w:szCs w:val="24"/>
          <w:highlight w:val="none"/>
          <w:lang w:val="en-US" w:eastAsia="zh-CN"/>
        </w:rPr>
        <w:t>磋商小组</w:t>
      </w:r>
      <w:r>
        <w:rPr>
          <w:rFonts w:hint="eastAsia" w:ascii="宋体" w:hAnsi="宋体" w:eastAsia="宋体" w:cs="宋体"/>
          <w:b w:val="0"/>
          <w:bCs w:val="0"/>
          <w:i w:val="0"/>
          <w:iCs w:val="0"/>
          <w:color w:val="auto"/>
          <w:sz w:val="24"/>
          <w:szCs w:val="24"/>
          <w:highlight w:val="none"/>
        </w:rPr>
        <w:t>的评审活动，否则其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b w:val="0"/>
          <w:bCs w:val="0"/>
          <w:i w:val="0"/>
          <w:iCs w:val="0"/>
          <w:color w:val="auto"/>
          <w:sz w:val="24"/>
          <w:szCs w:val="24"/>
          <w:highlight w:val="none"/>
        </w:rPr>
        <w:t>。</w:t>
      </w:r>
    </w:p>
    <w:p w14:paraId="2AD96D4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67" w:name="_Toc102057718"/>
      <w:bookmarkStart w:id="468" w:name="_Toc102116152"/>
      <w:bookmarkStart w:id="469" w:name="_Toc102116022"/>
      <w:bookmarkStart w:id="470" w:name="_Toc102056218"/>
      <w:bookmarkStart w:id="471" w:name="_Toc102119853"/>
      <w:bookmarkStart w:id="472" w:name="_Toc102114920"/>
      <w:r>
        <w:rPr>
          <w:rFonts w:hint="eastAsia" w:ascii="宋体" w:hAnsi="宋体" w:eastAsia="宋体" w:cs="宋体"/>
          <w:b/>
          <w:bCs/>
          <w:i w:val="0"/>
          <w:iCs w:val="0"/>
          <w:color w:val="auto"/>
          <w:kern w:val="2"/>
          <w:sz w:val="24"/>
          <w:szCs w:val="24"/>
          <w:highlight w:val="none"/>
          <w:lang w:val="en-US" w:eastAsia="zh-CN" w:bidi="ar-SA"/>
        </w:rPr>
        <w:t>9.停止评审的情形</w:t>
      </w:r>
      <w:bookmarkEnd w:id="467"/>
      <w:bookmarkEnd w:id="468"/>
      <w:bookmarkEnd w:id="469"/>
      <w:bookmarkEnd w:id="470"/>
      <w:bookmarkEnd w:id="471"/>
      <w:bookmarkEnd w:id="472"/>
    </w:p>
    <w:p w14:paraId="3E928339">
      <w:pPr>
        <w:keepNext w:val="0"/>
        <w:keepLines w:val="0"/>
        <w:pageBreakBefore w:val="0"/>
        <w:widowControl/>
        <w:suppressLineNumbers w:val="0"/>
        <w:kinsoku/>
        <w:overflowPunct/>
        <w:topLinePunct w:val="0"/>
        <w:autoSpaceDE/>
        <w:autoSpaceDN/>
        <w:bidi w:val="0"/>
        <w:spacing w:line="440" w:lineRule="exact"/>
        <w:ind w:firstLine="480" w:firstLineChars="200"/>
        <w:jc w:val="left"/>
        <w:textAlignment w:val="auto"/>
        <w:rPr>
          <w:rFonts w:hint="eastAsia" w:ascii="宋体" w:hAnsi="宋体" w:eastAsia="宋体" w:cstheme="minorBidi"/>
          <w:i w:val="0"/>
          <w:iCs w:val="0"/>
          <w:color w:val="auto"/>
          <w:kern w:val="2"/>
          <w:sz w:val="24"/>
          <w:szCs w:val="22"/>
          <w:highlight w:val="none"/>
          <w:lang w:val="zh-CN" w:eastAsia="zh-CN" w:bidi="ar-SA"/>
        </w:rPr>
      </w:pPr>
      <w:r>
        <w:rPr>
          <w:rFonts w:hint="eastAsia" w:ascii="宋体" w:hAnsi="宋体" w:eastAsia="宋体" w:cstheme="minorBidi"/>
          <w:i w:val="0"/>
          <w:iCs w:val="0"/>
          <w:color w:val="auto"/>
          <w:kern w:val="2"/>
          <w:sz w:val="24"/>
          <w:szCs w:val="22"/>
          <w:highlight w:val="none"/>
          <w:lang w:val="en-US" w:eastAsia="zh-CN" w:bidi="ar-SA"/>
        </w:rPr>
        <w:t>9</w:t>
      </w:r>
      <w:r>
        <w:rPr>
          <w:rFonts w:hint="eastAsia" w:ascii="宋体" w:hAnsi="宋体" w:eastAsia="宋体" w:cstheme="minorBidi"/>
          <w:i w:val="0"/>
          <w:iCs w:val="0"/>
          <w:color w:val="auto"/>
          <w:kern w:val="2"/>
          <w:sz w:val="24"/>
          <w:szCs w:val="22"/>
          <w:highlight w:val="none"/>
          <w:lang w:val="zh-CN" w:eastAsia="zh-CN" w:bidi="ar-SA"/>
        </w:rPr>
        <w:t>.1</w:t>
      </w:r>
      <w:r>
        <w:rPr>
          <w:rFonts w:hint="eastAsia" w:ascii="宋体" w:hAnsi="宋体" w:eastAsia="宋体" w:cstheme="minorBidi"/>
          <w:i w:val="0"/>
          <w:iCs w:val="0"/>
          <w:color w:val="auto"/>
          <w:kern w:val="2"/>
          <w:sz w:val="24"/>
          <w:szCs w:val="22"/>
          <w:highlight w:val="none"/>
          <w:lang w:val="en-US" w:eastAsia="zh-CN" w:bidi="ar-SA"/>
        </w:rPr>
        <w:t>磋商小组在评审过程中发现供应商有行贿、提供虚假材料或者串通等违法行为的，应当及时向财政部门报告。</w:t>
      </w:r>
    </w:p>
    <w:p w14:paraId="091B5A47">
      <w:pPr>
        <w:pStyle w:val="40"/>
        <w:pageBreakBefore w:val="0"/>
        <w:kinsoku/>
        <w:overflowPunct/>
        <w:topLinePunct w:val="0"/>
        <w:autoSpaceDE/>
        <w:autoSpaceDN/>
        <w:bidi w:val="0"/>
        <w:spacing w:line="440" w:lineRule="exact"/>
        <w:ind w:firstLine="480"/>
        <w:textAlignment w:val="auto"/>
        <w:rPr>
          <w:rFonts w:hint="eastAsia"/>
          <w:i w:val="0"/>
          <w:iCs w:val="0"/>
          <w:color w:val="auto"/>
          <w:highlight w:val="none"/>
          <w:lang w:val="zh-CN"/>
        </w:rPr>
      </w:pPr>
      <w:r>
        <w:rPr>
          <w:rFonts w:hint="eastAsia"/>
          <w:i w:val="0"/>
          <w:iCs w:val="0"/>
          <w:color w:val="auto"/>
          <w:highlight w:val="none"/>
          <w:lang w:val="en-US" w:eastAsia="zh-CN"/>
        </w:rPr>
        <w:t>9.2</w:t>
      </w:r>
      <w:r>
        <w:rPr>
          <w:rFonts w:hint="eastAsia"/>
          <w:i w:val="0"/>
          <w:iCs w:val="0"/>
          <w:color w:val="auto"/>
          <w:highlight w:val="none"/>
          <w:lang w:val="zh-CN"/>
        </w:rPr>
        <w:t>磋商小组发现磋商文件存在歧义、重大缺陷导致评审工作无法进行，或者磋商文件内容违反国家有关强制性规定的，应当停止评审工作，与采购人或者采购代理机构沟通并作书面记录。采购人或者采购代理机构确认后，应当修改磋商文件，重新组织采购活动。</w:t>
      </w:r>
    </w:p>
    <w:p w14:paraId="11381A8C">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40" w:lineRule="exact"/>
        <w:ind w:left="420" w:leftChars="0" w:hanging="420" w:firstLineChars="0"/>
        <w:textAlignment w:val="auto"/>
        <w:rPr>
          <w:rFonts w:hint="default"/>
          <w:i w:val="0"/>
          <w:iCs w:val="0"/>
          <w:color w:val="auto"/>
          <w:sz w:val="28"/>
          <w:szCs w:val="28"/>
          <w:highlight w:val="none"/>
          <w:lang w:val="en-US" w:eastAsia="zh-CN"/>
        </w:rPr>
      </w:pPr>
      <w:bookmarkStart w:id="473" w:name="_Toc18235"/>
      <w:r>
        <w:rPr>
          <w:rFonts w:hint="eastAsia"/>
          <w:i w:val="0"/>
          <w:iCs w:val="0"/>
          <w:color w:val="auto"/>
          <w:sz w:val="28"/>
          <w:szCs w:val="28"/>
          <w:highlight w:val="none"/>
          <w:lang w:val="en-US" w:eastAsia="zh-CN"/>
        </w:rPr>
        <w:t>三、</w:t>
      </w:r>
      <w:r>
        <w:rPr>
          <w:rFonts w:hint="eastAsia"/>
          <w:i w:val="0"/>
          <w:iCs w:val="0"/>
          <w:color w:val="auto"/>
          <w:sz w:val="28"/>
          <w:szCs w:val="28"/>
          <w:highlight w:val="none"/>
          <w:lang w:val="zh-CN" w:eastAsia="zh-CN"/>
        </w:rPr>
        <w:t>评审</w:t>
      </w:r>
      <w:r>
        <w:rPr>
          <w:rFonts w:hint="eastAsia"/>
          <w:i w:val="0"/>
          <w:iCs w:val="0"/>
          <w:color w:val="auto"/>
          <w:sz w:val="28"/>
          <w:szCs w:val="28"/>
          <w:highlight w:val="none"/>
          <w:lang w:val="en-US" w:eastAsia="zh-CN"/>
        </w:rPr>
        <w:t>其他要求</w:t>
      </w:r>
      <w:bookmarkEnd w:id="473"/>
    </w:p>
    <w:p w14:paraId="4EE02F69">
      <w:pPr>
        <w:pStyle w:val="40"/>
        <w:keepNext w:val="0"/>
        <w:keepLines w:val="0"/>
        <w:pageBreakBefore w:val="0"/>
        <w:widowControl w:val="0"/>
        <w:kinsoku/>
        <w:overflowPunct/>
        <w:topLinePunct w:val="0"/>
        <w:autoSpaceDE/>
        <w:autoSpaceDN/>
        <w:bidi w:val="0"/>
        <w:adjustRightInd/>
        <w:snapToGrid/>
        <w:spacing w:line="440" w:lineRule="exact"/>
        <w:ind w:firstLine="480" w:firstLineChars="0"/>
        <w:textAlignment w:val="auto"/>
        <w:rPr>
          <w:rFonts w:hint="eastAsia"/>
          <w:i w:val="0"/>
          <w:iCs w:val="0"/>
          <w:color w:val="auto"/>
          <w:highlight w:val="none"/>
          <w:shd w:val="clear" w:color="auto" w:fill="FFFFFF" w:themeFill="background1"/>
          <w:lang w:val="en-US" w:eastAsia="zh-CN"/>
        </w:rPr>
      </w:pPr>
      <w:r>
        <w:rPr>
          <w:rFonts w:hint="eastAsia"/>
          <w:i w:val="0"/>
          <w:iCs w:val="0"/>
          <w:color w:val="auto"/>
          <w:highlight w:val="none"/>
          <w:shd w:val="clear" w:color="auto" w:fill="FFFFFF" w:themeFill="background1"/>
          <w:lang w:val="en-US" w:eastAsia="zh-CN"/>
        </w:rPr>
        <w:t>无。</w:t>
      </w:r>
    </w:p>
    <w:p w14:paraId="29138E3B">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40" w:lineRule="exact"/>
        <w:ind w:left="420" w:leftChars="0" w:hanging="420" w:firstLineChars="0"/>
        <w:textAlignment w:val="auto"/>
        <w:rPr>
          <w:rFonts w:hint="eastAsia"/>
          <w:i w:val="0"/>
          <w:iCs w:val="0"/>
          <w:color w:val="auto"/>
          <w:sz w:val="28"/>
          <w:szCs w:val="28"/>
          <w:highlight w:val="none"/>
          <w:lang w:val="zh-CN" w:eastAsia="zh-CN"/>
        </w:rPr>
      </w:pPr>
      <w:bookmarkStart w:id="474" w:name="_Toc9008"/>
      <w:r>
        <w:rPr>
          <w:rFonts w:hint="eastAsia"/>
          <w:i w:val="0"/>
          <w:iCs w:val="0"/>
          <w:color w:val="auto"/>
          <w:sz w:val="28"/>
          <w:szCs w:val="28"/>
          <w:highlight w:val="none"/>
          <w:lang w:val="en-US" w:eastAsia="zh-CN"/>
        </w:rPr>
        <w:t>四、</w:t>
      </w:r>
      <w:r>
        <w:rPr>
          <w:rFonts w:hint="eastAsia"/>
          <w:i w:val="0"/>
          <w:iCs w:val="0"/>
          <w:color w:val="auto"/>
          <w:sz w:val="28"/>
          <w:szCs w:val="28"/>
          <w:highlight w:val="none"/>
          <w:lang w:val="zh-CN" w:eastAsia="zh-CN"/>
        </w:rPr>
        <w:t>评审标准</w:t>
      </w:r>
      <w:bookmarkEnd w:id="474"/>
    </w:p>
    <w:p w14:paraId="7FC9ADCA">
      <w:pPr>
        <w:pStyle w:val="4"/>
        <w:keepNext/>
        <w:keepLines/>
        <w:pageBreakBefore w:val="0"/>
        <w:widowControl w:val="0"/>
        <w:numPr>
          <w:ilvl w:val="0"/>
          <w:numId w:val="0"/>
        </w:numPr>
        <w:kinsoku/>
        <w:wordWrap/>
        <w:overflowPunct/>
        <w:topLinePunct w:val="0"/>
        <w:autoSpaceDE/>
        <w:autoSpaceDN/>
        <w:bidi w:val="0"/>
        <w:adjustRightInd/>
        <w:snapToGrid/>
        <w:spacing w:before="80" w:after="8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75" w:name="_Toc163493638"/>
      <w:bookmarkStart w:id="476" w:name="_Toc4370"/>
      <w:r>
        <w:rPr>
          <w:rFonts w:hint="eastAsia" w:ascii="宋体" w:hAnsi="宋体" w:eastAsia="宋体" w:cs="宋体"/>
          <w:b/>
          <w:bCs/>
          <w:i w:val="0"/>
          <w:iCs w:val="0"/>
          <w:color w:val="auto"/>
          <w:kern w:val="2"/>
          <w:sz w:val="24"/>
          <w:szCs w:val="24"/>
          <w:highlight w:val="none"/>
          <w:lang w:val="en-US" w:eastAsia="zh-CN" w:bidi="ar-SA"/>
        </w:rPr>
        <w:t>（一）</w:t>
      </w:r>
      <w:r>
        <w:rPr>
          <w:rFonts w:hint="eastAsia" w:ascii="宋体" w:hAnsi="宋体" w:eastAsia="宋体" w:cs="宋体"/>
          <w:b/>
          <w:bCs/>
          <w:i w:val="0"/>
          <w:iCs w:val="0"/>
          <w:color w:val="auto"/>
          <w:kern w:val="2"/>
          <w:sz w:val="24"/>
          <w:szCs w:val="24"/>
          <w:highlight w:val="none"/>
          <w:lang w:val="zh-CN" w:eastAsia="zh-CN" w:bidi="ar-SA"/>
        </w:rPr>
        <w:t>资格审查表</w:t>
      </w:r>
      <w:bookmarkEnd w:id="475"/>
      <w:bookmarkEnd w:id="476"/>
    </w:p>
    <w:tbl>
      <w:tblPr>
        <w:tblStyle w:val="32"/>
        <w:tblW w:w="93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57" w:type="dxa"/>
          <w:left w:w="108" w:type="dxa"/>
          <w:bottom w:w="57" w:type="dxa"/>
          <w:right w:w="108" w:type="dxa"/>
        </w:tblCellMar>
      </w:tblPr>
      <w:tblGrid>
        <w:gridCol w:w="820"/>
        <w:gridCol w:w="1645"/>
        <w:gridCol w:w="5545"/>
        <w:gridCol w:w="1355"/>
      </w:tblGrid>
      <w:tr w14:paraId="4541E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454" w:hRule="atLeast"/>
          <w:jc w:val="center"/>
        </w:trPr>
        <w:tc>
          <w:tcPr>
            <w:tcW w:w="820" w:type="dxa"/>
            <w:shd w:val="clear" w:color="auto" w:fill="auto"/>
            <w:vAlign w:val="center"/>
          </w:tcPr>
          <w:p w14:paraId="6EA8B30A">
            <w:pPr>
              <w:pStyle w:val="51"/>
              <w:spacing w:line="240" w:lineRule="auto"/>
              <w:jc w:val="center"/>
              <w:rPr>
                <w:rFonts w:hint="eastAsia" w:ascii="宋体" w:hAnsi="宋体" w:eastAsia="宋体" w:cs="宋体"/>
                <w:b/>
                <w:bCs/>
                <w:i w:val="0"/>
                <w:iCs w:val="0"/>
                <w:color w:val="auto"/>
                <w:sz w:val="21"/>
                <w:szCs w:val="21"/>
                <w:highlight w:val="none"/>
              </w:rPr>
            </w:pPr>
            <w:bookmarkStart w:id="477" w:name="_Toc156490348"/>
            <w:r>
              <w:rPr>
                <w:rFonts w:hint="eastAsia" w:ascii="宋体" w:hAnsi="宋体" w:eastAsia="宋体" w:cs="宋体"/>
                <w:b/>
                <w:bCs/>
                <w:i w:val="0"/>
                <w:iCs w:val="0"/>
                <w:color w:val="auto"/>
                <w:sz w:val="21"/>
                <w:szCs w:val="21"/>
                <w:highlight w:val="none"/>
              </w:rPr>
              <w:t>序号</w:t>
            </w:r>
          </w:p>
        </w:tc>
        <w:tc>
          <w:tcPr>
            <w:tcW w:w="1645" w:type="dxa"/>
            <w:shd w:val="clear" w:color="auto" w:fill="auto"/>
            <w:vAlign w:val="center"/>
          </w:tcPr>
          <w:p w14:paraId="17B41B65">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审查因素</w:t>
            </w:r>
          </w:p>
        </w:tc>
        <w:tc>
          <w:tcPr>
            <w:tcW w:w="5545" w:type="dxa"/>
            <w:shd w:val="clear" w:color="auto" w:fill="auto"/>
            <w:vAlign w:val="center"/>
          </w:tcPr>
          <w:p w14:paraId="193E6858">
            <w:pPr>
              <w:pStyle w:val="51"/>
              <w:spacing w:line="240" w:lineRule="auto"/>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审查内容</w:t>
            </w:r>
          </w:p>
        </w:tc>
        <w:tc>
          <w:tcPr>
            <w:tcW w:w="1355" w:type="dxa"/>
            <w:shd w:val="clear" w:color="auto" w:fill="auto"/>
            <w:vAlign w:val="center"/>
          </w:tcPr>
          <w:p w14:paraId="6F255403">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格式要求</w:t>
            </w:r>
          </w:p>
        </w:tc>
      </w:tr>
      <w:tr w14:paraId="53C6D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20" w:hRule="atLeast"/>
          <w:jc w:val="center"/>
        </w:trPr>
        <w:tc>
          <w:tcPr>
            <w:tcW w:w="820" w:type="dxa"/>
            <w:shd w:val="clear" w:color="auto" w:fill="auto"/>
            <w:vAlign w:val="center"/>
          </w:tcPr>
          <w:p w14:paraId="1A01EA2C">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w:t>
            </w:r>
          </w:p>
        </w:tc>
        <w:tc>
          <w:tcPr>
            <w:tcW w:w="1645" w:type="dxa"/>
            <w:shd w:val="clear" w:color="auto" w:fill="auto"/>
            <w:vAlign w:val="center"/>
          </w:tcPr>
          <w:p w14:paraId="56F1203B">
            <w:pPr>
              <w:pStyle w:val="51"/>
              <w:spacing w:line="240" w:lineRule="auto"/>
              <w:jc w:val="both"/>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满足《政府采购法》第二十二条规定</w:t>
            </w:r>
          </w:p>
        </w:tc>
        <w:tc>
          <w:tcPr>
            <w:tcW w:w="5545" w:type="dxa"/>
            <w:shd w:val="clear" w:color="auto" w:fill="auto"/>
            <w:vAlign w:val="center"/>
          </w:tcPr>
          <w:p w14:paraId="39C3BEC9">
            <w:pPr>
              <w:pStyle w:val="51"/>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具体规定见“第一章 竞争性磋商公告”</w:t>
            </w:r>
          </w:p>
        </w:tc>
        <w:tc>
          <w:tcPr>
            <w:tcW w:w="1355" w:type="dxa"/>
            <w:shd w:val="clear" w:color="auto" w:fill="auto"/>
            <w:vAlign w:val="center"/>
          </w:tcPr>
          <w:p w14:paraId="63A554A2">
            <w:pPr>
              <w:pStyle w:val="51"/>
              <w:spacing w:line="240" w:lineRule="auto"/>
              <w:jc w:val="center"/>
              <w:rPr>
                <w:rFonts w:hint="eastAsia" w:ascii="宋体" w:hAnsi="宋体" w:eastAsia="宋体" w:cs="宋体"/>
                <w:b/>
                <w:bCs/>
                <w:i w:val="0"/>
                <w:iCs w:val="0"/>
                <w:color w:val="auto"/>
                <w:sz w:val="21"/>
                <w:szCs w:val="21"/>
                <w:highlight w:val="none"/>
              </w:rPr>
            </w:pPr>
          </w:p>
        </w:tc>
      </w:tr>
      <w:tr w14:paraId="3C160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0" w:hRule="atLeast"/>
          <w:jc w:val="center"/>
        </w:trPr>
        <w:tc>
          <w:tcPr>
            <w:tcW w:w="820" w:type="dxa"/>
            <w:shd w:val="clear" w:color="auto" w:fill="auto"/>
            <w:vAlign w:val="center"/>
          </w:tcPr>
          <w:p w14:paraId="3FED9D5D">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1-1</w:t>
            </w:r>
          </w:p>
        </w:tc>
        <w:tc>
          <w:tcPr>
            <w:tcW w:w="1645" w:type="dxa"/>
            <w:shd w:val="clear" w:color="auto" w:fill="auto"/>
            <w:vAlign w:val="center"/>
          </w:tcPr>
          <w:p w14:paraId="31C34359">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color w:val="auto"/>
                <w:sz w:val="21"/>
                <w:szCs w:val="21"/>
                <w:highlight w:val="none"/>
              </w:rPr>
              <w:t>具有独立承担民事责任的能力</w:t>
            </w:r>
          </w:p>
        </w:tc>
        <w:tc>
          <w:tcPr>
            <w:tcW w:w="5545" w:type="dxa"/>
            <w:shd w:val="clear" w:color="auto" w:fill="auto"/>
            <w:vAlign w:val="center"/>
          </w:tcPr>
          <w:p w14:paraId="1DC6A871">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rPr>
            </w:pPr>
            <w:r>
              <w:rPr>
                <w:rFonts w:hint="eastAsia" w:ascii="宋体" w:hAnsi="宋体" w:eastAsia="宋体" w:cs="宋体"/>
                <w:color w:val="auto"/>
                <w:sz w:val="21"/>
                <w:szCs w:val="21"/>
                <w:highlight w:val="none"/>
                <w:lang w:eastAsia="zh-CN"/>
              </w:rPr>
              <w:t>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是企业，应提供“营业执照”；如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是事业单位，应提供 “事业单位法人证书”；如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是社会团体，应提供“社会团体法人登记证书”；如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是个体工商户，应提供有效的“个体工商户营业执照”；如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是自然人，应提供有效的自然人身份证明。</w:t>
            </w:r>
          </w:p>
        </w:tc>
        <w:tc>
          <w:tcPr>
            <w:tcW w:w="1355" w:type="dxa"/>
            <w:shd w:val="clear" w:color="auto" w:fill="auto"/>
            <w:vAlign w:val="center"/>
          </w:tcPr>
          <w:p w14:paraId="6C232928">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5A5E6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0" w:hRule="atLeast"/>
          <w:jc w:val="center"/>
        </w:trPr>
        <w:tc>
          <w:tcPr>
            <w:tcW w:w="820" w:type="dxa"/>
            <w:shd w:val="clear" w:color="auto" w:fill="auto"/>
            <w:vAlign w:val="center"/>
          </w:tcPr>
          <w:p w14:paraId="7C9A3910">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1-2</w:t>
            </w:r>
          </w:p>
        </w:tc>
        <w:tc>
          <w:tcPr>
            <w:tcW w:w="1645" w:type="dxa"/>
            <w:shd w:val="clear" w:color="auto" w:fill="auto"/>
            <w:vAlign w:val="center"/>
          </w:tcPr>
          <w:p w14:paraId="174BA105">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bidi="ar-SA"/>
              </w:rPr>
            </w:pPr>
            <w:r>
              <w:rPr>
                <w:rFonts w:hint="eastAsia" w:ascii="宋体" w:hAnsi="宋体" w:eastAsia="宋体" w:cs="宋体"/>
                <w:color w:val="auto"/>
                <w:sz w:val="21"/>
                <w:szCs w:val="21"/>
                <w:highlight w:val="none"/>
              </w:rPr>
              <w:t>具有良好的商业信誉和健全的财务会计制度</w:t>
            </w:r>
          </w:p>
        </w:tc>
        <w:tc>
          <w:tcPr>
            <w:tcW w:w="5545" w:type="dxa"/>
            <w:shd w:val="clear" w:color="auto" w:fill="auto"/>
            <w:vAlign w:val="center"/>
          </w:tcPr>
          <w:p w14:paraId="3D457196">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bidi="ar-SA"/>
              </w:rPr>
            </w:pPr>
            <w:r>
              <w:rPr>
                <w:rFonts w:hint="eastAsia" w:ascii="宋体" w:hAnsi="宋体" w:eastAsia="宋体" w:cs="宋体"/>
                <w:color w:val="auto"/>
                <w:sz w:val="21"/>
                <w:szCs w:val="21"/>
                <w:highlight w:val="none"/>
                <w:lang w:val="en-US" w:eastAsia="zh-CN"/>
              </w:rPr>
              <w:t>投标时，若供应商成立超过一年需提供2021年、2022年、2023年度任意一年的财务状况报表或经第三方审计出具的审计报告复印件/扫描件并加盖公章，供应商成立不足一年（含一年）需提供近三个月内任意一个月的财务报告复印件/扫描件并加盖公章（需包含资产负债表、现金流量表、利润表）或近三个月内任意一个月的银行资信证明材料复印件/扫描件并加盖公章；</w:t>
            </w:r>
          </w:p>
        </w:tc>
        <w:tc>
          <w:tcPr>
            <w:tcW w:w="1355" w:type="dxa"/>
            <w:shd w:val="clear" w:color="auto" w:fill="auto"/>
            <w:vAlign w:val="center"/>
          </w:tcPr>
          <w:p w14:paraId="28354205">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6DDCC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0" w:hRule="atLeast"/>
          <w:jc w:val="center"/>
        </w:trPr>
        <w:tc>
          <w:tcPr>
            <w:tcW w:w="820" w:type="dxa"/>
            <w:shd w:val="clear" w:color="auto" w:fill="auto"/>
            <w:vAlign w:val="center"/>
          </w:tcPr>
          <w:p w14:paraId="0F7DFCD3">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1-3</w:t>
            </w:r>
          </w:p>
        </w:tc>
        <w:tc>
          <w:tcPr>
            <w:tcW w:w="1645" w:type="dxa"/>
            <w:shd w:val="clear" w:color="auto" w:fill="auto"/>
            <w:vAlign w:val="center"/>
          </w:tcPr>
          <w:p w14:paraId="3B45511E">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bidi="ar-SA"/>
              </w:rPr>
            </w:pPr>
            <w:r>
              <w:rPr>
                <w:rFonts w:hint="eastAsia" w:ascii="宋体" w:hAnsi="宋体" w:eastAsia="宋体" w:cs="宋体"/>
                <w:color w:val="auto"/>
                <w:sz w:val="21"/>
                <w:szCs w:val="21"/>
                <w:highlight w:val="none"/>
              </w:rPr>
              <w:t>有依法缴纳税收和社会保障资金的良好记录</w:t>
            </w:r>
          </w:p>
        </w:tc>
        <w:tc>
          <w:tcPr>
            <w:tcW w:w="5545" w:type="dxa"/>
            <w:shd w:val="clear" w:color="auto" w:fill="auto"/>
            <w:vAlign w:val="center"/>
          </w:tcPr>
          <w:p w14:paraId="61FB7B77">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依法缴纳税收的证明材料：本项目</w:t>
            </w:r>
            <w:r>
              <w:rPr>
                <w:rFonts w:hint="eastAsia" w:ascii="宋体" w:hAnsi="宋体" w:eastAsia="宋体" w:cs="宋体"/>
                <w:color w:val="auto"/>
                <w:sz w:val="21"/>
                <w:szCs w:val="21"/>
                <w:highlight w:val="none"/>
                <w:lang w:eastAsia="zh-CN"/>
              </w:rPr>
              <w:t>响应截止</w:t>
            </w:r>
            <w:r>
              <w:rPr>
                <w:rFonts w:hint="eastAsia" w:ascii="宋体" w:hAnsi="宋体" w:eastAsia="宋体" w:cs="宋体"/>
                <w:color w:val="auto"/>
                <w:sz w:val="21"/>
                <w:szCs w:val="21"/>
                <w:highlight w:val="none"/>
              </w:rPr>
              <w:t xml:space="preserve">时间前 6 个月内（至少提供1个月）缴纳税收的凭据（完税证、缴款书、印花税票、银行代扣（代缴）转账凭证等均可）； </w:t>
            </w:r>
          </w:p>
          <w:p w14:paraId="75087E93">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依法缴纳社会保障资金的证明材料：本项目</w:t>
            </w:r>
            <w:r>
              <w:rPr>
                <w:rFonts w:hint="eastAsia" w:ascii="宋体" w:hAnsi="宋体" w:eastAsia="宋体" w:cs="宋体"/>
                <w:color w:val="auto"/>
                <w:sz w:val="21"/>
                <w:szCs w:val="21"/>
                <w:highlight w:val="none"/>
                <w:lang w:eastAsia="zh-CN"/>
              </w:rPr>
              <w:t>响应截止</w:t>
            </w:r>
            <w:r>
              <w:rPr>
                <w:rFonts w:hint="eastAsia" w:ascii="宋体" w:hAnsi="宋体" w:eastAsia="宋体" w:cs="宋体"/>
                <w:color w:val="auto"/>
                <w:sz w:val="21"/>
                <w:szCs w:val="21"/>
                <w:highlight w:val="none"/>
              </w:rPr>
              <w:t xml:space="preserve">时间时间前 6个月内（至少提供1个月）缴纳社会保险的凭据（专用收据或社会保险交纳清单）； </w:t>
            </w:r>
          </w:p>
          <w:p w14:paraId="398C096A">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为其他组织或自然人的，也需要按此项规定提供缴纳税收的凭据和交纳社会保险的凭据。如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的社会保险为委托第三方代缴，还需同时提供</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与第三方服务机构签署的服务合同（合同中应明确写明第三方为</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代缴其社会保险）。</w:t>
            </w:r>
          </w:p>
          <w:p w14:paraId="7ECA98FF">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bidi="ar-SA"/>
              </w:rPr>
            </w:pPr>
            <w:r>
              <w:rPr>
                <w:rFonts w:hint="eastAsia" w:ascii="宋体" w:hAnsi="宋体" w:eastAsia="宋体" w:cs="宋体"/>
                <w:color w:val="auto"/>
                <w:sz w:val="21"/>
                <w:szCs w:val="21"/>
                <w:highlight w:val="none"/>
              </w:rPr>
              <w:t>依法不需要缴纳社会保障资金的</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，须提供相应文件证明其依法不需要缴纳社会保障资金。</w:t>
            </w:r>
          </w:p>
        </w:tc>
        <w:tc>
          <w:tcPr>
            <w:tcW w:w="1355" w:type="dxa"/>
            <w:shd w:val="clear" w:color="auto" w:fill="auto"/>
            <w:vAlign w:val="center"/>
          </w:tcPr>
          <w:p w14:paraId="53D5BE9C">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2CC20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820" w:type="dxa"/>
            <w:shd w:val="clear" w:color="auto" w:fill="auto"/>
            <w:vAlign w:val="center"/>
          </w:tcPr>
          <w:p w14:paraId="0848BC1A">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1-4</w:t>
            </w:r>
          </w:p>
        </w:tc>
        <w:tc>
          <w:tcPr>
            <w:tcW w:w="1645" w:type="dxa"/>
            <w:shd w:val="clear" w:color="auto" w:fill="auto"/>
            <w:vAlign w:val="center"/>
          </w:tcPr>
          <w:p w14:paraId="4BF90B78">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bidi="ar-SA"/>
              </w:rPr>
            </w:pPr>
            <w:r>
              <w:rPr>
                <w:rFonts w:hint="eastAsia" w:ascii="宋体" w:hAnsi="宋体" w:eastAsia="宋体" w:cs="宋体"/>
                <w:color w:val="auto"/>
                <w:sz w:val="21"/>
                <w:szCs w:val="21"/>
                <w:highlight w:val="none"/>
              </w:rPr>
              <w:t>具有履行合同所必需的设备和专业技术能力</w:t>
            </w:r>
          </w:p>
        </w:tc>
        <w:tc>
          <w:tcPr>
            <w:tcW w:w="5545" w:type="dxa"/>
            <w:shd w:val="clear" w:color="auto" w:fill="auto"/>
            <w:vAlign w:val="center"/>
          </w:tcPr>
          <w:p w14:paraId="4EE865B2">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bidi="ar-SA"/>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履行合同所必须的设备和专业技术能力的证明材料或声明。</w:t>
            </w:r>
          </w:p>
        </w:tc>
        <w:tc>
          <w:tcPr>
            <w:tcW w:w="1355" w:type="dxa"/>
            <w:shd w:val="clear" w:color="auto" w:fill="auto"/>
            <w:vAlign w:val="center"/>
          </w:tcPr>
          <w:p w14:paraId="3CDF388B">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332D7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0" w:hRule="atLeast"/>
          <w:jc w:val="center"/>
        </w:trPr>
        <w:tc>
          <w:tcPr>
            <w:tcW w:w="820" w:type="dxa"/>
            <w:shd w:val="clear" w:color="auto" w:fill="auto"/>
            <w:vAlign w:val="center"/>
          </w:tcPr>
          <w:p w14:paraId="37D79E8A">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1-5</w:t>
            </w:r>
          </w:p>
        </w:tc>
        <w:tc>
          <w:tcPr>
            <w:tcW w:w="1645" w:type="dxa"/>
            <w:shd w:val="clear" w:color="auto" w:fill="auto"/>
            <w:vAlign w:val="center"/>
          </w:tcPr>
          <w:p w14:paraId="23649951">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bidi="ar-SA"/>
              </w:rPr>
            </w:pPr>
            <w:r>
              <w:rPr>
                <w:rFonts w:hint="eastAsia" w:ascii="宋体" w:hAnsi="宋体" w:eastAsia="宋体" w:cs="宋体"/>
                <w:color w:val="auto"/>
                <w:sz w:val="21"/>
                <w:szCs w:val="21"/>
                <w:highlight w:val="none"/>
              </w:rPr>
              <w:t>参加政府采购活动前三年内，在经营活动中没有重大违法记录</w:t>
            </w:r>
          </w:p>
        </w:tc>
        <w:tc>
          <w:tcPr>
            <w:tcW w:w="5545" w:type="dxa"/>
            <w:shd w:val="clear" w:color="auto" w:fill="auto"/>
            <w:vAlign w:val="center"/>
          </w:tcPr>
          <w:p w14:paraId="0566470D">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bidi="ar-SA"/>
              </w:rPr>
            </w:pPr>
            <w:r>
              <w:rPr>
                <w:rFonts w:hint="eastAsia" w:ascii="宋体" w:hAnsi="宋体" w:eastAsia="宋体" w:cs="宋体"/>
                <w:color w:val="auto"/>
                <w:sz w:val="21"/>
                <w:szCs w:val="21"/>
                <w:highlight w:val="none"/>
              </w:rPr>
              <w:t>参加政府采购活动前3年内在经营活动中没有重大违法记录的书面声明。</w:t>
            </w:r>
          </w:p>
        </w:tc>
        <w:tc>
          <w:tcPr>
            <w:tcW w:w="1355" w:type="dxa"/>
            <w:shd w:val="clear" w:color="auto" w:fill="auto"/>
            <w:vAlign w:val="center"/>
          </w:tcPr>
          <w:p w14:paraId="0E254FAF">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45835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90" w:hRule="atLeast"/>
          <w:jc w:val="center"/>
        </w:trPr>
        <w:tc>
          <w:tcPr>
            <w:tcW w:w="820" w:type="dxa"/>
            <w:shd w:val="clear" w:color="auto" w:fill="auto"/>
            <w:vAlign w:val="center"/>
          </w:tcPr>
          <w:p w14:paraId="0F99C38B">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1-6</w:t>
            </w:r>
          </w:p>
        </w:tc>
        <w:tc>
          <w:tcPr>
            <w:tcW w:w="1645" w:type="dxa"/>
            <w:shd w:val="clear" w:color="auto" w:fill="auto"/>
            <w:vAlign w:val="center"/>
          </w:tcPr>
          <w:p w14:paraId="781C06E9">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kern w:val="0"/>
                <w:sz w:val="21"/>
                <w:szCs w:val="21"/>
                <w:highlight w:val="none"/>
                <w:lang w:val="en-US" w:eastAsia="zh-CN" w:bidi="ar"/>
              </w:rPr>
            </w:pPr>
            <w:r>
              <w:rPr>
                <w:rFonts w:hint="eastAsia" w:ascii="宋体" w:hAnsi="宋体" w:eastAsia="宋体" w:cs="宋体"/>
                <w:color w:val="auto"/>
                <w:sz w:val="21"/>
                <w:szCs w:val="21"/>
                <w:highlight w:val="none"/>
              </w:rPr>
              <w:t>未列入失信被执行人、重大税收违法案件当事人名单、政府采购严重违法失信行为记录名单</w:t>
            </w:r>
          </w:p>
        </w:tc>
        <w:tc>
          <w:tcPr>
            <w:tcW w:w="5545" w:type="dxa"/>
            <w:shd w:val="clear" w:color="auto" w:fill="auto"/>
            <w:vAlign w:val="center"/>
          </w:tcPr>
          <w:p w14:paraId="2EF4E77B">
            <w:pPr>
              <w:pStyle w:val="78"/>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kern w:val="0"/>
                <w:sz w:val="21"/>
                <w:szCs w:val="21"/>
                <w:highlight w:val="none"/>
                <w:lang w:val="en-US" w:eastAsia="zh-CN" w:bidi="ar"/>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“信用中国”网站或“中国政府采购网”查询信息：1、未被列入失信被执行人；2、不是重大税收违法案件当事人名单的</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；3、未被列入政府采购严重违法失信行为记录名单。</w:t>
            </w:r>
          </w:p>
        </w:tc>
        <w:tc>
          <w:tcPr>
            <w:tcW w:w="1355" w:type="dxa"/>
            <w:shd w:val="clear" w:color="auto" w:fill="auto"/>
            <w:vAlign w:val="center"/>
          </w:tcPr>
          <w:p w14:paraId="550216C7">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3DEEA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824" w:hRule="atLeast"/>
          <w:jc w:val="center"/>
        </w:trPr>
        <w:tc>
          <w:tcPr>
            <w:tcW w:w="820" w:type="dxa"/>
            <w:shd w:val="clear" w:color="auto" w:fill="auto"/>
            <w:vAlign w:val="center"/>
          </w:tcPr>
          <w:p w14:paraId="63FEDFB2">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1-7</w:t>
            </w:r>
          </w:p>
        </w:tc>
        <w:tc>
          <w:tcPr>
            <w:tcW w:w="1645" w:type="dxa"/>
            <w:shd w:val="clear" w:color="auto" w:fill="auto"/>
            <w:vAlign w:val="center"/>
          </w:tcPr>
          <w:p w14:paraId="1FBA0CE6">
            <w:pPr>
              <w:pStyle w:val="51"/>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法律、行政法规规定的其他条件</w:t>
            </w:r>
          </w:p>
        </w:tc>
        <w:tc>
          <w:tcPr>
            <w:tcW w:w="5545" w:type="dxa"/>
            <w:shd w:val="clear" w:color="auto" w:fill="auto"/>
            <w:vAlign w:val="center"/>
          </w:tcPr>
          <w:p w14:paraId="10ECC0DF">
            <w:pPr>
              <w:pStyle w:val="51"/>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法律、行政法规规定的其他条件</w:t>
            </w:r>
          </w:p>
        </w:tc>
        <w:tc>
          <w:tcPr>
            <w:tcW w:w="1355" w:type="dxa"/>
            <w:shd w:val="clear" w:color="auto" w:fill="auto"/>
            <w:vAlign w:val="center"/>
          </w:tcPr>
          <w:p w14:paraId="36D55E83">
            <w:pPr>
              <w:pStyle w:val="51"/>
              <w:spacing w:line="240" w:lineRule="auto"/>
              <w:jc w:val="center"/>
              <w:rPr>
                <w:rFonts w:hint="eastAsia" w:ascii="宋体" w:hAnsi="宋体" w:eastAsia="宋体" w:cs="宋体"/>
                <w:b/>
                <w:bCs/>
                <w:i w:val="0"/>
                <w:iCs w:val="0"/>
                <w:color w:val="auto"/>
                <w:sz w:val="21"/>
                <w:szCs w:val="21"/>
                <w:highlight w:val="none"/>
              </w:rPr>
            </w:pPr>
          </w:p>
        </w:tc>
      </w:tr>
      <w:tr w14:paraId="749D7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764" w:hRule="atLeast"/>
          <w:jc w:val="center"/>
        </w:trPr>
        <w:tc>
          <w:tcPr>
            <w:tcW w:w="820" w:type="dxa"/>
            <w:shd w:val="clear" w:color="auto" w:fill="auto"/>
            <w:vAlign w:val="center"/>
          </w:tcPr>
          <w:p w14:paraId="7D70709F">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w:t>
            </w:r>
          </w:p>
        </w:tc>
        <w:tc>
          <w:tcPr>
            <w:tcW w:w="1645" w:type="dxa"/>
            <w:shd w:val="clear" w:color="auto" w:fill="auto"/>
            <w:vAlign w:val="center"/>
          </w:tcPr>
          <w:p w14:paraId="1260EC7D">
            <w:pPr>
              <w:pStyle w:val="51"/>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落实政府采购政策需满足的资格要求</w:t>
            </w:r>
          </w:p>
        </w:tc>
        <w:tc>
          <w:tcPr>
            <w:tcW w:w="5545" w:type="dxa"/>
            <w:shd w:val="clear" w:color="auto" w:fill="auto"/>
            <w:vAlign w:val="center"/>
          </w:tcPr>
          <w:p w14:paraId="4A7ED4E2">
            <w:pPr>
              <w:pStyle w:val="51"/>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具体要求见“第一章 竞争性磋商公告”</w:t>
            </w:r>
          </w:p>
        </w:tc>
        <w:tc>
          <w:tcPr>
            <w:tcW w:w="1355" w:type="dxa"/>
            <w:shd w:val="clear" w:color="auto" w:fill="auto"/>
            <w:vAlign w:val="center"/>
          </w:tcPr>
          <w:p w14:paraId="1E9B443D">
            <w:pPr>
              <w:pStyle w:val="51"/>
              <w:spacing w:line="240" w:lineRule="auto"/>
              <w:jc w:val="center"/>
              <w:rPr>
                <w:rFonts w:hint="eastAsia" w:ascii="宋体" w:hAnsi="宋体" w:eastAsia="宋体" w:cs="宋体"/>
                <w:b/>
                <w:bCs/>
                <w:i w:val="0"/>
                <w:iCs w:val="0"/>
                <w:color w:val="auto"/>
                <w:sz w:val="21"/>
                <w:szCs w:val="21"/>
                <w:highlight w:val="none"/>
              </w:rPr>
            </w:pPr>
          </w:p>
        </w:tc>
      </w:tr>
      <w:tr w14:paraId="0E644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518" w:hRule="atLeast"/>
          <w:jc w:val="center"/>
        </w:trPr>
        <w:tc>
          <w:tcPr>
            <w:tcW w:w="820" w:type="dxa"/>
            <w:shd w:val="clear" w:color="auto" w:fill="auto"/>
            <w:vAlign w:val="center"/>
          </w:tcPr>
          <w:p w14:paraId="54E6EEA5">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2-1</w:t>
            </w:r>
          </w:p>
        </w:tc>
        <w:tc>
          <w:tcPr>
            <w:tcW w:w="1645" w:type="dxa"/>
            <w:shd w:val="clear" w:color="auto" w:fill="auto"/>
            <w:vAlign w:val="center"/>
          </w:tcPr>
          <w:p w14:paraId="7D84FF84">
            <w:pPr>
              <w:pStyle w:val="51"/>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中小企业政策</w:t>
            </w:r>
          </w:p>
        </w:tc>
        <w:tc>
          <w:tcPr>
            <w:tcW w:w="5545" w:type="dxa"/>
            <w:shd w:val="clear" w:color="auto" w:fill="auto"/>
            <w:vAlign w:val="center"/>
          </w:tcPr>
          <w:p w14:paraId="492660E3">
            <w:pPr>
              <w:pStyle w:val="51"/>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具体要求见</w:t>
            </w:r>
            <w:r>
              <w:rPr>
                <w:rFonts w:hint="eastAsia" w:ascii="宋体" w:hAnsi="宋体" w:eastAsia="宋体" w:cs="宋体"/>
                <w:i w:val="0"/>
                <w:iCs w:val="0"/>
                <w:color w:val="auto"/>
                <w:sz w:val="21"/>
                <w:szCs w:val="21"/>
                <w:highlight w:val="none"/>
                <w:lang w:val="en-US" w:eastAsia="zh-CN"/>
              </w:rPr>
              <w:t>“第一章 竞争性磋商公告”</w:t>
            </w:r>
          </w:p>
        </w:tc>
        <w:tc>
          <w:tcPr>
            <w:tcW w:w="1355" w:type="dxa"/>
            <w:shd w:val="clear" w:color="auto" w:fill="auto"/>
            <w:vAlign w:val="center"/>
          </w:tcPr>
          <w:p w14:paraId="75D74742">
            <w:pPr>
              <w:pStyle w:val="51"/>
              <w:spacing w:line="240" w:lineRule="auto"/>
              <w:jc w:val="center"/>
              <w:rPr>
                <w:rFonts w:hint="eastAsia" w:ascii="宋体" w:hAnsi="宋体" w:eastAsia="宋体" w:cs="宋体"/>
                <w:b/>
                <w:bCs/>
                <w:i w:val="0"/>
                <w:iCs w:val="0"/>
                <w:color w:val="auto"/>
                <w:sz w:val="21"/>
                <w:szCs w:val="21"/>
                <w:highlight w:val="none"/>
              </w:rPr>
            </w:pPr>
          </w:p>
        </w:tc>
      </w:tr>
      <w:tr w14:paraId="112B2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3968" w:hRule="atLeast"/>
          <w:jc w:val="center"/>
        </w:trPr>
        <w:tc>
          <w:tcPr>
            <w:tcW w:w="820" w:type="dxa"/>
            <w:shd w:val="clear" w:color="auto" w:fill="auto"/>
            <w:vAlign w:val="center"/>
          </w:tcPr>
          <w:p w14:paraId="15321CBF">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2-1-1</w:t>
            </w:r>
          </w:p>
        </w:tc>
        <w:tc>
          <w:tcPr>
            <w:tcW w:w="1645" w:type="dxa"/>
            <w:shd w:val="clear" w:color="auto" w:fill="auto"/>
            <w:vAlign w:val="center"/>
          </w:tcPr>
          <w:p w14:paraId="2C53752D">
            <w:pPr>
              <w:pStyle w:val="51"/>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中小企业证明文件</w:t>
            </w:r>
          </w:p>
        </w:tc>
        <w:tc>
          <w:tcPr>
            <w:tcW w:w="5545" w:type="dxa"/>
            <w:shd w:val="clear" w:color="auto" w:fill="auto"/>
            <w:vAlign w:val="center"/>
          </w:tcPr>
          <w:p w14:paraId="2F3DBD7C">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【当本项目（包）涉及预留份额专门面向中小企业采购，此时建议在《资格证明文件》中提供】</w:t>
            </w:r>
          </w:p>
          <w:p w14:paraId="1F5DB1DF">
            <w:pPr>
              <w:keepNext w:val="0"/>
              <w:keepLines w:val="0"/>
              <w:widowControl/>
              <w:suppressLineNumbers w:val="0"/>
              <w:spacing w:line="240" w:lineRule="auto"/>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1、</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 xml:space="preserve">单独响应的，应提供“中小企业声明函”或“残疾人福利性单位声明函”或由省级以上监狱管理局、戒毒管理局（含新疆生产建设兵团）出具的属于监狱企业的证明文件。 </w:t>
            </w:r>
          </w:p>
          <w:p w14:paraId="6FB49724">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2、</w:t>
            </w:r>
            <w:r>
              <w:rPr>
                <w:rFonts w:hint="eastAsia" w:ascii="宋体" w:hAnsi="宋体" w:eastAsia="宋体" w:cs="宋体"/>
                <w:i w:val="0"/>
                <w:iCs w:val="0"/>
                <w:color w:val="auto"/>
                <w:spacing w:val="-6"/>
                <w:kern w:val="0"/>
                <w:sz w:val="21"/>
                <w:szCs w:val="21"/>
                <w:highlight w:val="none"/>
                <w:lang w:val="en-US" w:eastAsia="zh-CN" w:bidi="ar"/>
              </w:rPr>
              <w:t>如</w:t>
            </w:r>
            <w:r>
              <w:rPr>
                <w:rFonts w:hint="eastAsia" w:ascii="宋体" w:hAnsi="宋体" w:eastAsia="宋体" w:cs="宋体"/>
                <w:i w:val="0"/>
                <w:iCs w:val="0"/>
                <w:color w:val="auto"/>
                <w:sz w:val="21"/>
                <w:szCs w:val="21"/>
                <w:highlight w:val="none"/>
                <w:lang w:val="en-US" w:eastAsia="zh-CN"/>
              </w:rPr>
              <w:t>竞争性磋商</w:t>
            </w:r>
            <w:r>
              <w:rPr>
                <w:rFonts w:hint="eastAsia" w:ascii="宋体" w:hAnsi="宋体" w:eastAsia="宋体" w:cs="宋体"/>
                <w:i w:val="0"/>
                <w:iCs w:val="0"/>
                <w:color w:val="auto"/>
                <w:spacing w:val="-6"/>
                <w:kern w:val="0"/>
                <w:sz w:val="21"/>
                <w:szCs w:val="21"/>
                <w:highlight w:val="none"/>
                <w:lang w:val="en-US" w:eastAsia="zh-CN" w:bidi="ar"/>
              </w:rPr>
              <w:t>文件允许以联合体形式参加或者允许合同分包的，且供应商为联合体或拟进行合同分包的，则联合体中的中小企业、签订分包意向协议书的中小企业具体情况须在“中小企业声明函”或“残疾人福利性单位声明函”或由省级以上监狱管理局、戒毒管理局（含新疆生产建设兵团）出具的属于监狱企业的证明文件中如实填报，且满足</w:t>
            </w:r>
            <w:r>
              <w:rPr>
                <w:rFonts w:hint="eastAsia" w:ascii="宋体" w:hAnsi="宋体" w:eastAsia="宋体" w:cs="宋体"/>
                <w:i w:val="0"/>
                <w:iCs w:val="0"/>
                <w:color w:val="auto"/>
                <w:sz w:val="21"/>
                <w:szCs w:val="21"/>
                <w:highlight w:val="none"/>
                <w:lang w:val="en-US" w:eastAsia="zh-CN"/>
              </w:rPr>
              <w:t>竞争性磋商</w:t>
            </w:r>
            <w:r>
              <w:rPr>
                <w:rFonts w:hint="eastAsia" w:ascii="宋体" w:hAnsi="宋体" w:eastAsia="宋体" w:cs="宋体"/>
                <w:i w:val="0"/>
                <w:iCs w:val="0"/>
                <w:color w:val="auto"/>
                <w:spacing w:val="-6"/>
                <w:kern w:val="0"/>
                <w:sz w:val="21"/>
                <w:szCs w:val="21"/>
                <w:highlight w:val="none"/>
                <w:lang w:val="en-US" w:eastAsia="zh-CN" w:bidi="ar"/>
              </w:rPr>
              <w:t>文件关于预留份额的要求。</w:t>
            </w:r>
          </w:p>
        </w:tc>
        <w:tc>
          <w:tcPr>
            <w:tcW w:w="1355" w:type="dxa"/>
            <w:shd w:val="clear" w:color="auto" w:fill="auto"/>
            <w:vAlign w:val="center"/>
          </w:tcPr>
          <w:p w14:paraId="0FC39B94">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2B7A5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64" w:hRule="atLeast"/>
          <w:jc w:val="center"/>
        </w:trPr>
        <w:tc>
          <w:tcPr>
            <w:tcW w:w="820" w:type="dxa"/>
            <w:shd w:val="clear" w:color="auto" w:fill="auto"/>
            <w:vAlign w:val="center"/>
          </w:tcPr>
          <w:p w14:paraId="3E8E8164">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2-1-2</w:t>
            </w:r>
          </w:p>
        </w:tc>
        <w:tc>
          <w:tcPr>
            <w:tcW w:w="1645" w:type="dxa"/>
            <w:shd w:val="clear" w:color="auto" w:fill="auto"/>
            <w:vAlign w:val="center"/>
          </w:tcPr>
          <w:p w14:paraId="335A1D3C">
            <w:pPr>
              <w:pStyle w:val="51"/>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拟分包情况说明及分包意向协议书</w:t>
            </w:r>
            <w:r>
              <w:rPr>
                <w:rFonts w:hint="eastAsia" w:cs="宋体"/>
                <w:color w:val="auto"/>
                <w:kern w:val="0"/>
                <w:szCs w:val="21"/>
                <w:highlight w:val="none"/>
                <w:lang w:eastAsia="zh-CN" w:bidi="ar"/>
              </w:rPr>
              <w:t>（</w:t>
            </w:r>
            <w:r>
              <w:rPr>
                <w:rFonts w:hint="eastAsia" w:cs="宋体"/>
                <w:color w:val="auto"/>
                <w:kern w:val="0"/>
                <w:szCs w:val="21"/>
                <w:highlight w:val="none"/>
                <w:lang w:val="en-US" w:eastAsia="zh-CN" w:bidi="ar"/>
              </w:rPr>
              <w:t>本项目不适用</w:t>
            </w:r>
            <w:r>
              <w:rPr>
                <w:rFonts w:hint="eastAsia" w:cs="宋体"/>
                <w:color w:val="auto"/>
                <w:kern w:val="0"/>
                <w:szCs w:val="21"/>
                <w:highlight w:val="none"/>
                <w:lang w:eastAsia="zh-CN" w:bidi="ar"/>
              </w:rPr>
              <w:t>）</w:t>
            </w:r>
          </w:p>
        </w:tc>
        <w:tc>
          <w:tcPr>
            <w:tcW w:w="5545" w:type="dxa"/>
            <w:shd w:val="clear" w:color="auto" w:fill="auto"/>
            <w:vAlign w:val="center"/>
          </w:tcPr>
          <w:p w14:paraId="62762905">
            <w:pPr>
              <w:keepNext w:val="0"/>
              <w:keepLines w:val="0"/>
              <w:widowControl/>
              <w:suppressLineNumbers w:val="0"/>
              <w:spacing w:line="240" w:lineRule="auto"/>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如本项目（包）要求通过分包措施预留部分采购份额面向中小企业采购、且</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 xml:space="preserve">因落实政府采购政策拟进行分包的，必须提供；否则无须提供。 </w:t>
            </w:r>
          </w:p>
          <w:p w14:paraId="11B918C7">
            <w:pPr>
              <w:pStyle w:val="51"/>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对于预留份额专门面向中小企业采购的项目（包），组成联合体或者接受分包合同的中小企业与联合体内其他企业、分包企业之间不得存在直接控股、管理关系。</w:t>
            </w:r>
          </w:p>
        </w:tc>
        <w:tc>
          <w:tcPr>
            <w:tcW w:w="1355" w:type="dxa"/>
            <w:shd w:val="clear" w:color="auto" w:fill="auto"/>
            <w:vAlign w:val="center"/>
          </w:tcPr>
          <w:p w14:paraId="06656FEB">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p w14:paraId="06F64FFB">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p>
        </w:tc>
      </w:tr>
      <w:tr w14:paraId="6FE5B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860" w:hRule="atLeast"/>
          <w:jc w:val="center"/>
        </w:trPr>
        <w:tc>
          <w:tcPr>
            <w:tcW w:w="820" w:type="dxa"/>
            <w:shd w:val="clear" w:color="auto" w:fill="auto"/>
            <w:vAlign w:val="center"/>
          </w:tcPr>
          <w:p w14:paraId="47343007">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2-2</w:t>
            </w:r>
          </w:p>
        </w:tc>
        <w:tc>
          <w:tcPr>
            <w:tcW w:w="1645" w:type="dxa"/>
            <w:shd w:val="clear" w:color="auto" w:fill="auto"/>
            <w:vAlign w:val="center"/>
          </w:tcPr>
          <w:p w14:paraId="45A042FB">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spacing w:val="-6"/>
                <w:kern w:val="0"/>
                <w:sz w:val="21"/>
                <w:szCs w:val="21"/>
                <w:highlight w:val="none"/>
                <w:lang w:val="en-US" w:eastAsia="zh-CN" w:bidi="ar"/>
              </w:rPr>
              <w:t>其它落实政府采购政策的资格要求</w:t>
            </w:r>
          </w:p>
        </w:tc>
        <w:tc>
          <w:tcPr>
            <w:tcW w:w="5545" w:type="dxa"/>
            <w:shd w:val="clear" w:color="auto" w:fill="auto"/>
            <w:vAlign w:val="center"/>
          </w:tcPr>
          <w:p w14:paraId="34169742">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如有，见</w:t>
            </w:r>
            <w:r>
              <w:rPr>
                <w:rFonts w:hint="eastAsia" w:ascii="宋体" w:hAnsi="宋体" w:eastAsia="宋体" w:cs="宋体"/>
                <w:i w:val="0"/>
                <w:iCs w:val="0"/>
                <w:color w:val="auto"/>
                <w:sz w:val="21"/>
                <w:szCs w:val="21"/>
                <w:highlight w:val="none"/>
                <w:lang w:val="en-US" w:eastAsia="zh-CN"/>
              </w:rPr>
              <w:t>“第一章 竞争性磋商公告”</w:t>
            </w:r>
          </w:p>
        </w:tc>
        <w:tc>
          <w:tcPr>
            <w:tcW w:w="1355" w:type="dxa"/>
            <w:shd w:val="clear" w:color="auto" w:fill="auto"/>
            <w:vAlign w:val="center"/>
          </w:tcPr>
          <w:p w14:paraId="4432CDD1">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提供证明文件的电子件或电子证照</w:t>
            </w:r>
          </w:p>
        </w:tc>
      </w:tr>
      <w:tr w14:paraId="0E5E7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524" w:hRule="atLeast"/>
          <w:jc w:val="center"/>
        </w:trPr>
        <w:tc>
          <w:tcPr>
            <w:tcW w:w="820" w:type="dxa"/>
            <w:shd w:val="clear" w:color="auto" w:fill="auto"/>
            <w:vAlign w:val="center"/>
          </w:tcPr>
          <w:p w14:paraId="12294255">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3</w:t>
            </w:r>
          </w:p>
        </w:tc>
        <w:tc>
          <w:tcPr>
            <w:tcW w:w="1645" w:type="dxa"/>
            <w:shd w:val="clear" w:color="auto" w:fill="auto"/>
            <w:vAlign w:val="center"/>
          </w:tcPr>
          <w:p w14:paraId="54EFAA2A">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本项目的特定资格要求</w:t>
            </w:r>
          </w:p>
        </w:tc>
        <w:tc>
          <w:tcPr>
            <w:tcW w:w="5545" w:type="dxa"/>
            <w:shd w:val="clear" w:color="auto" w:fill="auto"/>
            <w:vAlign w:val="center"/>
          </w:tcPr>
          <w:p w14:paraId="00A37450">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如有，见</w:t>
            </w:r>
            <w:r>
              <w:rPr>
                <w:rFonts w:hint="eastAsia" w:ascii="宋体" w:hAnsi="宋体" w:eastAsia="宋体" w:cs="宋体"/>
                <w:i w:val="0"/>
                <w:iCs w:val="0"/>
                <w:color w:val="auto"/>
                <w:sz w:val="21"/>
                <w:szCs w:val="21"/>
                <w:highlight w:val="none"/>
                <w:lang w:val="en-US" w:eastAsia="zh-CN"/>
              </w:rPr>
              <w:t>“第一章 竞争性磋商公告”</w:t>
            </w:r>
          </w:p>
        </w:tc>
        <w:tc>
          <w:tcPr>
            <w:tcW w:w="1355" w:type="dxa"/>
            <w:shd w:val="clear" w:color="auto" w:fill="auto"/>
            <w:vAlign w:val="center"/>
          </w:tcPr>
          <w:p w14:paraId="156F7E34">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p>
        </w:tc>
      </w:tr>
      <w:tr w14:paraId="3319C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454" w:hRule="atLeast"/>
          <w:jc w:val="center"/>
        </w:trPr>
        <w:tc>
          <w:tcPr>
            <w:tcW w:w="820" w:type="dxa"/>
            <w:shd w:val="clear" w:color="auto" w:fill="auto"/>
            <w:vAlign w:val="center"/>
          </w:tcPr>
          <w:p w14:paraId="397933C2">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3-1</w:t>
            </w:r>
          </w:p>
        </w:tc>
        <w:tc>
          <w:tcPr>
            <w:tcW w:w="1645" w:type="dxa"/>
            <w:shd w:val="clear" w:color="auto" w:fill="auto"/>
            <w:vAlign w:val="center"/>
          </w:tcPr>
          <w:p w14:paraId="7F226DD1">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本项目对于联合体的要求</w:t>
            </w:r>
            <w:r>
              <w:rPr>
                <w:rFonts w:hint="eastAsia" w:cs="宋体"/>
                <w:color w:val="auto"/>
                <w:kern w:val="0"/>
                <w:szCs w:val="21"/>
                <w:highlight w:val="none"/>
                <w:lang w:eastAsia="zh-CN" w:bidi="ar"/>
              </w:rPr>
              <w:t>（</w:t>
            </w:r>
            <w:r>
              <w:rPr>
                <w:rFonts w:hint="eastAsia" w:cs="宋体"/>
                <w:color w:val="auto"/>
                <w:kern w:val="0"/>
                <w:szCs w:val="21"/>
                <w:highlight w:val="none"/>
                <w:lang w:val="en-US" w:eastAsia="zh-CN" w:bidi="ar"/>
              </w:rPr>
              <w:t>本项目不适用</w:t>
            </w:r>
            <w:r>
              <w:rPr>
                <w:rFonts w:hint="eastAsia" w:cs="宋体"/>
                <w:color w:val="auto"/>
                <w:kern w:val="0"/>
                <w:szCs w:val="21"/>
                <w:highlight w:val="none"/>
                <w:lang w:eastAsia="zh-CN" w:bidi="ar"/>
              </w:rPr>
              <w:t>）</w:t>
            </w:r>
          </w:p>
        </w:tc>
        <w:tc>
          <w:tcPr>
            <w:tcW w:w="5545" w:type="dxa"/>
            <w:shd w:val="clear" w:color="auto" w:fill="auto"/>
            <w:vAlign w:val="center"/>
          </w:tcPr>
          <w:p w14:paraId="71F764B8">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1、如本项目接受联合体磋商，且</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 xml:space="preserve">为联合体时必须提供《联合体协议书》，明确各方拟承担的工作和责任，并指定联合体牵头人，授权其代表所有联合体成员负责本项目磋商和合同实施阶段的牵头、协调工作。该联合体协议书应当作为响应文件的组成部分，与响应文件其他内容同时递交。 </w:t>
            </w:r>
          </w:p>
          <w:p w14:paraId="517DB6B7">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2、联合体各成员单位均须提供本表中序号1-1、1-2 的证明文件。联合体各成员单位均应满足本表 1-3 及 1-4 项规定。 </w:t>
            </w:r>
          </w:p>
          <w:p w14:paraId="75AA7FA6">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3、</w:t>
            </w:r>
            <w:r>
              <w:rPr>
                <w:rFonts w:hint="eastAsia" w:ascii="宋体" w:hAnsi="宋体" w:eastAsia="宋体" w:cs="宋体"/>
                <w:i w:val="0"/>
                <w:iCs w:val="0"/>
                <w:color w:val="auto"/>
                <w:spacing w:val="-6"/>
                <w:kern w:val="0"/>
                <w:sz w:val="21"/>
                <w:szCs w:val="21"/>
                <w:highlight w:val="none"/>
                <w:lang w:val="en-US" w:eastAsia="zh-CN" w:bidi="ar"/>
              </w:rPr>
              <w:t xml:space="preserve">本表序号 </w:t>
            </w:r>
            <w:r>
              <w:rPr>
                <w:rFonts w:hint="eastAsia" w:ascii="宋体" w:hAnsi="宋体" w:eastAsia="宋体" w:cs="宋体"/>
                <w:i w:val="0"/>
                <w:iCs w:val="0"/>
                <w:color w:val="auto"/>
                <w:kern w:val="0"/>
                <w:sz w:val="21"/>
                <w:szCs w:val="21"/>
                <w:highlight w:val="none"/>
                <w:lang w:val="en-US" w:eastAsia="zh-CN" w:bidi="ar"/>
              </w:rPr>
              <w:t xml:space="preserve">3-2 及 </w:t>
            </w:r>
            <w:r>
              <w:rPr>
                <w:rFonts w:hint="eastAsia" w:ascii="宋体" w:hAnsi="宋体" w:eastAsia="宋体" w:cs="宋体"/>
                <w:i w:val="0"/>
                <w:iCs w:val="0"/>
                <w:color w:val="auto"/>
                <w:spacing w:val="-6"/>
                <w:kern w:val="0"/>
                <w:sz w:val="21"/>
                <w:szCs w:val="21"/>
                <w:highlight w:val="none"/>
                <w:lang w:val="en-US" w:eastAsia="zh-CN" w:bidi="ar"/>
              </w:rPr>
              <w:t>3-3 项规定的其他特定资格要求中的每一小项要求，按照《联合体协议书》的分工，联合体各方应具备承担工作所需的特定资格要求并提供证明材料。</w:t>
            </w:r>
            <w:r>
              <w:rPr>
                <w:rFonts w:hint="eastAsia" w:ascii="宋体" w:hAnsi="宋体" w:eastAsia="宋体" w:cs="宋体"/>
                <w:i w:val="0"/>
                <w:iCs w:val="0"/>
                <w:color w:val="auto"/>
                <w:kern w:val="0"/>
                <w:sz w:val="21"/>
                <w:szCs w:val="21"/>
                <w:highlight w:val="none"/>
                <w:lang w:val="en-US" w:eastAsia="zh-CN" w:bidi="ar"/>
              </w:rPr>
              <w:t xml:space="preserve"> </w:t>
            </w:r>
          </w:p>
          <w:p w14:paraId="6C940A5D">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4、联合体中有同类资质的供应商按照联合体分工承担相同工作的，应当按照资质等级较低的供应商确定资质等级。 </w:t>
            </w:r>
          </w:p>
          <w:p w14:paraId="44D93A1E">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5、以联合体形式参加政府采购活动的，联合体各方不得再单独参加或者与其他供应商另外组成联合体参加同一合同项下的政府采购活动。 </w:t>
            </w:r>
          </w:p>
          <w:p w14:paraId="7D878FCE">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6、若联合体中任一成员单位中途退出，则该联合体的响应无效。 </w:t>
            </w:r>
          </w:p>
          <w:p w14:paraId="4FF9B429">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7、本项目不接受联合体磋商时，</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不得为联合体。</w:t>
            </w:r>
          </w:p>
        </w:tc>
        <w:tc>
          <w:tcPr>
            <w:tcW w:w="1355" w:type="dxa"/>
            <w:shd w:val="clear" w:color="auto" w:fill="auto"/>
            <w:vAlign w:val="center"/>
          </w:tcPr>
          <w:p w14:paraId="599BE434">
            <w:pPr>
              <w:pStyle w:val="51"/>
              <w:spacing w:line="240" w:lineRule="auto"/>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提供《联合体协议书》原件的电子件 </w:t>
            </w:r>
          </w:p>
          <w:p w14:paraId="76D91C9A">
            <w:pPr>
              <w:pStyle w:val="51"/>
              <w:spacing w:line="240" w:lineRule="auto"/>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67508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454" w:hRule="atLeast"/>
          <w:jc w:val="center"/>
        </w:trPr>
        <w:tc>
          <w:tcPr>
            <w:tcW w:w="820" w:type="dxa"/>
            <w:shd w:val="clear" w:color="auto" w:fill="auto"/>
            <w:vAlign w:val="center"/>
          </w:tcPr>
          <w:p w14:paraId="777E2B93">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3-2</w:t>
            </w:r>
          </w:p>
        </w:tc>
        <w:tc>
          <w:tcPr>
            <w:tcW w:w="1645" w:type="dxa"/>
            <w:shd w:val="clear" w:color="auto" w:fill="auto"/>
            <w:vAlign w:val="center"/>
          </w:tcPr>
          <w:p w14:paraId="051DCADA">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政府购买服务承接主体的要求</w:t>
            </w:r>
            <w:r>
              <w:rPr>
                <w:rFonts w:hint="eastAsia" w:cs="宋体"/>
                <w:color w:val="auto"/>
                <w:kern w:val="0"/>
                <w:szCs w:val="21"/>
                <w:highlight w:val="none"/>
                <w:lang w:eastAsia="zh-CN" w:bidi="ar"/>
              </w:rPr>
              <w:t>（</w:t>
            </w:r>
            <w:r>
              <w:rPr>
                <w:rFonts w:hint="eastAsia" w:cs="宋体"/>
                <w:color w:val="auto"/>
                <w:kern w:val="0"/>
                <w:szCs w:val="21"/>
                <w:highlight w:val="none"/>
                <w:lang w:val="en-US" w:eastAsia="zh-CN" w:bidi="ar"/>
              </w:rPr>
              <w:t>本项目不适用</w:t>
            </w:r>
            <w:r>
              <w:rPr>
                <w:rFonts w:hint="eastAsia" w:cs="宋体"/>
                <w:color w:val="auto"/>
                <w:kern w:val="0"/>
                <w:szCs w:val="21"/>
                <w:highlight w:val="none"/>
                <w:lang w:eastAsia="zh-CN" w:bidi="ar"/>
              </w:rPr>
              <w:t>）</w:t>
            </w:r>
          </w:p>
        </w:tc>
        <w:tc>
          <w:tcPr>
            <w:tcW w:w="5545" w:type="dxa"/>
            <w:shd w:val="clear" w:color="auto" w:fill="auto"/>
            <w:vAlign w:val="center"/>
          </w:tcPr>
          <w:p w14:paraId="0FD94462">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如本项目属于政府购买服务，</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不属于公益一类事业单位、使用事业编制且由财政拨款保障的群团组织。</w:t>
            </w:r>
          </w:p>
        </w:tc>
        <w:tc>
          <w:tcPr>
            <w:tcW w:w="1355" w:type="dxa"/>
            <w:shd w:val="clear" w:color="auto" w:fill="auto"/>
            <w:vAlign w:val="center"/>
          </w:tcPr>
          <w:p w14:paraId="0A438944">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提供证明文件的电子件或电子证照</w:t>
            </w:r>
          </w:p>
        </w:tc>
      </w:tr>
      <w:tr w14:paraId="07EA4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454" w:hRule="atLeast"/>
          <w:jc w:val="center"/>
        </w:trPr>
        <w:tc>
          <w:tcPr>
            <w:tcW w:w="820" w:type="dxa"/>
            <w:shd w:val="clear" w:color="auto" w:fill="auto"/>
            <w:vAlign w:val="center"/>
          </w:tcPr>
          <w:p w14:paraId="532F2E39">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3-3</w:t>
            </w:r>
          </w:p>
        </w:tc>
        <w:tc>
          <w:tcPr>
            <w:tcW w:w="1645" w:type="dxa"/>
            <w:shd w:val="clear" w:color="auto" w:fill="auto"/>
            <w:vAlign w:val="center"/>
          </w:tcPr>
          <w:p w14:paraId="542E22A5">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其他特定资格要求</w:t>
            </w:r>
          </w:p>
        </w:tc>
        <w:tc>
          <w:tcPr>
            <w:tcW w:w="5545" w:type="dxa"/>
            <w:shd w:val="clear" w:color="auto" w:fill="auto"/>
            <w:vAlign w:val="center"/>
          </w:tcPr>
          <w:p w14:paraId="22041818">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如有，见</w:t>
            </w:r>
            <w:r>
              <w:rPr>
                <w:rFonts w:hint="eastAsia" w:ascii="宋体" w:hAnsi="宋体" w:eastAsia="宋体" w:cs="宋体"/>
                <w:i w:val="0"/>
                <w:iCs w:val="0"/>
                <w:color w:val="auto"/>
                <w:sz w:val="21"/>
                <w:szCs w:val="21"/>
                <w:highlight w:val="none"/>
                <w:lang w:val="en-US" w:eastAsia="zh-CN"/>
              </w:rPr>
              <w:t>“第一章 竞争性磋商公告”</w:t>
            </w:r>
          </w:p>
        </w:tc>
        <w:tc>
          <w:tcPr>
            <w:tcW w:w="1355" w:type="dxa"/>
            <w:shd w:val="clear" w:color="auto" w:fill="auto"/>
            <w:vAlign w:val="center"/>
          </w:tcPr>
          <w:p w14:paraId="3396FB3B">
            <w:pPr>
              <w:pStyle w:val="51"/>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提供证明文件的电子件或电子证照</w:t>
            </w:r>
          </w:p>
        </w:tc>
      </w:tr>
    </w:tbl>
    <w:p w14:paraId="384166CD">
      <w:pPr>
        <w:keepNext w:val="0"/>
        <w:keepLines w:val="0"/>
        <w:pageBreakBefore w:val="0"/>
        <w:widowControl w:val="0"/>
        <w:kinsoku/>
        <w:overflowPunct/>
        <w:topLinePunct w:val="0"/>
        <w:autoSpaceDE/>
        <w:autoSpaceDN/>
        <w:bidi w:val="0"/>
        <w:adjustRightInd/>
        <w:snapToGrid/>
        <w:spacing w:line="420" w:lineRule="exact"/>
        <w:textAlignment w:val="auto"/>
        <w:rPr>
          <w:b/>
          <w:bCs/>
          <w:i w:val="0"/>
          <w:iCs w:val="0"/>
          <w:color w:val="auto"/>
          <w:sz w:val="21"/>
          <w:szCs w:val="21"/>
          <w:highlight w:val="none"/>
        </w:rPr>
      </w:pPr>
      <w:r>
        <w:rPr>
          <w:rFonts w:hint="eastAsia"/>
          <w:b/>
          <w:bCs/>
          <w:i w:val="0"/>
          <w:iCs w:val="0"/>
          <w:color w:val="auto"/>
          <w:sz w:val="21"/>
          <w:szCs w:val="21"/>
          <w:highlight w:val="none"/>
        </w:rPr>
        <w:t>备注：</w:t>
      </w:r>
    </w:p>
    <w:p w14:paraId="059FB921">
      <w:pPr>
        <w:pStyle w:val="44"/>
        <w:keepNext w:val="0"/>
        <w:keepLines w:val="0"/>
        <w:pageBreakBefore w:val="0"/>
        <w:widowControl w:val="0"/>
        <w:kinsoku/>
        <w:overflowPunct/>
        <w:topLinePunct w:val="0"/>
        <w:autoSpaceDE/>
        <w:autoSpaceDN/>
        <w:bidi w:val="0"/>
        <w:adjustRightInd/>
        <w:snapToGrid/>
        <w:spacing w:line="420" w:lineRule="exact"/>
        <w:ind w:firstLine="480"/>
        <w:textAlignment w:val="auto"/>
        <w:rPr>
          <w:i w:val="0"/>
          <w:iCs w:val="0"/>
          <w:color w:val="auto"/>
          <w:sz w:val="21"/>
          <w:szCs w:val="21"/>
          <w:highlight w:val="none"/>
        </w:rPr>
      </w:pPr>
      <w:r>
        <w:rPr>
          <w:i w:val="0"/>
          <w:iCs w:val="0"/>
          <w:color w:val="auto"/>
          <w:sz w:val="21"/>
          <w:szCs w:val="21"/>
          <w:highlight w:val="none"/>
        </w:rPr>
        <w:t>1.</w:t>
      </w:r>
      <w:r>
        <w:rPr>
          <w:rFonts w:hint="eastAsia"/>
          <w:i w:val="0"/>
          <w:iCs w:val="0"/>
          <w:color w:val="auto"/>
          <w:sz w:val="21"/>
          <w:szCs w:val="21"/>
          <w:highlight w:val="none"/>
          <w:lang w:eastAsia="zh-CN"/>
        </w:rPr>
        <w:t>供应商须按上表格式要求提供相关证明文件</w:t>
      </w:r>
      <w:r>
        <w:rPr>
          <w:rFonts w:hint="eastAsia"/>
          <w:i w:val="0"/>
          <w:iCs w:val="0"/>
          <w:color w:val="auto"/>
          <w:sz w:val="21"/>
          <w:szCs w:val="21"/>
          <w:highlight w:val="none"/>
        </w:rPr>
        <w:t>，响应文件中须编入清晰的扫描件或网页截图。所有证明材料须清晰可辨认，如因证明材料模糊无法辨认，缺页、漏页导致无法进行评审认定的</w:t>
      </w:r>
      <w:r>
        <w:rPr>
          <w:rFonts w:hint="eastAsia"/>
          <w:i w:val="0"/>
          <w:iCs w:val="0"/>
          <w:color w:val="auto"/>
          <w:sz w:val="21"/>
          <w:szCs w:val="21"/>
          <w:highlight w:val="none"/>
          <w:lang w:eastAsia="zh-CN"/>
        </w:rPr>
        <w:t>，</w:t>
      </w:r>
      <w:r>
        <w:rPr>
          <w:rFonts w:hint="eastAsia"/>
          <w:i w:val="0"/>
          <w:iCs w:val="0"/>
          <w:color w:val="auto"/>
          <w:sz w:val="21"/>
          <w:szCs w:val="21"/>
          <w:highlight w:val="none"/>
        </w:rPr>
        <w:t>责任由供应商</w:t>
      </w:r>
      <w:r>
        <w:rPr>
          <w:rFonts w:hint="eastAsia"/>
          <w:i w:val="0"/>
          <w:iCs w:val="0"/>
          <w:color w:val="auto"/>
          <w:sz w:val="21"/>
          <w:szCs w:val="21"/>
          <w:highlight w:val="none"/>
          <w:lang w:val="en-US" w:eastAsia="zh-CN"/>
        </w:rPr>
        <w:t>承担</w:t>
      </w:r>
      <w:r>
        <w:rPr>
          <w:rFonts w:hint="eastAsia"/>
          <w:i w:val="0"/>
          <w:iCs w:val="0"/>
          <w:color w:val="auto"/>
          <w:sz w:val="21"/>
          <w:szCs w:val="21"/>
          <w:highlight w:val="none"/>
        </w:rPr>
        <w:t>。</w:t>
      </w:r>
    </w:p>
    <w:p w14:paraId="2E303F51">
      <w:pPr>
        <w:pStyle w:val="44"/>
        <w:keepNext w:val="0"/>
        <w:keepLines w:val="0"/>
        <w:pageBreakBefore w:val="0"/>
        <w:widowControl w:val="0"/>
        <w:numPr>
          <w:ilvl w:val="0"/>
          <w:numId w:val="0"/>
        </w:numPr>
        <w:kinsoku/>
        <w:overflowPunct/>
        <w:topLinePunct w:val="0"/>
        <w:autoSpaceDE/>
        <w:autoSpaceDN/>
        <w:bidi w:val="0"/>
        <w:adjustRightInd/>
        <w:snapToGrid/>
        <w:spacing w:line="420" w:lineRule="exact"/>
        <w:ind w:firstLine="420" w:firstLineChars="200"/>
        <w:textAlignment w:val="auto"/>
        <w:rPr>
          <w:i w:val="0"/>
          <w:iCs w:val="0"/>
          <w:color w:val="auto"/>
          <w:sz w:val="21"/>
          <w:szCs w:val="21"/>
          <w:highlight w:val="none"/>
        </w:rPr>
      </w:pPr>
      <w:r>
        <w:rPr>
          <w:rFonts w:ascii="宋体" w:hAnsi="宋体" w:eastAsia="宋体" w:cstheme="minorBidi"/>
          <w:i w:val="0"/>
          <w:iCs w:val="0"/>
          <w:color w:val="auto"/>
          <w:kern w:val="2"/>
          <w:sz w:val="21"/>
          <w:szCs w:val="21"/>
          <w:highlight w:val="none"/>
          <w:lang w:val="en-US" w:eastAsia="zh-CN" w:bidi="ar-SA"/>
        </w:rPr>
        <w:t>2.</w:t>
      </w:r>
      <w:r>
        <w:rPr>
          <w:rFonts w:hint="eastAsia"/>
          <w:i w:val="0"/>
          <w:iCs w:val="0"/>
          <w:color w:val="auto"/>
          <w:sz w:val="21"/>
          <w:szCs w:val="21"/>
          <w:highlight w:val="none"/>
          <w:lang w:val="zh-CN"/>
        </w:rPr>
        <w:t>信用信息核</w:t>
      </w:r>
      <w:r>
        <w:rPr>
          <w:rFonts w:hint="eastAsia"/>
          <w:i w:val="0"/>
          <w:iCs w:val="0"/>
          <w:color w:val="auto"/>
          <w:sz w:val="21"/>
          <w:szCs w:val="21"/>
          <w:highlight w:val="none"/>
        </w:rPr>
        <w:t>查</w:t>
      </w:r>
    </w:p>
    <w:p w14:paraId="16D3291E">
      <w:pPr>
        <w:pStyle w:val="40"/>
        <w:keepNext w:val="0"/>
        <w:keepLines w:val="0"/>
        <w:pageBreakBefore w:val="0"/>
        <w:widowControl w:val="0"/>
        <w:kinsoku/>
        <w:overflowPunct/>
        <w:topLinePunct w:val="0"/>
        <w:autoSpaceDE/>
        <w:autoSpaceDN/>
        <w:bidi w:val="0"/>
        <w:adjustRightInd/>
        <w:snapToGrid/>
        <w:spacing w:line="420" w:lineRule="exact"/>
        <w:ind w:firstLine="480"/>
        <w:textAlignment w:val="auto"/>
        <w:rPr>
          <w:i w:val="0"/>
          <w:iCs w:val="0"/>
          <w:color w:val="auto"/>
          <w:sz w:val="21"/>
          <w:szCs w:val="21"/>
          <w:highlight w:val="none"/>
        </w:rPr>
      </w:pPr>
      <w:r>
        <w:rPr>
          <w:rFonts w:hint="eastAsia"/>
          <w:i w:val="0"/>
          <w:iCs w:val="0"/>
          <w:color w:val="auto"/>
          <w:sz w:val="21"/>
          <w:szCs w:val="21"/>
          <w:highlight w:val="none"/>
        </w:rPr>
        <w:t>2.1资格审查</w:t>
      </w:r>
      <w:r>
        <w:rPr>
          <w:rFonts w:hint="eastAsia"/>
          <w:i w:val="0"/>
          <w:iCs w:val="0"/>
          <w:color w:val="auto"/>
          <w:sz w:val="21"/>
          <w:szCs w:val="21"/>
          <w:highlight w:val="none"/>
          <w:lang w:eastAsia="zh-CN"/>
        </w:rPr>
        <w:t>阶段</w:t>
      </w:r>
      <w:r>
        <w:rPr>
          <w:rFonts w:hint="eastAsia"/>
          <w:i w:val="0"/>
          <w:iCs w:val="0"/>
          <w:color w:val="auto"/>
          <w:sz w:val="21"/>
          <w:szCs w:val="21"/>
          <w:highlight w:val="none"/>
        </w:rPr>
        <w:t>应当核查供应商信用记录，供应商被列入失信被执行人、重大税收违法失信主体、政府采购严重违法失信行为记录名单的，采购</w:t>
      </w:r>
      <w:r>
        <w:rPr>
          <w:rFonts w:hint="eastAsia"/>
          <w:i w:val="0"/>
          <w:iCs w:val="0"/>
          <w:color w:val="auto"/>
          <w:sz w:val="21"/>
          <w:szCs w:val="21"/>
          <w:highlight w:val="none"/>
          <w:lang w:val="en-US" w:eastAsia="zh-CN"/>
        </w:rPr>
        <w:t>人</w:t>
      </w:r>
      <w:r>
        <w:rPr>
          <w:rFonts w:hint="eastAsia"/>
          <w:i w:val="0"/>
          <w:iCs w:val="0"/>
          <w:color w:val="auto"/>
          <w:sz w:val="21"/>
          <w:szCs w:val="21"/>
          <w:highlight w:val="none"/>
        </w:rPr>
        <w:t>拒绝其参与政府采购活动。</w:t>
      </w:r>
    </w:p>
    <w:p w14:paraId="0097155B">
      <w:pPr>
        <w:pStyle w:val="40"/>
        <w:keepNext w:val="0"/>
        <w:keepLines w:val="0"/>
        <w:pageBreakBefore w:val="0"/>
        <w:widowControl w:val="0"/>
        <w:kinsoku/>
        <w:overflowPunct/>
        <w:topLinePunct w:val="0"/>
        <w:autoSpaceDE/>
        <w:autoSpaceDN/>
        <w:bidi w:val="0"/>
        <w:adjustRightInd/>
        <w:snapToGrid/>
        <w:spacing w:line="420" w:lineRule="exact"/>
        <w:ind w:firstLine="480"/>
        <w:textAlignment w:val="auto"/>
        <w:rPr>
          <w:i w:val="0"/>
          <w:iCs w:val="0"/>
          <w:color w:val="auto"/>
          <w:sz w:val="21"/>
          <w:szCs w:val="21"/>
          <w:highlight w:val="none"/>
        </w:rPr>
      </w:pPr>
      <w:r>
        <w:rPr>
          <w:rFonts w:hint="eastAsia"/>
          <w:i w:val="0"/>
          <w:iCs w:val="0"/>
          <w:color w:val="auto"/>
          <w:sz w:val="21"/>
          <w:szCs w:val="21"/>
          <w:highlight w:val="none"/>
        </w:rPr>
        <w:t>2.2以联合体形式参与磋商的，应当核查联合体所有成员和信用记录，联合体成员存在不良信用记录的，视同联合体存在不良信用信息。</w:t>
      </w:r>
    </w:p>
    <w:p w14:paraId="610C3A38">
      <w:pPr>
        <w:pStyle w:val="44"/>
        <w:keepNext w:val="0"/>
        <w:keepLines w:val="0"/>
        <w:pageBreakBefore w:val="0"/>
        <w:widowControl w:val="0"/>
        <w:numPr>
          <w:ilvl w:val="0"/>
          <w:numId w:val="0"/>
        </w:numPr>
        <w:kinsoku/>
        <w:overflowPunct/>
        <w:topLinePunct w:val="0"/>
        <w:autoSpaceDE/>
        <w:autoSpaceDN/>
        <w:bidi w:val="0"/>
        <w:adjustRightInd/>
        <w:snapToGrid/>
        <w:spacing w:line="420" w:lineRule="exact"/>
        <w:ind w:firstLine="420" w:firstLineChars="200"/>
        <w:textAlignment w:val="auto"/>
        <w:rPr>
          <w:rFonts w:hint="eastAsia"/>
          <w:i w:val="0"/>
          <w:iCs w:val="0"/>
          <w:color w:val="auto"/>
          <w:sz w:val="21"/>
          <w:szCs w:val="21"/>
          <w:highlight w:val="none"/>
        </w:rPr>
      </w:pPr>
      <w:r>
        <w:rPr>
          <w:rFonts w:ascii="宋体" w:hAnsi="宋体" w:eastAsia="宋体" w:cstheme="minorBidi"/>
          <w:i w:val="0"/>
          <w:iCs w:val="0"/>
          <w:color w:val="auto"/>
          <w:kern w:val="2"/>
          <w:sz w:val="21"/>
          <w:szCs w:val="21"/>
          <w:highlight w:val="none"/>
          <w:lang w:val="en-US" w:eastAsia="zh-CN" w:bidi="ar-SA"/>
        </w:rPr>
        <w:t>3.</w:t>
      </w:r>
      <w:r>
        <w:rPr>
          <w:rFonts w:hint="eastAsia"/>
          <w:i w:val="0"/>
          <w:iCs w:val="0"/>
          <w:color w:val="auto"/>
          <w:sz w:val="21"/>
          <w:szCs w:val="21"/>
          <w:highlight w:val="none"/>
        </w:rPr>
        <w:t>对于响应文件中有任意一条不满足上表要求的</w:t>
      </w:r>
      <w:r>
        <w:rPr>
          <w:rFonts w:hint="eastAsia"/>
          <w:i w:val="0"/>
          <w:iCs w:val="0"/>
          <w:color w:val="auto"/>
          <w:sz w:val="21"/>
          <w:szCs w:val="21"/>
          <w:highlight w:val="none"/>
          <w:lang w:eastAsia="zh-CN"/>
        </w:rPr>
        <w:t>，</w:t>
      </w:r>
      <w:r>
        <w:rPr>
          <w:rFonts w:hint="eastAsia"/>
          <w:i w:val="0"/>
          <w:iCs w:val="0"/>
          <w:color w:val="auto"/>
          <w:sz w:val="21"/>
          <w:szCs w:val="21"/>
          <w:highlight w:val="none"/>
        </w:rPr>
        <w:t>将导致其</w:t>
      </w:r>
      <w:r>
        <w:rPr>
          <w:rFonts w:hint="eastAsia"/>
          <w:b/>
          <w:bCs/>
          <w:i w:val="0"/>
          <w:iCs w:val="0"/>
          <w:color w:val="auto"/>
          <w:sz w:val="21"/>
          <w:szCs w:val="21"/>
          <w:highlight w:val="none"/>
        </w:rPr>
        <w:t>响应无效</w:t>
      </w:r>
      <w:r>
        <w:rPr>
          <w:rFonts w:hint="eastAsia"/>
          <w:i w:val="0"/>
          <w:iCs w:val="0"/>
          <w:color w:val="auto"/>
          <w:sz w:val="21"/>
          <w:szCs w:val="21"/>
          <w:highlight w:val="none"/>
        </w:rPr>
        <w:t>，不</w:t>
      </w:r>
      <w:r>
        <w:rPr>
          <w:rFonts w:hint="eastAsia"/>
          <w:i w:val="0"/>
          <w:iCs w:val="0"/>
          <w:color w:val="auto"/>
          <w:sz w:val="21"/>
          <w:szCs w:val="21"/>
          <w:highlight w:val="none"/>
          <w:lang w:val="en-US" w:eastAsia="zh-CN"/>
        </w:rPr>
        <w:t>得</w:t>
      </w:r>
      <w:r>
        <w:rPr>
          <w:rFonts w:hint="eastAsia"/>
          <w:i w:val="0"/>
          <w:iCs w:val="0"/>
          <w:color w:val="auto"/>
          <w:sz w:val="21"/>
          <w:szCs w:val="21"/>
          <w:highlight w:val="none"/>
        </w:rPr>
        <w:t>进入下一项评审。</w:t>
      </w:r>
    </w:p>
    <w:p w14:paraId="1D265A98">
      <w:pPr>
        <w:rPr>
          <w:rFonts w:hint="eastAsia"/>
          <w:i w:val="0"/>
          <w:iCs w:val="0"/>
          <w:color w:val="auto"/>
          <w:highlight w:val="none"/>
        </w:rPr>
      </w:pPr>
      <w:r>
        <w:rPr>
          <w:rFonts w:hint="eastAsia"/>
          <w:i w:val="0"/>
          <w:iCs w:val="0"/>
          <w:color w:val="auto"/>
          <w:highlight w:val="none"/>
        </w:rPr>
        <w:br w:type="page"/>
      </w:r>
    </w:p>
    <w:p w14:paraId="4CBE3BC8">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48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78" w:name="_Toc163493639"/>
      <w:bookmarkStart w:id="479" w:name="_Toc4949"/>
      <w:r>
        <w:rPr>
          <w:rFonts w:hint="eastAsia" w:ascii="宋体" w:hAnsi="宋体" w:eastAsia="宋体" w:cs="宋体"/>
          <w:b/>
          <w:bCs/>
          <w:i w:val="0"/>
          <w:iCs w:val="0"/>
          <w:color w:val="auto"/>
          <w:kern w:val="2"/>
          <w:sz w:val="24"/>
          <w:szCs w:val="24"/>
          <w:highlight w:val="none"/>
          <w:lang w:val="en-US" w:eastAsia="zh-CN" w:bidi="ar-SA"/>
        </w:rPr>
        <w:t>（二）</w:t>
      </w:r>
      <w:r>
        <w:rPr>
          <w:rFonts w:hint="eastAsia" w:ascii="宋体" w:hAnsi="宋体" w:eastAsia="宋体" w:cs="宋体"/>
          <w:b/>
          <w:bCs/>
          <w:i w:val="0"/>
          <w:iCs w:val="0"/>
          <w:color w:val="auto"/>
          <w:kern w:val="2"/>
          <w:sz w:val="24"/>
          <w:szCs w:val="24"/>
          <w:highlight w:val="none"/>
          <w:lang w:val="zh-CN" w:eastAsia="zh-CN" w:bidi="ar-SA"/>
        </w:rPr>
        <w:t>符合性审查表</w:t>
      </w:r>
      <w:bookmarkEnd w:id="477"/>
      <w:bookmarkEnd w:id="478"/>
      <w:bookmarkEnd w:id="479"/>
    </w:p>
    <w:tbl>
      <w:tblPr>
        <w:tblStyle w:val="32"/>
        <w:tblW w:w="9251" w:type="dxa"/>
        <w:tblInd w:w="-34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509"/>
        <w:gridCol w:w="1303"/>
        <w:gridCol w:w="5485"/>
        <w:gridCol w:w="866"/>
        <w:gridCol w:w="1088"/>
      </w:tblGrid>
      <w:tr w14:paraId="3F0A0C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83" w:hRule="atLeast"/>
        </w:trPr>
        <w:tc>
          <w:tcPr>
            <w:tcW w:w="509" w:type="dxa"/>
            <w:vMerge w:val="restart"/>
            <w:shd w:val="clear" w:color="auto" w:fill="auto"/>
            <w:vAlign w:val="center"/>
          </w:tcPr>
          <w:p w14:paraId="6A1E72A4">
            <w:pPr>
              <w:pStyle w:val="51"/>
              <w:spacing w:line="240" w:lineRule="auto"/>
              <w:jc w:val="center"/>
              <w:rPr>
                <w:rFonts w:hint="eastAsia" w:ascii="宋体" w:hAnsi="宋体" w:eastAsia="宋体" w:cs="宋体"/>
                <w:b/>
                <w:bCs/>
                <w:i w:val="0"/>
                <w:iCs w:val="0"/>
                <w:color w:val="auto"/>
                <w:sz w:val="21"/>
                <w:szCs w:val="21"/>
                <w:highlight w:val="none"/>
                <w:lang w:val="zh-CN"/>
              </w:rPr>
            </w:pPr>
            <w:bookmarkStart w:id="480" w:name="_Toc163493640"/>
            <w:r>
              <w:rPr>
                <w:rFonts w:hint="eastAsia" w:ascii="宋体" w:hAnsi="宋体" w:eastAsia="宋体" w:cs="宋体"/>
                <w:b/>
                <w:bCs/>
                <w:i w:val="0"/>
                <w:iCs w:val="0"/>
                <w:color w:val="auto"/>
                <w:sz w:val="21"/>
                <w:szCs w:val="21"/>
                <w:highlight w:val="none"/>
                <w:lang w:val="zh-CN"/>
              </w:rPr>
              <w:t>序号</w:t>
            </w:r>
          </w:p>
        </w:tc>
        <w:tc>
          <w:tcPr>
            <w:tcW w:w="1303" w:type="dxa"/>
            <w:vMerge w:val="restart"/>
            <w:shd w:val="clear" w:color="auto" w:fill="auto"/>
            <w:vAlign w:val="center"/>
          </w:tcPr>
          <w:p w14:paraId="349B66C3">
            <w:pPr>
              <w:pStyle w:val="51"/>
              <w:spacing w:line="240" w:lineRule="auto"/>
              <w:jc w:val="center"/>
              <w:rPr>
                <w:rFonts w:hint="eastAsia" w:ascii="宋体" w:hAnsi="宋体" w:eastAsia="宋体" w:cs="宋体"/>
                <w:b/>
                <w:bCs/>
                <w:i w:val="0"/>
                <w:iCs w:val="0"/>
                <w:color w:val="auto"/>
                <w:sz w:val="21"/>
                <w:szCs w:val="21"/>
                <w:highlight w:val="none"/>
                <w:lang w:val="zh-CN"/>
              </w:rPr>
            </w:pPr>
            <w:r>
              <w:rPr>
                <w:rFonts w:hint="eastAsia" w:ascii="宋体" w:hAnsi="宋体" w:eastAsia="宋体" w:cs="宋体"/>
                <w:b/>
                <w:bCs/>
                <w:i w:val="0"/>
                <w:iCs w:val="0"/>
                <w:color w:val="auto"/>
                <w:sz w:val="21"/>
                <w:szCs w:val="21"/>
                <w:highlight w:val="none"/>
                <w:lang w:val="zh-CN"/>
              </w:rPr>
              <w:t>审查项名称</w:t>
            </w:r>
          </w:p>
        </w:tc>
        <w:tc>
          <w:tcPr>
            <w:tcW w:w="5485" w:type="dxa"/>
            <w:vMerge w:val="restart"/>
            <w:shd w:val="clear" w:color="auto" w:fill="auto"/>
            <w:vAlign w:val="center"/>
          </w:tcPr>
          <w:p w14:paraId="6FEEBCF5">
            <w:pPr>
              <w:pStyle w:val="51"/>
              <w:spacing w:line="240" w:lineRule="auto"/>
              <w:jc w:val="center"/>
              <w:rPr>
                <w:rFonts w:hint="eastAsia" w:ascii="宋体" w:hAnsi="宋体" w:eastAsia="宋体" w:cs="宋体"/>
                <w:b/>
                <w:bCs/>
                <w:i w:val="0"/>
                <w:iCs w:val="0"/>
                <w:color w:val="auto"/>
                <w:sz w:val="21"/>
                <w:szCs w:val="21"/>
                <w:highlight w:val="none"/>
                <w:lang w:val="zh-CN"/>
              </w:rPr>
            </w:pPr>
            <w:r>
              <w:rPr>
                <w:rFonts w:hint="eastAsia" w:ascii="宋体" w:hAnsi="宋体" w:eastAsia="宋体" w:cs="宋体"/>
                <w:b/>
                <w:bCs/>
                <w:i w:val="0"/>
                <w:iCs w:val="0"/>
                <w:color w:val="auto"/>
                <w:sz w:val="21"/>
                <w:szCs w:val="21"/>
                <w:highlight w:val="none"/>
                <w:lang w:val="zh-CN"/>
              </w:rPr>
              <w:t>审查内容</w:t>
            </w:r>
          </w:p>
        </w:tc>
        <w:tc>
          <w:tcPr>
            <w:tcW w:w="1954" w:type="dxa"/>
            <w:gridSpan w:val="2"/>
            <w:shd w:val="clear" w:color="auto" w:fill="auto"/>
            <w:vAlign w:val="center"/>
          </w:tcPr>
          <w:p w14:paraId="4690041E">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审查结果</w:t>
            </w:r>
          </w:p>
        </w:tc>
      </w:tr>
      <w:tr w14:paraId="5960FC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83" w:hRule="atLeast"/>
        </w:trPr>
        <w:tc>
          <w:tcPr>
            <w:tcW w:w="509" w:type="dxa"/>
            <w:vMerge w:val="continue"/>
            <w:shd w:val="clear" w:color="auto" w:fill="auto"/>
            <w:vAlign w:val="center"/>
          </w:tcPr>
          <w:p w14:paraId="6CD6B1A1">
            <w:pPr>
              <w:pStyle w:val="51"/>
              <w:spacing w:line="240" w:lineRule="auto"/>
              <w:jc w:val="center"/>
              <w:rPr>
                <w:rFonts w:hint="eastAsia" w:ascii="宋体" w:hAnsi="宋体" w:eastAsia="宋体" w:cs="宋体"/>
                <w:b/>
                <w:bCs/>
                <w:i w:val="0"/>
                <w:iCs w:val="0"/>
                <w:color w:val="auto"/>
                <w:sz w:val="21"/>
                <w:szCs w:val="21"/>
                <w:highlight w:val="none"/>
                <w:lang w:val="zh-CN"/>
              </w:rPr>
            </w:pPr>
          </w:p>
        </w:tc>
        <w:tc>
          <w:tcPr>
            <w:tcW w:w="1303" w:type="dxa"/>
            <w:vMerge w:val="continue"/>
            <w:shd w:val="clear" w:color="auto" w:fill="auto"/>
            <w:vAlign w:val="center"/>
          </w:tcPr>
          <w:p w14:paraId="423E6DE7">
            <w:pPr>
              <w:pStyle w:val="51"/>
              <w:spacing w:line="240" w:lineRule="auto"/>
              <w:jc w:val="center"/>
              <w:rPr>
                <w:rFonts w:hint="eastAsia" w:ascii="宋体" w:hAnsi="宋体" w:eastAsia="宋体" w:cs="宋体"/>
                <w:b/>
                <w:bCs/>
                <w:i w:val="0"/>
                <w:iCs w:val="0"/>
                <w:color w:val="auto"/>
                <w:sz w:val="21"/>
                <w:szCs w:val="21"/>
                <w:highlight w:val="none"/>
                <w:lang w:val="zh-CN"/>
              </w:rPr>
            </w:pPr>
          </w:p>
        </w:tc>
        <w:tc>
          <w:tcPr>
            <w:tcW w:w="5485" w:type="dxa"/>
            <w:vMerge w:val="continue"/>
            <w:shd w:val="clear" w:color="auto" w:fill="auto"/>
            <w:vAlign w:val="center"/>
          </w:tcPr>
          <w:p w14:paraId="712675A6">
            <w:pPr>
              <w:pStyle w:val="51"/>
              <w:spacing w:line="240" w:lineRule="auto"/>
              <w:jc w:val="center"/>
              <w:rPr>
                <w:rFonts w:hint="eastAsia" w:ascii="宋体" w:hAnsi="宋体" w:eastAsia="宋体" w:cs="宋体"/>
                <w:b/>
                <w:bCs/>
                <w:i w:val="0"/>
                <w:iCs w:val="0"/>
                <w:color w:val="auto"/>
                <w:sz w:val="21"/>
                <w:szCs w:val="21"/>
                <w:highlight w:val="none"/>
                <w:lang w:val="zh-CN"/>
              </w:rPr>
            </w:pPr>
          </w:p>
        </w:tc>
        <w:tc>
          <w:tcPr>
            <w:tcW w:w="866" w:type="dxa"/>
            <w:shd w:val="clear" w:color="auto" w:fill="auto"/>
            <w:vAlign w:val="center"/>
          </w:tcPr>
          <w:p w14:paraId="7A58DBC8">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符合</w:t>
            </w:r>
          </w:p>
        </w:tc>
        <w:tc>
          <w:tcPr>
            <w:tcW w:w="1088" w:type="dxa"/>
            <w:shd w:val="clear" w:color="auto" w:fill="auto"/>
            <w:vAlign w:val="center"/>
          </w:tcPr>
          <w:p w14:paraId="4EBE3EF2">
            <w:pPr>
              <w:pStyle w:val="51"/>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不符合</w:t>
            </w:r>
          </w:p>
        </w:tc>
      </w:tr>
      <w:tr w14:paraId="05069F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818" w:hRule="atLeast"/>
        </w:trPr>
        <w:tc>
          <w:tcPr>
            <w:tcW w:w="509" w:type="dxa"/>
            <w:shd w:val="clear" w:color="auto" w:fill="auto"/>
            <w:vAlign w:val="center"/>
          </w:tcPr>
          <w:p w14:paraId="27CF5EC4">
            <w:pPr>
              <w:pStyle w:val="51"/>
              <w:numPr>
                <w:ilvl w:val="0"/>
                <w:numId w:val="0"/>
              </w:numPr>
              <w:spacing w:line="240" w:lineRule="auto"/>
              <w:ind w:left="420" w:leftChars="0" w:hanging="420" w:firstLineChars="0"/>
              <w:jc w:val="center"/>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kern w:val="2"/>
                <w:sz w:val="21"/>
                <w:szCs w:val="21"/>
                <w:highlight w:val="none"/>
                <w:lang w:val="zh-CN" w:eastAsia="zh-CN" w:bidi="ar-SA"/>
              </w:rPr>
              <w:t>1</w:t>
            </w:r>
          </w:p>
        </w:tc>
        <w:tc>
          <w:tcPr>
            <w:tcW w:w="1303" w:type="dxa"/>
            <w:shd w:val="clear" w:color="auto" w:fill="auto"/>
            <w:vAlign w:val="center"/>
          </w:tcPr>
          <w:p w14:paraId="427729DC">
            <w:pPr>
              <w:pStyle w:val="51"/>
              <w:spacing w:line="240" w:lineRule="auto"/>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sz w:val="21"/>
                <w:szCs w:val="21"/>
                <w:highlight w:val="none"/>
                <w:lang w:val="zh-CN"/>
              </w:rPr>
              <w:t>响应文件</w:t>
            </w:r>
            <w:r>
              <w:rPr>
                <w:rFonts w:hint="eastAsia" w:ascii="宋体" w:hAnsi="宋体" w:eastAsia="宋体" w:cs="宋体"/>
                <w:i w:val="0"/>
                <w:iCs w:val="0"/>
                <w:color w:val="auto"/>
                <w:sz w:val="21"/>
                <w:szCs w:val="21"/>
                <w:highlight w:val="none"/>
              </w:rPr>
              <w:t>签署</w:t>
            </w:r>
          </w:p>
        </w:tc>
        <w:tc>
          <w:tcPr>
            <w:tcW w:w="5485" w:type="dxa"/>
            <w:shd w:val="clear" w:color="auto" w:fill="auto"/>
            <w:vAlign w:val="center"/>
          </w:tcPr>
          <w:p w14:paraId="3E5B49A2">
            <w:pPr>
              <w:pStyle w:val="51"/>
              <w:spacing w:line="240" w:lineRule="auto"/>
              <w:rPr>
                <w:rFonts w:hint="eastAsia" w:ascii="宋体" w:hAnsi="宋体" w:eastAsia="宋体" w:cs="宋体"/>
                <w:i w:val="0"/>
                <w:iCs w:val="0"/>
                <w:color w:val="auto"/>
                <w:sz w:val="21"/>
                <w:szCs w:val="21"/>
                <w:highlight w:val="none"/>
                <w:lang w:val="zh-CN" w:eastAsia="zh-CN"/>
              </w:rPr>
            </w:pPr>
            <w:r>
              <w:rPr>
                <w:rFonts w:hint="eastAsia" w:ascii="宋体" w:hAnsi="宋体" w:eastAsia="宋体" w:cs="宋体"/>
                <w:i w:val="0"/>
                <w:iCs w:val="0"/>
                <w:color w:val="auto"/>
                <w:sz w:val="21"/>
                <w:szCs w:val="21"/>
                <w:highlight w:val="none"/>
                <w:lang w:val="zh-CN"/>
              </w:rPr>
              <w:t>响应文件</w:t>
            </w:r>
            <w:r>
              <w:rPr>
                <w:rFonts w:hint="eastAsia" w:ascii="宋体" w:hAnsi="宋体" w:eastAsia="宋体" w:cs="宋体"/>
                <w:i w:val="0"/>
                <w:iCs w:val="0"/>
                <w:color w:val="auto"/>
                <w:sz w:val="21"/>
                <w:szCs w:val="21"/>
                <w:highlight w:val="none"/>
                <w:lang w:val="en-US" w:eastAsia="zh-CN"/>
              </w:rPr>
              <w:t>按磋商文件要求签署、盖章的</w:t>
            </w:r>
          </w:p>
        </w:tc>
        <w:tc>
          <w:tcPr>
            <w:tcW w:w="866" w:type="dxa"/>
            <w:shd w:val="clear" w:color="auto" w:fill="auto"/>
            <w:vAlign w:val="center"/>
          </w:tcPr>
          <w:p w14:paraId="072E1812">
            <w:pPr>
              <w:pStyle w:val="51"/>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0185C63E">
            <w:pPr>
              <w:pStyle w:val="51"/>
              <w:spacing w:line="240" w:lineRule="auto"/>
              <w:rPr>
                <w:rFonts w:hint="eastAsia" w:ascii="宋体" w:hAnsi="宋体" w:eastAsia="宋体" w:cs="宋体"/>
                <w:i w:val="0"/>
                <w:iCs w:val="0"/>
                <w:color w:val="auto"/>
                <w:sz w:val="21"/>
                <w:szCs w:val="21"/>
                <w:highlight w:val="none"/>
                <w:lang w:val="zh-CN"/>
              </w:rPr>
            </w:pPr>
          </w:p>
        </w:tc>
      </w:tr>
      <w:tr w14:paraId="0014DD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36" w:hRule="atLeast"/>
        </w:trPr>
        <w:tc>
          <w:tcPr>
            <w:tcW w:w="509" w:type="dxa"/>
            <w:shd w:val="clear" w:color="auto" w:fill="auto"/>
            <w:vAlign w:val="center"/>
          </w:tcPr>
          <w:p w14:paraId="3496C9B8">
            <w:pPr>
              <w:pStyle w:val="51"/>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2</w:t>
            </w:r>
          </w:p>
        </w:tc>
        <w:tc>
          <w:tcPr>
            <w:tcW w:w="1303" w:type="dxa"/>
            <w:shd w:val="clear" w:color="auto" w:fill="auto"/>
            <w:vAlign w:val="center"/>
          </w:tcPr>
          <w:p w14:paraId="21DD881B">
            <w:pPr>
              <w:pStyle w:val="51"/>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zh-CN"/>
              </w:rPr>
              <w:t>实质性要求</w:t>
            </w:r>
          </w:p>
        </w:tc>
        <w:tc>
          <w:tcPr>
            <w:tcW w:w="5485" w:type="dxa"/>
            <w:shd w:val="clear" w:color="auto" w:fill="auto"/>
            <w:vAlign w:val="center"/>
          </w:tcPr>
          <w:p w14:paraId="01F89B02">
            <w:pPr>
              <w:pStyle w:val="51"/>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zh-CN"/>
              </w:rPr>
              <w:t>响应文件</w:t>
            </w:r>
            <w:r>
              <w:rPr>
                <w:rFonts w:hint="eastAsia" w:ascii="宋体" w:hAnsi="宋体" w:eastAsia="宋体" w:cs="宋体"/>
                <w:i w:val="0"/>
                <w:iCs w:val="0"/>
                <w:color w:val="auto"/>
                <w:sz w:val="21"/>
                <w:szCs w:val="21"/>
                <w:highlight w:val="none"/>
                <w:lang w:val="zh-CN" w:eastAsia="zh-CN"/>
              </w:rPr>
              <w:t>满足</w:t>
            </w:r>
            <w:r>
              <w:rPr>
                <w:rFonts w:hint="eastAsia" w:ascii="宋体" w:hAnsi="宋体" w:eastAsia="宋体" w:cs="宋体"/>
                <w:i w:val="0"/>
                <w:iCs w:val="0"/>
                <w:color w:val="auto"/>
                <w:sz w:val="21"/>
                <w:szCs w:val="21"/>
                <w:highlight w:val="none"/>
                <w:lang w:val="en-US" w:eastAsia="zh-CN"/>
              </w:rPr>
              <w:t>磋商</w:t>
            </w:r>
            <w:r>
              <w:rPr>
                <w:rFonts w:hint="eastAsia" w:ascii="宋体" w:hAnsi="宋体" w:eastAsia="宋体" w:cs="宋体"/>
                <w:i w:val="0"/>
                <w:iCs w:val="0"/>
                <w:color w:val="auto"/>
                <w:sz w:val="21"/>
                <w:szCs w:val="21"/>
                <w:highlight w:val="none"/>
                <w:lang w:val="zh-CN" w:eastAsia="zh-CN"/>
              </w:rPr>
              <w:t>文件中标注“★”号的实质性条款（或指标）要求的</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lang w:val="en-US" w:eastAsia="zh-CN"/>
              </w:rPr>
              <w:t>具体详见</w:t>
            </w:r>
            <w:r>
              <w:rPr>
                <w:rFonts w:hint="eastAsia" w:ascii="宋体" w:hAnsi="宋体" w:eastAsia="宋体" w:cs="宋体"/>
                <w:i w:val="0"/>
                <w:iCs w:val="0"/>
                <w:color w:val="auto"/>
                <w:sz w:val="21"/>
                <w:szCs w:val="21"/>
                <w:highlight w:val="none"/>
                <w:lang w:val="zh-CN"/>
              </w:rPr>
              <w:t>“实质性响应一览表”</w:t>
            </w:r>
          </w:p>
        </w:tc>
        <w:tc>
          <w:tcPr>
            <w:tcW w:w="866" w:type="dxa"/>
            <w:shd w:val="clear" w:color="auto" w:fill="auto"/>
            <w:vAlign w:val="center"/>
          </w:tcPr>
          <w:p w14:paraId="526A9A06">
            <w:pPr>
              <w:pStyle w:val="51"/>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35F4B27C">
            <w:pPr>
              <w:pStyle w:val="51"/>
              <w:spacing w:line="240" w:lineRule="auto"/>
              <w:rPr>
                <w:rFonts w:hint="eastAsia" w:ascii="宋体" w:hAnsi="宋体" w:eastAsia="宋体" w:cs="宋体"/>
                <w:i w:val="0"/>
                <w:iCs w:val="0"/>
                <w:color w:val="auto"/>
                <w:sz w:val="21"/>
                <w:szCs w:val="21"/>
                <w:highlight w:val="none"/>
                <w:lang w:val="zh-CN"/>
              </w:rPr>
            </w:pPr>
          </w:p>
        </w:tc>
      </w:tr>
      <w:tr w14:paraId="3E3813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88" w:hRule="atLeast"/>
        </w:trPr>
        <w:tc>
          <w:tcPr>
            <w:tcW w:w="509" w:type="dxa"/>
            <w:shd w:val="clear" w:color="auto" w:fill="auto"/>
            <w:vAlign w:val="center"/>
          </w:tcPr>
          <w:p w14:paraId="41B93CDD">
            <w:pPr>
              <w:pStyle w:val="51"/>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3</w:t>
            </w:r>
          </w:p>
        </w:tc>
        <w:tc>
          <w:tcPr>
            <w:tcW w:w="1303" w:type="dxa"/>
            <w:shd w:val="clear" w:color="auto" w:fill="auto"/>
            <w:vAlign w:val="center"/>
          </w:tcPr>
          <w:p w14:paraId="06400643">
            <w:pPr>
              <w:pStyle w:val="51"/>
              <w:spacing w:line="240" w:lineRule="auto"/>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sz w:val="21"/>
                <w:szCs w:val="21"/>
                <w:highlight w:val="none"/>
                <w:lang w:val="zh-CN"/>
              </w:rPr>
              <w:t>磋商响应性报价</w:t>
            </w:r>
          </w:p>
        </w:tc>
        <w:tc>
          <w:tcPr>
            <w:tcW w:w="5485" w:type="dxa"/>
            <w:shd w:val="clear" w:color="auto" w:fill="auto"/>
            <w:vAlign w:val="center"/>
          </w:tcPr>
          <w:p w14:paraId="3E44A286">
            <w:pPr>
              <w:pStyle w:val="51"/>
              <w:spacing w:line="240" w:lineRule="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sz w:val="21"/>
                <w:szCs w:val="21"/>
                <w:highlight w:val="none"/>
                <w:lang w:val="en-US" w:eastAsia="zh-CN"/>
              </w:rPr>
              <w:t>供应商报价未超过磋商文件中规定的最高限价或者预算金额的</w:t>
            </w:r>
          </w:p>
        </w:tc>
        <w:tc>
          <w:tcPr>
            <w:tcW w:w="866" w:type="dxa"/>
            <w:shd w:val="clear" w:color="auto" w:fill="auto"/>
            <w:vAlign w:val="center"/>
          </w:tcPr>
          <w:p w14:paraId="446F18B9">
            <w:pPr>
              <w:pStyle w:val="51"/>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10FA2B3F">
            <w:pPr>
              <w:pStyle w:val="51"/>
              <w:spacing w:line="240" w:lineRule="auto"/>
              <w:rPr>
                <w:rFonts w:hint="eastAsia" w:ascii="宋体" w:hAnsi="宋体" w:eastAsia="宋体" w:cs="宋体"/>
                <w:i w:val="0"/>
                <w:iCs w:val="0"/>
                <w:color w:val="auto"/>
                <w:sz w:val="21"/>
                <w:szCs w:val="21"/>
                <w:highlight w:val="none"/>
                <w:lang w:val="zh-CN"/>
              </w:rPr>
            </w:pPr>
          </w:p>
        </w:tc>
      </w:tr>
      <w:tr w14:paraId="3C6594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71" w:hRule="atLeast"/>
        </w:trPr>
        <w:tc>
          <w:tcPr>
            <w:tcW w:w="509" w:type="dxa"/>
            <w:shd w:val="clear" w:color="auto" w:fill="auto"/>
            <w:vAlign w:val="center"/>
          </w:tcPr>
          <w:p w14:paraId="45105A61">
            <w:pPr>
              <w:pStyle w:val="51"/>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4</w:t>
            </w:r>
          </w:p>
        </w:tc>
        <w:tc>
          <w:tcPr>
            <w:tcW w:w="1303" w:type="dxa"/>
            <w:shd w:val="clear" w:color="auto" w:fill="auto"/>
            <w:vAlign w:val="center"/>
          </w:tcPr>
          <w:p w14:paraId="16F4A2C9">
            <w:pPr>
              <w:pStyle w:val="51"/>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虚假材料</w:t>
            </w:r>
          </w:p>
        </w:tc>
        <w:tc>
          <w:tcPr>
            <w:tcW w:w="5485" w:type="dxa"/>
            <w:shd w:val="clear" w:color="auto" w:fill="auto"/>
            <w:vAlign w:val="center"/>
          </w:tcPr>
          <w:p w14:paraId="2B130AD3">
            <w:pPr>
              <w:pStyle w:val="51"/>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en-US" w:eastAsia="zh-CN"/>
              </w:rPr>
              <w:t>响应</w:t>
            </w:r>
            <w:r>
              <w:rPr>
                <w:rFonts w:hint="eastAsia" w:ascii="宋体" w:hAnsi="宋体" w:eastAsia="宋体" w:cs="宋体"/>
                <w:i w:val="0"/>
                <w:iCs w:val="0"/>
                <w:color w:val="auto"/>
                <w:sz w:val="21"/>
                <w:szCs w:val="21"/>
                <w:highlight w:val="none"/>
                <w:lang w:val="zh-CN" w:eastAsia="zh-CN"/>
              </w:rPr>
              <w:t>文件</w:t>
            </w:r>
            <w:r>
              <w:rPr>
                <w:rFonts w:hint="eastAsia" w:ascii="宋体" w:hAnsi="宋体" w:eastAsia="宋体" w:cs="宋体"/>
                <w:i w:val="0"/>
                <w:iCs w:val="0"/>
                <w:color w:val="auto"/>
                <w:sz w:val="21"/>
                <w:szCs w:val="21"/>
                <w:highlight w:val="none"/>
                <w:lang w:val="en-US" w:eastAsia="zh-CN"/>
              </w:rPr>
              <w:t>未</w:t>
            </w:r>
            <w:r>
              <w:rPr>
                <w:rFonts w:hint="eastAsia" w:ascii="宋体" w:hAnsi="宋体" w:eastAsia="宋体" w:cs="宋体"/>
                <w:i w:val="0"/>
                <w:iCs w:val="0"/>
                <w:color w:val="auto"/>
                <w:sz w:val="21"/>
                <w:szCs w:val="21"/>
                <w:highlight w:val="none"/>
                <w:lang w:val="zh-CN" w:eastAsia="zh-CN"/>
              </w:rPr>
              <w:t>提供虚假材料的</w:t>
            </w:r>
          </w:p>
        </w:tc>
        <w:tc>
          <w:tcPr>
            <w:tcW w:w="866" w:type="dxa"/>
            <w:shd w:val="clear" w:color="auto" w:fill="auto"/>
            <w:vAlign w:val="center"/>
          </w:tcPr>
          <w:p w14:paraId="0F74456F">
            <w:pPr>
              <w:pStyle w:val="51"/>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3590F185">
            <w:pPr>
              <w:pStyle w:val="51"/>
              <w:spacing w:line="240" w:lineRule="auto"/>
              <w:rPr>
                <w:rFonts w:hint="eastAsia" w:ascii="宋体" w:hAnsi="宋体" w:eastAsia="宋体" w:cs="宋体"/>
                <w:i w:val="0"/>
                <w:iCs w:val="0"/>
                <w:color w:val="auto"/>
                <w:sz w:val="21"/>
                <w:szCs w:val="21"/>
                <w:highlight w:val="none"/>
                <w:lang w:val="zh-CN"/>
              </w:rPr>
            </w:pPr>
          </w:p>
        </w:tc>
      </w:tr>
      <w:tr w14:paraId="69BDAD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82" w:hRule="atLeast"/>
        </w:trPr>
        <w:tc>
          <w:tcPr>
            <w:tcW w:w="509" w:type="dxa"/>
            <w:shd w:val="clear" w:color="auto" w:fill="auto"/>
            <w:vAlign w:val="center"/>
          </w:tcPr>
          <w:p w14:paraId="3E60ECD7">
            <w:pPr>
              <w:pStyle w:val="51"/>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5</w:t>
            </w:r>
          </w:p>
        </w:tc>
        <w:tc>
          <w:tcPr>
            <w:tcW w:w="1303" w:type="dxa"/>
            <w:shd w:val="clear" w:color="auto" w:fill="auto"/>
            <w:vAlign w:val="center"/>
          </w:tcPr>
          <w:p w14:paraId="70C1BEDD">
            <w:pPr>
              <w:pStyle w:val="51"/>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联合体</w:t>
            </w:r>
          </w:p>
        </w:tc>
        <w:tc>
          <w:tcPr>
            <w:tcW w:w="5485" w:type="dxa"/>
            <w:shd w:val="clear" w:color="auto" w:fill="auto"/>
            <w:vAlign w:val="center"/>
          </w:tcPr>
          <w:p w14:paraId="5C2D07B1">
            <w:pPr>
              <w:pStyle w:val="51"/>
              <w:spacing w:line="240" w:lineRule="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sz w:val="21"/>
                <w:szCs w:val="21"/>
                <w:highlight w:val="none"/>
                <w:lang w:val="en-US" w:eastAsia="zh-CN"/>
              </w:rPr>
              <w:t>磋商文件规定接受联合体磋商的，</w:t>
            </w:r>
            <w:r>
              <w:rPr>
                <w:rFonts w:hint="eastAsia" w:ascii="宋体" w:hAnsi="宋体" w:eastAsia="宋体" w:cs="宋体"/>
                <w:i w:val="0"/>
                <w:iCs w:val="0"/>
                <w:color w:val="auto"/>
                <w:sz w:val="21"/>
                <w:szCs w:val="21"/>
                <w:highlight w:val="none"/>
                <w:lang w:val="zh-CN" w:eastAsia="zh-CN"/>
              </w:rPr>
              <w:t>联合体供应商提交</w:t>
            </w:r>
            <w:r>
              <w:rPr>
                <w:rFonts w:hint="eastAsia" w:ascii="宋体" w:hAnsi="宋体" w:eastAsia="宋体" w:cs="宋体"/>
                <w:i w:val="0"/>
                <w:iCs w:val="0"/>
                <w:color w:val="auto"/>
                <w:sz w:val="21"/>
                <w:szCs w:val="21"/>
                <w:highlight w:val="none"/>
                <w:lang w:val="en-US" w:eastAsia="zh-CN"/>
              </w:rPr>
              <w:t>了</w:t>
            </w:r>
            <w:r>
              <w:rPr>
                <w:rFonts w:hint="eastAsia" w:ascii="宋体" w:hAnsi="宋体" w:eastAsia="宋体" w:cs="宋体"/>
                <w:i w:val="0"/>
                <w:iCs w:val="0"/>
                <w:color w:val="auto"/>
                <w:sz w:val="21"/>
                <w:szCs w:val="21"/>
                <w:highlight w:val="none"/>
                <w:lang w:val="zh-CN" w:eastAsia="zh-CN"/>
              </w:rPr>
              <w:t>各方共同签署的联合体协议【</w:t>
            </w:r>
            <w:r>
              <w:rPr>
                <w:rFonts w:hint="eastAsia" w:ascii="宋体" w:hAnsi="宋体" w:eastAsia="宋体" w:cs="宋体"/>
                <w:i w:val="0"/>
                <w:iCs w:val="0"/>
                <w:color w:val="auto"/>
                <w:sz w:val="21"/>
                <w:szCs w:val="21"/>
                <w:highlight w:val="none"/>
                <w:lang w:val="en-US" w:eastAsia="zh-CN"/>
              </w:rPr>
              <w:t>如允许联合体磋商的</w:t>
            </w:r>
            <w:r>
              <w:rPr>
                <w:rFonts w:hint="eastAsia" w:ascii="宋体" w:hAnsi="宋体" w:eastAsia="宋体" w:cs="宋体"/>
                <w:i w:val="0"/>
                <w:iCs w:val="0"/>
                <w:color w:val="auto"/>
                <w:sz w:val="21"/>
                <w:szCs w:val="21"/>
                <w:highlight w:val="none"/>
                <w:lang w:val="zh-CN" w:eastAsia="zh-CN"/>
              </w:rPr>
              <w:t>】</w:t>
            </w:r>
          </w:p>
        </w:tc>
        <w:tc>
          <w:tcPr>
            <w:tcW w:w="866" w:type="dxa"/>
            <w:shd w:val="clear" w:color="auto" w:fill="auto"/>
            <w:vAlign w:val="center"/>
          </w:tcPr>
          <w:p w14:paraId="5A739D71">
            <w:pPr>
              <w:pStyle w:val="51"/>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620C4EF6">
            <w:pPr>
              <w:pStyle w:val="51"/>
              <w:spacing w:line="240" w:lineRule="auto"/>
              <w:rPr>
                <w:rFonts w:hint="eastAsia" w:ascii="宋体" w:hAnsi="宋体" w:eastAsia="宋体" w:cs="宋体"/>
                <w:i w:val="0"/>
                <w:iCs w:val="0"/>
                <w:color w:val="auto"/>
                <w:sz w:val="21"/>
                <w:szCs w:val="21"/>
                <w:highlight w:val="none"/>
                <w:lang w:val="zh-CN"/>
              </w:rPr>
            </w:pPr>
          </w:p>
        </w:tc>
      </w:tr>
      <w:tr w14:paraId="6F0C9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10" w:hRule="atLeast"/>
        </w:trPr>
        <w:tc>
          <w:tcPr>
            <w:tcW w:w="509" w:type="dxa"/>
            <w:shd w:val="clear" w:color="auto" w:fill="auto"/>
            <w:vAlign w:val="center"/>
          </w:tcPr>
          <w:p w14:paraId="303D8E7E">
            <w:pPr>
              <w:pStyle w:val="51"/>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6</w:t>
            </w:r>
          </w:p>
        </w:tc>
        <w:tc>
          <w:tcPr>
            <w:tcW w:w="1303" w:type="dxa"/>
            <w:shd w:val="clear" w:color="auto" w:fill="auto"/>
            <w:vAlign w:val="center"/>
          </w:tcPr>
          <w:p w14:paraId="7B65077F">
            <w:pPr>
              <w:pStyle w:val="51"/>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磋商保证金</w:t>
            </w:r>
          </w:p>
        </w:tc>
        <w:tc>
          <w:tcPr>
            <w:tcW w:w="5485" w:type="dxa"/>
            <w:shd w:val="clear" w:color="auto" w:fill="auto"/>
            <w:vAlign w:val="center"/>
          </w:tcPr>
          <w:p w14:paraId="5E67757A">
            <w:pPr>
              <w:pStyle w:val="51"/>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en-US" w:eastAsia="zh-CN"/>
              </w:rPr>
              <w:t>磋商文件规定应当缴纳的，供应商按磋商文件的规定缴纳磋商保证金的</w:t>
            </w:r>
          </w:p>
        </w:tc>
        <w:tc>
          <w:tcPr>
            <w:tcW w:w="866" w:type="dxa"/>
            <w:shd w:val="clear" w:color="auto" w:fill="auto"/>
            <w:vAlign w:val="center"/>
          </w:tcPr>
          <w:p w14:paraId="75431AA7">
            <w:pPr>
              <w:pStyle w:val="51"/>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38C1CA42">
            <w:pPr>
              <w:pStyle w:val="51"/>
              <w:spacing w:line="240" w:lineRule="auto"/>
              <w:rPr>
                <w:rFonts w:hint="eastAsia" w:ascii="宋体" w:hAnsi="宋体" w:eastAsia="宋体" w:cs="宋体"/>
                <w:i w:val="0"/>
                <w:iCs w:val="0"/>
                <w:color w:val="auto"/>
                <w:sz w:val="21"/>
                <w:szCs w:val="21"/>
                <w:highlight w:val="none"/>
                <w:lang w:val="zh-CN"/>
              </w:rPr>
            </w:pPr>
          </w:p>
        </w:tc>
      </w:tr>
      <w:tr w14:paraId="5064B1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36" w:hRule="atLeast"/>
        </w:trPr>
        <w:tc>
          <w:tcPr>
            <w:tcW w:w="509" w:type="dxa"/>
            <w:shd w:val="clear" w:color="auto" w:fill="auto"/>
            <w:vAlign w:val="center"/>
          </w:tcPr>
          <w:p w14:paraId="61D59D42">
            <w:pPr>
              <w:pStyle w:val="51"/>
              <w:numPr>
                <w:ilvl w:val="0"/>
                <w:numId w:val="0"/>
              </w:numPr>
              <w:spacing w:line="240" w:lineRule="auto"/>
              <w:ind w:left="0" w:leftChars="0" w:firstLine="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en-US" w:eastAsia="zh-CN"/>
              </w:rPr>
              <w:t>7</w:t>
            </w:r>
          </w:p>
        </w:tc>
        <w:tc>
          <w:tcPr>
            <w:tcW w:w="1303" w:type="dxa"/>
            <w:shd w:val="clear" w:color="auto" w:fill="auto"/>
            <w:vAlign w:val="center"/>
          </w:tcPr>
          <w:p w14:paraId="75F4FADA">
            <w:pPr>
              <w:pStyle w:val="51"/>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响应文件的澄清、说明、补正</w:t>
            </w:r>
          </w:p>
        </w:tc>
        <w:tc>
          <w:tcPr>
            <w:tcW w:w="5485" w:type="dxa"/>
            <w:shd w:val="clear" w:color="auto" w:fill="auto"/>
            <w:vAlign w:val="center"/>
          </w:tcPr>
          <w:p w14:paraId="5342C9B9">
            <w:pPr>
              <w:pStyle w:val="51"/>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zh-CN" w:eastAsia="zh-CN"/>
              </w:rPr>
              <w:t>评审期间,</w:t>
            </w:r>
            <w:r>
              <w:rPr>
                <w:rFonts w:hint="eastAsia" w:ascii="宋体" w:hAnsi="宋体" w:eastAsia="宋体"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zh-CN" w:eastAsia="zh-CN"/>
              </w:rPr>
              <w:t>按磋商小组的要求提交经授权代表签字的澄清、说明、更正且澄清、说明、更正未超出响应文件范围或</w:t>
            </w:r>
            <w:r>
              <w:rPr>
                <w:rFonts w:hint="eastAsia" w:ascii="宋体" w:hAnsi="宋体" w:eastAsia="宋体" w:cs="宋体"/>
                <w:i w:val="0"/>
                <w:iCs w:val="0"/>
                <w:color w:val="auto"/>
                <w:sz w:val="21"/>
                <w:szCs w:val="21"/>
                <w:highlight w:val="none"/>
                <w:lang w:val="en-US" w:eastAsia="zh-CN"/>
              </w:rPr>
              <w:t>未</w:t>
            </w:r>
            <w:r>
              <w:rPr>
                <w:rFonts w:hint="eastAsia" w:ascii="宋体" w:hAnsi="宋体" w:eastAsia="宋体" w:cs="宋体"/>
                <w:i w:val="0"/>
                <w:iCs w:val="0"/>
                <w:color w:val="auto"/>
                <w:sz w:val="21"/>
                <w:szCs w:val="21"/>
                <w:highlight w:val="none"/>
                <w:lang w:val="zh-CN" w:eastAsia="zh-CN"/>
              </w:rPr>
              <w:t>改变</w:t>
            </w:r>
            <w:r>
              <w:rPr>
                <w:rFonts w:hint="eastAsia" w:ascii="宋体" w:hAnsi="宋体" w:eastAsia="宋体" w:cs="宋体"/>
                <w:i w:val="0"/>
                <w:iCs w:val="0"/>
                <w:color w:val="auto"/>
                <w:sz w:val="21"/>
                <w:szCs w:val="21"/>
                <w:highlight w:val="none"/>
                <w:lang w:val="en-US" w:eastAsia="zh-CN"/>
              </w:rPr>
              <w:t>响应</w:t>
            </w:r>
            <w:r>
              <w:rPr>
                <w:rFonts w:hint="eastAsia" w:ascii="宋体" w:hAnsi="宋体" w:eastAsia="宋体" w:cs="宋体"/>
                <w:i w:val="0"/>
                <w:iCs w:val="0"/>
                <w:color w:val="auto"/>
                <w:sz w:val="21"/>
                <w:szCs w:val="21"/>
                <w:highlight w:val="none"/>
                <w:lang w:val="zh-CN" w:eastAsia="zh-CN"/>
              </w:rPr>
              <w:t>文件的实质性内容</w:t>
            </w:r>
          </w:p>
        </w:tc>
        <w:tc>
          <w:tcPr>
            <w:tcW w:w="866" w:type="dxa"/>
            <w:shd w:val="clear" w:color="auto" w:fill="auto"/>
            <w:vAlign w:val="center"/>
          </w:tcPr>
          <w:p w14:paraId="7D0EBCCD">
            <w:pPr>
              <w:pStyle w:val="51"/>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55CA5ABB">
            <w:pPr>
              <w:pStyle w:val="51"/>
              <w:spacing w:line="240" w:lineRule="auto"/>
              <w:rPr>
                <w:rFonts w:hint="eastAsia" w:ascii="宋体" w:hAnsi="宋体" w:eastAsia="宋体" w:cs="宋体"/>
                <w:i w:val="0"/>
                <w:iCs w:val="0"/>
                <w:color w:val="auto"/>
                <w:sz w:val="21"/>
                <w:szCs w:val="21"/>
                <w:highlight w:val="none"/>
                <w:lang w:val="zh-CN"/>
              </w:rPr>
            </w:pPr>
          </w:p>
        </w:tc>
      </w:tr>
      <w:tr w14:paraId="53FB7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94" w:hRule="atLeast"/>
        </w:trPr>
        <w:tc>
          <w:tcPr>
            <w:tcW w:w="509" w:type="dxa"/>
            <w:shd w:val="clear" w:color="auto" w:fill="auto"/>
            <w:vAlign w:val="center"/>
          </w:tcPr>
          <w:p w14:paraId="0D3881B3">
            <w:pPr>
              <w:pStyle w:val="51"/>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en-US" w:eastAsia="zh-CN" w:bidi="ar-SA"/>
              </w:rPr>
              <w:t>8</w:t>
            </w:r>
          </w:p>
        </w:tc>
        <w:tc>
          <w:tcPr>
            <w:tcW w:w="1303" w:type="dxa"/>
            <w:shd w:val="clear" w:color="auto" w:fill="auto"/>
            <w:vAlign w:val="center"/>
          </w:tcPr>
          <w:p w14:paraId="3EFCB1FF">
            <w:pPr>
              <w:pStyle w:val="51"/>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供应商影响评审</w:t>
            </w:r>
          </w:p>
        </w:tc>
        <w:tc>
          <w:tcPr>
            <w:tcW w:w="5485" w:type="dxa"/>
            <w:shd w:val="clear" w:color="auto" w:fill="auto"/>
            <w:vAlign w:val="center"/>
          </w:tcPr>
          <w:p w14:paraId="11E7C4E3">
            <w:pPr>
              <w:pStyle w:val="51"/>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zh-CN" w:eastAsia="zh-CN"/>
              </w:rPr>
              <w:t>对采购人、采购代理机构、磋商小组及其工作人员</w:t>
            </w:r>
            <w:r>
              <w:rPr>
                <w:rFonts w:hint="eastAsia" w:ascii="宋体" w:hAnsi="宋体" w:eastAsia="宋体" w:cs="宋体"/>
                <w:i w:val="0"/>
                <w:iCs w:val="0"/>
                <w:color w:val="auto"/>
                <w:sz w:val="21"/>
                <w:szCs w:val="21"/>
                <w:highlight w:val="none"/>
                <w:lang w:val="en-US" w:eastAsia="zh-CN"/>
              </w:rPr>
              <w:t>未</w:t>
            </w:r>
            <w:r>
              <w:rPr>
                <w:rFonts w:hint="eastAsia" w:ascii="宋体" w:hAnsi="宋体" w:eastAsia="宋体" w:cs="宋体"/>
                <w:i w:val="0"/>
                <w:iCs w:val="0"/>
                <w:color w:val="auto"/>
                <w:sz w:val="21"/>
                <w:szCs w:val="21"/>
                <w:highlight w:val="none"/>
                <w:lang w:val="zh-CN" w:eastAsia="zh-CN"/>
              </w:rPr>
              <w:t>施加影响,</w:t>
            </w:r>
            <w:r>
              <w:rPr>
                <w:rFonts w:hint="eastAsia" w:ascii="宋体" w:hAnsi="宋体" w:eastAsia="宋体" w:cs="宋体"/>
                <w:i w:val="0"/>
                <w:iCs w:val="0"/>
                <w:color w:val="auto"/>
                <w:sz w:val="21"/>
                <w:szCs w:val="21"/>
                <w:highlight w:val="none"/>
                <w:lang w:val="en-US" w:eastAsia="zh-CN"/>
              </w:rPr>
              <w:t>无</w:t>
            </w:r>
            <w:r>
              <w:rPr>
                <w:rFonts w:hint="eastAsia" w:ascii="宋体" w:hAnsi="宋体" w:eastAsia="宋体" w:cs="宋体"/>
                <w:i w:val="0"/>
                <w:iCs w:val="0"/>
                <w:color w:val="auto"/>
                <w:sz w:val="21"/>
                <w:szCs w:val="21"/>
                <w:highlight w:val="none"/>
                <w:lang w:val="zh-CN" w:eastAsia="zh-CN"/>
              </w:rPr>
              <w:t>有碍公平、公正</w:t>
            </w:r>
            <w:r>
              <w:rPr>
                <w:rFonts w:hint="eastAsia" w:ascii="宋体" w:hAnsi="宋体" w:eastAsia="宋体" w:cs="宋体"/>
                <w:i w:val="0"/>
                <w:iCs w:val="0"/>
                <w:color w:val="auto"/>
                <w:sz w:val="21"/>
                <w:szCs w:val="21"/>
                <w:highlight w:val="none"/>
                <w:lang w:val="en-US" w:eastAsia="zh-CN"/>
              </w:rPr>
              <w:t>行为的</w:t>
            </w:r>
          </w:p>
        </w:tc>
        <w:tc>
          <w:tcPr>
            <w:tcW w:w="866" w:type="dxa"/>
            <w:shd w:val="clear" w:color="auto" w:fill="auto"/>
            <w:vAlign w:val="center"/>
          </w:tcPr>
          <w:p w14:paraId="276A2B6D">
            <w:pPr>
              <w:pStyle w:val="51"/>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40BCA5C4">
            <w:pPr>
              <w:pStyle w:val="51"/>
              <w:spacing w:line="240" w:lineRule="auto"/>
              <w:rPr>
                <w:rFonts w:hint="eastAsia" w:ascii="宋体" w:hAnsi="宋体" w:eastAsia="宋体" w:cs="宋体"/>
                <w:i w:val="0"/>
                <w:iCs w:val="0"/>
                <w:color w:val="auto"/>
                <w:sz w:val="21"/>
                <w:szCs w:val="21"/>
                <w:highlight w:val="none"/>
                <w:lang w:val="zh-CN"/>
              </w:rPr>
            </w:pPr>
          </w:p>
        </w:tc>
      </w:tr>
      <w:tr w14:paraId="31830B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18" w:hRule="atLeast"/>
        </w:trPr>
        <w:tc>
          <w:tcPr>
            <w:tcW w:w="509" w:type="dxa"/>
            <w:shd w:val="clear" w:color="auto" w:fill="auto"/>
            <w:vAlign w:val="center"/>
          </w:tcPr>
          <w:p w14:paraId="60993543">
            <w:pPr>
              <w:pStyle w:val="51"/>
              <w:numPr>
                <w:ilvl w:val="0"/>
                <w:numId w:val="0"/>
              </w:numPr>
              <w:shd w:val="clea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9</w:t>
            </w:r>
          </w:p>
        </w:tc>
        <w:tc>
          <w:tcPr>
            <w:tcW w:w="1303" w:type="dxa"/>
            <w:shd w:val="clear" w:color="auto" w:fill="auto"/>
            <w:vAlign w:val="center"/>
          </w:tcPr>
          <w:p w14:paraId="22496277">
            <w:pPr>
              <w:pStyle w:val="51"/>
              <w:shd w:val="clear"/>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附加条件</w:t>
            </w:r>
          </w:p>
        </w:tc>
        <w:tc>
          <w:tcPr>
            <w:tcW w:w="5485" w:type="dxa"/>
            <w:shd w:val="clear" w:color="auto" w:fill="auto"/>
            <w:vAlign w:val="center"/>
          </w:tcPr>
          <w:p w14:paraId="428D5409">
            <w:pPr>
              <w:pStyle w:val="51"/>
              <w:shd w:val="clear"/>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响应文件没有采购人不能接受的附加条件的</w:t>
            </w:r>
          </w:p>
        </w:tc>
        <w:tc>
          <w:tcPr>
            <w:tcW w:w="866" w:type="dxa"/>
            <w:shd w:val="clear" w:color="auto" w:fill="auto"/>
            <w:vAlign w:val="center"/>
          </w:tcPr>
          <w:p w14:paraId="1850939B">
            <w:pPr>
              <w:pStyle w:val="51"/>
              <w:shd w:val="clear"/>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500B1F90">
            <w:pPr>
              <w:pStyle w:val="51"/>
              <w:shd w:val="clear"/>
              <w:spacing w:line="240" w:lineRule="auto"/>
              <w:rPr>
                <w:rFonts w:hint="eastAsia" w:ascii="宋体" w:hAnsi="宋体" w:eastAsia="宋体" w:cs="宋体"/>
                <w:i w:val="0"/>
                <w:iCs w:val="0"/>
                <w:color w:val="auto"/>
                <w:sz w:val="21"/>
                <w:szCs w:val="21"/>
                <w:highlight w:val="none"/>
                <w:lang w:val="zh-CN"/>
              </w:rPr>
            </w:pPr>
          </w:p>
        </w:tc>
      </w:tr>
      <w:tr w14:paraId="5924A2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18" w:hRule="atLeast"/>
        </w:trPr>
        <w:tc>
          <w:tcPr>
            <w:tcW w:w="509" w:type="dxa"/>
            <w:shd w:val="clear" w:color="auto" w:fill="auto"/>
            <w:vAlign w:val="center"/>
          </w:tcPr>
          <w:p w14:paraId="40CF9D71">
            <w:pPr>
              <w:pStyle w:val="51"/>
              <w:numPr>
                <w:ilvl w:val="0"/>
                <w:numId w:val="0"/>
              </w:numPr>
              <w:shd w:val="clea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10</w:t>
            </w:r>
          </w:p>
        </w:tc>
        <w:tc>
          <w:tcPr>
            <w:tcW w:w="1303" w:type="dxa"/>
            <w:shd w:val="clear" w:color="auto" w:fill="auto"/>
            <w:vAlign w:val="center"/>
          </w:tcPr>
          <w:p w14:paraId="05D6A5AF">
            <w:pPr>
              <w:pStyle w:val="51"/>
              <w:shd w:val="clear"/>
              <w:spacing w:line="240" w:lineRule="auto"/>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sz w:val="21"/>
                <w:szCs w:val="21"/>
                <w:highlight w:val="none"/>
                <w:lang w:val="zh-CN"/>
              </w:rPr>
              <w:t>其他无效情形</w:t>
            </w:r>
          </w:p>
        </w:tc>
        <w:tc>
          <w:tcPr>
            <w:tcW w:w="5485" w:type="dxa"/>
            <w:shd w:val="clear" w:color="auto" w:fill="auto"/>
            <w:vAlign w:val="center"/>
          </w:tcPr>
          <w:p w14:paraId="71434769">
            <w:pPr>
              <w:pStyle w:val="51"/>
              <w:shd w:val="clear"/>
              <w:spacing w:line="240" w:lineRule="auto"/>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sz w:val="21"/>
                <w:szCs w:val="21"/>
                <w:highlight w:val="none"/>
                <w:lang w:val="en-US" w:eastAsia="zh-CN"/>
              </w:rPr>
              <w:t>未出现</w:t>
            </w:r>
            <w:r>
              <w:rPr>
                <w:rFonts w:hint="eastAsia" w:ascii="宋体" w:hAnsi="宋体" w:eastAsia="宋体" w:cs="宋体"/>
                <w:i w:val="0"/>
                <w:iCs w:val="0"/>
                <w:color w:val="auto"/>
                <w:sz w:val="21"/>
                <w:szCs w:val="21"/>
                <w:highlight w:val="none"/>
                <w:lang w:val="zh-CN" w:eastAsia="zh-CN"/>
              </w:rPr>
              <w:t>法律、法规、规章以及本磋商文件规定属于</w:t>
            </w:r>
            <w:r>
              <w:rPr>
                <w:rFonts w:hint="eastAsia" w:ascii="宋体" w:hAnsi="宋体" w:eastAsia="宋体" w:cs="宋体"/>
                <w:i w:val="0"/>
                <w:iCs w:val="0"/>
                <w:color w:val="auto"/>
                <w:sz w:val="21"/>
                <w:szCs w:val="21"/>
                <w:highlight w:val="none"/>
                <w:lang w:val="en-US" w:eastAsia="zh-CN"/>
              </w:rPr>
              <w:t>响应</w:t>
            </w:r>
            <w:r>
              <w:rPr>
                <w:rFonts w:hint="eastAsia" w:ascii="宋体" w:hAnsi="宋体" w:eastAsia="宋体" w:cs="宋体"/>
                <w:i w:val="0"/>
                <w:iCs w:val="0"/>
                <w:color w:val="auto"/>
                <w:sz w:val="21"/>
                <w:szCs w:val="21"/>
                <w:highlight w:val="none"/>
                <w:lang w:val="zh-CN" w:eastAsia="zh-CN"/>
              </w:rPr>
              <w:t>无效的其他情形。</w:t>
            </w:r>
          </w:p>
        </w:tc>
        <w:tc>
          <w:tcPr>
            <w:tcW w:w="866" w:type="dxa"/>
            <w:shd w:val="clear" w:color="auto" w:fill="auto"/>
            <w:vAlign w:val="center"/>
          </w:tcPr>
          <w:p w14:paraId="7E99A8DE">
            <w:pPr>
              <w:pStyle w:val="51"/>
              <w:shd w:val="clear"/>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7FA42E01">
            <w:pPr>
              <w:pStyle w:val="51"/>
              <w:shd w:val="clear"/>
              <w:spacing w:line="240" w:lineRule="auto"/>
              <w:rPr>
                <w:rFonts w:hint="eastAsia" w:ascii="宋体" w:hAnsi="宋体" w:eastAsia="宋体" w:cs="宋体"/>
                <w:i w:val="0"/>
                <w:iCs w:val="0"/>
                <w:color w:val="auto"/>
                <w:sz w:val="21"/>
                <w:szCs w:val="21"/>
                <w:highlight w:val="none"/>
                <w:lang w:val="zh-CN"/>
              </w:rPr>
            </w:pPr>
          </w:p>
        </w:tc>
      </w:tr>
    </w:tbl>
    <w:p w14:paraId="58B203B0">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7C7C46F7">
      <w:pPr>
        <w:rPr>
          <w:rFonts w:hint="eastAsia" w:ascii="宋体" w:hAnsi="宋体" w:cs="宋体"/>
          <w:b/>
          <w:i w:val="0"/>
          <w:iCs w:val="0"/>
          <w:color w:val="auto"/>
          <w:sz w:val="24"/>
          <w:highlight w:val="none"/>
        </w:rPr>
      </w:pPr>
      <w:r>
        <w:rPr>
          <w:rFonts w:hint="eastAsia" w:ascii="宋体" w:hAnsi="宋体" w:cs="宋体"/>
          <w:b/>
          <w:i w:val="0"/>
          <w:iCs w:val="0"/>
          <w:color w:val="auto"/>
          <w:sz w:val="24"/>
          <w:highlight w:val="none"/>
        </w:rPr>
        <w:br w:type="page"/>
      </w:r>
    </w:p>
    <w:p w14:paraId="3051F1F6">
      <w:pPr>
        <w:shd w:val="clear" w:color="auto"/>
        <w:tabs>
          <w:tab w:val="left" w:pos="3045"/>
        </w:tabs>
        <w:autoSpaceDE w:val="0"/>
        <w:autoSpaceDN w:val="0"/>
        <w:adjustRightInd w:val="0"/>
        <w:snapToGrid w:val="0"/>
        <w:spacing w:line="360" w:lineRule="exact"/>
        <w:rPr>
          <w:rFonts w:hint="eastAsia"/>
          <w:i w:val="0"/>
          <w:iCs w:val="0"/>
          <w:color w:val="auto"/>
          <w:highlight w:val="none"/>
        </w:rPr>
      </w:pPr>
      <w:r>
        <w:rPr>
          <w:rFonts w:hint="eastAsia" w:ascii="宋体" w:hAnsi="宋体" w:cs="宋体"/>
          <w:b/>
          <w:i w:val="0"/>
          <w:iCs w:val="0"/>
          <w:color w:val="auto"/>
          <w:sz w:val="24"/>
          <w:highlight w:val="none"/>
        </w:rPr>
        <w:t>符合</w:t>
      </w:r>
      <w:r>
        <w:rPr>
          <w:rFonts w:hint="eastAsia" w:ascii="宋体" w:hAnsi="宋体" w:cs="宋体"/>
          <w:b/>
          <w:i w:val="0"/>
          <w:iCs w:val="0"/>
          <w:color w:val="auto"/>
          <w:sz w:val="24"/>
          <w:highlight w:val="none"/>
          <w:lang w:eastAsia="zh-CN"/>
        </w:rPr>
        <w:t>性</w:t>
      </w:r>
      <w:r>
        <w:rPr>
          <w:rFonts w:hint="eastAsia" w:ascii="宋体" w:hAnsi="宋体" w:cs="宋体"/>
          <w:b/>
          <w:i w:val="0"/>
          <w:iCs w:val="0"/>
          <w:color w:val="auto"/>
          <w:sz w:val="24"/>
          <w:highlight w:val="none"/>
        </w:rPr>
        <w:t>检查</w:t>
      </w:r>
      <w:r>
        <w:rPr>
          <w:rFonts w:hint="eastAsia" w:cs="宋体"/>
          <w:b/>
          <w:i w:val="0"/>
          <w:iCs w:val="0"/>
          <w:color w:val="auto"/>
          <w:sz w:val="24"/>
          <w:highlight w:val="none"/>
          <w:lang w:val="en-US" w:eastAsia="zh-CN"/>
        </w:rPr>
        <w:t>-</w:t>
      </w:r>
      <w:r>
        <w:rPr>
          <w:rFonts w:hint="eastAsia" w:ascii="宋体" w:hAnsi="宋体" w:cs="宋体"/>
          <w:b/>
          <w:i w:val="0"/>
          <w:iCs w:val="0"/>
          <w:color w:val="auto"/>
          <w:sz w:val="24"/>
          <w:highlight w:val="none"/>
        </w:rPr>
        <w:t>附表</w:t>
      </w:r>
    </w:p>
    <w:p w14:paraId="3578AEBC">
      <w:pPr>
        <w:pStyle w:val="4"/>
        <w:keepNext/>
        <w:keepLines/>
        <w:pageBreakBefore w:val="0"/>
        <w:widowControl w:val="0"/>
        <w:numPr>
          <w:ilvl w:val="0"/>
          <w:numId w:val="0"/>
        </w:numPr>
        <w:shd w:val="clear"/>
        <w:kinsoku/>
        <w:wordWrap/>
        <w:overflowPunct/>
        <w:topLinePunct w:val="0"/>
        <w:autoSpaceDE/>
        <w:autoSpaceDN/>
        <w:bidi w:val="0"/>
        <w:adjustRightInd/>
        <w:snapToGrid/>
        <w:spacing w:before="80" w:after="80" w:line="240" w:lineRule="auto"/>
        <w:ind w:left="420" w:leftChars="0" w:hanging="420" w:firstLineChars="0"/>
        <w:jc w:val="center"/>
        <w:textAlignment w:val="auto"/>
        <w:rPr>
          <w:rFonts w:hint="eastAsia" w:ascii="宋体" w:hAnsi="宋体" w:eastAsia="宋体" w:cstheme="minorBidi"/>
          <w:b/>
          <w:bCs/>
          <w:i w:val="0"/>
          <w:iCs w:val="0"/>
          <w:color w:val="auto"/>
          <w:kern w:val="2"/>
          <w:sz w:val="28"/>
          <w:szCs w:val="28"/>
          <w:highlight w:val="none"/>
          <w:lang w:val="zh-CN" w:eastAsia="zh-CN" w:bidi="ar-SA"/>
        </w:rPr>
      </w:pPr>
      <w:bookmarkStart w:id="481" w:name="_Toc30019"/>
      <w:r>
        <w:rPr>
          <w:rFonts w:hint="eastAsia" w:ascii="宋体" w:hAnsi="宋体" w:eastAsia="宋体" w:cstheme="minorBidi"/>
          <w:b/>
          <w:bCs/>
          <w:i w:val="0"/>
          <w:iCs w:val="0"/>
          <w:color w:val="auto"/>
          <w:kern w:val="2"/>
          <w:sz w:val="28"/>
          <w:szCs w:val="28"/>
          <w:highlight w:val="none"/>
          <w:lang w:val="zh-CN" w:eastAsia="zh-CN" w:bidi="ar-SA"/>
        </w:rPr>
        <w:t>实质性响应一览表</w:t>
      </w:r>
      <w:bookmarkEnd w:id="481"/>
    </w:p>
    <w:p w14:paraId="7409ED10">
      <w:pPr>
        <w:shd w:val="clear" w:color="auto"/>
        <w:tabs>
          <w:tab w:val="left" w:pos="3045"/>
        </w:tabs>
        <w:autoSpaceDE w:val="0"/>
        <w:autoSpaceDN w:val="0"/>
        <w:adjustRightInd w:val="0"/>
        <w:snapToGrid w:val="0"/>
        <w:spacing w:line="360" w:lineRule="exact"/>
        <w:jc w:val="center"/>
        <w:rPr>
          <w:rFonts w:hint="eastAsia" w:ascii="宋体" w:hAnsi="宋体" w:cs="宋体"/>
          <w:b/>
          <w:i w:val="0"/>
          <w:iCs w:val="0"/>
          <w:color w:val="auto"/>
          <w:sz w:val="24"/>
          <w:highlight w:val="none"/>
        </w:rPr>
      </w:pPr>
      <w:r>
        <w:rPr>
          <w:rFonts w:hint="eastAsia" w:ascii="宋体" w:hAnsi="宋体" w:cs="宋体"/>
          <w:b w:val="0"/>
          <w:bCs/>
          <w:i w:val="0"/>
          <w:iCs w:val="0"/>
          <w:color w:val="auto"/>
          <w:sz w:val="24"/>
          <w:highlight w:val="none"/>
        </w:rPr>
        <w:t>（供应商须对本附表所有内容逐条响应且无负偏离，否则</w:t>
      </w:r>
      <w:r>
        <w:rPr>
          <w:rFonts w:hint="eastAsia" w:cs="宋体"/>
          <w:b/>
          <w:i w:val="0"/>
          <w:iCs w:val="0"/>
          <w:color w:val="auto"/>
          <w:sz w:val="24"/>
          <w:highlight w:val="none"/>
          <w:lang w:val="en-US" w:eastAsia="zh-CN"/>
        </w:rPr>
        <w:t>响应</w:t>
      </w:r>
      <w:r>
        <w:rPr>
          <w:rFonts w:hint="eastAsia" w:ascii="宋体" w:hAnsi="宋体" w:cs="宋体"/>
          <w:b/>
          <w:i w:val="0"/>
          <w:iCs w:val="0"/>
          <w:color w:val="auto"/>
          <w:sz w:val="24"/>
          <w:highlight w:val="none"/>
        </w:rPr>
        <w:t>无效</w:t>
      </w:r>
      <w:r>
        <w:rPr>
          <w:rFonts w:hint="eastAsia" w:ascii="宋体" w:hAnsi="宋体" w:cs="宋体"/>
          <w:b w:val="0"/>
          <w:bCs/>
          <w:i w:val="0"/>
          <w:iCs w:val="0"/>
          <w:color w:val="auto"/>
          <w:sz w:val="24"/>
          <w:highlight w:val="none"/>
        </w:rPr>
        <w:t>）</w:t>
      </w:r>
    </w:p>
    <w:p w14:paraId="10C8BBE3">
      <w:pPr>
        <w:pStyle w:val="24"/>
        <w:shd w:val="clear"/>
        <w:rPr>
          <w:rFonts w:hint="eastAsia" w:ascii="宋体" w:hAnsi="宋体" w:cs="宋体"/>
          <w:i w:val="0"/>
          <w:iCs w:val="0"/>
          <w:color w:val="auto"/>
          <w:highlight w:val="none"/>
        </w:rPr>
      </w:pPr>
    </w:p>
    <w:tbl>
      <w:tblPr>
        <w:tblStyle w:val="32"/>
        <w:tblW w:w="9134" w:type="dxa"/>
        <w:tblInd w:w="-1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8"/>
        <w:gridCol w:w="2387"/>
        <w:gridCol w:w="3194"/>
        <w:gridCol w:w="2053"/>
        <w:gridCol w:w="732"/>
      </w:tblGrid>
      <w:tr w14:paraId="585A6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768" w:type="dxa"/>
            <w:vMerge w:val="restart"/>
            <w:noWrap w:val="0"/>
            <w:vAlign w:val="center"/>
          </w:tcPr>
          <w:p w14:paraId="4917BA59">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序号</w:t>
            </w:r>
          </w:p>
        </w:tc>
        <w:tc>
          <w:tcPr>
            <w:tcW w:w="5581" w:type="dxa"/>
            <w:gridSpan w:val="2"/>
            <w:noWrap w:val="0"/>
            <w:vAlign w:val="center"/>
          </w:tcPr>
          <w:p w14:paraId="4946C8FE">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eastAsia="zh-CN"/>
              </w:rPr>
              <w:t>磋商</w:t>
            </w:r>
            <w:r>
              <w:rPr>
                <w:rFonts w:hint="eastAsia" w:ascii="宋体" w:hAnsi="宋体" w:eastAsia="宋体" w:cs="宋体"/>
                <w:i w:val="0"/>
                <w:iCs w:val="0"/>
                <w:color w:val="auto"/>
                <w:sz w:val="21"/>
                <w:szCs w:val="21"/>
                <w:highlight w:val="none"/>
              </w:rPr>
              <w:t>文件要求的实质性响应内容</w:t>
            </w:r>
          </w:p>
        </w:tc>
        <w:tc>
          <w:tcPr>
            <w:tcW w:w="2053" w:type="dxa"/>
            <w:vMerge w:val="restart"/>
            <w:noWrap w:val="0"/>
            <w:vAlign w:val="center"/>
          </w:tcPr>
          <w:p w14:paraId="3F0D9325">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供应商</w:t>
            </w:r>
            <w:r>
              <w:rPr>
                <w:rFonts w:hint="eastAsia" w:ascii="宋体" w:hAnsi="宋体" w:eastAsia="宋体" w:cs="宋体"/>
                <w:i w:val="0"/>
                <w:iCs w:val="0"/>
                <w:color w:val="auto"/>
                <w:sz w:val="21"/>
                <w:szCs w:val="21"/>
                <w:highlight w:val="none"/>
                <w:lang w:eastAsia="zh-CN"/>
              </w:rPr>
              <w:t>响应</w:t>
            </w:r>
            <w:r>
              <w:rPr>
                <w:rFonts w:hint="eastAsia" w:ascii="宋体" w:hAnsi="宋体" w:eastAsia="宋体" w:cs="宋体"/>
                <w:i w:val="0"/>
                <w:iCs w:val="0"/>
                <w:color w:val="auto"/>
                <w:sz w:val="21"/>
                <w:szCs w:val="21"/>
                <w:highlight w:val="none"/>
              </w:rPr>
              <w:t>文件具体</w:t>
            </w:r>
            <w:r>
              <w:rPr>
                <w:rFonts w:hint="eastAsia" w:ascii="宋体" w:hAnsi="宋体" w:eastAsia="宋体" w:cs="宋体"/>
                <w:i w:val="0"/>
                <w:iCs w:val="0"/>
                <w:color w:val="auto"/>
                <w:sz w:val="21"/>
                <w:szCs w:val="21"/>
                <w:highlight w:val="none"/>
                <w:lang w:eastAsia="zh-CN"/>
              </w:rPr>
              <w:t>响应</w:t>
            </w:r>
            <w:r>
              <w:rPr>
                <w:rFonts w:hint="eastAsia" w:ascii="宋体" w:hAnsi="宋体" w:eastAsia="宋体" w:cs="宋体"/>
                <w:i w:val="0"/>
                <w:iCs w:val="0"/>
                <w:color w:val="auto"/>
                <w:sz w:val="21"/>
                <w:szCs w:val="21"/>
                <w:highlight w:val="none"/>
              </w:rPr>
              <w:t>内容</w:t>
            </w:r>
          </w:p>
        </w:tc>
        <w:tc>
          <w:tcPr>
            <w:tcW w:w="732" w:type="dxa"/>
            <w:vMerge w:val="restart"/>
            <w:noWrap w:val="0"/>
            <w:vAlign w:val="center"/>
          </w:tcPr>
          <w:p w14:paraId="2A8EB933">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备注</w:t>
            </w:r>
          </w:p>
        </w:tc>
      </w:tr>
      <w:tr w14:paraId="1C7DB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768" w:type="dxa"/>
            <w:vMerge w:val="continue"/>
            <w:noWrap w:val="0"/>
            <w:vAlign w:val="center"/>
          </w:tcPr>
          <w:p w14:paraId="689006BF">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p>
        </w:tc>
        <w:tc>
          <w:tcPr>
            <w:tcW w:w="2387" w:type="dxa"/>
            <w:shd w:val="clear" w:color="auto" w:fill="auto"/>
            <w:noWrap w:val="0"/>
            <w:vAlign w:val="center"/>
          </w:tcPr>
          <w:p w14:paraId="65676608">
            <w:pPr>
              <w:keepNext w:val="0"/>
              <w:keepLines w:val="0"/>
              <w:pageBreakBefore w:val="0"/>
              <w:widowControl w:val="0"/>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lang w:val="en-US" w:eastAsia="zh-CN"/>
              </w:rPr>
              <w:t>实质性要求</w:t>
            </w:r>
          </w:p>
        </w:tc>
        <w:tc>
          <w:tcPr>
            <w:tcW w:w="3194" w:type="dxa"/>
            <w:shd w:val="clear" w:color="auto" w:fill="auto"/>
            <w:noWrap w:val="0"/>
            <w:vAlign w:val="center"/>
          </w:tcPr>
          <w:p w14:paraId="0C1794E1">
            <w:pPr>
              <w:keepNext w:val="0"/>
              <w:keepLines w:val="0"/>
              <w:pageBreakBefore w:val="0"/>
              <w:widowControl w:val="0"/>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lang w:val="en-US" w:eastAsia="zh-CN"/>
              </w:rPr>
              <w:t>磋商文件中的规定</w:t>
            </w:r>
          </w:p>
        </w:tc>
        <w:tc>
          <w:tcPr>
            <w:tcW w:w="2053" w:type="dxa"/>
            <w:vMerge w:val="continue"/>
            <w:noWrap w:val="0"/>
            <w:vAlign w:val="center"/>
          </w:tcPr>
          <w:p w14:paraId="7285BB81">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eastAsia="zh-CN"/>
              </w:rPr>
            </w:pPr>
          </w:p>
        </w:tc>
        <w:tc>
          <w:tcPr>
            <w:tcW w:w="732" w:type="dxa"/>
            <w:vMerge w:val="continue"/>
            <w:noWrap w:val="0"/>
            <w:vAlign w:val="center"/>
          </w:tcPr>
          <w:p w14:paraId="3AD3DBC1">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eastAsia="zh-CN"/>
              </w:rPr>
            </w:pPr>
          </w:p>
        </w:tc>
      </w:tr>
      <w:tr w14:paraId="31863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trPr>
        <w:tc>
          <w:tcPr>
            <w:tcW w:w="768" w:type="dxa"/>
            <w:noWrap w:val="0"/>
            <w:vAlign w:val="center"/>
          </w:tcPr>
          <w:p w14:paraId="56DAFDF8">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w:t>
            </w:r>
          </w:p>
        </w:tc>
        <w:tc>
          <w:tcPr>
            <w:tcW w:w="2387" w:type="dxa"/>
            <w:shd w:val="clear" w:color="auto" w:fill="auto"/>
            <w:noWrap w:val="0"/>
            <w:vAlign w:val="center"/>
          </w:tcPr>
          <w:p w14:paraId="7E5AEFBC">
            <w:pPr>
              <w:keepNext w:val="0"/>
              <w:keepLines w:val="0"/>
              <w:pageBreakBefore w:val="0"/>
              <w:widowControl w:val="0"/>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rPr>
              <w:t>付款条件（进度和方式）</w:t>
            </w:r>
          </w:p>
        </w:tc>
        <w:tc>
          <w:tcPr>
            <w:tcW w:w="3194" w:type="dxa"/>
            <w:shd w:val="clear" w:color="auto" w:fill="auto"/>
            <w:noWrap w:val="0"/>
            <w:vAlign w:val="center"/>
          </w:tcPr>
          <w:p w14:paraId="7631562F">
            <w:pPr>
              <w:keepNext w:val="0"/>
              <w:keepLines w:val="0"/>
              <w:pageBreakBefore w:val="0"/>
              <w:widowControl w:val="0"/>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lang w:val="en-US" w:eastAsia="zh-CN"/>
              </w:rPr>
              <w:t>一次性支付已完成工程项目的造价咨询费。</w:t>
            </w:r>
          </w:p>
        </w:tc>
        <w:tc>
          <w:tcPr>
            <w:tcW w:w="2053" w:type="dxa"/>
            <w:noWrap w:val="0"/>
            <w:vAlign w:val="center"/>
          </w:tcPr>
          <w:p w14:paraId="02AD85DF">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lang w:val="en-US" w:eastAsia="zh-CN"/>
              </w:rPr>
              <w:t>供应商在</w:t>
            </w:r>
            <w:r>
              <w:rPr>
                <w:rFonts w:hint="eastAsia" w:ascii="宋体" w:hAnsi="宋体" w:eastAsia="宋体" w:cs="宋体"/>
                <w:i w:val="0"/>
                <w:iCs w:val="0"/>
                <w:color w:val="auto"/>
                <w:sz w:val="21"/>
                <w:szCs w:val="21"/>
                <w:highlight w:val="none"/>
              </w:rPr>
              <w:t>此处填写</w:t>
            </w:r>
            <w:r>
              <w:rPr>
                <w:rFonts w:hint="eastAsia" w:ascii="宋体" w:hAnsi="宋体" w:eastAsia="宋体" w:cs="宋体"/>
                <w:i w:val="0"/>
                <w:iCs w:val="0"/>
                <w:color w:val="auto"/>
                <w:sz w:val="21"/>
                <w:szCs w:val="21"/>
                <w:highlight w:val="none"/>
                <w:lang w:eastAsia="zh-CN"/>
              </w:rPr>
              <w:t>响应</w:t>
            </w:r>
            <w:r>
              <w:rPr>
                <w:rFonts w:hint="eastAsia" w:ascii="宋体" w:hAnsi="宋体" w:eastAsia="宋体" w:cs="宋体"/>
                <w:i w:val="0"/>
                <w:iCs w:val="0"/>
                <w:color w:val="auto"/>
                <w:sz w:val="21"/>
                <w:szCs w:val="21"/>
                <w:highlight w:val="none"/>
                <w:lang w:val="en-US" w:eastAsia="zh-CN"/>
              </w:rPr>
              <w:t>文件的相关内容</w:t>
            </w:r>
            <w:r>
              <w:rPr>
                <w:rFonts w:hint="eastAsia" w:ascii="宋体" w:hAnsi="宋体" w:eastAsia="宋体" w:cs="宋体"/>
                <w:i w:val="0"/>
                <w:iCs w:val="0"/>
                <w:color w:val="auto"/>
                <w:sz w:val="21"/>
                <w:szCs w:val="21"/>
                <w:highlight w:val="none"/>
                <w:lang w:eastAsia="zh-CN"/>
              </w:rPr>
              <w:t>】</w:t>
            </w:r>
          </w:p>
        </w:tc>
        <w:tc>
          <w:tcPr>
            <w:tcW w:w="732" w:type="dxa"/>
            <w:noWrap w:val="0"/>
            <w:vAlign w:val="center"/>
          </w:tcPr>
          <w:p w14:paraId="790175E1">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48158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768" w:type="dxa"/>
            <w:noWrap w:val="0"/>
            <w:vAlign w:val="center"/>
          </w:tcPr>
          <w:p w14:paraId="4DBE55CE">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w:t>
            </w:r>
          </w:p>
        </w:tc>
        <w:tc>
          <w:tcPr>
            <w:tcW w:w="2387" w:type="dxa"/>
            <w:noWrap w:val="0"/>
            <w:vAlign w:val="center"/>
          </w:tcPr>
          <w:p w14:paraId="46C5CA41">
            <w:pPr>
              <w:keepNext w:val="0"/>
              <w:keepLines w:val="0"/>
              <w:pageBreakBefore w:val="0"/>
              <w:widowControl w:val="0"/>
              <w:kinsoku/>
              <w:wordWrap/>
              <w:overflowPunct/>
              <w:topLinePunct w:val="0"/>
              <w:bidi w:val="0"/>
              <w:adjustRightInd/>
              <w:snapToGrid/>
              <w:spacing w:line="240" w:lineRule="auto"/>
              <w:jc w:val="center"/>
              <w:textAlignment w:val="auto"/>
              <w:rPr>
                <w:rFonts w:hint="eastAsia"/>
                <w:snapToGrid w:val="0"/>
                <w:color w:val="auto"/>
                <w:sz w:val="21"/>
                <w:szCs w:val="21"/>
                <w:highlight w:val="none"/>
              </w:rPr>
            </w:pPr>
            <w:r>
              <w:rPr>
                <w:rFonts w:hint="eastAsia"/>
                <w:snapToGrid w:val="0"/>
                <w:color w:val="auto"/>
                <w:sz w:val="21"/>
                <w:szCs w:val="21"/>
                <w:highlight w:val="none"/>
              </w:rPr>
              <w:t>服务期限</w:t>
            </w:r>
          </w:p>
        </w:tc>
        <w:tc>
          <w:tcPr>
            <w:tcW w:w="3194" w:type="dxa"/>
            <w:noWrap w:val="0"/>
            <w:vAlign w:val="center"/>
          </w:tcPr>
          <w:p w14:paraId="3BD589BE">
            <w:pPr>
              <w:keepNext w:val="0"/>
              <w:keepLines w:val="0"/>
              <w:pageBreakBefore w:val="0"/>
              <w:widowControl w:val="0"/>
              <w:kinsoku/>
              <w:wordWrap/>
              <w:overflowPunct/>
              <w:topLinePunct w:val="0"/>
              <w:bidi w:val="0"/>
              <w:adjustRightInd/>
              <w:snapToGrid/>
              <w:spacing w:line="240" w:lineRule="auto"/>
              <w:jc w:val="center"/>
              <w:textAlignment w:val="auto"/>
              <w:rPr>
                <w:rFonts w:hint="eastAsia"/>
                <w:snapToGrid w:val="0"/>
                <w:color w:val="auto"/>
                <w:sz w:val="21"/>
                <w:szCs w:val="21"/>
                <w:highlight w:val="none"/>
                <w:lang w:eastAsia="zh-CN"/>
              </w:rPr>
            </w:pPr>
            <w:r>
              <w:rPr>
                <w:rFonts w:hint="eastAsia"/>
                <w:snapToGrid w:val="0"/>
                <w:color w:val="auto"/>
                <w:sz w:val="21"/>
                <w:szCs w:val="21"/>
                <w:highlight w:val="none"/>
              </w:rPr>
              <w:t>服务期限2年（以最终项目实施完成时间为准）</w:t>
            </w:r>
          </w:p>
        </w:tc>
        <w:tc>
          <w:tcPr>
            <w:tcW w:w="2053" w:type="dxa"/>
            <w:noWrap w:val="0"/>
            <w:vAlign w:val="center"/>
          </w:tcPr>
          <w:p w14:paraId="2B1B94EB">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1A45D492">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1F749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68" w:type="dxa"/>
            <w:noWrap w:val="0"/>
            <w:vAlign w:val="center"/>
          </w:tcPr>
          <w:p w14:paraId="42A6988A">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w:t>
            </w:r>
          </w:p>
        </w:tc>
        <w:tc>
          <w:tcPr>
            <w:tcW w:w="2387" w:type="dxa"/>
            <w:shd w:val="clear" w:color="auto" w:fill="auto"/>
            <w:noWrap w:val="0"/>
            <w:vAlign w:val="center"/>
          </w:tcPr>
          <w:p w14:paraId="269E23B4">
            <w:pPr>
              <w:keepNext w:val="0"/>
              <w:keepLines w:val="0"/>
              <w:pageBreakBefore w:val="0"/>
              <w:widowControl w:val="0"/>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lang w:eastAsia="zh-CN"/>
              </w:rPr>
              <w:t>响应文件</w:t>
            </w:r>
            <w:r>
              <w:rPr>
                <w:rFonts w:hint="eastAsia"/>
                <w:snapToGrid w:val="0"/>
                <w:color w:val="auto"/>
                <w:sz w:val="21"/>
                <w:szCs w:val="21"/>
                <w:highlight w:val="none"/>
              </w:rPr>
              <w:t>有效期</w:t>
            </w:r>
          </w:p>
        </w:tc>
        <w:tc>
          <w:tcPr>
            <w:tcW w:w="3194" w:type="dxa"/>
            <w:shd w:val="clear" w:color="auto" w:fill="auto"/>
            <w:noWrap w:val="0"/>
            <w:vAlign w:val="center"/>
          </w:tcPr>
          <w:p w14:paraId="22F55BD8">
            <w:pPr>
              <w:keepNext w:val="0"/>
              <w:keepLines w:val="0"/>
              <w:pageBreakBefore w:val="0"/>
              <w:widowControl w:val="0"/>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rPr>
              <w:t>响应文件递交截止日期后90日历日</w:t>
            </w:r>
          </w:p>
        </w:tc>
        <w:tc>
          <w:tcPr>
            <w:tcW w:w="2053" w:type="dxa"/>
            <w:noWrap w:val="0"/>
            <w:vAlign w:val="center"/>
          </w:tcPr>
          <w:p w14:paraId="31CDB36A">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38FA9230">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4B102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68" w:type="dxa"/>
            <w:noWrap w:val="0"/>
            <w:vAlign w:val="center"/>
          </w:tcPr>
          <w:p w14:paraId="68D25EDB">
            <w:pPr>
              <w:keepNext w:val="0"/>
              <w:keepLines w:val="0"/>
              <w:pageBreakBefore w:val="0"/>
              <w:widowControl w:val="0"/>
              <w:kinsoku/>
              <w:wordWrap/>
              <w:overflowPunct/>
              <w:topLinePunct w:val="0"/>
              <w:bidi w:val="0"/>
              <w:adjustRightInd/>
              <w:snapToGrid/>
              <w:spacing w:line="240" w:lineRule="auto"/>
              <w:jc w:val="center"/>
              <w:textAlignment w:val="auto"/>
              <w:rPr>
                <w:rFonts w:hint="default"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4</w:t>
            </w:r>
          </w:p>
        </w:tc>
        <w:tc>
          <w:tcPr>
            <w:tcW w:w="2387" w:type="dxa"/>
            <w:shd w:val="clear" w:color="auto" w:fill="auto"/>
            <w:noWrap w:val="0"/>
            <w:vAlign w:val="center"/>
          </w:tcPr>
          <w:p w14:paraId="27AED178">
            <w:pPr>
              <w:keepNext w:val="0"/>
              <w:keepLines w:val="0"/>
              <w:pageBreakBefore w:val="0"/>
              <w:widowControl w:val="0"/>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lang w:val="en-US" w:eastAsia="zh-CN"/>
              </w:rPr>
              <w:t>参数响应</w:t>
            </w:r>
          </w:p>
        </w:tc>
        <w:tc>
          <w:tcPr>
            <w:tcW w:w="3194" w:type="dxa"/>
            <w:shd w:val="clear" w:color="auto" w:fill="auto"/>
            <w:noWrap w:val="0"/>
            <w:vAlign w:val="center"/>
          </w:tcPr>
          <w:p w14:paraId="40E4A5A1">
            <w:pPr>
              <w:keepNext w:val="0"/>
              <w:keepLines w:val="0"/>
              <w:pageBreakBefore w:val="0"/>
              <w:widowControl w:val="0"/>
              <w:kinsoku/>
              <w:wordWrap/>
              <w:overflowPunct/>
              <w:topLinePunct w:val="0"/>
              <w:bidi w:val="0"/>
              <w:adjustRightInd/>
              <w:snapToGrid/>
              <w:spacing w:line="240" w:lineRule="auto"/>
              <w:jc w:val="both"/>
              <w:textAlignment w:val="auto"/>
              <w:rPr>
                <w:rFonts w:hint="eastAsia"/>
                <w:snapToGrid w:val="0"/>
                <w:color w:val="auto"/>
                <w:sz w:val="21"/>
                <w:szCs w:val="21"/>
                <w:highlight w:val="none"/>
                <w:lang w:val="en-US" w:eastAsia="zh-CN"/>
              </w:rPr>
            </w:pPr>
            <w:r>
              <w:rPr>
                <w:rFonts w:hint="eastAsia"/>
                <w:snapToGrid w:val="0"/>
                <w:color w:val="auto"/>
                <w:sz w:val="21"/>
                <w:szCs w:val="21"/>
                <w:highlight w:val="none"/>
                <w:lang w:val="en-US" w:eastAsia="zh-CN"/>
              </w:rPr>
              <w:t>采购需求章节中的参数仅供参考，但响应参数不得低于采购需求中的要求</w:t>
            </w:r>
          </w:p>
        </w:tc>
        <w:tc>
          <w:tcPr>
            <w:tcW w:w="2053" w:type="dxa"/>
            <w:noWrap w:val="0"/>
            <w:vAlign w:val="center"/>
          </w:tcPr>
          <w:p w14:paraId="6F4F2158">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685E8B91">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224AB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68" w:type="dxa"/>
            <w:noWrap w:val="0"/>
            <w:vAlign w:val="center"/>
          </w:tcPr>
          <w:p w14:paraId="59201EA0">
            <w:pPr>
              <w:keepNext w:val="0"/>
              <w:keepLines w:val="0"/>
              <w:pageBreakBefore w:val="0"/>
              <w:widowControl w:val="0"/>
              <w:kinsoku/>
              <w:wordWrap/>
              <w:overflowPunct/>
              <w:topLinePunct w:val="0"/>
              <w:bidi w:val="0"/>
              <w:adjustRightInd/>
              <w:snapToGrid/>
              <w:spacing w:line="240" w:lineRule="auto"/>
              <w:jc w:val="center"/>
              <w:textAlignment w:val="auto"/>
              <w:rPr>
                <w:rFonts w:hint="default"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5</w:t>
            </w:r>
          </w:p>
        </w:tc>
        <w:tc>
          <w:tcPr>
            <w:tcW w:w="2387" w:type="dxa"/>
            <w:noWrap w:val="0"/>
            <w:vAlign w:val="center"/>
          </w:tcPr>
          <w:p w14:paraId="2259D662">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theme="minorBidi"/>
                <w:snapToGrid w:val="0"/>
                <w:color w:val="auto"/>
                <w:kern w:val="2"/>
                <w:sz w:val="21"/>
                <w:szCs w:val="21"/>
                <w:highlight w:val="none"/>
                <w:lang w:val="en-US" w:eastAsia="zh-CN" w:bidi="ar-SA"/>
              </w:rPr>
            </w:pPr>
            <w:r>
              <w:rPr>
                <w:rFonts w:hint="eastAsia" w:ascii="宋体" w:hAnsi="宋体" w:eastAsia="宋体" w:cstheme="minorBidi"/>
                <w:snapToGrid w:val="0"/>
                <w:color w:val="auto"/>
                <w:kern w:val="2"/>
                <w:sz w:val="21"/>
                <w:szCs w:val="21"/>
                <w:highlight w:val="none"/>
                <w:lang w:val="en-US" w:eastAsia="zh-CN" w:bidi="ar-SA"/>
              </w:rPr>
              <w:t>服务地点</w:t>
            </w:r>
          </w:p>
        </w:tc>
        <w:tc>
          <w:tcPr>
            <w:tcW w:w="3194" w:type="dxa"/>
            <w:noWrap w:val="0"/>
            <w:vAlign w:val="center"/>
          </w:tcPr>
          <w:p w14:paraId="46D6A2D6">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theme="minorBidi"/>
                <w:snapToGrid w:val="0"/>
                <w:color w:val="auto"/>
                <w:kern w:val="2"/>
                <w:sz w:val="21"/>
                <w:szCs w:val="21"/>
                <w:highlight w:val="none"/>
                <w:lang w:val="en-US" w:eastAsia="zh-CN" w:bidi="ar-SA"/>
              </w:rPr>
            </w:pPr>
            <w:r>
              <w:rPr>
                <w:rFonts w:hint="eastAsia" w:ascii="宋体" w:hAnsi="宋体" w:eastAsia="宋体" w:cstheme="minorBidi"/>
                <w:snapToGrid w:val="0"/>
                <w:color w:val="auto"/>
                <w:kern w:val="2"/>
                <w:sz w:val="21"/>
                <w:szCs w:val="21"/>
                <w:highlight w:val="none"/>
                <w:lang w:val="en-US" w:eastAsia="zh-CN" w:bidi="ar-SA"/>
              </w:rPr>
              <w:t>乌鲁木齐市鲤鱼山南路137号，具体以采购人指定地点为准，响应采购人要求。</w:t>
            </w:r>
          </w:p>
        </w:tc>
        <w:tc>
          <w:tcPr>
            <w:tcW w:w="2053" w:type="dxa"/>
            <w:noWrap w:val="0"/>
            <w:vAlign w:val="center"/>
          </w:tcPr>
          <w:p w14:paraId="4C5D3EAC">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78527104">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69D89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68" w:type="dxa"/>
            <w:noWrap w:val="0"/>
            <w:vAlign w:val="center"/>
          </w:tcPr>
          <w:p w14:paraId="122D20DA">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val="en-US" w:eastAsia="zh-CN"/>
              </w:rPr>
            </w:pPr>
          </w:p>
        </w:tc>
        <w:tc>
          <w:tcPr>
            <w:tcW w:w="2387" w:type="dxa"/>
            <w:noWrap w:val="0"/>
            <w:vAlign w:val="center"/>
          </w:tcPr>
          <w:p w14:paraId="07B3700D">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3194" w:type="dxa"/>
            <w:noWrap w:val="0"/>
            <w:vAlign w:val="center"/>
          </w:tcPr>
          <w:p w14:paraId="49CB53C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2053" w:type="dxa"/>
            <w:noWrap w:val="0"/>
            <w:vAlign w:val="center"/>
          </w:tcPr>
          <w:p w14:paraId="58B09F4E">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1E52DAAE">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1D585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68" w:type="dxa"/>
            <w:noWrap w:val="0"/>
            <w:vAlign w:val="center"/>
          </w:tcPr>
          <w:p w14:paraId="702E3E08">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val="en-US" w:eastAsia="zh-CN"/>
              </w:rPr>
            </w:pPr>
          </w:p>
        </w:tc>
        <w:tc>
          <w:tcPr>
            <w:tcW w:w="2387" w:type="dxa"/>
            <w:shd w:val="clear" w:color="auto" w:fill="auto"/>
            <w:noWrap w:val="0"/>
            <w:vAlign w:val="center"/>
          </w:tcPr>
          <w:p w14:paraId="2BD346B4">
            <w:pPr>
              <w:pStyle w:val="51"/>
              <w:spacing w:line="240" w:lineRule="auto"/>
              <w:rPr>
                <w:rFonts w:hint="eastAsia" w:ascii="宋体" w:hAnsi="宋体" w:eastAsia="宋体" w:cs="宋体"/>
                <w:i w:val="0"/>
                <w:iCs w:val="0"/>
                <w:color w:val="auto"/>
                <w:kern w:val="2"/>
                <w:sz w:val="21"/>
                <w:szCs w:val="21"/>
                <w:highlight w:val="none"/>
                <w:lang w:val="zh-CN" w:eastAsia="zh-CN" w:bidi="ar-SA"/>
              </w:rPr>
            </w:pPr>
          </w:p>
        </w:tc>
        <w:tc>
          <w:tcPr>
            <w:tcW w:w="3194" w:type="dxa"/>
            <w:noWrap w:val="0"/>
            <w:vAlign w:val="center"/>
          </w:tcPr>
          <w:p w14:paraId="4867149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eastAsia="zh-CN"/>
              </w:rPr>
            </w:pPr>
          </w:p>
        </w:tc>
        <w:tc>
          <w:tcPr>
            <w:tcW w:w="2053" w:type="dxa"/>
            <w:noWrap w:val="0"/>
            <w:vAlign w:val="center"/>
          </w:tcPr>
          <w:p w14:paraId="6B90F34D">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21746D52">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bl>
    <w:p w14:paraId="2DD2FA75">
      <w:pPr>
        <w:pStyle w:val="24"/>
        <w:shd w:val="clear"/>
        <w:rPr>
          <w:rFonts w:hint="eastAsia" w:ascii="宋体" w:hAnsi="宋体" w:cs="宋体"/>
          <w:i w:val="0"/>
          <w:iCs w:val="0"/>
          <w:color w:val="auto"/>
          <w:highlight w:val="none"/>
        </w:rPr>
      </w:pPr>
    </w:p>
    <w:p w14:paraId="46419E0B">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4C52BB24">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0268B7C1">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565FADAC">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1DBCC185">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7884DD9B">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715C15BE">
      <w:pPr>
        <w:rPr>
          <w:rFonts w:hint="eastAsia" w:ascii="宋体" w:hAnsi="宋体" w:cs="宋体"/>
          <w:b/>
          <w:i w:val="0"/>
          <w:iCs w:val="0"/>
          <w:color w:val="auto"/>
          <w:sz w:val="24"/>
          <w:highlight w:val="none"/>
        </w:rPr>
      </w:pPr>
      <w:r>
        <w:rPr>
          <w:rFonts w:hint="eastAsia" w:ascii="宋体" w:hAnsi="宋体" w:cs="宋体"/>
          <w:b/>
          <w:i w:val="0"/>
          <w:iCs w:val="0"/>
          <w:color w:val="auto"/>
          <w:sz w:val="24"/>
          <w:highlight w:val="none"/>
        </w:rPr>
        <w:br w:type="page"/>
      </w:r>
    </w:p>
    <w:p w14:paraId="0F5FF1C1">
      <w:pPr>
        <w:pStyle w:val="4"/>
        <w:keepNext w:val="0"/>
        <w:keepLines w:val="0"/>
        <w:pageBreakBefore w:val="0"/>
        <w:widowControl w:val="0"/>
        <w:numPr>
          <w:ilvl w:val="0"/>
          <w:numId w:val="5"/>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82" w:name="_Toc19982"/>
      <w:r>
        <w:rPr>
          <w:rFonts w:hint="eastAsia" w:ascii="宋体" w:hAnsi="宋体" w:eastAsia="宋体" w:cs="宋体"/>
          <w:b/>
          <w:bCs/>
          <w:i w:val="0"/>
          <w:iCs w:val="0"/>
          <w:color w:val="auto"/>
          <w:kern w:val="2"/>
          <w:sz w:val="24"/>
          <w:szCs w:val="24"/>
          <w:highlight w:val="none"/>
          <w:lang w:val="zh-CN" w:eastAsia="zh-CN" w:bidi="ar-SA"/>
        </w:rPr>
        <w:t>评分标准</w:t>
      </w:r>
      <w:bookmarkEnd w:id="480"/>
      <w:bookmarkEnd w:id="482"/>
    </w:p>
    <w:tbl>
      <w:tblPr>
        <w:tblStyle w:val="32"/>
        <w:tblW w:w="93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992"/>
        <w:gridCol w:w="988"/>
        <w:gridCol w:w="6142"/>
      </w:tblGrid>
      <w:tr w14:paraId="35213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271" w:type="dxa"/>
            <w:shd w:val="clear" w:color="auto" w:fill="D8D8D8" w:themeFill="background1" w:themeFillShade="D9"/>
            <w:vAlign w:val="center"/>
          </w:tcPr>
          <w:p w14:paraId="2FB5EDF6">
            <w:pPr>
              <w:pStyle w:val="51"/>
              <w:jc w:val="center"/>
              <w:rPr>
                <w:rFonts w:cs="宋体"/>
                <w:b/>
                <w:bCs/>
                <w:color w:val="auto"/>
                <w:szCs w:val="21"/>
                <w:highlight w:val="none"/>
              </w:rPr>
            </w:pPr>
            <w:bookmarkStart w:id="483" w:name="OLE_LINK9"/>
            <w:r>
              <w:rPr>
                <w:rFonts w:hint="eastAsia" w:cs="宋体"/>
                <w:b/>
                <w:bCs/>
                <w:color w:val="auto"/>
                <w:szCs w:val="21"/>
                <w:highlight w:val="none"/>
              </w:rPr>
              <w:t>评标项目</w:t>
            </w:r>
          </w:p>
        </w:tc>
        <w:tc>
          <w:tcPr>
            <w:tcW w:w="992" w:type="dxa"/>
            <w:shd w:val="clear" w:color="auto" w:fill="D8D8D8" w:themeFill="background1" w:themeFillShade="D9"/>
            <w:vAlign w:val="center"/>
          </w:tcPr>
          <w:p w14:paraId="0BEC2FD1">
            <w:pPr>
              <w:pStyle w:val="51"/>
              <w:jc w:val="center"/>
              <w:rPr>
                <w:rFonts w:cs="宋体"/>
                <w:b/>
                <w:bCs/>
                <w:color w:val="auto"/>
                <w:szCs w:val="21"/>
                <w:highlight w:val="none"/>
              </w:rPr>
            </w:pPr>
            <w:r>
              <w:rPr>
                <w:rFonts w:hint="eastAsia" w:cs="宋体"/>
                <w:b/>
                <w:bCs/>
                <w:color w:val="auto"/>
                <w:szCs w:val="21"/>
                <w:highlight w:val="none"/>
              </w:rPr>
              <w:t>评标</w:t>
            </w:r>
          </w:p>
          <w:p w14:paraId="4E91128A">
            <w:pPr>
              <w:pStyle w:val="51"/>
              <w:jc w:val="center"/>
              <w:rPr>
                <w:rFonts w:cs="宋体"/>
                <w:b/>
                <w:bCs/>
                <w:color w:val="auto"/>
                <w:szCs w:val="21"/>
                <w:highlight w:val="none"/>
              </w:rPr>
            </w:pPr>
            <w:r>
              <w:rPr>
                <w:rFonts w:hint="eastAsia" w:cs="宋体"/>
                <w:b/>
                <w:bCs/>
                <w:color w:val="auto"/>
                <w:szCs w:val="21"/>
                <w:highlight w:val="none"/>
              </w:rPr>
              <w:t>分项</w:t>
            </w:r>
          </w:p>
        </w:tc>
        <w:tc>
          <w:tcPr>
            <w:tcW w:w="988" w:type="dxa"/>
            <w:shd w:val="clear" w:color="auto" w:fill="D8D8D8" w:themeFill="background1" w:themeFillShade="D9"/>
            <w:vAlign w:val="center"/>
          </w:tcPr>
          <w:p w14:paraId="4703837E">
            <w:pPr>
              <w:pStyle w:val="51"/>
              <w:jc w:val="center"/>
              <w:rPr>
                <w:rFonts w:cs="宋体"/>
                <w:b/>
                <w:bCs/>
                <w:color w:val="auto"/>
                <w:szCs w:val="21"/>
                <w:highlight w:val="none"/>
              </w:rPr>
            </w:pPr>
            <w:r>
              <w:rPr>
                <w:rFonts w:hint="eastAsia" w:cs="宋体"/>
                <w:b/>
                <w:bCs/>
                <w:color w:val="auto"/>
                <w:szCs w:val="21"/>
                <w:highlight w:val="none"/>
              </w:rPr>
              <w:t>分值</w:t>
            </w:r>
          </w:p>
        </w:tc>
        <w:tc>
          <w:tcPr>
            <w:tcW w:w="6142" w:type="dxa"/>
            <w:shd w:val="clear" w:color="auto" w:fill="D8D8D8" w:themeFill="background1" w:themeFillShade="D9"/>
            <w:vAlign w:val="center"/>
          </w:tcPr>
          <w:p w14:paraId="63E777F4">
            <w:pPr>
              <w:pStyle w:val="51"/>
              <w:jc w:val="center"/>
              <w:rPr>
                <w:rFonts w:cs="宋体"/>
                <w:b/>
                <w:bCs/>
                <w:color w:val="auto"/>
                <w:szCs w:val="21"/>
                <w:highlight w:val="none"/>
              </w:rPr>
            </w:pPr>
            <w:r>
              <w:rPr>
                <w:rFonts w:hint="eastAsia" w:cs="宋体"/>
                <w:b/>
                <w:bCs/>
                <w:color w:val="auto"/>
                <w:szCs w:val="21"/>
                <w:highlight w:val="none"/>
              </w:rPr>
              <w:t>子项目及分值</w:t>
            </w:r>
          </w:p>
        </w:tc>
      </w:tr>
      <w:tr w14:paraId="718FE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8" w:hRule="atLeast"/>
          <w:jc w:val="center"/>
        </w:trPr>
        <w:tc>
          <w:tcPr>
            <w:tcW w:w="1271" w:type="dxa"/>
            <w:vAlign w:val="center"/>
          </w:tcPr>
          <w:p w14:paraId="5E36ABBE">
            <w:pPr>
              <w:pStyle w:val="51"/>
              <w:jc w:val="center"/>
              <w:rPr>
                <w:rFonts w:cs="宋体"/>
                <w:color w:val="auto"/>
                <w:szCs w:val="21"/>
                <w:highlight w:val="none"/>
              </w:rPr>
            </w:pPr>
            <w:r>
              <w:rPr>
                <w:rFonts w:hint="eastAsia" w:cs="宋体"/>
                <w:color w:val="auto"/>
                <w:szCs w:val="21"/>
                <w:highlight w:val="none"/>
              </w:rPr>
              <w:t>价格部分</w:t>
            </w:r>
          </w:p>
          <w:p w14:paraId="17E84BCF">
            <w:pPr>
              <w:pStyle w:val="51"/>
              <w:jc w:val="center"/>
              <w:rPr>
                <w:rFonts w:cs="宋体"/>
                <w:color w:val="auto"/>
                <w:szCs w:val="21"/>
                <w:highlight w:val="none"/>
              </w:rPr>
            </w:pPr>
            <w:r>
              <w:rPr>
                <w:rFonts w:hint="eastAsia" w:cs="宋体"/>
                <w:color w:val="auto"/>
                <w:szCs w:val="21"/>
                <w:highlight w:val="none"/>
              </w:rPr>
              <w:t>（</w:t>
            </w:r>
            <w:r>
              <w:rPr>
                <w:rFonts w:hint="eastAsia" w:cs="宋体"/>
                <w:color w:val="auto"/>
                <w:szCs w:val="21"/>
                <w:highlight w:val="none"/>
                <w:lang w:val="en-US" w:eastAsia="zh-CN"/>
              </w:rPr>
              <w:t>2</w:t>
            </w:r>
            <w:r>
              <w:rPr>
                <w:rFonts w:hint="eastAsia" w:cs="宋体"/>
                <w:color w:val="auto"/>
                <w:szCs w:val="21"/>
                <w:highlight w:val="none"/>
              </w:rPr>
              <w:t>0分）</w:t>
            </w:r>
          </w:p>
        </w:tc>
        <w:tc>
          <w:tcPr>
            <w:tcW w:w="992" w:type="dxa"/>
            <w:tcBorders>
              <w:bottom w:val="single" w:color="auto" w:sz="4" w:space="0"/>
            </w:tcBorders>
            <w:vAlign w:val="center"/>
          </w:tcPr>
          <w:p w14:paraId="6A2CD5E3">
            <w:pPr>
              <w:pStyle w:val="51"/>
              <w:jc w:val="center"/>
              <w:rPr>
                <w:rFonts w:cs="宋体"/>
                <w:color w:val="auto"/>
                <w:szCs w:val="21"/>
                <w:highlight w:val="none"/>
              </w:rPr>
            </w:pPr>
            <w:r>
              <w:rPr>
                <w:rFonts w:hint="eastAsia" w:cs="宋体"/>
                <w:color w:val="auto"/>
                <w:szCs w:val="21"/>
                <w:highlight w:val="none"/>
              </w:rPr>
              <w:t>最后</w:t>
            </w:r>
          </w:p>
          <w:p w14:paraId="5B0EAC82">
            <w:pPr>
              <w:pStyle w:val="51"/>
              <w:jc w:val="center"/>
              <w:rPr>
                <w:rFonts w:cs="宋体"/>
                <w:color w:val="auto"/>
                <w:szCs w:val="21"/>
                <w:highlight w:val="none"/>
              </w:rPr>
            </w:pPr>
            <w:r>
              <w:rPr>
                <w:rFonts w:hint="eastAsia" w:cs="宋体"/>
                <w:color w:val="auto"/>
                <w:szCs w:val="21"/>
                <w:highlight w:val="none"/>
              </w:rPr>
              <w:t>报价</w:t>
            </w:r>
          </w:p>
        </w:tc>
        <w:tc>
          <w:tcPr>
            <w:tcW w:w="988" w:type="dxa"/>
            <w:vAlign w:val="center"/>
          </w:tcPr>
          <w:p w14:paraId="393CF46F">
            <w:pPr>
              <w:pStyle w:val="51"/>
              <w:rPr>
                <w:rFonts w:cs="宋体"/>
                <w:color w:val="auto"/>
                <w:szCs w:val="21"/>
                <w:highlight w:val="none"/>
              </w:rPr>
            </w:pPr>
            <w:r>
              <w:rPr>
                <w:rFonts w:hint="eastAsia" w:cs="宋体"/>
                <w:color w:val="auto"/>
                <w:szCs w:val="21"/>
                <w:highlight w:val="none"/>
              </w:rPr>
              <w:t>（</w:t>
            </w:r>
            <w:r>
              <w:rPr>
                <w:rFonts w:hint="eastAsia" w:cs="宋体"/>
                <w:color w:val="auto"/>
                <w:szCs w:val="21"/>
                <w:highlight w:val="none"/>
                <w:lang w:val="en-US" w:eastAsia="zh-CN"/>
              </w:rPr>
              <w:t>20</w:t>
            </w:r>
            <w:r>
              <w:rPr>
                <w:rFonts w:hint="eastAsia" w:cs="宋体"/>
                <w:color w:val="auto"/>
                <w:szCs w:val="21"/>
                <w:highlight w:val="none"/>
              </w:rPr>
              <w:t>分）</w:t>
            </w:r>
          </w:p>
        </w:tc>
        <w:tc>
          <w:tcPr>
            <w:tcW w:w="6142" w:type="dxa"/>
            <w:vAlign w:val="center"/>
          </w:tcPr>
          <w:p w14:paraId="39AE19F8">
            <w:pPr>
              <w:pStyle w:val="51"/>
              <w:rPr>
                <w:rFonts w:cs="宋体"/>
                <w:color w:val="auto"/>
                <w:szCs w:val="21"/>
                <w:highlight w:val="none"/>
              </w:rPr>
            </w:pPr>
            <w:r>
              <w:rPr>
                <w:rFonts w:hint="eastAsia" w:cs="宋体"/>
                <w:color w:val="auto"/>
                <w:szCs w:val="21"/>
                <w:highlight w:val="none"/>
              </w:rPr>
              <w:t>满足竞争性磋商文件要求且最后报价最低的报价为评审基准价，其价格分为满分。其他供应商的价格分统一按照下列公式计算：</w:t>
            </w:r>
          </w:p>
          <w:p w14:paraId="308773FB">
            <w:pPr>
              <w:pStyle w:val="51"/>
              <w:rPr>
                <w:rFonts w:cs="宋体"/>
                <w:color w:val="auto"/>
                <w:szCs w:val="21"/>
                <w:highlight w:val="none"/>
              </w:rPr>
            </w:pPr>
            <w:r>
              <w:rPr>
                <w:rFonts w:hint="eastAsia" w:cs="宋体"/>
                <w:color w:val="auto"/>
                <w:szCs w:val="21"/>
                <w:highlight w:val="none"/>
              </w:rPr>
              <w:t>报价得分=</w:t>
            </w:r>
            <w:r>
              <w:rPr>
                <w:rFonts w:hint="eastAsia" w:cs="宋体"/>
                <w:color w:val="auto"/>
                <w:szCs w:val="21"/>
                <w:highlight w:val="none"/>
                <w:lang w:val="zh-CN"/>
              </w:rPr>
              <w:t>（磋商基准价/最后磋商报价）</w:t>
            </w:r>
            <w:r>
              <w:rPr>
                <w:rFonts w:hint="eastAsia" w:cs="宋体"/>
                <w:color w:val="auto"/>
                <w:szCs w:val="21"/>
                <w:highlight w:val="none"/>
              </w:rPr>
              <w:t>×价格分值</w:t>
            </w:r>
          </w:p>
          <w:p w14:paraId="33261B3F">
            <w:pPr>
              <w:pStyle w:val="51"/>
              <w:rPr>
                <w:rFonts w:cs="宋体"/>
                <w:color w:val="auto"/>
                <w:szCs w:val="21"/>
                <w:highlight w:val="none"/>
              </w:rPr>
            </w:pPr>
          </w:p>
          <w:p w14:paraId="3994C5A0">
            <w:pPr>
              <w:pStyle w:val="51"/>
              <w:rPr>
                <w:rFonts w:cs="宋体"/>
                <w:color w:val="auto"/>
                <w:szCs w:val="21"/>
                <w:highlight w:val="none"/>
              </w:rPr>
            </w:pPr>
            <w:r>
              <w:rPr>
                <w:rFonts w:hint="eastAsia" w:cs="宋体"/>
                <w:color w:val="auto"/>
                <w:szCs w:val="21"/>
                <w:highlight w:val="none"/>
              </w:rPr>
              <w:t>备注：符合供应商须知中价格扣除规定的，在评审时予以价格扣除，用扣除后的最后报价参与评审。</w:t>
            </w:r>
          </w:p>
        </w:tc>
      </w:tr>
      <w:tr w14:paraId="7E29A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8" w:hRule="atLeast"/>
          <w:jc w:val="center"/>
        </w:trPr>
        <w:tc>
          <w:tcPr>
            <w:tcW w:w="1271" w:type="dxa"/>
            <w:vMerge w:val="restart"/>
            <w:vAlign w:val="center"/>
          </w:tcPr>
          <w:p w14:paraId="2A408DA0">
            <w:pPr>
              <w:pStyle w:val="51"/>
              <w:jc w:val="center"/>
              <w:rPr>
                <w:rFonts w:cs="宋体"/>
                <w:color w:val="auto"/>
                <w:szCs w:val="21"/>
                <w:highlight w:val="none"/>
              </w:rPr>
            </w:pPr>
            <w:r>
              <w:rPr>
                <w:rFonts w:hint="eastAsia" w:cs="宋体"/>
                <w:color w:val="auto"/>
                <w:szCs w:val="21"/>
                <w:highlight w:val="none"/>
              </w:rPr>
              <w:t>商务部分</w:t>
            </w:r>
          </w:p>
          <w:p w14:paraId="2800F04C">
            <w:pPr>
              <w:pStyle w:val="51"/>
              <w:jc w:val="center"/>
              <w:rPr>
                <w:rFonts w:cs="宋体"/>
                <w:color w:val="auto"/>
                <w:szCs w:val="21"/>
                <w:highlight w:val="none"/>
              </w:rPr>
            </w:pPr>
            <w:r>
              <w:rPr>
                <w:rFonts w:hint="eastAsia" w:cs="宋体"/>
                <w:color w:val="auto"/>
                <w:szCs w:val="21"/>
                <w:highlight w:val="none"/>
              </w:rPr>
              <w:t>（</w:t>
            </w:r>
            <w:r>
              <w:rPr>
                <w:rFonts w:hint="eastAsia" w:cs="宋体"/>
                <w:color w:val="auto"/>
                <w:szCs w:val="21"/>
                <w:highlight w:val="none"/>
                <w:lang w:val="en-US" w:eastAsia="zh-CN"/>
              </w:rPr>
              <w:t>25</w:t>
            </w:r>
            <w:r>
              <w:rPr>
                <w:rFonts w:hint="eastAsia" w:cs="宋体"/>
                <w:color w:val="auto"/>
                <w:szCs w:val="21"/>
                <w:highlight w:val="none"/>
              </w:rPr>
              <w:t>分）</w:t>
            </w:r>
          </w:p>
        </w:tc>
        <w:tc>
          <w:tcPr>
            <w:tcW w:w="992" w:type="dxa"/>
            <w:vMerge w:val="restart"/>
            <w:vAlign w:val="center"/>
          </w:tcPr>
          <w:p w14:paraId="7C9BD7FD">
            <w:pPr>
              <w:pStyle w:val="51"/>
              <w:jc w:val="both"/>
              <w:rPr>
                <w:rFonts w:cs="宋体"/>
                <w:color w:val="auto"/>
                <w:szCs w:val="21"/>
                <w:highlight w:val="none"/>
              </w:rPr>
            </w:pPr>
            <w:r>
              <w:rPr>
                <w:rFonts w:hint="eastAsia"/>
                <w:color w:val="auto"/>
                <w:szCs w:val="21"/>
                <w:highlight w:val="none"/>
              </w:rPr>
              <w:t>企业实力</w:t>
            </w:r>
          </w:p>
        </w:tc>
        <w:tc>
          <w:tcPr>
            <w:tcW w:w="988" w:type="dxa"/>
            <w:vAlign w:val="center"/>
          </w:tcPr>
          <w:p w14:paraId="03F7B690">
            <w:pPr>
              <w:pStyle w:val="51"/>
              <w:rPr>
                <w:rFonts w:cs="宋体"/>
                <w:color w:val="auto"/>
                <w:szCs w:val="21"/>
                <w:highlight w:val="none"/>
              </w:rPr>
            </w:pPr>
            <w:r>
              <w:rPr>
                <w:rFonts w:hint="eastAsia"/>
                <w:color w:val="auto"/>
                <w:szCs w:val="21"/>
                <w:highlight w:val="none"/>
              </w:rPr>
              <w:t>（</w:t>
            </w:r>
            <w:r>
              <w:rPr>
                <w:rFonts w:hint="eastAsia"/>
                <w:color w:val="auto"/>
                <w:szCs w:val="21"/>
                <w:highlight w:val="none"/>
                <w:lang w:val="en-US" w:eastAsia="zh-CN"/>
              </w:rPr>
              <w:t>5</w:t>
            </w:r>
            <w:r>
              <w:rPr>
                <w:rFonts w:hint="eastAsia"/>
                <w:color w:val="auto"/>
                <w:szCs w:val="21"/>
                <w:highlight w:val="none"/>
              </w:rPr>
              <w:t>分）</w:t>
            </w:r>
          </w:p>
        </w:tc>
        <w:tc>
          <w:tcPr>
            <w:tcW w:w="6142" w:type="dxa"/>
            <w:vAlign w:val="center"/>
          </w:tcPr>
          <w:p w14:paraId="67F2FF94">
            <w:pPr>
              <w:keepNext w:val="0"/>
              <w:keepLines w:val="0"/>
              <w:widowControl/>
              <w:suppressLineNumbers w:val="0"/>
              <w:jc w:val="both"/>
              <w:textAlignment w:val="center"/>
              <w:rPr>
                <w:rFonts w:hint="eastAsia" w:ascii="宋体" w:hAnsi="宋体" w:eastAsia="宋体" w:cs="宋体"/>
                <w:b w:val="0"/>
                <w:bCs w:val="0"/>
                <w:color w:val="auto"/>
                <w:kern w:val="0"/>
                <w:sz w:val="21"/>
                <w:szCs w:val="21"/>
                <w:highlight w:val="none"/>
                <w:u w:val="none"/>
                <w:lang w:bidi="ar"/>
              </w:rPr>
            </w:pPr>
            <w:r>
              <w:rPr>
                <w:rFonts w:hint="eastAsia" w:ascii="宋体" w:hAnsi="宋体" w:eastAsia="宋体" w:cs="宋体"/>
                <w:b w:val="0"/>
                <w:bCs w:val="0"/>
                <w:color w:val="auto"/>
                <w:kern w:val="0"/>
                <w:sz w:val="21"/>
                <w:szCs w:val="21"/>
                <w:highlight w:val="none"/>
                <w:u w:val="none"/>
                <w:lang w:bidi="ar"/>
              </w:rPr>
              <w:t>供应商提供自202</w:t>
            </w:r>
            <w:r>
              <w:rPr>
                <w:rFonts w:hint="eastAsia" w:ascii="宋体" w:hAnsi="宋体" w:eastAsia="宋体" w:cs="宋体"/>
                <w:b w:val="0"/>
                <w:bCs w:val="0"/>
                <w:color w:val="auto"/>
                <w:kern w:val="0"/>
                <w:sz w:val="21"/>
                <w:szCs w:val="21"/>
                <w:highlight w:val="none"/>
                <w:u w:val="none"/>
                <w:lang w:val="en-US" w:eastAsia="zh-CN" w:bidi="ar"/>
              </w:rPr>
              <w:t>2</w:t>
            </w:r>
            <w:r>
              <w:rPr>
                <w:rFonts w:hint="eastAsia" w:ascii="宋体" w:hAnsi="宋体" w:eastAsia="宋体" w:cs="宋体"/>
                <w:b w:val="0"/>
                <w:bCs w:val="0"/>
                <w:color w:val="auto"/>
                <w:kern w:val="0"/>
                <w:sz w:val="21"/>
                <w:szCs w:val="21"/>
                <w:highlight w:val="none"/>
                <w:u w:val="none"/>
                <w:lang w:bidi="ar"/>
              </w:rPr>
              <w:t>年01月01日至今已完成的类似业绩（以中标/成交通知书发出时间或合同签订时间为准），每提供一份业绩得</w:t>
            </w:r>
            <w:r>
              <w:rPr>
                <w:rFonts w:hint="eastAsia" w:cs="宋体"/>
                <w:b w:val="0"/>
                <w:bCs w:val="0"/>
                <w:color w:val="auto"/>
                <w:kern w:val="0"/>
                <w:sz w:val="21"/>
                <w:szCs w:val="21"/>
                <w:highlight w:val="none"/>
                <w:u w:val="none"/>
                <w:lang w:val="en-US" w:eastAsia="zh-CN" w:bidi="ar"/>
              </w:rPr>
              <w:t>1</w:t>
            </w:r>
            <w:r>
              <w:rPr>
                <w:rFonts w:hint="eastAsia" w:ascii="宋体" w:hAnsi="宋体" w:eastAsia="宋体" w:cs="宋体"/>
                <w:b w:val="0"/>
                <w:bCs w:val="0"/>
                <w:color w:val="auto"/>
                <w:kern w:val="0"/>
                <w:sz w:val="21"/>
                <w:szCs w:val="21"/>
                <w:highlight w:val="none"/>
                <w:u w:val="none"/>
                <w:lang w:bidi="ar"/>
              </w:rPr>
              <w:t>分，最高得</w:t>
            </w:r>
            <w:r>
              <w:rPr>
                <w:rFonts w:hint="eastAsia" w:cs="宋体"/>
                <w:b w:val="0"/>
                <w:bCs w:val="0"/>
                <w:color w:val="auto"/>
                <w:kern w:val="0"/>
                <w:sz w:val="21"/>
                <w:szCs w:val="21"/>
                <w:highlight w:val="none"/>
                <w:u w:val="none"/>
                <w:lang w:val="en-US" w:eastAsia="zh-CN" w:bidi="ar"/>
              </w:rPr>
              <w:t>5</w:t>
            </w:r>
            <w:r>
              <w:rPr>
                <w:rFonts w:hint="eastAsia" w:ascii="宋体" w:hAnsi="宋体" w:eastAsia="宋体" w:cs="宋体"/>
                <w:b w:val="0"/>
                <w:bCs w:val="0"/>
                <w:color w:val="auto"/>
                <w:kern w:val="0"/>
                <w:sz w:val="21"/>
                <w:szCs w:val="21"/>
                <w:highlight w:val="none"/>
                <w:u w:val="none"/>
                <w:lang w:bidi="ar"/>
              </w:rPr>
              <w:t>分。</w:t>
            </w:r>
          </w:p>
          <w:p w14:paraId="20F59569">
            <w:pPr>
              <w:rPr>
                <w:rFonts w:hint="eastAsia" w:cs="宋体"/>
                <w:bCs/>
                <w:color w:val="auto"/>
                <w:sz w:val="21"/>
                <w:szCs w:val="21"/>
                <w:highlight w:val="none"/>
                <w:lang w:val="en-GB"/>
              </w:rPr>
            </w:pPr>
            <w:r>
              <w:rPr>
                <w:rFonts w:hint="eastAsia" w:ascii="宋体" w:hAnsi="宋体" w:eastAsia="宋体" w:cs="宋体"/>
                <w:b/>
                <w:bCs/>
                <w:color w:val="auto"/>
                <w:kern w:val="0"/>
                <w:sz w:val="21"/>
                <w:szCs w:val="21"/>
                <w:highlight w:val="none"/>
                <w:u w:val="none"/>
                <w:lang w:bidi="ar"/>
              </w:rPr>
              <w:t>注：</w:t>
            </w:r>
            <w:r>
              <w:rPr>
                <w:rFonts w:hint="eastAsia" w:ascii="宋体" w:hAnsi="宋体" w:eastAsia="宋体" w:cs="宋体"/>
                <w:b/>
                <w:bCs/>
                <w:color w:val="auto"/>
                <w:kern w:val="0"/>
                <w:sz w:val="21"/>
                <w:szCs w:val="21"/>
                <w:highlight w:val="none"/>
                <w:u w:val="none"/>
                <w:lang w:val="en-US" w:eastAsia="zh-CN" w:bidi="ar"/>
              </w:rPr>
              <w:t>提供成交/中标通知书或合同原件扫描件加盖公章，日期以成交/中标通知书发出日期或合同签订日期为准。未提供及提供材料不全的本项不得分。</w:t>
            </w:r>
          </w:p>
        </w:tc>
      </w:tr>
      <w:tr w14:paraId="381FB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7" w:hRule="atLeast"/>
          <w:jc w:val="center"/>
        </w:trPr>
        <w:tc>
          <w:tcPr>
            <w:tcW w:w="1271" w:type="dxa"/>
            <w:vMerge w:val="continue"/>
            <w:vAlign w:val="center"/>
          </w:tcPr>
          <w:p w14:paraId="155278DF">
            <w:pPr>
              <w:pStyle w:val="51"/>
              <w:jc w:val="center"/>
              <w:rPr>
                <w:rFonts w:hint="eastAsia" w:cs="宋体"/>
                <w:color w:val="auto"/>
                <w:szCs w:val="21"/>
                <w:highlight w:val="none"/>
              </w:rPr>
            </w:pPr>
          </w:p>
        </w:tc>
        <w:tc>
          <w:tcPr>
            <w:tcW w:w="992" w:type="dxa"/>
            <w:vMerge w:val="continue"/>
            <w:vAlign w:val="center"/>
          </w:tcPr>
          <w:p w14:paraId="20913AC2">
            <w:pPr>
              <w:pStyle w:val="51"/>
              <w:jc w:val="both"/>
              <w:rPr>
                <w:rFonts w:hint="eastAsia"/>
                <w:color w:val="auto"/>
                <w:szCs w:val="21"/>
                <w:highlight w:val="none"/>
              </w:rPr>
            </w:pPr>
          </w:p>
        </w:tc>
        <w:tc>
          <w:tcPr>
            <w:tcW w:w="988" w:type="dxa"/>
            <w:vAlign w:val="center"/>
          </w:tcPr>
          <w:p w14:paraId="4839A6A4">
            <w:pPr>
              <w:pStyle w:val="51"/>
              <w:rPr>
                <w:rFonts w:hint="eastAsia"/>
                <w:color w:val="auto"/>
                <w:szCs w:val="21"/>
                <w:highlight w:val="none"/>
              </w:rPr>
            </w:pPr>
            <w:r>
              <w:rPr>
                <w:rFonts w:hint="eastAsia"/>
                <w:color w:val="auto"/>
                <w:szCs w:val="21"/>
                <w:highlight w:val="none"/>
              </w:rPr>
              <w:t>（</w:t>
            </w:r>
            <w:r>
              <w:rPr>
                <w:rFonts w:hint="eastAsia"/>
                <w:color w:val="auto"/>
                <w:szCs w:val="21"/>
                <w:highlight w:val="none"/>
                <w:lang w:val="en-US" w:eastAsia="zh-CN"/>
              </w:rPr>
              <w:t>5</w:t>
            </w:r>
            <w:r>
              <w:rPr>
                <w:rFonts w:hint="eastAsia"/>
                <w:color w:val="auto"/>
                <w:szCs w:val="21"/>
                <w:highlight w:val="none"/>
              </w:rPr>
              <w:t>分）</w:t>
            </w:r>
          </w:p>
        </w:tc>
        <w:tc>
          <w:tcPr>
            <w:tcW w:w="6142" w:type="dxa"/>
            <w:vAlign w:val="center"/>
          </w:tcPr>
          <w:p w14:paraId="7770259B">
            <w:pPr>
              <w:rPr>
                <w:rFonts w:hint="eastAsia" w:ascii="宋体" w:hAnsi="宋体" w:eastAsia="宋体" w:cs="宋体"/>
                <w:b w:val="0"/>
                <w:bCs w:val="0"/>
                <w:color w:val="auto"/>
                <w:kern w:val="0"/>
                <w:sz w:val="21"/>
                <w:szCs w:val="21"/>
                <w:highlight w:val="none"/>
                <w:u w:val="none"/>
                <w:lang w:bidi="ar"/>
              </w:rPr>
            </w:pPr>
            <w:r>
              <w:rPr>
                <w:rFonts w:hint="eastAsia" w:ascii="宋体" w:hAnsi="宋体" w:eastAsia="宋体" w:cs="宋体"/>
                <w:b w:val="0"/>
                <w:bCs w:val="0"/>
                <w:color w:val="auto"/>
                <w:kern w:val="0"/>
                <w:sz w:val="21"/>
                <w:szCs w:val="21"/>
                <w:highlight w:val="none"/>
                <w:u w:val="none"/>
                <w:lang w:bidi="ar"/>
              </w:rPr>
              <w:t>具备正版专业预（结）算软件10套及以上得2分，少一套扣0.5分。多一套加0.5分，增加项最多计6项。（附图片以及编号等基本信息）</w:t>
            </w:r>
          </w:p>
        </w:tc>
      </w:tr>
      <w:tr w14:paraId="64B1C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jc w:val="center"/>
        </w:trPr>
        <w:tc>
          <w:tcPr>
            <w:tcW w:w="1271" w:type="dxa"/>
            <w:vMerge w:val="continue"/>
            <w:vAlign w:val="center"/>
          </w:tcPr>
          <w:p w14:paraId="1EEBE502">
            <w:pPr>
              <w:pStyle w:val="51"/>
              <w:jc w:val="center"/>
              <w:rPr>
                <w:rFonts w:hint="eastAsia" w:cs="宋体"/>
                <w:color w:val="auto"/>
                <w:szCs w:val="21"/>
                <w:highlight w:val="none"/>
              </w:rPr>
            </w:pPr>
          </w:p>
        </w:tc>
        <w:tc>
          <w:tcPr>
            <w:tcW w:w="992" w:type="dxa"/>
            <w:vMerge w:val="continue"/>
            <w:tcBorders>
              <w:bottom w:val="single" w:color="auto" w:sz="4" w:space="0"/>
            </w:tcBorders>
            <w:vAlign w:val="center"/>
          </w:tcPr>
          <w:p w14:paraId="54BECA2C">
            <w:pPr>
              <w:pStyle w:val="51"/>
              <w:jc w:val="both"/>
              <w:rPr>
                <w:rFonts w:hint="eastAsia"/>
                <w:color w:val="auto"/>
                <w:szCs w:val="21"/>
                <w:highlight w:val="none"/>
              </w:rPr>
            </w:pPr>
          </w:p>
        </w:tc>
        <w:tc>
          <w:tcPr>
            <w:tcW w:w="988" w:type="dxa"/>
            <w:vAlign w:val="center"/>
          </w:tcPr>
          <w:p w14:paraId="0D1CA431">
            <w:pPr>
              <w:pStyle w:val="51"/>
              <w:rPr>
                <w:rFonts w:hint="eastAsia"/>
                <w:color w:val="auto"/>
                <w:szCs w:val="21"/>
                <w:highlight w:val="none"/>
              </w:rPr>
            </w:pPr>
            <w:r>
              <w:rPr>
                <w:rFonts w:hint="eastAsia"/>
                <w:color w:val="auto"/>
                <w:szCs w:val="21"/>
                <w:highlight w:val="none"/>
              </w:rPr>
              <w:t>（</w:t>
            </w:r>
            <w:r>
              <w:rPr>
                <w:rFonts w:hint="eastAsia"/>
                <w:color w:val="auto"/>
                <w:szCs w:val="21"/>
                <w:highlight w:val="none"/>
                <w:lang w:val="en-US" w:eastAsia="zh-CN"/>
              </w:rPr>
              <w:t>3</w:t>
            </w:r>
            <w:r>
              <w:rPr>
                <w:rFonts w:hint="eastAsia"/>
                <w:color w:val="auto"/>
                <w:szCs w:val="21"/>
                <w:highlight w:val="none"/>
              </w:rPr>
              <w:t>分）</w:t>
            </w:r>
          </w:p>
        </w:tc>
        <w:tc>
          <w:tcPr>
            <w:tcW w:w="6142" w:type="dxa"/>
            <w:vAlign w:val="center"/>
          </w:tcPr>
          <w:p w14:paraId="7FFB6A03">
            <w:pPr>
              <w:rPr>
                <w:rFonts w:hint="eastAsia" w:ascii="宋体" w:hAnsi="宋体" w:eastAsia="宋体" w:cs="宋体"/>
                <w:b w:val="0"/>
                <w:bCs w:val="0"/>
                <w:color w:val="auto"/>
                <w:kern w:val="0"/>
                <w:sz w:val="21"/>
                <w:szCs w:val="21"/>
                <w:highlight w:val="none"/>
                <w:u w:val="none"/>
                <w:lang w:bidi="ar"/>
              </w:rPr>
            </w:pPr>
            <w:r>
              <w:rPr>
                <w:rFonts w:hint="eastAsia" w:ascii="宋体" w:hAnsi="宋体" w:eastAsia="宋体" w:cs="宋体"/>
                <w:b w:val="0"/>
                <w:bCs w:val="0"/>
                <w:color w:val="auto"/>
                <w:kern w:val="0"/>
                <w:sz w:val="21"/>
                <w:szCs w:val="21"/>
                <w:highlight w:val="none"/>
                <w:u w:val="none"/>
                <w:lang w:bidi="ar"/>
              </w:rPr>
              <w:t>在本地有固定的营业场所（需提供办公场所照片及房屋租赁合同或房屋买卖合同复印件。</w:t>
            </w:r>
          </w:p>
        </w:tc>
      </w:tr>
      <w:tr w14:paraId="1E053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8" w:hRule="atLeast"/>
          <w:jc w:val="center"/>
        </w:trPr>
        <w:tc>
          <w:tcPr>
            <w:tcW w:w="1271" w:type="dxa"/>
            <w:vMerge w:val="continue"/>
            <w:vAlign w:val="center"/>
          </w:tcPr>
          <w:p w14:paraId="279976FA">
            <w:pPr>
              <w:pStyle w:val="51"/>
              <w:jc w:val="center"/>
              <w:rPr>
                <w:rFonts w:hint="eastAsia" w:cs="宋体"/>
                <w:color w:val="auto"/>
                <w:szCs w:val="21"/>
                <w:highlight w:val="none"/>
              </w:rPr>
            </w:pPr>
          </w:p>
        </w:tc>
        <w:tc>
          <w:tcPr>
            <w:tcW w:w="992" w:type="dxa"/>
            <w:tcBorders>
              <w:bottom w:val="single" w:color="auto" w:sz="4" w:space="0"/>
            </w:tcBorders>
            <w:vAlign w:val="center"/>
          </w:tcPr>
          <w:p w14:paraId="258133D0">
            <w:pPr>
              <w:pStyle w:val="51"/>
              <w:jc w:val="both"/>
              <w:rPr>
                <w:rFonts w:hint="default"/>
                <w:color w:val="auto"/>
                <w:szCs w:val="21"/>
                <w:highlight w:val="none"/>
                <w:lang w:val="en-US"/>
              </w:rPr>
            </w:pPr>
            <w:r>
              <w:rPr>
                <w:rFonts w:hint="eastAsia" w:ascii="宋体" w:hAnsi="宋体" w:eastAsia="宋体" w:cs="宋体"/>
                <w:i w:val="0"/>
                <w:iCs w:val="0"/>
                <w:color w:val="auto"/>
                <w:kern w:val="0"/>
                <w:sz w:val="21"/>
                <w:szCs w:val="21"/>
                <w:highlight w:val="none"/>
                <w:u w:val="none"/>
                <w:lang w:val="en-US" w:eastAsia="zh-CN" w:bidi="ar"/>
              </w:rPr>
              <w:t>项目负责人业绩</w:t>
            </w:r>
          </w:p>
        </w:tc>
        <w:tc>
          <w:tcPr>
            <w:tcW w:w="988" w:type="dxa"/>
            <w:vAlign w:val="center"/>
          </w:tcPr>
          <w:p w14:paraId="5A5F7140">
            <w:pPr>
              <w:pStyle w:val="51"/>
              <w:rPr>
                <w:rFonts w:hint="eastAsia"/>
                <w:color w:val="auto"/>
                <w:szCs w:val="21"/>
                <w:highlight w:val="none"/>
              </w:rPr>
            </w:pPr>
            <w:r>
              <w:rPr>
                <w:rFonts w:hint="eastAsia" w:ascii="宋体" w:hAnsi="宋体" w:eastAsia="宋体" w:cs="宋体"/>
                <w:i w:val="0"/>
                <w:iCs w:val="0"/>
                <w:color w:val="auto"/>
                <w:kern w:val="0"/>
                <w:sz w:val="21"/>
                <w:szCs w:val="21"/>
                <w:highlight w:val="none"/>
                <w:u w:val="none"/>
                <w:lang w:val="en-US" w:eastAsia="zh-CN" w:bidi="ar"/>
              </w:rPr>
              <w:t>（</w:t>
            </w:r>
            <w:r>
              <w:rPr>
                <w:rFonts w:hint="eastAsia" w:cs="宋体"/>
                <w:i w:val="0"/>
                <w:iCs w:val="0"/>
                <w:color w:val="auto"/>
                <w:kern w:val="0"/>
                <w:sz w:val="21"/>
                <w:szCs w:val="21"/>
                <w:highlight w:val="none"/>
                <w:u w:val="none"/>
                <w:lang w:val="en-US" w:eastAsia="zh-CN" w:bidi="ar"/>
              </w:rPr>
              <w:t>6</w:t>
            </w:r>
            <w:r>
              <w:rPr>
                <w:rFonts w:hint="eastAsia" w:ascii="宋体" w:hAnsi="宋体" w:eastAsia="宋体" w:cs="宋体"/>
                <w:i w:val="0"/>
                <w:iCs w:val="0"/>
                <w:color w:val="auto"/>
                <w:kern w:val="0"/>
                <w:sz w:val="21"/>
                <w:szCs w:val="21"/>
                <w:highlight w:val="none"/>
                <w:u w:val="none"/>
                <w:lang w:val="en-US" w:eastAsia="zh-CN" w:bidi="ar"/>
              </w:rPr>
              <w:t>分）</w:t>
            </w:r>
          </w:p>
        </w:tc>
        <w:tc>
          <w:tcPr>
            <w:tcW w:w="6142" w:type="dxa"/>
            <w:vAlign w:val="center"/>
          </w:tcPr>
          <w:p w14:paraId="3C7F396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项目负责人提供自2022年01月01日至今已完成的类似业绩（中标/成交通知书发出时间或合同签订时间为准），每提供一份业绩得</w:t>
            </w:r>
            <w:r>
              <w:rPr>
                <w:rFonts w:hint="eastAsia" w:cs="宋体"/>
                <w:i w:val="0"/>
                <w:iCs w:val="0"/>
                <w:color w:val="auto"/>
                <w:kern w:val="0"/>
                <w:sz w:val="21"/>
                <w:szCs w:val="21"/>
                <w:highlight w:val="none"/>
                <w:u w:val="none"/>
                <w:lang w:val="en-US" w:eastAsia="zh-CN" w:bidi="ar"/>
              </w:rPr>
              <w:t>2</w:t>
            </w:r>
            <w:r>
              <w:rPr>
                <w:rFonts w:hint="eastAsia" w:ascii="宋体" w:hAnsi="宋体" w:eastAsia="宋体" w:cs="宋体"/>
                <w:i w:val="0"/>
                <w:iCs w:val="0"/>
                <w:color w:val="auto"/>
                <w:kern w:val="0"/>
                <w:sz w:val="21"/>
                <w:szCs w:val="21"/>
                <w:highlight w:val="none"/>
                <w:u w:val="none"/>
                <w:lang w:val="en-US" w:eastAsia="zh-CN" w:bidi="ar"/>
              </w:rPr>
              <w:t>分，最高得</w:t>
            </w:r>
            <w:r>
              <w:rPr>
                <w:rFonts w:hint="eastAsia" w:cs="宋体"/>
                <w:i w:val="0"/>
                <w:iCs w:val="0"/>
                <w:color w:val="auto"/>
                <w:kern w:val="0"/>
                <w:sz w:val="21"/>
                <w:szCs w:val="21"/>
                <w:highlight w:val="none"/>
                <w:u w:val="none"/>
                <w:lang w:val="en-US" w:eastAsia="zh-CN" w:bidi="ar"/>
              </w:rPr>
              <w:t>6</w:t>
            </w:r>
            <w:r>
              <w:rPr>
                <w:rFonts w:hint="eastAsia" w:ascii="宋体" w:hAnsi="宋体" w:eastAsia="宋体" w:cs="宋体"/>
                <w:i w:val="0"/>
                <w:iCs w:val="0"/>
                <w:color w:val="auto"/>
                <w:kern w:val="0"/>
                <w:sz w:val="21"/>
                <w:szCs w:val="21"/>
                <w:highlight w:val="none"/>
                <w:u w:val="none"/>
                <w:lang w:val="en-US" w:eastAsia="zh-CN" w:bidi="ar"/>
              </w:rPr>
              <w:t>分。</w:t>
            </w:r>
          </w:p>
          <w:p w14:paraId="701BABAB">
            <w:pPr>
              <w:rPr>
                <w:rFonts w:hint="eastAsia" w:ascii="宋体" w:hAnsi="宋体" w:eastAsia="宋体" w:cs="宋体"/>
                <w:b/>
                <w:bCs/>
                <w:color w:val="auto"/>
                <w:kern w:val="0"/>
                <w:sz w:val="21"/>
                <w:szCs w:val="21"/>
                <w:highlight w:val="none"/>
                <w:u w:val="none"/>
                <w:lang w:bidi="ar"/>
              </w:rPr>
            </w:pPr>
            <w:r>
              <w:rPr>
                <w:rFonts w:hint="eastAsia" w:ascii="宋体" w:hAnsi="宋体" w:eastAsia="宋体" w:cs="宋体"/>
                <w:b/>
                <w:bCs/>
                <w:i w:val="0"/>
                <w:iCs w:val="0"/>
                <w:color w:val="auto"/>
                <w:kern w:val="0"/>
                <w:sz w:val="21"/>
                <w:szCs w:val="21"/>
                <w:highlight w:val="none"/>
                <w:u w:val="none"/>
                <w:lang w:val="en-US" w:eastAsia="zh-CN" w:bidi="ar"/>
              </w:rPr>
              <w:t>注：提供成交/中标通知书或合同</w:t>
            </w:r>
            <w:r>
              <w:rPr>
                <w:rFonts w:hint="eastAsia" w:ascii="宋体" w:hAnsi="宋体" w:eastAsia="宋体" w:cs="宋体"/>
                <w:b/>
                <w:bCs w:val="0"/>
                <w:color w:val="auto"/>
                <w:sz w:val="21"/>
                <w:szCs w:val="21"/>
                <w:highlight w:val="none"/>
                <w:lang w:val="en-US" w:eastAsia="zh-CN"/>
              </w:rPr>
              <w:t>原件扫描件加盖公章</w:t>
            </w:r>
            <w:r>
              <w:rPr>
                <w:rFonts w:hint="eastAsia" w:ascii="宋体" w:hAnsi="宋体" w:eastAsia="宋体" w:cs="宋体"/>
                <w:b/>
                <w:bCs/>
                <w:i w:val="0"/>
                <w:iCs w:val="0"/>
                <w:color w:val="auto"/>
                <w:kern w:val="0"/>
                <w:sz w:val="21"/>
                <w:szCs w:val="21"/>
                <w:highlight w:val="none"/>
                <w:u w:val="none"/>
                <w:lang w:val="en-US" w:eastAsia="zh-CN" w:bidi="ar"/>
              </w:rPr>
              <w:t>，日期以成交/中标通知书发出日期或合同签订日期为准。证明材料需显示项目负责人姓名，未提供及提供材料不全的本项不得分。</w:t>
            </w:r>
          </w:p>
        </w:tc>
      </w:tr>
      <w:tr w14:paraId="6AA2F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1271" w:type="dxa"/>
            <w:vMerge w:val="continue"/>
            <w:vAlign w:val="center"/>
          </w:tcPr>
          <w:p w14:paraId="75B42E54">
            <w:pPr>
              <w:pStyle w:val="51"/>
              <w:jc w:val="center"/>
              <w:rPr>
                <w:rFonts w:cs="宋体"/>
                <w:color w:val="auto"/>
                <w:szCs w:val="21"/>
                <w:highlight w:val="none"/>
              </w:rPr>
            </w:pPr>
          </w:p>
        </w:tc>
        <w:tc>
          <w:tcPr>
            <w:tcW w:w="992" w:type="dxa"/>
            <w:vAlign w:val="center"/>
          </w:tcPr>
          <w:p w14:paraId="65C255DB">
            <w:pPr>
              <w:widowControl/>
              <w:rPr>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管理人员配置</w:t>
            </w:r>
          </w:p>
        </w:tc>
        <w:tc>
          <w:tcPr>
            <w:tcW w:w="988" w:type="dxa"/>
            <w:shd w:val="clear" w:color="auto" w:fill="auto"/>
            <w:vAlign w:val="center"/>
          </w:tcPr>
          <w:p w14:paraId="701E4BE1">
            <w:pPr>
              <w:widowControl/>
              <w:rPr>
                <w:color w:val="auto"/>
                <w:sz w:val="21"/>
                <w:szCs w:val="21"/>
                <w:highlight w:val="none"/>
              </w:rPr>
            </w:pPr>
            <w:r>
              <w:rPr>
                <w:rFonts w:hint="eastAsia"/>
                <w:color w:val="auto"/>
                <w:sz w:val="21"/>
                <w:szCs w:val="21"/>
                <w:highlight w:val="none"/>
              </w:rPr>
              <w:t>（</w:t>
            </w:r>
            <w:r>
              <w:rPr>
                <w:rFonts w:hint="eastAsia"/>
                <w:color w:val="auto"/>
                <w:sz w:val="21"/>
                <w:szCs w:val="21"/>
                <w:highlight w:val="none"/>
                <w:lang w:val="en-US" w:eastAsia="zh-CN"/>
              </w:rPr>
              <w:t>6</w:t>
            </w:r>
            <w:r>
              <w:rPr>
                <w:rFonts w:hint="eastAsia"/>
                <w:color w:val="auto"/>
                <w:sz w:val="21"/>
                <w:szCs w:val="21"/>
                <w:highlight w:val="none"/>
              </w:rPr>
              <w:t>分）</w:t>
            </w:r>
          </w:p>
        </w:tc>
        <w:tc>
          <w:tcPr>
            <w:tcW w:w="6142" w:type="dxa"/>
            <w:shd w:val="clear" w:color="auto" w:fill="auto"/>
            <w:vAlign w:val="center"/>
          </w:tcPr>
          <w:p w14:paraId="1E62DD5E">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针对本项目配置人员，除项目负责人以外，每增加一名一级注册造价工程师，本单位注册，且在有效期内得3分，最多得6分。</w:t>
            </w:r>
          </w:p>
          <w:p w14:paraId="1ED1E543">
            <w:pPr>
              <w:widowControl/>
              <w:rPr>
                <w:rFonts w:ascii="Calibri" w:hAnsi="Calibri" w:cs="Calibri"/>
                <w:color w:val="auto"/>
                <w:sz w:val="21"/>
                <w:szCs w:val="21"/>
                <w:highlight w:val="none"/>
              </w:rPr>
            </w:pPr>
            <w:r>
              <w:rPr>
                <w:rFonts w:hint="eastAsia" w:ascii="宋体" w:hAnsi="宋体" w:eastAsia="宋体" w:cs="宋体"/>
                <w:b/>
                <w:bCs w:val="0"/>
                <w:color w:val="auto"/>
                <w:sz w:val="21"/>
                <w:szCs w:val="21"/>
                <w:highlight w:val="none"/>
              </w:rPr>
              <w:t>注：技术文件中提供相关人员</w:t>
            </w:r>
            <w:r>
              <w:rPr>
                <w:rFonts w:hint="eastAsia" w:ascii="宋体" w:hAnsi="宋体" w:eastAsia="宋体" w:cs="宋体"/>
                <w:b/>
                <w:bCs w:val="0"/>
                <w:color w:val="auto"/>
                <w:sz w:val="21"/>
                <w:szCs w:val="21"/>
                <w:highlight w:val="none"/>
                <w:lang w:val="en-US" w:eastAsia="zh-CN"/>
              </w:rPr>
              <w:t>劳动合同、</w:t>
            </w:r>
            <w:r>
              <w:rPr>
                <w:rFonts w:hint="eastAsia" w:ascii="宋体" w:hAnsi="宋体" w:eastAsia="宋体" w:cs="宋体"/>
                <w:b/>
                <w:bCs w:val="0"/>
                <w:color w:val="auto"/>
                <w:sz w:val="21"/>
                <w:szCs w:val="21"/>
                <w:highlight w:val="none"/>
              </w:rPr>
              <w:t>职称证书原件彩色扫描件加盖单位公章，否则不</w:t>
            </w:r>
            <w:r>
              <w:rPr>
                <w:rFonts w:hint="eastAsia" w:ascii="宋体" w:hAnsi="宋体" w:eastAsia="宋体" w:cs="宋体"/>
                <w:b/>
                <w:bCs w:val="0"/>
                <w:color w:val="auto"/>
                <w:sz w:val="21"/>
                <w:szCs w:val="21"/>
                <w:highlight w:val="none"/>
                <w:lang w:val="en-US" w:eastAsia="zh-CN"/>
              </w:rPr>
              <w:t>得分。</w:t>
            </w:r>
          </w:p>
        </w:tc>
      </w:tr>
      <w:tr w14:paraId="2FA2E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1271" w:type="dxa"/>
            <w:vMerge w:val="restart"/>
            <w:vAlign w:val="center"/>
          </w:tcPr>
          <w:p w14:paraId="7411CBF3">
            <w:pPr>
              <w:pStyle w:val="51"/>
              <w:jc w:val="center"/>
              <w:rPr>
                <w:rFonts w:cs="宋体"/>
                <w:color w:val="auto"/>
                <w:szCs w:val="21"/>
                <w:highlight w:val="none"/>
              </w:rPr>
            </w:pPr>
            <w:r>
              <w:rPr>
                <w:rFonts w:hint="eastAsia" w:cs="宋体"/>
                <w:color w:val="auto"/>
                <w:szCs w:val="21"/>
                <w:highlight w:val="none"/>
                <w:lang w:val="en-US" w:eastAsia="zh-CN"/>
              </w:rPr>
              <w:t>技术</w:t>
            </w:r>
            <w:r>
              <w:rPr>
                <w:rFonts w:hint="eastAsia" w:cs="宋体"/>
                <w:color w:val="auto"/>
                <w:szCs w:val="21"/>
                <w:highlight w:val="none"/>
              </w:rPr>
              <w:t>部分</w:t>
            </w:r>
          </w:p>
          <w:p w14:paraId="26CF498D">
            <w:pPr>
              <w:pStyle w:val="51"/>
              <w:jc w:val="center"/>
              <w:rPr>
                <w:rFonts w:hint="eastAsia" w:cs="宋体"/>
                <w:color w:val="auto"/>
                <w:szCs w:val="21"/>
                <w:highlight w:val="none"/>
              </w:rPr>
            </w:pPr>
            <w:r>
              <w:rPr>
                <w:rFonts w:hint="eastAsia" w:cs="宋体"/>
                <w:color w:val="auto"/>
                <w:szCs w:val="21"/>
                <w:highlight w:val="none"/>
              </w:rPr>
              <w:t>（</w:t>
            </w:r>
            <w:r>
              <w:rPr>
                <w:rFonts w:hint="eastAsia" w:cs="宋体"/>
                <w:color w:val="auto"/>
                <w:szCs w:val="21"/>
                <w:highlight w:val="none"/>
                <w:lang w:val="en-US" w:eastAsia="zh-CN"/>
              </w:rPr>
              <w:t>55</w:t>
            </w:r>
            <w:r>
              <w:rPr>
                <w:rFonts w:hint="eastAsia" w:cs="宋体"/>
                <w:color w:val="auto"/>
                <w:szCs w:val="21"/>
                <w:highlight w:val="none"/>
              </w:rPr>
              <w:t>分）</w:t>
            </w:r>
          </w:p>
        </w:tc>
        <w:tc>
          <w:tcPr>
            <w:tcW w:w="992" w:type="dxa"/>
            <w:tcBorders>
              <w:top w:val="single" w:color="auto" w:sz="4" w:space="0"/>
            </w:tcBorders>
            <w:vAlign w:val="center"/>
          </w:tcPr>
          <w:p w14:paraId="54FFCB1C">
            <w:pPr>
              <w:pStyle w:val="73"/>
              <w:spacing w:line="360" w:lineRule="exact"/>
              <w:rPr>
                <w:rFonts w:ascii="宋体" w:hAnsi="宋体" w:eastAsia="宋体" w:cstheme="minorBidi"/>
                <w:b w:val="0"/>
                <w:color w:val="auto"/>
                <w:kern w:val="2"/>
                <w:sz w:val="21"/>
                <w:szCs w:val="21"/>
                <w:highlight w:val="none"/>
              </w:rPr>
            </w:pPr>
          </w:p>
          <w:p w14:paraId="358977C8">
            <w:pPr>
              <w:bidi w:val="0"/>
              <w:rPr>
                <w:rFonts w:hint="eastAsia"/>
                <w:color w:val="auto"/>
                <w:highlight w:val="none"/>
              </w:rPr>
            </w:pPr>
            <w:r>
              <w:rPr>
                <w:rFonts w:hint="eastAsia" w:ascii="宋体" w:hAnsi="宋体" w:eastAsia="宋体" w:cs="宋体"/>
                <w:b w:val="0"/>
                <w:bCs/>
                <w:color w:val="auto"/>
                <w:sz w:val="21"/>
                <w:szCs w:val="21"/>
                <w:highlight w:val="none"/>
                <w:lang w:val="en-US" w:eastAsia="zh-CN"/>
              </w:rPr>
              <w:t>总体构思</w:t>
            </w:r>
          </w:p>
          <w:p w14:paraId="042DCC72">
            <w:pPr>
              <w:bidi w:val="0"/>
              <w:ind w:firstLine="553" w:firstLineChars="0"/>
              <w:jc w:val="left"/>
              <w:rPr>
                <w:rFonts w:hint="eastAsia"/>
                <w:color w:val="auto"/>
                <w:highlight w:val="none"/>
              </w:rPr>
            </w:pPr>
          </w:p>
        </w:tc>
        <w:tc>
          <w:tcPr>
            <w:tcW w:w="988" w:type="dxa"/>
            <w:shd w:val="clear" w:color="auto" w:fill="auto"/>
            <w:vAlign w:val="center"/>
          </w:tcPr>
          <w:p w14:paraId="5863479C">
            <w:pPr>
              <w:pStyle w:val="73"/>
              <w:spacing w:line="360" w:lineRule="exact"/>
              <w:rPr>
                <w:rFonts w:ascii="宋体" w:hAnsi="宋体" w:eastAsia="宋体" w:cstheme="minorBidi"/>
                <w:b w:val="0"/>
                <w:color w:val="auto"/>
                <w:kern w:val="2"/>
                <w:sz w:val="21"/>
                <w:szCs w:val="21"/>
                <w:highlight w:val="none"/>
              </w:rPr>
            </w:pPr>
          </w:p>
          <w:p w14:paraId="3CFCC1B9">
            <w:pPr>
              <w:pStyle w:val="73"/>
              <w:spacing w:line="360" w:lineRule="exact"/>
              <w:rPr>
                <w:rFonts w:ascii="宋体" w:hAnsi="宋体" w:eastAsia="宋体" w:cstheme="minorBidi"/>
                <w:b w:val="0"/>
                <w:color w:val="auto"/>
                <w:kern w:val="2"/>
                <w:sz w:val="21"/>
                <w:szCs w:val="21"/>
                <w:highlight w:val="none"/>
              </w:rPr>
            </w:pPr>
            <w:r>
              <w:rPr>
                <w:rFonts w:hint="eastAsia" w:ascii="宋体" w:hAnsi="宋体" w:eastAsia="宋体" w:cstheme="minorBidi"/>
                <w:b w:val="0"/>
                <w:color w:val="auto"/>
                <w:kern w:val="2"/>
                <w:sz w:val="21"/>
                <w:szCs w:val="21"/>
                <w:highlight w:val="none"/>
              </w:rPr>
              <w:t>（</w:t>
            </w:r>
            <w:r>
              <w:rPr>
                <w:rFonts w:hint="eastAsia" w:ascii="宋体" w:hAnsi="宋体" w:eastAsia="宋体" w:cstheme="minorBidi"/>
                <w:b w:val="0"/>
                <w:color w:val="auto"/>
                <w:kern w:val="2"/>
                <w:sz w:val="21"/>
                <w:szCs w:val="21"/>
                <w:highlight w:val="none"/>
                <w:lang w:val="en-US" w:eastAsia="zh-CN"/>
              </w:rPr>
              <w:t>6</w:t>
            </w:r>
            <w:r>
              <w:rPr>
                <w:rFonts w:hint="eastAsia" w:ascii="宋体" w:hAnsi="宋体" w:eastAsia="宋体" w:cstheme="minorBidi"/>
                <w:b w:val="0"/>
                <w:color w:val="auto"/>
                <w:kern w:val="2"/>
                <w:sz w:val="21"/>
                <w:szCs w:val="21"/>
                <w:highlight w:val="none"/>
              </w:rPr>
              <w:t>分）</w:t>
            </w:r>
          </w:p>
        </w:tc>
        <w:tc>
          <w:tcPr>
            <w:tcW w:w="6142" w:type="dxa"/>
            <w:shd w:val="clear" w:color="auto" w:fill="auto"/>
            <w:vAlign w:val="center"/>
          </w:tcPr>
          <w:p w14:paraId="59A86CD0">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theme="minorBidi"/>
                <w:b w:val="0"/>
                <w:color w:val="auto"/>
                <w:kern w:val="2"/>
                <w:sz w:val="21"/>
                <w:szCs w:val="21"/>
                <w:highlight w:val="none"/>
              </w:rPr>
              <w:t>根据供应商提供的方案进行综合评审，方案包含以下2部分要素：</w:t>
            </w:r>
          </w:p>
          <w:p w14:paraId="5579471F">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theme="minorBidi"/>
                <w:b w:val="0"/>
                <w:color w:val="auto"/>
                <w:kern w:val="2"/>
                <w:sz w:val="21"/>
                <w:szCs w:val="21"/>
                <w:highlight w:val="none"/>
              </w:rPr>
              <w:t>①指导思想；②造价管理工作目标。</w:t>
            </w:r>
          </w:p>
          <w:p w14:paraId="628B6CEB">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theme="minorBidi"/>
                <w:b w:val="0"/>
                <w:color w:val="auto"/>
                <w:kern w:val="2"/>
                <w:sz w:val="21"/>
                <w:szCs w:val="21"/>
                <w:highlight w:val="none"/>
              </w:rPr>
              <w:t>以上内容全部内容满足需求的得6分，每缺少一项扣3分；每有一处不足或缺陷或不能符合项目实际情况的扣1分，扣完为止。</w:t>
            </w:r>
          </w:p>
          <w:p w14:paraId="2E9DA6FA">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theme="minorBidi"/>
                <w:b w:val="0"/>
                <w:color w:val="auto"/>
                <w:kern w:val="2"/>
                <w:sz w:val="21"/>
                <w:szCs w:val="21"/>
                <w:highlight w:val="none"/>
              </w:rPr>
              <w:t>注：1、内容满足需求是指：①内容与项目服务需求吻合、层次细化，有具体详细的阐述；②阐述从实际出发，切合项目背景、项目需求并提出专业技术建议或者解决方案；③内容符合国家、地方、行业标准、行业惯例以及项目特点；④内容清楚明了、表述规范、含义准确。</w:t>
            </w:r>
          </w:p>
          <w:p w14:paraId="46E1D859">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theme="minorBidi"/>
                <w:b w:val="0"/>
                <w:color w:val="auto"/>
                <w:kern w:val="2"/>
                <w:sz w:val="21"/>
                <w:szCs w:val="21"/>
                <w:highlight w:val="none"/>
              </w:rPr>
              <w:t>2、①不足具体是指：对应单项中的内容缺失（不完整）、与对应单项的要求缺少重要节点（如仅有框架或标题、单项内容仅有复制招标内容的要求、涉及内容无重点）；②缺陷具体是指：单项方案中出现套用其他项目方案或内容、内容中出现前后描述不一致现象或语言描述出现有错误、内容涉及适用的规范及标准（方法）出现错误、实施地点区域错误等任意一种情形。</w:t>
            </w:r>
          </w:p>
        </w:tc>
      </w:tr>
      <w:tr w14:paraId="6472D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1271" w:type="dxa"/>
            <w:vMerge w:val="continue"/>
            <w:vAlign w:val="center"/>
          </w:tcPr>
          <w:p w14:paraId="59411E80">
            <w:pPr>
              <w:pStyle w:val="51"/>
              <w:jc w:val="center"/>
              <w:rPr>
                <w:rFonts w:hint="eastAsia" w:cs="宋体"/>
                <w:color w:val="auto"/>
                <w:szCs w:val="21"/>
                <w:highlight w:val="none"/>
              </w:rPr>
            </w:pPr>
          </w:p>
        </w:tc>
        <w:tc>
          <w:tcPr>
            <w:tcW w:w="992" w:type="dxa"/>
            <w:tcBorders>
              <w:top w:val="single" w:color="auto" w:sz="4" w:space="0"/>
            </w:tcBorders>
            <w:vAlign w:val="center"/>
          </w:tcPr>
          <w:p w14:paraId="7BC507CB">
            <w:pPr>
              <w:bidi w:val="0"/>
              <w:jc w:val="left"/>
              <w:rPr>
                <w:rFonts w:hint="eastAsia"/>
                <w:color w:val="auto"/>
                <w:highlight w:val="none"/>
              </w:rPr>
            </w:pPr>
            <w:r>
              <w:rPr>
                <w:rFonts w:hint="eastAsia" w:ascii="宋体" w:hAnsi="宋体" w:eastAsia="宋体" w:cs="宋体"/>
                <w:b w:val="0"/>
                <w:bCs/>
                <w:color w:val="auto"/>
                <w:sz w:val="21"/>
                <w:szCs w:val="21"/>
                <w:highlight w:val="none"/>
                <w:lang w:val="en-GB" w:eastAsia="zh-CN"/>
              </w:rPr>
              <w:t>造价咨询服务方案</w:t>
            </w:r>
          </w:p>
        </w:tc>
        <w:tc>
          <w:tcPr>
            <w:tcW w:w="988" w:type="dxa"/>
            <w:shd w:val="clear" w:color="auto" w:fill="auto"/>
            <w:vAlign w:val="center"/>
          </w:tcPr>
          <w:p w14:paraId="5B569B5F">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宋体"/>
                <w:b w:val="0"/>
                <w:bCs/>
                <w:color w:val="auto"/>
                <w:sz w:val="21"/>
                <w:szCs w:val="21"/>
                <w:highlight w:val="none"/>
                <w:lang w:val="en-GB" w:eastAsia="zh-CN"/>
              </w:rPr>
              <w:t>（</w:t>
            </w:r>
            <w:r>
              <w:rPr>
                <w:rFonts w:hint="eastAsia" w:ascii="宋体" w:hAnsi="宋体" w:eastAsia="宋体" w:cs="宋体"/>
                <w:b w:val="0"/>
                <w:bCs/>
                <w:color w:val="auto"/>
                <w:sz w:val="21"/>
                <w:szCs w:val="21"/>
                <w:highlight w:val="none"/>
                <w:lang w:val="en-US" w:eastAsia="zh-CN"/>
              </w:rPr>
              <w:t>21</w:t>
            </w:r>
            <w:r>
              <w:rPr>
                <w:rFonts w:hint="eastAsia" w:ascii="宋体" w:hAnsi="宋体" w:eastAsia="宋体" w:cs="宋体"/>
                <w:b w:val="0"/>
                <w:bCs/>
                <w:color w:val="auto"/>
                <w:sz w:val="21"/>
                <w:szCs w:val="21"/>
                <w:highlight w:val="none"/>
                <w:lang w:val="en-GB" w:eastAsia="zh-CN"/>
              </w:rPr>
              <w:t>分）</w:t>
            </w:r>
          </w:p>
        </w:tc>
        <w:tc>
          <w:tcPr>
            <w:tcW w:w="6142" w:type="dxa"/>
            <w:shd w:val="clear" w:color="auto" w:fill="auto"/>
            <w:vAlign w:val="center"/>
          </w:tcPr>
          <w:p w14:paraId="6440EE28">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theme="minorBidi"/>
                <w:b w:val="0"/>
                <w:color w:val="auto"/>
                <w:kern w:val="2"/>
                <w:sz w:val="21"/>
                <w:szCs w:val="21"/>
                <w:highlight w:val="none"/>
              </w:rPr>
              <w:t>根据供应商提供的方案进行综合评审，方案包含以下7部分要素：</w:t>
            </w:r>
          </w:p>
          <w:p w14:paraId="10CFDF12">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theme="minorBidi"/>
                <w:b w:val="0"/>
                <w:color w:val="auto"/>
                <w:kern w:val="2"/>
                <w:sz w:val="21"/>
                <w:szCs w:val="21"/>
                <w:highlight w:val="none"/>
              </w:rPr>
              <w:t>①造价管理工作范围和任务；②造价管理依据；③造价管理工作程序；④造价管理方案；⑤投资控制方法；⑥合同管理及协调；⑦现场管理及协调。</w:t>
            </w:r>
          </w:p>
          <w:p w14:paraId="14C1AC01">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theme="minorBidi"/>
                <w:b w:val="0"/>
                <w:color w:val="auto"/>
                <w:kern w:val="2"/>
                <w:sz w:val="21"/>
                <w:szCs w:val="21"/>
                <w:highlight w:val="none"/>
              </w:rPr>
              <w:t>以上内容全部内容满足需求的得21分，每缺少一项扣3分；每有一处不足或缺陷或不能符合项目实际情况的扣1分，扣完为止。</w:t>
            </w:r>
          </w:p>
          <w:p w14:paraId="51167700">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theme="minorBidi"/>
                <w:b w:val="0"/>
                <w:color w:val="auto"/>
                <w:kern w:val="2"/>
                <w:sz w:val="21"/>
                <w:szCs w:val="21"/>
                <w:highlight w:val="none"/>
              </w:rPr>
              <w:t>注：1、内容满足需求是指：①内容与项目服务需求吻合、层次细化，有具体详细的阐述；②阐述从实际出发，切合项目背景、项目需求并提出专业技术建议或者解决方案；③内容符合国家、地方、行业标准、行业惯例以及项目特点；④内容清楚明了、表述规范、含义准确。</w:t>
            </w:r>
          </w:p>
          <w:p w14:paraId="306A14FA">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theme="minorBidi"/>
                <w:b w:val="0"/>
                <w:color w:val="auto"/>
                <w:kern w:val="2"/>
                <w:sz w:val="21"/>
                <w:szCs w:val="21"/>
                <w:highlight w:val="none"/>
              </w:rPr>
              <w:t>2、①不足具体是指：对应单项中的内容缺失（不完整）、与对应单项的要求缺少重要节点（如仅有框架或标题、单项内容仅有复制招标内容的要求、涉及内容无重点）；②缺陷具体是指：单项方案中出现套用其他项目方案或内容、内容中出现前后描述不一致现象或语言描述出现有错误、内容涉及适用的规范及标准（方法）出现错误、实施地点区域错误等任意一种情形。</w:t>
            </w:r>
          </w:p>
        </w:tc>
      </w:tr>
      <w:tr w14:paraId="4D336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1271" w:type="dxa"/>
            <w:vMerge w:val="continue"/>
            <w:vAlign w:val="center"/>
          </w:tcPr>
          <w:p w14:paraId="2EEDEDD3">
            <w:pPr>
              <w:pStyle w:val="51"/>
              <w:jc w:val="center"/>
              <w:rPr>
                <w:rFonts w:hint="eastAsia" w:cs="宋体"/>
                <w:color w:val="auto"/>
                <w:szCs w:val="21"/>
                <w:highlight w:val="none"/>
              </w:rPr>
            </w:pPr>
          </w:p>
        </w:tc>
        <w:tc>
          <w:tcPr>
            <w:tcW w:w="992" w:type="dxa"/>
            <w:tcBorders>
              <w:top w:val="single" w:color="auto" w:sz="4" w:space="0"/>
            </w:tcBorders>
            <w:vAlign w:val="center"/>
          </w:tcPr>
          <w:p w14:paraId="240F7FC5">
            <w:pPr>
              <w:bidi w:val="0"/>
              <w:jc w:val="left"/>
              <w:rPr>
                <w:rFonts w:hint="eastAsia" w:ascii="宋体" w:hAnsi="宋体" w:eastAsia="宋体" w:cs="宋体"/>
                <w:b w:val="0"/>
                <w:bCs/>
                <w:color w:val="auto"/>
                <w:sz w:val="21"/>
                <w:szCs w:val="21"/>
                <w:highlight w:val="none"/>
                <w:lang w:val="en-GB" w:eastAsia="zh-CN"/>
              </w:rPr>
            </w:pPr>
            <w:r>
              <w:rPr>
                <w:rFonts w:hint="eastAsia" w:ascii="宋体" w:hAnsi="宋体" w:eastAsia="宋体" w:cs="宋体"/>
                <w:b w:val="0"/>
                <w:bCs/>
                <w:color w:val="auto"/>
                <w:sz w:val="21"/>
                <w:szCs w:val="21"/>
                <w:highlight w:val="none"/>
                <w:lang w:val="en-US" w:eastAsia="zh-CN"/>
              </w:rPr>
              <w:t>服务进度管理及成果质量控制措施</w:t>
            </w:r>
          </w:p>
        </w:tc>
        <w:tc>
          <w:tcPr>
            <w:tcW w:w="988" w:type="dxa"/>
            <w:shd w:val="clear" w:color="auto" w:fill="auto"/>
            <w:vAlign w:val="center"/>
          </w:tcPr>
          <w:p w14:paraId="0B7ECF19">
            <w:pPr>
              <w:pStyle w:val="73"/>
              <w:spacing w:line="360" w:lineRule="exact"/>
              <w:rPr>
                <w:rFonts w:hint="eastAsia" w:ascii="宋体" w:hAnsi="宋体" w:eastAsia="宋体" w:cs="宋体"/>
                <w:b w:val="0"/>
                <w:bCs/>
                <w:color w:val="auto"/>
                <w:sz w:val="21"/>
                <w:szCs w:val="21"/>
                <w:highlight w:val="none"/>
                <w:lang w:val="en-GB" w:eastAsia="zh-CN"/>
              </w:rPr>
            </w:pPr>
            <w:r>
              <w:rPr>
                <w:rFonts w:hint="eastAsia" w:ascii="宋体" w:hAnsi="宋体" w:eastAsia="宋体" w:cs="宋体"/>
                <w:b w:val="0"/>
                <w:bCs/>
                <w:color w:val="auto"/>
                <w:sz w:val="21"/>
                <w:szCs w:val="21"/>
                <w:highlight w:val="none"/>
                <w:lang w:val="en-US" w:eastAsia="zh-CN"/>
              </w:rPr>
              <w:t>（10分）</w:t>
            </w:r>
          </w:p>
        </w:tc>
        <w:tc>
          <w:tcPr>
            <w:tcW w:w="6142" w:type="dxa"/>
            <w:shd w:val="clear" w:color="auto" w:fill="auto"/>
            <w:vAlign w:val="center"/>
          </w:tcPr>
          <w:p w14:paraId="662E6E63">
            <w:pPr>
              <w:keepNext w:val="0"/>
              <w:keepLines w:val="0"/>
              <w:widowControl/>
              <w:suppressLineNumbers w:val="0"/>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根据供应商提供的方案进行综合评审，方案包含以下5部分要素：</w:t>
            </w:r>
          </w:p>
          <w:p w14:paraId="7A6A0384">
            <w:pPr>
              <w:pStyle w:val="73"/>
              <w:spacing w:line="360" w:lineRule="exact"/>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①服务进度满足服务期限；②满足总进度计划的要求；③成果质量控制服务的过程中有关键节点质量把控方案；④成果报告文件能够提供完整；⑤文档的质量控制明确的。</w:t>
            </w:r>
          </w:p>
          <w:p w14:paraId="04433F23">
            <w:pPr>
              <w:pStyle w:val="73"/>
              <w:spacing w:line="360" w:lineRule="exact"/>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以上内容全部内容满足需求的得10分，每缺少一项扣2分；每有一处不足或缺陷或不能符合项目实际情况的扣1分，扣完为止。</w:t>
            </w:r>
          </w:p>
          <w:p w14:paraId="2541B4E7">
            <w:pPr>
              <w:pStyle w:val="73"/>
              <w:spacing w:line="360" w:lineRule="exact"/>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注：1、内容满足需求是指：①内容与项目服务需求吻合、层次细化，有具体详细的阐述；②阐述从实际出发，切合项目背景、项目需求并提出专业技术建议或者解决方案；③内容符合国家、地方、行业标准、行业惯例以及项目特点；④内容清楚明了、表述规范、含义准确。</w:t>
            </w:r>
          </w:p>
          <w:p w14:paraId="009D3556">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宋体"/>
                <w:b w:val="0"/>
                <w:i w:val="0"/>
                <w:iCs w:val="0"/>
                <w:color w:val="auto"/>
                <w:kern w:val="0"/>
                <w:sz w:val="21"/>
                <w:szCs w:val="21"/>
                <w:highlight w:val="none"/>
                <w:u w:val="none"/>
                <w:lang w:val="en-US" w:eastAsia="zh-CN" w:bidi="ar"/>
              </w:rPr>
              <w:t>2、①不足具体是指：对应单项中的内容缺失（不完整）、与对应单项的要求缺少重要节点（如仅有框架或标题、单项内容仅有复制招标内容的要求、涉及内容无重点）；②缺陷具体是指：单项方案中出现套用其他项目方案或内容、内容中出现前后描述不一致现象或语言描述出现有错误、内容涉及适用的规范及标准（方法）出现错误、实施地点区域错误等任意一种情形。</w:t>
            </w:r>
          </w:p>
        </w:tc>
      </w:tr>
      <w:tr w14:paraId="50E4A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1271" w:type="dxa"/>
            <w:vMerge w:val="continue"/>
            <w:vAlign w:val="center"/>
          </w:tcPr>
          <w:p w14:paraId="076AE104">
            <w:pPr>
              <w:pStyle w:val="51"/>
              <w:jc w:val="center"/>
              <w:rPr>
                <w:rFonts w:hint="eastAsia" w:cs="宋体"/>
                <w:color w:val="auto"/>
                <w:szCs w:val="21"/>
                <w:highlight w:val="none"/>
              </w:rPr>
            </w:pPr>
          </w:p>
        </w:tc>
        <w:tc>
          <w:tcPr>
            <w:tcW w:w="992" w:type="dxa"/>
            <w:tcBorders>
              <w:top w:val="single" w:color="auto" w:sz="4" w:space="0"/>
            </w:tcBorders>
            <w:vAlign w:val="center"/>
          </w:tcPr>
          <w:p w14:paraId="75C7FAB8">
            <w:pPr>
              <w:bidi w:val="0"/>
              <w:jc w:val="left"/>
              <w:rPr>
                <w:rFonts w:hint="eastAsia" w:ascii="宋体" w:hAnsi="宋体" w:eastAsia="宋体" w:cs="宋体"/>
                <w:b w:val="0"/>
                <w:bCs/>
                <w:color w:val="auto"/>
                <w:sz w:val="21"/>
                <w:szCs w:val="21"/>
                <w:highlight w:val="none"/>
                <w:lang w:val="en-GB" w:eastAsia="zh-CN"/>
              </w:rPr>
            </w:pPr>
            <w:r>
              <w:rPr>
                <w:rFonts w:hint="eastAsia" w:ascii="宋体" w:hAnsi="宋体" w:eastAsia="宋体" w:cs="宋体"/>
                <w:b w:val="0"/>
                <w:bCs/>
                <w:color w:val="auto"/>
                <w:sz w:val="21"/>
                <w:szCs w:val="21"/>
                <w:highlight w:val="none"/>
                <w:lang w:val="en-US" w:eastAsia="zh-CN"/>
              </w:rPr>
              <w:t>管理制度</w:t>
            </w:r>
          </w:p>
        </w:tc>
        <w:tc>
          <w:tcPr>
            <w:tcW w:w="988" w:type="dxa"/>
            <w:shd w:val="clear" w:color="auto" w:fill="auto"/>
            <w:vAlign w:val="center"/>
          </w:tcPr>
          <w:p w14:paraId="07407F12">
            <w:pPr>
              <w:pStyle w:val="73"/>
              <w:spacing w:line="360" w:lineRule="exact"/>
              <w:rPr>
                <w:rFonts w:hint="eastAsia" w:ascii="宋体" w:hAnsi="宋体" w:eastAsia="宋体" w:cs="宋体"/>
                <w:b w:val="0"/>
                <w:bCs/>
                <w:color w:val="auto"/>
                <w:sz w:val="21"/>
                <w:szCs w:val="21"/>
                <w:highlight w:val="none"/>
                <w:lang w:val="en-GB" w:eastAsia="zh-CN"/>
              </w:rPr>
            </w:pPr>
            <w:r>
              <w:rPr>
                <w:rFonts w:hint="eastAsia" w:ascii="宋体" w:hAnsi="宋体" w:eastAsia="宋体" w:cs="宋体"/>
                <w:b w:val="0"/>
                <w:bCs/>
                <w:color w:val="auto"/>
                <w:sz w:val="21"/>
                <w:szCs w:val="21"/>
                <w:highlight w:val="none"/>
                <w:lang w:val="en-US" w:eastAsia="zh-CN"/>
              </w:rPr>
              <w:t>（8分）</w:t>
            </w:r>
          </w:p>
        </w:tc>
        <w:tc>
          <w:tcPr>
            <w:tcW w:w="6142" w:type="dxa"/>
            <w:shd w:val="clear" w:color="auto" w:fill="auto"/>
            <w:vAlign w:val="center"/>
          </w:tcPr>
          <w:p w14:paraId="345606BD">
            <w:pPr>
              <w:pStyle w:val="73"/>
              <w:spacing w:line="360" w:lineRule="exact"/>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根据供应商提供的方案进行综合评审，方案包含以下4部分要素：</w:t>
            </w:r>
          </w:p>
          <w:p w14:paraId="36AB8B8A">
            <w:pPr>
              <w:pStyle w:val="73"/>
              <w:spacing w:line="360" w:lineRule="exact"/>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①人员考核制度；②业务操作规程；③签字盖章规范,逐级审核要求，工作底稿质量要求制度；④档案管理制度。</w:t>
            </w:r>
          </w:p>
          <w:p w14:paraId="48D5616F">
            <w:pPr>
              <w:pStyle w:val="73"/>
              <w:spacing w:line="360" w:lineRule="exact"/>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以上内容全部内容满足需求的得8分，每缺少一项扣2分；每有一处不足或缺陷或不能符合项目实际情况的扣1分，扣完为止。</w:t>
            </w:r>
          </w:p>
          <w:p w14:paraId="4316F722">
            <w:pPr>
              <w:pStyle w:val="73"/>
              <w:spacing w:line="360" w:lineRule="exact"/>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注：1、内容满足需求是指：①内容与项目服务需求吻合、层次细化，有具体详细的阐述；②阐述从实际出发，切合项目背景、项目需求并提出专业技术建议或者解决方案；③内容符合国家、地方、行业标准、行业惯例以及项目特点；④内容清楚明了、表述规范、含义准确。</w:t>
            </w:r>
          </w:p>
          <w:p w14:paraId="071BE01C">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宋体"/>
                <w:b w:val="0"/>
                <w:i w:val="0"/>
                <w:iCs w:val="0"/>
                <w:color w:val="auto"/>
                <w:kern w:val="0"/>
                <w:sz w:val="21"/>
                <w:szCs w:val="21"/>
                <w:highlight w:val="none"/>
                <w:u w:val="none"/>
                <w:lang w:val="en-US" w:eastAsia="zh-CN" w:bidi="ar"/>
              </w:rPr>
              <w:t>2、①不足具体是指：对应单项中的内容缺失（不完整）、与对应单项的要求缺少重要节点（如仅有框架或标题、单项内容仅有复制招标内容的要求、涉及内容无重点）；②缺陷具体是指：单项方案中出现套用其他项目方案或内容、内容中出现前后描述不一致现象或语言描述出现有错误、内容涉及适用的规范及标准（方法）出现错误、实施地点区域错误等任意一种情形。</w:t>
            </w:r>
          </w:p>
        </w:tc>
      </w:tr>
      <w:tr w14:paraId="7F3D7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1271" w:type="dxa"/>
            <w:vMerge w:val="continue"/>
            <w:vAlign w:val="center"/>
          </w:tcPr>
          <w:p w14:paraId="48BC48A0">
            <w:pPr>
              <w:pStyle w:val="51"/>
              <w:jc w:val="center"/>
              <w:rPr>
                <w:rFonts w:hint="eastAsia" w:cs="宋体"/>
                <w:color w:val="auto"/>
                <w:szCs w:val="21"/>
                <w:highlight w:val="none"/>
              </w:rPr>
            </w:pPr>
          </w:p>
        </w:tc>
        <w:tc>
          <w:tcPr>
            <w:tcW w:w="992" w:type="dxa"/>
            <w:tcBorders>
              <w:top w:val="single" w:color="auto" w:sz="4" w:space="0"/>
            </w:tcBorders>
            <w:vAlign w:val="center"/>
          </w:tcPr>
          <w:p w14:paraId="53592310">
            <w:pPr>
              <w:bidi w:val="0"/>
              <w:jc w:val="left"/>
              <w:rPr>
                <w:rFonts w:hint="eastAsia" w:ascii="宋体" w:hAnsi="宋体" w:eastAsia="宋体" w:cs="宋体"/>
                <w:b w:val="0"/>
                <w:bCs/>
                <w:color w:val="auto"/>
                <w:sz w:val="21"/>
                <w:szCs w:val="21"/>
                <w:highlight w:val="none"/>
                <w:lang w:val="en-GB" w:eastAsia="zh-CN"/>
              </w:rPr>
            </w:pPr>
            <w:r>
              <w:rPr>
                <w:rFonts w:hint="eastAsia" w:ascii="宋体" w:hAnsi="宋体" w:eastAsia="宋体" w:cs="宋体"/>
                <w:b w:val="0"/>
                <w:bCs/>
                <w:color w:val="auto"/>
                <w:sz w:val="21"/>
                <w:szCs w:val="21"/>
                <w:highlight w:val="none"/>
                <w:lang w:val="en-US" w:eastAsia="zh-CN"/>
              </w:rPr>
              <w:t>服务承诺保证</w:t>
            </w:r>
          </w:p>
        </w:tc>
        <w:tc>
          <w:tcPr>
            <w:tcW w:w="988" w:type="dxa"/>
            <w:shd w:val="clear" w:color="auto" w:fill="auto"/>
            <w:vAlign w:val="center"/>
          </w:tcPr>
          <w:p w14:paraId="04A45282">
            <w:pPr>
              <w:pStyle w:val="73"/>
              <w:spacing w:line="360" w:lineRule="exact"/>
              <w:rPr>
                <w:rFonts w:hint="eastAsia" w:ascii="宋体" w:hAnsi="宋体" w:eastAsia="宋体" w:cs="宋体"/>
                <w:b w:val="0"/>
                <w:bCs/>
                <w:color w:val="auto"/>
                <w:sz w:val="21"/>
                <w:szCs w:val="21"/>
                <w:highlight w:val="none"/>
                <w:lang w:val="en-GB" w:eastAsia="zh-CN"/>
              </w:rPr>
            </w:pPr>
            <w:r>
              <w:rPr>
                <w:rFonts w:hint="eastAsia" w:ascii="宋体" w:hAnsi="宋体" w:eastAsia="宋体" w:cs="宋体"/>
                <w:b w:val="0"/>
                <w:bCs/>
                <w:color w:val="auto"/>
                <w:sz w:val="21"/>
                <w:szCs w:val="21"/>
                <w:highlight w:val="none"/>
                <w:lang w:val="en-US" w:eastAsia="zh-CN"/>
              </w:rPr>
              <w:t>（4分）</w:t>
            </w:r>
          </w:p>
        </w:tc>
        <w:tc>
          <w:tcPr>
            <w:tcW w:w="6142" w:type="dxa"/>
            <w:shd w:val="clear" w:color="auto" w:fill="auto"/>
            <w:vAlign w:val="center"/>
          </w:tcPr>
          <w:p w14:paraId="09C3952F">
            <w:pPr>
              <w:pStyle w:val="73"/>
              <w:spacing w:line="360" w:lineRule="exact"/>
              <w:rPr>
                <w:rFonts w:hint="eastAsia" w:ascii="宋体" w:hAnsi="宋体" w:eastAsia="宋体" w:cstheme="minorBidi"/>
                <w:b w:val="0"/>
                <w:color w:val="auto"/>
                <w:kern w:val="2"/>
                <w:sz w:val="21"/>
                <w:szCs w:val="21"/>
                <w:highlight w:val="none"/>
              </w:rPr>
            </w:pPr>
            <w:r>
              <w:rPr>
                <w:rFonts w:hint="eastAsia" w:ascii="宋体" w:hAnsi="宋体" w:eastAsia="宋体" w:cs="宋体"/>
                <w:b w:val="0"/>
                <w:i w:val="0"/>
                <w:iCs w:val="0"/>
                <w:color w:val="auto"/>
                <w:kern w:val="0"/>
                <w:sz w:val="21"/>
                <w:szCs w:val="21"/>
                <w:highlight w:val="none"/>
                <w:u w:val="none"/>
                <w:lang w:val="en-US" w:eastAsia="zh-CN" w:bidi="ar"/>
              </w:rPr>
              <w:t>对服务的保密承诺、质量承诺、廉政承诺、履约承诺，每提供一项得1分，最高得4分，未提供不得分。</w:t>
            </w:r>
          </w:p>
        </w:tc>
      </w:tr>
      <w:tr w14:paraId="0A74A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271" w:type="dxa"/>
            <w:vMerge w:val="continue"/>
            <w:vAlign w:val="center"/>
          </w:tcPr>
          <w:p w14:paraId="0C37ED22">
            <w:pPr>
              <w:pStyle w:val="51"/>
              <w:jc w:val="center"/>
              <w:rPr>
                <w:rFonts w:cs="宋体"/>
                <w:color w:val="auto"/>
                <w:szCs w:val="21"/>
                <w:highlight w:val="none"/>
              </w:rPr>
            </w:pPr>
          </w:p>
        </w:tc>
        <w:tc>
          <w:tcPr>
            <w:tcW w:w="992" w:type="dxa"/>
            <w:vAlign w:val="center"/>
          </w:tcPr>
          <w:p w14:paraId="141F2A09">
            <w:pPr>
              <w:pStyle w:val="73"/>
              <w:spacing w:line="360" w:lineRule="exact"/>
              <w:rPr>
                <w:rFonts w:ascii="宋体" w:hAnsi="宋体" w:eastAsia="宋体" w:cstheme="minorBidi"/>
                <w:b w:val="0"/>
                <w:color w:val="auto"/>
                <w:kern w:val="2"/>
                <w:sz w:val="21"/>
                <w:szCs w:val="21"/>
                <w:highlight w:val="none"/>
              </w:rPr>
            </w:pPr>
            <w:r>
              <w:rPr>
                <w:rFonts w:hint="eastAsia" w:ascii="宋体" w:hAnsi="宋体" w:eastAsia="宋体" w:cs="宋体"/>
                <w:b w:val="0"/>
                <w:bCs/>
                <w:color w:val="auto"/>
                <w:sz w:val="21"/>
                <w:szCs w:val="21"/>
                <w:highlight w:val="none"/>
                <w:lang w:val="en-US" w:eastAsia="zh-CN"/>
              </w:rPr>
              <w:t>优惠条件</w:t>
            </w:r>
          </w:p>
        </w:tc>
        <w:tc>
          <w:tcPr>
            <w:tcW w:w="988" w:type="dxa"/>
            <w:shd w:val="clear" w:color="auto" w:fill="auto"/>
            <w:vAlign w:val="center"/>
          </w:tcPr>
          <w:p w14:paraId="12B94202">
            <w:pPr>
              <w:pStyle w:val="73"/>
              <w:spacing w:line="360" w:lineRule="exact"/>
              <w:rPr>
                <w:rFonts w:ascii="宋体" w:hAnsi="宋体" w:eastAsia="宋体" w:cstheme="minorBidi"/>
                <w:b w:val="0"/>
                <w:color w:val="auto"/>
                <w:kern w:val="2"/>
                <w:sz w:val="21"/>
                <w:szCs w:val="21"/>
                <w:highlight w:val="none"/>
              </w:rPr>
            </w:pPr>
            <w:r>
              <w:rPr>
                <w:rFonts w:hint="eastAsia" w:ascii="宋体" w:hAnsi="宋体" w:eastAsia="宋体" w:cs="宋体"/>
                <w:b w:val="0"/>
                <w:bCs/>
                <w:color w:val="auto"/>
                <w:sz w:val="21"/>
                <w:szCs w:val="21"/>
                <w:highlight w:val="none"/>
                <w:lang w:val="en-US" w:eastAsia="zh-CN"/>
              </w:rPr>
              <w:t>（6分）</w:t>
            </w:r>
          </w:p>
        </w:tc>
        <w:tc>
          <w:tcPr>
            <w:tcW w:w="6142" w:type="dxa"/>
            <w:shd w:val="clear" w:color="auto" w:fill="auto"/>
            <w:vAlign w:val="center"/>
          </w:tcPr>
          <w:p w14:paraId="09487CD1">
            <w:pPr>
              <w:pStyle w:val="73"/>
              <w:spacing w:line="360" w:lineRule="exact"/>
              <w:rPr>
                <w:rFonts w:ascii="宋体" w:hAnsi="宋体" w:eastAsia="宋体" w:cstheme="minorBidi"/>
                <w:b w:val="0"/>
                <w:color w:val="auto"/>
                <w:kern w:val="2"/>
                <w:sz w:val="21"/>
                <w:szCs w:val="21"/>
                <w:highlight w:val="none"/>
              </w:rPr>
            </w:pPr>
            <w:r>
              <w:rPr>
                <w:rFonts w:hint="eastAsia" w:ascii="宋体" w:hAnsi="宋体" w:eastAsia="宋体" w:cs="宋体"/>
                <w:b w:val="0"/>
                <w:i w:val="0"/>
                <w:iCs w:val="0"/>
                <w:color w:val="auto"/>
                <w:kern w:val="0"/>
                <w:sz w:val="21"/>
                <w:szCs w:val="21"/>
                <w:highlight w:val="none"/>
                <w:u w:val="none"/>
                <w:lang w:val="en-US" w:eastAsia="zh-CN" w:bidi="ar"/>
              </w:rPr>
              <w:t>根据提出的优惠条件，结合本项目内容进行评审。提出实质性优惠条件、确实有利于采购项目的，每提供一项得2分；最高得6分，未提供的不得分。</w:t>
            </w:r>
          </w:p>
        </w:tc>
      </w:tr>
      <w:tr w14:paraId="2C020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2263" w:type="dxa"/>
            <w:gridSpan w:val="2"/>
            <w:vAlign w:val="center"/>
          </w:tcPr>
          <w:p w14:paraId="1004B751">
            <w:pPr>
              <w:pStyle w:val="51"/>
              <w:jc w:val="center"/>
              <w:rPr>
                <w:rFonts w:cs="宋体"/>
                <w:color w:val="auto"/>
                <w:szCs w:val="21"/>
                <w:highlight w:val="none"/>
              </w:rPr>
            </w:pPr>
            <w:r>
              <w:rPr>
                <w:rFonts w:hint="eastAsia" w:cs="宋体"/>
                <w:color w:val="auto"/>
                <w:szCs w:val="21"/>
                <w:highlight w:val="none"/>
              </w:rPr>
              <w:t>合计</w:t>
            </w:r>
          </w:p>
        </w:tc>
        <w:tc>
          <w:tcPr>
            <w:tcW w:w="7130" w:type="dxa"/>
            <w:gridSpan w:val="2"/>
            <w:tcBorders>
              <w:bottom w:val="single" w:color="auto" w:sz="4" w:space="0"/>
            </w:tcBorders>
            <w:vAlign w:val="center"/>
          </w:tcPr>
          <w:p w14:paraId="59123D18">
            <w:pPr>
              <w:pStyle w:val="51"/>
              <w:jc w:val="center"/>
              <w:rPr>
                <w:rFonts w:cs="宋体"/>
                <w:color w:val="auto"/>
                <w:szCs w:val="21"/>
                <w:highlight w:val="none"/>
              </w:rPr>
            </w:pPr>
            <w:r>
              <w:rPr>
                <w:rFonts w:hint="eastAsia" w:cs="宋体"/>
                <w:color w:val="auto"/>
                <w:szCs w:val="21"/>
                <w:highlight w:val="none"/>
              </w:rPr>
              <w:fldChar w:fldCharType="begin"/>
            </w:r>
            <w:r>
              <w:rPr>
                <w:rFonts w:hint="eastAsia" w:cs="宋体"/>
                <w:color w:val="auto"/>
                <w:szCs w:val="21"/>
                <w:highlight w:val="none"/>
              </w:rPr>
              <w:instrText xml:space="preserve"> =SUM(ABOVE) </w:instrText>
            </w:r>
            <w:r>
              <w:rPr>
                <w:rFonts w:hint="eastAsia" w:cs="宋体"/>
                <w:color w:val="auto"/>
                <w:szCs w:val="21"/>
                <w:highlight w:val="none"/>
              </w:rPr>
              <w:fldChar w:fldCharType="separate"/>
            </w:r>
            <w:r>
              <w:rPr>
                <w:rFonts w:hint="eastAsia" w:cs="宋体"/>
                <w:color w:val="auto"/>
                <w:szCs w:val="21"/>
                <w:highlight w:val="none"/>
              </w:rPr>
              <w:t>100</w:t>
            </w:r>
            <w:r>
              <w:rPr>
                <w:rFonts w:hint="eastAsia" w:cs="宋体"/>
                <w:color w:val="auto"/>
                <w:szCs w:val="21"/>
                <w:highlight w:val="none"/>
              </w:rPr>
              <w:fldChar w:fldCharType="end"/>
            </w:r>
            <w:r>
              <w:rPr>
                <w:rFonts w:hint="eastAsia" w:cs="宋体"/>
                <w:color w:val="auto"/>
                <w:szCs w:val="21"/>
                <w:highlight w:val="none"/>
              </w:rPr>
              <w:t>分</w:t>
            </w:r>
          </w:p>
        </w:tc>
      </w:tr>
      <w:bookmarkEnd w:id="483"/>
    </w:tbl>
    <w:p w14:paraId="21450EB0">
      <w:pPr>
        <w:rPr>
          <w:rFonts w:hint="eastAsia" w:ascii="宋体" w:hAnsi="宋体" w:eastAsia="宋体" w:cs="宋体"/>
          <w:b/>
          <w:bCs/>
          <w:i w:val="0"/>
          <w:iCs w:val="0"/>
          <w:color w:val="auto"/>
          <w:kern w:val="44"/>
          <w:sz w:val="36"/>
          <w:szCs w:val="36"/>
          <w:highlight w:val="none"/>
          <w:lang w:val="en-US" w:eastAsia="zh-CN" w:bidi="ar-SA"/>
        </w:rPr>
      </w:pPr>
      <w:bookmarkStart w:id="484" w:name="_Toc31032"/>
      <w:r>
        <w:rPr>
          <w:rFonts w:hint="eastAsia" w:ascii="宋体" w:hAnsi="宋体" w:eastAsia="宋体" w:cs="宋体"/>
          <w:b/>
          <w:bCs/>
          <w:i w:val="0"/>
          <w:iCs w:val="0"/>
          <w:color w:val="auto"/>
          <w:kern w:val="44"/>
          <w:sz w:val="36"/>
          <w:szCs w:val="36"/>
          <w:highlight w:val="none"/>
          <w:lang w:val="en-US" w:eastAsia="zh-CN" w:bidi="ar-SA"/>
        </w:rPr>
        <w:br w:type="page"/>
      </w:r>
    </w:p>
    <w:p w14:paraId="16939192">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zh-CN" w:eastAsia="zh-CN" w:bidi="ar-SA"/>
        </w:rPr>
      </w:pPr>
      <w:r>
        <w:rPr>
          <w:rFonts w:hint="eastAsia" w:ascii="宋体" w:hAnsi="宋体" w:eastAsia="宋体" w:cs="宋体"/>
          <w:b/>
          <w:bCs/>
          <w:i w:val="0"/>
          <w:iCs w:val="0"/>
          <w:color w:val="auto"/>
          <w:kern w:val="44"/>
          <w:sz w:val="36"/>
          <w:szCs w:val="36"/>
          <w:highlight w:val="none"/>
          <w:lang w:val="en-US" w:eastAsia="zh-CN" w:bidi="ar-SA"/>
        </w:rPr>
        <w:t xml:space="preserve">第五章 </w:t>
      </w:r>
      <w:r>
        <w:rPr>
          <w:rFonts w:hint="eastAsia" w:ascii="宋体" w:hAnsi="宋体" w:eastAsia="宋体" w:cs="宋体"/>
          <w:b/>
          <w:bCs/>
          <w:i w:val="0"/>
          <w:iCs w:val="0"/>
          <w:color w:val="auto"/>
          <w:kern w:val="44"/>
          <w:sz w:val="36"/>
          <w:szCs w:val="36"/>
          <w:highlight w:val="none"/>
          <w:lang w:val="zh-CN" w:eastAsia="zh-CN" w:bidi="ar-SA"/>
        </w:rPr>
        <w:t>合同草案</w:t>
      </w:r>
      <w:bookmarkEnd w:id="484"/>
    </w:p>
    <w:p w14:paraId="1642DC82">
      <w:pPr>
        <w:wordWrap w:val="0"/>
        <w:jc w:val="center"/>
        <w:rPr>
          <w:rFonts w:hint="eastAsia" w:eastAsia="宋体"/>
          <w:bCs/>
          <w:i w:val="0"/>
          <w:iCs w:val="0"/>
          <w:color w:val="auto"/>
          <w:sz w:val="24"/>
          <w:szCs w:val="24"/>
          <w:highlight w:val="none"/>
          <w:lang w:eastAsia="zh-CN"/>
        </w:rPr>
      </w:pPr>
      <w:r>
        <w:rPr>
          <w:rFonts w:hint="eastAsia"/>
          <w:i w:val="0"/>
          <w:iCs w:val="0"/>
          <w:color w:val="auto"/>
          <w:sz w:val="24"/>
          <w:szCs w:val="24"/>
          <w:highlight w:val="none"/>
          <w:lang w:eastAsia="zh-CN"/>
        </w:rPr>
        <w:t>【</w:t>
      </w:r>
      <w:r>
        <w:rPr>
          <w:rFonts w:hint="eastAsia"/>
          <w:i w:val="0"/>
          <w:iCs w:val="0"/>
          <w:color w:val="auto"/>
          <w:sz w:val="24"/>
          <w:szCs w:val="24"/>
          <w:highlight w:val="none"/>
        </w:rPr>
        <w:t>此合同书仅作为签订正式合同时的参考，正式合同书应包括本参考格式的内容</w:t>
      </w:r>
      <w:r>
        <w:rPr>
          <w:rFonts w:hint="eastAsia"/>
          <w:i w:val="0"/>
          <w:iCs w:val="0"/>
          <w:color w:val="auto"/>
          <w:sz w:val="24"/>
          <w:szCs w:val="24"/>
          <w:highlight w:val="none"/>
          <w:lang w:eastAsia="zh-CN"/>
        </w:rPr>
        <w:t>】</w:t>
      </w:r>
    </w:p>
    <w:p w14:paraId="4BE22ED1">
      <w:pPr>
        <w:rPr>
          <w:rFonts w:hint="eastAsia"/>
          <w:bCs/>
          <w:sz w:val="30"/>
          <w:szCs w:val="30"/>
        </w:rPr>
      </w:pPr>
      <w:bookmarkStart w:id="485" w:name="_Toc3038"/>
    </w:p>
    <w:p w14:paraId="38D29660">
      <w:r>
        <w:rPr>
          <w:rFonts w:hint="eastAsia"/>
          <w:bCs/>
          <w:sz w:val="30"/>
          <w:szCs w:val="30"/>
        </w:rPr>
        <w:t>GF—2015—0212                    合同编号：</w:t>
      </w:r>
      <w:r>
        <w:rPr>
          <w:bCs/>
          <w:sz w:val="30"/>
          <w:szCs w:val="30"/>
          <w:u w:val="single"/>
        </w:rPr>
        <w:t xml:space="preserve">             </w:t>
      </w:r>
      <w:r>
        <w:br w:type="textWrapping"/>
      </w:r>
      <w:r>
        <w:br w:type="textWrapping"/>
      </w:r>
    </w:p>
    <w:p w14:paraId="6F4884BB"/>
    <w:p w14:paraId="43D03B06"/>
    <w:p w14:paraId="1E544B27"/>
    <w:p w14:paraId="3F2BFB14"/>
    <w:p w14:paraId="2627272F"/>
    <w:p w14:paraId="18C71802">
      <w:pPr>
        <w:spacing w:line="360" w:lineRule="auto"/>
        <w:jc w:val="center"/>
        <w:rPr>
          <w:rFonts w:hint="eastAsia"/>
        </w:rPr>
      </w:pPr>
      <w:r>
        <w:rPr>
          <w:b/>
          <w:sz w:val="72"/>
          <w:szCs w:val="72"/>
        </w:rPr>
        <w:t>建设工程造价咨询合同</w:t>
      </w:r>
      <w:r>
        <w:br w:type="textWrapping"/>
      </w:r>
      <w:r>
        <w:rPr>
          <w:b/>
          <w:sz w:val="52"/>
          <w:szCs w:val="52"/>
        </w:rPr>
        <w:br w:type="textWrapping"/>
      </w:r>
    </w:p>
    <w:p w14:paraId="7E8F6663">
      <w:pPr>
        <w:rPr>
          <w:rFonts w:hint="eastAsia"/>
        </w:rPr>
      </w:pPr>
    </w:p>
    <w:p w14:paraId="344C7DCF">
      <w:pPr>
        <w:pStyle w:val="89"/>
        <w:jc w:val="center"/>
        <w:rPr>
          <w:rFonts w:hint="eastAsia"/>
          <w:color w:val="auto"/>
        </w:rPr>
      </w:pPr>
    </w:p>
    <w:p w14:paraId="37B1A247">
      <w:pPr>
        <w:pStyle w:val="89"/>
        <w:jc w:val="center"/>
        <w:rPr>
          <w:rFonts w:hint="eastAsia"/>
          <w:color w:val="auto"/>
        </w:rPr>
      </w:pPr>
    </w:p>
    <w:p w14:paraId="43F455F3">
      <w:pPr>
        <w:pStyle w:val="89"/>
        <w:jc w:val="center"/>
        <w:rPr>
          <w:rFonts w:hint="eastAsia"/>
          <w:color w:val="auto"/>
        </w:rPr>
      </w:pPr>
    </w:p>
    <w:p w14:paraId="6A62AE9E">
      <w:pPr>
        <w:pStyle w:val="89"/>
        <w:shd w:val="clear"/>
        <w:rPr>
          <w:rFonts w:hint="eastAsia"/>
          <w:color w:val="auto"/>
          <w:sz w:val="32"/>
          <w:szCs w:val="32"/>
        </w:rPr>
      </w:pPr>
      <w:r>
        <w:rPr>
          <w:color w:val="auto"/>
          <w:sz w:val="32"/>
          <w:szCs w:val="32"/>
        </w:rPr>
        <mc:AlternateContent>
          <mc:Choice Requires="wps">
            <w:drawing>
              <wp:anchor distT="0" distB="0" distL="114300" distR="114300" simplePos="0" relativeHeight="251665408" behindDoc="0" locked="0" layoutInCell="1" allowOverlap="1">
                <wp:simplePos x="0" y="0"/>
                <wp:positionH relativeFrom="column">
                  <wp:posOffset>3761105</wp:posOffset>
                </wp:positionH>
                <wp:positionV relativeFrom="paragraph">
                  <wp:posOffset>267970</wp:posOffset>
                </wp:positionV>
                <wp:extent cx="2239010" cy="487680"/>
                <wp:effectExtent l="5080" t="4445" r="16510" b="15875"/>
                <wp:wrapNone/>
                <wp:docPr id="1" name="文本框 1"/>
                <wp:cNvGraphicFramePr/>
                <a:graphic xmlns:a="http://schemas.openxmlformats.org/drawingml/2006/main">
                  <a:graphicData uri="http://schemas.microsoft.com/office/word/2010/wordprocessingShape">
                    <wps:wsp>
                      <wps:cNvSpPr txBox="1"/>
                      <wps:spPr>
                        <a:xfrm>
                          <a:off x="0" y="0"/>
                          <a:ext cx="2239010" cy="487680"/>
                        </a:xfrm>
                        <a:prstGeom prst="rect">
                          <a:avLst/>
                        </a:prstGeom>
                        <a:solidFill>
                          <a:srgbClr val="FFFFFF"/>
                        </a:solidFill>
                        <a:ln w="0" cap="flat" cmpd="sng">
                          <a:solidFill>
                            <a:srgbClr val="FFFFFF"/>
                          </a:solidFill>
                          <a:prstDash val="solid"/>
                          <a:miter/>
                          <a:headEnd type="none" w="med" len="med"/>
                          <a:tailEnd type="none" w="med" len="med"/>
                        </a:ln>
                      </wps:spPr>
                      <wps:txbx>
                        <w:txbxContent>
                          <w:p w14:paraId="6E8BA9B1">
                            <w:pPr>
                              <w:rPr>
                                <w:b/>
                                <w:sz w:val="32"/>
                                <w:szCs w:val="32"/>
                              </w:rPr>
                            </w:pPr>
                            <w:r>
                              <w:rPr>
                                <w:rFonts w:hint="eastAsia"/>
                                <w:b/>
                                <w:sz w:val="32"/>
                                <w:szCs w:val="32"/>
                              </w:rPr>
                              <w:t>制定</w:t>
                            </w:r>
                          </w:p>
                        </w:txbxContent>
                      </wps:txbx>
                      <wps:bodyPr upright="1">
                        <a:spAutoFit/>
                      </wps:bodyPr>
                    </wps:wsp>
                  </a:graphicData>
                </a:graphic>
              </wp:anchor>
            </w:drawing>
          </mc:Choice>
          <mc:Fallback>
            <w:pict>
              <v:shape id="_x0000_s1026" o:spid="_x0000_s1026" o:spt="202" type="#_x0000_t202" style="position:absolute;left:0pt;margin-left:296.15pt;margin-top:21.1pt;height:38.4pt;width:176.3pt;z-index:251665408;mso-width-relative:page;mso-height-relative:page;" fillcolor="#FFFFFF" filled="t" stroked="t" coordsize="21600,21600" o:gfxdata="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CBYcPrYAAAACgEAAA8AAAAAAAAAAQAg&#10;AAAAIgAAAGRycy9kb3ducmV2LnhtbFBLAQIUABQAAAAIAIdO4kDXqevvDgIAAE0EAAAOAAAAAAAA&#10;AAEAIAAAACcBAABkcnMvZTJvRG9jLnhtbFBLBQYAAAAABgAGAFkBAACnBQAAAAA=&#10;">
                <v:fill on="t" focussize="0,0"/>
                <v:stroke weight="0pt" color="#FFFFFF" joinstyle="miter"/>
                <v:imagedata o:title=""/>
                <o:lock v:ext="edit" aspectratio="f"/>
                <v:textbox style="mso-fit-shape-to-text:t;">
                  <w:txbxContent>
                    <w:p w14:paraId="6E8BA9B1">
                      <w:pPr>
                        <w:rPr>
                          <w:b/>
                          <w:sz w:val="32"/>
                          <w:szCs w:val="32"/>
                        </w:rPr>
                      </w:pPr>
                      <w:r>
                        <w:rPr>
                          <w:rFonts w:hint="eastAsia"/>
                          <w:b/>
                          <w:sz w:val="32"/>
                          <w:szCs w:val="32"/>
                        </w:rPr>
                        <w:t>制定</w:t>
                      </w:r>
                    </w:p>
                  </w:txbxContent>
                </v:textbox>
              </v:shape>
            </w:pict>
          </mc:Fallback>
        </mc:AlternateContent>
      </w:r>
      <w:r>
        <w:rPr>
          <w:rFonts w:hint="eastAsia"/>
          <w:color w:val="auto"/>
          <w:sz w:val="32"/>
          <w:szCs w:val="32"/>
        </w:rPr>
        <w:t xml:space="preserve">                  住 房 和 城 乡 建 设 部</w:t>
      </w:r>
    </w:p>
    <w:p w14:paraId="795BFFA9">
      <w:pPr>
        <w:pStyle w:val="89"/>
        <w:shd w:val="clear"/>
        <w:ind w:firstLine="2409" w:firstLineChars="750"/>
        <w:jc w:val="both"/>
        <w:rPr>
          <w:rFonts w:hint="eastAsia"/>
          <w:color w:val="auto"/>
          <w:sz w:val="32"/>
          <w:szCs w:val="32"/>
        </w:rPr>
      </w:pPr>
      <w:r>
        <w:rPr>
          <w:rFonts w:hint="eastAsia"/>
          <w:color w:val="auto"/>
          <w:sz w:val="32"/>
          <w:szCs w:val="32"/>
        </w:rPr>
        <w:t>国家工商行政管理总局</w:t>
      </w:r>
    </w:p>
    <w:p w14:paraId="7BF9DBEC">
      <w:pPr>
        <w:pStyle w:val="90"/>
        <w:spacing w:before="0" w:after="0" w:line="276" w:lineRule="auto"/>
        <w:jc w:val="center"/>
        <w:rPr>
          <w:rFonts w:ascii="宋体" w:hAnsi="宋体"/>
          <w:sz w:val="24"/>
          <w:szCs w:val="24"/>
          <w:lang w:val="zh-CN"/>
        </w:rPr>
      </w:pPr>
      <w:r>
        <w:rPr>
          <w:rFonts w:hint="eastAsia" w:ascii="宋体" w:hAnsi="宋体"/>
          <w:sz w:val="24"/>
          <w:szCs w:val="24"/>
          <w:lang w:val="zh-CN"/>
        </w:rPr>
        <w:t xml:space="preserve"> </w:t>
      </w:r>
    </w:p>
    <w:p w14:paraId="5E23BBAA">
      <w:pPr>
        <w:pStyle w:val="90"/>
        <w:spacing w:before="0" w:after="0" w:line="276" w:lineRule="auto"/>
        <w:jc w:val="center"/>
        <w:rPr>
          <w:rFonts w:hint="eastAsia" w:ascii="宋体" w:hAnsi="宋体"/>
          <w:sz w:val="24"/>
          <w:szCs w:val="24"/>
          <w:lang w:val="zh-CN"/>
        </w:rPr>
      </w:pPr>
      <w:r>
        <w:rPr>
          <w:rFonts w:ascii="宋体" w:hAnsi="宋体"/>
          <w:sz w:val="24"/>
          <w:szCs w:val="24"/>
          <w:lang w:val="zh-CN"/>
        </w:rPr>
        <w:br w:type="page"/>
      </w:r>
      <w:r>
        <w:rPr>
          <w:rFonts w:hint="eastAsia" w:ascii="宋体" w:hAnsi="宋体"/>
          <w:sz w:val="24"/>
          <w:szCs w:val="24"/>
          <w:lang w:val="zh-CN"/>
        </w:rPr>
        <w:t xml:space="preserve"> 说  明</w:t>
      </w:r>
    </w:p>
    <w:p w14:paraId="00A694F7">
      <w:pPr>
        <w:spacing w:line="276" w:lineRule="auto"/>
        <w:ind w:firstLine="480" w:firstLineChars="200"/>
      </w:pPr>
      <w:r>
        <w:rPr>
          <w:rFonts w:hint="eastAsia"/>
        </w:rPr>
        <w:t>为了指导建设工程造价咨询合同当事人的签约行为，维护合同当事人的合法权益，依据《中华人民共和国民法典》、《中华人民共和国建筑法》、《中华人民共和国招标投标法》以及相关法律法规，住房和城乡建设部、国家工商行政管理总局对《建设工程造价咨询合同（示范文本）》（GF-2002-0212）进行了修订，制定了《建设工程造价咨询合同（示范文本）》（GF-2015- 0212 ）（以下简称《示范文本》）。为了便于合同当事人使用《示范文本》，现就有关问题说明如下：</w:t>
      </w:r>
    </w:p>
    <w:p w14:paraId="65B52E15">
      <w:pPr>
        <w:spacing w:line="276" w:lineRule="auto"/>
        <w:ind w:firstLine="480" w:firstLineChars="200"/>
        <w:rPr>
          <w:rFonts w:hint="eastAsia"/>
          <w:bCs/>
        </w:rPr>
      </w:pPr>
      <w:r>
        <w:rPr>
          <w:rFonts w:hint="eastAsia"/>
          <w:bCs/>
        </w:rPr>
        <w:t>一、《示范文本》的组成</w:t>
      </w:r>
    </w:p>
    <w:p w14:paraId="01F7C13D">
      <w:pPr>
        <w:spacing w:line="276" w:lineRule="auto"/>
        <w:ind w:firstLine="480" w:firstLineChars="200"/>
        <w:rPr>
          <w:rFonts w:hint="eastAsia"/>
        </w:rPr>
      </w:pPr>
      <w:r>
        <w:rPr>
          <w:rFonts w:hint="eastAsia"/>
        </w:rPr>
        <w:t>《示范文本》由协议书、通用条件和专用条件三部分组成。</w:t>
      </w:r>
    </w:p>
    <w:p w14:paraId="168EED84">
      <w:pPr>
        <w:spacing w:line="276" w:lineRule="auto"/>
        <w:ind w:firstLine="480" w:firstLineChars="200"/>
        <w:rPr>
          <w:rFonts w:hint="eastAsia"/>
        </w:rPr>
      </w:pPr>
      <w:r>
        <w:rPr>
          <w:rFonts w:hint="eastAsia"/>
        </w:rPr>
        <w:t>（一）协议书</w:t>
      </w:r>
    </w:p>
    <w:p w14:paraId="0DA8DACA">
      <w:pPr>
        <w:spacing w:line="276" w:lineRule="auto"/>
        <w:ind w:left="168" w:leftChars="70" w:firstLine="360" w:firstLineChars="150"/>
        <w:rPr>
          <w:rFonts w:hint="eastAsia"/>
        </w:rPr>
      </w:pPr>
      <w:r>
        <w:rPr>
          <w:rFonts w:hint="eastAsia"/>
        </w:rPr>
        <w:t>《示范文本》协议书集中约定了合同当事人基本的合同权利义务。</w:t>
      </w:r>
    </w:p>
    <w:p w14:paraId="4D260F45">
      <w:pPr>
        <w:spacing w:line="276" w:lineRule="auto"/>
        <w:ind w:firstLine="480" w:firstLineChars="200"/>
        <w:rPr>
          <w:rFonts w:hint="eastAsia"/>
        </w:rPr>
      </w:pPr>
      <w:r>
        <w:rPr>
          <w:rFonts w:hint="eastAsia"/>
        </w:rPr>
        <w:t>（二）通用条件</w:t>
      </w:r>
    </w:p>
    <w:p w14:paraId="1C126A4B">
      <w:pPr>
        <w:spacing w:line="276" w:lineRule="auto"/>
        <w:ind w:firstLine="480" w:firstLineChars="200"/>
        <w:rPr>
          <w:rFonts w:hint="eastAsia"/>
        </w:rPr>
      </w:pPr>
      <w:r>
        <w:rPr>
          <w:rFonts w:hint="eastAsia"/>
        </w:rPr>
        <w:t>通用条件是合同当事人根据《中华人民共和国民法典》、《中华人民共和国建筑法》等法律法规的规定，就工程造价咨询的实施及相关事项，对合同当事人的权利义务作出的原则性约定。</w:t>
      </w:r>
    </w:p>
    <w:p w14:paraId="715E4977">
      <w:pPr>
        <w:spacing w:line="276" w:lineRule="auto"/>
        <w:ind w:firstLine="480" w:firstLineChars="200"/>
      </w:pPr>
      <w:r>
        <w:rPr>
          <w:rFonts w:hint="eastAsia"/>
        </w:rPr>
        <w:t>通用条件既考虑了现行法律法规对工程发承包计价的有关要求，也考虑了工程造价咨询管理的特殊需要。</w:t>
      </w:r>
    </w:p>
    <w:p w14:paraId="77720FEC">
      <w:pPr>
        <w:spacing w:line="276" w:lineRule="auto"/>
        <w:ind w:firstLine="480" w:firstLineChars="200"/>
        <w:rPr>
          <w:rFonts w:hint="eastAsia"/>
        </w:rPr>
      </w:pPr>
      <w:r>
        <w:rPr>
          <w:rFonts w:hint="eastAsia"/>
        </w:rPr>
        <w:t>（三）专用条件</w:t>
      </w:r>
    </w:p>
    <w:p w14:paraId="0994D660">
      <w:pPr>
        <w:spacing w:line="276" w:lineRule="auto"/>
        <w:ind w:firstLine="480" w:firstLineChars="200"/>
        <w:rPr>
          <w:rFonts w:hint="eastAsia"/>
        </w:rPr>
      </w:pPr>
      <w:r>
        <w:rPr>
          <w:rFonts w:hint="eastAsia"/>
        </w:rPr>
        <w:t>专用条件是对通用条件原则性约定的细化、完善、补充、修改或另行约定的条件。合同当事人可以根据不同建设工程的特点及发承包计价的具体情况，通过双方的谈判、协商对相应的专用条件进行修改补充。在使用专用条件时，应注意以下事项：</w:t>
      </w:r>
    </w:p>
    <w:p w14:paraId="7EF6D6FE">
      <w:pPr>
        <w:spacing w:line="276" w:lineRule="auto"/>
        <w:ind w:right="29" w:rightChars="12" w:firstLine="480" w:firstLineChars="200"/>
        <w:rPr>
          <w:rFonts w:hint="eastAsia"/>
        </w:rPr>
      </w:pPr>
      <w:r>
        <w:rPr>
          <w:rFonts w:hint="eastAsia"/>
        </w:rPr>
        <w:t>1.专用条件的编号应与相应的通用条件的编号一致；</w:t>
      </w:r>
    </w:p>
    <w:p w14:paraId="57F0B5D3">
      <w:pPr>
        <w:spacing w:line="276" w:lineRule="auto"/>
        <w:ind w:firstLine="480" w:firstLineChars="200"/>
        <w:rPr>
          <w:rFonts w:hint="eastAsia"/>
        </w:rPr>
      </w:pPr>
      <w:r>
        <w:rPr>
          <w:rFonts w:hint="eastAsia"/>
        </w:rPr>
        <w:t>2.合同当事人可以通过对专用条件的修改，满足具体工程的特殊要求，避免直接修改通用条件；</w:t>
      </w:r>
    </w:p>
    <w:p w14:paraId="5FC8F862">
      <w:pPr>
        <w:spacing w:line="276" w:lineRule="auto"/>
        <w:ind w:firstLine="480" w:firstLineChars="200"/>
        <w:rPr>
          <w:rFonts w:hint="eastAsia"/>
        </w:rPr>
      </w:pPr>
      <w:r>
        <w:rPr>
          <w:rFonts w:hint="eastAsia"/>
        </w:rPr>
        <w:t>3.在专用条件中有横道线的地方，合同当事人可针对相应的通用条件进行细化、完善、补充、修改或另行约定；如无细化、完善、补充、修改或另行约定，则填写“无”或划“/”。</w:t>
      </w:r>
    </w:p>
    <w:p w14:paraId="69A3BCEC">
      <w:pPr>
        <w:spacing w:line="276" w:lineRule="auto"/>
        <w:ind w:firstLine="480" w:firstLineChars="200"/>
        <w:rPr>
          <w:rFonts w:hint="eastAsia"/>
          <w:b/>
        </w:rPr>
      </w:pPr>
      <w:r>
        <w:rPr>
          <w:rFonts w:hint="eastAsia"/>
          <w:bCs/>
        </w:rPr>
        <w:t>二、《示范文本》的性质和适用范围</w:t>
      </w:r>
    </w:p>
    <w:p w14:paraId="12E94A8B">
      <w:pPr>
        <w:spacing w:line="276" w:lineRule="auto"/>
        <w:ind w:firstLine="480" w:firstLineChars="200"/>
        <w:rPr>
          <w:sz w:val="28"/>
          <w:szCs w:val="28"/>
        </w:rPr>
        <w:sectPr>
          <w:headerReference r:id="rId9" w:type="default"/>
          <w:footerReference r:id="rId10" w:type="default"/>
          <w:pgSz w:w="11906" w:h="16838"/>
          <w:pgMar w:top="1418" w:right="1555" w:bottom="1418" w:left="1531" w:header="851" w:footer="992" w:gutter="0"/>
          <w:pgNumType w:fmt="decimal"/>
          <w:cols w:space="720" w:num="1"/>
          <w:titlePg/>
          <w:docGrid w:type="lines" w:linePitch="312" w:charSpace="0"/>
        </w:sectPr>
      </w:pPr>
      <w:r>
        <w:rPr>
          <w:rFonts w:hint="eastAsia"/>
        </w:rPr>
        <w:t>《示范文本》供合同双方当事人参照使用，可适用于各类建设工程全过程造价咨询服务以及阶段性造价咨询服务的合同订立。合同当事人可结合建设工程具体情况，按照法律法规规定，根据《示范文本》的内容，约定双方具体的权利义务。</w:t>
      </w:r>
    </w:p>
    <w:p w14:paraId="02C8B323">
      <w:pPr>
        <w:pStyle w:val="90"/>
        <w:tabs>
          <w:tab w:val="left" w:pos="3360"/>
          <w:tab w:val="center" w:pos="4153"/>
        </w:tabs>
        <w:spacing w:line="276" w:lineRule="auto"/>
        <w:jc w:val="left"/>
        <w:rPr>
          <w:rFonts w:hint="eastAsia" w:ascii="宋体" w:hAnsi="宋体" w:eastAsia="宋体" w:cs="宋体"/>
          <w:sz w:val="21"/>
          <w:szCs w:val="21"/>
        </w:rPr>
      </w:pPr>
      <w:r>
        <w:rPr>
          <w:rFonts w:hint="eastAsia" w:ascii="宋体" w:hAnsi="宋体" w:eastAsia="宋体" w:cs="宋体"/>
          <w:sz w:val="21"/>
          <w:szCs w:val="21"/>
        </w:rPr>
        <w:tab/>
      </w:r>
      <w:r>
        <w:rPr>
          <w:rFonts w:hint="eastAsia" w:ascii="宋体" w:hAnsi="宋体" w:eastAsia="宋体" w:cs="宋体"/>
          <w:sz w:val="21"/>
          <w:szCs w:val="21"/>
        </w:rPr>
        <w:tab/>
      </w:r>
      <w:r>
        <w:rPr>
          <w:rFonts w:hint="eastAsia" w:ascii="宋体" w:hAnsi="宋体" w:eastAsia="宋体" w:cs="宋体"/>
          <w:sz w:val="21"/>
          <w:szCs w:val="21"/>
        </w:rPr>
        <w:t>目  录</w:t>
      </w:r>
    </w:p>
    <w:p w14:paraId="142A67AF">
      <w:pPr>
        <w:pStyle w:val="20"/>
        <w:tabs>
          <w:tab w:val="right" w:leader="dot" w:pos="8296"/>
        </w:tabs>
        <w:spacing w:line="276" w:lineRule="auto"/>
        <w:rPr>
          <w:rFonts w:hint="eastAsia" w:ascii="宋体" w:hAnsi="宋体" w:eastAsia="宋体" w:cs="宋体"/>
          <w:kern w:val="2"/>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TOC \o "1-3" \h \z \u </w:instrText>
      </w:r>
      <w:r>
        <w:rPr>
          <w:rFonts w:hint="eastAsia" w:ascii="宋体" w:hAnsi="宋体" w:eastAsia="宋体" w:cs="宋体"/>
          <w:sz w:val="21"/>
          <w:szCs w:val="21"/>
        </w:rPr>
        <w:fldChar w:fldCharType="separate"/>
      </w: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"_Toc422322470"</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第一部分　协议书</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_Toc422322470 \h </w:instrText>
      </w:r>
      <w:r>
        <w:rPr>
          <w:rFonts w:hint="eastAsia" w:ascii="宋体" w:hAnsi="宋体" w:eastAsia="宋体" w:cs="宋体"/>
          <w:sz w:val="21"/>
          <w:szCs w:val="21"/>
        </w:rPr>
        <w:fldChar w:fldCharType="separate"/>
      </w:r>
      <w:r>
        <w:rPr>
          <w:rFonts w:hint="eastAsia" w:ascii="宋体" w:hAnsi="宋体" w:eastAsia="宋体" w:cs="宋体"/>
          <w:sz w:val="21"/>
          <w:szCs w:val="21"/>
        </w:rPr>
        <w:t>60</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B2FCB4C">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"_Toc422322471"</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一、工程概况</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_Toc422322471 \h </w:instrText>
      </w:r>
      <w:r>
        <w:rPr>
          <w:rFonts w:hint="eastAsia" w:ascii="宋体" w:hAnsi="宋体" w:eastAsia="宋体" w:cs="宋体"/>
          <w:sz w:val="21"/>
          <w:szCs w:val="21"/>
        </w:rPr>
        <w:fldChar w:fldCharType="separate"/>
      </w:r>
      <w:r>
        <w:rPr>
          <w:rFonts w:hint="eastAsia" w:ascii="宋体" w:hAnsi="宋体" w:eastAsia="宋体" w:cs="宋体"/>
          <w:sz w:val="21"/>
          <w:szCs w:val="21"/>
        </w:rPr>
        <w:t>60</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0A6B97F6">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"_Toc422322472"</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二、服务范围及工作内容</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_Toc422322472 \h </w:instrText>
      </w:r>
      <w:r>
        <w:rPr>
          <w:rFonts w:hint="eastAsia" w:ascii="宋体" w:hAnsi="宋体" w:eastAsia="宋体" w:cs="宋体"/>
          <w:sz w:val="21"/>
          <w:szCs w:val="21"/>
        </w:rPr>
        <w:fldChar w:fldCharType="separate"/>
      </w:r>
      <w:r>
        <w:rPr>
          <w:rFonts w:hint="eastAsia" w:ascii="宋体" w:hAnsi="宋体" w:eastAsia="宋体" w:cs="宋体"/>
          <w:sz w:val="21"/>
          <w:szCs w:val="21"/>
        </w:rPr>
        <w:t>60</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35A47B5E">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"_Toc422322473"</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三、服务期限</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_Toc422322473 \h </w:instrText>
      </w:r>
      <w:r>
        <w:rPr>
          <w:rFonts w:hint="eastAsia" w:ascii="宋体" w:hAnsi="宋体" w:eastAsia="宋体" w:cs="宋体"/>
          <w:sz w:val="21"/>
          <w:szCs w:val="21"/>
        </w:rPr>
        <w:fldChar w:fldCharType="separate"/>
      </w:r>
      <w:r>
        <w:rPr>
          <w:rFonts w:hint="eastAsia" w:ascii="宋体" w:hAnsi="宋体" w:eastAsia="宋体" w:cs="宋体"/>
          <w:sz w:val="21"/>
          <w:szCs w:val="21"/>
        </w:rPr>
        <w:t>60</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38393A2B">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"_Toc422322474"</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四、质量标准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_Toc422322474 \h </w:instrText>
      </w:r>
      <w:r>
        <w:rPr>
          <w:rFonts w:hint="eastAsia" w:ascii="宋体" w:hAnsi="宋体" w:eastAsia="宋体" w:cs="宋体"/>
          <w:sz w:val="21"/>
          <w:szCs w:val="21"/>
        </w:rPr>
        <w:fldChar w:fldCharType="separate"/>
      </w:r>
      <w:r>
        <w:rPr>
          <w:rFonts w:hint="eastAsia" w:ascii="宋体" w:hAnsi="宋体" w:eastAsia="宋体" w:cs="宋体"/>
          <w:sz w:val="21"/>
          <w:szCs w:val="21"/>
        </w:rPr>
        <w:t>64</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B54CA03">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"_Toc422322475"</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五、酬金或计取方式</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_Toc422322475 \h </w:instrText>
      </w:r>
      <w:r>
        <w:rPr>
          <w:rFonts w:hint="eastAsia" w:ascii="宋体" w:hAnsi="宋体" w:eastAsia="宋体" w:cs="宋体"/>
          <w:sz w:val="21"/>
          <w:szCs w:val="21"/>
        </w:rPr>
        <w:fldChar w:fldCharType="separate"/>
      </w:r>
      <w:r>
        <w:rPr>
          <w:rFonts w:hint="eastAsia" w:ascii="宋体" w:hAnsi="宋体" w:eastAsia="宋体" w:cs="宋体"/>
          <w:sz w:val="21"/>
          <w:szCs w:val="21"/>
        </w:rPr>
        <w:t>64</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0799AC5C">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"_Toc422322476"</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六、合同文件的构成</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_Toc422322476 \h </w:instrText>
      </w:r>
      <w:r>
        <w:rPr>
          <w:rFonts w:hint="eastAsia" w:ascii="宋体" w:hAnsi="宋体" w:eastAsia="宋体" w:cs="宋体"/>
          <w:sz w:val="21"/>
          <w:szCs w:val="21"/>
        </w:rPr>
        <w:fldChar w:fldCharType="separate"/>
      </w:r>
      <w:r>
        <w:rPr>
          <w:rFonts w:hint="eastAsia" w:ascii="宋体" w:hAnsi="宋体" w:eastAsia="宋体" w:cs="宋体"/>
          <w:sz w:val="21"/>
          <w:szCs w:val="21"/>
        </w:rPr>
        <w:t>65</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2FE931A2">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"_Toc422322477"</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七、词语定义</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_Toc422322477 \h </w:instrText>
      </w:r>
      <w:r>
        <w:rPr>
          <w:rFonts w:hint="eastAsia" w:ascii="宋体" w:hAnsi="宋体" w:eastAsia="宋体" w:cs="宋体"/>
          <w:sz w:val="21"/>
          <w:szCs w:val="21"/>
        </w:rPr>
        <w:fldChar w:fldCharType="separate"/>
      </w:r>
      <w:r>
        <w:rPr>
          <w:rFonts w:hint="eastAsia" w:ascii="宋体" w:hAnsi="宋体" w:eastAsia="宋体" w:cs="宋体"/>
          <w:sz w:val="21"/>
          <w:szCs w:val="21"/>
        </w:rPr>
        <w:t>65</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3E68F59D">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"_Toc422322478"</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八、合同订立</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_Toc422322478 \h </w:instrText>
      </w:r>
      <w:r>
        <w:rPr>
          <w:rFonts w:hint="eastAsia" w:ascii="宋体" w:hAnsi="宋体" w:eastAsia="宋体" w:cs="宋体"/>
          <w:sz w:val="21"/>
          <w:szCs w:val="21"/>
        </w:rPr>
        <w:fldChar w:fldCharType="separate"/>
      </w:r>
      <w:r>
        <w:rPr>
          <w:rFonts w:hint="eastAsia" w:ascii="宋体" w:hAnsi="宋体" w:eastAsia="宋体" w:cs="宋体"/>
          <w:sz w:val="21"/>
          <w:szCs w:val="21"/>
        </w:rPr>
        <w:t>65</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4648A56">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"_Toc422322479"</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九、合同生效</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_Toc422322479 \h </w:instrText>
      </w:r>
      <w:r>
        <w:rPr>
          <w:rFonts w:hint="eastAsia" w:ascii="宋体" w:hAnsi="宋体" w:eastAsia="宋体" w:cs="宋体"/>
          <w:sz w:val="21"/>
          <w:szCs w:val="21"/>
        </w:rPr>
        <w:fldChar w:fldCharType="separate"/>
      </w:r>
      <w:r>
        <w:rPr>
          <w:rFonts w:hint="eastAsia" w:ascii="宋体" w:hAnsi="宋体" w:eastAsia="宋体" w:cs="宋体"/>
          <w:sz w:val="21"/>
          <w:szCs w:val="21"/>
        </w:rPr>
        <w:t>65</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1183FAA0">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"_Toc422322480"</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十、合同份数</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_Toc422322480 \h </w:instrText>
      </w:r>
      <w:r>
        <w:rPr>
          <w:rFonts w:hint="eastAsia" w:ascii="宋体" w:hAnsi="宋体" w:eastAsia="宋体" w:cs="宋体"/>
          <w:sz w:val="21"/>
          <w:szCs w:val="21"/>
        </w:rPr>
        <w:fldChar w:fldCharType="separate"/>
      </w:r>
      <w:r>
        <w:rPr>
          <w:rFonts w:hint="eastAsia" w:ascii="宋体" w:hAnsi="宋体" w:eastAsia="宋体" w:cs="宋体"/>
          <w:sz w:val="21"/>
          <w:szCs w:val="21"/>
        </w:rPr>
        <w:t>65</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4970CAE8">
      <w:pPr>
        <w:pStyle w:val="20"/>
        <w:tabs>
          <w:tab w:val="right" w:leader="dot" w:pos="8296"/>
        </w:tabs>
        <w:spacing w:line="276" w:lineRule="auto"/>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"_Toc422322481"</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第二部分　通用条件</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_Toc422322481 \h </w:instrText>
      </w:r>
      <w:r>
        <w:rPr>
          <w:rFonts w:hint="eastAsia" w:ascii="宋体" w:hAnsi="宋体" w:eastAsia="宋体" w:cs="宋体"/>
          <w:sz w:val="21"/>
          <w:szCs w:val="21"/>
        </w:rPr>
        <w:fldChar w:fldCharType="separate"/>
      </w:r>
      <w:r>
        <w:rPr>
          <w:rFonts w:hint="eastAsia" w:ascii="宋体" w:hAnsi="宋体" w:eastAsia="宋体" w:cs="宋体"/>
          <w:sz w:val="21"/>
          <w:szCs w:val="21"/>
        </w:rPr>
        <w:t>65</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6F5A36F">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"_Toc422322482"</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1.词语定义、语言、解释顺序与适用法律</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_Toc422322482 \h </w:instrText>
      </w:r>
      <w:r>
        <w:rPr>
          <w:rFonts w:hint="eastAsia" w:ascii="宋体" w:hAnsi="宋体" w:eastAsia="宋体" w:cs="宋体"/>
          <w:sz w:val="21"/>
          <w:szCs w:val="21"/>
        </w:rPr>
        <w:fldChar w:fldCharType="separate"/>
      </w:r>
      <w:r>
        <w:rPr>
          <w:rFonts w:hint="eastAsia" w:ascii="宋体" w:hAnsi="宋体" w:eastAsia="宋体" w:cs="宋体"/>
          <w:sz w:val="21"/>
          <w:szCs w:val="21"/>
        </w:rPr>
        <w:t>67</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21F60F82">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"_Toc422322483"</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1.1词语定义</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_Toc422322483 \h </w:instrText>
      </w:r>
      <w:r>
        <w:rPr>
          <w:rFonts w:hint="eastAsia" w:ascii="宋体" w:hAnsi="宋体" w:eastAsia="宋体" w:cs="宋体"/>
          <w:sz w:val="21"/>
          <w:szCs w:val="21"/>
        </w:rPr>
        <w:fldChar w:fldCharType="separate"/>
      </w:r>
      <w:r>
        <w:rPr>
          <w:rFonts w:hint="eastAsia" w:ascii="宋体" w:hAnsi="宋体" w:eastAsia="宋体" w:cs="宋体"/>
          <w:sz w:val="21"/>
          <w:szCs w:val="21"/>
        </w:rPr>
        <w:t>67</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4485DCF4">
      <w:pPr>
        <w:pStyle w:val="27"/>
        <w:tabs>
          <w:tab w:val="right" w:leader="dot" w:pos="8296"/>
        </w:tabs>
        <w:spacing w:line="276" w:lineRule="auto"/>
        <w:ind w:leftChars="175" w:firstLine="105" w:firstLineChars="5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"_Toc422322484"</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1.2语言</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_Toc422322484 \h </w:instrText>
      </w:r>
      <w:r>
        <w:rPr>
          <w:rFonts w:hint="eastAsia" w:ascii="宋体" w:hAnsi="宋体" w:eastAsia="宋体" w:cs="宋体"/>
          <w:sz w:val="21"/>
          <w:szCs w:val="21"/>
        </w:rPr>
        <w:fldChar w:fldCharType="separate"/>
      </w:r>
      <w:r>
        <w:rPr>
          <w:rFonts w:hint="eastAsia" w:ascii="宋体" w:hAnsi="宋体" w:eastAsia="宋体" w:cs="宋体"/>
          <w:sz w:val="21"/>
          <w:szCs w:val="21"/>
        </w:rPr>
        <w:t>67</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3D2F67AB">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"_Toc422322485"</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1.3合同文件的优先顺序</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_Toc422322485 \h </w:instrText>
      </w:r>
      <w:r>
        <w:rPr>
          <w:rFonts w:hint="eastAsia" w:ascii="宋体" w:hAnsi="宋体" w:eastAsia="宋体" w:cs="宋体"/>
          <w:sz w:val="21"/>
          <w:szCs w:val="21"/>
        </w:rPr>
        <w:fldChar w:fldCharType="separate"/>
      </w:r>
      <w:r>
        <w:rPr>
          <w:rFonts w:hint="eastAsia" w:ascii="宋体" w:hAnsi="宋体" w:eastAsia="宋体" w:cs="宋体"/>
          <w:sz w:val="21"/>
          <w:szCs w:val="21"/>
        </w:rPr>
        <w:t>67</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A22517A">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"_Toc422322486"</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1.4适用法律</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_Toc422322486 \h </w:instrText>
      </w:r>
      <w:r>
        <w:rPr>
          <w:rFonts w:hint="eastAsia" w:ascii="宋体" w:hAnsi="宋体" w:eastAsia="宋体" w:cs="宋体"/>
          <w:sz w:val="21"/>
          <w:szCs w:val="21"/>
        </w:rPr>
        <w:fldChar w:fldCharType="separate"/>
      </w:r>
      <w:r>
        <w:rPr>
          <w:rFonts w:hint="eastAsia" w:ascii="宋体" w:hAnsi="宋体" w:eastAsia="宋体" w:cs="宋体"/>
          <w:sz w:val="21"/>
          <w:szCs w:val="21"/>
        </w:rPr>
        <w:t>68</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40230654">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"_Toc422322487"</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2.委托人的义务</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_Toc422322487 \h </w:instrText>
      </w:r>
      <w:r>
        <w:rPr>
          <w:rFonts w:hint="eastAsia" w:ascii="宋体" w:hAnsi="宋体" w:eastAsia="宋体" w:cs="宋体"/>
          <w:sz w:val="21"/>
          <w:szCs w:val="21"/>
        </w:rPr>
        <w:fldChar w:fldCharType="separate"/>
      </w:r>
      <w:r>
        <w:rPr>
          <w:rFonts w:hint="eastAsia" w:ascii="宋体" w:hAnsi="宋体" w:eastAsia="宋体" w:cs="宋体"/>
          <w:sz w:val="21"/>
          <w:szCs w:val="21"/>
        </w:rPr>
        <w:t>68</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3F3DE3E0">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"_Toc422322488"</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2.1提供资料</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_Toc422322488 \h </w:instrText>
      </w:r>
      <w:r>
        <w:rPr>
          <w:rFonts w:hint="eastAsia" w:ascii="宋体" w:hAnsi="宋体" w:eastAsia="宋体" w:cs="宋体"/>
          <w:sz w:val="21"/>
          <w:szCs w:val="21"/>
        </w:rPr>
        <w:fldChar w:fldCharType="separate"/>
      </w:r>
      <w:r>
        <w:rPr>
          <w:rFonts w:hint="eastAsia" w:ascii="宋体" w:hAnsi="宋体" w:eastAsia="宋体" w:cs="宋体"/>
          <w:sz w:val="21"/>
          <w:szCs w:val="21"/>
        </w:rPr>
        <w:t>68</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15B42EAA">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"_Toc422322489"</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2.2提供工作条件</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_Toc422322489 \h </w:instrText>
      </w:r>
      <w:r>
        <w:rPr>
          <w:rFonts w:hint="eastAsia" w:ascii="宋体" w:hAnsi="宋体" w:eastAsia="宋体" w:cs="宋体"/>
          <w:sz w:val="21"/>
          <w:szCs w:val="21"/>
        </w:rPr>
        <w:fldChar w:fldCharType="separate"/>
      </w:r>
      <w:r>
        <w:rPr>
          <w:rFonts w:hint="eastAsia" w:ascii="宋体" w:hAnsi="宋体" w:eastAsia="宋体" w:cs="宋体"/>
          <w:sz w:val="21"/>
          <w:szCs w:val="21"/>
        </w:rPr>
        <w:t>68</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74D24A96">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"_Toc422322490"</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2.3合理工作时限</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_Toc422322490 \h </w:instrText>
      </w:r>
      <w:r>
        <w:rPr>
          <w:rFonts w:hint="eastAsia" w:ascii="宋体" w:hAnsi="宋体" w:eastAsia="宋体" w:cs="宋体"/>
          <w:sz w:val="21"/>
          <w:szCs w:val="21"/>
        </w:rPr>
        <w:fldChar w:fldCharType="separate"/>
      </w:r>
      <w:r>
        <w:rPr>
          <w:rFonts w:hint="eastAsia" w:ascii="宋体" w:hAnsi="宋体" w:eastAsia="宋体" w:cs="宋体"/>
          <w:sz w:val="21"/>
          <w:szCs w:val="21"/>
        </w:rPr>
        <w:t>68</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671B9608">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"_Toc422322491"</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2.4委托人代表</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_Toc422322491 \h </w:instrText>
      </w:r>
      <w:r>
        <w:rPr>
          <w:rFonts w:hint="eastAsia" w:ascii="宋体" w:hAnsi="宋体" w:eastAsia="宋体" w:cs="宋体"/>
          <w:sz w:val="21"/>
          <w:szCs w:val="21"/>
        </w:rPr>
        <w:fldChar w:fldCharType="separate"/>
      </w:r>
      <w:r>
        <w:rPr>
          <w:rFonts w:hint="eastAsia" w:ascii="宋体" w:hAnsi="宋体" w:eastAsia="宋体" w:cs="宋体"/>
          <w:sz w:val="21"/>
          <w:szCs w:val="21"/>
        </w:rPr>
        <w:t>68</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F656A69">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"_Toc422322492"</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2.5答复</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_Toc422322492 \h </w:instrText>
      </w:r>
      <w:r>
        <w:rPr>
          <w:rFonts w:hint="eastAsia" w:ascii="宋体" w:hAnsi="宋体" w:eastAsia="宋体" w:cs="宋体"/>
          <w:sz w:val="21"/>
          <w:szCs w:val="21"/>
        </w:rPr>
        <w:fldChar w:fldCharType="separate"/>
      </w:r>
      <w:r>
        <w:rPr>
          <w:rFonts w:hint="eastAsia" w:ascii="宋体" w:hAnsi="宋体" w:eastAsia="宋体" w:cs="宋体"/>
          <w:sz w:val="21"/>
          <w:szCs w:val="21"/>
        </w:rPr>
        <w:t>68</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164E6E62">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"_Toc422322493"</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2.6支付</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_Toc422322493 \h </w:instrText>
      </w:r>
      <w:r>
        <w:rPr>
          <w:rFonts w:hint="eastAsia" w:ascii="宋体" w:hAnsi="宋体" w:eastAsia="宋体" w:cs="宋体"/>
          <w:sz w:val="21"/>
          <w:szCs w:val="21"/>
        </w:rPr>
        <w:fldChar w:fldCharType="separate"/>
      </w:r>
      <w:r>
        <w:rPr>
          <w:rFonts w:hint="eastAsia" w:ascii="宋体" w:hAnsi="宋体" w:eastAsia="宋体" w:cs="宋体"/>
          <w:sz w:val="21"/>
          <w:szCs w:val="21"/>
        </w:rPr>
        <w:t>69</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795C63F9">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"_Toc422322494"</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3.咨询人的义务</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_Toc422322494 \h </w:instrText>
      </w:r>
      <w:r>
        <w:rPr>
          <w:rFonts w:hint="eastAsia" w:ascii="宋体" w:hAnsi="宋体" w:eastAsia="宋体" w:cs="宋体"/>
          <w:sz w:val="21"/>
          <w:szCs w:val="21"/>
        </w:rPr>
        <w:fldChar w:fldCharType="separate"/>
      </w:r>
      <w:r>
        <w:rPr>
          <w:rFonts w:hint="eastAsia" w:ascii="宋体" w:hAnsi="宋体" w:eastAsia="宋体" w:cs="宋体"/>
          <w:sz w:val="21"/>
          <w:szCs w:val="21"/>
        </w:rPr>
        <w:t>69</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73884EFD">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"_Toc422322495"</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3.1项目咨询团队及人员</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_Toc422322495 \h </w:instrText>
      </w:r>
      <w:r>
        <w:rPr>
          <w:rFonts w:hint="eastAsia" w:ascii="宋体" w:hAnsi="宋体" w:eastAsia="宋体" w:cs="宋体"/>
          <w:sz w:val="21"/>
          <w:szCs w:val="21"/>
        </w:rPr>
        <w:fldChar w:fldCharType="separate"/>
      </w:r>
      <w:r>
        <w:rPr>
          <w:rFonts w:hint="eastAsia" w:ascii="宋体" w:hAnsi="宋体" w:eastAsia="宋体" w:cs="宋体"/>
          <w:sz w:val="21"/>
          <w:szCs w:val="21"/>
        </w:rPr>
        <w:t>69</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6B03C991">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"_Toc422322496"</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3.2咨询人的工作要求</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_Toc422322496 \h </w:instrText>
      </w:r>
      <w:r>
        <w:rPr>
          <w:rFonts w:hint="eastAsia" w:ascii="宋体" w:hAnsi="宋体" w:eastAsia="宋体" w:cs="宋体"/>
          <w:sz w:val="21"/>
          <w:szCs w:val="21"/>
        </w:rPr>
        <w:fldChar w:fldCharType="separate"/>
      </w:r>
      <w:r>
        <w:rPr>
          <w:rFonts w:hint="eastAsia" w:ascii="宋体" w:hAnsi="宋体" w:eastAsia="宋体" w:cs="宋体"/>
          <w:sz w:val="21"/>
          <w:szCs w:val="21"/>
        </w:rPr>
        <w:t>69</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413C19CA">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"_Toc422322497"</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3.3咨询人的工作依据</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_Toc422322497 \h </w:instrText>
      </w:r>
      <w:r>
        <w:rPr>
          <w:rFonts w:hint="eastAsia" w:ascii="宋体" w:hAnsi="宋体" w:eastAsia="宋体" w:cs="宋体"/>
          <w:sz w:val="21"/>
          <w:szCs w:val="21"/>
        </w:rPr>
        <w:fldChar w:fldCharType="separate"/>
      </w:r>
      <w:r>
        <w:rPr>
          <w:rFonts w:hint="eastAsia" w:ascii="宋体" w:hAnsi="宋体" w:eastAsia="宋体" w:cs="宋体"/>
          <w:sz w:val="21"/>
          <w:szCs w:val="21"/>
        </w:rPr>
        <w:t>70</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49CEE6F2">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"_Toc422322498"</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3.4使用委托人房屋及设备的返还</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_Toc422322498 \h </w:instrText>
      </w:r>
      <w:r>
        <w:rPr>
          <w:rFonts w:hint="eastAsia" w:ascii="宋体" w:hAnsi="宋体" w:eastAsia="宋体" w:cs="宋体"/>
          <w:sz w:val="21"/>
          <w:szCs w:val="21"/>
        </w:rPr>
        <w:fldChar w:fldCharType="separate"/>
      </w:r>
      <w:r>
        <w:rPr>
          <w:rFonts w:hint="eastAsia" w:ascii="宋体" w:hAnsi="宋体" w:eastAsia="宋体" w:cs="宋体"/>
          <w:sz w:val="21"/>
          <w:szCs w:val="21"/>
        </w:rPr>
        <w:t>70</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7AD5059A">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"_Toc422322499"</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4.违约责任</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_Toc422322499 \h </w:instrText>
      </w:r>
      <w:r>
        <w:rPr>
          <w:rFonts w:hint="eastAsia" w:ascii="宋体" w:hAnsi="宋体" w:eastAsia="宋体" w:cs="宋体"/>
          <w:sz w:val="21"/>
          <w:szCs w:val="21"/>
        </w:rPr>
        <w:fldChar w:fldCharType="separate"/>
      </w:r>
      <w:r>
        <w:rPr>
          <w:rFonts w:hint="eastAsia" w:ascii="宋体" w:hAnsi="宋体" w:eastAsia="宋体" w:cs="宋体"/>
          <w:sz w:val="21"/>
          <w:szCs w:val="21"/>
        </w:rPr>
        <w:t>70</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24A60EB1">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"_Toc422322500"</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4.1委托人的违约责任</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_Toc422322500 \h </w:instrText>
      </w:r>
      <w:r>
        <w:rPr>
          <w:rFonts w:hint="eastAsia" w:ascii="宋体" w:hAnsi="宋体" w:eastAsia="宋体" w:cs="宋体"/>
          <w:sz w:val="21"/>
          <w:szCs w:val="21"/>
        </w:rPr>
        <w:fldChar w:fldCharType="separate"/>
      </w:r>
      <w:r>
        <w:rPr>
          <w:rFonts w:hint="eastAsia" w:ascii="宋体" w:hAnsi="宋体" w:eastAsia="宋体" w:cs="宋体"/>
          <w:sz w:val="21"/>
          <w:szCs w:val="21"/>
        </w:rPr>
        <w:t>70</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315DB71D">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"_Toc422322501"</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4.2咨询人的违约责任</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_Toc422322501 \h </w:instrText>
      </w:r>
      <w:r>
        <w:rPr>
          <w:rFonts w:hint="eastAsia" w:ascii="宋体" w:hAnsi="宋体" w:eastAsia="宋体" w:cs="宋体"/>
          <w:sz w:val="21"/>
          <w:szCs w:val="21"/>
        </w:rPr>
        <w:fldChar w:fldCharType="separate"/>
      </w:r>
      <w:r>
        <w:rPr>
          <w:rFonts w:hint="eastAsia" w:ascii="宋体" w:hAnsi="宋体" w:eastAsia="宋体" w:cs="宋体"/>
          <w:sz w:val="21"/>
          <w:szCs w:val="21"/>
        </w:rPr>
        <w:t>70</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0F3722B5">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"_Toc422322502"</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5.支付</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_Toc422322502 \h </w:instrText>
      </w:r>
      <w:r>
        <w:rPr>
          <w:rFonts w:hint="eastAsia" w:ascii="宋体" w:hAnsi="宋体" w:eastAsia="宋体" w:cs="宋体"/>
          <w:sz w:val="21"/>
          <w:szCs w:val="21"/>
        </w:rPr>
        <w:fldChar w:fldCharType="separate"/>
      </w:r>
      <w:r>
        <w:rPr>
          <w:rFonts w:hint="eastAsia" w:ascii="宋体" w:hAnsi="宋体" w:eastAsia="宋体" w:cs="宋体"/>
          <w:sz w:val="21"/>
          <w:szCs w:val="21"/>
        </w:rPr>
        <w:t>70</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3FB61A18">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"_Toc422322503"</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5.1支付货币</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_Toc422322503 \h </w:instrText>
      </w:r>
      <w:r>
        <w:rPr>
          <w:rFonts w:hint="eastAsia" w:ascii="宋体" w:hAnsi="宋体" w:eastAsia="宋体" w:cs="宋体"/>
          <w:sz w:val="21"/>
          <w:szCs w:val="21"/>
        </w:rPr>
        <w:fldChar w:fldCharType="separate"/>
      </w:r>
      <w:r>
        <w:rPr>
          <w:rFonts w:hint="eastAsia" w:ascii="宋体" w:hAnsi="宋体" w:eastAsia="宋体" w:cs="宋体"/>
          <w:sz w:val="21"/>
          <w:szCs w:val="21"/>
        </w:rPr>
        <w:t>70</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0204BE45">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"_Toc422322504"</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5.2支付申请</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_Toc422322504 \h </w:instrText>
      </w:r>
      <w:r>
        <w:rPr>
          <w:rFonts w:hint="eastAsia" w:ascii="宋体" w:hAnsi="宋体" w:eastAsia="宋体" w:cs="宋体"/>
          <w:sz w:val="21"/>
          <w:szCs w:val="21"/>
        </w:rPr>
        <w:fldChar w:fldCharType="separate"/>
      </w:r>
      <w:r>
        <w:rPr>
          <w:rFonts w:hint="eastAsia" w:ascii="宋体" w:hAnsi="宋体" w:eastAsia="宋体" w:cs="宋体"/>
          <w:sz w:val="21"/>
          <w:szCs w:val="21"/>
        </w:rPr>
        <w:t>70</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0CD790AF">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"_Toc422322505"</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5.3支付酬金</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_Toc422322505 \h </w:instrText>
      </w:r>
      <w:r>
        <w:rPr>
          <w:rFonts w:hint="eastAsia" w:ascii="宋体" w:hAnsi="宋体" w:eastAsia="宋体" w:cs="宋体"/>
          <w:sz w:val="21"/>
          <w:szCs w:val="21"/>
        </w:rPr>
        <w:fldChar w:fldCharType="separate"/>
      </w:r>
      <w:r>
        <w:rPr>
          <w:rFonts w:hint="eastAsia" w:ascii="宋体" w:hAnsi="宋体" w:eastAsia="宋体" w:cs="宋体"/>
          <w:sz w:val="21"/>
          <w:szCs w:val="21"/>
        </w:rPr>
        <w:t>71</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6995C265">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"_Toc422322506"</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5.4有异议部分的支付</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_Toc422322506 \h </w:instrText>
      </w:r>
      <w:r>
        <w:rPr>
          <w:rFonts w:hint="eastAsia" w:ascii="宋体" w:hAnsi="宋体" w:eastAsia="宋体" w:cs="宋体"/>
          <w:sz w:val="21"/>
          <w:szCs w:val="21"/>
        </w:rPr>
        <w:fldChar w:fldCharType="separate"/>
      </w:r>
      <w:r>
        <w:rPr>
          <w:rFonts w:hint="eastAsia" w:ascii="宋体" w:hAnsi="宋体" w:eastAsia="宋体" w:cs="宋体"/>
          <w:sz w:val="21"/>
          <w:szCs w:val="21"/>
        </w:rPr>
        <w:t>71</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207178AB">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"_Toc422322507"</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6.合同变更、解除与终止</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_Toc422322507 \h </w:instrText>
      </w:r>
      <w:r>
        <w:rPr>
          <w:rFonts w:hint="eastAsia" w:ascii="宋体" w:hAnsi="宋体" w:eastAsia="宋体" w:cs="宋体"/>
          <w:sz w:val="21"/>
          <w:szCs w:val="21"/>
        </w:rPr>
        <w:fldChar w:fldCharType="separate"/>
      </w:r>
      <w:r>
        <w:rPr>
          <w:rFonts w:hint="eastAsia" w:ascii="宋体" w:hAnsi="宋体" w:eastAsia="宋体" w:cs="宋体"/>
          <w:sz w:val="21"/>
          <w:szCs w:val="21"/>
        </w:rPr>
        <w:t>71</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7BABCFBB">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"_Toc422322508"</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6.1合同变更</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_Toc422322508 \h </w:instrText>
      </w:r>
      <w:r>
        <w:rPr>
          <w:rFonts w:hint="eastAsia" w:ascii="宋体" w:hAnsi="宋体" w:eastAsia="宋体" w:cs="宋体"/>
          <w:sz w:val="21"/>
          <w:szCs w:val="21"/>
        </w:rPr>
        <w:fldChar w:fldCharType="separate"/>
      </w:r>
      <w:r>
        <w:rPr>
          <w:rFonts w:hint="eastAsia" w:ascii="宋体" w:hAnsi="宋体" w:eastAsia="宋体" w:cs="宋体"/>
          <w:sz w:val="21"/>
          <w:szCs w:val="21"/>
        </w:rPr>
        <w:t>71</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00125DC5">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"_Toc422322509"</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6.2合同解除</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_Toc422322509 \h </w:instrText>
      </w:r>
      <w:r>
        <w:rPr>
          <w:rFonts w:hint="eastAsia" w:ascii="宋体" w:hAnsi="宋体" w:eastAsia="宋体" w:cs="宋体"/>
          <w:sz w:val="21"/>
          <w:szCs w:val="21"/>
        </w:rPr>
        <w:fldChar w:fldCharType="separate"/>
      </w:r>
      <w:r>
        <w:rPr>
          <w:rFonts w:hint="eastAsia" w:ascii="宋体" w:hAnsi="宋体" w:eastAsia="宋体" w:cs="宋体"/>
          <w:sz w:val="21"/>
          <w:szCs w:val="21"/>
        </w:rPr>
        <w:t>71</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025A7A3F">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"_Toc422322510"</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6.3合同终止</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_Toc422322510 \h </w:instrText>
      </w:r>
      <w:r>
        <w:rPr>
          <w:rFonts w:hint="eastAsia" w:ascii="宋体" w:hAnsi="宋体" w:eastAsia="宋体" w:cs="宋体"/>
          <w:sz w:val="21"/>
          <w:szCs w:val="21"/>
        </w:rPr>
        <w:fldChar w:fldCharType="separate"/>
      </w:r>
      <w:r>
        <w:rPr>
          <w:rFonts w:hint="eastAsia" w:ascii="宋体" w:hAnsi="宋体" w:eastAsia="宋体" w:cs="宋体"/>
          <w:sz w:val="21"/>
          <w:szCs w:val="21"/>
        </w:rPr>
        <w:t>72</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4C85B25D">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"_Toc422322511"</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7.争议解决</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_Toc422322511 \h </w:instrText>
      </w:r>
      <w:r>
        <w:rPr>
          <w:rFonts w:hint="eastAsia" w:ascii="宋体" w:hAnsi="宋体" w:eastAsia="宋体" w:cs="宋体"/>
          <w:sz w:val="21"/>
          <w:szCs w:val="21"/>
        </w:rPr>
        <w:fldChar w:fldCharType="separate"/>
      </w:r>
      <w:r>
        <w:rPr>
          <w:rFonts w:hint="eastAsia" w:ascii="宋体" w:hAnsi="宋体" w:eastAsia="宋体" w:cs="宋体"/>
          <w:sz w:val="21"/>
          <w:szCs w:val="21"/>
        </w:rPr>
        <w:t>72</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1B11018D">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"_Toc422322512"</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smallCaps/>
          <w:color w:val="auto"/>
          <w:sz w:val="21"/>
          <w:szCs w:val="21"/>
        </w:rPr>
        <w:t>7.1协商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_Toc422322512 \h </w:instrText>
      </w:r>
      <w:r>
        <w:rPr>
          <w:rFonts w:hint="eastAsia" w:ascii="宋体" w:hAnsi="宋体" w:eastAsia="宋体" w:cs="宋体"/>
          <w:sz w:val="21"/>
          <w:szCs w:val="21"/>
        </w:rPr>
        <w:fldChar w:fldCharType="separate"/>
      </w:r>
      <w:r>
        <w:rPr>
          <w:rFonts w:hint="eastAsia" w:ascii="宋体" w:hAnsi="宋体" w:eastAsia="宋体" w:cs="宋体"/>
          <w:sz w:val="21"/>
          <w:szCs w:val="21"/>
        </w:rPr>
        <w:t>72</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3A6D0838">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"_Toc422322513"</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smallCaps/>
          <w:color w:val="auto"/>
          <w:sz w:val="21"/>
          <w:szCs w:val="21"/>
        </w:rPr>
        <w:t>7.2调解</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_Toc422322513 \h </w:instrText>
      </w:r>
      <w:r>
        <w:rPr>
          <w:rFonts w:hint="eastAsia" w:ascii="宋体" w:hAnsi="宋体" w:eastAsia="宋体" w:cs="宋体"/>
          <w:sz w:val="21"/>
          <w:szCs w:val="21"/>
        </w:rPr>
        <w:fldChar w:fldCharType="separate"/>
      </w:r>
      <w:r>
        <w:rPr>
          <w:rFonts w:hint="eastAsia" w:ascii="宋体" w:hAnsi="宋体" w:eastAsia="宋体" w:cs="宋体"/>
          <w:sz w:val="21"/>
          <w:szCs w:val="21"/>
        </w:rPr>
        <w:t>72</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B40BB50">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"_Toc422322514"</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smallCaps/>
          <w:color w:val="auto"/>
          <w:sz w:val="21"/>
          <w:szCs w:val="21"/>
        </w:rPr>
        <w:t>7.3仲裁或诉讼</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_Toc422322514 \h </w:instrText>
      </w:r>
      <w:r>
        <w:rPr>
          <w:rFonts w:hint="eastAsia" w:ascii="宋体" w:hAnsi="宋体" w:eastAsia="宋体" w:cs="宋体"/>
          <w:sz w:val="21"/>
          <w:szCs w:val="21"/>
        </w:rPr>
        <w:fldChar w:fldCharType="separate"/>
      </w:r>
      <w:r>
        <w:rPr>
          <w:rFonts w:hint="eastAsia" w:ascii="宋体" w:hAnsi="宋体" w:eastAsia="宋体" w:cs="宋体"/>
          <w:sz w:val="21"/>
          <w:szCs w:val="21"/>
        </w:rPr>
        <w:t>72</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791967BD">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"_Toc422322515"</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8.其他</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_Toc422322515 \h </w:instrText>
      </w:r>
      <w:r>
        <w:rPr>
          <w:rFonts w:hint="eastAsia" w:ascii="宋体" w:hAnsi="宋体" w:eastAsia="宋体" w:cs="宋体"/>
          <w:sz w:val="21"/>
          <w:szCs w:val="21"/>
        </w:rPr>
        <w:fldChar w:fldCharType="separate"/>
      </w:r>
      <w:r>
        <w:rPr>
          <w:rFonts w:hint="eastAsia" w:ascii="宋体" w:hAnsi="宋体" w:eastAsia="宋体" w:cs="宋体"/>
          <w:sz w:val="21"/>
          <w:szCs w:val="21"/>
        </w:rPr>
        <w:t>72</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31A806B9">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"_Toc422322516"</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smallCaps/>
          <w:color w:val="auto"/>
          <w:sz w:val="21"/>
          <w:szCs w:val="21"/>
        </w:rPr>
        <w:t>8.1</w:t>
      </w:r>
      <w:r>
        <w:rPr>
          <w:rStyle w:val="36"/>
          <w:rFonts w:hint="eastAsia" w:ascii="宋体" w:hAnsi="宋体" w:eastAsia="宋体" w:cs="宋体"/>
          <w:color w:val="auto"/>
          <w:sz w:val="21"/>
          <w:szCs w:val="21"/>
        </w:rPr>
        <w:t>考察及相关费用</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_Toc422322516 \h </w:instrText>
      </w:r>
      <w:r>
        <w:rPr>
          <w:rFonts w:hint="eastAsia" w:ascii="宋体" w:hAnsi="宋体" w:eastAsia="宋体" w:cs="宋体"/>
          <w:sz w:val="21"/>
          <w:szCs w:val="21"/>
        </w:rPr>
        <w:fldChar w:fldCharType="separate"/>
      </w:r>
      <w:r>
        <w:rPr>
          <w:rFonts w:hint="eastAsia" w:ascii="宋体" w:hAnsi="宋体" w:eastAsia="宋体" w:cs="宋体"/>
          <w:sz w:val="21"/>
          <w:szCs w:val="21"/>
        </w:rPr>
        <w:t>72</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605940DD">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"_Toc422322517"</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8.2奖励</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_Toc422322517 \h </w:instrText>
      </w:r>
      <w:r>
        <w:rPr>
          <w:rFonts w:hint="eastAsia" w:ascii="宋体" w:hAnsi="宋体" w:eastAsia="宋体" w:cs="宋体"/>
          <w:sz w:val="21"/>
          <w:szCs w:val="21"/>
        </w:rPr>
        <w:fldChar w:fldCharType="separate"/>
      </w:r>
      <w:r>
        <w:rPr>
          <w:rFonts w:hint="eastAsia" w:ascii="宋体" w:hAnsi="宋体" w:eastAsia="宋体" w:cs="宋体"/>
          <w:sz w:val="21"/>
          <w:szCs w:val="21"/>
        </w:rPr>
        <w:t>72</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62237C2E">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"_Toc422322518"</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8.3保密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_Toc422322518 \h </w:instrText>
      </w:r>
      <w:r>
        <w:rPr>
          <w:rFonts w:hint="eastAsia" w:ascii="宋体" w:hAnsi="宋体" w:eastAsia="宋体" w:cs="宋体"/>
          <w:sz w:val="21"/>
          <w:szCs w:val="21"/>
        </w:rPr>
        <w:fldChar w:fldCharType="separate"/>
      </w:r>
      <w:r>
        <w:rPr>
          <w:rFonts w:hint="eastAsia" w:ascii="宋体" w:hAnsi="宋体" w:eastAsia="宋体" w:cs="宋体"/>
          <w:sz w:val="21"/>
          <w:szCs w:val="21"/>
        </w:rPr>
        <w:t>72</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A6CB1A2">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"_Toc422322519"</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8.4联络</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_Toc422322519 \h </w:instrText>
      </w:r>
      <w:r>
        <w:rPr>
          <w:rFonts w:hint="eastAsia" w:ascii="宋体" w:hAnsi="宋体" w:eastAsia="宋体" w:cs="宋体"/>
          <w:sz w:val="21"/>
          <w:szCs w:val="21"/>
        </w:rPr>
        <w:fldChar w:fldCharType="separate"/>
      </w:r>
      <w:r>
        <w:rPr>
          <w:rFonts w:hint="eastAsia" w:ascii="宋体" w:hAnsi="宋体" w:eastAsia="宋体" w:cs="宋体"/>
          <w:sz w:val="21"/>
          <w:szCs w:val="21"/>
        </w:rPr>
        <w:t>72</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6138D551">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"_Toc422322520"</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8.5知识产权</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_Toc422322520 \h </w:instrText>
      </w:r>
      <w:r>
        <w:rPr>
          <w:rFonts w:hint="eastAsia" w:ascii="宋体" w:hAnsi="宋体" w:eastAsia="宋体" w:cs="宋体"/>
          <w:sz w:val="21"/>
          <w:szCs w:val="21"/>
        </w:rPr>
        <w:fldChar w:fldCharType="separate"/>
      </w:r>
      <w:r>
        <w:rPr>
          <w:rFonts w:hint="eastAsia" w:ascii="宋体" w:hAnsi="宋体" w:eastAsia="宋体" w:cs="宋体"/>
          <w:sz w:val="21"/>
          <w:szCs w:val="21"/>
        </w:rPr>
        <w:t>73</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1313C196">
      <w:pPr>
        <w:pStyle w:val="20"/>
        <w:tabs>
          <w:tab w:val="right" w:leader="dot" w:pos="8296"/>
        </w:tabs>
        <w:spacing w:line="276" w:lineRule="auto"/>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"_Toc422322521"</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第三部分　专用条件</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_Toc422322521 \h </w:instrText>
      </w:r>
      <w:r>
        <w:rPr>
          <w:rFonts w:hint="eastAsia" w:ascii="宋体" w:hAnsi="宋体" w:eastAsia="宋体" w:cs="宋体"/>
          <w:sz w:val="21"/>
          <w:szCs w:val="21"/>
        </w:rPr>
        <w:fldChar w:fldCharType="separate"/>
      </w:r>
      <w:r>
        <w:rPr>
          <w:rFonts w:hint="eastAsia" w:ascii="宋体" w:hAnsi="宋体" w:eastAsia="宋体" w:cs="宋体"/>
          <w:sz w:val="21"/>
          <w:szCs w:val="21"/>
        </w:rPr>
        <w:t>74</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3BC6E9DA">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"_Toc422322522"</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1.词语定义、语言、解释顺序与适用法律</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_Toc422322522 \h </w:instrText>
      </w:r>
      <w:r>
        <w:rPr>
          <w:rFonts w:hint="eastAsia" w:ascii="宋体" w:hAnsi="宋体" w:eastAsia="宋体" w:cs="宋体"/>
          <w:sz w:val="21"/>
          <w:szCs w:val="21"/>
        </w:rPr>
        <w:fldChar w:fldCharType="separate"/>
      </w:r>
      <w:r>
        <w:rPr>
          <w:rFonts w:hint="eastAsia" w:ascii="宋体" w:hAnsi="宋体" w:eastAsia="宋体" w:cs="宋体"/>
          <w:sz w:val="21"/>
          <w:szCs w:val="21"/>
        </w:rPr>
        <w:t>74</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69E50361">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"_Toc422322524"</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1.2语言</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_Toc422322524 \h </w:instrText>
      </w:r>
      <w:r>
        <w:rPr>
          <w:rFonts w:hint="eastAsia" w:ascii="宋体" w:hAnsi="宋体" w:eastAsia="宋体" w:cs="宋体"/>
          <w:sz w:val="21"/>
          <w:szCs w:val="21"/>
        </w:rPr>
        <w:fldChar w:fldCharType="separate"/>
      </w:r>
      <w:r>
        <w:rPr>
          <w:rFonts w:hint="eastAsia" w:ascii="宋体" w:hAnsi="宋体" w:eastAsia="宋体" w:cs="宋体"/>
          <w:sz w:val="21"/>
          <w:szCs w:val="21"/>
        </w:rPr>
        <w:t>74</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5307CC4">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"_Toc422322525"</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1.3合同文件的优先顺序</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_Toc422322525 \h </w:instrText>
      </w:r>
      <w:r>
        <w:rPr>
          <w:rFonts w:hint="eastAsia" w:ascii="宋体" w:hAnsi="宋体" w:eastAsia="宋体" w:cs="宋体"/>
          <w:sz w:val="21"/>
          <w:szCs w:val="21"/>
        </w:rPr>
        <w:fldChar w:fldCharType="separate"/>
      </w:r>
      <w:r>
        <w:rPr>
          <w:rFonts w:hint="eastAsia" w:ascii="宋体" w:hAnsi="宋体" w:eastAsia="宋体" w:cs="宋体"/>
          <w:sz w:val="21"/>
          <w:szCs w:val="21"/>
        </w:rPr>
        <w:t>74</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1E2D2271">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"_Toc422322526"</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1.4适用法律</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_Toc422322526 \h </w:instrText>
      </w:r>
      <w:r>
        <w:rPr>
          <w:rFonts w:hint="eastAsia" w:ascii="宋体" w:hAnsi="宋体" w:eastAsia="宋体" w:cs="宋体"/>
          <w:sz w:val="21"/>
          <w:szCs w:val="21"/>
        </w:rPr>
        <w:fldChar w:fldCharType="separate"/>
      </w:r>
      <w:r>
        <w:rPr>
          <w:rFonts w:hint="eastAsia" w:ascii="宋体" w:hAnsi="宋体" w:eastAsia="宋体" w:cs="宋体"/>
          <w:sz w:val="21"/>
          <w:szCs w:val="21"/>
        </w:rPr>
        <w:t>74</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600BB06B">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"_Toc422322527"</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2.委托人的义务</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_Toc422322527 \h </w:instrText>
      </w:r>
      <w:r>
        <w:rPr>
          <w:rFonts w:hint="eastAsia" w:ascii="宋体" w:hAnsi="宋体" w:eastAsia="宋体" w:cs="宋体"/>
          <w:sz w:val="21"/>
          <w:szCs w:val="21"/>
        </w:rPr>
        <w:fldChar w:fldCharType="separate"/>
      </w:r>
      <w:r>
        <w:rPr>
          <w:rFonts w:hint="eastAsia" w:ascii="宋体" w:hAnsi="宋体" w:eastAsia="宋体" w:cs="宋体"/>
          <w:sz w:val="21"/>
          <w:szCs w:val="21"/>
        </w:rPr>
        <w:t>74</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2D5AF18B">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"_Toc422322528"</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2.1提供资料</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_Toc422322528 \h </w:instrText>
      </w:r>
      <w:r>
        <w:rPr>
          <w:rFonts w:hint="eastAsia" w:ascii="宋体" w:hAnsi="宋体" w:eastAsia="宋体" w:cs="宋体"/>
          <w:sz w:val="21"/>
          <w:szCs w:val="21"/>
        </w:rPr>
        <w:fldChar w:fldCharType="separate"/>
      </w:r>
      <w:r>
        <w:rPr>
          <w:rFonts w:hint="eastAsia" w:ascii="宋体" w:hAnsi="宋体" w:eastAsia="宋体" w:cs="宋体"/>
          <w:sz w:val="21"/>
          <w:szCs w:val="21"/>
        </w:rPr>
        <w:t>74</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2BA55E9C">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"_Toc422322529"</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2.2提供工作条件</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_Toc422322529 \h </w:instrText>
      </w:r>
      <w:r>
        <w:rPr>
          <w:rFonts w:hint="eastAsia" w:ascii="宋体" w:hAnsi="宋体" w:eastAsia="宋体" w:cs="宋体"/>
          <w:sz w:val="21"/>
          <w:szCs w:val="21"/>
        </w:rPr>
        <w:fldChar w:fldCharType="separate"/>
      </w:r>
      <w:r>
        <w:rPr>
          <w:rFonts w:hint="eastAsia" w:ascii="宋体" w:hAnsi="宋体" w:eastAsia="宋体" w:cs="宋体"/>
          <w:sz w:val="21"/>
          <w:szCs w:val="21"/>
        </w:rPr>
        <w:t>74</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C794C28">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"_Toc422322530"</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2.4委托人代表</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_Toc422322530 \h </w:instrText>
      </w:r>
      <w:r>
        <w:rPr>
          <w:rFonts w:hint="eastAsia" w:ascii="宋体" w:hAnsi="宋体" w:eastAsia="宋体" w:cs="宋体"/>
          <w:sz w:val="21"/>
          <w:szCs w:val="21"/>
        </w:rPr>
        <w:fldChar w:fldCharType="separate"/>
      </w:r>
      <w:r>
        <w:rPr>
          <w:rFonts w:hint="eastAsia" w:ascii="宋体" w:hAnsi="宋体" w:eastAsia="宋体" w:cs="宋体"/>
          <w:sz w:val="21"/>
          <w:szCs w:val="21"/>
        </w:rPr>
        <w:t>74</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6A8E2D80">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"_Toc422322531"</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2.5答复</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_Toc422322531 \h </w:instrText>
      </w:r>
      <w:r>
        <w:rPr>
          <w:rFonts w:hint="eastAsia" w:ascii="宋体" w:hAnsi="宋体" w:eastAsia="宋体" w:cs="宋体"/>
          <w:sz w:val="21"/>
          <w:szCs w:val="21"/>
        </w:rPr>
        <w:fldChar w:fldCharType="separate"/>
      </w:r>
      <w:r>
        <w:rPr>
          <w:rFonts w:hint="eastAsia" w:ascii="宋体" w:hAnsi="宋体" w:eastAsia="宋体" w:cs="宋体"/>
          <w:sz w:val="21"/>
          <w:szCs w:val="21"/>
        </w:rPr>
        <w:t>74</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9C316A9">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"_Toc422322532"</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3.咨询人的义务</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_Toc422322532 \h </w:instrText>
      </w:r>
      <w:r>
        <w:rPr>
          <w:rFonts w:hint="eastAsia" w:ascii="宋体" w:hAnsi="宋体" w:eastAsia="宋体" w:cs="宋体"/>
          <w:sz w:val="21"/>
          <w:szCs w:val="21"/>
        </w:rPr>
        <w:fldChar w:fldCharType="separate"/>
      </w:r>
      <w:r>
        <w:rPr>
          <w:rFonts w:hint="eastAsia" w:ascii="宋体" w:hAnsi="宋体" w:eastAsia="宋体" w:cs="宋体"/>
          <w:sz w:val="21"/>
          <w:szCs w:val="21"/>
        </w:rPr>
        <w:t>75</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1EF4521">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"_Toc422322533"</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3.1项目咨询团队及人员</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_Toc422322533 \h </w:instrText>
      </w:r>
      <w:r>
        <w:rPr>
          <w:rFonts w:hint="eastAsia" w:ascii="宋体" w:hAnsi="宋体" w:eastAsia="宋体" w:cs="宋体"/>
          <w:sz w:val="21"/>
          <w:szCs w:val="21"/>
        </w:rPr>
        <w:fldChar w:fldCharType="separate"/>
      </w:r>
      <w:r>
        <w:rPr>
          <w:rFonts w:hint="eastAsia" w:ascii="宋体" w:hAnsi="宋体" w:eastAsia="宋体" w:cs="宋体"/>
          <w:sz w:val="21"/>
          <w:szCs w:val="21"/>
        </w:rPr>
        <w:t>75</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4208357B">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"_Toc422322534"</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3.2咨询人的工作要求</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_Toc422322534 \h </w:instrText>
      </w:r>
      <w:r>
        <w:rPr>
          <w:rFonts w:hint="eastAsia" w:ascii="宋体" w:hAnsi="宋体" w:eastAsia="宋体" w:cs="宋体"/>
          <w:sz w:val="21"/>
          <w:szCs w:val="21"/>
        </w:rPr>
        <w:fldChar w:fldCharType="separate"/>
      </w:r>
      <w:r>
        <w:rPr>
          <w:rFonts w:hint="eastAsia" w:ascii="宋体" w:hAnsi="宋体" w:eastAsia="宋体" w:cs="宋体"/>
          <w:sz w:val="21"/>
          <w:szCs w:val="21"/>
        </w:rPr>
        <w:t>75</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4E1DDB09">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"_Toc422322535"</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3.3咨询人的工作依据</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_Toc422322535 \h </w:instrText>
      </w:r>
      <w:r>
        <w:rPr>
          <w:rFonts w:hint="eastAsia" w:ascii="宋体" w:hAnsi="宋体" w:eastAsia="宋体" w:cs="宋体"/>
          <w:sz w:val="21"/>
          <w:szCs w:val="21"/>
        </w:rPr>
        <w:fldChar w:fldCharType="separate"/>
      </w:r>
      <w:r>
        <w:rPr>
          <w:rFonts w:hint="eastAsia" w:ascii="宋体" w:hAnsi="宋体" w:eastAsia="宋体" w:cs="宋体"/>
          <w:sz w:val="21"/>
          <w:szCs w:val="21"/>
        </w:rPr>
        <w:t>76</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2F15E434">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"_Toc422322536"</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3.4使用委托人房屋及设备的返还</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_Toc422322536 \h </w:instrText>
      </w:r>
      <w:r>
        <w:rPr>
          <w:rFonts w:hint="eastAsia" w:ascii="宋体" w:hAnsi="宋体" w:eastAsia="宋体" w:cs="宋体"/>
          <w:sz w:val="21"/>
          <w:szCs w:val="21"/>
        </w:rPr>
        <w:fldChar w:fldCharType="separate"/>
      </w:r>
      <w:r>
        <w:rPr>
          <w:rFonts w:hint="eastAsia" w:ascii="宋体" w:hAnsi="宋体" w:eastAsia="宋体" w:cs="宋体"/>
          <w:sz w:val="21"/>
          <w:szCs w:val="21"/>
        </w:rPr>
        <w:t>76</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718272E5">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"_Toc422322537"</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4.违约责任</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_Toc422322537 \h </w:instrText>
      </w:r>
      <w:r>
        <w:rPr>
          <w:rFonts w:hint="eastAsia" w:ascii="宋体" w:hAnsi="宋体" w:eastAsia="宋体" w:cs="宋体"/>
          <w:sz w:val="21"/>
          <w:szCs w:val="21"/>
        </w:rPr>
        <w:fldChar w:fldCharType="separate"/>
      </w:r>
      <w:r>
        <w:rPr>
          <w:rFonts w:hint="eastAsia" w:ascii="宋体" w:hAnsi="宋体" w:eastAsia="宋体" w:cs="宋体"/>
          <w:sz w:val="21"/>
          <w:szCs w:val="21"/>
        </w:rPr>
        <w:t>77</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28FA5A76">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"_Toc422322538"</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4.1委托人的违约责任</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_Toc422322538 \h </w:instrText>
      </w:r>
      <w:r>
        <w:rPr>
          <w:rFonts w:hint="eastAsia" w:ascii="宋体" w:hAnsi="宋体" w:eastAsia="宋体" w:cs="宋体"/>
          <w:sz w:val="21"/>
          <w:szCs w:val="21"/>
        </w:rPr>
        <w:fldChar w:fldCharType="separate"/>
      </w:r>
      <w:r>
        <w:rPr>
          <w:rFonts w:hint="eastAsia" w:ascii="宋体" w:hAnsi="宋体" w:eastAsia="宋体" w:cs="宋体"/>
          <w:sz w:val="21"/>
          <w:szCs w:val="21"/>
        </w:rPr>
        <w:t>77</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38C60761">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"_Toc422322539"</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4.2咨询人的违约责任</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_Toc422322539 \h </w:instrText>
      </w:r>
      <w:r>
        <w:rPr>
          <w:rFonts w:hint="eastAsia" w:ascii="宋体" w:hAnsi="宋体" w:eastAsia="宋体" w:cs="宋体"/>
          <w:sz w:val="21"/>
          <w:szCs w:val="21"/>
        </w:rPr>
        <w:fldChar w:fldCharType="separate"/>
      </w:r>
      <w:r>
        <w:rPr>
          <w:rFonts w:hint="eastAsia" w:ascii="宋体" w:hAnsi="宋体" w:eastAsia="宋体" w:cs="宋体"/>
          <w:sz w:val="21"/>
          <w:szCs w:val="21"/>
        </w:rPr>
        <w:t>77</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79663D2B">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"_Toc422322540"</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5.支付</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_Toc422322540 \h </w:instrText>
      </w:r>
      <w:r>
        <w:rPr>
          <w:rFonts w:hint="eastAsia" w:ascii="宋体" w:hAnsi="宋体" w:eastAsia="宋体" w:cs="宋体"/>
          <w:sz w:val="21"/>
          <w:szCs w:val="21"/>
        </w:rPr>
        <w:fldChar w:fldCharType="separate"/>
      </w:r>
      <w:r>
        <w:rPr>
          <w:rFonts w:hint="eastAsia" w:ascii="宋体" w:hAnsi="宋体" w:eastAsia="宋体" w:cs="宋体"/>
          <w:sz w:val="21"/>
          <w:szCs w:val="21"/>
        </w:rPr>
        <w:t>77</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70A1A3DC">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"_Toc422322544"</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6.合同变更、解除与终止</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_Toc422322544 \h </w:instrText>
      </w:r>
      <w:r>
        <w:rPr>
          <w:rFonts w:hint="eastAsia" w:ascii="宋体" w:hAnsi="宋体" w:eastAsia="宋体" w:cs="宋体"/>
          <w:sz w:val="21"/>
          <w:szCs w:val="21"/>
        </w:rPr>
        <w:fldChar w:fldCharType="separate"/>
      </w:r>
      <w:r>
        <w:rPr>
          <w:rFonts w:hint="eastAsia" w:ascii="宋体" w:hAnsi="宋体" w:eastAsia="宋体" w:cs="宋体"/>
          <w:sz w:val="21"/>
          <w:szCs w:val="21"/>
        </w:rPr>
        <w:t>77</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1DDFD4D8">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"_Toc422322545"</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6.1合同变更</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_Toc422322545 \h </w:instrText>
      </w:r>
      <w:r>
        <w:rPr>
          <w:rFonts w:hint="eastAsia" w:ascii="宋体" w:hAnsi="宋体" w:eastAsia="宋体" w:cs="宋体"/>
          <w:sz w:val="21"/>
          <w:szCs w:val="21"/>
        </w:rPr>
        <w:fldChar w:fldCharType="separate"/>
      </w:r>
      <w:r>
        <w:rPr>
          <w:rFonts w:hint="eastAsia" w:ascii="宋体" w:hAnsi="宋体" w:eastAsia="宋体" w:cs="宋体"/>
          <w:sz w:val="21"/>
          <w:szCs w:val="21"/>
        </w:rPr>
        <w:t>78</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4A5BE789">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"_Toc422322546"</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6.2合同解除</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_Toc422322546 \h </w:instrText>
      </w:r>
      <w:r>
        <w:rPr>
          <w:rFonts w:hint="eastAsia" w:ascii="宋体" w:hAnsi="宋体" w:eastAsia="宋体" w:cs="宋体"/>
          <w:sz w:val="21"/>
          <w:szCs w:val="21"/>
        </w:rPr>
        <w:fldChar w:fldCharType="separate"/>
      </w:r>
      <w:r>
        <w:rPr>
          <w:rFonts w:hint="eastAsia" w:ascii="宋体" w:hAnsi="宋体" w:eastAsia="宋体" w:cs="宋体"/>
          <w:sz w:val="21"/>
          <w:szCs w:val="21"/>
        </w:rPr>
        <w:t>78</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6C485599">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"_Toc422322547"</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7.争议解决</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_Toc422322547 \h </w:instrText>
      </w:r>
      <w:r>
        <w:rPr>
          <w:rFonts w:hint="eastAsia" w:ascii="宋体" w:hAnsi="宋体" w:eastAsia="宋体" w:cs="宋体"/>
          <w:sz w:val="21"/>
          <w:szCs w:val="21"/>
        </w:rPr>
        <w:fldChar w:fldCharType="separate"/>
      </w:r>
      <w:r>
        <w:rPr>
          <w:rFonts w:hint="eastAsia" w:ascii="宋体" w:hAnsi="宋体" w:eastAsia="宋体" w:cs="宋体"/>
          <w:sz w:val="21"/>
          <w:szCs w:val="21"/>
        </w:rPr>
        <w:t>78</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1BF9AEC5">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"_Toc422322550"</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8.其他</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_Toc422322550 \h </w:instrText>
      </w:r>
      <w:r>
        <w:rPr>
          <w:rFonts w:hint="eastAsia" w:ascii="宋体" w:hAnsi="宋体" w:eastAsia="宋体" w:cs="宋体"/>
          <w:sz w:val="21"/>
          <w:szCs w:val="21"/>
        </w:rPr>
        <w:fldChar w:fldCharType="separate"/>
      </w:r>
      <w:r>
        <w:rPr>
          <w:rFonts w:hint="eastAsia" w:ascii="宋体" w:hAnsi="宋体" w:eastAsia="宋体" w:cs="宋体"/>
          <w:sz w:val="21"/>
          <w:szCs w:val="21"/>
        </w:rPr>
        <w:t>79</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0491FC23">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"_Toc422322551"</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8.1考察及相关费用</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_Toc422322551 \h </w:instrText>
      </w:r>
      <w:r>
        <w:rPr>
          <w:rFonts w:hint="eastAsia" w:ascii="宋体" w:hAnsi="宋体" w:eastAsia="宋体" w:cs="宋体"/>
          <w:sz w:val="21"/>
          <w:szCs w:val="21"/>
        </w:rPr>
        <w:fldChar w:fldCharType="separate"/>
      </w:r>
      <w:r>
        <w:rPr>
          <w:rFonts w:hint="eastAsia" w:ascii="宋体" w:hAnsi="宋体" w:eastAsia="宋体" w:cs="宋体"/>
          <w:sz w:val="21"/>
          <w:szCs w:val="21"/>
        </w:rPr>
        <w:t>79</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A6BC34D">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"_Toc422322552"</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8.2奖励</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_Toc422322552 \h </w:instrText>
      </w:r>
      <w:r>
        <w:rPr>
          <w:rFonts w:hint="eastAsia" w:ascii="宋体" w:hAnsi="宋体" w:eastAsia="宋体" w:cs="宋体"/>
          <w:sz w:val="21"/>
          <w:szCs w:val="21"/>
        </w:rPr>
        <w:fldChar w:fldCharType="separate"/>
      </w:r>
      <w:r>
        <w:rPr>
          <w:rFonts w:hint="eastAsia" w:ascii="宋体" w:hAnsi="宋体" w:eastAsia="宋体" w:cs="宋体"/>
          <w:sz w:val="21"/>
          <w:szCs w:val="21"/>
        </w:rPr>
        <w:t>79</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2EE7B655">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"_Toc422322553"</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8.3保密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_Toc422322553 \h </w:instrText>
      </w:r>
      <w:r>
        <w:rPr>
          <w:rFonts w:hint="eastAsia" w:ascii="宋体" w:hAnsi="宋体" w:eastAsia="宋体" w:cs="宋体"/>
          <w:sz w:val="21"/>
          <w:szCs w:val="21"/>
        </w:rPr>
        <w:fldChar w:fldCharType="separate"/>
      </w:r>
      <w:r>
        <w:rPr>
          <w:rFonts w:hint="eastAsia" w:ascii="宋体" w:hAnsi="宋体" w:eastAsia="宋体" w:cs="宋体"/>
          <w:sz w:val="21"/>
          <w:szCs w:val="21"/>
        </w:rPr>
        <w:t>79</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6C9CC01D">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"_Toc422322554"</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8.4联络</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_Toc422322554 \h </w:instrText>
      </w:r>
      <w:r>
        <w:rPr>
          <w:rFonts w:hint="eastAsia" w:ascii="宋体" w:hAnsi="宋体" w:eastAsia="宋体" w:cs="宋体"/>
          <w:sz w:val="21"/>
          <w:szCs w:val="21"/>
        </w:rPr>
        <w:fldChar w:fldCharType="separate"/>
      </w:r>
      <w:r>
        <w:rPr>
          <w:rFonts w:hint="eastAsia" w:ascii="宋体" w:hAnsi="宋体" w:eastAsia="宋体" w:cs="宋体"/>
          <w:sz w:val="21"/>
          <w:szCs w:val="21"/>
        </w:rPr>
        <w:t>79</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441D63BB">
      <w:pPr>
        <w:pStyle w:val="27"/>
        <w:tabs>
          <w:tab w:val="right" w:leader="dot" w:pos="8296"/>
        </w:tabs>
        <w:spacing w:line="276" w:lineRule="auto"/>
        <w:ind w:left="0" w:leftChars="0" w:firstLine="420" w:firstLineChars="2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"_Toc422322555"</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8.5知识产权</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_Toc422322555 \h </w:instrText>
      </w:r>
      <w:r>
        <w:rPr>
          <w:rFonts w:hint="eastAsia" w:ascii="宋体" w:hAnsi="宋体" w:eastAsia="宋体" w:cs="宋体"/>
          <w:sz w:val="21"/>
          <w:szCs w:val="21"/>
        </w:rPr>
        <w:fldChar w:fldCharType="separate"/>
      </w:r>
      <w:r>
        <w:rPr>
          <w:rFonts w:hint="eastAsia" w:ascii="宋体" w:hAnsi="宋体" w:eastAsia="宋体" w:cs="宋体"/>
          <w:sz w:val="21"/>
          <w:szCs w:val="21"/>
        </w:rPr>
        <w:t>79</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6D316B8A">
      <w:pPr>
        <w:pStyle w:val="20"/>
        <w:tabs>
          <w:tab w:val="right" w:leader="dot" w:pos="8296"/>
        </w:tabs>
        <w:spacing w:line="276" w:lineRule="auto"/>
        <w:ind w:firstLine="211" w:firstLineChars="100"/>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"_Toc422322556"</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9.补充条款</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_Toc422322556 \h </w:instrText>
      </w:r>
      <w:r>
        <w:rPr>
          <w:rFonts w:hint="eastAsia" w:ascii="宋体" w:hAnsi="宋体" w:eastAsia="宋体" w:cs="宋体"/>
          <w:sz w:val="21"/>
          <w:szCs w:val="21"/>
        </w:rPr>
        <w:fldChar w:fldCharType="separate"/>
      </w:r>
      <w:r>
        <w:rPr>
          <w:rFonts w:hint="eastAsia" w:ascii="宋体" w:hAnsi="宋体" w:eastAsia="宋体" w:cs="宋体"/>
          <w:sz w:val="21"/>
          <w:szCs w:val="21"/>
        </w:rPr>
        <w:t>80</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57E49C91">
      <w:pPr>
        <w:pStyle w:val="20"/>
        <w:tabs>
          <w:tab w:val="right" w:leader="dot" w:pos="8296"/>
        </w:tabs>
        <w:spacing w:line="276" w:lineRule="auto"/>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"_Toc422322557"</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附录A 服务范围及工作内容、酬金一览表</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_Toc422322557 \h </w:instrText>
      </w:r>
      <w:r>
        <w:rPr>
          <w:rFonts w:hint="eastAsia" w:ascii="宋体" w:hAnsi="宋体" w:eastAsia="宋体" w:cs="宋体"/>
          <w:sz w:val="21"/>
          <w:szCs w:val="21"/>
        </w:rPr>
        <w:fldChar w:fldCharType="separate"/>
      </w:r>
      <w:r>
        <w:rPr>
          <w:rFonts w:hint="eastAsia" w:ascii="宋体" w:hAnsi="宋体" w:eastAsia="宋体" w:cs="宋体"/>
          <w:sz w:val="21"/>
          <w:szCs w:val="21"/>
        </w:rPr>
        <w:t>83</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2E53E485">
      <w:pPr>
        <w:pStyle w:val="20"/>
        <w:tabs>
          <w:tab w:val="right" w:leader="dot" w:pos="8296"/>
        </w:tabs>
        <w:spacing w:line="276" w:lineRule="auto"/>
        <w:rPr>
          <w:rFonts w:hint="eastAsia" w:ascii="宋体" w:hAnsi="宋体" w:eastAsia="宋体" w:cs="宋体"/>
          <w:kern w:val="2"/>
          <w:sz w:val="21"/>
          <w:szCs w:val="21"/>
        </w:rPr>
      </w:pPr>
      <w:r>
        <w:rPr>
          <w:rFonts w:hint="eastAsia" w:ascii="宋体" w:hAnsi="宋体" w:eastAsia="宋体" w:cs="宋体"/>
          <w:sz w:val="21"/>
          <w:szCs w:val="21"/>
        </w:rPr>
        <w:fldChar w:fldCharType="begin"/>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instrText xml:space="preserve">HYPERLINK \l "_Toc422322558"</w:instrText>
      </w:r>
      <w:r>
        <w:rPr>
          <w:rStyle w:val="36"/>
          <w:rFonts w:hint="eastAsia" w:ascii="宋体" w:hAnsi="宋体" w:eastAsia="宋体" w:cs="宋体"/>
          <w:color w:val="auto"/>
          <w:sz w:val="21"/>
          <w:szCs w:val="21"/>
        </w:rPr>
        <w:instrText xml:space="preserve"> </w:instrText>
      </w:r>
      <w:r>
        <w:rPr>
          <w:rFonts w:hint="eastAsia" w:ascii="宋体" w:hAnsi="宋体" w:eastAsia="宋体" w:cs="宋体"/>
          <w:sz w:val="21"/>
          <w:szCs w:val="21"/>
        </w:rPr>
        <w:fldChar w:fldCharType="separate"/>
      </w:r>
      <w:r>
        <w:rPr>
          <w:rStyle w:val="36"/>
          <w:rFonts w:hint="eastAsia" w:ascii="宋体" w:hAnsi="宋体" w:eastAsia="宋体" w:cs="宋体"/>
          <w:color w:val="auto"/>
          <w:sz w:val="21"/>
          <w:szCs w:val="21"/>
        </w:rPr>
        <w:t>附录B 咨询人提交成果文件一览表</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_Toc422322558 \h </w:instrText>
      </w:r>
      <w:r>
        <w:rPr>
          <w:rFonts w:hint="eastAsia" w:ascii="宋体" w:hAnsi="宋体" w:eastAsia="宋体" w:cs="宋体"/>
          <w:sz w:val="21"/>
          <w:szCs w:val="21"/>
        </w:rPr>
        <w:fldChar w:fldCharType="separate"/>
      </w:r>
      <w:r>
        <w:rPr>
          <w:rFonts w:hint="eastAsia" w:ascii="宋体" w:hAnsi="宋体" w:eastAsia="宋体" w:cs="宋体"/>
          <w:sz w:val="21"/>
          <w:szCs w:val="21"/>
        </w:rPr>
        <w:t>85</w:t>
      </w:r>
      <w:r>
        <w:rPr>
          <w:rFonts w:hint="eastAsia" w:ascii="宋体" w:hAnsi="宋体" w:eastAsia="宋体" w:cs="宋体"/>
          <w:sz w:val="21"/>
          <w:szCs w:val="21"/>
        </w:rPr>
        <w:fldChar w:fldCharType="end"/>
      </w:r>
      <w:r>
        <w:rPr>
          <w:rFonts w:hint="eastAsia" w:ascii="宋体" w:hAnsi="宋体" w:eastAsia="宋体" w:cs="宋体"/>
          <w:sz w:val="21"/>
          <w:szCs w:val="21"/>
        </w:rPr>
        <w:fldChar w:fldCharType="end"/>
      </w:r>
    </w:p>
    <w:p w14:paraId="0EC4BA81">
      <w:pPr>
        <w:pStyle w:val="20"/>
        <w:tabs>
          <w:tab w:val="right" w:leader="dot" w:pos="8296"/>
        </w:tabs>
        <w:spacing w:line="276" w:lineRule="auto"/>
        <w:rPr>
          <w:rFonts w:hint="eastAsia" w:ascii="宋体" w:hAnsi="宋体" w:eastAsia="宋体" w:cs="宋体"/>
          <w:kern w:val="2"/>
          <w:sz w:val="21"/>
          <w:szCs w:val="21"/>
        </w:rPr>
      </w:pPr>
    </w:p>
    <w:p w14:paraId="2A14EB03">
      <w:pPr>
        <w:pStyle w:val="20"/>
        <w:tabs>
          <w:tab w:val="right" w:leader="dot" w:pos="8296"/>
        </w:tabs>
        <w:spacing w:line="276" w:lineRule="auto"/>
        <w:rPr>
          <w:rFonts w:hint="eastAsia" w:ascii="宋体" w:hAnsi="宋体" w:eastAsia="宋体" w:cs="宋体"/>
          <w:kern w:val="2"/>
          <w:sz w:val="21"/>
          <w:szCs w:val="21"/>
        </w:rPr>
      </w:pPr>
    </w:p>
    <w:p w14:paraId="43D9E794">
      <w:pPr>
        <w:spacing w:line="276" w:lineRule="auto"/>
      </w:pPr>
      <w:r>
        <w:rPr>
          <w:rFonts w:hint="eastAsia" w:ascii="宋体" w:hAnsi="宋体" w:eastAsia="宋体" w:cs="宋体"/>
          <w:sz w:val="21"/>
          <w:szCs w:val="21"/>
        </w:rPr>
        <w:fldChar w:fldCharType="end"/>
      </w:r>
    </w:p>
    <w:p w14:paraId="03B2B941">
      <w:pPr>
        <w:spacing w:line="276" w:lineRule="auto"/>
      </w:pPr>
    </w:p>
    <w:p w14:paraId="608C2934"/>
    <w:p w14:paraId="76DE4D5C">
      <w:pPr>
        <w:rPr>
          <w:rFonts w:hint="eastAsia"/>
        </w:rPr>
      </w:pPr>
    </w:p>
    <w:p w14:paraId="2A4FC070"/>
    <w:p w14:paraId="78BF5862"/>
    <w:p w14:paraId="4C399B6B"/>
    <w:p w14:paraId="3D09AE76"/>
    <w:p w14:paraId="496401A7">
      <w:pPr>
        <w:sectPr>
          <w:footerReference r:id="rId11" w:type="default"/>
          <w:pgSz w:w="11906" w:h="16838"/>
          <w:pgMar w:top="1440" w:right="1800" w:bottom="1440" w:left="1800" w:header="851" w:footer="992" w:gutter="0"/>
          <w:pgNumType w:fmt="decimal"/>
          <w:cols w:space="720" w:num="1"/>
          <w:docGrid w:linePitch="312" w:charSpace="0"/>
        </w:sectPr>
      </w:pPr>
    </w:p>
    <w:p w14:paraId="34BC63A5">
      <w:pPr>
        <w:pStyle w:val="2"/>
        <w:spacing w:before="120" w:after="120"/>
        <w:jc w:val="center"/>
        <w:rPr>
          <w:sz w:val="30"/>
          <w:szCs w:val="30"/>
          <w:u w:val="single"/>
        </w:rPr>
      </w:pPr>
      <w:bookmarkStart w:id="486" w:name="_Toc422322470"/>
      <w:bookmarkStart w:id="487" w:name="_Toc419045055"/>
      <w:r>
        <w:rPr>
          <w:rFonts w:hint="eastAsia"/>
          <w:sz w:val="30"/>
          <w:szCs w:val="30"/>
          <w:u w:val="single"/>
        </w:rPr>
        <w:t>第一部分　协议书</w:t>
      </w:r>
      <w:bookmarkEnd w:id="486"/>
      <w:bookmarkEnd w:id="487"/>
    </w:p>
    <w:p w14:paraId="1821A03C">
      <w:pPr>
        <w:pStyle w:val="91"/>
        <w:spacing w:line="360" w:lineRule="auto"/>
        <w:ind w:left="480" w:leftChars="200"/>
        <w:jc w:val="left"/>
        <w:rPr>
          <w:rFonts w:hint="eastAsia" w:ascii="宋体" w:hAnsi="宋体"/>
          <w:sz w:val="24"/>
          <w:szCs w:val="24"/>
          <w:u w:val="single"/>
        </w:rPr>
      </w:pPr>
      <w:bookmarkStart w:id="488" w:name="7"/>
      <w:r>
        <w:rPr>
          <w:rFonts w:hint="eastAsia" w:ascii="宋体" w:hAnsi="宋体"/>
          <w:sz w:val="24"/>
          <w:szCs w:val="24"/>
          <w:u w:val="single"/>
        </w:rPr>
        <w:t>委托人（全称）：</w:t>
      </w:r>
      <w:r>
        <w:rPr>
          <w:rFonts w:hint="eastAsia" w:ascii="宋体" w:hAnsi="宋体" w:cs="宋体"/>
          <w:sz w:val="24"/>
          <w:szCs w:val="24"/>
          <w:u w:val="single"/>
        </w:rPr>
        <w:t xml:space="preserve">新疆医科大学第一附属医院 </w:t>
      </w:r>
    </w:p>
    <w:p w14:paraId="2356382D">
      <w:pPr>
        <w:spacing w:line="360" w:lineRule="auto"/>
        <w:ind w:firstLine="480" w:firstLineChars="200"/>
        <w:rPr>
          <w:rFonts w:hint="eastAsia"/>
          <w:b/>
          <w:bCs/>
        </w:rPr>
      </w:pPr>
      <w:r>
        <w:rPr>
          <w:rFonts w:hint="eastAsia"/>
          <w:u w:val="single"/>
        </w:rPr>
        <w:t>咨询人（全称）：</w:t>
      </w:r>
      <w:r>
        <w:rPr>
          <w:rFonts w:hint="eastAsia"/>
          <w:u w:val="single"/>
          <w:lang w:eastAsia="zh-CN"/>
        </w:rPr>
        <w:t xml:space="preserve">       </w:t>
      </w:r>
      <w:r>
        <w:rPr>
          <w:rFonts w:hint="eastAsia"/>
          <w:b/>
          <w:bCs/>
        </w:rPr>
        <w:t xml:space="preserve">     </w:t>
      </w:r>
    </w:p>
    <w:p w14:paraId="2F66F812">
      <w:pPr>
        <w:spacing w:line="360" w:lineRule="auto"/>
        <w:ind w:firstLine="482" w:firstLineChars="200"/>
        <w:rPr>
          <w:rFonts w:hint="eastAsia"/>
          <w:u w:val="single"/>
        </w:rPr>
      </w:pPr>
      <w:r>
        <w:rPr>
          <w:rFonts w:hint="eastAsia"/>
          <w:b/>
          <w:bCs/>
        </w:rPr>
        <w:t xml:space="preserve"> </w:t>
      </w:r>
      <w:r>
        <w:rPr>
          <w:rFonts w:hint="eastAsia" w:cs="Times New Roman"/>
        </w:rPr>
        <w:t xml:space="preserve"> </w:t>
      </w:r>
      <w:r>
        <w:rPr>
          <w:rFonts w:hint="eastAsia"/>
          <w:u w:val="single"/>
        </w:rPr>
        <w:t>根据《</w:t>
      </w:r>
      <w:r>
        <w:rPr>
          <w:u w:val="single"/>
        </w:rPr>
        <w:fldChar w:fldCharType="begin"/>
      </w:r>
      <w:r>
        <w:rPr>
          <w:u w:val="single"/>
        </w:rPr>
        <w:instrText xml:space="preserve"> HYPERLINK "javascript:SLC(21651,0)" </w:instrText>
      </w:r>
      <w:r>
        <w:rPr>
          <w:u w:val="single"/>
        </w:rPr>
        <w:fldChar w:fldCharType="separate"/>
      </w:r>
      <w:r>
        <w:rPr>
          <w:rStyle w:val="92"/>
          <w:rFonts w:hint="eastAsia" w:ascii="宋体" w:hAnsi="宋体"/>
          <w:color w:val="auto"/>
          <w:u w:val="single"/>
        </w:rPr>
        <w:t>中华人民共和国</w:t>
      </w:r>
      <w:r>
        <w:rPr>
          <w:rFonts w:hint="eastAsia"/>
          <w:u w:val="single"/>
        </w:rPr>
        <w:t>民法典</w:t>
      </w:r>
      <w:r>
        <w:rPr>
          <w:u w:val="single"/>
        </w:rPr>
        <w:fldChar w:fldCharType="end"/>
      </w:r>
      <w:r>
        <w:rPr>
          <w:rFonts w:hint="eastAsia"/>
          <w:u w:val="single"/>
        </w:rPr>
        <w:t>》及其他有关法律、法规，遵循平等、自</w:t>
      </w:r>
    </w:p>
    <w:p w14:paraId="5C3D15BC">
      <w:pPr>
        <w:pStyle w:val="91"/>
        <w:spacing w:line="360" w:lineRule="auto"/>
        <w:jc w:val="left"/>
        <w:rPr>
          <w:rFonts w:ascii="宋体" w:hAnsi="宋体"/>
          <w:sz w:val="24"/>
          <w:szCs w:val="24"/>
          <w:u w:val="single"/>
        </w:rPr>
      </w:pPr>
      <w:r>
        <w:rPr>
          <w:rFonts w:hint="eastAsia" w:ascii="宋体" w:hAnsi="宋体"/>
          <w:sz w:val="24"/>
          <w:szCs w:val="24"/>
          <w:u w:val="single"/>
        </w:rPr>
        <w:t>愿、公平和诚实信用的原则，双方就下述建设工程委托造价咨询与其他服务事项协商一致，订立本合同。</w:t>
      </w:r>
    </w:p>
    <w:p w14:paraId="6661A167">
      <w:pPr>
        <w:spacing w:before="120" w:beforeLines="50" w:after="120" w:afterLines="50" w:line="360" w:lineRule="auto"/>
        <w:ind w:left="2204" w:leftChars="266" w:hanging="1566" w:hangingChars="650"/>
        <w:rPr>
          <w:rFonts w:hint="eastAsia"/>
          <w:u w:val="single"/>
        </w:rPr>
      </w:pPr>
      <w:bookmarkStart w:id="489" w:name="_Toc422322471"/>
      <w:bookmarkStart w:id="490" w:name="_Toc419045056"/>
      <w:r>
        <w:rPr>
          <w:rStyle w:val="93"/>
          <w:rFonts w:hint="eastAsia" w:ascii="宋体" w:hAnsi="宋体"/>
          <w:szCs w:val="24"/>
          <w:u w:val="single"/>
        </w:rPr>
        <w:t>一、工程</w:t>
      </w:r>
      <w:r>
        <w:rPr>
          <w:rStyle w:val="93"/>
          <w:rFonts w:ascii="宋体" w:hAnsi="宋体"/>
          <w:szCs w:val="24"/>
          <w:u w:val="single"/>
        </w:rPr>
        <w:t>概况</w:t>
      </w:r>
      <w:bookmarkEnd w:id="489"/>
    </w:p>
    <w:p w14:paraId="7084817B">
      <w:pPr>
        <w:pStyle w:val="91"/>
        <w:spacing w:line="360" w:lineRule="auto"/>
        <w:ind w:firstLine="720" w:firstLineChars="300"/>
        <w:rPr>
          <w:rFonts w:hint="eastAsia" w:ascii="宋体" w:hAnsi="宋体"/>
          <w:sz w:val="24"/>
          <w:szCs w:val="24"/>
        </w:rPr>
      </w:pPr>
      <w:r>
        <w:rPr>
          <w:rFonts w:hint="eastAsia" w:ascii="宋体" w:hAnsi="宋体" w:cs="宋体"/>
          <w:sz w:val="24"/>
          <w:szCs w:val="24"/>
        </w:rPr>
        <w:t xml:space="preserve">1.工程名称： </w:t>
      </w:r>
      <w:r>
        <w:rPr>
          <w:rFonts w:ascii="宋体" w:hAnsi="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sz w:val="24"/>
          <w:szCs w:val="24"/>
          <w:u w:val="single"/>
        </w:rPr>
        <w:t xml:space="preserve"> </w:t>
      </w:r>
      <w:r>
        <w:rPr>
          <w:rFonts w:ascii="宋体" w:hAnsi="宋体"/>
          <w:sz w:val="24"/>
          <w:szCs w:val="24"/>
          <w:u w:val="single"/>
        </w:rPr>
        <w:t xml:space="preserve">         </w:t>
      </w:r>
      <w:r>
        <w:rPr>
          <w:rFonts w:ascii="宋体" w:hAnsi="宋体"/>
          <w:sz w:val="24"/>
          <w:szCs w:val="24"/>
        </w:rPr>
        <w:t xml:space="preserve">              </w:t>
      </w:r>
    </w:p>
    <w:p w14:paraId="58E98C80">
      <w:pPr>
        <w:spacing w:line="360" w:lineRule="auto"/>
        <w:ind w:firstLine="720" w:firstLineChars="300"/>
        <w:rPr>
          <w:rFonts w:hint="eastAsia"/>
        </w:rPr>
      </w:pPr>
      <w:r>
        <w:rPr>
          <w:rFonts w:hint="eastAsia"/>
        </w:rPr>
        <w:t>2.工程地点：</w:t>
      </w:r>
      <w:bookmarkEnd w:id="490"/>
      <w:r>
        <w:rPr>
          <w:rFonts w:hint="eastAsia" w:cs="Times New Roman"/>
          <w:u w:val="single"/>
        </w:rPr>
        <w:t xml:space="preserve">           </w:t>
      </w:r>
      <w:r>
        <w:rPr>
          <w:rFonts w:hint="eastAsia" w:cs="Times New Roman"/>
          <w:u w:val="single"/>
          <w:lang w:val="en-US" w:eastAsia="zh-CN"/>
        </w:rPr>
        <w:t xml:space="preserve">                         </w:t>
      </w:r>
      <w:r>
        <w:rPr>
          <w:rFonts w:hint="eastAsia"/>
          <w:u w:val="single"/>
        </w:rPr>
        <w:t xml:space="preserve">            </w:t>
      </w:r>
      <w:r>
        <w:rPr>
          <w:rFonts w:hint="eastAsia"/>
        </w:rPr>
        <w:t xml:space="preserve">           </w:t>
      </w:r>
    </w:p>
    <w:p w14:paraId="7B6B5584">
      <w:pPr>
        <w:spacing w:line="360" w:lineRule="auto"/>
        <w:ind w:firstLine="720" w:firstLineChars="300"/>
        <w:rPr>
          <w:rFonts w:hint="eastAsia"/>
        </w:rPr>
      </w:pPr>
      <w:r>
        <w:rPr>
          <w:rFonts w:hint="eastAsia"/>
        </w:rPr>
        <w:t>3.工程规模：_______________</w:t>
      </w:r>
      <w:r>
        <w:rPr>
          <w:u w:val="single"/>
        </w:rPr>
        <w:t xml:space="preserve">  </w:t>
      </w:r>
      <w:r>
        <w:rPr>
          <w:rFonts w:hint="eastAsia"/>
          <w:u w:val="single"/>
        </w:rPr>
        <w:t xml:space="preserve"> /_</w:t>
      </w:r>
      <w:r>
        <w:rPr>
          <w:rFonts w:hint="eastAsia"/>
        </w:rPr>
        <w:t xml:space="preserve">__________________________                                                                   </w:t>
      </w:r>
    </w:p>
    <w:p w14:paraId="26F21E48">
      <w:pPr>
        <w:pStyle w:val="91"/>
        <w:spacing w:line="360" w:lineRule="auto"/>
        <w:ind w:firstLine="720" w:firstLineChars="300"/>
        <w:rPr>
          <w:rFonts w:hint="eastAsia" w:ascii="宋体" w:hAnsi="宋体" w:cs="宋体"/>
          <w:sz w:val="24"/>
          <w:szCs w:val="24"/>
        </w:rPr>
      </w:pPr>
      <w:r>
        <w:rPr>
          <w:rFonts w:hint="eastAsia" w:ascii="宋体" w:hAnsi="宋体" w:cs="宋体"/>
          <w:sz w:val="24"/>
          <w:szCs w:val="24"/>
        </w:rPr>
        <w:t>4.投资金额：</w:t>
      </w:r>
      <w:r>
        <w:rPr>
          <w:rFonts w:hint="eastAsia" w:ascii="宋体" w:hAnsi="宋体"/>
          <w:sz w:val="24"/>
          <w:szCs w:val="24"/>
        </w:rPr>
        <w:t>_________________</w:t>
      </w:r>
      <w:r>
        <w:rPr>
          <w:rFonts w:hint="eastAsia" w:ascii="宋体" w:hAnsi="宋体"/>
          <w:sz w:val="24"/>
          <w:szCs w:val="24"/>
          <w:u w:val="single"/>
        </w:rPr>
        <w:t>/</w:t>
      </w:r>
      <w:r>
        <w:rPr>
          <w:rFonts w:hint="eastAsia" w:ascii="宋体" w:hAnsi="宋体"/>
          <w:sz w:val="24"/>
          <w:szCs w:val="24"/>
        </w:rPr>
        <w:t>____________________________</w:t>
      </w:r>
    </w:p>
    <w:p w14:paraId="2966B7F6">
      <w:pPr>
        <w:spacing w:line="360" w:lineRule="auto"/>
        <w:ind w:firstLine="720" w:firstLineChars="300"/>
        <w:rPr>
          <w:rFonts w:hint="eastAsia"/>
        </w:rPr>
      </w:pPr>
      <w:r>
        <w:rPr>
          <w:rFonts w:hint="eastAsia"/>
        </w:rPr>
        <w:t>5.资金来源：</w:t>
      </w:r>
      <w:r>
        <w:rPr>
          <w:rFonts w:hint="eastAsia" w:cs="Times New Roman"/>
        </w:rPr>
        <w:t>________________</w:t>
      </w:r>
      <w:r>
        <w:rPr>
          <w:rFonts w:hint="eastAsia" w:cs="Times New Roman"/>
          <w:u w:val="single"/>
        </w:rPr>
        <w:t>/</w:t>
      </w:r>
      <w:r>
        <w:rPr>
          <w:rFonts w:hint="eastAsia" w:cs="Times New Roman"/>
        </w:rPr>
        <w:t>____________________________</w:t>
      </w:r>
      <w:r>
        <w:rPr>
          <w:rFonts w:hint="eastAsia"/>
        </w:rPr>
        <w:t xml:space="preserve">                                         </w:t>
      </w:r>
    </w:p>
    <w:p w14:paraId="2B6C4BFC">
      <w:pPr>
        <w:spacing w:line="360" w:lineRule="auto"/>
        <w:ind w:firstLine="720" w:firstLineChars="300"/>
        <w:rPr>
          <w:rFonts w:hint="eastAsia"/>
        </w:rPr>
      </w:pPr>
      <w:r>
        <w:rPr>
          <w:rFonts w:hint="eastAsia"/>
        </w:rPr>
        <w:t>6.建设工期或周期：</w:t>
      </w:r>
      <w:r>
        <w:rPr>
          <w:rFonts w:hint="eastAsia" w:cs="Times New Roman"/>
        </w:rPr>
        <w:t>___________</w:t>
      </w:r>
      <w:r>
        <w:rPr>
          <w:rFonts w:hint="eastAsia" w:cs="Times New Roman"/>
          <w:u w:val="single"/>
        </w:rPr>
        <w:t>/</w:t>
      </w:r>
      <w:r>
        <w:rPr>
          <w:rFonts w:hint="eastAsia" w:cs="Times New Roman"/>
        </w:rPr>
        <w:t xml:space="preserve">_____________________________  </w:t>
      </w:r>
      <w:r>
        <w:rPr>
          <w:rFonts w:hint="eastAsia"/>
        </w:rPr>
        <w:t xml:space="preserve">                                  </w:t>
      </w:r>
    </w:p>
    <w:p w14:paraId="77F04427">
      <w:pPr>
        <w:spacing w:line="360" w:lineRule="auto"/>
        <w:ind w:firstLine="720" w:firstLineChars="300"/>
        <w:rPr>
          <w:rFonts w:hint="eastAsia"/>
          <w:u w:val="single"/>
        </w:rPr>
      </w:pPr>
      <w:r>
        <w:rPr>
          <w:rFonts w:hint="eastAsia"/>
        </w:rPr>
        <w:t>7.其他：</w:t>
      </w:r>
      <w:r>
        <w:rPr>
          <w:rFonts w:hint="eastAsia" w:cs="Times New Roman"/>
        </w:rPr>
        <w:t>_________________</w:t>
      </w:r>
      <w:r>
        <w:rPr>
          <w:rFonts w:hint="eastAsia" w:cs="Times New Roman"/>
          <w:u w:val="single"/>
        </w:rPr>
        <w:t>_</w:t>
      </w:r>
      <w:r>
        <w:rPr>
          <w:rFonts w:cs="Times New Roman"/>
          <w:u w:val="single"/>
        </w:rPr>
        <w:t xml:space="preserve">   </w:t>
      </w:r>
      <w:r>
        <w:rPr>
          <w:rFonts w:hint="eastAsia" w:cs="Times New Roman"/>
        </w:rPr>
        <w:t>__</w:t>
      </w:r>
      <w:r>
        <w:rPr>
          <w:rFonts w:hint="eastAsia" w:cs="Times New Roman"/>
          <w:u w:val="single"/>
        </w:rPr>
        <w:t>/_</w:t>
      </w:r>
      <w:r>
        <w:rPr>
          <w:rFonts w:hint="eastAsia" w:cs="Times New Roman"/>
        </w:rPr>
        <w:t>______________________</w:t>
      </w:r>
      <w:bookmarkEnd w:id="488"/>
    </w:p>
    <w:p w14:paraId="4F66D799">
      <w:pPr>
        <w:pStyle w:val="30"/>
        <w:spacing w:before="0" w:after="0" w:line="360" w:lineRule="auto"/>
        <w:ind w:firstLine="482" w:firstLineChars="200"/>
        <w:jc w:val="left"/>
        <w:rPr>
          <w:rFonts w:hint="eastAsia" w:ascii="宋体" w:hAnsi="宋体"/>
          <w:szCs w:val="24"/>
        </w:rPr>
      </w:pPr>
      <w:bookmarkStart w:id="491" w:name="_Toc422322472"/>
      <w:bookmarkStart w:id="492" w:name="_Toc419045059"/>
      <w:r>
        <w:rPr>
          <w:rFonts w:hint="eastAsia" w:ascii="宋体" w:hAnsi="宋体"/>
          <w:szCs w:val="24"/>
        </w:rPr>
        <w:t>二、服务范围及工作内容</w:t>
      </w:r>
      <w:bookmarkEnd w:id="491"/>
      <w:bookmarkEnd w:id="492"/>
    </w:p>
    <w:p w14:paraId="71ACFC7D">
      <w:pPr>
        <w:spacing w:line="360" w:lineRule="auto"/>
        <w:ind w:firstLine="480" w:firstLineChars="200"/>
      </w:pPr>
      <w:bookmarkStart w:id="493" w:name="_Toc419045060"/>
      <w:bookmarkStart w:id="494" w:name="_Toc422322473"/>
      <w:bookmarkStart w:id="495" w:name="9"/>
      <w:r>
        <w:rPr>
          <w:rFonts w:hint="eastAsia"/>
        </w:rPr>
        <w:t>本合同造价咨询业务范围包括：</w:t>
      </w:r>
    </w:p>
    <w:p w14:paraId="17A8E532">
      <w:pPr>
        <w:spacing w:line="360" w:lineRule="auto"/>
        <w:ind w:firstLine="480" w:firstLineChars="200"/>
      </w:pPr>
      <w:r>
        <w:rPr>
          <w:rFonts w:hint="eastAsia"/>
        </w:rPr>
        <w:t>造价咨询业务范围包括但不限于以下工作内容：</w:t>
      </w:r>
    </w:p>
    <w:p w14:paraId="06A9027F">
      <w:pPr>
        <w:spacing w:line="360" w:lineRule="auto"/>
        <w:ind w:firstLine="480" w:firstLineChars="200"/>
      </w:pPr>
      <w:r>
        <w:rPr>
          <w:rFonts w:hint="eastAsia"/>
        </w:rPr>
        <w:t>（一）招标阶段</w:t>
      </w:r>
    </w:p>
    <w:p w14:paraId="7A5C9980">
      <w:pPr>
        <w:spacing w:line="360" w:lineRule="auto"/>
        <w:ind w:firstLine="480" w:firstLineChars="200"/>
      </w:pPr>
      <w:r>
        <w:t>1、协助委托人进行招标规划、合同策划并提出合同建议，对招标文件与工程造价控制相关的条款提出咨询意见；</w:t>
      </w:r>
    </w:p>
    <w:p w14:paraId="0F981518">
      <w:pPr>
        <w:spacing w:line="360" w:lineRule="auto"/>
        <w:ind w:firstLine="480" w:firstLineChars="200"/>
      </w:pPr>
      <w:r>
        <w:t>2、招标控制价或标底、工程量清单的编制及审核（包括图纸变更增加的工作量）；</w:t>
      </w:r>
    </w:p>
    <w:p w14:paraId="5722488E">
      <w:pPr>
        <w:spacing w:line="360" w:lineRule="auto"/>
        <w:ind w:firstLine="480" w:firstLineChars="200"/>
      </w:pPr>
      <w:r>
        <w:rPr>
          <w:rFonts w:hint="eastAsia"/>
        </w:rPr>
        <w:t>3、出具正式控价文件前，就控价编制情况进行汇报，检查有关资料如图纸、参数、答疑、回复等，均需为正式规范版，即书面签字或盖章版；</w:t>
      </w:r>
    </w:p>
    <w:p w14:paraId="34FA5FBA">
      <w:pPr>
        <w:spacing w:line="360" w:lineRule="auto"/>
        <w:ind w:firstLine="480" w:firstLineChars="200"/>
      </w:pPr>
      <w:r>
        <w:rPr>
          <w:rFonts w:hint="eastAsia"/>
        </w:rPr>
        <w:t>4</w:t>
      </w:r>
      <w:r>
        <w:t>、对中标人投标文件进行清标，并编制清标报告；</w:t>
      </w:r>
    </w:p>
    <w:p w14:paraId="0708F533">
      <w:pPr>
        <w:spacing w:line="360" w:lineRule="auto"/>
        <w:ind w:firstLine="480" w:firstLineChars="200"/>
      </w:pPr>
      <w:r>
        <w:rPr>
          <w:rFonts w:hint="eastAsia"/>
        </w:rPr>
        <w:t>5</w:t>
      </w:r>
      <w:r>
        <w:t>、协助委托人与有关单位进行合同谈判；</w:t>
      </w:r>
    </w:p>
    <w:p w14:paraId="6F808365">
      <w:pPr>
        <w:spacing w:line="360" w:lineRule="auto"/>
        <w:ind w:firstLine="480" w:firstLineChars="200"/>
      </w:pPr>
      <w:r>
        <w:rPr>
          <w:rFonts w:hint="eastAsia"/>
        </w:rPr>
        <w:t>（二）施工阶段全过程造价控制</w:t>
      </w:r>
    </w:p>
    <w:p w14:paraId="1E2100DC">
      <w:pPr>
        <w:spacing w:line="360" w:lineRule="auto"/>
        <w:ind w:firstLine="480" w:firstLineChars="200"/>
      </w:pPr>
      <w:r>
        <w:t>1、工程造价进度控制：</w:t>
      </w:r>
    </w:p>
    <w:p w14:paraId="4A6F7330">
      <w:pPr>
        <w:spacing w:line="360" w:lineRule="auto"/>
        <w:ind w:firstLine="480" w:firstLineChars="200"/>
      </w:pPr>
      <w:r>
        <w:t>1.1、为委托人提供工程成本控制的建议，运用技术、合同等手段有效控制成本。</w:t>
      </w:r>
    </w:p>
    <w:p w14:paraId="4449534C">
      <w:pPr>
        <w:spacing w:line="360" w:lineRule="auto"/>
        <w:ind w:firstLine="480" w:firstLineChars="200"/>
      </w:pPr>
      <w:r>
        <w:t>1.2、对重大的工程变更或设计变更进行造价估算，并分析对工程目标成本的影响，作为委托人决策的依据。</w:t>
      </w:r>
    </w:p>
    <w:p w14:paraId="107B1B5B">
      <w:pPr>
        <w:spacing w:line="360" w:lineRule="auto"/>
        <w:ind w:firstLine="480" w:firstLineChars="200"/>
      </w:pPr>
      <w:r>
        <w:t>1.3、对工程洽商进行造价估算和费用审核。</w:t>
      </w:r>
    </w:p>
    <w:p w14:paraId="47BFD141">
      <w:pPr>
        <w:spacing w:line="360" w:lineRule="auto"/>
        <w:ind w:firstLine="480" w:firstLineChars="200"/>
      </w:pPr>
      <w:r>
        <w:t>1.4、依据合同条款规定的程序进行工程计量，审核所有与本工程相关的付款申请，复核已完工程主要项目工程量，并向委托人提供中期付款意见，经委托人认可后作为支付当期进度款的依据。</w:t>
      </w:r>
    </w:p>
    <w:p w14:paraId="4FF03584">
      <w:pPr>
        <w:spacing w:line="360" w:lineRule="auto"/>
        <w:ind w:firstLine="480" w:firstLineChars="200"/>
      </w:pPr>
      <w:r>
        <w:t>1.5、对承包人提出的工期和费用索赔事项提供专业审核意见，协助委托人与索赔单位进行商务谈判，以解决索赔事项。</w:t>
      </w:r>
    </w:p>
    <w:p w14:paraId="40D1CE60">
      <w:pPr>
        <w:spacing w:line="360" w:lineRule="auto"/>
        <w:ind w:firstLine="480" w:firstLineChars="200"/>
      </w:pPr>
      <w:r>
        <w:t>1.6、对承包人提出的合同争议或纠纷，提供合同条款规定方面的专业意见；协助委托人与承包人谈判，以解决合同争议或纠纷。</w:t>
      </w:r>
    </w:p>
    <w:p w14:paraId="20FF52F1">
      <w:pPr>
        <w:spacing w:line="360" w:lineRule="auto"/>
        <w:ind w:firstLine="480" w:firstLineChars="200"/>
      </w:pPr>
      <w:r>
        <w:t>1.7、提供月度造价咨询服务报告，对最终的工程结算造价做出审核，分析本次审核的最终工程结算造价与前次审核的最终工程结算造价的差异原因。</w:t>
      </w:r>
    </w:p>
    <w:p w14:paraId="453C2F8C">
      <w:pPr>
        <w:spacing w:line="360" w:lineRule="auto"/>
        <w:ind w:firstLine="480" w:firstLineChars="200"/>
      </w:pPr>
      <w:r>
        <w:t>1.8、按委托人要求出席与所提供服务相关的工程会议，包括设计协调会、合同谈判会议、招投标及合同造价管理例会、现场会、专题讨论会等，以解决工程成本控制问题。</w:t>
      </w:r>
    </w:p>
    <w:p w14:paraId="0D05A059">
      <w:pPr>
        <w:spacing w:line="360" w:lineRule="auto"/>
        <w:ind w:firstLine="480" w:firstLineChars="200"/>
      </w:pPr>
      <w:r>
        <w:rPr>
          <w:rFonts w:hint="eastAsia"/>
        </w:rPr>
        <w:t>1.9、参加隐蔽工程验收、竣工验收等工作，并留存相关的影像资料作为过程跟踪依据。</w:t>
      </w:r>
    </w:p>
    <w:p w14:paraId="4D28DCCB">
      <w:pPr>
        <w:spacing w:line="360" w:lineRule="auto"/>
        <w:ind w:firstLine="480" w:firstLineChars="200"/>
      </w:pPr>
      <w:r>
        <w:t>2、工程进度款与变更、签证的审核与确定</w:t>
      </w:r>
    </w:p>
    <w:p w14:paraId="16BEEB54">
      <w:pPr>
        <w:spacing w:line="360" w:lineRule="auto"/>
        <w:ind w:firstLine="480" w:firstLineChars="200"/>
      </w:pPr>
      <w:r>
        <w:t>2.1要配合委托人作好概算调整、工程经济纠纷中工程量的鉴定、工程进度款准确支付，保证工程按期交工。</w:t>
      </w:r>
    </w:p>
    <w:p w14:paraId="5A2CF065">
      <w:pPr>
        <w:spacing w:line="360" w:lineRule="auto"/>
        <w:ind w:firstLine="480" w:firstLineChars="200"/>
      </w:pPr>
      <w:r>
        <w:t>2.2要配合业主在监理公司确认的工程量的基础上，进行量、价的复核。即咨询人对各子项的工程量、单价进行确认，监理方和咨询方应做到精诚团结，互相协作，保证进度款量、价的准确性。</w:t>
      </w:r>
    </w:p>
    <w:p w14:paraId="6BD7A6D4">
      <w:pPr>
        <w:spacing w:line="360" w:lineRule="auto"/>
        <w:ind w:firstLine="480" w:firstLineChars="200"/>
      </w:pPr>
      <w:r>
        <w:t>2.3 咨询人常驻人员应每天到施工现场，了解现场施工进度情况，做好随访记录，对于有可能出现的变更、签证应及时做好造价对比分析，为业主提供决策依据。对现场已经发生的重大变更、签证应及时到达现场复核工作量，做好材料分析，确定造价。在确定主要材料价格时，应及时参与市场调查，提供材料信息，做到心中有数。</w:t>
      </w:r>
    </w:p>
    <w:p w14:paraId="6816E4E6">
      <w:pPr>
        <w:spacing w:line="360" w:lineRule="auto"/>
        <w:ind w:firstLine="480" w:firstLineChars="200"/>
      </w:pPr>
      <w:r>
        <w:t xml:space="preserve"> 2.4 对于特殊施工工艺的项目或出现定额与实际不符的项目，应掌握其施工工艺流程及做法，现场测定其损耗，编制好换算子目，有必要时报定额站审批备案，为结算做好充分的准备工作。</w:t>
      </w:r>
    </w:p>
    <w:p w14:paraId="066EAD38">
      <w:pPr>
        <w:spacing w:line="360" w:lineRule="auto"/>
        <w:ind w:firstLine="480" w:firstLineChars="200"/>
      </w:pPr>
      <w:r>
        <w:t>2.5咨询人应按照委托人要求，按期保质保量做好工程竣工结算等工作；配合委托人及监理单位做好招投标及工程索赔的管理工作；做好主要设备和材料询价采购审核等。</w:t>
      </w:r>
    </w:p>
    <w:p w14:paraId="43261C99">
      <w:pPr>
        <w:spacing w:line="360" w:lineRule="auto"/>
        <w:ind w:firstLine="480" w:firstLineChars="200"/>
      </w:pPr>
      <w:r>
        <w:t>3、主要要求</w:t>
      </w:r>
    </w:p>
    <w:p w14:paraId="4F9E7A0D">
      <w:pPr>
        <w:spacing w:line="360" w:lineRule="auto"/>
        <w:ind w:firstLine="480" w:firstLineChars="200"/>
      </w:pPr>
      <w:r>
        <w:t>3.1咨询方的主要工作是配合业主对工程造价（进度、变更、签证、结算）进行控制，其目的是在工程合同的基础上做到确定与控制工程造价的目标。</w:t>
      </w:r>
    </w:p>
    <w:p w14:paraId="713FF523">
      <w:pPr>
        <w:spacing w:line="360" w:lineRule="auto"/>
        <w:ind w:firstLine="480" w:firstLineChars="200"/>
      </w:pPr>
      <w:r>
        <w:t xml:space="preserve"> 3.2工程款使用计划应在合理的施工组织设计及工程合同价款的基础上编制，编制内容应与工程合同确定的工程款支付方式相一致，在设计或施工进度变化较大的情况下应按需进行动态调整；工程进度款的审核与确定报告应符合施工合同相关支付条款的要求，所套用的计价项目应正确，工程量的核定应与施工进度状况相一致，中期付款报告的签发程序及时间应符合施工合同要求。</w:t>
      </w:r>
    </w:p>
    <w:p w14:paraId="51A82B79">
      <w:pPr>
        <w:spacing w:line="360" w:lineRule="auto"/>
        <w:ind w:firstLine="480" w:firstLineChars="200"/>
      </w:pPr>
      <w:r>
        <w:t xml:space="preserve"> 3.3工程变更与工程现场签证审核的依据应充分，设计变更手续、签证程序应齐全，内容与实际情况应相符，所选用的计价方式应合理并符合施工合同规定，工程变更的数量（包括核增与核减）应考虑全面。</w:t>
      </w:r>
    </w:p>
    <w:p w14:paraId="68992694">
      <w:pPr>
        <w:spacing w:line="360" w:lineRule="auto"/>
        <w:ind w:firstLine="480" w:firstLineChars="200"/>
      </w:pPr>
      <w:r>
        <w:t>（三）项目竣工结算及结算审核阶段</w:t>
      </w:r>
    </w:p>
    <w:p w14:paraId="66AF50C3">
      <w:pPr>
        <w:spacing w:line="360" w:lineRule="auto"/>
        <w:ind w:firstLine="480" w:firstLineChars="200"/>
      </w:pPr>
      <w:r>
        <w:t>1、主要工作</w:t>
      </w:r>
    </w:p>
    <w:p w14:paraId="58253666">
      <w:pPr>
        <w:spacing w:line="360" w:lineRule="auto"/>
        <w:ind w:firstLine="480" w:firstLineChars="200"/>
      </w:pPr>
      <w:r>
        <w:rPr>
          <w:rFonts w:hint="eastAsia"/>
        </w:rPr>
        <w:t>当建设项目达到交工条件并通过五方验收后</w:t>
      </w:r>
      <w:r>
        <w:t>,应督促施工方尽早编制竣工结算书，及时做好审核工作,其目的是反映建设工程项目实际造价和投资效果。</w:t>
      </w:r>
    </w:p>
    <w:p w14:paraId="12E69D11">
      <w:pPr>
        <w:spacing w:line="360" w:lineRule="auto"/>
        <w:ind w:firstLine="480" w:firstLineChars="200"/>
      </w:pPr>
      <w:r>
        <w:t>1.1、拟订工程结算实施方案、原则和程序；保证竣工结算包括分阶段的结算顺利进行。</w:t>
      </w:r>
    </w:p>
    <w:p w14:paraId="1A7A9996">
      <w:pPr>
        <w:spacing w:line="360" w:lineRule="auto"/>
        <w:ind w:firstLine="480" w:firstLineChars="200"/>
      </w:pPr>
      <w:r>
        <w:t>1.2、核对工程量、单价、费率；对不明确的问题定性、定量、定价，协调工程结算中的疑难分歧，达成协议或形成会商纪要，促使双方在合法、合理、公平状况下进行结算。</w:t>
      </w:r>
    </w:p>
    <w:p w14:paraId="1120DC1F">
      <w:pPr>
        <w:spacing w:line="360" w:lineRule="auto"/>
        <w:ind w:firstLine="480" w:firstLineChars="200"/>
      </w:pPr>
      <w:r>
        <w:t>1.3、向委托人提交全部工程结算审核报告、合同管理及执行情况的专题总结报告。</w:t>
      </w:r>
    </w:p>
    <w:p w14:paraId="154A3A95">
      <w:pPr>
        <w:spacing w:line="360" w:lineRule="auto"/>
        <w:ind w:firstLine="480" w:firstLineChars="200"/>
      </w:pPr>
      <w:r>
        <w:t>1.4、协助委托人做好成本管理总结和竣工结算资料汇总工作。</w:t>
      </w:r>
    </w:p>
    <w:p w14:paraId="468612C5">
      <w:pPr>
        <w:spacing w:line="360" w:lineRule="auto"/>
        <w:ind w:firstLine="480" w:firstLineChars="200"/>
      </w:pPr>
      <w:r>
        <w:t>1.5、协助委托人做好项目竣工决算审计工作，直至通过竣工决算审计。</w:t>
      </w:r>
    </w:p>
    <w:p w14:paraId="665AE1AB">
      <w:pPr>
        <w:spacing w:line="360" w:lineRule="auto"/>
        <w:ind w:firstLine="480" w:firstLineChars="200"/>
      </w:pPr>
      <w:r>
        <w:t>1.6、咨询人应配合委托人做好工程过程中跟踪审计、各阶段财政审计、上级部门审计等有关的其他服务。</w:t>
      </w:r>
    </w:p>
    <w:p w14:paraId="07399A22">
      <w:pPr>
        <w:spacing w:line="360" w:lineRule="auto"/>
        <w:ind w:firstLine="480" w:firstLineChars="200"/>
      </w:pPr>
      <w:r>
        <w:t>1.7资料的收集</w:t>
      </w:r>
    </w:p>
    <w:p w14:paraId="174F5421">
      <w:pPr>
        <w:spacing w:line="360" w:lineRule="auto"/>
        <w:ind w:firstLine="480" w:firstLineChars="200"/>
      </w:pPr>
      <w:r>
        <w:rPr>
          <w:rFonts w:hint="eastAsia"/>
        </w:rPr>
        <w:t>在工程交工后，应配合业主对结算资料进行整理</w:t>
      </w:r>
      <w:r>
        <w:t>,分类汇总，检查资料的合理性(变更应有设计院出具、签证应四方签字认可[业主方、监理方、施工方、咨询方])。</w:t>
      </w:r>
    </w:p>
    <w:p w14:paraId="74FC7CC9">
      <w:pPr>
        <w:spacing w:line="360" w:lineRule="auto"/>
        <w:ind w:firstLine="480" w:firstLineChars="200"/>
      </w:pPr>
      <w:r>
        <w:t>2、结算的审核</w:t>
      </w:r>
    </w:p>
    <w:p w14:paraId="28A62D5A">
      <w:pPr>
        <w:spacing w:line="360" w:lineRule="auto"/>
        <w:ind w:firstLine="480" w:firstLineChars="200"/>
      </w:pPr>
      <w:r>
        <w:rPr>
          <w:rFonts w:hint="eastAsia"/>
        </w:rPr>
        <w:t>在收到结算书后，咨询方应先安排各专业技术人员严格按照合同、图纸及有关资料，依据现行计价规范、估价、政策性文件逐一对量、价进行自审，自审完后，在业主的安排与共同参与下</w:t>
      </w:r>
      <w:r>
        <w:t>,与施工方进行逐项核对，站在公正的基础上，把好造价关。审核过程应公开、透明。</w:t>
      </w:r>
    </w:p>
    <w:p w14:paraId="5CB9F4AD">
      <w:pPr>
        <w:spacing w:line="360" w:lineRule="auto"/>
        <w:ind w:firstLine="480" w:firstLineChars="200"/>
      </w:pPr>
      <w:r>
        <w:t>3、工作要求</w:t>
      </w:r>
    </w:p>
    <w:p w14:paraId="20FAC5CA">
      <w:pPr>
        <w:spacing w:line="360" w:lineRule="auto"/>
        <w:ind w:firstLine="480" w:firstLineChars="200"/>
      </w:pPr>
      <w:r>
        <w:t>3.1要确保编制咨询成果文件所需依据的完备性，成果结论的真实性和科学性。</w:t>
      </w:r>
    </w:p>
    <w:p w14:paraId="75EB610E">
      <w:pPr>
        <w:spacing w:line="360" w:lineRule="auto"/>
        <w:ind w:firstLine="480" w:firstLineChars="200"/>
      </w:pPr>
      <w:r>
        <w:t>3.2 竣工结算应严格依据施工合同的规定执行，对工程量计算与计价、相关费用的核定、设计变更、工程签证的手续齐全性及实际竣工项目状况的一致性进行审核，确保计算无误、计价正确、深度符合规定要求、计算和结论清楚、附表齐全。</w:t>
      </w:r>
    </w:p>
    <w:p w14:paraId="32A38F2F">
      <w:pPr>
        <w:spacing w:line="360" w:lineRule="auto"/>
        <w:ind w:firstLine="480" w:firstLineChars="200"/>
      </w:pPr>
      <w:r>
        <w:t>3.3咨询报告盖章顺序：施工单位——咨询单位——委托单位；咨询报告一式八份。</w:t>
      </w:r>
    </w:p>
    <w:p w14:paraId="29D087D8">
      <w:pPr>
        <w:spacing w:line="360" w:lineRule="auto"/>
        <w:ind w:firstLine="480" w:firstLineChars="200"/>
      </w:pPr>
      <w:r>
        <w:t>3.4当建设项目达到交工条件通过五方验收后,应督促施工方尽早编制竣工结算书，及时做好审核工作。</w:t>
      </w:r>
    </w:p>
    <w:p w14:paraId="2BD6384C">
      <w:pPr>
        <w:spacing w:line="360" w:lineRule="auto"/>
        <w:ind w:firstLine="480" w:firstLineChars="200"/>
      </w:pPr>
      <w:r>
        <w:rPr>
          <w:rFonts w:hint="eastAsia"/>
        </w:rPr>
        <w:t>（四）保障措施</w:t>
      </w:r>
    </w:p>
    <w:p w14:paraId="682D7B22">
      <w:pPr>
        <w:spacing w:line="360" w:lineRule="auto"/>
        <w:ind w:firstLine="480" w:firstLineChars="200"/>
      </w:pPr>
      <w:r>
        <w:t>1、咨询人应选派业务精通，责任心强,具有良好职业道德的不同专业的(土建、水暖、电气等)技术人员，组成跟踪服务项目管理部，项目负责人必须常驻现场。咨询人必须在投标文件中列明常驻现场代表及造价咨询人员的人数及分工（具有注册造价师人员不得少于3人，并配备相关造价人员不少于5人，其中常驻现场人员不得少于3人），所有工作人员必须具备国家规定的相关人员执业资格，并且具有与招标项目规模和复杂程度相适应的专业技术力量，根据工程进度计划及时调备与工程相适应的专业技术工作人员。</w:t>
      </w:r>
    </w:p>
    <w:p w14:paraId="0DD1C373">
      <w:pPr>
        <w:spacing w:line="360" w:lineRule="auto"/>
        <w:ind w:firstLine="480" w:firstLineChars="200"/>
      </w:pPr>
      <w:r>
        <w:t>2、质量把关措施</w:t>
      </w:r>
    </w:p>
    <w:p w14:paraId="731C3227">
      <w:pPr>
        <w:spacing w:line="360" w:lineRule="auto"/>
        <w:ind w:firstLine="480" w:firstLineChars="200"/>
      </w:pPr>
      <w:r>
        <w:rPr>
          <w:rFonts w:hint="eastAsia"/>
        </w:rPr>
        <w:t>（</w:t>
      </w:r>
      <w:r>
        <w:t>1）由造价人员计算发生的各项工程量及造价，自审后报项目管理负责人校核，复审结果由技术总负责人专审后签字出件。实行三审制度，加强技术人员的综合管理，严禁与施工单位进行不正当的交往，中标后五日内签署廉政协议书。</w:t>
      </w:r>
    </w:p>
    <w:p w14:paraId="01543FC0">
      <w:pPr>
        <w:spacing w:line="360" w:lineRule="auto"/>
        <w:ind w:firstLine="480" w:firstLineChars="200"/>
      </w:pPr>
      <w:r>
        <w:rPr>
          <w:rFonts w:hint="eastAsia"/>
        </w:rPr>
        <w:t>（</w:t>
      </w:r>
      <w:r>
        <w:t>2）咨询人与施工单位之间如有违规行为，一经发现，甲方有权终止委托合同，并追究法律责任。</w:t>
      </w:r>
    </w:p>
    <w:p w14:paraId="261B5C52">
      <w:pPr>
        <w:spacing w:line="360" w:lineRule="auto"/>
        <w:ind w:firstLine="480" w:firstLineChars="200"/>
        <w:rPr>
          <w:rFonts w:hint="eastAsia"/>
        </w:rPr>
      </w:pPr>
      <w:r>
        <w:rPr>
          <w:rFonts w:hint="eastAsia"/>
        </w:rPr>
        <w:t>（3）承担与其他造价公司编制成果的背靠背复核工作。</w:t>
      </w:r>
    </w:p>
    <w:p w14:paraId="784F9050">
      <w:pPr>
        <w:spacing w:line="360" w:lineRule="auto"/>
        <w:ind w:firstLine="480" w:firstLineChars="200"/>
        <w:rPr>
          <w:rFonts w:hint="eastAsia"/>
        </w:rPr>
      </w:pPr>
      <w:r>
        <w:rPr>
          <w:rFonts w:hint="eastAsia"/>
        </w:rPr>
        <w:t>（4）若甲方要求，根据工作需要每周派1人前往委托人处半天，负责档案整理、资料汇总等工作；</w:t>
      </w:r>
    </w:p>
    <w:p w14:paraId="1B33AC9F">
      <w:pPr>
        <w:spacing w:line="360" w:lineRule="auto"/>
        <w:ind w:firstLine="480" w:firstLineChars="200"/>
      </w:pPr>
      <w:r>
        <w:rPr>
          <w:rFonts w:hint="eastAsia"/>
        </w:rPr>
        <w:t>双方约定的委托人应提供的建设工程造价咨询材料及提供时间如下：</w:t>
      </w:r>
    </w:p>
    <w:p w14:paraId="146F10EA">
      <w:pPr>
        <w:spacing w:line="360" w:lineRule="auto"/>
        <w:ind w:firstLine="480" w:firstLineChars="200"/>
      </w:pPr>
      <w:r>
        <w:rPr>
          <w:rFonts w:hint="eastAsia"/>
        </w:rPr>
        <w:t>委托人应及时向咨询人提供相关造价咨询材料。</w:t>
      </w:r>
    </w:p>
    <w:p w14:paraId="53D83D6A">
      <w:pPr>
        <w:pStyle w:val="30"/>
        <w:spacing w:before="0" w:after="0" w:line="360" w:lineRule="auto"/>
        <w:ind w:firstLine="482" w:firstLineChars="200"/>
        <w:jc w:val="left"/>
        <w:rPr>
          <w:rFonts w:hint="eastAsia" w:ascii="宋体" w:hAnsi="宋体"/>
          <w:szCs w:val="24"/>
          <w:u w:val="single"/>
        </w:rPr>
      </w:pPr>
      <w:r>
        <w:rPr>
          <w:rFonts w:hint="eastAsia" w:ascii="宋体" w:hAnsi="宋体"/>
          <w:szCs w:val="24"/>
          <w:u w:val="single"/>
        </w:rPr>
        <w:t>三、服务期限</w:t>
      </w:r>
      <w:bookmarkEnd w:id="493"/>
      <w:bookmarkEnd w:id="494"/>
    </w:p>
    <w:p w14:paraId="2C70B43E">
      <w:pPr>
        <w:pStyle w:val="91"/>
        <w:spacing w:line="360" w:lineRule="auto"/>
        <w:ind w:left="240" w:leftChars="100" w:firstLine="240" w:firstLineChars="100"/>
        <w:jc w:val="left"/>
        <w:rPr>
          <w:rFonts w:hint="eastAsia" w:ascii="宋体" w:hAnsi="宋体"/>
          <w:sz w:val="24"/>
          <w:szCs w:val="24"/>
          <w:u w:val="single"/>
        </w:rPr>
      </w:pPr>
      <w:r>
        <w:rPr>
          <w:rFonts w:ascii="宋体" w:hAnsi="宋体"/>
          <w:sz w:val="24"/>
          <w:szCs w:val="24"/>
          <w:u w:val="single"/>
        </w:rPr>
        <w:t>本合同</w:t>
      </w:r>
      <w:r>
        <w:rPr>
          <w:rFonts w:hint="eastAsia" w:ascii="宋体" w:hAnsi="宋体"/>
          <w:sz w:val="24"/>
          <w:szCs w:val="24"/>
          <w:u w:val="single"/>
        </w:rPr>
        <w:t>约定</w:t>
      </w:r>
      <w:r>
        <w:rPr>
          <w:rFonts w:ascii="宋体" w:hAnsi="宋体"/>
          <w:sz w:val="24"/>
          <w:szCs w:val="24"/>
          <w:u w:val="single"/>
        </w:rPr>
        <w:t>的建设工程造价咨询</w:t>
      </w:r>
      <w:r>
        <w:rPr>
          <w:rFonts w:hint="eastAsia" w:ascii="宋体" w:hAnsi="宋体"/>
          <w:sz w:val="24"/>
          <w:szCs w:val="24"/>
          <w:u w:val="single"/>
        </w:rPr>
        <w:t>服务自</w:t>
      </w:r>
      <w:r>
        <w:rPr>
          <w:rFonts w:hint="eastAsia" w:ascii="宋体" w:hAnsi="宋体"/>
          <w:sz w:val="24"/>
          <w:szCs w:val="24"/>
          <w:u w:val="single"/>
          <w:lang w:val="en-US" w:eastAsia="zh-CN"/>
        </w:rPr>
        <w:t xml:space="preserve">  </w:t>
      </w:r>
      <w:r>
        <w:rPr>
          <w:rFonts w:hint="eastAsia" w:ascii="宋体" w:hAnsi="宋体"/>
          <w:sz w:val="24"/>
          <w:szCs w:val="24"/>
          <w:u w:val="single"/>
        </w:rPr>
        <w:t xml:space="preserve">年_ </w:t>
      </w:r>
      <w:r>
        <w:rPr>
          <w:rFonts w:hint="eastAsia" w:ascii="宋体" w:hAnsi="宋体"/>
          <w:sz w:val="24"/>
          <w:szCs w:val="24"/>
          <w:u w:val="single"/>
          <w:lang w:val="en-US" w:eastAsia="zh-CN"/>
        </w:rPr>
        <w:t xml:space="preserve"> </w:t>
      </w:r>
      <w:r>
        <w:rPr>
          <w:rFonts w:hint="eastAsia" w:ascii="宋体" w:hAnsi="宋体"/>
          <w:sz w:val="24"/>
          <w:szCs w:val="24"/>
          <w:u w:val="single"/>
        </w:rPr>
        <w:t xml:space="preserve">月_ </w:t>
      </w:r>
      <w:r>
        <w:rPr>
          <w:rFonts w:hint="eastAsia" w:ascii="宋体" w:hAnsi="宋体"/>
          <w:sz w:val="24"/>
          <w:szCs w:val="24"/>
          <w:u w:val="single"/>
          <w:lang w:val="en-US" w:eastAsia="zh-CN"/>
        </w:rPr>
        <w:t xml:space="preserve"> </w:t>
      </w:r>
      <w:r>
        <w:rPr>
          <w:rFonts w:hint="eastAsia" w:ascii="宋体" w:hAnsi="宋体"/>
          <w:sz w:val="24"/>
          <w:szCs w:val="24"/>
          <w:u w:val="single"/>
        </w:rPr>
        <w:t>_日开始实施，至_</w:t>
      </w:r>
      <w:r>
        <w:rPr>
          <w:rFonts w:hint="eastAsia" w:ascii="宋体" w:hAnsi="宋体"/>
          <w:sz w:val="24"/>
          <w:szCs w:val="24"/>
          <w:u w:val="single"/>
          <w:lang w:val="en-US" w:eastAsia="zh-CN"/>
        </w:rPr>
        <w:t xml:space="preserve">  </w:t>
      </w:r>
      <w:r>
        <w:rPr>
          <w:rFonts w:hint="eastAsia" w:ascii="宋体" w:hAnsi="宋体"/>
          <w:sz w:val="24"/>
          <w:szCs w:val="24"/>
          <w:u w:val="single"/>
        </w:rPr>
        <w:t xml:space="preserve">年_ </w:t>
      </w:r>
      <w:r>
        <w:rPr>
          <w:rFonts w:hint="eastAsia" w:ascii="宋体" w:hAnsi="宋体"/>
          <w:sz w:val="24"/>
          <w:szCs w:val="24"/>
          <w:u w:val="single"/>
          <w:lang w:val="en-US" w:eastAsia="zh-CN"/>
        </w:rPr>
        <w:t xml:space="preserve">  </w:t>
      </w:r>
      <w:r>
        <w:rPr>
          <w:rFonts w:ascii="宋体" w:hAnsi="宋体"/>
          <w:sz w:val="24"/>
          <w:szCs w:val="24"/>
          <w:u w:val="single"/>
        </w:rPr>
        <w:t xml:space="preserve"> </w:t>
      </w:r>
      <w:r>
        <w:rPr>
          <w:rFonts w:hint="eastAsia" w:ascii="宋体" w:hAnsi="宋体"/>
          <w:sz w:val="24"/>
          <w:szCs w:val="24"/>
          <w:u w:val="single"/>
        </w:rPr>
        <w:t xml:space="preserve">月_  </w:t>
      </w:r>
      <w:r>
        <w:rPr>
          <w:rFonts w:hint="eastAsia" w:ascii="宋体" w:hAnsi="宋体"/>
          <w:sz w:val="24"/>
          <w:szCs w:val="24"/>
          <w:u w:val="single"/>
          <w:lang w:val="en-US" w:eastAsia="zh-CN"/>
        </w:rPr>
        <w:t xml:space="preserve">   </w:t>
      </w:r>
      <w:r>
        <w:rPr>
          <w:rFonts w:hint="eastAsia" w:ascii="宋体" w:hAnsi="宋体"/>
          <w:sz w:val="24"/>
          <w:szCs w:val="24"/>
          <w:u w:val="single"/>
        </w:rPr>
        <w:t>_日终结</w:t>
      </w:r>
      <w:r>
        <w:rPr>
          <w:rFonts w:ascii="宋体" w:hAnsi="宋体"/>
          <w:sz w:val="24"/>
          <w:szCs w:val="24"/>
          <w:u w:val="single"/>
        </w:rPr>
        <w:t>。</w:t>
      </w:r>
      <w:bookmarkEnd w:id="495"/>
    </w:p>
    <w:p w14:paraId="276F3946">
      <w:pPr>
        <w:pStyle w:val="30"/>
        <w:spacing w:before="0" w:after="0" w:line="360" w:lineRule="auto"/>
        <w:ind w:firstLine="482" w:firstLineChars="200"/>
        <w:jc w:val="left"/>
        <w:rPr>
          <w:rFonts w:hint="eastAsia" w:ascii="宋体" w:hAnsi="宋体"/>
          <w:szCs w:val="24"/>
          <w:u w:val="single"/>
        </w:rPr>
      </w:pPr>
      <w:bookmarkStart w:id="496" w:name="_Toc422322474"/>
      <w:bookmarkStart w:id="497" w:name="_Toc419045061"/>
      <w:r>
        <w:rPr>
          <w:rFonts w:hint="eastAsia" w:ascii="宋体" w:hAnsi="宋体"/>
          <w:szCs w:val="24"/>
          <w:u w:val="single"/>
        </w:rPr>
        <w:t>四、质量标准</w:t>
      </w:r>
      <w:bookmarkEnd w:id="496"/>
      <w:bookmarkEnd w:id="497"/>
    </w:p>
    <w:p w14:paraId="7C2E0CA5">
      <w:pPr>
        <w:spacing w:line="360" w:lineRule="auto"/>
        <w:ind w:firstLine="480" w:firstLineChars="200"/>
        <w:rPr>
          <w:rFonts w:hint="eastAsia"/>
        </w:rPr>
      </w:pPr>
      <w:r>
        <w:rPr>
          <w:rFonts w:hint="eastAsia"/>
        </w:rPr>
        <w:t>工程造价咨询成果文件应符合：</w:t>
      </w:r>
    </w:p>
    <w:p w14:paraId="1A598219">
      <w:pPr>
        <w:spacing w:line="360" w:lineRule="auto"/>
        <w:ind w:firstLine="480" w:firstLineChars="200"/>
        <w:rPr>
          <w:rFonts w:hint="eastAsia"/>
        </w:rPr>
      </w:pPr>
      <w:r>
        <w:rPr>
          <w:rFonts w:hint="eastAsia" w:cs="Times New Roman"/>
          <w:u w:val="single"/>
        </w:rPr>
        <w:t>《建设工程造价咨询成果文件质量标准》</w:t>
      </w:r>
      <w:r>
        <w:rPr>
          <w:rFonts w:cs="Times New Roman"/>
          <w:u w:val="single"/>
        </w:rPr>
        <w:t>CECA/GC7-2012、审计局审计标准、</w:t>
      </w:r>
      <w:r>
        <w:rPr>
          <w:rFonts w:hint="eastAsia" w:cs="Times New Roman"/>
          <w:u w:val="single"/>
        </w:rPr>
        <w:t>符合造价站的检查要求</w:t>
      </w:r>
      <w:r>
        <w:rPr>
          <w:rFonts w:cs="Times New Roman"/>
          <w:u w:val="single"/>
        </w:rPr>
        <w:t>及其他</w:t>
      </w:r>
      <w:r>
        <w:rPr>
          <w:rFonts w:hint="eastAsia" w:cs="Times New Roman"/>
          <w:u w:val="single"/>
        </w:rPr>
        <w:t>现行的</w:t>
      </w:r>
      <w:r>
        <w:rPr>
          <w:rFonts w:cs="Times New Roman"/>
          <w:u w:val="single"/>
        </w:rPr>
        <w:t>国家、新疆维吾尔自治区</w:t>
      </w:r>
      <w:r>
        <w:rPr>
          <w:rFonts w:hint="eastAsia" w:cs="Times New Roman"/>
          <w:u w:val="single"/>
        </w:rPr>
        <w:t>、《乌鲁木齐市建设工程造价咨询成果文件质量管理办法》</w:t>
      </w:r>
      <w:r>
        <w:rPr>
          <w:rFonts w:cs="Times New Roman"/>
          <w:u w:val="single"/>
        </w:rPr>
        <w:t>及项目所在地相关部门规定的标准和要求</w:t>
      </w:r>
      <w:r>
        <w:rPr>
          <w:rFonts w:hint="eastAsia" w:cs="Times New Roman"/>
          <w:u w:val="single"/>
        </w:rPr>
        <w:t>。</w:t>
      </w:r>
    </w:p>
    <w:p w14:paraId="412A0BEF">
      <w:pPr>
        <w:pStyle w:val="30"/>
        <w:spacing w:before="0" w:after="0" w:line="360" w:lineRule="auto"/>
        <w:ind w:firstLine="482" w:firstLineChars="200"/>
        <w:jc w:val="left"/>
        <w:rPr>
          <w:rFonts w:hint="eastAsia" w:ascii="宋体" w:hAnsi="宋体"/>
          <w:szCs w:val="24"/>
        </w:rPr>
      </w:pPr>
      <w:bookmarkStart w:id="498" w:name="_Toc422322475"/>
      <w:bookmarkStart w:id="499" w:name="_Toc419045062"/>
      <w:bookmarkStart w:id="500" w:name="12"/>
      <w:r>
        <w:rPr>
          <w:rFonts w:hint="eastAsia" w:ascii="宋体" w:hAnsi="宋体"/>
          <w:szCs w:val="24"/>
        </w:rPr>
        <w:t>五、酬金或计取方式</w:t>
      </w:r>
      <w:bookmarkEnd w:id="498"/>
      <w:bookmarkEnd w:id="499"/>
    </w:p>
    <w:p w14:paraId="4308E93E">
      <w:pPr>
        <w:spacing w:line="360" w:lineRule="auto"/>
        <w:ind w:firstLine="240" w:firstLineChars="100"/>
        <w:rPr>
          <w:rFonts w:hint="eastAsia" w:cs="Times New Roman"/>
        </w:rPr>
      </w:pPr>
      <w:r>
        <w:rPr>
          <w:rFonts w:hint="eastAsia" w:cs="Times New Roman"/>
        </w:rPr>
        <w:t xml:space="preserve">  1.酬金：_____</w:t>
      </w:r>
      <w:r>
        <w:rPr>
          <w:rFonts w:hint="eastAsia" w:cs="Times New Roman"/>
          <w:u w:val="single"/>
        </w:rPr>
        <w:t>/</w:t>
      </w:r>
      <w:r>
        <w:rPr>
          <w:rFonts w:hint="eastAsia" w:cs="Times New Roman"/>
        </w:rPr>
        <w:t>_____。</w:t>
      </w:r>
    </w:p>
    <w:p w14:paraId="539B352B">
      <w:pPr>
        <w:spacing w:line="360" w:lineRule="auto"/>
        <w:ind w:firstLine="240" w:firstLineChars="100"/>
        <w:rPr>
          <w:rFonts w:hint="eastAsia" w:cs="Times New Roman"/>
        </w:rPr>
      </w:pPr>
      <w:r>
        <w:rPr>
          <w:rFonts w:hint="eastAsia" w:cs="Times New Roman"/>
        </w:rPr>
        <w:t xml:space="preserve">  2.计取方式：</w:t>
      </w:r>
    </w:p>
    <w:tbl>
      <w:tblPr>
        <w:tblStyle w:val="3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4233"/>
        <w:gridCol w:w="3514"/>
      </w:tblGrid>
      <w:tr w14:paraId="22EDE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458" w:type="pct"/>
            <w:noWrap w:val="0"/>
            <w:vAlign w:val="center"/>
          </w:tcPr>
          <w:p w14:paraId="1B248B6A">
            <w:pPr>
              <w:tabs>
                <w:tab w:val="left" w:pos="9135"/>
              </w:tabs>
              <w:spacing w:line="400" w:lineRule="atLeast"/>
              <w:jc w:val="center"/>
              <w:rPr>
                <w:rFonts w:hint="eastAsia"/>
                <w:sz w:val="21"/>
                <w:szCs w:val="21"/>
              </w:rPr>
            </w:pPr>
            <w:r>
              <w:rPr>
                <w:rFonts w:hint="eastAsia"/>
                <w:sz w:val="21"/>
                <w:szCs w:val="21"/>
              </w:rPr>
              <w:t>序号</w:t>
            </w:r>
          </w:p>
        </w:tc>
        <w:tc>
          <w:tcPr>
            <w:tcW w:w="2481" w:type="pct"/>
            <w:noWrap w:val="0"/>
            <w:vAlign w:val="center"/>
          </w:tcPr>
          <w:p w14:paraId="36A7D7FB">
            <w:pPr>
              <w:tabs>
                <w:tab w:val="left" w:pos="9135"/>
              </w:tabs>
              <w:spacing w:line="400" w:lineRule="atLeast"/>
              <w:jc w:val="center"/>
              <w:rPr>
                <w:rFonts w:hint="eastAsia"/>
                <w:sz w:val="21"/>
                <w:szCs w:val="21"/>
              </w:rPr>
            </w:pPr>
            <w:bookmarkStart w:id="501" w:name="_Hlk21527945"/>
            <w:r>
              <w:rPr>
                <w:rFonts w:hint="eastAsia"/>
                <w:sz w:val="21"/>
                <w:szCs w:val="21"/>
              </w:rPr>
              <w:t>项目名称</w:t>
            </w:r>
          </w:p>
        </w:tc>
        <w:tc>
          <w:tcPr>
            <w:tcW w:w="2059" w:type="pct"/>
            <w:noWrap w:val="0"/>
            <w:vAlign w:val="center"/>
          </w:tcPr>
          <w:p w14:paraId="317E2FAE">
            <w:pPr>
              <w:tabs>
                <w:tab w:val="left" w:pos="9135"/>
              </w:tabs>
              <w:spacing w:line="400" w:lineRule="atLeast"/>
              <w:jc w:val="center"/>
              <w:rPr>
                <w:rFonts w:hint="eastAsia"/>
                <w:sz w:val="21"/>
                <w:szCs w:val="21"/>
              </w:rPr>
            </w:pPr>
            <w:r>
              <w:rPr>
                <w:rFonts w:hint="eastAsia"/>
                <w:sz w:val="21"/>
                <w:szCs w:val="21"/>
              </w:rPr>
              <w:t>计取方式</w:t>
            </w:r>
          </w:p>
        </w:tc>
      </w:tr>
      <w:tr w14:paraId="481AA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40BE0DDE">
            <w:pPr>
              <w:spacing w:line="400" w:lineRule="atLeast"/>
              <w:jc w:val="center"/>
              <w:rPr>
                <w:rFonts w:hint="eastAsia"/>
                <w:sz w:val="21"/>
                <w:szCs w:val="21"/>
              </w:rPr>
            </w:pPr>
            <w:r>
              <w:rPr>
                <w:rFonts w:hint="eastAsia"/>
                <w:sz w:val="21"/>
                <w:szCs w:val="21"/>
              </w:rPr>
              <w:t>1</w:t>
            </w:r>
          </w:p>
        </w:tc>
        <w:tc>
          <w:tcPr>
            <w:tcW w:w="2481" w:type="pct"/>
            <w:noWrap w:val="0"/>
            <w:vAlign w:val="center"/>
          </w:tcPr>
          <w:p w14:paraId="266AA67A">
            <w:pPr>
              <w:spacing w:line="400" w:lineRule="atLeast"/>
              <w:jc w:val="center"/>
              <w:rPr>
                <w:rFonts w:hint="eastAsia"/>
                <w:sz w:val="21"/>
                <w:szCs w:val="21"/>
              </w:rPr>
            </w:pPr>
            <w:r>
              <w:rPr>
                <w:rFonts w:hint="eastAsia"/>
                <w:sz w:val="21"/>
                <w:szCs w:val="21"/>
              </w:rPr>
              <w:t>造价类</w:t>
            </w:r>
          </w:p>
        </w:tc>
        <w:tc>
          <w:tcPr>
            <w:tcW w:w="2059" w:type="pct"/>
            <w:noWrap w:val="0"/>
            <w:vAlign w:val="center"/>
          </w:tcPr>
          <w:p w14:paraId="10E549DF">
            <w:pPr>
              <w:tabs>
                <w:tab w:val="left" w:pos="9135"/>
              </w:tabs>
              <w:spacing w:line="400" w:lineRule="atLeast"/>
              <w:jc w:val="center"/>
              <w:rPr>
                <w:rFonts w:hint="eastAsia"/>
                <w:sz w:val="21"/>
                <w:szCs w:val="21"/>
              </w:rPr>
            </w:pPr>
            <w:r>
              <w:rPr>
                <w:rFonts w:hint="eastAsia"/>
                <w:sz w:val="21"/>
                <w:szCs w:val="21"/>
              </w:rPr>
              <w:t>按中价协【2013】35号文下浮50%</w:t>
            </w:r>
          </w:p>
        </w:tc>
      </w:tr>
      <w:tr w14:paraId="7E766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131EB5D9">
            <w:pPr>
              <w:spacing w:line="400" w:lineRule="atLeast"/>
              <w:jc w:val="center"/>
              <w:rPr>
                <w:rFonts w:hint="eastAsia"/>
                <w:sz w:val="21"/>
                <w:szCs w:val="21"/>
              </w:rPr>
            </w:pPr>
            <w:r>
              <w:rPr>
                <w:rFonts w:hint="eastAsia"/>
                <w:sz w:val="21"/>
                <w:szCs w:val="21"/>
              </w:rPr>
              <w:t>2</w:t>
            </w:r>
          </w:p>
        </w:tc>
        <w:tc>
          <w:tcPr>
            <w:tcW w:w="2481" w:type="pct"/>
            <w:noWrap w:val="0"/>
            <w:vAlign w:val="center"/>
          </w:tcPr>
          <w:p w14:paraId="618792ED">
            <w:pPr>
              <w:spacing w:line="400" w:lineRule="atLeast"/>
              <w:jc w:val="center"/>
              <w:rPr>
                <w:rFonts w:hint="eastAsia"/>
                <w:sz w:val="21"/>
                <w:szCs w:val="21"/>
              </w:rPr>
            </w:pPr>
            <w:r>
              <w:rPr>
                <w:rFonts w:hint="eastAsia"/>
                <w:sz w:val="21"/>
                <w:szCs w:val="21"/>
              </w:rPr>
              <w:t>复核类（送审金额≤200万元）</w:t>
            </w:r>
          </w:p>
        </w:tc>
        <w:tc>
          <w:tcPr>
            <w:tcW w:w="2059" w:type="pct"/>
            <w:noWrap w:val="0"/>
            <w:vAlign w:val="center"/>
          </w:tcPr>
          <w:p w14:paraId="2C9940E3">
            <w:pPr>
              <w:tabs>
                <w:tab w:val="left" w:pos="9135"/>
              </w:tabs>
              <w:spacing w:line="400" w:lineRule="atLeast"/>
              <w:jc w:val="center"/>
              <w:rPr>
                <w:rFonts w:hint="eastAsia"/>
                <w:sz w:val="21"/>
                <w:szCs w:val="21"/>
              </w:rPr>
            </w:pPr>
            <w:r>
              <w:rPr>
                <w:rFonts w:hint="eastAsia"/>
                <w:sz w:val="21"/>
                <w:szCs w:val="21"/>
              </w:rPr>
              <w:t>0</w:t>
            </w:r>
          </w:p>
        </w:tc>
      </w:tr>
      <w:tr w14:paraId="2A0F9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7767F890">
            <w:pPr>
              <w:spacing w:line="400" w:lineRule="atLeast"/>
              <w:jc w:val="center"/>
              <w:rPr>
                <w:rFonts w:hint="eastAsia"/>
                <w:sz w:val="21"/>
                <w:szCs w:val="21"/>
              </w:rPr>
            </w:pPr>
            <w:r>
              <w:rPr>
                <w:rFonts w:hint="eastAsia"/>
                <w:sz w:val="21"/>
                <w:szCs w:val="21"/>
              </w:rPr>
              <w:t>3</w:t>
            </w:r>
          </w:p>
        </w:tc>
        <w:tc>
          <w:tcPr>
            <w:tcW w:w="2481" w:type="pct"/>
            <w:noWrap w:val="0"/>
            <w:vAlign w:val="center"/>
          </w:tcPr>
          <w:p w14:paraId="1F648461">
            <w:pPr>
              <w:spacing w:line="400" w:lineRule="atLeast"/>
              <w:jc w:val="both"/>
              <w:rPr>
                <w:rFonts w:hint="eastAsia"/>
                <w:sz w:val="21"/>
                <w:szCs w:val="21"/>
              </w:rPr>
            </w:pPr>
            <w:r>
              <w:rPr>
                <w:rFonts w:hint="eastAsia"/>
                <w:sz w:val="21"/>
                <w:szCs w:val="21"/>
              </w:rPr>
              <w:t>复核类（送审金额200万-500万(含)）</w:t>
            </w:r>
          </w:p>
        </w:tc>
        <w:tc>
          <w:tcPr>
            <w:tcW w:w="2059" w:type="pct"/>
            <w:noWrap w:val="0"/>
            <w:vAlign w:val="center"/>
          </w:tcPr>
          <w:p w14:paraId="44501642">
            <w:pPr>
              <w:tabs>
                <w:tab w:val="left" w:pos="9135"/>
              </w:tabs>
              <w:spacing w:line="400" w:lineRule="atLeast"/>
              <w:jc w:val="center"/>
              <w:rPr>
                <w:rFonts w:hint="eastAsia"/>
                <w:sz w:val="21"/>
                <w:szCs w:val="21"/>
              </w:rPr>
            </w:pPr>
            <w:r>
              <w:rPr>
                <w:rFonts w:hint="eastAsia"/>
                <w:sz w:val="21"/>
                <w:szCs w:val="21"/>
              </w:rPr>
              <w:t>按中价协【2013】35号文下浮70%</w:t>
            </w:r>
          </w:p>
        </w:tc>
      </w:tr>
      <w:tr w14:paraId="08D58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5BC7B533">
            <w:pPr>
              <w:spacing w:line="400" w:lineRule="atLeast"/>
              <w:jc w:val="center"/>
              <w:rPr>
                <w:rFonts w:hint="eastAsia"/>
                <w:sz w:val="21"/>
                <w:szCs w:val="21"/>
              </w:rPr>
            </w:pPr>
            <w:r>
              <w:rPr>
                <w:rFonts w:hint="eastAsia"/>
                <w:sz w:val="21"/>
                <w:szCs w:val="21"/>
              </w:rPr>
              <w:t>4</w:t>
            </w:r>
          </w:p>
        </w:tc>
        <w:tc>
          <w:tcPr>
            <w:tcW w:w="2481" w:type="pct"/>
            <w:noWrap w:val="0"/>
            <w:vAlign w:val="center"/>
          </w:tcPr>
          <w:p w14:paraId="05C3BEAE">
            <w:pPr>
              <w:spacing w:line="400" w:lineRule="atLeast"/>
              <w:jc w:val="both"/>
              <w:rPr>
                <w:rFonts w:hint="eastAsia"/>
                <w:sz w:val="21"/>
                <w:szCs w:val="21"/>
              </w:rPr>
            </w:pPr>
            <w:r>
              <w:rPr>
                <w:rFonts w:hint="eastAsia"/>
                <w:sz w:val="21"/>
                <w:szCs w:val="21"/>
              </w:rPr>
              <w:t>复核类（送审金额500万-2000万(含)）</w:t>
            </w:r>
          </w:p>
        </w:tc>
        <w:tc>
          <w:tcPr>
            <w:tcW w:w="2059" w:type="pct"/>
            <w:noWrap w:val="0"/>
            <w:vAlign w:val="center"/>
          </w:tcPr>
          <w:p w14:paraId="4FDE2ED1">
            <w:pPr>
              <w:tabs>
                <w:tab w:val="left" w:pos="9135"/>
              </w:tabs>
              <w:spacing w:line="400" w:lineRule="atLeast"/>
              <w:jc w:val="center"/>
              <w:rPr>
                <w:rFonts w:hint="eastAsia"/>
                <w:sz w:val="21"/>
                <w:szCs w:val="21"/>
              </w:rPr>
            </w:pPr>
            <w:r>
              <w:rPr>
                <w:rFonts w:hint="eastAsia"/>
                <w:sz w:val="21"/>
                <w:szCs w:val="21"/>
              </w:rPr>
              <w:t>按中价协【2013】35号文下浮75%</w:t>
            </w:r>
          </w:p>
        </w:tc>
      </w:tr>
      <w:tr w14:paraId="4AADD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4FB6C3F7">
            <w:pPr>
              <w:spacing w:line="400" w:lineRule="atLeast"/>
              <w:jc w:val="center"/>
              <w:rPr>
                <w:rFonts w:hint="eastAsia"/>
                <w:sz w:val="21"/>
                <w:szCs w:val="21"/>
              </w:rPr>
            </w:pPr>
            <w:r>
              <w:rPr>
                <w:rFonts w:hint="eastAsia"/>
                <w:sz w:val="21"/>
                <w:szCs w:val="21"/>
              </w:rPr>
              <w:t>5</w:t>
            </w:r>
          </w:p>
        </w:tc>
        <w:tc>
          <w:tcPr>
            <w:tcW w:w="2481" w:type="pct"/>
            <w:noWrap w:val="0"/>
            <w:vAlign w:val="center"/>
          </w:tcPr>
          <w:p w14:paraId="38D00CF4">
            <w:pPr>
              <w:spacing w:line="400" w:lineRule="atLeast"/>
              <w:jc w:val="both"/>
              <w:rPr>
                <w:rFonts w:hint="eastAsia"/>
                <w:sz w:val="21"/>
                <w:szCs w:val="21"/>
              </w:rPr>
            </w:pPr>
            <w:r>
              <w:rPr>
                <w:rFonts w:hint="eastAsia"/>
                <w:sz w:val="21"/>
                <w:szCs w:val="21"/>
              </w:rPr>
              <w:t>复核类（送审金额2000万-5000万(含)）</w:t>
            </w:r>
          </w:p>
        </w:tc>
        <w:tc>
          <w:tcPr>
            <w:tcW w:w="2059" w:type="pct"/>
            <w:noWrap w:val="0"/>
            <w:vAlign w:val="center"/>
          </w:tcPr>
          <w:p w14:paraId="55C497EA">
            <w:pPr>
              <w:tabs>
                <w:tab w:val="left" w:pos="9135"/>
              </w:tabs>
              <w:spacing w:line="400" w:lineRule="atLeast"/>
              <w:jc w:val="center"/>
              <w:rPr>
                <w:rFonts w:hint="eastAsia"/>
                <w:sz w:val="21"/>
                <w:szCs w:val="21"/>
              </w:rPr>
            </w:pPr>
            <w:r>
              <w:rPr>
                <w:rFonts w:hint="eastAsia"/>
                <w:sz w:val="21"/>
                <w:szCs w:val="21"/>
              </w:rPr>
              <w:t>按中价协【2013】35号文下浮80%</w:t>
            </w:r>
          </w:p>
        </w:tc>
      </w:tr>
      <w:tr w14:paraId="7599B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4B6F00D2">
            <w:pPr>
              <w:spacing w:line="400" w:lineRule="atLeast"/>
              <w:jc w:val="center"/>
              <w:rPr>
                <w:rFonts w:hint="eastAsia"/>
                <w:sz w:val="21"/>
                <w:szCs w:val="21"/>
              </w:rPr>
            </w:pPr>
            <w:r>
              <w:rPr>
                <w:rFonts w:hint="eastAsia"/>
                <w:sz w:val="21"/>
                <w:szCs w:val="21"/>
              </w:rPr>
              <w:t>6</w:t>
            </w:r>
          </w:p>
        </w:tc>
        <w:tc>
          <w:tcPr>
            <w:tcW w:w="2481" w:type="pct"/>
            <w:noWrap w:val="0"/>
            <w:vAlign w:val="center"/>
          </w:tcPr>
          <w:p w14:paraId="7C2E9F98">
            <w:pPr>
              <w:spacing w:line="400" w:lineRule="atLeast"/>
              <w:jc w:val="both"/>
              <w:rPr>
                <w:rFonts w:hint="eastAsia"/>
                <w:sz w:val="21"/>
                <w:szCs w:val="21"/>
              </w:rPr>
            </w:pPr>
            <w:r>
              <w:rPr>
                <w:rFonts w:hint="eastAsia"/>
                <w:sz w:val="21"/>
                <w:szCs w:val="21"/>
              </w:rPr>
              <w:t>复核类（送审金额5000万-10000万(含)）</w:t>
            </w:r>
          </w:p>
        </w:tc>
        <w:tc>
          <w:tcPr>
            <w:tcW w:w="2059" w:type="pct"/>
            <w:noWrap w:val="0"/>
            <w:vAlign w:val="center"/>
          </w:tcPr>
          <w:p w14:paraId="24CB67B0">
            <w:pPr>
              <w:tabs>
                <w:tab w:val="left" w:pos="9135"/>
              </w:tabs>
              <w:spacing w:line="400" w:lineRule="atLeast"/>
              <w:jc w:val="center"/>
              <w:rPr>
                <w:rFonts w:hint="eastAsia"/>
                <w:sz w:val="21"/>
                <w:szCs w:val="21"/>
              </w:rPr>
            </w:pPr>
            <w:r>
              <w:rPr>
                <w:rFonts w:hint="eastAsia"/>
                <w:sz w:val="21"/>
                <w:szCs w:val="21"/>
              </w:rPr>
              <w:t>按中价协【2013】35号文下浮85%</w:t>
            </w:r>
          </w:p>
        </w:tc>
      </w:tr>
      <w:bookmarkEnd w:id="501"/>
    </w:tbl>
    <w:p w14:paraId="31F44FB1">
      <w:pPr>
        <w:spacing w:line="360" w:lineRule="auto"/>
        <w:ind w:firstLine="240" w:firstLineChars="100"/>
        <w:rPr>
          <w:rFonts w:hint="eastAsia" w:cs="Times New Roman"/>
        </w:rPr>
      </w:pPr>
    </w:p>
    <w:p w14:paraId="27C464E5">
      <w:pPr>
        <w:spacing w:line="360" w:lineRule="auto"/>
        <w:ind w:firstLine="480" w:firstLineChars="200"/>
        <w:rPr>
          <w:rFonts w:hint="eastAsia"/>
          <w:bCs/>
          <w:smallCaps/>
        </w:rPr>
      </w:pPr>
      <w:r>
        <w:rPr>
          <w:rFonts w:hint="eastAsia"/>
          <w:bCs/>
          <w:smallCaps/>
        </w:rPr>
        <w:t xml:space="preserve"> 酬金或计取方式详见附录A。</w:t>
      </w:r>
    </w:p>
    <w:p w14:paraId="573D1F8E">
      <w:pPr>
        <w:spacing w:line="360" w:lineRule="auto"/>
        <w:ind w:firstLine="480" w:firstLineChars="200"/>
        <w:rPr>
          <w:rFonts w:hint="eastAsia"/>
          <w:bCs/>
          <w:smallCaps/>
          <w:color w:val="FF0000"/>
        </w:rPr>
      </w:pPr>
      <w:r>
        <w:rPr>
          <w:rFonts w:hint="eastAsia"/>
          <w:bCs/>
          <w:smallCaps/>
          <w:color w:val="FF0000"/>
        </w:rPr>
        <w:t>双方明确，上述</w:t>
      </w:r>
      <w:r>
        <w:rPr>
          <w:rFonts w:hint="eastAsia"/>
          <w:bCs/>
          <w:smallCaps/>
          <w:color w:val="FF0000"/>
          <w:lang w:val="en-US" w:eastAsia="zh-CN"/>
        </w:rPr>
        <w:t>计算最终结算价</w:t>
      </w:r>
      <w:r>
        <w:rPr>
          <w:rFonts w:hint="eastAsia"/>
          <w:bCs/>
          <w:smallCaps/>
          <w:color w:val="FF0000"/>
        </w:rPr>
        <w:t>为乙方完成全部造价咨询所包含的全部费用和款项，除该费用外，乙方不得再向甲方主张其他任何费用和款项。</w:t>
      </w:r>
    </w:p>
    <w:p w14:paraId="3EA81A2A">
      <w:pPr>
        <w:pStyle w:val="91"/>
        <w:spacing w:line="360" w:lineRule="auto"/>
        <w:ind w:left="482"/>
        <w:jc w:val="left"/>
        <w:rPr>
          <w:rFonts w:hint="eastAsia" w:ascii="宋体" w:hAnsi="宋体"/>
          <w:sz w:val="24"/>
          <w:szCs w:val="24"/>
        </w:rPr>
      </w:pPr>
      <w:bookmarkStart w:id="502" w:name="_Toc419045058"/>
      <w:bookmarkStart w:id="503" w:name="_Toc422322476"/>
      <w:r>
        <w:rPr>
          <w:rStyle w:val="93"/>
          <w:rFonts w:hint="eastAsia" w:ascii="宋体" w:hAnsi="宋体"/>
          <w:szCs w:val="24"/>
        </w:rPr>
        <w:t>六、合同文件的构成</w:t>
      </w:r>
      <w:bookmarkEnd w:id="502"/>
      <w:bookmarkEnd w:id="503"/>
      <w:r>
        <w:rPr>
          <w:rFonts w:ascii="宋体" w:hAnsi="宋体"/>
          <w:sz w:val="24"/>
          <w:szCs w:val="24"/>
        </w:rPr>
        <w:br w:type="textWrapping"/>
      </w:r>
      <w:r>
        <w:rPr>
          <w:rFonts w:hint="eastAsia" w:ascii="宋体" w:hAnsi="宋体"/>
          <w:sz w:val="24"/>
          <w:szCs w:val="24"/>
        </w:rPr>
        <w:t>本协议书与下列文件一起构成合同文件:</w:t>
      </w:r>
    </w:p>
    <w:p w14:paraId="1C80A0A2">
      <w:pPr>
        <w:pStyle w:val="91"/>
        <w:spacing w:line="360" w:lineRule="auto"/>
        <w:ind w:left="481"/>
        <w:jc w:val="left"/>
        <w:rPr>
          <w:rFonts w:hint="eastAsia" w:ascii="宋体" w:hAnsi="宋体"/>
          <w:sz w:val="24"/>
          <w:szCs w:val="24"/>
        </w:rPr>
      </w:pPr>
      <w:r>
        <w:rPr>
          <w:rFonts w:hint="eastAsia" w:ascii="宋体" w:hAnsi="宋体"/>
          <w:sz w:val="24"/>
          <w:szCs w:val="24"/>
        </w:rPr>
        <w:t>1.中标通知书；</w:t>
      </w:r>
    </w:p>
    <w:p w14:paraId="3437E66B">
      <w:pPr>
        <w:pStyle w:val="91"/>
        <w:spacing w:line="360" w:lineRule="auto"/>
        <w:ind w:left="481"/>
        <w:jc w:val="left"/>
        <w:rPr>
          <w:rFonts w:hint="eastAsia" w:ascii="宋体" w:hAnsi="宋体"/>
          <w:sz w:val="24"/>
          <w:szCs w:val="24"/>
        </w:rPr>
      </w:pPr>
      <w:r>
        <w:rPr>
          <w:rFonts w:hint="eastAsia" w:ascii="宋体" w:hAnsi="宋体"/>
          <w:sz w:val="24"/>
          <w:szCs w:val="24"/>
        </w:rPr>
        <w:t>2.投标函及投标函附录或造价咨询服务建议书（如果有）；</w:t>
      </w:r>
    </w:p>
    <w:p w14:paraId="491A1BB7">
      <w:pPr>
        <w:pStyle w:val="91"/>
        <w:spacing w:line="360" w:lineRule="auto"/>
        <w:ind w:left="481"/>
        <w:jc w:val="left"/>
        <w:rPr>
          <w:rFonts w:hint="eastAsia" w:ascii="宋体" w:hAnsi="宋体"/>
          <w:sz w:val="24"/>
          <w:szCs w:val="24"/>
        </w:rPr>
      </w:pPr>
      <w:r>
        <w:rPr>
          <w:rFonts w:hint="eastAsia" w:ascii="宋体" w:hAnsi="宋体"/>
          <w:sz w:val="24"/>
          <w:szCs w:val="24"/>
        </w:rPr>
        <w:t>3.专用条件及附录；</w:t>
      </w:r>
    </w:p>
    <w:p w14:paraId="6A5BADF4">
      <w:pPr>
        <w:pStyle w:val="91"/>
        <w:spacing w:line="360" w:lineRule="auto"/>
        <w:ind w:left="481"/>
        <w:jc w:val="left"/>
        <w:rPr>
          <w:rFonts w:hint="eastAsia" w:ascii="宋体" w:hAnsi="宋体"/>
          <w:sz w:val="24"/>
          <w:szCs w:val="24"/>
        </w:rPr>
      </w:pPr>
      <w:r>
        <w:rPr>
          <w:rFonts w:hint="eastAsia" w:ascii="宋体" w:hAnsi="宋体"/>
          <w:sz w:val="24"/>
          <w:szCs w:val="24"/>
        </w:rPr>
        <w:t>4.通用条件；</w:t>
      </w:r>
    </w:p>
    <w:p w14:paraId="0F62ABBF">
      <w:pPr>
        <w:pStyle w:val="91"/>
        <w:spacing w:line="360" w:lineRule="auto"/>
        <w:ind w:left="481"/>
        <w:jc w:val="left"/>
        <w:rPr>
          <w:rFonts w:hint="eastAsia" w:ascii="宋体" w:hAnsi="宋体"/>
          <w:sz w:val="24"/>
          <w:szCs w:val="24"/>
        </w:rPr>
      </w:pPr>
      <w:r>
        <w:rPr>
          <w:rFonts w:hint="eastAsia" w:ascii="宋体" w:hAnsi="宋体"/>
          <w:sz w:val="24"/>
          <w:szCs w:val="24"/>
        </w:rPr>
        <w:t>5.其他合同文件。</w:t>
      </w:r>
    </w:p>
    <w:p w14:paraId="0C1E335A">
      <w:pPr>
        <w:pStyle w:val="91"/>
        <w:spacing w:line="360" w:lineRule="auto"/>
        <w:ind w:firstLine="480" w:firstLineChars="200"/>
        <w:jc w:val="left"/>
        <w:rPr>
          <w:rFonts w:hint="eastAsia" w:ascii="宋体" w:hAnsi="宋体"/>
          <w:sz w:val="24"/>
          <w:szCs w:val="24"/>
        </w:rPr>
      </w:pPr>
      <w:r>
        <w:rPr>
          <w:rFonts w:ascii="宋体" w:hAnsi="宋体"/>
          <w:sz w:val="24"/>
          <w:szCs w:val="24"/>
        </w:rPr>
        <w:t>上述各项合同文件包括合同当事人就该项合同文件所作出的补充和修改</w:t>
      </w:r>
      <w:r>
        <w:rPr>
          <w:rFonts w:hint="eastAsia" w:ascii="宋体" w:hAnsi="宋体"/>
          <w:sz w:val="24"/>
          <w:szCs w:val="24"/>
        </w:rPr>
        <w:t>，</w:t>
      </w:r>
      <w:r>
        <w:rPr>
          <w:rFonts w:ascii="宋体" w:hAnsi="宋体"/>
          <w:sz w:val="24"/>
          <w:szCs w:val="24"/>
        </w:rPr>
        <w:t>属于同一类内容的文件，应以最新签署的为准。</w:t>
      </w:r>
    </w:p>
    <w:p w14:paraId="575F3268">
      <w:pPr>
        <w:pStyle w:val="91"/>
        <w:spacing w:line="360" w:lineRule="auto"/>
        <w:ind w:firstLine="480" w:firstLineChars="200"/>
        <w:jc w:val="left"/>
        <w:rPr>
          <w:rFonts w:hint="eastAsia" w:ascii="宋体" w:hAnsi="宋体"/>
          <w:sz w:val="24"/>
          <w:szCs w:val="24"/>
        </w:rPr>
      </w:pPr>
      <w:r>
        <w:rPr>
          <w:rFonts w:hint="eastAsia" w:ascii="宋体" w:hAnsi="宋体"/>
          <w:sz w:val="24"/>
          <w:szCs w:val="24"/>
        </w:rPr>
        <w:t>在合同订立及履行过程中形成的与合同有关的文件（包括补充协议）均构</w:t>
      </w:r>
    </w:p>
    <w:p w14:paraId="4F1FC169">
      <w:pPr>
        <w:spacing w:line="360" w:lineRule="auto"/>
        <w:rPr>
          <w:rFonts w:hint="eastAsia"/>
          <w:bCs/>
          <w:smallCaps/>
        </w:rPr>
      </w:pPr>
      <w:r>
        <w:rPr>
          <w:rFonts w:hint="eastAsia"/>
        </w:rPr>
        <w:t>成合同文件的组成部分。</w:t>
      </w:r>
    </w:p>
    <w:p w14:paraId="65B81FE3">
      <w:pPr>
        <w:pStyle w:val="30"/>
        <w:spacing w:before="0" w:after="0" w:line="360" w:lineRule="auto"/>
        <w:ind w:firstLine="482" w:firstLineChars="200"/>
        <w:jc w:val="left"/>
        <w:rPr>
          <w:rStyle w:val="93"/>
          <w:rFonts w:hint="eastAsia" w:ascii="宋体" w:hAnsi="宋体"/>
          <w:b/>
          <w:bCs w:val="0"/>
          <w:szCs w:val="24"/>
        </w:rPr>
      </w:pPr>
      <w:bookmarkStart w:id="504" w:name="_Toc419045057"/>
      <w:bookmarkStart w:id="505" w:name="_Toc422322477"/>
      <w:r>
        <w:rPr>
          <w:rStyle w:val="93"/>
          <w:rFonts w:hint="eastAsia" w:ascii="宋体" w:hAnsi="宋体"/>
          <w:b/>
          <w:bCs w:val="0"/>
          <w:szCs w:val="24"/>
        </w:rPr>
        <w:t>七、</w:t>
      </w:r>
      <w:bookmarkStart w:id="506" w:name="8"/>
      <w:r>
        <w:rPr>
          <w:rStyle w:val="93"/>
          <w:rFonts w:hint="eastAsia" w:ascii="宋体" w:hAnsi="宋体"/>
          <w:b/>
          <w:bCs w:val="0"/>
          <w:szCs w:val="24"/>
        </w:rPr>
        <w:t>词语</w:t>
      </w:r>
      <w:bookmarkEnd w:id="504"/>
      <w:r>
        <w:rPr>
          <w:rStyle w:val="93"/>
          <w:rFonts w:hint="eastAsia" w:ascii="宋体" w:hAnsi="宋体"/>
          <w:b/>
          <w:bCs w:val="0"/>
          <w:szCs w:val="24"/>
        </w:rPr>
        <w:t>定义</w:t>
      </w:r>
      <w:bookmarkEnd w:id="505"/>
    </w:p>
    <w:p w14:paraId="1257B087">
      <w:pPr>
        <w:spacing w:line="360" w:lineRule="auto"/>
        <w:ind w:firstLine="480" w:firstLineChars="200"/>
        <w:rPr>
          <w:rFonts w:hint="eastAsia"/>
        </w:rPr>
      </w:pPr>
      <w:r>
        <w:rPr>
          <w:rFonts w:hint="eastAsia" w:cs="Times New Roman"/>
        </w:rPr>
        <w:t>协议书中相关词语的含义与通用条件中的定义与解释相同。</w:t>
      </w:r>
      <w:bookmarkEnd w:id="506"/>
    </w:p>
    <w:p w14:paraId="40C65240">
      <w:pPr>
        <w:pStyle w:val="30"/>
        <w:spacing w:before="0" w:after="0" w:line="360" w:lineRule="auto"/>
        <w:ind w:firstLine="482" w:firstLineChars="200"/>
        <w:jc w:val="left"/>
        <w:rPr>
          <w:rFonts w:hint="eastAsia" w:ascii="宋体" w:hAnsi="宋体"/>
          <w:szCs w:val="24"/>
        </w:rPr>
      </w:pPr>
      <w:bookmarkStart w:id="507" w:name="_Toc422322478"/>
      <w:bookmarkStart w:id="508" w:name="_Toc419045063"/>
      <w:r>
        <w:rPr>
          <w:rFonts w:hint="eastAsia" w:ascii="宋体" w:hAnsi="宋体"/>
          <w:szCs w:val="24"/>
        </w:rPr>
        <w:t>八、合同订立</w:t>
      </w:r>
      <w:bookmarkEnd w:id="507"/>
      <w:bookmarkEnd w:id="508"/>
    </w:p>
    <w:p w14:paraId="437DED63">
      <w:pPr>
        <w:pStyle w:val="91"/>
        <w:spacing w:line="360" w:lineRule="auto"/>
        <w:ind w:firstLine="480" w:firstLineChars="200"/>
        <w:rPr>
          <w:rFonts w:ascii="宋体" w:hAnsi="宋体"/>
          <w:sz w:val="24"/>
          <w:szCs w:val="24"/>
        </w:rPr>
      </w:pPr>
      <w:r>
        <w:rPr>
          <w:rFonts w:hint="eastAsia" w:ascii="宋体" w:hAnsi="宋体"/>
          <w:sz w:val="24"/>
          <w:szCs w:val="24"/>
        </w:rPr>
        <w:t>1.订立时间：___</w:t>
      </w:r>
      <w:r>
        <w:rPr>
          <w:rFonts w:hint="eastAsia" w:ascii="宋体" w:hAnsi="宋体"/>
          <w:sz w:val="24"/>
          <w:szCs w:val="24"/>
          <w:u w:val="single"/>
        </w:rPr>
        <w:t>20</w:t>
      </w:r>
      <w:r>
        <w:rPr>
          <w:rFonts w:ascii="宋体" w:hAnsi="宋体"/>
          <w:sz w:val="24"/>
          <w:szCs w:val="24"/>
          <w:u w:val="single"/>
        </w:rPr>
        <w:t>2</w:t>
      </w:r>
      <w:r>
        <w:rPr>
          <w:rFonts w:hint="eastAsia" w:ascii="宋体" w:hAnsi="宋体"/>
          <w:sz w:val="24"/>
          <w:szCs w:val="24"/>
          <w:u w:val="single"/>
          <w:lang w:val="en-US" w:eastAsia="zh-CN"/>
        </w:rPr>
        <w:t>4</w:t>
      </w:r>
      <w:r>
        <w:rPr>
          <w:rFonts w:hint="eastAsia" w:ascii="宋体" w:hAnsi="宋体"/>
          <w:sz w:val="24"/>
          <w:szCs w:val="24"/>
        </w:rPr>
        <w:t>___年_____月_____日。</w:t>
      </w:r>
    </w:p>
    <w:p w14:paraId="5B353A11">
      <w:pPr>
        <w:pStyle w:val="91"/>
        <w:spacing w:line="360" w:lineRule="auto"/>
        <w:ind w:firstLine="480" w:firstLineChars="200"/>
        <w:rPr>
          <w:rFonts w:hint="eastAsia" w:ascii="宋体" w:hAnsi="宋体"/>
          <w:sz w:val="24"/>
          <w:szCs w:val="24"/>
        </w:rPr>
      </w:pPr>
      <w:r>
        <w:rPr>
          <w:rFonts w:hint="eastAsia" w:ascii="宋体" w:hAnsi="宋体"/>
          <w:sz w:val="24"/>
          <w:szCs w:val="24"/>
        </w:rPr>
        <w:t>2.订立地点：__</w:t>
      </w:r>
      <w:r>
        <w:rPr>
          <w:rFonts w:hint="eastAsia" w:ascii="宋体" w:hAnsi="宋体"/>
          <w:sz w:val="24"/>
          <w:szCs w:val="24"/>
          <w:u w:val="single"/>
        </w:rPr>
        <w:t>乌鲁木齐市</w:t>
      </w:r>
      <w:r>
        <w:rPr>
          <w:rFonts w:hint="eastAsia" w:ascii="宋体" w:hAnsi="宋体"/>
          <w:sz w:val="24"/>
          <w:szCs w:val="24"/>
        </w:rPr>
        <w:t>_________________。</w:t>
      </w:r>
    </w:p>
    <w:p w14:paraId="7A94A5C6">
      <w:pPr>
        <w:pStyle w:val="30"/>
        <w:spacing w:before="0" w:after="0" w:line="360" w:lineRule="auto"/>
        <w:ind w:firstLine="482" w:firstLineChars="200"/>
        <w:jc w:val="left"/>
        <w:rPr>
          <w:rFonts w:hint="eastAsia" w:ascii="宋体" w:hAnsi="宋体"/>
          <w:szCs w:val="24"/>
        </w:rPr>
      </w:pPr>
      <w:bookmarkStart w:id="509" w:name="_Toc422322479"/>
      <w:bookmarkStart w:id="510" w:name="_Toc419045064"/>
      <w:r>
        <w:rPr>
          <w:rFonts w:hint="eastAsia" w:ascii="宋体" w:hAnsi="宋体"/>
          <w:szCs w:val="24"/>
        </w:rPr>
        <w:t>九、合同生效</w:t>
      </w:r>
      <w:bookmarkEnd w:id="509"/>
      <w:bookmarkEnd w:id="510"/>
    </w:p>
    <w:p w14:paraId="0BCE0C78">
      <w:pPr>
        <w:pStyle w:val="91"/>
        <w:spacing w:line="360" w:lineRule="auto"/>
        <w:ind w:firstLine="480" w:firstLineChars="200"/>
        <w:rPr>
          <w:rFonts w:hint="eastAsia" w:ascii="宋体" w:hAnsi="宋体"/>
          <w:sz w:val="24"/>
          <w:szCs w:val="24"/>
        </w:rPr>
      </w:pPr>
      <w:r>
        <w:rPr>
          <w:rFonts w:hint="eastAsia" w:ascii="宋体" w:hAnsi="宋体"/>
          <w:sz w:val="24"/>
          <w:szCs w:val="24"/>
        </w:rPr>
        <w:t>本合同自</w:t>
      </w:r>
      <w:r>
        <w:rPr>
          <w:rFonts w:hint="eastAsia" w:ascii="宋体" w:hAnsi="宋体"/>
          <w:sz w:val="24"/>
          <w:szCs w:val="24"/>
          <w:u w:val="single"/>
        </w:rPr>
        <w:t>双方</w:t>
      </w:r>
      <w:r>
        <w:rPr>
          <w:rFonts w:hint="eastAsia" w:ascii="宋体" w:hAnsi="宋体"/>
          <w:color w:val="FF0000"/>
          <w:sz w:val="24"/>
          <w:szCs w:val="24"/>
          <w:u w:val="single"/>
          <w:lang w:val="en-US" w:eastAsia="zh-CN"/>
        </w:rPr>
        <w:t>法定代表人或授权代表</w:t>
      </w:r>
      <w:r>
        <w:rPr>
          <w:rFonts w:hint="eastAsia" w:ascii="宋体" w:hAnsi="宋体"/>
          <w:sz w:val="24"/>
          <w:szCs w:val="24"/>
          <w:u w:val="single"/>
        </w:rPr>
        <w:t>签字盖章之日</w:t>
      </w:r>
      <w:r>
        <w:rPr>
          <w:rFonts w:hint="eastAsia" w:ascii="宋体" w:hAnsi="宋体"/>
          <w:sz w:val="24"/>
          <w:szCs w:val="24"/>
        </w:rPr>
        <w:t>生效。</w:t>
      </w:r>
    </w:p>
    <w:p w14:paraId="57ED399A">
      <w:pPr>
        <w:pStyle w:val="30"/>
        <w:spacing w:before="0" w:after="0" w:line="360" w:lineRule="auto"/>
        <w:ind w:firstLine="482" w:firstLineChars="200"/>
        <w:jc w:val="left"/>
        <w:rPr>
          <w:rFonts w:hint="eastAsia" w:ascii="宋体" w:hAnsi="宋体"/>
          <w:szCs w:val="24"/>
        </w:rPr>
      </w:pPr>
      <w:bookmarkStart w:id="511" w:name="_Toc422322480"/>
      <w:bookmarkStart w:id="512" w:name="_Toc419045065"/>
      <w:r>
        <w:rPr>
          <w:rFonts w:hint="eastAsia" w:ascii="宋体" w:hAnsi="宋体"/>
          <w:szCs w:val="24"/>
        </w:rPr>
        <w:t>十、合同份数</w:t>
      </w:r>
      <w:bookmarkEnd w:id="511"/>
      <w:bookmarkEnd w:id="512"/>
    </w:p>
    <w:p w14:paraId="1E061B41">
      <w:pPr>
        <w:pStyle w:val="91"/>
        <w:spacing w:line="360" w:lineRule="auto"/>
        <w:ind w:firstLine="480" w:firstLineChars="200"/>
        <w:rPr>
          <w:rFonts w:hint="eastAsia" w:ascii="宋体" w:hAnsi="宋体"/>
          <w:sz w:val="24"/>
          <w:szCs w:val="24"/>
        </w:rPr>
      </w:pPr>
      <w:r>
        <w:rPr>
          <w:rFonts w:hint="eastAsia" w:ascii="宋体" w:hAnsi="宋体"/>
          <w:sz w:val="24"/>
          <w:szCs w:val="24"/>
        </w:rPr>
        <w:t>本合同一式_</w:t>
      </w:r>
      <w:r>
        <w:rPr>
          <w:rFonts w:hint="eastAsia" w:ascii="宋体" w:hAnsi="宋体"/>
          <w:sz w:val="24"/>
          <w:szCs w:val="24"/>
          <w:u w:val="single"/>
        </w:rPr>
        <w:t>陆</w:t>
      </w:r>
      <w:r>
        <w:rPr>
          <w:rFonts w:hint="eastAsia" w:ascii="宋体" w:hAnsi="宋体"/>
          <w:sz w:val="24"/>
          <w:szCs w:val="24"/>
        </w:rPr>
        <w:t>_份，具有同等法律效力，其中委托人执_</w:t>
      </w:r>
      <w:r>
        <w:rPr>
          <w:rFonts w:hint="eastAsia" w:ascii="宋体" w:hAnsi="宋体"/>
          <w:sz w:val="24"/>
          <w:szCs w:val="24"/>
          <w:u w:val="single"/>
        </w:rPr>
        <w:t>肆</w:t>
      </w:r>
      <w:r>
        <w:rPr>
          <w:rFonts w:hint="eastAsia" w:ascii="宋体" w:hAnsi="宋体"/>
          <w:sz w:val="24"/>
          <w:szCs w:val="24"/>
        </w:rPr>
        <w:t>_份，咨询人执_</w:t>
      </w:r>
      <w:r>
        <w:rPr>
          <w:rFonts w:hint="eastAsia" w:ascii="宋体" w:hAnsi="宋体"/>
          <w:sz w:val="24"/>
          <w:szCs w:val="24"/>
          <w:u w:val="single"/>
        </w:rPr>
        <w:t>_贰</w:t>
      </w:r>
      <w:r>
        <w:rPr>
          <w:rFonts w:hint="eastAsia" w:ascii="宋体" w:hAnsi="宋体"/>
          <w:sz w:val="24"/>
          <w:szCs w:val="24"/>
        </w:rPr>
        <w:t>_份。</w:t>
      </w:r>
    </w:p>
    <w:bookmarkEnd w:id="500"/>
    <w:p w14:paraId="27B147F4">
      <w:pPr>
        <w:pStyle w:val="91"/>
        <w:spacing w:line="360" w:lineRule="auto"/>
        <w:ind w:firstLine="480" w:firstLineChars="200"/>
        <w:rPr>
          <w:rFonts w:ascii="宋体" w:hAnsi="宋体"/>
          <w:sz w:val="24"/>
          <w:szCs w:val="24"/>
        </w:rPr>
      </w:pPr>
      <w:bookmarkStart w:id="513" w:name="_Toc419045066"/>
      <w:bookmarkStart w:id="514" w:name="_Toc422322481"/>
    </w:p>
    <w:p w14:paraId="347DC74A">
      <w:pPr>
        <w:pStyle w:val="91"/>
        <w:spacing w:line="360" w:lineRule="auto"/>
        <w:ind w:firstLine="480" w:firstLineChars="200"/>
        <w:rPr>
          <w:rFonts w:ascii="宋体" w:hAnsi="宋体"/>
          <w:sz w:val="24"/>
          <w:szCs w:val="24"/>
        </w:rPr>
      </w:pPr>
    </w:p>
    <w:p w14:paraId="27A44A52">
      <w:pPr>
        <w:pStyle w:val="91"/>
        <w:spacing w:line="360" w:lineRule="auto"/>
        <w:ind w:firstLine="480" w:firstLineChars="200"/>
        <w:rPr>
          <w:rFonts w:hint="eastAsia" w:ascii="宋体" w:hAnsi="宋体"/>
          <w:sz w:val="24"/>
          <w:szCs w:val="24"/>
        </w:rPr>
      </w:pPr>
      <w:r>
        <w:rPr>
          <w:rFonts w:hint="eastAsia" w:ascii="宋体" w:hAnsi="宋体"/>
          <w:sz w:val="24"/>
          <w:szCs w:val="24"/>
        </w:rPr>
        <w:t xml:space="preserve">委 托 人：___________（盖章）       咨 询 人：___________（盖章） </w:t>
      </w:r>
      <w:r>
        <w:rPr>
          <w:rFonts w:hint="eastAsia" w:ascii="宋体" w:hAnsi="宋体"/>
          <w:sz w:val="24"/>
          <w:szCs w:val="24"/>
        </w:rPr>
        <w:br w:type="textWrapping"/>
      </w:r>
      <w:r>
        <w:rPr>
          <w:rFonts w:hint="eastAsia" w:ascii="宋体" w:hAnsi="宋体"/>
          <w:sz w:val="24"/>
          <w:szCs w:val="24"/>
        </w:rPr>
        <w:t xml:space="preserve">    法定代表人或其授权的                法定代表人或其授权的</w:t>
      </w:r>
    </w:p>
    <w:p w14:paraId="037940F4">
      <w:pPr>
        <w:pStyle w:val="91"/>
        <w:spacing w:line="360" w:lineRule="auto"/>
        <w:ind w:right="-1757" w:rightChars="-732" w:firstLine="480"/>
        <w:jc w:val="left"/>
        <w:rPr>
          <w:rFonts w:hint="eastAsia" w:ascii="宋体" w:hAnsi="宋体" w:eastAsia="宋体"/>
          <w:sz w:val="24"/>
          <w:szCs w:val="24"/>
          <w:lang w:eastAsia="zh-CN"/>
        </w:rPr>
      </w:pPr>
      <w:r>
        <w:rPr>
          <w:rFonts w:hint="eastAsia" w:ascii="宋体" w:hAnsi="宋体"/>
          <w:sz w:val="24"/>
          <w:szCs w:val="24"/>
        </w:rPr>
        <w:t xml:space="preserve">代理人：_________（签字）           代理人：_________（签字）         </w:t>
      </w:r>
      <w:r>
        <w:rPr>
          <w:rFonts w:hint="eastAsia" w:ascii="宋体" w:hAnsi="宋体"/>
          <w:sz w:val="24"/>
          <w:szCs w:val="24"/>
        </w:rPr>
        <w:br w:type="textWrapping"/>
      </w:r>
      <w:r>
        <w:rPr>
          <w:rFonts w:hint="eastAsia" w:ascii="宋体" w:hAnsi="宋体"/>
          <w:sz w:val="24"/>
          <w:szCs w:val="24"/>
        </w:rPr>
        <w:t xml:space="preserve">    组织机构代码：</w:t>
      </w:r>
      <w:r>
        <w:rPr>
          <w:rFonts w:hint="eastAsia" w:ascii="宋体" w:hAnsi="宋体"/>
          <w:sz w:val="24"/>
          <w:szCs w:val="24"/>
          <w:lang w:val="en-US" w:eastAsia="zh-CN"/>
        </w:rPr>
        <w:t xml:space="preserve">                  </w:t>
      </w:r>
      <w:r>
        <w:rPr>
          <w:rFonts w:hint="eastAsia" w:ascii="宋体" w:hAnsi="宋体"/>
          <w:sz w:val="24"/>
          <w:szCs w:val="24"/>
        </w:rPr>
        <w:t xml:space="preserve">    组织机构代码：</w:t>
      </w:r>
      <w:r>
        <w:rPr>
          <w:rFonts w:hint="eastAsia" w:ascii="宋体" w:hAnsi="宋体"/>
          <w:sz w:val="24"/>
          <w:szCs w:val="24"/>
          <w:lang w:val="en-US" w:eastAsia="zh-CN"/>
        </w:rPr>
        <w:t xml:space="preserve"> </w:t>
      </w:r>
    </w:p>
    <w:p w14:paraId="31224305">
      <w:pPr>
        <w:pStyle w:val="91"/>
        <w:spacing w:line="360" w:lineRule="auto"/>
        <w:ind w:right="-1757" w:rightChars="-732" w:firstLine="480"/>
        <w:jc w:val="left"/>
        <w:rPr>
          <w:rFonts w:hint="eastAsia" w:ascii="宋体" w:hAnsi="宋体" w:eastAsia="宋体"/>
          <w:sz w:val="24"/>
          <w:szCs w:val="24"/>
          <w:lang w:eastAsia="zh-CN"/>
        </w:rPr>
      </w:pPr>
      <w:r>
        <w:rPr>
          <w:rFonts w:hint="eastAsia" w:ascii="宋体" w:hAnsi="宋体"/>
          <w:sz w:val="24"/>
          <w:szCs w:val="24"/>
        </w:rPr>
        <w:t>纳税人识别码：</w:t>
      </w:r>
      <w:r>
        <w:rPr>
          <w:rFonts w:hint="eastAsia" w:ascii="宋体" w:hAnsi="宋体"/>
          <w:sz w:val="24"/>
          <w:szCs w:val="24"/>
          <w:lang w:val="en-US" w:eastAsia="zh-CN"/>
        </w:rPr>
        <w:t xml:space="preserve">                  </w:t>
      </w:r>
      <w:r>
        <w:rPr>
          <w:rFonts w:hint="eastAsia" w:ascii="宋体" w:hAnsi="宋体"/>
          <w:sz w:val="24"/>
          <w:szCs w:val="24"/>
        </w:rPr>
        <w:t xml:space="preserve">    纳税人识别码：</w:t>
      </w:r>
      <w:r>
        <w:rPr>
          <w:rFonts w:hint="eastAsia" w:ascii="宋体" w:hAnsi="宋体"/>
          <w:sz w:val="24"/>
          <w:szCs w:val="24"/>
          <w:lang w:val="en-US" w:eastAsia="zh-CN"/>
        </w:rPr>
        <w:t xml:space="preserve"> </w:t>
      </w:r>
    </w:p>
    <w:p w14:paraId="516856C6">
      <w:pPr>
        <w:pStyle w:val="91"/>
        <w:spacing w:line="360" w:lineRule="auto"/>
        <w:ind w:left="5760" w:leftChars="200" w:right="-907" w:rightChars="-378" w:hanging="5280" w:hangingChars="2200"/>
        <w:jc w:val="left"/>
        <w:rPr>
          <w:rFonts w:hint="eastAsia" w:ascii="宋体" w:hAnsi="宋体" w:eastAsia="宋体"/>
          <w:sz w:val="24"/>
          <w:szCs w:val="24"/>
          <w:lang w:eastAsia="zh-CN"/>
        </w:rPr>
      </w:pPr>
      <w:r>
        <w:rPr>
          <w:rFonts w:hint="eastAsia" w:ascii="宋体" w:hAnsi="宋体"/>
          <w:sz w:val="24"/>
          <w:szCs w:val="24"/>
        </w:rPr>
        <w:t xml:space="preserve">住所： </w:t>
      </w:r>
      <w:r>
        <w:rPr>
          <w:rFonts w:hint="eastAsia" w:ascii="宋体" w:hAnsi="宋体"/>
          <w:lang w:val="en-US" w:eastAsia="zh-CN"/>
        </w:rPr>
        <w:t xml:space="preserve">                  </w:t>
      </w:r>
      <w:r>
        <w:rPr>
          <w:rFonts w:hint="eastAsia" w:ascii="宋体" w:hAnsi="宋体"/>
        </w:rPr>
        <w:t xml:space="preserve">  </w:t>
      </w:r>
      <w:r>
        <w:rPr>
          <w:rFonts w:hint="eastAsia" w:ascii="宋体" w:hAnsi="宋体"/>
          <w:sz w:val="24"/>
          <w:szCs w:val="24"/>
        </w:rPr>
        <w:t xml:space="preserve">   </w:t>
      </w:r>
      <w:r>
        <w:rPr>
          <w:rFonts w:hint="eastAsia" w:ascii="宋体" w:hAnsi="宋体"/>
          <w:sz w:val="24"/>
          <w:szCs w:val="24"/>
          <w:lang w:val="en-US" w:eastAsia="zh-CN"/>
        </w:rPr>
        <w:t xml:space="preserve">         </w:t>
      </w:r>
      <w:r>
        <w:rPr>
          <w:rFonts w:hint="eastAsia" w:ascii="宋体" w:hAnsi="宋体"/>
          <w:sz w:val="24"/>
          <w:szCs w:val="24"/>
        </w:rPr>
        <w:t>住 所：</w:t>
      </w:r>
      <w:r>
        <w:rPr>
          <w:rFonts w:hint="eastAsia" w:ascii="宋体" w:hAnsi="宋体"/>
          <w:sz w:val="24"/>
          <w:szCs w:val="24"/>
          <w:lang w:val="en-US" w:eastAsia="zh-CN"/>
        </w:rPr>
        <w:t xml:space="preserve"> </w:t>
      </w:r>
    </w:p>
    <w:p w14:paraId="6F177E7B">
      <w:pPr>
        <w:pStyle w:val="91"/>
        <w:spacing w:line="360" w:lineRule="auto"/>
        <w:ind w:right="-1757" w:rightChars="-732" w:firstLine="480" w:firstLineChars="200"/>
        <w:rPr>
          <w:rFonts w:hint="eastAsia" w:ascii="宋体" w:hAnsi="宋体"/>
          <w:sz w:val="24"/>
          <w:szCs w:val="24"/>
        </w:rPr>
      </w:pPr>
      <w:r>
        <w:rPr>
          <w:rFonts w:hint="eastAsia" w:ascii="宋体" w:hAnsi="宋体"/>
          <w:sz w:val="24"/>
          <w:szCs w:val="24"/>
        </w:rPr>
        <w:t>账    号：</w:t>
      </w:r>
      <w:r>
        <w:rPr>
          <w:rFonts w:hint="eastAsia" w:ascii="宋体" w:hAnsi="宋体"/>
          <w:sz w:val="24"/>
          <w:szCs w:val="24"/>
          <w:lang w:val="en-US" w:eastAsia="zh-CN"/>
        </w:rPr>
        <w:t xml:space="preserve">                     </w:t>
      </w:r>
      <w:r>
        <w:rPr>
          <w:rFonts w:hint="eastAsia" w:ascii="宋体" w:hAnsi="宋体"/>
          <w:sz w:val="24"/>
          <w:szCs w:val="24"/>
        </w:rPr>
        <w:t xml:space="preserve">     账    号：</w:t>
      </w:r>
    </w:p>
    <w:p w14:paraId="065B7002">
      <w:pPr>
        <w:pStyle w:val="91"/>
        <w:spacing w:line="360" w:lineRule="auto"/>
        <w:ind w:left="360" w:leftChars="150" w:right="-1757" w:rightChars="-732" w:firstLine="120" w:firstLineChars="50"/>
        <w:jc w:val="left"/>
        <w:rPr>
          <w:rFonts w:hint="eastAsia" w:ascii="宋体" w:hAnsi="宋体" w:eastAsia="宋体"/>
          <w:sz w:val="24"/>
          <w:szCs w:val="24"/>
          <w:lang w:eastAsia="zh-CN"/>
        </w:rPr>
      </w:pPr>
      <w:r>
        <w:rPr>
          <w:rFonts w:hint="eastAsia" w:ascii="宋体" w:hAnsi="宋体"/>
          <w:sz w:val="24"/>
          <w:szCs w:val="24"/>
        </w:rPr>
        <w:t>开户银行：</w:t>
      </w:r>
      <w:r>
        <w:rPr>
          <w:rFonts w:hint="eastAsia" w:ascii="宋体" w:hAnsi="宋体"/>
          <w:sz w:val="16"/>
          <w:szCs w:val="16"/>
          <w:lang w:val="en-US" w:eastAsia="zh-CN"/>
        </w:rPr>
        <w:t xml:space="preserve">                                  </w:t>
      </w:r>
      <w:r>
        <w:rPr>
          <w:rFonts w:hint="eastAsia" w:ascii="宋体" w:hAnsi="宋体"/>
          <w:sz w:val="24"/>
          <w:szCs w:val="24"/>
        </w:rPr>
        <w:t xml:space="preserve">  </w:t>
      </w:r>
      <w:r>
        <w:rPr>
          <w:rFonts w:ascii="宋体" w:hAnsi="宋体"/>
          <w:sz w:val="24"/>
          <w:szCs w:val="24"/>
        </w:rPr>
        <w:t xml:space="preserve"> </w:t>
      </w:r>
      <w:r>
        <w:rPr>
          <w:rFonts w:hint="eastAsia" w:ascii="宋体" w:hAnsi="宋体"/>
          <w:sz w:val="24"/>
          <w:szCs w:val="24"/>
        </w:rPr>
        <w:t>开户银行：</w:t>
      </w:r>
      <w:r>
        <w:rPr>
          <w:rFonts w:hint="eastAsia" w:ascii="宋体" w:hAnsi="宋体"/>
          <w:sz w:val="24"/>
          <w:szCs w:val="24"/>
          <w:lang w:val="en-US" w:eastAsia="zh-CN"/>
        </w:rPr>
        <w:t xml:space="preserve"> </w:t>
      </w:r>
    </w:p>
    <w:p w14:paraId="0FB48797">
      <w:pPr>
        <w:pStyle w:val="91"/>
        <w:spacing w:line="360" w:lineRule="auto"/>
        <w:ind w:left="360" w:leftChars="150" w:right="-1757" w:rightChars="-732" w:firstLine="120" w:firstLineChars="50"/>
        <w:jc w:val="left"/>
        <w:rPr>
          <w:rFonts w:hint="eastAsia" w:ascii="宋体" w:hAnsi="宋体" w:eastAsia="宋体"/>
          <w:sz w:val="24"/>
          <w:szCs w:val="24"/>
          <w:lang w:eastAsia="zh-CN"/>
        </w:rPr>
      </w:pPr>
      <w:r>
        <w:rPr>
          <w:rFonts w:hint="eastAsia" w:ascii="宋体" w:hAnsi="宋体"/>
          <w:sz w:val="24"/>
          <w:szCs w:val="24"/>
        </w:rPr>
        <w:t>行号：</w:t>
      </w:r>
      <w:r>
        <w:rPr>
          <w:rFonts w:hint="eastAsia" w:ascii="宋体" w:hAnsi="宋体"/>
          <w:sz w:val="24"/>
          <w:szCs w:val="24"/>
          <w:lang w:val="en-US" w:eastAsia="zh-CN"/>
        </w:rPr>
        <w:t xml:space="preserve">           </w:t>
      </w:r>
      <w:r>
        <w:rPr>
          <w:rFonts w:hint="eastAsia" w:ascii="宋体" w:hAnsi="宋体"/>
          <w:sz w:val="24"/>
          <w:szCs w:val="24"/>
        </w:rPr>
        <w:t xml:space="preserve">                  行号：</w:t>
      </w:r>
      <w:r>
        <w:rPr>
          <w:rFonts w:hint="eastAsia" w:ascii="宋体" w:hAnsi="宋体"/>
          <w:sz w:val="24"/>
          <w:szCs w:val="24"/>
          <w:lang w:val="en-US" w:eastAsia="zh-CN"/>
        </w:rPr>
        <w:t xml:space="preserve"> </w:t>
      </w:r>
    </w:p>
    <w:p w14:paraId="6FD45C34">
      <w:pPr>
        <w:pStyle w:val="91"/>
        <w:spacing w:line="360" w:lineRule="auto"/>
        <w:ind w:left="360" w:leftChars="150" w:right="-1757" w:rightChars="-732" w:firstLine="120" w:firstLineChars="50"/>
        <w:jc w:val="left"/>
        <w:rPr>
          <w:rFonts w:hint="eastAsia" w:ascii="宋体" w:hAnsi="宋体" w:eastAsia="宋体"/>
          <w:sz w:val="24"/>
          <w:szCs w:val="24"/>
          <w:lang w:eastAsia="zh-CN"/>
        </w:rPr>
      </w:pPr>
      <w:r>
        <w:rPr>
          <w:rFonts w:hint="eastAsia" w:ascii="宋体" w:hAnsi="宋体"/>
          <w:sz w:val="24"/>
          <w:szCs w:val="24"/>
        </w:rPr>
        <w:t>邮政编码：                          邮政编码：</w:t>
      </w:r>
      <w:r>
        <w:rPr>
          <w:rFonts w:hint="eastAsia" w:ascii="宋体" w:hAnsi="宋体"/>
          <w:sz w:val="24"/>
          <w:szCs w:val="24"/>
          <w:lang w:val="en-US" w:eastAsia="zh-CN"/>
        </w:rPr>
        <w:t xml:space="preserve"> </w:t>
      </w:r>
    </w:p>
    <w:p w14:paraId="4158811F">
      <w:pPr>
        <w:pStyle w:val="91"/>
        <w:spacing w:line="360" w:lineRule="auto"/>
        <w:ind w:left="360" w:leftChars="150" w:right="-1757" w:rightChars="-732" w:firstLine="120" w:firstLineChars="50"/>
        <w:jc w:val="left"/>
        <w:rPr>
          <w:rFonts w:hint="eastAsia" w:ascii="宋体" w:hAnsi="宋体" w:eastAsia="宋体"/>
          <w:sz w:val="24"/>
          <w:szCs w:val="24"/>
          <w:lang w:eastAsia="zh-CN"/>
        </w:rPr>
      </w:pPr>
      <w:r>
        <w:rPr>
          <w:rFonts w:hint="eastAsia" w:ascii="宋体" w:hAnsi="宋体"/>
          <w:sz w:val="24"/>
          <w:szCs w:val="24"/>
        </w:rPr>
        <w:t>电    话：                          电    话：</w:t>
      </w:r>
      <w:r>
        <w:rPr>
          <w:rFonts w:hint="eastAsia" w:ascii="宋体" w:hAnsi="宋体"/>
          <w:sz w:val="24"/>
          <w:szCs w:val="24"/>
          <w:lang w:val="en-US" w:eastAsia="zh-CN"/>
        </w:rPr>
        <w:t xml:space="preserve"> </w:t>
      </w:r>
    </w:p>
    <w:p w14:paraId="48049E70">
      <w:pPr>
        <w:pStyle w:val="91"/>
        <w:spacing w:line="360" w:lineRule="auto"/>
        <w:ind w:left="360" w:leftChars="150" w:right="-1757" w:rightChars="-732" w:firstLine="120" w:firstLineChars="50"/>
        <w:jc w:val="left"/>
        <w:rPr>
          <w:rFonts w:hint="eastAsia" w:ascii="宋体" w:hAnsi="宋体" w:eastAsia="宋体"/>
          <w:sz w:val="24"/>
          <w:szCs w:val="24"/>
          <w:lang w:eastAsia="zh-CN"/>
        </w:rPr>
      </w:pPr>
      <w:r>
        <w:rPr>
          <w:rFonts w:hint="eastAsia" w:ascii="宋体" w:hAnsi="宋体"/>
          <w:sz w:val="24"/>
          <w:szCs w:val="24"/>
        </w:rPr>
        <w:t>传    真：                          传    真：</w:t>
      </w:r>
      <w:r>
        <w:rPr>
          <w:rFonts w:hint="eastAsia" w:ascii="宋体" w:hAnsi="宋体"/>
          <w:sz w:val="24"/>
          <w:szCs w:val="24"/>
          <w:lang w:val="en-US" w:eastAsia="zh-CN"/>
        </w:rPr>
        <w:t xml:space="preserve"> </w:t>
      </w:r>
    </w:p>
    <w:p w14:paraId="73126CA3">
      <w:pPr>
        <w:pStyle w:val="91"/>
        <w:spacing w:line="360" w:lineRule="auto"/>
        <w:ind w:left="360" w:leftChars="150" w:right="-1757" w:rightChars="-732" w:firstLine="120" w:firstLineChars="50"/>
        <w:jc w:val="left"/>
        <w:rPr>
          <w:rFonts w:hint="eastAsia" w:ascii="宋体" w:hAnsi="宋体" w:eastAsia="宋体"/>
          <w:sz w:val="24"/>
          <w:szCs w:val="24"/>
          <w:lang w:eastAsia="zh-CN"/>
        </w:rPr>
      </w:pPr>
      <w:r>
        <w:rPr>
          <w:rFonts w:hint="eastAsia" w:ascii="宋体" w:hAnsi="宋体"/>
          <w:sz w:val="24"/>
          <w:szCs w:val="24"/>
        </w:rPr>
        <w:t>电子信箱：                          电子信箱：</w:t>
      </w:r>
      <w:r>
        <w:rPr>
          <w:rFonts w:hint="eastAsia" w:ascii="宋体" w:hAnsi="宋体"/>
          <w:sz w:val="24"/>
          <w:szCs w:val="24"/>
          <w:lang w:val="en-US" w:eastAsia="zh-CN"/>
        </w:rPr>
        <w:t xml:space="preserve"> </w:t>
      </w:r>
    </w:p>
    <w:p w14:paraId="6A279AF9">
      <w:pPr>
        <w:pStyle w:val="2"/>
        <w:spacing w:after="120" w:line="276" w:lineRule="auto"/>
        <w:jc w:val="center"/>
        <w:rPr>
          <w:rFonts w:hint="eastAsia"/>
          <w:sz w:val="30"/>
          <w:szCs w:val="30"/>
        </w:rPr>
      </w:pPr>
      <w:r>
        <w:rPr>
          <w:sz w:val="30"/>
          <w:szCs w:val="30"/>
        </w:rPr>
        <w:br w:type="page"/>
      </w:r>
      <w:r>
        <w:rPr>
          <w:rFonts w:hint="eastAsia"/>
          <w:sz w:val="30"/>
          <w:szCs w:val="30"/>
        </w:rPr>
        <w:t>第二部分　通用条件</w:t>
      </w:r>
      <w:bookmarkEnd w:id="513"/>
      <w:bookmarkEnd w:id="514"/>
    </w:p>
    <w:p w14:paraId="44155F58">
      <w:pPr>
        <w:pStyle w:val="30"/>
        <w:spacing w:before="0" w:after="0" w:line="276" w:lineRule="auto"/>
        <w:jc w:val="left"/>
        <w:rPr>
          <w:rFonts w:hint="eastAsia" w:ascii="宋体" w:hAnsi="宋体"/>
          <w:szCs w:val="24"/>
        </w:rPr>
      </w:pPr>
      <w:r>
        <w:rPr>
          <w:rFonts w:hint="eastAsia" w:ascii="宋体" w:hAnsi="宋体"/>
          <w:szCs w:val="24"/>
        </w:rPr>
        <w:t xml:space="preserve">         </w:t>
      </w:r>
      <w:bookmarkStart w:id="515" w:name="_Toc419045067"/>
      <w:bookmarkStart w:id="516" w:name="_Toc422322482"/>
      <w:r>
        <w:rPr>
          <w:rFonts w:hint="eastAsia" w:ascii="宋体" w:hAnsi="宋体"/>
          <w:szCs w:val="24"/>
        </w:rPr>
        <w:t>1.词语定义、语言、解释顺序与适用法律</w:t>
      </w:r>
      <w:bookmarkEnd w:id="515"/>
      <w:bookmarkEnd w:id="516"/>
    </w:p>
    <w:p w14:paraId="0EE5FBFF">
      <w:pPr>
        <w:pStyle w:val="22"/>
        <w:spacing w:line="276" w:lineRule="auto"/>
        <w:ind w:firstLine="480" w:firstLineChars="200"/>
        <w:jc w:val="left"/>
        <w:rPr>
          <w:rFonts w:hint="eastAsia" w:ascii="宋体" w:hAnsi="宋体"/>
          <w:b w:val="0"/>
          <w:sz w:val="24"/>
          <w:szCs w:val="24"/>
        </w:rPr>
      </w:pPr>
      <w:bookmarkStart w:id="517" w:name="_Toc422322483"/>
      <w:bookmarkStart w:id="518" w:name="_Toc419045068"/>
      <w:r>
        <w:rPr>
          <w:rFonts w:hint="eastAsia" w:ascii="宋体" w:hAnsi="宋体"/>
          <w:b w:val="0"/>
          <w:sz w:val="24"/>
          <w:szCs w:val="24"/>
        </w:rPr>
        <w:t>1.1词语定义</w:t>
      </w:r>
      <w:bookmarkEnd w:id="517"/>
      <w:bookmarkEnd w:id="518"/>
    </w:p>
    <w:p w14:paraId="3AF92C29">
      <w:pPr>
        <w:spacing w:line="276" w:lineRule="auto"/>
        <w:ind w:firstLine="480" w:firstLineChars="200"/>
        <w:rPr>
          <w:rFonts w:hint="eastAsia" w:cs="Times New Roman"/>
        </w:rPr>
      </w:pPr>
      <w:r>
        <w:rPr>
          <w:rFonts w:hint="eastAsia" w:cs="Times New Roman"/>
        </w:rPr>
        <w:t>组成本合同的全部文件中的下列名词和用语应具有本款所赋予的含义：</w:t>
      </w:r>
    </w:p>
    <w:p w14:paraId="17C570C2">
      <w:pPr>
        <w:pStyle w:val="91"/>
        <w:spacing w:line="276" w:lineRule="auto"/>
        <w:ind w:firstLine="480" w:firstLineChars="200"/>
        <w:jc w:val="left"/>
        <w:rPr>
          <w:rFonts w:hint="eastAsia" w:ascii="宋体" w:hAnsi="宋体"/>
          <w:sz w:val="24"/>
          <w:szCs w:val="24"/>
        </w:rPr>
      </w:pPr>
      <w:r>
        <w:rPr>
          <w:rFonts w:hint="eastAsia" w:ascii="宋体" w:hAnsi="宋体"/>
          <w:sz w:val="24"/>
          <w:szCs w:val="24"/>
        </w:rPr>
        <w:t xml:space="preserve">1.1.1“工程”是指按照本合同约定实施造价咨询与其他服务的建设工程。    </w:t>
      </w:r>
    </w:p>
    <w:p w14:paraId="1451050D">
      <w:pPr>
        <w:pStyle w:val="91"/>
        <w:spacing w:line="276" w:lineRule="auto"/>
        <w:ind w:firstLine="480" w:firstLineChars="200"/>
        <w:jc w:val="left"/>
        <w:rPr>
          <w:rFonts w:hint="eastAsia" w:ascii="宋体" w:hAnsi="宋体"/>
          <w:sz w:val="24"/>
          <w:szCs w:val="24"/>
        </w:rPr>
      </w:pPr>
      <w:r>
        <w:rPr>
          <w:rFonts w:hint="eastAsia" w:ascii="宋体" w:hAnsi="宋体"/>
          <w:sz w:val="24"/>
          <w:szCs w:val="24"/>
        </w:rPr>
        <w:t>1.1.2“工程造价”是指工程项目建设过程中预计或实际支出的全部费用。</w:t>
      </w:r>
    </w:p>
    <w:p w14:paraId="07470FD8">
      <w:pPr>
        <w:pStyle w:val="91"/>
        <w:spacing w:line="276" w:lineRule="auto"/>
        <w:ind w:firstLine="480" w:firstLineChars="200"/>
        <w:jc w:val="left"/>
        <w:rPr>
          <w:rFonts w:ascii="宋体" w:hAnsi="宋体"/>
          <w:sz w:val="24"/>
          <w:szCs w:val="24"/>
        </w:rPr>
      </w:pPr>
      <w:r>
        <w:rPr>
          <w:rFonts w:ascii="宋体" w:hAnsi="宋体"/>
          <w:sz w:val="24"/>
          <w:szCs w:val="24"/>
        </w:rPr>
        <w:t>1</w:t>
      </w:r>
      <w:r>
        <w:rPr>
          <w:rFonts w:hint="eastAsia" w:ascii="宋体" w:hAnsi="宋体"/>
          <w:sz w:val="24"/>
          <w:szCs w:val="24"/>
        </w:rPr>
        <w:t>.1.3“委托人”是指本合同中委托造价咨询与其他服务的一方，及其合法的继承人或受让人。</w:t>
      </w:r>
    </w:p>
    <w:p w14:paraId="6C8286DB">
      <w:pPr>
        <w:pStyle w:val="91"/>
        <w:spacing w:line="276" w:lineRule="auto"/>
        <w:ind w:firstLine="480" w:firstLineChars="200"/>
        <w:jc w:val="left"/>
        <w:rPr>
          <w:rFonts w:ascii="宋体" w:hAnsi="宋体"/>
          <w:sz w:val="24"/>
          <w:szCs w:val="24"/>
        </w:rPr>
      </w:pPr>
      <w:r>
        <w:rPr>
          <w:rFonts w:hint="eastAsia" w:ascii="宋体" w:hAnsi="宋体"/>
          <w:sz w:val="24"/>
          <w:szCs w:val="24"/>
        </w:rPr>
        <w:t>1.1.4</w:t>
      </w:r>
      <w:r>
        <w:rPr>
          <w:rFonts w:ascii="宋体" w:hAnsi="宋体"/>
          <w:sz w:val="24"/>
          <w:szCs w:val="24"/>
        </w:rPr>
        <w:t>“咨询人”是指</w:t>
      </w:r>
      <w:r>
        <w:rPr>
          <w:rFonts w:hint="eastAsia" w:ascii="宋体" w:hAnsi="宋体"/>
          <w:sz w:val="24"/>
          <w:szCs w:val="24"/>
        </w:rPr>
        <w:t>本合同中提供造价咨询与其他服务的一方</w:t>
      </w:r>
      <w:r>
        <w:rPr>
          <w:rFonts w:hint="eastAsia" w:ascii="宋体" w:hAnsi="宋体"/>
          <w:b/>
          <w:bCs/>
          <w:sz w:val="24"/>
          <w:szCs w:val="24"/>
        </w:rPr>
        <w:t>，</w:t>
      </w:r>
      <w:r>
        <w:rPr>
          <w:rFonts w:hint="eastAsia" w:ascii="宋体" w:hAnsi="宋体"/>
          <w:sz w:val="24"/>
          <w:szCs w:val="24"/>
        </w:rPr>
        <w:t>及其合法的继承人。</w:t>
      </w:r>
      <w:r>
        <w:rPr>
          <w:rFonts w:ascii="宋体" w:hAnsi="宋体"/>
          <w:sz w:val="24"/>
          <w:szCs w:val="24"/>
        </w:rPr>
        <w:br w:type="textWrapping"/>
      </w:r>
      <w:r>
        <w:rPr>
          <w:rFonts w:hint="eastAsia" w:ascii="宋体" w:hAnsi="宋体"/>
          <w:sz w:val="24"/>
          <w:szCs w:val="24"/>
        </w:rPr>
        <w:t xml:space="preserve">    1.1.5</w:t>
      </w:r>
      <w:r>
        <w:rPr>
          <w:rFonts w:ascii="宋体" w:hAnsi="宋体"/>
          <w:sz w:val="24"/>
          <w:szCs w:val="24"/>
        </w:rPr>
        <w:t>“第三人”是指除委托人、咨询人以外与本咨询业务有关的当事人。</w:t>
      </w:r>
    </w:p>
    <w:p w14:paraId="6D788D9D">
      <w:pPr>
        <w:pStyle w:val="91"/>
        <w:spacing w:line="276" w:lineRule="auto"/>
        <w:ind w:firstLine="480" w:firstLineChars="200"/>
        <w:jc w:val="left"/>
        <w:rPr>
          <w:rFonts w:ascii="宋体" w:hAnsi="宋体"/>
          <w:sz w:val="24"/>
          <w:szCs w:val="24"/>
        </w:rPr>
      </w:pPr>
      <w:r>
        <w:rPr>
          <w:rFonts w:hint="eastAsia" w:ascii="宋体" w:hAnsi="宋体"/>
          <w:sz w:val="24"/>
          <w:szCs w:val="24"/>
        </w:rPr>
        <w:t>1.1.6“正常工作”是指本合同订立时通用条件和专用条件中约定的咨询人的工作。</w:t>
      </w:r>
    </w:p>
    <w:p w14:paraId="4383F82C">
      <w:pPr>
        <w:pStyle w:val="91"/>
        <w:spacing w:line="276" w:lineRule="auto"/>
        <w:ind w:firstLine="480" w:firstLineChars="200"/>
        <w:rPr>
          <w:rFonts w:ascii="宋体" w:hAnsi="宋体"/>
          <w:sz w:val="24"/>
          <w:szCs w:val="24"/>
        </w:rPr>
      </w:pPr>
      <w:r>
        <w:rPr>
          <w:rFonts w:hint="eastAsia" w:ascii="宋体" w:hAnsi="宋体"/>
          <w:sz w:val="24"/>
          <w:szCs w:val="24"/>
        </w:rPr>
        <w:t>1.1.7“附加工作”是指咨询人根据合同条件完成的正常工作以外的工作。</w:t>
      </w:r>
    </w:p>
    <w:p w14:paraId="71F33281">
      <w:pPr>
        <w:pStyle w:val="91"/>
        <w:spacing w:line="276" w:lineRule="auto"/>
        <w:ind w:firstLine="480" w:firstLineChars="200"/>
        <w:rPr>
          <w:rFonts w:ascii="宋体" w:hAnsi="宋体"/>
          <w:sz w:val="24"/>
          <w:szCs w:val="24"/>
        </w:rPr>
      </w:pPr>
      <w:r>
        <w:rPr>
          <w:rFonts w:hint="eastAsia" w:ascii="宋体" w:hAnsi="宋体"/>
          <w:sz w:val="24"/>
          <w:szCs w:val="24"/>
        </w:rPr>
        <w:t>1.1.8“项目咨询团队”是指咨询人指派负责履行本合同的团队，其团队成员为本合同的项目咨询人员。</w:t>
      </w:r>
    </w:p>
    <w:p w14:paraId="01A4368A">
      <w:pPr>
        <w:pStyle w:val="91"/>
        <w:spacing w:line="276" w:lineRule="auto"/>
        <w:ind w:firstLine="480" w:firstLineChars="200"/>
        <w:rPr>
          <w:rFonts w:ascii="宋体" w:hAnsi="宋体"/>
          <w:sz w:val="24"/>
          <w:szCs w:val="24"/>
        </w:rPr>
      </w:pPr>
      <w:r>
        <w:rPr>
          <w:rFonts w:hint="eastAsia" w:ascii="宋体" w:hAnsi="宋体"/>
          <w:sz w:val="24"/>
          <w:szCs w:val="24"/>
        </w:rPr>
        <w:t>1.1.9“项目负责人”是指由咨询人的法定代表人书面授权，在授权范围内负责履行本合同、主持项目咨询团队工作的负责人。</w:t>
      </w:r>
    </w:p>
    <w:p w14:paraId="172734A8">
      <w:pPr>
        <w:spacing w:line="276" w:lineRule="auto"/>
        <w:ind w:firstLine="480" w:firstLineChars="200"/>
        <w:rPr>
          <w:rFonts w:hint="eastAsia"/>
        </w:rPr>
      </w:pPr>
      <w:r>
        <w:rPr>
          <w:rFonts w:hint="eastAsia"/>
        </w:rPr>
        <w:t>1.1.10“委托人代表”是指由委托人的法定代表人书面授权，在授权范围内行使委托人权利的人。</w:t>
      </w:r>
    </w:p>
    <w:p w14:paraId="6F9C97EE">
      <w:pPr>
        <w:pStyle w:val="91"/>
        <w:spacing w:line="276" w:lineRule="auto"/>
        <w:ind w:firstLine="480" w:firstLineChars="200"/>
        <w:rPr>
          <w:rFonts w:ascii="宋体" w:hAnsi="宋体" w:cs="宋体"/>
          <w:sz w:val="24"/>
          <w:szCs w:val="24"/>
        </w:rPr>
      </w:pPr>
      <w:r>
        <w:rPr>
          <w:rFonts w:hint="eastAsia" w:ascii="宋体" w:hAnsi="宋体" w:cs="宋体"/>
          <w:sz w:val="24"/>
          <w:szCs w:val="24"/>
        </w:rPr>
        <w:t>1.1.11“酬金”是指咨询人履行本合同义务，委托人按照本合同约定给付咨询人的金额。</w:t>
      </w:r>
    </w:p>
    <w:p w14:paraId="7EEF2AFB">
      <w:pPr>
        <w:pStyle w:val="91"/>
        <w:spacing w:line="276" w:lineRule="auto"/>
        <w:ind w:firstLine="480" w:firstLineChars="200"/>
        <w:jc w:val="left"/>
        <w:rPr>
          <w:rFonts w:ascii="宋体" w:hAnsi="宋体"/>
          <w:sz w:val="24"/>
          <w:szCs w:val="24"/>
        </w:rPr>
      </w:pPr>
      <w:r>
        <w:rPr>
          <w:rFonts w:hint="eastAsia" w:ascii="宋体" w:hAnsi="宋体"/>
          <w:sz w:val="24"/>
          <w:szCs w:val="24"/>
        </w:rPr>
        <w:t>1.1.12“正常工作酬金”是指在协议书中载明的，咨询人完成正常工作，委托人应给付咨询人的酬金。</w:t>
      </w:r>
      <w:r>
        <w:rPr>
          <w:rFonts w:hint="eastAsia" w:ascii="宋体" w:hAnsi="宋体"/>
          <w:sz w:val="24"/>
          <w:szCs w:val="24"/>
        </w:rPr>
        <w:br w:type="textWrapping"/>
      </w:r>
      <w:r>
        <w:rPr>
          <w:rFonts w:hint="eastAsia" w:ascii="宋体" w:hAnsi="宋体"/>
          <w:sz w:val="24"/>
          <w:szCs w:val="24"/>
        </w:rPr>
        <w:t xml:space="preserve">    1.1.13“附加工作酬金”是指咨询人完成附加工作，委托人应给付咨询人的酬金。</w:t>
      </w:r>
    </w:p>
    <w:p w14:paraId="1D7ECA49">
      <w:pPr>
        <w:spacing w:line="276" w:lineRule="auto"/>
        <w:ind w:firstLine="480" w:firstLineChars="200"/>
        <w:rPr>
          <w:rFonts w:hint="eastAsia" w:cs="Times New Roman"/>
        </w:rPr>
      </w:pPr>
      <w:r>
        <w:rPr>
          <w:rFonts w:hint="eastAsia" w:cs="Times New Roman"/>
        </w:rPr>
        <w:t>1.1.14 “书面形式”是指合同书、信件和数据电文（包括电报、电传、传真、电子数据交换和电子邮件）等可以有形地表现所载内容的形式。</w:t>
      </w:r>
    </w:p>
    <w:p w14:paraId="3F47025C">
      <w:pPr>
        <w:spacing w:line="276" w:lineRule="auto"/>
        <w:ind w:firstLine="480" w:firstLineChars="200"/>
        <w:rPr>
          <w:rFonts w:hint="eastAsia" w:cs="Times New Roman"/>
        </w:rPr>
      </w:pPr>
      <w:r>
        <w:rPr>
          <w:rFonts w:hint="eastAsia"/>
          <w:szCs w:val="21"/>
        </w:rPr>
        <w:t>1.1.15 “不可抗力”是指委托人和咨询人在订立本合同时不可预见，在合同履行过程中不可避免并不能克服的自然灾害和社会性突发事件，如地震、海啸、瘟疫、水灾、骚乱、暴动、战争等情形。</w:t>
      </w:r>
    </w:p>
    <w:p w14:paraId="0184FDD9">
      <w:pPr>
        <w:pStyle w:val="22"/>
        <w:spacing w:before="60" w:line="276" w:lineRule="auto"/>
        <w:ind w:firstLine="480" w:firstLineChars="200"/>
        <w:jc w:val="left"/>
        <w:rPr>
          <w:rFonts w:hint="eastAsia" w:ascii="宋体" w:hAnsi="宋体"/>
          <w:b w:val="0"/>
          <w:sz w:val="24"/>
          <w:szCs w:val="24"/>
        </w:rPr>
      </w:pPr>
      <w:bookmarkStart w:id="519" w:name="_Toc422322484"/>
      <w:bookmarkStart w:id="520" w:name="_Toc419045069"/>
      <w:r>
        <w:rPr>
          <w:rFonts w:hint="eastAsia" w:ascii="宋体" w:hAnsi="宋体"/>
          <w:b w:val="0"/>
          <w:sz w:val="24"/>
          <w:szCs w:val="24"/>
        </w:rPr>
        <w:t>1.2语言</w:t>
      </w:r>
      <w:bookmarkEnd w:id="519"/>
      <w:bookmarkEnd w:id="520"/>
    </w:p>
    <w:p w14:paraId="3E9C1EC3">
      <w:pPr>
        <w:pStyle w:val="91"/>
        <w:spacing w:line="276" w:lineRule="auto"/>
        <w:ind w:firstLine="480" w:firstLineChars="200"/>
        <w:rPr>
          <w:rFonts w:ascii="宋体" w:hAnsi="宋体"/>
          <w:sz w:val="24"/>
          <w:szCs w:val="24"/>
        </w:rPr>
      </w:pPr>
      <w:r>
        <w:rPr>
          <w:rFonts w:hint="eastAsia" w:ascii="宋体" w:hAnsi="宋体"/>
          <w:sz w:val="24"/>
          <w:szCs w:val="24"/>
        </w:rPr>
        <w:t>本合同使用中文书写、解释和说明。如专用条件约定使用两种及以上语言文字时，应以中文为准。</w:t>
      </w:r>
    </w:p>
    <w:p w14:paraId="5E7E967F">
      <w:pPr>
        <w:pStyle w:val="22"/>
        <w:spacing w:before="60" w:line="276" w:lineRule="auto"/>
        <w:ind w:firstLine="480" w:firstLineChars="200"/>
        <w:jc w:val="left"/>
        <w:rPr>
          <w:rFonts w:hint="eastAsia" w:ascii="宋体" w:hAnsi="宋体"/>
          <w:b w:val="0"/>
          <w:sz w:val="24"/>
          <w:szCs w:val="24"/>
        </w:rPr>
      </w:pPr>
      <w:bookmarkStart w:id="521" w:name="_Toc422322485"/>
      <w:bookmarkStart w:id="522" w:name="_Toc419045070"/>
      <w:r>
        <w:rPr>
          <w:rFonts w:hint="eastAsia" w:ascii="宋体" w:hAnsi="宋体"/>
          <w:b w:val="0"/>
          <w:sz w:val="24"/>
          <w:szCs w:val="24"/>
        </w:rPr>
        <w:t>1.3合同文件的优先顺序</w:t>
      </w:r>
      <w:bookmarkEnd w:id="521"/>
      <w:bookmarkEnd w:id="522"/>
    </w:p>
    <w:p w14:paraId="25FEA1C6">
      <w:pPr>
        <w:pStyle w:val="91"/>
        <w:spacing w:line="276" w:lineRule="auto"/>
        <w:ind w:firstLine="480" w:firstLineChars="200"/>
        <w:jc w:val="left"/>
        <w:rPr>
          <w:rFonts w:hint="eastAsia" w:ascii="宋体" w:hAnsi="宋体" w:cs="宋体"/>
          <w:bCs/>
          <w:sz w:val="24"/>
          <w:szCs w:val="24"/>
        </w:rPr>
      </w:pPr>
      <w:r>
        <w:rPr>
          <w:rFonts w:hint="eastAsia" w:ascii="宋体" w:hAnsi="宋体" w:cs="宋体"/>
          <w:bCs/>
          <w:sz w:val="24"/>
          <w:szCs w:val="24"/>
        </w:rPr>
        <w:t>组成本合同的下列文件彼此应能相互解释、互为说明。除专用条件另有约定外，本合同文件的解释顺序如下：</w:t>
      </w:r>
    </w:p>
    <w:p w14:paraId="7304B21D">
      <w:pPr>
        <w:pStyle w:val="91"/>
        <w:spacing w:line="276" w:lineRule="auto"/>
        <w:ind w:firstLine="480" w:firstLineChars="200"/>
        <w:jc w:val="left"/>
        <w:rPr>
          <w:rFonts w:hint="eastAsia" w:ascii="宋体" w:hAnsi="宋体" w:cs="宋体"/>
          <w:bCs/>
          <w:sz w:val="24"/>
          <w:szCs w:val="24"/>
        </w:rPr>
      </w:pPr>
      <w:r>
        <w:rPr>
          <w:rFonts w:hint="eastAsia" w:ascii="宋体" w:hAnsi="宋体" w:cs="宋体"/>
          <w:bCs/>
          <w:sz w:val="24"/>
          <w:szCs w:val="24"/>
        </w:rPr>
        <w:t>1.协议书</w:t>
      </w:r>
    </w:p>
    <w:p w14:paraId="4F38604C">
      <w:pPr>
        <w:pStyle w:val="91"/>
        <w:spacing w:line="276" w:lineRule="auto"/>
        <w:ind w:firstLine="480" w:firstLineChars="200"/>
        <w:jc w:val="left"/>
        <w:rPr>
          <w:rFonts w:hint="eastAsia" w:ascii="宋体" w:hAnsi="宋体" w:cs="宋体"/>
          <w:bCs/>
          <w:sz w:val="24"/>
          <w:szCs w:val="24"/>
        </w:rPr>
      </w:pPr>
      <w:r>
        <w:rPr>
          <w:rFonts w:hint="eastAsia" w:ascii="宋体" w:hAnsi="宋体" w:cs="宋体"/>
          <w:bCs/>
          <w:sz w:val="24"/>
          <w:szCs w:val="24"/>
        </w:rPr>
        <w:t>2.中标通知书或委托书（如果有）；</w:t>
      </w:r>
    </w:p>
    <w:p w14:paraId="201C3A2B">
      <w:pPr>
        <w:pStyle w:val="91"/>
        <w:spacing w:line="276" w:lineRule="auto"/>
        <w:ind w:firstLine="480" w:firstLineChars="200"/>
        <w:jc w:val="left"/>
        <w:rPr>
          <w:rFonts w:hint="eastAsia" w:ascii="宋体" w:hAnsi="宋体" w:cs="宋体"/>
          <w:bCs/>
          <w:sz w:val="24"/>
          <w:szCs w:val="24"/>
        </w:rPr>
      </w:pPr>
      <w:r>
        <w:rPr>
          <w:rFonts w:hint="eastAsia" w:ascii="宋体" w:hAnsi="宋体" w:cs="宋体"/>
          <w:bCs/>
          <w:sz w:val="24"/>
          <w:szCs w:val="24"/>
        </w:rPr>
        <w:t>3.专用条件及附录；</w:t>
      </w:r>
    </w:p>
    <w:p w14:paraId="22A950C4">
      <w:pPr>
        <w:pStyle w:val="91"/>
        <w:spacing w:line="276" w:lineRule="auto"/>
        <w:ind w:firstLine="480" w:firstLineChars="200"/>
        <w:jc w:val="left"/>
        <w:rPr>
          <w:rFonts w:hint="eastAsia" w:ascii="宋体" w:hAnsi="宋体" w:cs="宋体"/>
          <w:bCs/>
          <w:sz w:val="24"/>
          <w:szCs w:val="24"/>
        </w:rPr>
      </w:pPr>
      <w:r>
        <w:rPr>
          <w:rFonts w:hint="eastAsia" w:ascii="宋体" w:hAnsi="宋体" w:cs="宋体"/>
          <w:bCs/>
          <w:sz w:val="24"/>
          <w:szCs w:val="24"/>
        </w:rPr>
        <w:t>4.通用条件；</w:t>
      </w:r>
    </w:p>
    <w:p w14:paraId="0C81AE8A">
      <w:pPr>
        <w:pStyle w:val="91"/>
        <w:spacing w:line="276" w:lineRule="auto"/>
        <w:ind w:firstLine="480" w:firstLineChars="200"/>
        <w:jc w:val="left"/>
        <w:rPr>
          <w:rFonts w:hint="eastAsia" w:ascii="宋体" w:hAnsi="宋体" w:cs="宋体"/>
          <w:bCs/>
          <w:sz w:val="24"/>
          <w:szCs w:val="24"/>
        </w:rPr>
      </w:pPr>
      <w:r>
        <w:rPr>
          <w:rFonts w:hint="eastAsia" w:ascii="宋体" w:hAnsi="宋体" w:cs="宋体"/>
          <w:bCs/>
          <w:sz w:val="24"/>
          <w:szCs w:val="24"/>
        </w:rPr>
        <w:t>5.投标函及投标函附录或造价咨询服务建议书（如果有）；</w:t>
      </w:r>
    </w:p>
    <w:p w14:paraId="47BAC10A">
      <w:pPr>
        <w:spacing w:line="276" w:lineRule="auto"/>
        <w:ind w:firstLine="468"/>
        <w:rPr>
          <w:rFonts w:hint="eastAsia"/>
          <w:bCs/>
        </w:rPr>
      </w:pPr>
      <w:r>
        <w:rPr>
          <w:rFonts w:hint="eastAsia"/>
          <w:bCs/>
        </w:rPr>
        <w:t>6.其他合同文件。</w:t>
      </w:r>
    </w:p>
    <w:p w14:paraId="5AB654A3">
      <w:pPr>
        <w:pStyle w:val="91"/>
        <w:spacing w:line="276" w:lineRule="auto"/>
        <w:ind w:firstLine="480" w:firstLineChars="200"/>
        <w:jc w:val="left"/>
        <w:rPr>
          <w:rFonts w:hint="eastAsia" w:ascii="宋体" w:hAnsi="宋体" w:cs="宋体"/>
          <w:bCs/>
          <w:sz w:val="24"/>
          <w:szCs w:val="24"/>
        </w:rPr>
      </w:pPr>
      <w:r>
        <w:rPr>
          <w:rFonts w:ascii="宋体" w:hAnsi="宋体" w:cs="宋体"/>
          <w:bCs/>
          <w:sz w:val="24"/>
          <w:szCs w:val="24"/>
        </w:rPr>
        <w:t>上述各项合同文件包括合同当事人就该项合同文件所作出的补充和修改</w:t>
      </w:r>
      <w:r>
        <w:rPr>
          <w:rFonts w:hint="eastAsia" w:ascii="宋体" w:hAnsi="宋体" w:cs="宋体"/>
          <w:bCs/>
          <w:sz w:val="24"/>
          <w:szCs w:val="24"/>
        </w:rPr>
        <w:t>，</w:t>
      </w:r>
      <w:r>
        <w:rPr>
          <w:rFonts w:ascii="宋体" w:hAnsi="宋体" w:cs="宋体"/>
          <w:bCs/>
          <w:sz w:val="24"/>
          <w:szCs w:val="24"/>
        </w:rPr>
        <w:t>属于同一类内容的文件，应以最新签署的为准。</w:t>
      </w:r>
    </w:p>
    <w:p w14:paraId="414E0704">
      <w:pPr>
        <w:spacing w:line="276" w:lineRule="auto"/>
        <w:ind w:firstLine="468"/>
        <w:rPr>
          <w:rFonts w:hint="eastAsia"/>
          <w:bCs/>
        </w:rPr>
      </w:pPr>
      <w:r>
        <w:rPr>
          <w:rFonts w:hint="eastAsia"/>
          <w:bCs/>
        </w:rPr>
        <w:t>在合同订立及履行过程中形成的与合同有关的文件均构成合同文件的组成部分。</w:t>
      </w:r>
    </w:p>
    <w:p w14:paraId="491D2460">
      <w:pPr>
        <w:pStyle w:val="22"/>
        <w:spacing w:before="60" w:line="276" w:lineRule="auto"/>
        <w:ind w:firstLine="480" w:firstLineChars="200"/>
        <w:jc w:val="left"/>
        <w:rPr>
          <w:rFonts w:hint="eastAsia" w:ascii="宋体" w:hAnsi="宋体"/>
          <w:b w:val="0"/>
          <w:sz w:val="24"/>
          <w:szCs w:val="24"/>
        </w:rPr>
      </w:pPr>
      <w:bookmarkStart w:id="523" w:name="_Toc419045071"/>
      <w:bookmarkStart w:id="524" w:name="_Toc422322486"/>
      <w:r>
        <w:rPr>
          <w:rFonts w:hint="eastAsia" w:ascii="宋体" w:hAnsi="宋体"/>
          <w:b w:val="0"/>
          <w:sz w:val="24"/>
          <w:szCs w:val="24"/>
        </w:rPr>
        <w:t>1.4适用法律</w:t>
      </w:r>
      <w:bookmarkEnd w:id="523"/>
      <w:bookmarkEnd w:id="524"/>
    </w:p>
    <w:p w14:paraId="377B2ABA">
      <w:pPr>
        <w:spacing w:line="276" w:lineRule="auto"/>
        <w:ind w:firstLine="480" w:firstLineChars="200"/>
        <w:rPr>
          <w:rFonts w:hint="eastAsia"/>
        </w:rPr>
      </w:pPr>
      <w:r>
        <w:rPr>
          <w:rFonts w:hint="eastAsia"/>
        </w:rPr>
        <w:t>本合同适用中华人民共和国法律、行政法规、部门规章以及工程所在地的地方性法规、自治条例、单行条例和地方政府规章等。</w:t>
      </w:r>
    </w:p>
    <w:p w14:paraId="321D4516">
      <w:pPr>
        <w:spacing w:line="276" w:lineRule="auto"/>
        <w:ind w:firstLine="480" w:firstLineChars="200"/>
        <w:rPr>
          <w:rStyle w:val="93"/>
          <w:rFonts w:ascii="宋体" w:hAnsi="宋体"/>
        </w:rPr>
      </w:pPr>
      <w:r>
        <w:rPr>
          <w:rFonts w:hint="eastAsia"/>
        </w:rPr>
        <w:t>合同当事人可以在专用条件中约定本合同适用的其他规范、规程、定额、技术标准等规范性文件。</w:t>
      </w:r>
    </w:p>
    <w:p w14:paraId="3374E12E">
      <w:pPr>
        <w:pStyle w:val="30"/>
        <w:spacing w:before="0" w:after="0" w:line="276" w:lineRule="auto"/>
        <w:ind w:firstLine="482" w:firstLineChars="200"/>
        <w:jc w:val="left"/>
        <w:rPr>
          <w:rFonts w:hint="eastAsia" w:ascii="宋体" w:hAnsi="宋体"/>
          <w:szCs w:val="24"/>
        </w:rPr>
      </w:pPr>
      <w:bookmarkStart w:id="525" w:name="_Toc422322487"/>
      <w:r>
        <w:rPr>
          <w:rFonts w:hint="eastAsia" w:ascii="宋体" w:hAnsi="宋体"/>
          <w:szCs w:val="24"/>
        </w:rPr>
        <w:t>2.委托人</w:t>
      </w:r>
      <w:r>
        <w:rPr>
          <w:rFonts w:ascii="宋体" w:hAnsi="宋体"/>
          <w:szCs w:val="24"/>
        </w:rPr>
        <w:t>的义务</w:t>
      </w:r>
      <w:bookmarkEnd w:id="525"/>
    </w:p>
    <w:p w14:paraId="1D74713F">
      <w:pPr>
        <w:pStyle w:val="22"/>
        <w:spacing w:before="60" w:line="276" w:lineRule="auto"/>
        <w:ind w:firstLine="480" w:firstLineChars="200"/>
        <w:jc w:val="left"/>
        <w:rPr>
          <w:rFonts w:hint="eastAsia" w:ascii="宋体" w:hAnsi="宋体"/>
          <w:b w:val="0"/>
          <w:sz w:val="24"/>
          <w:szCs w:val="24"/>
        </w:rPr>
      </w:pPr>
      <w:bookmarkStart w:id="526" w:name="_Toc422322488"/>
      <w:bookmarkStart w:id="527" w:name="_Toc419045072"/>
      <w:r>
        <w:rPr>
          <w:rFonts w:hint="eastAsia" w:ascii="宋体" w:hAnsi="宋体"/>
          <w:b w:val="0"/>
          <w:sz w:val="24"/>
          <w:szCs w:val="24"/>
        </w:rPr>
        <w:t>2.1提供资料</w:t>
      </w:r>
      <w:bookmarkEnd w:id="526"/>
      <w:bookmarkEnd w:id="527"/>
    </w:p>
    <w:p w14:paraId="7BF605DE">
      <w:pPr>
        <w:spacing w:line="276" w:lineRule="auto"/>
        <w:ind w:firstLine="480" w:firstLineChars="200"/>
        <w:rPr>
          <w:rFonts w:hint="eastAsia"/>
        </w:rPr>
      </w:pPr>
      <w:r>
        <w:rPr>
          <w:rFonts w:hint="eastAsia"/>
        </w:rPr>
        <w:t>委托人应当在专用条件约定的时间内，按照附录C的约定无偿向咨询人提供与本合同咨询业务有关的资料。在本合同履行过程中，委托人应及时向咨询人提供最新的与本合同咨询业务有关的资料。委托人应对所提供资料的真实性、准确性、合法性与完整性负责。</w:t>
      </w:r>
    </w:p>
    <w:p w14:paraId="1D6F45B7">
      <w:pPr>
        <w:pStyle w:val="22"/>
        <w:spacing w:before="60" w:line="276" w:lineRule="auto"/>
        <w:ind w:firstLine="480" w:firstLineChars="200"/>
        <w:jc w:val="left"/>
        <w:rPr>
          <w:rFonts w:hint="eastAsia" w:ascii="宋体" w:hAnsi="宋体"/>
          <w:b w:val="0"/>
          <w:sz w:val="24"/>
          <w:szCs w:val="24"/>
        </w:rPr>
      </w:pPr>
      <w:bookmarkStart w:id="528" w:name="_Toc419045073"/>
      <w:bookmarkStart w:id="529" w:name="_Toc422322489"/>
      <w:r>
        <w:rPr>
          <w:rFonts w:hint="eastAsia" w:ascii="宋体" w:hAnsi="宋体"/>
          <w:b w:val="0"/>
          <w:sz w:val="24"/>
          <w:szCs w:val="24"/>
        </w:rPr>
        <w:t>2.2提供工作条件</w:t>
      </w:r>
      <w:bookmarkEnd w:id="528"/>
      <w:bookmarkEnd w:id="529"/>
    </w:p>
    <w:p w14:paraId="649C9CBC">
      <w:pPr>
        <w:spacing w:line="276" w:lineRule="auto"/>
        <w:ind w:firstLine="480" w:firstLineChars="200"/>
        <w:rPr>
          <w:rFonts w:hint="eastAsia"/>
        </w:rPr>
      </w:pPr>
      <w:r>
        <w:rPr>
          <w:rFonts w:hint="eastAsia"/>
        </w:rPr>
        <w:t>委托人应为咨询人完成造价咨询提供必要的条件。</w:t>
      </w:r>
    </w:p>
    <w:p w14:paraId="7AB3B4F2">
      <w:pPr>
        <w:spacing w:line="276" w:lineRule="auto"/>
        <w:ind w:firstLine="480" w:firstLineChars="200"/>
        <w:rPr>
          <w:rFonts w:hint="eastAsia"/>
        </w:rPr>
      </w:pPr>
      <w:r>
        <w:rPr>
          <w:rFonts w:hint="eastAsia"/>
        </w:rPr>
        <w:t>2.2.1委托人需要咨询人派驻项目现场咨询人员的，除专用条件另有约定外，项目咨询人员有权无偿使用附录D中由委托人提供的房屋及设备。</w:t>
      </w:r>
    </w:p>
    <w:p w14:paraId="19C2FC6F">
      <w:pPr>
        <w:spacing w:line="276" w:lineRule="auto"/>
        <w:ind w:firstLine="480" w:firstLineChars="200"/>
        <w:rPr>
          <w:rFonts w:hint="eastAsia"/>
        </w:rPr>
      </w:pPr>
      <w:r>
        <w:rPr>
          <w:rFonts w:hint="eastAsia"/>
        </w:rPr>
        <w:t>2.2.2委托人应负责与本工程造价咨询业务有关的所有外部关系的协调，为咨询人履行本合同提供必要的外部条件。</w:t>
      </w:r>
    </w:p>
    <w:p w14:paraId="3863D497">
      <w:pPr>
        <w:pStyle w:val="22"/>
        <w:spacing w:before="60" w:line="276" w:lineRule="auto"/>
        <w:ind w:firstLine="480" w:firstLineChars="200"/>
        <w:jc w:val="left"/>
        <w:rPr>
          <w:rFonts w:hint="eastAsia" w:ascii="宋体" w:hAnsi="宋体"/>
          <w:b w:val="0"/>
          <w:sz w:val="24"/>
          <w:szCs w:val="24"/>
        </w:rPr>
      </w:pPr>
      <w:bookmarkStart w:id="530" w:name="_Toc419045074"/>
      <w:bookmarkStart w:id="531" w:name="_Toc422322490"/>
      <w:r>
        <w:rPr>
          <w:rFonts w:hint="eastAsia" w:ascii="宋体" w:hAnsi="宋体"/>
          <w:b w:val="0"/>
          <w:sz w:val="24"/>
          <w:szCs w:val="24"/>
        </w:rPr>
        <w:t>2.3合理工作时限</w:t>
      </w:r>
      <w:bookmarkEnd w:id="530"/>
      <w:bookmarkEnd w:id="531"/>
    </w:p>
    <w:p w14:paraId="75A91D0A">
      <w:pPr>
        <w:spacing w:line="276" w:lineRule="auto"/>
        <w:ind w:firstLine="480" w:firstLineChars="200"/>
        <w:rPr>
          <w:rFonts w:hint="eastAsia"/>
        </w:rPr>
      </w:pPr>
      <w:r>
        <w:rPr>
          <w:rFonts w:hint="eastAsia"/>
        </w:rPr>
        <w:t>委托人应当为咨询人完成其咨询工作，设定合理的工作时限。</w:t>
      </w:r>
    </w:p>
    <w:p w14:paraId="6D12D83D">
      <w:pPr>
        <w:pStyle w:val="22"/>
        <w:spacing w:before="60" w:line="276" w:lineRule="auto"/>
        <w:ind w:firstLine="480" w:firstLineChars="200"/>
        <w:jc w:val="left"/>
        <w:rPr>
          <w:rFonts w:hint="eastAsia" w:ascii="宋体" w:hAnsi="宋体"/>
          <w:b w:val="0"/>
          <w:sz w:val="24"/>
          <w:szCs w:val="24"/>
        </w:rPr>
      </w:pPr>
      <w:bookmarkStart w:id="532" w:name="_Toc422322491"/>
      <w:bookmarkStart w:id="533" w:name="_Toc419045075"/>
      <w:r>
        <w:rPr>
          <w:rFonts w:hint="eastAsia" w:ascii="宋体" w:hAnsi="宋体"/>
          <w:b w:val="0"/>
          <w:sz w:val="24"/>
          <w:szCs w:val="24"/>
        </w:rPr>
        <w:t>2.4委托人代表</w:t>
      </w:r>
      <w:bookmarkEnd w:id="532"/>
      <w:bookmarkEnd w:id="533"/>
    </w:p>
    <w:p w14:paraId="58115A5A">
      <w:pPr>
        <w:spacing w:line="276" w:lineRule="auto"/>
        <w:ind w:firstLine="480" w:firstLineChars="200"/>
        <w:rPr>
          <w:rFonts w:hint="eastAsia"/>
        </w:rPr>
      </w:pPr>
      <w:r>
        <w:rPr>
          <w:rFonts w:hint="eastAsia"/>
        </w:rPr>
        <w:t>委托人应授权一名代表负责本合同的履行。委托人应在双方签订本合同7日内，将委托人代表的姓名和权限范围书面告知咨询人。委托人更换委托人代表时，应提前7日书面通知咨询人。</w:t>
      </w:r>
    </w:p>
    <w:p w14:paraId="1C191E19">
      <w:pPr>
        <w:pStyle w:val="22"/>
        <w:spacing w:before="60" w:line="276" w:lineRule="auto"/>
        <w:ind w:firstLine="480" w:firstLineChars="200"/>
        <w:jc w:val="left"/>
        <w:rPr>
          <w:rFonts w:hint="eastAsia" w:ascii="宋体" w:hAnsi="宋体"/>
          <w:b w:val="0"/>
          <w:sz w:val="24"/>
          <w:szCs w:val="24"/>
        </w:rPr>
      </w:pPr>
      <w:bookmarkStart w:id="534" w:name="_Toc419045076"/>
      <w:bookmarkStart w:id="535" w:name="_Toc422322492"/>
      <w:r>
        <w:rPr>
          <w:rFonts w:hint="eastAsia" w:ascii="宋体" w:hAnsi="宋体"/>
          <w:b w:val="0"/>
          <w:sz w:val="24"/>
          <w:szCs w:val="24"/>
        </w:rPr>
        <w:t>2.5答复</w:t>
      </w:r>
      <w:bookmarkEnd w:id="534"/>
      <w:bookmarkEnd w:id="535"/>
    </w:p>
    <w:p w14:paraId="13AAD281">
      <w:pPr>
        <w:spacing w:line="276" w:lineRule="auto"/>
        <w:ind w:firstLine="480" w:firstLineChars="200"/>
        <w:rPr>
          <w:rFonts w:hint="eastAsia"/>
        </w:rPr>
      </w:pPr>
      <w:r>
        <w:rPr>
          <w:rFonts w:hint="eastAsia"/>
        </w:rPr>
        <w:t>委托人应当在专用条件约定的时间内就咨询人以书面形式提交并要求做出答复的事宜给予书面答复。逾期未答复的，由此造成的工作延误和损失由委托人承担。</w:t>
      </w:r>
    </w:p>
    <w:p w14:paraId="252A3C35">
      <w:pPr>
        <w:pStyle w:val="22"/>
        <w:spacing w:before="60" w:line="276" w:lineRule="auto"/>
        <w:ind w:firstLine="480" w:firstLineChars="200"/>
        <w:jc w:val="left"/>
        <w:rPr>
          <w:rFonts w:hint="eastAsia" w:ascii="宋体" w:hAnsi="宋体"/>
          <w:b w:val="0"/>
          <w:sz w:val="24"/>
          <w:szCs w:val="24"/>
        </w:rPr>
      </w:pPr>
      <w:bookmarkStart w:id="536" w:name="_Toc422322493"/>
      <w:bookmarkStart w:id="537" w:name="_Toc419045077"/>
      <w:r>
        <w:rPr>
          <w:rFonts w:hint="eastAsia" w:ascii="宋体" w:hAnsi="宋体"/>
          <w:b w:val="0"/>
          <w:sz w:val="24"/>
          <w:szCs w:val="24"/>
        </w:rPr>
        <w:t>2.6支付</w:t>
      </w:r>
      <w:bookmarkEnd w:id="536"/>
      <w:bookmarkEnd w:id="537"/>
    </w:p>
    <w:p w14:paraId="1E38FDE4">
      <w:pPr>
        <w:spacing w:line="276" w:lineRule="auto"/>
        <w:ind w:firstLine="480" w:firstLineChars="200"/>
      </w:pPr>
      <w:r>
        <w:rPr>
          <w:rFonts w:hint="eastAsia"/>
        </w:rPr>
        <w:t>委托人应当按照合同的约定，向咨询人支付酬金。</w:t>
      </w:r>
    </w:p>
    <w:p w14:paraId="377B2E72">
      <w:pPr>
        <w:pStyle w:val="30"/>
        <w:spacing w:before="0" w:after="0" w:line="276" w:lineRule="auto"/>
        <w:ind w:firstLine="482" w:firstLineChars="200"/>
        <w:jc w:val="left"/>
        <w:rPr>
          <w:rFonts w:hint="eastAsia" w:ascii="宋体" w:hAnsi="宋体"/>
          <w:szCs w:val="24"/>
        </w:rPr>
      </w:pPr>
      <w:bookmarkStart w:id="538" w:name="_Toc419045078"/>
      <w:bookmarkStart w:id="539" w:name="_Toc422322494"/>
      <w:r>
        <w:rPr>
          <w:rFonts w:hint="eastAsia" w:ascii="宋体" w:hAnsi="宋体"/>
          <w:szCs w:val="24"/>
        </w:rPr>
        <w:t>3.咨询人的义务</w:t>
      </w:r>
      <w:bookmarkEnd w:id="538"/>
      <w:bookmarkEnd w:id="539"/>
    </w:p>
    <w:p w14:paraId="507ED19B">
      <w:pPr>
        <w:pStyle w:val="22"/>
        <w:spacing w:before="60" w:line="276" w:lineRule="auto"/>
        <w:ind w:firstLine="480" w:firstLineChars="200"/>
        <w:jc w:val="left"/>
        <w:rPr>
          <w:rFonts w:hint="eastAsia" w:ascii="宋体" w:hAnsi="宋体"/>
          <w:b w:val="0"/>
          <w:sz w:val="24"/>
          <w:szCs w:val="24"/>
        </w:rPr>
      </w:pPr>
      <w:bookmarkStart w:id="540" w:name="_Toc419045080"/>
      <w:bookmarkStart w:id="541" w:name="_Toc422322495"/>
      <w:bookmarkStart w:id="542" w:name="16"/>
      <w:r>
        <w:rPr>
          <w:rFonts w:hint="eastAsia" w:ascii="宋体" w:hAnsi="宋体"/>
          <w:b w:val="0"/>
          <w:sz w:val="24"/>
          <w:szCs w:val="24"/>
        </w:rPr>
        <w:t>3.1 项目咨询团队及人员</w:t>
      </w:r>
      <w:bookmarkEnd w:id="540"/>
      <w:bookmarkEnd w:id="541"/>
    </w:p>
    <w:p w14:paraId="1FD9D761">
      <w:pPr>
        <w:pStyle w:val="91"/>
        <w:spacing w:line="276" w:lineRule="auto"/>
        <w:ind w:firstLine="480" w:firstLineChars="200"/>
        <w:jc w:val="left"/>
        <w:rPr>
          <w:rFonts w:hint="eastAsia" w:ascii="宋体" w:hAnsi="宋体"/>
          <w:sz w:val="24"/>
          <w:szCs w:val="24"/>
        </w:rPr>
      </w:pPr>
      <w:r>
        <w:rPr>
          <w:rFonts w:hint="eastAsia" w:ascii="宋体" w:hAnsi="宋体"/>
          <w:sz w:val="24"/>
          <w:szCs w:val="24"/>
        </w:rPr>
        <w:t>3.1.1项目咨询团队的主要人员应具有专用条件约定的资格条件，团队人员的数量应符合专用条件的约定。</w:t>
      </w:r>
    </w:p>
    <w:p w14:paraId="3EBDC015">
      <w:pPr>
        <w:pStyle w:val="91"/>
        <w:spacing w:line="276" w:lineRule="auto"/>
        <w:ind w:firstLine="480" w:firstLineChars="200"/>
        <w:jc w:val="left"/>
        <w:rPr>
          <w:rFonts w:hint="eastAsia" w:ascii="宋体" w:hAnsi="宋体"/>
          <w:sz w:val="24"/>
          <w:szCs w:val="24"/>
        </w:rPr>
      </w:pPr>
      <w:r>
        <w:rPr>
          <w:rFonts w:hint="eastAsia" w:ascii="宋体" w:hAnsi="宋体"/>
          <w:sz w:val="24"/>
          <w:szCs w:val="24"/>
        </w:rPr>
        <w:t>3.1.2项目负责人</w:t>
      </w:r>
    </w:p>
    <w:p w14:paraId="1D03DF1D">
      <w:pPr>
        <w:pStyle w:val="91"/>
        <w:spacing w:line="276" w:lineRule="auto"/>
        <w:ind w:firstLine="480" w:firstLineChars="200"/>
        <w:rPr>
          <w:rFonts w:hint="eastAsia" w:ascii="宋体" w:hAnsi="宋体"/>
          <w:sz w:val="24"/>
          <w:szCs w:val="24"/>
        </w:rPr>
      </w:pPr>
      <w:r>
        <w:rPr>
          <w:rFonts w:hint="eastAsia" w:ascii="宋体" w:hAnsi="宋体"/>
          <w:sz w:val="24"/>
          <w:szCs w:val="24"/>
        </w:rPr>
        <w:t>咨询人应以书面形式授权一名项目负责人负责履行本合同、主持项目咨询团队工作。采用招标程序签署本合同的，项目负责人应当与投标文件载明的一致。</w:t>
      </w:r>
    </w:p>
    <w:p w14:paraId="70CFFC0E">
      <w:pPr>
        <w:pStyle w:val="91"/>
        <w:spacing w:line="276" w:lineRule="auto"/>
        <w:ind w:firstLine="480" w:firstLineChars="200"/>
        <w:rPr>
          <w:rFonts w:hint="eastAsia" w:ascii="宋体" w:hAnsi="宋体"/>
          <w:sz w:val="24"/>
          <w:szCs w:val="24"/>
        </w:rPr>
      </w:pPr>
      <w:r>
        <w:rPr>
          <w:rFonts w:hint="eastAsia" w:ascii="宋体" w:hAnsi="宋体"/>
          <w:sz w:val="24"/>
          <w:szCs w:val="24"/>
        </w:rPr>
        <w:t>3.1.3在本合同履行过程中，咨询人员应保持相对稳定，以保证咨询工作正常进行。</w:t>
      </w:r>
    </w:p>
    <w:p w14:paraId="1AE00DB3">
      <w:pPr>
        <w:pStyle w:val="91"/>
        <w:spacing w:line="276" w:lineRule="auto"/>
        <w:ind w:firstLine="480" w:firstLineChars="200"/>
        <w:rPr>
          <w:rFonts w:hint="eastAsia" w:ascii="宋体" w:hAnsi="宋体"/>
          <w:sz w:val="24"/>
          <w:szCs w:val="24"/>
        </w:rPr>
      </w:pPr>
      <w:r>
        <w:rPr>
          <w:rFonts w:hint="eastAsia" w:ascii="宋体" w:hAnsi="宋体"/>
          <w:sz w:val="24"/>
          <w:szCs w:val="24"/>
        </w:rPr>
        <w:t>咨询人可根据工程进展和工作需要等情形调整项目咨询团队人员。咨询人更换项目负责人时，应提前7日向委托人书面报告，经委托人同意后方可更换。除专用条件另有约定外，咨询人更换项目咨询团队其他咨询人员，应提前3日向委托人书面报告，经委托人同意后以相当资格与能力的人员替换。</w:t>
      </w:r>
    </w:p>
    <w:p w14:paraId="7654E3CA">
      <w:pPr>
        <w:pStyle w:val="91"/>
        <w:spacing w:line="276" w:lineRule="auto"/>
        <w:ind w:firstLine="480" w:firstLineChars="200"/>
        <w:rPr>
          <w:rFonts w:hint="eastAsia" w:ascii="宋体" w:hAnsi="宋体"/>
          <w:sz w:val="24"/>
          <w:szCs w:val="24"/>
        </w:rPr>
      </w:pPr>
      <w:r>
        <w:rPr>
          <w:rFonts w:hint="eastAsia" w:ascii="宋体" w:hAnsi="宋体"/>
          <w:sz w:val="24"/>
          <w:szCs w:val="24"/>
        </w:rPr>
        <w:t>3.1.4咨询人员有下列情形之一，委托人要求咨询人更换的，咨询人应当更换：</w:t>
      </w:r>
    </w:p>
    <w:p w14:paraId="1E5D4E7C">
      <w:pPr>
        <w:pStyle w:val="91"/>
        <w:spacing w:line="276" w:lineRule="auto"/>
        <w:ind w:firstLine="336"/>
        <w:jc w:val="left"/>
        <w:rPr>
          <w:rFonts w:hint="eastAsia" w:ascii="宋体" w:hAnsi="宋体"/>
          <w:sz w:val="24"/>
          <w:szCs w:val="24"/>
        </w:rPr>
      </w:pPr>
      <w:r>
        <w:rPr>
          <w:rFonts w:hint="eastAsia" w:ascii="宋体" w:hAnsi="宋体"/>
          <w:sz w:val="24"/>
          <w:szCs w:val="24"/>
        </w:rPr>
        <w:t>（1）存在严重过失行为的；</w:t>
      </w:r>
    </w:p>
    <w:p w14:paraId="5896CEE9">
      <w:pPr>
        <w:pStyle w:val="91"/>
        <w:spacing w:line="276" w:lineRule="auto"/>
        <w:ind w:firstLine="336"/>
        <w:jc w:val="left"/>
        <w:rPr>
          <w:rFonts w:hint="eastAsia" w:ascii="宋体" w:hAnsi="宋体"/>
          <w:sz w:val="24"/>
          <w:szCs w:val="24"/>
        </w:rPr>
      </w:pPr>
      <w:r>
        <w:rPr>
          <w:rFonts w:hint="eastAsia" w:ascii="宋体" w:hAnsi="宋体"/>
          <w:sz w:val="24"/>
          <w:szCs w:val="24"/>
        </w:rPr>
        <w:t>（2）存在违法行为不能履行职责的；</w:t>
      </w:r>
    </w:p>
    <w:p w14:paraId="5D740E7B">
      <w:pPr>
        <w:pStyle w:val="91"/>
        <w:spacing w:line="276" w:lineRule="auto"/>
        <w:ind w:firstLine="336"/>
        <w:jc w:val="left"/>
        <w:rPr>
          <w:rFonts w:hint="eastAsia" w:ascii="宋体" w:hAnsi="宋体"/>
          <w:sz w:val="24"/>
          <w:szCs w:val="24"/>
        </w:rPr>
      </w:pPr>
      <w:r>
        <w:rPr>
          <w:rFonts w:hint="eastAsia" w:ascii="宋体" w:hAnsi="宋体"/>
          <w:sz w:val="24"/>
          <w:szCs w:val="24"/>
        </w:rPr>
        <w:t>（3）涉嫌犯罪的；</w:t>
      </w:r>
    </w:p>
    <w:p w14:paraId="2AD6E54F">
      <w:pPr>
        <w:pStyle w:val="91"/>
        <w:spacing w:line="276" w:lineRule="auto"/>
        <w:ind w:firstLine="336"/>
        <w:jc w:val="left"/>
        <w:rPr>
          <w:rFonts w:hint="eastAsia" w:ascii="宋体" w:hAnsi="宋体"/>
          <w:sz w:val="24"/>
          <w:szCs w:val="24"/>
        </w:rPr>
      </w:pPr>
      <w:r>
        <w:rPr>
          <w:rFonts w:hint="eastAsia" w:ascii="宋体" w:hAnsi="宋体"/>
          <w:sz w:val="24"/>
          <w:szCs w:val="24"/>
        </w:rPr>
        <w:t>（4）不能胜任岗位职责的；</w:t>
      </w:r>
    </w:p>
    <w:p w14:paraId="199A2C6F">
      <w:pPr>
        <w:pStyle w:val="91"/>
        <w:spacing w:line="276" w:lineRule="auto"/>
        <w:ind w:firstLine="336"/>
        <w:jc w:val="left"/>
        <w:rPr>
          <w:rFonts w:hint="eastAsia" w:ascii="宋体" w:hAnsi="宋体"/>
          <w:sz w:val="24"/>
          <w:szCs w:val="24"/>
        </w:rPr>
      </w:pPr>
      <w:r>
        <w:rPr>
          <w:rFonts w:hint="eastAsia" w:ascii="宋体" w:hAnsi="宋体"/>
          <w:sz w:val="24"/>
          <w:szCs w:val="24"/>
        </w:rPr>
        <w:t>（5）严重违反职业道德的；</w:t>
      </w:r>
    </w:p>
    <w:p w14:paraId="265C89DE">
      <w:pPr>
        <w:pStyle w:val="91"/>
        <w:spacing w:line="276" w:lineRule="auto"/>
        <w:ind w:firstLine="336"/>
        <w:jc w:val="left"/>
        <w:rPr>
          <w:rStyle w:val="94"/>
          <w:rFonts w:ascii="宋体" w:hAnsi="宋体"/>
          <w:b w:val="0"/>
          <w:sz w:val="24"/>
          <w:szCs w:val="24"/>
        </w:rPr>
      </w:pPr>
      <w:r>
        <w:rPr>
          <w:rFonts w:hint="eastAsia" w:ascii="宋体" w:hAnsi="宋体"/>
          <w:sz w:val="24"/>
          <w:szCs w:val="24"/>
        </w:rPr>
        <w:t>（6）专用条件约定的其他情形。</w:t>
      </w:r>
    </w:p>
    <w:p w14:paraId="6378156A">
      <w:pPr>
        <w:pStyle w:val="22"/>
        <w:spacing w:before="60" w:line="276" w:lineRule="auto"/>
        <w:ind w:firstLine="480" w:firstLineChars="200"/>
        <w:jc w:val="left"/>
        <w:rPr>
          <w:rFonts w:hint="eastAsia" w:ascii="宋体" w:hAnsi="宋体"/>
          <w:b w:val="0"/>
          <w:sz w:val="24"/>
          <w:szCs w:val="24"/>
        </w:rPr>
      </w:pPr>
      <w:bookmarkStart w:id="543" w:name="_Toc422322496"/>
      <w:r>
        <w:rPr>
          <w:rFonts w:hint="eastAsia" w:ascii="宋体" w:hAnsi="宋体"/>
          <w:b w:val="0"/>
          <w:sz w:val="24"/>
          <w:szCs w:val="24"/>
        </w:rPr>
        <w:t>3.2 咨询人</w:t>
      </w:r>
      <w:r>
        <w:rPr>
          <w:rFonts w:ascii="宋体" w:hAnsi="宋体"/>
          <w:b w:val="0"/>
          <w:sz w:val="24"/>
          <w:szCs w:val="24"/>
        </w:rPr>
        <w:t>的工作要求</w:t>
      </w:r>
      <w:bookmarkEnd w:id="543"/>
    </w:p>
    <w:p w14:paraId="64475A24">
      <w:pPr>
        <w:pStyle w:val="91"/>
        <w:spacing w:line="276" w:lineRule="auto"/>
        <w:ind w:firstLine="480" w:firstLineChars="200"/>
        <w:jc w:val="left"/>
        <w:rPr>
          <w:rFonts w:hint="eastAsia" w:ascii="宋体" w:hAnsi="宋体"/>
          <w:sz w:val="24"/>
          <w:szCs w:val="24"/>
        </w:rPr>
      </w:pPr>
      <w:r>
        <w:rPr>
          <w:rFonts w:hint="eastAsia" w:ascii="宋体" w:hAnsi="宋体"/>
          <w:sz w:val="24"/>
          <w:szCs w:val="24"/>
        </w:rPr>
        <w:t>3.2.1咨询人应当按照专用条件约定的时间等要求向委托人提供与工程造价咨询业务有关的资料，包括工程造价咨询企业的资质证书及承担本合同业务的团队人员名单及执业（从业）资格证书、咨询工作大纲等，并按合同约定的服务范围和工作内容实施咨询业务。</w:t>
      </w:r>
    </w:p>
    <w:p w14:paraId="27942E25">
      <w:pPr>
        <w:pStyle w:val="91"/>
        <w:spacing w:line="276" w:lineRule="auto"/>
        <w:ind w:firstLine="480" w:firstLineChars="200"/>
        <w:jc w:val="left"/>
        <w:rPr>
          <w:rFonts w:hint="eastAsia" w:ascii="宋体" w:hAnsi="宋体"/>
          <w:sz w:val="24"/>
          <w:szCs w:val="24"/>
        </w:rPr>
      </w:pPr>
      <w:r>
        <w:rPr>
          <w:rFonts w:hint="eastAsia" w:ascii="宋体" w:hAnsi="宋体"/>
          <w:sz w:val="24"/>
          <w:szCs w:val="24"/>
        </w:rPr>
        <w:t>3.2.2咨询人应当在专用条件约定的时间内，按照专用条件约定的份数、组成向委托人提交咨询成果文件。</w:t>
      </w:r>
    </w:p>
    <w:p w14:paraId="356A7BDB">
      <w:pPr>
        <w:pStyle w:val="91"/>
        <w:spacing w:line="276" w:lineRule="auto"/>
        <w:ind w:firstLine="480" w:firstLineChars="200"/>
        <w:jc w:val="left"/>
        <w:rPr>
          <w:rFonts w:hint="eastAsia" w:ascii="宋体" w:hAnsi="宋体"/>
          <w:sz w:val="24"/>
          <w:szCs w:val="24"/>
        </w:rPr>
      </w:pPr>
      <w:r>
        <w:rPr>
          <w:rFonts w:hint="eastAsia" w:ascii="宋体" w:hAnsi="宋体"/>
          <w:sz w:val="24"/>
          <w:szCs w:val="24"/>
        </w:rPr>
        <w:t>咨询人提供造价咨询服务以及出具工程造价咨询成果文件应符合现行国家或行业有关规定、标准、规范的要求。委托人要求的工程造价咨询成果文件质量标准高于现行国家或行业标准的，应在专用条件中约定具体的质量标准，并相应增加服务酬金。</w:t>
      </w:r>
    </w:p>
    <w:p w14:paraId="2CF013A2">
      <w:pPr>
        <w:pStyle w:val="91"/>
        <w:spacing w:line="276" w:lineRule="auto"/>
        <w:ind w:firstLine="480" w:firstLineChars="200"/>
        <w:jc w:val="left"/>
        <w:rPr>
          <w:rFonts w:hint="eastAsia" w:ascii="宋体" w:hAnsi="宋体"/>
          <w:sz w:val="24"/>
          <w:szCs w:val="24"/>
        </w:rPr>
      </w:pPr>
      <w:r>
        <w:rPr>
          <w:rFonts w:hint="eastAsia" w:ascii="宋体" w:hAnsi="宋体"/>
          <w:sz w:val="24"/>
          <w:szCs w:val="24"/>
        </w:rPr>
        <w:t>3.2.3咨询人提交的工程造价咨询成果文件，除加盖咨询人单位公章、工程造价咨询企业执业印章外，还必须按要求加盖参加咨询工作人员的执业（从业）资格印章。</w:t>
      </w:r>
    </w:p>
    <w:p w14:paraId="67C6DE08">
      <w:pPr>
        <w:pStyle w:val="91"/>
        <w:spacing w:line="276" w:lineRule="auto"/>
        <w:ind w:firstLine="480" w:firstLineChars="200"/>
        <w:jc w:val="left"/>
        <w:rPr>
          <w:rFonts w:hint="eastAsia" w:ascii="宋体" w:hAnsi="宋体"/>
          <w:sz w:val="24"/>
          <w:szCs w:val="24"/>
        </w:rPr>
      </w:pPr>
      <w:r>
        <w:rPr>
          <w:rFonts w:hint="eastAsia" w:ascii="宋体" w:hAnsi="宋体"/>
          <w:sz w:val="24"/>
          <w:szCs w:val="24"/>
        </w:rPr>
        <w:t>3.2.4咨询人应在专用条件约定的时间内，对委托人以书面形式提出的建议或者异议给予书面答复。</w:t>
      </w:r>
    </w:p>
    <w:p w14:paraId="2309FEBC">
      <w:pPr>
        <w:pStyle w:val="91"/>
        <w:spacing w:line="276" w:lineRule="auto"/>
        <w:ind w:firstLine="480" w:firstLineChars="200"/>
        <w:jc w:val="left"/>
        <w:rPr>
          <w:rFonts w:hint="eastAsia" w:ascii="宋体" w:hAnsi="宋体"/>
          <w:sz w:val="24"/>
          <w:szCs w:val="24"/>
        </w:rPr>
      </w:pPr>
      <w:r>
        <w:rPr>
          <w:rFonts w:hint="eastAsia" w:ascii="宋体" w:hAnsi="宋体"/>
          <w:sz w:val="24"/>
          <w:szCs w:val="24"/>
        </w:rPr>
        <w:t>3.2.5咨询人从事工程造价咨询活动，应当遵循独立、客观、公正、诚</w:t>
      </w:r>
    </w:p>
    <w:p w14:paraId="7295AD8E">
      <w:pPr>
        <w:pStyle w:val="91"/>
        <w:spacing w:line="276" w:lineRule="auto"/>
        <w:jc w:val="left"/>
        <w:rPr>
          <w:rFonts w:hint="eastAsia" w:ascii="宋体" w:hAnsi="宋体"/>
          <w:sz w:val="24"/>
          <w:szCs w:val="24"/>
        </w:rPr>
      </w:pPr>
      <w:r>
        <w:rPr>
          <w:rFonts w:hint="eastAsia" w:ascii="宋体" w:hAnsi="宋体"/>
          <w:sz w:val="24"/>
          <w:szCs w:val="24"/>
        </w:rPr>
        <w:t>实信用的原则，不得损害社会公共利益和他人的合法权益。</w:t>
      </w:r>
    </w:p>
    <w:p w14:paraId="7E49344F">
      <w:pPr>
        <w:pStyle w:val="91"/>
        <w:spacing w:line="276" w:lineRule="auto"/>
        <w:ind w:firstLine="480" w:firstLineChars="200"/>
        <w:jc w:val="left"/>
        <w:rPr>
          <w:rFonts w:hint="eastAsia" w:ascii="宋体" w:hAnsi="宋体"/>
          <w:sz w:val="24"/>
          <w:szCs w:val="24"/>
        </w:rPr>
      </w:pPr>
      <w:r>
        <w:rPr>
          <w:rFonts w:hint="eastAsia" w:ascii="宋体" w:hAnsi="宋体"/>
          <w:sz w:val="24"/>
          <w:szCs w:val="24"/>
        </w:rPr>
        <w:t>3.2.6咨询人承诺按照法律规定及合同约定，完成合同范围内的建设工程造价咨询服务，不转包承接的造价咨询服务业务。</w:t>
      </w:r>
    </w:p>
    <w:p w14:paraId="509424A0">
      <w:pPr>
        <w:pStyle w:val="22"/>
        <w:spacing w:before="60" w:line="276" w:lineRule="auto"/>
        <w:ind w:firstLine="480" w:firstLineChars="200"/>
        <w:jc w:val="left"/>
        <w:rPr>
          <w:rFonts w:hint="eastAsia" w:ascii="宋体" w:hAnsi="宋体"/>
          <w:b w:val="0"/>
          <w:sz w:val="24"/>
          <w:szCs w:val="24"/>
        </w:rPr>
      </w:pPr>
      <w:bookmarkStart w:id="544" w:name="_Toc419045081"/>
      <w:bookmarkStart w:id="545" w:name="_Toc422322497"/>
      <w:r>
        <w:rPr>
          <w:rFonts w:hint="eastAsia" w:ascii="宋体" w:hAnsi="宋体"/>
          <w:b w:val="0"/>
          <w:sz w:val="24"/>
          <w:szCs w:val="24"/>
        </w:rPr>
        <w:t>3.3咨询人的工作依据</w:t>
      </w:r>
      <w:bookmarkEnd w:id="544"/>
      <w:bookmarkEnd w:id="545"/>
    </w:p>
    <w:p w14:paraId="1F62B3EF">
      <w:pPr>
        <w:pStyle w:val="91"/>
        <w:spacing w:line="276" w:lineRule="auto"/>
        <w:ind w:firstLine="480" w:firstLineChars="200"/>
        <w:jc w:val="left"/>
        <w:rPr>
          <w:rFonts w:hint="eastAsia" w:ascii="宋体" w:hAnsi="宋体"/>
          <w:sz w:val="24"/>
          <w:szCs w:val="24"/>
        </w:rPr>
      </w:pPr>
      <w:r>
        <w:rPr>
          <w:rFonts w:hint="eastAsia" w:ascii="宋体" w:hAnsi="宋体"/>
          <w:sz w:val="24"/>
          <w:szCs w:val="24"/>
        </w:rPr>
        <w:t>咨询人应在专用条件内与委托人协商明确履行本合同约定的咨询服务需要适用的技术标准、规范、定额等工作依据，但不得违反国家及工程所在地的强制性标准、规范。</w:t>
      </w:r>
    </w:p>
    <w:p w14:paraId="1AAB87CD">
      <w:pPr>
        <w:pStyle w:val="91"/>
        <w:spacing w:line="276" w:lineRule="auto"/>
        <w:ind w:firstLine="480" w:firstLineChars="200"/>
        <w:jc w:val="left"/>
        <w:rPr>
          <w:rFonts w:hint="eastAsia" w:ascii="宋体" w:hAnsi="宋体"/>
          <w:sz w:val="24"/>
          <w:szCs w:val="24"/>
        </w:rPr>
      </w:pPr>
      <w:r>
        <w:rPr>
          <w:rFonts w:hint="eastAsia" w:ascii="宋体" w:hAnsi="宋体"/>
          <w:sz w:val="24"/>
          <w:szCs w:val="24"/>
        </w:rPr>
        <w:t>咨询人应自行配备本条所述的技术标准、规范、定额等相关资料。必须由委托人提供的资料，应在附录C中载明。需要委托人协助才能获得的资料，委托人应予以协助。</w:t>
      </w:r>
    </w:p>
    <w:p w14:paraId="418CD05C">
      <w:pPr>
        <w:pStyle w:val="22"/>
        <w:spacing w:before="60" w:line="276" w:lineRule="auto"/>
        <w:ind w:firstLine="480" w:firstLineChars="200"/>
        <w:jc w:val="left"/>
        <w:rPr>
          <w:rFonts w:hint="eastAsia" w:ascii="宋体" w:hAnsi="宋体"/>
          <w:b w:val="0"/>
          <w:sz w:val="24"/>
          <w:szCs w:val="24"/>
        </w:rPr>
      </w:pPr>
      <w:bookmarkStart w:id="546" w:name="_Toc422322498"/>
      <w:bookmarkStart w:id="547" w:name="_Toc419045082"/>
      <w:r>
        <w:rPr>
          <w:rFonts w:hint="eastAsia" w:ascii="宋体" w:hAnsi="宋体"/>
          <w:b w:val="0"/>
          <w:sz w:val="24"/>
          <w:szCs w:val="24"/>
        </w:rPr>
        <w:t>3.4使用委托人房屋及设备的返还</w:t>
      </w:r>
      <w:bookmarkEnd w:id="546"/>
      <w:bookmarkEnd w:id="547"/>
    </w:p>
    <w:p w14:paraId="617F8079">
      <w:pPr>
        <w:pStyle w:val="91"/>
        <w:spacing w:line="276" w:lineRule="auto"/>
        <w:ind w:firstLine="360" w:firstLineChars="150"/>
        <w:jc w:val="left"/>
        <w:rPr>
          <w:rFonts w:hint="eastAsia" w:ascii="宋体" w:hAnsi="宋体"/>
          <w:sz w:val="24"/>
          <w:szCs w:val="24"/>
        </w:rPr>
      </w:pPr>
      <w:r>
        <w:rPr>
          <w:rFonts w:hint="eastAsia" w:ascii="宋体" w:hAnsi="宋体"/>
          <w:sz w:val="24"/>
          <w:szCs w:val="24"/>
        </w:rPr>
        <w:t>项目咨询人员使用委托人提供的房屋及设备的，咨询人应妥善使用和保管，在本合同终止时将上述房屋及设备按专用条件约定的时间和方式返还委托人。</w:t>
      </w:r>
    </w:p>
    <w:bookmarkEnd w:id="542"/>
    <w:p w14:paraId="5C1148DD">
      <w:pPr>
        <w:spacing w:line="276" w:lineRule="auto"/>
        <w:ind w:firstLine="482" w:firstLineChars="200"/>
        <w:rPr>
          <w:rStyle w:val="93"/>
          <w:rFonts w:hint="eastAsia" w:ascii="宋体" w:hAnsi="宋体"/>
          <w:szCs w:val="24"/>
        </w:rPr>
      </w:pPr>
      <w:bookmarkStart w:id="548" w:name="_Toc419045083"/>
      <w:bookmarkStart w:id="549" w:name="_Toc422322499"/>
      <w:bookmarkStart w:id="550" w:name="19"/>
      <w:r>
        <w:rPr>
          <w:rStyle w:val="93"/>
          <w:rFonts w:hint="eastAsia" w:ascii="宋体" w:hAnsi="宋体"/>
          <w:szCs w:val="24"/>
        </w:rPr>
        <w:t>4.违约责任</w:t>
      </w:r>
      <w:bookmarkEnd w:id="548"/>
      <w:bookmarkEnd w:id="549"/>
    </w:p>
    <w:p w14:paraId="20A8DC53">
      <w:pPr>
        <w:pStyle w:val="22"/>
        <w:spacing w:before="60" w:line="276" w:lineRule="auto"/>
        <w:ind w:firstLine="480" w:firstLineChars="200"/>
        <w:jc w:val="left"/>
        <w:rPr>
          <w:rFonts w:hint="eastAsia" w:ascii="宋体" w:hAnsi="宋体"/>
          <w:b w:val="0"/>
          <w:sz w:val="24"/>
          <w:szCs w:val="24"/>
        </w:rPr>
      </w:pPr>
      <w:bookmarkStart w:id="551" w:name="_Toc422322500"/>
      <w:r>
        <w:rPr>
          <w:rFonts w:hint="eastAsia" w:ascii="宋体" w:hAnsi="宋体"/>
          <w:b w:val="0"/>
          <w:sz w:val="24"/>
          <w:szCs w:val="24"/>
        </w:rPr>
        <w:t>4.1委托人的违约责任</w:t>
      </w:r>
      <w:bookmarkEnd w:id="551"/>
    </w:p>
    <w:p w14:paraId="4639129A">
      <w:pPr>
        <w:pStyle w:val="91"/>
        <w:spacing w:line="276" w:lineRule="auto"/>
        <w:ind w:firstLine="480" w:firstLineChars="200"/>
        <w:jc w:val="left"/>
        <w:rPr>
          <w:rFonts w:hint="eastAsia" w:ascii="宋体" w:hAnsi="宋体"/>
          <w:sz w:val="24"/>
          <w:szCs w:val="24"/>
        </w:rPr>
      </w:pPr>
      <w:r>
        <w:rPr>
          <w:rFonts w:hint="eastAsia" w:ascii="宋体" w:hAnsi="宋体"/>
          <w:sz w:val="24"/>
          <w:szCs w:val="24"/>
        </w:rPr>
        <w:t>4.1.1委托人不履行本合同义务或者履行义务不符合本合同约定的，应承担违约责任。双方可</w:t>
      </w:r>
      <w:r>
        <w:rPr>
          <w:rFonts w:ascii="宋体" w:hAnsi="宋体"/>
          <w:sz w:val="24"/>
          <w:szCs w:val="24"/>
        </w:rPr>
        <w:t>在专用条件中约定</w:t>
      </w:r>
      <w:r>
        <w:rPr>
          <w:rFonts w:hint="eastAsia" w:ascii="宋体" w:hAnsi="宋体"/>
          <w:sz w:val="24"/>
          <w:szCs w:val="24"/>
        </w:rPr>
        <w:t>违约金</w:t>
      </w:r>
      <w:r>
        <w:rPr>
          <w:rFonts w:ascii="宋体" w:hAnsi="宋体"/>
          <w:sz w:val="24"/>
          <w:szCs w:val="24"/>
        </w:rPr>
        <w:t>的</w:t>
      </w:r>
      <w:r>
        <w:rPr>
          <w:rFonts w:hint="eastAsia" w:ascii="宋体" w:hAnsi="宋体"/>
          <w:sz w:val="24"/>
          <w:szCs w:val="24"/>
        </w:rPr>
        <w:t>计算及支付</w:t>
      </w:r>
      <w:r>
        <w:rPr>
          <w:rFonts w:ascii="宋体" w:hAnsi="宋体"/>
          <w:sz w:val="24"/>
          <w:szCs w:val="24"/>
        </w:rPr>
        <w:t>方法。</w:t>
      </w:r>
    </w:p>
    <w:p w14:paraId="23570C0E">
      <w:pPr>
        <w:pStyle w:val="91"/>
        <w:spacing w:line="276" w:lineRule="auto"/>
        <w:ind w:firstLine="480" w:firstLineChars="200"/>
        <w:jc w:val="left"/>
        <w:rPr>
          <w:rFonts w:hint="eastAsia" w:ascii="宋体" w:hAnsi="宋体"/>
          <w:sz w:val="24"/>
          <w:szCs w:val="24"/>
        </w:rPr>
      </w:pPr>
      <w:r>
        <w:rPr>
          <w:rFonts w:hint="eastAsia" w:ascii="宋体" w:hAnsi="宋体"/>
          <w:sz w:val="24"/>
          <w:szCs w:val="24"/>
        </w:rPr>
        <w:t>4.1.2委托人违反本合同约定造成咨询人损失的，委托人应予以赔偿。双方可</w:t>
      </w:r>
      <w:r>
        <w:rPr>
          <w:rFonts w:ascii="宋体" w:hAnsi="宋体"/>
          <w:sz w:val="24"/>
          <w:szCs w:val="24"/>
        </w:rPr>
        <w:t>在专用条件中约定赔偿金额的确定</w:t>
      </w:r>
      <w:r>
        <w:rPr>
          <w:rFonts w:hint="eastAsia" w:ascii="宋体" w:hAnsi="宋体"/>
          <w:sz w:val="24"/>
          <w:szCs w:val="24"/>
        </w:rPr>
        <w:t>及支付</w:t>
      </w:r>
      <w:r>
        <w:rPr>
          <w:rFonts w:ascii="宋体" w:hAnsi="宋体"/>
          <w:sz w:val="24"/>
          <w:szCs w:val="24"/>
        </w:rPr>
        <w:t>方法。</w:t>
      </w:r>
    </w:p>
    <w:p w14:paraId="3D5B0D3A">
      <w:pPr>
        <w:pStyle w:val="91"/>
        <w:spacing w:line="276" w:lineRule="auto"/>
        <w:ind w:firstLine="480" w:firstLineChars="200"/>
        <w:jc w:val="left"/>
        <w:rPr>
          <w:rStyle w:val="93"/>
          <w:rFonts w:hint="eastAsia" w:ascii="宋体" w:hAnsi="宋体"/>
          <w:b w:val="0"/>
          <w:bCs w:val="0"/>
          <w:szCs w:val="24"/>
        </w:rPr>
      </w:pPr>
      <w:r>
        <w:rPr>
          <w:rFonts w:hint="eastAsia" w:ascii="宋体" w:hAnsi="宋体"/>
          <w:sz w:val="24"/>
          <w:szCs w:val="24"/>
        </w:rPr>
        <w:t>4.1.3委托人未能按期支付酬金超过14天，应按下列方法计算并支付逾期付款利息。逾期付款利息=当期应付款总额×中国人民银行发布的同期贷款基准利率×逾期支付天数（自逾期之日起计算）。双方也可在专用条件中另行约定逾期付款利息的计算及支付方法。</w:t>
      </w:r>
    </w:p>
    <w:p w14:paraId="6F25007F">
      <w:pPr>
        <w:pStyle w:val="22"/>
        <w:spacing w:before="60" w:line="276" w:lineRule="auto"/>
        <w:ind w:firstLine="480" w:firstLineChars="200"/>
        <w:jc w:val="left"/>
        <w:rPr>
          <w:rFonts w:hint="eastAsia" w:ascii="宋体" w:hAnsi="宋体"/>
          <w:b w:val="0"/>
          <w:sz w:val="24"/>
          <w:szCs w:val="24"/>
        </w:rPr>
      </w:pPr>
      <w:bookmarkStart w:id="552" w:name="_Toc419045084"/>
      <w:bookmarkStart w:id="553" w:name="_Toc422322501"/>
      <w:r>
        <w:rPr>
          <w:rFonts w:hint="eastAsia" w:ascii="宋体" w:hAnsi="宋体"/>
          <w:b w:val="0"/>
          <w:sz w:val="24"/>
          <w:szCs w:val="24"/>
        </w:rPr>
        <w:t>4.2咨询人的违约责任</w:t>
      </w:r>
      <w:bookmarkEnd w:id="552"/>
      <w:bookmarkEnd w:id="553"/>
    </w:p>
    <w:p w14:paraId="79B4DC30">
      <w:pPr>
        <w:pStyle w:val="91"/>
        <w:spacing w:line="276" w:lineRule="auto"/>
        <w:ind w:firstLine="480" w:firstLineChars="200"/>
        <w:jc w:val="left"/>
        <w:rPr>
          <w:rFonts w:hint="eastAsia" w:ascii="宋体" w:hAnsi="宋体"/>
          <w:sz w:val="24"/>
          <w:szCs w:val="24"/>
        </w:rPr>
      </w:pPr>
      <w:r>
        <w:rPr>
          <w:rFonts w:hint="eastAsia" w:ascii="宋体" w:hAnsi="宋体"/>
          <w:sz w:val="24"/>
          <w:szCs w:val="24"/>
        </w:rPr>
        <w:t>4.2.1咨询人不履行本合同义务或者履行义务不符合本合同约定的，应承担违约责任。双方可</w:t>
      </w:r>
      <w:r>
        <w:rPr>
          <w:rFonts w:ascii="宋体" w:hAnsi="宋体"/>
          <w:sz w:val="24"/>
          <w:szCs w:val="24"/>
        </w:rPr>
        <w:t>在专用条件中约定</w:t>
      </w:r>
      <w:r>
        <w:rPr>
          <w:rFonts w:hint="eastAsia" w:ascii="宋体" w:hAnsi="宋体"/>
          <w:sz w:val="24"/>
          <w:szCs w:val="24"/>
        </w:rPr>
        <w:t>违约金</w:t>
      </w:r>
      <w:r>
        <w:rPr>
          <w:rFonts w:ascii="宋体" w:hAnsi="宋体"/>
          <w:sz w:val="24"/>
          <w:szCs w:val="24"/>
        </w:rPr>
        <w:t>的</w:t>
      </w:r>
      <w:r>
        <w:rPr>
          <w:rFonts w:hint="eastAsia" w:ascii="宋体" w:hAnsi="宋体"/>
          <w:sz w:val="24"/>
          <w:szCs w:val="24"/>
        </w:rPr>
        <w:t>计算及支付</w:t>
      </w:r>
      <w:r>
        <w:rPr>
          <w:rFonts w:ascii="宋体" w:hAnsi="宋体"/>
          <w:sz w:val="24"/>
          <w:szCs w:val="24"/>
        </w:rPr>
        <w:t>方法。</w:t>
      </w:r>
    </w:p>
    <w:p w14:paraId="406E597F">
      <w:pPr>
        <w:pStyle w:val="91"/>
        <w:spacing w:line="276" w:lineRule="auto"/>
        <w:ind w:firstLine="480" w:firstLineChars="200"/>
        <w:jc w:val="left"/>
        <w:rPr>
          <w:rFonts w:hint="eastAsia" w:ascii="宋体" w:hAnsi="宋体"/>
          <w:sz w:val="24"/>
          <w:szCs w:val="24"/>
        </w:rPr>
      </w:pPr>
      <w:r>
        <w:rPr>
          <w:rFonts w:hint="eastAsia" w:ascii="宋体" w:hAnsi="宋体"/>
          <w:sz w:val="24"/>
          <w:szCs w:val="24"/>
        </w:rPr>
        <w:t>4.2.2</w:t>
      </w:r>
      <w:r>
        <w:rPr>
          <w:rFonts w:ascii="宋体" w:hAnsi="宋体"/>
          <w:sz w:val="24"/>
          <w:szCs w:val="24"/>
        </w:rPr>
        <w:t>因</w:t>
      </w:r>
      <w:r>
        <w:rPr>
          <w:rFonts w:hint="eastAsia" w:ascii="宋体" w:hAnsi="宋体"/>
          <w:sz w:val="24"/>
          <w:szCs w:val="24"/>
        </w:rPr>
        <w:t>咨询</w:t>
      </w:r>
      <w:r>
        <w:rPr>
          <w:rFonts w:ascii="宋体" w:hAnsi="宋体"/>
          <w:sz w:val="24"/>
          <w:szCs w:val="24"/>
        </w:rPr>
        <w:t>人违反本合同约定给委托人造成损失的，</w:t>
      </w:r>
      <w:r>
        <w:rPr>
          <w:rFonts w:hint="eastAsia" w:ascii="宋体" w:hAnsi="宋体"/>
          <w:sz w:val="24"/>
          <w:szCs w:val="24"/>
        </w:rPr>
        <w:t>咨询</w:t>
      </w:r>
      <w:r>
        <w:rPr>
          <w:rFonts w:ascii="宋体" w:hAnsi="宋体"/>
          <w:sz w:val="24"/>
          <w:szCs w:val="24"/>
        </w:rPr>
        <w:t>人应当赔偿委托人损失。</w:t>
      </w:r>
      <w:r>
        <w:rPr>
          <w:rFonts w:hint="eastAsia" w:ascii="宋体" w:hAnsi="宋体"/>
          <w:sz w:val="24"/>
          <w:szCs w:val="24"/>
        </w:rPr>
        <w:t>双方可</w:t>
      </w:r>
      <w:r>
        <w:rPr>
          <w:rFonts w:ascii="宋体" w:hAnsi="宋体"/>
          <w:sz w:val="24"/>
          <w:szCs w:val="24"/>
        </w:rPr>
        <w:t>在专用条件中约定赔偿金额的确定</w:t>
      </w:r>
      <w:r>
        <w:rPr>
          <w:rFonts w:hint="eastAsia" w:ascii="宋体" w:hAnsi="宋体"/>
          <w:sz w:val="24"/>
          <w:szCs w:val="24"/>
        </w:rPr>
        <w:t>及支付</w:t>
      </w:r>
      <w:r>
        <w:rPr>
          <w:rFonts w:ascii="宋体" w:hAnsi="宋体"/>
          <w:sz w:val="24"/>
          <w:szCs w:val="24"/>
        </w:rPr>
        <w:t>方法</w:t>
      </w:r>
      <w:r>
        <w:rPr>
          <w:rFonts w:hint="eastAsia" w:ascii="宋体" w:hAnsi="宋体"/>
          <w:sz w:val="24"/>
          <w:szCs w:val="24"/>
        </w:rPr>
        <w:t>。</w:t>
      </w:r>
    </w:p>
    <w:p w14:paraId="517407DC">
      <w:pPr>
        <w:spacing w:line="276" w:lineRule="auto"/>
        <w:ind w:firstLine="482" w:firstLineChars="200"/>
        <w:rPr>
          <w:rStyle w:val="93"/>
          <w:rFonts w:hint="eastAsia" w:ascii="宋体" w:hAnsi="宋体"/>
          <w:bCs w:val="0"/>
          <w:szCs w:val="24"/>
        </w:rPr>
      </w:pPr>
      <w:bookmarkStart w:id="554" w:name="_Toc422322502"/>
      <w:bookmarkStart w:id="555" w:name="_Toc419045086"/>
      <w:r>
        <w:rPr>
          <w:rStyle w:val="93"/>
          <w:rFonts w:hint="eastAsia" w:ascii="宋体" w:hAnsi="宋体"/>
          <w:bCs w:val="0"/>
          <w:szCs w:val="24"/>
        </w:rPr>
        <w:t>5.支付</w:t>
      </w:r>
      <w:bookmarkEnd w:id="554"/>
      <w:bookmarkEnd w:id="555"/>
    </w:p>
    <w:p w14:paraId="659687CF">
      <w:pPr>
        <w:pStyle w:val="22"/>
        <w:spacing w:before="60" w:line="276" w:lineRule="auto"/>
        <w:ind w:firstLine="480" w:firstLineChars="200"/>
        <w:jc w:val="left"/>
        <w:rPr>
          <w:rFonts w:hint="eastAsia" w:ascii="宋体" w:hAnsi="宋体"/>
          <w:sz w:val="24"/>
          <w:szCs w:val="24"/>
        </w:rPr>
      </w:pPr>
      <w:bookmarkStart w:id="556" w:name="_Toc422322503"/>
      <w:bookmarkStart w:id="557" w:name="_Toc419045087"/>
      <w:r>
        <w:rPr>
          <w:rStyle w:val="94"/>
          <w:rFonts w:hint="eastAsia" w:ascii="宋体" w:hAnsi="宋体"/>
          <w:b w:val="0"/>
          <w:bCs w:val="0"/>
          <w:sz w:val="24"/>
          <w:szCs w:val="24"/>
        </w:rPr>
        <w:t>5.1支</w:t>
      </w:r>
      <w:r>
        <w:rPr>
          <w:rStyle w:val="94"/>
          <w:rFonts w:ascii="宋体" w:hAnsi="宋体"/>
          <w:b w:val="0"/>
          <w:bCs w:val="0"/>
          <w:sz w:val="24"/>
          <w:szCs w:val="24"/>
        </w:rPr>
        <w:t>付货币</w:t>
      </w:r>
      <w:bookmarkEnd w:id="556"/>
      <w:bookmarkEnd w:id="557"/>
    </w:p>
    <w:p w14:paraId="172A3C7D">
      <w:pPr>
        <w:spacing w:line="276" w:lineRule="auto"/>
        <w:rPr>
          <w:rStyle w:val="94"/>
          <w:rFonts w:ascii="宋体" w:hAnsi="宋体"/>
          <w:b w:val="0"/>
          <w:sz w:val="24"/>
          <w:szCs w:val="24"/>
        </w:rPr>
      </w:pPr>
      <w:r>
        <w:t>　　除专用条件另有约定外，酬金均以人民币支付。涉及外币支付的，所采用的货币种类和汇率</w:t>
      </w:r>
      <w:r>
        <w:rPr>
          <w:rFonts w:hint="eastAsia"/>
        </w:rPr>
        <w:t>等</w:t>
      </w:r>
      <w:r>
        <w:t>在专用条件中约定。</w:t>
      </w:r>
    </w:p>
    <w:p w14:paraId="267B8AF2">
      <w:pPr>
        <w:pStyle w:val="22"/>
        <w:spacing w:before="60" w:line="276" w:lineRule="auto"/>
        <w:ind w:firstLine="480" w:firstLineChars="200"/>
        <w:jc w:val="left"/>
        <w:rPr>
          <w:rFonts w:hint="eastAsia" w:ascii="宋体" w:hAnsi="宋体"/>
          <w:b w:val="0"/>
          <w:sz w:val="24"/>
          <w:szCs w:val="24"/>
        </w:rPr>
      </w:pPr>
      <w:bookmarkStart w:id="558" w:name="_Toc422322504"/>
      <w:r>
        <w:rPr>
          <w:rFonts w:hint="eastAsia" w:ascii="宋体" w:hAnsi="宋体"/>
          <w:b w:val="0"/>
          <w:sz w:val="24"/>
          <w:szCs w:val="24"/>
        </w:rPr>
        <w:t>5.2支付</w:t>
      </w:r>
      <w:r>
        <w:rPr>
          <w:rFonts w:ascii="宋体" w:hAnsi="宋体"/>
          <w:b w:val="0"/>
          <w:sz w:val="24"/>
          <w:szCs w:val="24"/>
        </w:rPr>
        <w:t>申请</w:t>
      </w:r>
      <w:bookmarkEnd w:id="558"/>
    </w:p>
    <w:p w14:paraId="25D9294D">
      <w:pPr>
        <w:spacing w:line="276" w:lineRule="auto"/>
        <w:rPr>
          <w:rStyle w:val="94"/>
          <w:rFonts w:ascii="宋体" w:hAnsi="宋体"/>
          <w:b w:val="0"/>
          <w:sz w:val="24"/>
          <w:szCs w:val="24"/>
        </w:rPr>
      </w:pPr>
      <w:r>
        <w:t>　　</w:t>
      </w:r>
      <w:r>
        <w:rPr>
          <w:rFonts w:hint="eastAsia"/>
        </w:rPr>
        <w:t>咨询</w:t>
      </w:r>
      <w:r>
        <w:t>人应在本合同约定的每次应付款</w:t>
      </w:r>
      <w:r>
        <w:rPr>
          <w:rFonts w:hint="eastAsia"/>
        </w:rPr>
        <w:t>日期前</w:t>
      </w:r>
      <w:r>
        <w:t>，向委托人提交支付申请书</w:t>
      </w:r>
      <w:r>
        <w:rPr>
          <w:rFonts w:hint="eastAsia"/>
        </w:rPr>
        <w:t>，支付申请书的提交日期由双方在专用条件中约定</w:t>
      </w:r>
      <w:r>
        <w:t>。支付申请书应当说明当期应付款总额，并列出当期应支付的款项及其金额。</w:t>
      </w:r>
    </w:p>
    <w:p w14:paraId="0014E0B4">
      <w:pPr>
        <w:pStyle w:val="22"/>
        <w:spacing w:before="60" w:line="276" w:lineRule="auto"/>
        <w:ind w:firstLine="480" w:firstLineChars="200"/>
        <w:jc w:val="left"/>
        <w:rPr>
          <w:rFonts w:hint="eastAsia" w:ascii="宋体" w:hAnsi="宋体"/>
          <w:b w:val="0"/>
          <w:sz w:val="24"/>
          <w:szCs w:val="24"/>
        </w:rPr>
      </w:pPr>
      <w:bookmarkStart w:id="559" w:name="_Toc422322505"/>
      <w:r>
        <w:rPr>
          <w:rFonts w:hint="eastAsia" w:ascii="宋体" w:hAnsi="宋体"/>
          <w:b w:val="0"/>
          <w:sz w:val="24"/>
          <w:szCs w:val="24"/>
        </w:rPr>
        <w:t>5.3 支付酬金</w:t>
      </w:r>
      <w:bookmarkEnd w:id="559"/>
    </w:p>
    <w:p w14:paraId="18753D78">
      <w:pPr>
        <w:spacing w:line="276" w:lineRule="auto"/>
        <w:rPr>
          <w:rStyle w:val="94"/>
          <w:rFonts w:ascii="宋体" w:hAnsi="宋体"/>
          <w:b w:val="0"/>
          <w:sz w:val="24"/>
          <w:szCs w:val="24"/>
        </w:rPr>
      </w:pPr>
      <w:r>
        <w:t>　　支付酬金包括正常工作酬金、附加工作酬金、合理化建议奖励金额及费用。</w:t>
      </w:r>
    </w:p>
    <w:p w14:paraId="3BC91364">
      <w:pPr>
        <w:pStyle w:val="22"/>
        <w:spacing w:before="60" w:line="276" w:lineRule="auto"/>
        <w:ind w:firstLine="480" w:firstLineChars="200"/>
        <w:jc w:val="left"/>
        <w:rPr>
          <w:rFonts w:hint="eastAsia" w:ascii="宋体" w:hAnsi="宋体"/>
          <w:b w:val="0"/>
          <w:sz w:val="24"/>
          <w:szCs w:val="24"/>
        </w:rPr>
      </w:pPr>
      <w:bookmarkStart w:id="560" w:name="_Toc422322506"/>
      <w:r>
        <w:rPr>
          <w:rFonts w:hint="eastAsia" w:ascii="宋体" w:hAnsi="宋体"/>
          <w:b w:val="0"/>
          <w:sz w:val="24"/>
          <w:szCs w:val="24"/>
        </w:rPr>
        <w:t>5.4有异议</w:t>
      </w:r>
      <w:r>
        <w:rPr>
          <w:rFonts w:ascii="宋体" w:hAnsi="宋体"/>
          <w:b w:val="0"/>
          <w:sz w:val="24"/>
          <w:szCs w:val="24"/>
        </w:rPr>
        <w:t>部分的</w:t>
      </w:r>
      <w:r>
        <w:rPr>
          <w:rFonts w:hint="eastAsia" w:ascii="宋体" w:hAnsi="宋体"/>
          <w:b w:val="0"/>
          <w:sz w:val="24"/>
          <w:szCs w:val="24"/>
        </w:rPr>
        <w:t>支付</w:t>
      </w:r>
      <w:bookmarkEnd w:id="560"/>
    </w:p>
    <w:p w14:paraId="47FEF7F1">
      <w:pPr>
        <w:spacing w:line="276" w:lineRule="auto"/>
        <w:rPr>
          <w:rFonts w:hint="eastAsia"/>
        </w:rPr>
      </w:pPr>
      <w:r>
        <w:t>　　委托人对</w:t>
      </w:r>
      <w:r>
        <w:rPr>
          <w:rFonts w:hint="eastAsia"/>
        </w:rPr>
        <w:t>咨询</w:t>
      </w:r>
      <w:r>
        <w:t>人提交的支付申请书有异议时，应当在收到</w:t>
      </w:r>
      <w:r>
        <w:rPr>
          <w:rFonts w:hint="eastAsia"/>
        </w:rPr>
        <w:t>咨询</w:t>
      </w:r>
      <w:r>
        <w:t>人提交的支付申请书后7</w:t>
      </w:r>
      <w:r>
        <w:rPr>
          <w:rFonts w:hint="eastAsia"/>
        </w:rPr>
        <w:t>日</w:t>
      </w:r>
      <w:r>
        <w:t>内，以书面形式向</w:t>
      </w:r>
      <w:r>
        <w:rPr>
          <w:rFonts w:hint="eastAsia"/>
        </w:rPr>
        <w:t>咨询</w:t>
      </w:r>
      <w:r>
        <w:t>人发出异议通知。无异议部分的款项应按期支付，有异议部分的款项按第7条约定办理。</w:t>
      </w:r>
    </w:p>
    <w:p w14:paraId="1C33E85D">
      <w:pPr>
        <w:spacing w:line="276" w:lineRule="auto"/>
        <w:ind w:firstLine="482" w:firstLineChars="200"/>
        <w:rPr>
          <w:rStyle w:val="93"/>
          <w:rFonts w:hint="eastAsia" w:ascii="宋体" w:hAnsi="宋体"/>
          <w:szCs w:val="24"/>
        </w:rPr>
      </w:pPr>
      <w:bookmarkStart w:id="561" w:name="_Toc419045088"/>
      <w:bookmarkStart w:id="562" w:name="_Toc422322507"/>
      <w:r>
        <w:rPr>
          <w:rStyle w:val="93"/>
          <w:rFonts w:hint="eastAsia" w:ascii="宋体" w:hAnsi="宋体"/>
          <w:szCs w:val="24"/>
        </w:rPr>
        <w:t>6.合同变更、解除与终止</w:t>
      </w:r>
      <w:bookmarkEnd w:id="561"/>
      <w:bookmarkEnd w:id="562"/>
    </w:p>
    <w:p w14:paraId="7C6274FF">
      <w:pPr>
        <w:spacing w:line="276" w:lineRule="auto"/>
        <w:ind w:firstLine="480" w:firstLineChars="200"/>
      </w:pPr>
      <w:bookmarkStart w:id="563" w:name="_Toc422322508"/>
      <w:bookmarkStart w:id="564" w:name="_Toc419045089"/>
      <w:r>
        <w:rPr>
          <w:rStyle w:val="94"/>
          <w:rFonts w:hint="eastAsia" w:ascii="宋体" w:hAnsi="宋体"/>
          <w:b w:val="0"/>
          <w:sz w:val="24"/>
          <w:szCs w:val="24"/>
        </w:rPr>
        <w:t>6.1合同</w:t>
      </w:r>
      <w:r>
        <w:rPr>
          <w:rStyle w:val="94"/>
          <w:rFonts w:ascii="宋体" w:hAnsi="宋体"/>
          <w:b w:val="0"/>
          <w:sz w:val="24"/>
          <w:szCs w:val="24"/>
        </w:rPr>
        <w:t>变更</w:t>
      </w:r>
      <w:bookmarkEnd w:id="563"/>
      <w:bookmarkEnd w:id="564"/>
      <w:r>
        <w:rPr>
          <w:rFonts w:hint="eastAsia" w:cs="Times New Roman"/>
        </w:rPr>
        <w:t xml:space="preserve"> </w:t>
      </w:r>
      <w:r>
        <w:rPr>
          <w:rFonts w:hint="eastAsia" w:cs="Times New Roman"/>
        </w:rPr>
        <w:br w:type="textWrapping"/>
      </w:r>
      <w:r>
        <w:rPr>
          <w:rFonts w:hint="eastAsia" w:cs="Times New Roman"/>
        </w:rPr>
        <w:t xml:space="preserve">  </w:t>
      </w:r>
      <w:r>
        <w:t>　6.</w:t>
      </w:r>
      <w:r>
        <w:rPr>
          <w:rFonts w:hint="eastAsia"/>
        </w:rPr>
        <w:t>1</w:t>
      </w:r>
      <w:r>
        <w:t>.1 任何一方</w:t>
      </w:r>
      <w:r>
        <w:rPr>
          <w:rFonts w:hint="eastAsia"/>
        </w:rPr>
        <w:t>以书面形式</w:t>
      </w:r>
      <w:r>
        <w:t>提出变更请求时，双方经协商一致后可进行变更。</w:t>
      </w:r>
      <w:r>
        <w:br w:type="textWrapping"/>
      </w:r>
      <w:r>
        <w:t>　　6.</w:t>
      </w:r>
      <w:r>
        <w:rPr>
          <w:rFonts w:hint="eastAsia"/>
        </w:rPr>
        <w:t>1</w:t>
      </w:r>
      <w:r>
        <w:t>.2除不可抗力外，因非</w:t>
      </w:r>
      <w:r>
        <w:rPr>
          <w:rFonts w:hint="eastAsia"/>
        </w:rPr>
        <w:t>咨询</w:t>
      </w:r>
      <w:r>
        <w:t>人原因导致</w:t>
      </w:r>
      <w:r>
        <w:rPr>
          <w:rFonts w:hint="eastAsia"/>
        </w:rPr>
        <w:t>咨询</w:t>
      </w:r>
      <w:r>
        <w:t>人履行合同期限延长、内容增加时，</w:t>
      </w:r>
      <w:r>
        <w:rPr>
          <w:rFonts w:hint="eastAsia"/>
        </w:rPr>
        <w:t>咨询</w:t>
      </w:r>
      <w:r>
        <w:t>人应当将此情况与可能产生的影响及时通知委托人。增加的工作时间</w:t>
      </w:r>
      <w:r>
        <w:rPr>
          <w:rFonts w:hint="eastAsia"/>
        </w:rPr>
        <w:t>或</w:t>
      </w:r>
      <w:r>
        <w:t>工作内容应视为附加工作。</w:t>
      </w:r>
      <w:r>
        <w:rPr>
          <w:rFonts w:hint="eastAsia" w:cs="Times New Roman"/>
        </w:rPr>
        <w:t>附加工作酬金的确定方法由双方根据委托的</w:t>
      </w:r>
      <w:r>
        <w:rPr>
          <w:rFonts w:hint="eastAsia"/>
        </w:rPr>
        <w:t>服务范围及工作内容</w:t>
      </w:r>
      <w:r>
        <w:rPr>
          <w:rFonts w:hint="eastAsia" w:cs="Times New Roman"/>
        </w:rPr>
        <w:t>在专用条件中约定。</w:t>
      </w:r>
    </w:p>
    <w:p w14:paraId="46CEBEC5">
      <w:pPr>
        <w:spacing w:line="276" w:lineRule="auto"/>
        <w:ind w:firstLine="480" w:firstLineChars="200"/>
        <w:rPr>
          <w:b/>
          <w:bCs/>
        </w:rPr>
      </w:pPr>
      <w:r>
        <w:t>6.</w:t>
      </w:r>
      <w:r>
        <w:rPr>
          <w:rFonts w:hint="eastAsia"/>
        </w:rPr>
        <w:t>1</w:t>
      </w:r>
      <w:r>
        <w:t>.</w:t>
      </w:r>
      <w:r>
        <w:rPr>
          <w:rFonts w:hint="eastAsia"/>
        </w:rPr>
        <w:t>3</w:t>
      </w:r>
      <w:r>
        <w:t>合同</w:t>
      </w:r>
      <w:r>
        <w:rPr>
          <w:rFonts w:hint="eastAsia"/>
        </w:rPr>
        <w:t>履行过程中</w:t>
      </w:r>
      <w:r>
        <w:t>，遇有与工程相关的法律法规、</w:t>
      </w:r>
      <w:r>
        <w:rPr>
          <w:rFonts w:hint="eastAsia"/>
        </w:rPr>
        <w:t>强制性</w:t>
      </w:r>
      <w:r>
        <w:t>标准颁布或修订的，双方应遵照执行。</w:t>
      </w:r>
      <w:r>
        <w:rPr>
          <w:rFonts w:hint="eastAsia"/>
        </w:rPr>
        <w:t>非强制性标准、规范、定额等发生变化的，双方协商确定执行依据。</w:t>
      </w:r>
      <w:r>
        <w:t>由此引起</w:t>
      </w:r>
      <w:r>
        <w:rPr>
          <w:rFonts w:hint="eastAsia"/>
        </w:rPr>
        <w:t>造价咨询</w:t>
      </w:r>
      <w:r>
        <w:t>的</w:t>
      </w:r>
      <w:r>
        <w:rPr>
          <w:rFonts w:hint="eastAsia"/>
        </w:rPr>
        <w:t>服务</w:t>
      </w:r>
      <w:r>
        <w:t>范围</w:t>
      </w:r>
      <w:r>
        <w:rPr>
          <w:rFonts w:hint="eastAsia"/>
        </w:rPr>
        <w:t>及内容</w:t>
      </w:r>
      <w:r>
        <w:t>、</w:t>
      </w:r>
      <w:r>
        <w:rPr>
          <w:rFonts w:hint="eastAsia"/>
        </w:rPr>
        <w:t>服务期限</w:t>
      </w:r>
      <w:r>
        <w:t>、酬金变化的，双方应通过协商</w:t>
      </w:r>
      <w:r>
        <w:rPr>
          <w:rFonts w:hint="eastAsia"/>
        </w:rPr>
        <w:t>确定</w:t>
      </w:r>
      <w:r>
        <w:t>。</w:t>
      </w:r>
      <w:r>
        <w:br w:type="textWrapping"/>
      </w:r>
      <w:r>
        <w:t>　　6.</w:t>
      </w:r>
      <w:r>
        <w:rPr>
          <w:rFonts w:hint="eastAsia"/>
        </w:rPr>
        <w:t>1</w:t>
      </w:r>
      <w:r>
        <w:t>.</w:t>
      </w:r>
      <w:r>
        <w:rPr>
          <w:rFonts w:hint="eastAsia"/>
        </w:rPr>
        <w:t>4</w:t>
      </w:r>
      <w:r>
        <w:t xml:space="preserve"> 因工程规模、</w:t>
      </w:r>
      <w:r>
        <w:rPr>
          <w:rFonts w:hint="eastAsia"/>
        </w:rPr>
        <w:t>服务</w:t>
      </w:r>
      <w:r>
        <w:t>范围</w:t>
      </w:r>
      <w:r>
        <w:rPr>
          <w:rFonts w:hint="eastAsia"/>
        </w:rPr>
        <w:t>及工作内容</w:t>
      </w:r>
      <w:r>
        <w:t>的变化</w:t>
      </w:r>
      <w:r>
        <w:rPr>
          <w:rFonts w:hint="eastAsia"/>
        </w:rPr>
        <w:t>等</w:t>
      </w:r>
      <w:r>
        <w:t>导致</w:t>
      </w:r>
      <w:r>
        <w:rPr>
          <w:rFonts w:hint="eastAsia"/>
        </w:rPr>
        <w:t>咨询</w:t>
      </w:r>
      <w:r>
        <w:t>人的工作量</w:t>
      </w:r>
      <w:r>
        <w:rPr>
          <w:rFonts w:hint="eastAsia"/>
        </w:rPr>
        <w:t>增减</w:t>
      </w:r>
      <w:r>
        <w:t>时，</w:t>
      </w:r>
      <w:r>
        <w:rPr>
          <w:rFonts w:hint="eastAsia"/>
        </w:rPr>
        <w:t>服务</w:t>
      </w:r>
      <w:r>
        <w:t>酬金应作相应调整</w:t>
      </w:r>
      <w:r>
        <w:rPr>
          <w:rFonts w:hint="eastAsia"/>
        </w:rPr>
        <w:t>，</w:t>
      </w:r>
      <w:r>
        <w:t>调整方法</w:t>
      </w:r>
      <w:r>
        <w:rPr>
          <w:rFonts w:hint="eastAsia"/>
        </w:rPr>
        <w:t>由双方在专用条件中约定。</w:t>
      </w:r>
    </w:p>
    <w:p w14:paraId="26E605BF">
      <w:pPr>
        <w:spacing w:line="276" w:lineRule="auto"/>
        <w:ind w:firstLine="480" w:firstLineChars="200"/>
        <w:rPr>
          <w:rStyle w:val="94"/>
          <w:rFonts w:hint="eastAsia" w:ascii="宋体" w:hAnsi="宋体"/>
          <w:b w:val="0"/>
          <w:sz w:val="24"/>
          <w:szCs w:val="24"/>
        </w:rPr>
      </w:pPr>
      <w:bookmarkStart w:id="565" w:name="_Toc422322509"/>
      <w:bookmarkStart w:id="566" w:name="_Toc419045090"/>
      <w:r>
        <w:rPr>
          <w:rStyle w:val="94"/>
          <w:rFonts w:hint="eastAsia" w:ascii="宋体" w:hAnsi="宋体"/>
          <w:b w:val="0"/>
          <w:bCs w:val="0"/>
          <w:sz w:val="24"/>
          <w:szCs w:val="24"/>
        </w:rPr>
        <w:t>6.2合同</w:t>
      </w:r>
      <w:r>
        <w:rPr>
          <w:rStyle w:val="94"/>
          <w:rFonts w:ascii="宋体" w:hAnsi="宋体"/>
          <w:b w:val="0"/>
          <w:sz w:val="24"/>
          <w:szCs w:val="24"/>
        </w:rPr>
        <w:t>解除</w:t>
      </w:r>
      <w:bookmarkEnd w:id="565"/>
      <w:bookmarkEnd w:id="566"/>
    </w:p>
    <w:p w14:paraId="3C909B28">
      <w:pPr>
        <w:spacing w:line="276" w:lineRule="auto"/>
        <w:ind w:firstLine="480" w:firstLineChars="200"/>
      </w:pPr>
      <w:r>
        <w:rPr>
          <w:rFonts w:hint="eastAsia"/>
        </w:rPr>
        <w:t>6</w:t>
      </w:r>
      <w:r>
        <w:t>.</w:t>
      </w:r>
      <w:r>
        <w:rPr>
          <w:rFonts w:hint="eastAsia"/>
        </w:rPr>
        <w:t>2.1 委托人与咨询人协商一致，可以解除合同。</w:t>
      </w:r>
    </w:p>
    <w:p w14:paraId="7EB37F6D">
      <w:pPr>
        <w:spacing w:line="276" w:lineRule="auto"/>
        <w:ind w:firstLine="480" w:firstLineChars="200"/>
      </w:pPr>
      <w:r>
        <w:rPr>
          <w:rFonts w:hint="eastAsia"/>
        </w:rPr>
        <w:t>6</w:t>
      </w:r>
      <w:r>
        <w:t>.2</w:t>
      </w:r>
      <w:r>
        <w:rPr>
          <w:rFonts w:hint="eastAsia"/>
        </w:rPr>
        <w:t>.2 有下列情形之一的，合同当事人一方或双方可以解除合同：</w:t>
      </w:r>
    </w:p>
    <w:p w14:paraId="40BB66F9">
      <w:pPr>
        <w:spacing w:line="276" w:lineRule="auto"/>
        <w:ind w:firstLine="480" w:firstLineChars="200"/>
        <w:rPr>
          <w:rFonts w:hint="eastAsia"/>
        </w:rPr>
      </w:pPr>
      <w:r>
        <w:rPr>
          <w:rFonts w:hint="eastAsia"/>
        </w:rPr>
        <w:t>（1）咨询人将本合同约定的工程造价咨询服务工作全部或部分转包给他人，委托人可以解除合同；</w:t>
      </w:r>
      <w:r>
        <w:br w:type="textWrapping"/>
      </w:r>
      <w:r>
        <w:rPr>
          <w:rFonts w:hint="eastAsia"/>
        </w:rPr>
        <w:t xml:space="preserve">    （2）咨询人提供的造价咨询服务不符合合同约定的要求，经委托人催告仍不能达到合同约定要求的，委托人可以解除合同；</w:t>
      </w:r>
    </w:p>
    <w:p w14:paraId="312B9844">
      <w:pPr>
        <w:spacing w:line="276" w:lineRule="auto"/>
        <w:ind w:firstLine="480" w:firstLineChars="200"/>
        <w:rPr>
          <w:rFonts w:hint="eastAsia"/>
        </w:rPr>
      </w:pPr>
      <w:r>
        <w:rPr>
          <w:rFonts w:hint="eastAsia"/>
        </w:rPr>
        <w:t>（3）委托人未按合同约定支付服务酬金，经咨询人催告后，在28天内仍未支付的，咨询人可以解除合同；</w:t>
      </w:r>
    </w:p>
    <w:p w14:paraId="6A7DA788">
      <w:pPr>
        <w:spacing w:line="276" w:lineRule="auto"/>
        <w:ind w:firstLine="480" w:firstLineChars="200"/>
        <w:rPr>
          <w:rFonts w:hint="eastAsia"/>
        </w:rPr>
      </w:pPr>
      <w:r>
        <w:rPr>
          <w:rFonts w:hint="eastAsia"/>
        </w:rPr>
        <w:t>（4）因不可抗力致使合同无法履行；</w:t>
      </w:r>
    </w:p>
    <w:p w14:paraId="70FB0FAF">
      <w:pPr>
        <w:spacing w:line="276" w:lineRule="auto"/>
        <w:ind w:firstLine="480" w:firstLineChars="200"/>
      </w:pPr>
      <w:r>
        <w:rPr>
          <w:rFonts w:hint="eastAsia"/>
        </w:rPr>
        <w:t>（5）因一方违约致使合同无法实际履行或实际履行已无必要。</w:t>
      </w:r>
    </w:p>
    <w:p w14:paraId="6BB1DAE6">
      <w:pPr>
        <w:spacing w:line="276" w:lineRule="auto"/>
        <w:ind w:firstLine="480" w:firstLineChars="200"/>
      </w:pPr>
      <w:r>
        <w:rPr>
          <w:rFonts w:hint="eastAsia"/>
        </w:rPr>
        <w:t>除上述情形外，双方可以根据委托的服务范围及工作内容，在专用条件中约定解除合同的其他条件。</w:t>
      </w:r>
    </w:p>
    <w:p w14:paraId="31D23C2B">
      <w:pPr>
        <w:spacing w:line="276" w:lineRule="auto"/>
        <w:ind w:firstLine="480" w:firstLineChars="200"/>
        <w:rPr>
          <w:rFonts w:hint="eastAsia"/>
        </w:rPr>
      </w:pPr>
      <w:r>
        <w:rPr>
          <w:rFonts w:hint="eastAsia"/>
        </w:rPr>
        <w:t>6</w:t>
      </w:r>
      <w:r>
        <w:t>.</w:t>
      </w:r>
      <w:r>
        <w:rPr>
          <w:rFonts w:hint="eastAsia"/>
        </w:rPr>
        <w:t>2.3 任何一方提出解除合同的，应提前30天书面通知对方。</w:t>
      </w:r>
    </w:p>
    <w:p w14:paraId="7CE4D552">
      <w:pPr>
        <w:spacing w:line="276" w:lineRule="auto"/>
        <w:ind w:firstLine="465"/>
        <w:rPr>
          <w:rFonts w:hint="eastAsia"/>
        </w:rPr>
      </w:pPr>
      <w:r>
        <w:rPr>
          <w:rFonts w:hint="eastAsia"/>
        </w:rPr>
        <w:t>6.2.4合同解除后，委托人应按照合同约定向咨询人支付已完成部分的咨询服务酬金。</w:t>
      </w:r>
    </w:p>
    <w:p w14:paraId="55A5F783">
      <w:pPr>
        <w:spacing w:line="276" w:lineRule="auto"/>
        <w:ind w:firstLine="465"/>
        <w:rPr>
          <w:rFonts w:hint="eastAsia"/>
        </w:rPr>
      </w:pPr>
      <w:r>
        <w:rPr>
          <w:rFonts w:hint="eastAsia"/>
        </w:rPr>
        <w:t>因不可抗力导致的合同解除，其损失的分担按照合理分担的原则由合同当事人在专用条件中自行约定。除不可抗力外因非咨询人原因导致的合同解除，其损失由委托人承担。因咨询人自身原因导致的合同解除，按照违约责任处理。</w:t>
      </w:r>
    </w:p>
    <w:p w14:paraId="46BADB0B">
      <w:pPr>
        <w:spacing w:line="276" w:lineRule="auto"/>
        <w:ind w:firstLine="480" w:firstLineChars="200"/>
        <w:rPr>
          <w:smallCaps/>
        </w:rPr>
      </w:pPr>
      <w:r>
        <w:rPr>
          <w:rFonts w:hint="eastAsia"/>
        </w:rPr>
        <w:t>6.2.5</w:t>
      </w:r>
      <w:r>
        <w:t>本合同解除后，本合同约定的有关结算、争议解决方式的条</w:t>
      </w:r>
      <w:r>
        <w:rPr>
          <w:rFonts w:hint="eastAsia"/>
        </w:rPr>
        <w:t>款</w:t>
      </w:r>
      <w:r>
        <w:t>仍然有效。</w:t>
      </w:r>
    </w:p>
    <w:p w14:paraId="54030C60">
      <w:pPr>
        <w:spacing w:line="276" w:lineRule="auto"/>
        <w:ind w:firstLine="480" w:firstLineChars="200"/>
      </w:pPr>
      <w:bookmarkStart w:id="567" w:name="_Toc422322510"/>
      <w:r>
        <w:rPr>
          <w:rStyle w:val="94"/>
          <w:rFonts w:hint="eastAsia" w:ascii="宋体" w:hAnsi="宋体"/>
          <w:b w:val="0"/>
          <w:sz w:val="24"/>
          <w:szCs w:val="24"/>
        </w:rPr>
        <w:t>6.</w:t>
      </w:r>
      <w:r>
        <w:rPr>
          <w:rStyle w:val="94"/>
          <w:rFonts w:ascii="宋体" w:hAnsi="宋体"/>
          <w:b w:val="0"/>
          <w:sz w:val="24"/>
          <w:szCs w:val="24"/>
        </w:rPr>
        <w:t xml:space="preserve">3 </w:t>
      </w:r>
      <w:r>
        <w:rPr>
          <w:rStyle w:val="94"/>
          <w:rFonts w:hint="eastAsia" w:ascii="宋体" w:hAnsi="宋体"/>
          <w:b w:val="0"/>
          <w:sz w:val="24"/>
          <w:szCs w:val="24"/>
        </w:rPr>
        <w:t>合同终止</w:t>
      </w:r>
      <w:bookmarkEnd w:id="567"/>
      <w:r>
        <w:rPr>
          <w:rFonts w:hint="eastAsia"/>
          <w:b/>
          <w:bCs/>
          <w:smallCaps/>
        </w:rPr>
        <w:br w:type="textWrapping"/>
      </w:r>
      <w:r>
        <w:rPr>
          <w:rFonts w:hint="eastAsia"/>
          <w:b/>
          <w:bCs/>
          <w:smallCaps/>
        </w:rPr>
        <w:t>　　</w:t>
      </w:r>
      <w:r>
        <w:rPr>
          <w:rFonts w:hint="eastAsia"/>
          <w:bCs/>
          <w:smallCaps/>
        </w:rPr>
        <w:t>除合同解除外，以下条</w:t>
      </w:r>
      <w:r>
        <w:t>件全部满足时，本合同终止：</w:t>
      </w:r>
      <w:r>
        <w:br w:type="textWrapping"/>
      </w:r>
      <w:r>
        <w:t>　</w:t>
      </w:r>
      <w:r>
        <w:rPr>
          <w:rFonts w:hint="eastAsia"/>
        </w:rPr>
        <w:t xml:space="preserve"> </w:t>
      </w:r>
      <w:r>
        <w:t>（1）</w:t>
      </w:r>
      <w:r>
        <w:rPr>
          <w:rFonts w:hint="eastAsia"/>
        </w:rPr>
        <w:t>咨询</w:t>
      </w:r>
      <w:r>
        <w:t>人完成本合同约定的全部工作；</w:t>
      </w:r>
      <w:r>
        <w:br w:type="textWrapping"/>
      </w:r>
      <w:r>
        <w:t>　</w:t>
      </w:r>
      <w:r>
        <w:rPr>
          <w:rFonts w:hint="eastAsia"/>
        </w:rPr>
        <w:t xml:space="preserve"> </w:t>
      </w:r>
      <w:r>
        <w:t>（2）委托人与</w:t>
      </w:r>
      <w:r>
        <w:rPr>
          <w:rFonts w:hint="eastAsia"/>
        </w:rPr>
        <w:t>咨询</w:t>
      </w:r>
      <w:r>
        <w:t>人结清并支付酬金</w:t>
      </w:r>
      <w:r>
        <w:rPr>
          <w:rFonts w:hint="eastAsia"/>
        </w:rPr>
        <w:t>；</w:t>
      </w:r>
    </w:p>
    <w:p w14:paraId="6A200E96">
      <w:pPr>
        <w:spacing w:line="276" w:lineRule="auto"/>
        <w:rPr>
          <w:rFonts w:hint="eastAsia"/>
        </w:rPr>
      </w:pPr>
      <w:r>
        <w:rPr>
          <w:rFonts w:hint="eastAsia"/>
        </w:rPr>
        <w:t xml:space="preserve">   （3）咨询人将委托人提供的资料交还。</w:t>
      </w:r>
    </w:p>
    <w:p w14:paraId="5F8B20CA">
      <w:pPr>
        <w:spacing w:line="276" w:lineRule="auto"/>
        <w:ind w:firstLine="482" w:firstLineChars="200"/>
        <w:rPr>
          <w:rStyle w:val="93"/>
          <w:rFonts w:hint="eastAsia" w:ascii="宋体" w:hAnsi="宋体"/>
          <w:bCs w:val="0"/>
          <w:szCs w:val="24"/>
        </w:rPr>
      </w:pPr>
      <w:bookmarkStart w:id="568" w:name="_Toc419045091"/>
      <w:bookmarkStart w:id="569" w:name="_Toc422322511"/>
      <w:r>
        <w:rPr>
          <w:rStyle w:val="93"/>
          <w:rFonts w:hint="eastAsia" w:ascii="宋体" w:hAnsi="宋体"/>
          <w:bCs w:val="0"/>
          <w:szCs w:val="24"/>
        </w:rPr>
        <w:t>7.争议解决</w:t>
      </w:r>
      <w:bookmarkEnd w:id="550"/>
      <w:bookmarkEnd w:id="568"/>
      <w:bookmarkEnd w:id="569"/>
    </w:p>
    <w:p w14:paraId="17EAE346">
      <w:pPr>
        <w:pStyle w:val="91"/>
        <w:spacing w:line="276" w:lineRule="auto"/>
        <w:ind w:firstLine="480" w:firstLineChars="200"/>
        <w:jc w:val="left"/>
        <w:rPr>
          <w:rFonts w:hint="eastAsia" w:ascii="宋体" w:hAnsi="宋体"/>
        </w:rPr>
      </w:pPr>
      <w:bookmarkStart w:id="570" w:name="_Toc419045092"/>
      <w:bookmarkStart w:id="571" w:name="_Toc422322512"/>
      <w:r>
        <w:rPr>
          <w:rStyle w:val="94"/>
          <w:rFonts w:ascii="宋体" w:hAnsi="宋体" w:cs="宋体"/>
          <w:b w:val="0"/>
          <w:smallCaps/>
          <w:sz w:val="24"/>
          <w:szCs w:val="24"/>
        </w:rPr>
        <w:t>7.1协商</w:t>
      </w:r>
      <w:bookmarkEnd w:id="570"/>
      <w:bookmarkEnd w:id="571"/>
      <w:r>
        <w:rPr>
          <w:rFonts w:ascii="宋体" w:hAnsi="宋体"/>
          <w:sz w:val="24"/>
          <w:szCs w:val="24"/>
        </w:rPr>
        <w:br w:type="textWrapping"/>
      </w:r>
      <w:r>
        <w:rPr>
          <w:rFonts w:ascii="宋体" w:hAnsi="宋体"/>
          <w:sz w:val="24"/>
          <w:szCs w:val="24"/>
        </w:rPr>
        <w:t>　　双方应本着诚</w:t>
      </w:r>
      <w:r>
        <w:rPr>
          <w:rFonts w:hint="eastAsia" w:ascii="宋体" w:hAnsi="宋体"/>
          <w:sz w:val="24"/>
          <w:szCs w:val="24"/>
        </w:rPr>
        <w:t>实</w:t>
      </w:r>
      <w:r>
        <w:rPr>
          <w:rFonts w:ascii="宋体" w:hAnsi="宋体"/>
          <w:sz w:val="24"/>
          <w:szCs w:val="24"/>
        </w:rPr>
        <w:t>信</w:t>
      </w:r>
      <w:r>
        <w:rPr>
          <w:rFonts w:hint="eastAsia" w:ascii="宋体" w:hAnsi="宋体"/>
          <w:sz w:val="24"/>
          <w:szCs w:val="24"/>
        </w:rPr>
        <w:t>用的</w:t>
      </w:r>
      <w:r>
        <w:rPr>
          <w:rFonts w:ascii="宋体" w:hAnsi="宋体"/>
          <w:sz w:val="24"/>
          <w:szCs w:val="24"/>
        </w:rPr>
        <w:t>原则协商解决</w:t>
      </w:r>
      <w:r>
        <w:rPr>
          <w:rFonts w:hint="eastAsia" w:ascii="宋体" w:hAnsi="宋体"/>
          <w:sz w:val="24"/>
          <w:szCs w:val="24"/>
        </w:rPr>
        <w:t>本合同履行过程中发生</w:t>
      </w:r>
      <w:r>
        <w:rPr>
          <w:rFonts w:ascii="宋体" w:hAnsi="宋体"/>
          <w:sz w:val="24"/>
          <w:szCs w:val="24"/>
        </w:rPr>
        <w:t>的争议。</w:t>
      </w:r>
      <w:bookmarkStart w:id="572" w:name="37"/>
    </w:p>
    <w:p w14:paraId="41904D07">
      <w:pPr>
        <w:pStyle w:val="91"/>
        <w:spacing w:line="276" w:lineRule="auto"/>
        <w:ind w:firstLine="480" w:firstLineChars="200"/>
        <w:jc w:val="left"/>
        <w:rPr>
          <w:rFonts w:ascii="宋体" w:hAnsi="宋体"/>
          <w:b/>
          <w:bCs/>
          <w:sz w:val="24"/>
          <w:szCs w:val="24"/>
        </w:rPr>
      </w:pPr>
      <w:bookmarkStart w:id="573" w:name="_Toc422322513"/>
      <w:bookmarkStart w:id="574" w:name="_Toc419045093"/>
      <w:r>
        <w:rPr>
          <w:rStyle w:val="94"/>
          <w:rFonts w:ascii="宋体" w:hAnsi="宋体" w:cs="宋体"/>
          <w:b w:val="0"/>
          <w:smallCaps/>
          <w:sz w:val="24"/>
          <w:szCs w:val="24"/>
        </w:rPr>
        <w:t>7.2</w:t>
      </w:r>
      <w:bookmarkEnd w:id="572"/>
      <w:r>
        <w:rPr>
          <w:rStyle w:val="94"/>
          <w:rFonts w:ascii="宋体" w:hAnsi="宋体" w:cs="宋体"/>
          <w:b w:val="0"/>
          <w:smallCaps/>
          <w:sz w:val="24"/>
          <w:szCs w:val="24"/>
        </w:rPr>
        <w:t>调解</w:t>
      </w:r>
      <w:bookmarkEnd w:id="573"/>
      <w:bookmarkEnd w:id="574"/>
      <w:r>
        <w:rPr>
          <w:rFonts w:ascii="宋体" w:hAnsi="宋体"/>
          <w:sz w:val="24"/>
          <w:szCs w:val="24"/>
        </w:rPr>
        <w:br w:type="textWrapping"/>
      </w:r>
      <w:r>
        <w:rPr>
          <w:rFonts w:ascii="宋体" w:hAnsi="宋体"/>
          <w:sz w:val="24"/>
          <w:szCs w:val="24"/>
        </w:rPr>
        <w:t>　　如果双方不能在14</w:t>
      </w:r>
      <w:r>
        <w:rPr>
          <w:rFonts w:hint="eastAsia" w:ascii="宋体" w:hAnsi="宋体"/>
          <w:sz w:val="24"/>
          <w:szCs w:val="24"/>
        </w:rPr>
        <w:t>日</w:t>
      </w:r>
      <w:r>
        <w:rPr>
          <w:rFonts w:ascii="宋体" w:hAnsi="宋体"/>
          <w:sz w:val="24"/>
          <w:szCs w:val="24"/>
        </w:rPr>
        <w:t>内或双方商定的其他时间内解决本合同争议，可以将其提交给专用条件约定的或事后达成协议的调解人进行调解。</w:t>
      </w:r>
    </w:p>
    <w:p w14:paraId="4609BDCE">
      <w:pPr>
        <w:spacing w:line="276" w:lineRule="auto"/>
        <w:ind w:firstLine="480" w:firstLineChars="200"/>
        <w:rPr>
          <w:rFonts w:hint="eastAsia"/>
        </w:rPr>
      </w:pPr>
      <w:bookmarkStart w:id="575" w:name="38"/>
      <w:bookmarkStart w:id="576" w:name="_Toc419045094"/>
      <w:bookmarkStart w:id="577" w:name="_Toc422322514"/>
      <w:r>
        <w:rPr>
          <w:rStyle w:val="94"/>
          <w:rFonts w:ascii="宋体" w:hAnsi="宋体" w:cs="宋体"/>
          <w:b w:val="0"/>
          <w:smallCaps/>
          <w:sz w:val="24"/>
          <w:szCs w:val="24"/>
        </w:rPr>
        <w:t>7.</w:t>
      </w:r>
      <w:bookmarkEnd w:id="575"/>
      <w:r>
        <w:rPr>
          <w:rStyle w:val="94"/>
          <w:rFonts w:ascii="宋体" w:hAnsi="宋体" w:cs="宋体"/>
          <w:b w:val="0"/>
          <w:smallCaps/>
          <w:sz w:val="24"/>
          <w:szCs w:val="24"/>
        </w:rPr>
        <w:t>3仲裁或诉讼</w:t>
      </w:r>
      <w:bookmarkEnd w:id="576"/>
      <w:bookmarkEnd w:id="577"/>
      <w:r>
        <w:br w:type="textWrapping"/>
      </w:r>
      <w:r>
        <w:t>　　双方均有权不经调解直接向专用条件约定的仲裁机构申请仲裁或向有管辖权的人民法院提起诉讼。</w:t>
      </w:r>
    </w:p>
    <w:p w14:paraId="086CB622">
      <w:pPr>
        <w:spacing w:line="276" w:lineRule="auto"/>
        <w:ind w:firstLine="482" w:firstLineChars="200"/>
        <w:rPr>
          <w:rStyle w:val="93"/>
          <w:rFonts w:ascii="宋体" w:hAnsi="宋体"/>
          <w:szCs w:val="24"/>
        </w:rPr>
      </w:pPr>
      <w:bookmarkStart w:id="578" w:name="_Toc419045095"/>
      <w:bookmarkStart w:id="579" w:name="_Toc422322515"/>
      <w:r>
        <w:rPr>
          <w:rStyle w:val="93"/>
          <w:rFonts w:hint="eastAsia" w:ascii="宋体" w:hAnsi="宋体"/>
          <w:szCs w:val="24"/>
        </w:rPr>
        <w:t>8.其他</w:t>
      </w:r>
      <w:bookmarkEnd w:id="578"/>
      <w:bookmarkEnd w:id="579"/>
    </w:p>
    <w:p w14:paraId="38EBE2AC">
      <w:pPr>
        <w:pStyle w:val="22"/>
        <w:spacing w:before="60" w:line="276" w:lineRule="auto"/>
        <w:ind w:firstLine="480" w:firstLineChars="200"/>
        <w:jc w:val="left"/>
        <w:rPr>
          <w:rFonts w:ascii="宋体" w:hAnsi="宋体"/>
          <w:b w:val="0"/>
          <w:sz w:val="24"/>
          <w:szCs w:val="24"/>
        </w:rPr>
      </w:pPr>
      <w:bookmarkStart w:id="580" w:name="39"/>
      <w:bookmarkStart w:id="581" w:name="_Toc419045096"/>
      <w:bookmarkStart w:id="582" w:name="_Toc422322516"/>
      <w:r>
        <w:rPr>
          <w:rFonts w:hint="eastAsia" w:ascii="宋体" w:hAnsi="宋体"/>
          <w:b w:val="0"/>
          <w:smallCaps/>
          <w:sz w:val="24"/>
          <w:szCs w:val="24"/>
        </w:rPr>
        <w:t>8.1</w:t>
      </w:r>
      <w:bookmarkEnd w:id="580"/>
      <w:r>
        <w:rPr>
          <w:rFonts w:ascii="宋体" w:hAnsi="宋体"/>
          <w:b w:val="0"/>
          <w:sz w:val="24"/>
          <w:szCs w:val="24"/>
        </w:rPr>
        <w:t>考察</w:t>
      </w:r>
      <w:r>
        <w:rPr>
          <w:rFonts w:hint="eastAsia" w:ascii="宋体" w:hAnsi="宋体"/>
          <w:b w:val="0"/>
          <w:sz w:val="24"/>
          <w:szCs w:val="24"/>
        </w:rPr>
        <w:t>及相关</w:t>
      </w:r>
      <w:r>
        <w:rPr>
          <w:rFonts w:ascii="宋体" w:hAnsi="宋体"/>
          <w:b w:val="0"/>
          <w:sz w:val="24"/>
          <w:szCs w:val="24"/>
        </w:rPr>
        <w:t>费用</w:t>
      </w:r>
      <w:bookmarkEnd w:id="581"/>
      <w:bookmarkEnd w:id="582"/>
    </w:p>
    <w:p w14:paraId="26A3CCBF">
      <w:pPr>
        <w:spacing w:line="276" w:lineRule="auto"/>
        <w:ind w:firstLine="480" w:firstLineChars="200"/>
        <w:rPr>
          <w:rStyle w:val="94"/>
          <w:rFonts w:hint="eastAsia" w:ascii="宋体" w:hAnsi="宋体"/>
          <w:b w:val="0"/>
          <w:sz w:val="24"/>
          <w:szCs w:val="24"/>
        </w:rPr>
      </w:pPr>
      <w:r>
        <w:rPr>
          <w:rFonts w:hint="eastAsia"/>
        </w:rPr>
        <w:t>除专用条件另有约定外，咨询人经委托人同意进行考察发生的费用由委托人审核后另行支付。差旅费及相关费用的承担由双方在专用条件中约定。</w:t>
      </w:r>
    </w:p>
    <w:p w14:paraId="257A3B00">
      <w:pPr>
        <w:pStyle w:val="22"/>
        <w:spacing w:before="60" w:line="276" w:lineRule="auto"/>
        <w:ind w:firstLine="480" w:firstLineChars="200"/>
        <w:jc w:val="left"/>
        <w:rPr>
          <w:rFonts w:hint="eastAsia" w:ascii="宋体" w:hAnsi="宋体"/>
          <w:b w:val="0"/>
          <w:sz w:val="24"/>
          <w:szCs w:val="24"/>
        </w:rPr>
      </w:pPr>
      <w:bookmarkStart w:id="583" w:name="_Toc422322517"/>
      <w:r>
        <w:rPr>
          <w:rFonts w:hint="eastAsia" w:ascii="宋体" w:hAnsi="宋体"/>
          <w:b w:val="0"/>
          <w:sz w:val="24"/>
          <w:szCs w:val="24"/>
        </w:rPr>
        <w:t>8.2奖励</w:t>
      </w:r>
      <w:bookmarkEnd w:id="583"/>
    </w:p>
    <w:p w14:paraId="48A3D07A">
      <w:pPr>
        <w:spacing w:line="276" w:lineRule="auto"/>
        <w:ind w:firstLine="480" w:firstLineChars="200"/>
        <w:rPr>
          <w:rStyle w:val="94"/>
          <w:rFonts w:hint="eastAsia" w:ascii="宋体" w:hAnsi="宋体"/>
          <w:b w:val="0"/>
          <w:sz w:val="24"/>
          <w:szCs w:val="24"/>
        </w:rPr>
      </w:pPr>
      <w:r>
        <w:rPr>
          <w:rFonts w:hint="eastAsia"/>
        </w:rPr>
        <w:t>对于咨询</w:t>
      </w:r>
      <w:r>
        <w:t>人在服务过程中提出合理化建议，使委托人获得效益的，双方在专用条件中约定奖励金额的确定方法。奖励金额在合理化建议被采纳后，与最近一期的正常工作酬金同期支付。</w:t>
      </w:r>
    </w:p>
    <w:p w14:paraId="0D59E833">
      <w:pPr>
        <w:pStyle w:val="22"/>
        <w:spacing w:before="60" w:line="276" w:lineRule="auto"/>
        <w:ind w:firstLine="480" w:firstLineChars="200"/>
        <w:jc w:val="left"/>
        <w:rPr>
          <w:rFonts w:hint="eastAsia" w:ascii="宋体" w:hAnsi="宋体"/>
          <w:b w:val="0"/>
          <w:sz w:val="24"/>
          <w:szCs w:val="24"/>
        </w:rPr>
      </w:pPr>
      <w:bookmarkStart w:id="584" w:name="_Toc422322518"/>
      <w:r>
        <w:rPr>
          <w:rFonts w:hint="eastAsia" w:ascii="宋体" w:hAnsi="宋体"/>
          <w:b w:val="0"/>
          <w:sz w:val="24"/>
          <w:szCs w:val="24"/>
        </w:rPr>
        <w:t>8.3保密</w:t>
      </w:r>
      <w:bookmarkEnd w:id="584"/>
    </w:p>
    <w:p w14:paraId="57D626DC">
      <w:pPr>
        <w:spacing w:line="276" w:lineRule="auto"/>
        <w:ind w:firstLine="480" w:firstLineChars="200"/>
      </w:pPr>
      <w:r>
        <w:rPr>
          <w:rFonts w:hint="eastAsia"/>
        </w:rPr>
        <w:t>在本合同履行期间或专用条件约定的期限内，</w:t>
      </w:r>
      <w:r>
        <w:t>双方不得泄露对方申明的保密资料，亦不得泄露与实施工程有关的第三</w:t>
      </w:r>
      <w:r>
        <w:rPr>
          <w:rFonts w:hint="eastAsia"/>
        </w:rPr>
        <w:t>人</w:t>
      </w:r>
      <w:r>
        <w:t>所提供的保密资料</w:t>
      </w:r>
      <w:r>
        <w:rPr>
          <w:rFonts w:hint="eastAsia"/>
        </w:rPr>
        <w:t>。</w:t>
      </w:r>
      <w:r>
        <w:t>保密事项在专用条件中约定。</w:t>
      </w:r>
    </w:p>
    <w:p w14:paraId="2E9C5BE9">
      <w:pPr>
        <w:spacing w:line="276" w:lineRule="auto"/>
        <w:rPr>
          <w:rFonts w:hint="eastAsia"/>
          <w:b/>
        </w:rPr>
      </w:pPr>
      <w:r>
        <w:rPr>
          <w:rFonts w:hint="eastAsia"/>
          <w:bCs/>
          <w:smallCaps/>
        </w:rPr>
        <w:t xml:space="preserve">　　 </w:t>
      </w:r>
      <w:bookmarkStart w:id="585" w:name="_Toc419045097"/>
      <w:bookmarkStart w:id="586" w:name="_Toc422322519"/>
      <w:r>
        <w:rPr>
          <w:rStyle w:val="94"/>
          <w:rFonts w:hint="eastAsia" w:ascii="宋体" w:hAnsi="宋体"/>
          <w:b w:val="0"/>
          <w:sz w:val="24"/>
          <w:szCs w:val="24"/>
        </w:rPr>
        <w:t>8.4</w:t>
      </w:r>
      <w:bookmarkEnd w:id="585"/>
      <w:r>
        <w:rPr>
          <w:rStyle w:val="94"/>
          <w:rFonts w:hint="eastAsia" w:ascii="宋体" w:hAnsi="宋体"/>
          <w:b w:val="0"/>
          <w:sz w:val="24"/>
          <w:szCs w:val="24"/>
        </w:rPr>
        <w:t>联络</w:t>
      </w:r>
      <w:bookmarkEnd w:id="586"/>
    </w:p>
    <w:p w14:paraId="75E1441C">
      <w:pPr>
        <w:spacing w:line="276" w:lineRule="auto"/>
        <w:ind w:firstLine="480" w:firstLineChars="200"/>
        <w:rPr>
          <w:rFonts w:hint="eastAsia"/>
        </w:rPr>
      </w:pPr>
      <w:r>
        <w:rPr>
          <w:rFonts w:hint="eastAsia"/>
        </w:rPr>
        <w:t>8.4.1与合同有关的通知、指示、要求、决定等，均应采用书面形式，并应在专用条件约定的期限内送达接收人和送达地点。</w:t>
      </w:r>
    </w:p>
    <w:p w14:paraId="311A17B0">
      <w:pPr>
        <w:spacing w:line="276" w:lineRule="auto"/>
        <w:ind w:firstLine="480" w:firstLineChars="200"/>
        <w:rPr>
          <w:rFonts w:hint="eastAsia"/>
        </w:rPr>
      </w:pPr>
      <w:r>
        <w:rPr>
          <w:rFonts w:hint="eastAsia"/>
        </w:rPr>
        <w:t>8.4.2委托人和咨询人应在专用条件中约定各自的送达接收人、送达地点、电子邮箱。任何一方指定的接收人或送达地点或电子邮箱发生变动的，应提前3天以书面形式通知对方，否则视为未发生变动。</w:t>
      </w:r>
    </w:p>
    <w:p w14:paraId="25604C4C">
      <w:pPr>
        <w:tabs>
          <w:tab w:val="left" w:pos="5085"/>
        </w:tabs>
        <w:spacing w:line="276" w:lineRule="auto"/>
        <w:ind w:firstLine="480" w:firstLineChars="200"/>
        <w:rPr>
          <w:rStyle w:val="94"/>
          <w:rFonts w:hint="eastAsia" w:ascii="宋体" w:hAnsi="宋体" w:cs="宋体"/>
          <w:b w:val="0"/>
          <w:bCs w:val="0"/>
          <w:kern w:val="0"/>
          <w:sz w:val="24"/>
          <w:szCs w:val="24"/>
        </w:rPr>
      </w:pPr>
      <w:r>
        <w:rPr>
          <w:rFonts w:hint="eastAsia"/>
        </w:rPr>
        <w:t>8.4.3委托人和咨询人应当及时签收另一方送达至送达地点和指定接收人的往来函件，如确有充分证据证明一方无正当理由拒不签收的，视为认可往来函件的内容。</w:t>
      </w:r>
    </w:p>
    <w:p w14:paraId="3AFC80EF">
      <w:pPr>
        <w:pStyle w:val="22"/>
        <w:spacing w:before="60" w:line="276" w:lineRule="auto"/>
        <w:ind w:firstLine="480" w:firstLineChars="200"/>
        <w:jc w:val="left"/>
        <w:rPr>
          <w:rFonts w:hint="eastAsia" w:ascii="宋体" w:hAnsi="宋体"/>
          <w:b w:val="0"/>
          <w:sz w:val="24"/>
          <w:szCs w:val="24"/>
        </w:rPr>
      </w:pPr>
      <w:bookmarkStart w:id="587" w:name="_Toc422322520"/>
      <w:r>
        <w:rPr>
          <w:rFonts w:hint="eastAsia" w:ascii="宋体" w:hAnsi="宋体"/>
          <w:b w:val="0"/>
          <w:sz w:val="24"/>
          <w:szCs w:val="24"/>
        </w:rPr>
        <w:t>8.5知识产权</w:t>
      </w:r>
      <w:bookmarkEnd w:id="587"/>
    </w:p>
    <w:p w14:paraId="4AEB77C7">
      <w:pPr>
        <w:spacing w:line="276" w:lineRule="auto"/>
        <w:ind w:firstLine="480" w:firstLineChars="200"/>
      </w:pPr>
      <w:r>
        <w:rPr>
          <w:rFonts w:hint="eastAsia"/>
        </w:rPr>
        <w:t>除专用条件另有约定外，委托人提供给咨询人的图纸、委托人为实施工程自行编制或委托编制的技术规范以及反映委托人要求的或其他类似性质文件的著作权属于委托人，咨询人可以为实现本合同目的而复制或者以其他方式使用此类文件，但不能用于与本合同无关的其他事项。未经委托人书面同意，咨询人不得为了本合同以外的目的而复制或者以其他方式使用上述文件或将之提供给任何第三方。</w:t>
      </w:r>
    </w:p>
    <w:p w14:paraId="70496DF1">
      <w:pPr>
        <w:spacing w:line="276" w:lineRule="auto"/>
        <w:ind w:firstLine="480" w:firstLineChars="200"/>
        <w:rPr>
          <w:rFonts w:hint="eastAsia"/>
        </w:rPr>
      </w:pPr>
      <w:r>
        <w:rPr>
          <w:rFonts w:hint="eastAsia"/>
        </w:rPr>
        <w:t>除专用条件另有约定外，</w:t>
      </w:r>
      <w:r>
        <w:t>咨询人为履行本合同约定而编制的</w:t>
      </w:r>
      <w:r>
        <w:rPr>
          <w:rFonts w:hint="eastAsia"/>
        </w:rPr>
        <w:t>成果</w:t>
      </w:r>
      <w:r>
        <w:t>文件</w:t>
      </w:r>
      <w:r>
        <w:rPr>
          <w:rFonts w:hint="eastAsia"/>
        </w:rPr>
        <w:t>，其</w:t>
      </w:r>
      <w:r>
        <w:t>著作权属于</w:t>
      </w:r>
      <w:r>
        <w:rPr>
          <w:rFonts w:hint="eastAsia"/>
        </w:rPr>
        <w:t>咨询</w:t>
      </w:r>
      <w:r>
        <w:t>人。</w:t>
      </w:r>
      <w:r>
        <w:rPr>
          <w:rFonts w:hint="eastAsia"/>
        </w:rPr>
        <w:t>委托</w:t>
      </w:r>
      <w:r>
        <w:t>人可</w:t>
      </w:r>
      <w:r>
        <w:rPr>
          <w:rFonts w:hint="eastAsia"/>
        </w:rPr>
        <w:t>以为实现合同</w:t>
      </w:r>
      <w:r>
        <w:t>目的而复制、使用此类文件，但不能</w:t>
      </w:r>
      <w:r>
        <w:rPr>
          <w:rFonts w:hint="eastAsia"/>
        </w:rPr>
        <w:t>擅自修改或</w:t>
      </w:r>
      <w:r>
        <w:t>用于与</w:t>
      </w:r>
      <w:r>
        <w:rPr>
          <w:rFonts w:hint="eastAsia"/>
        </w:rPr>
        <w:t>本</w:t>
      </w:r>
      <w:r>
        <w:t>合同无关的其他事项。未经</w:t>
      </w:r>
      <w:r>
        <w:rPr>
          <w:rFonts w:hint="eastAsia"/>
        </w:rPr>
        <w:t>咨询</w:t>
      </w:r>
      <w:r>
        <w:t>人书面同意，</w:t>
      </w:r>
      <w:r>
        <w:rPr>
          <w:rFonts w:hint="eastAsia"/>
        </w:rPr>
        <w:t>委托</w:t>
      </w:r>
      <w:r>
        <w:t>人不得为了</w:t>
      </w:r>
      <w:r>
        <w:rPr>
          <w:rFonts w:hint="eastAsia"/>
        </w:rPr>
        <w:t>本</w:t>
      </w:r>
      <w:r>
        <w:t>合同以外的目的而复制</w:t>
      </w:r>
      <w:r>
        <w:rPr>
          <w:rFonts w:hint="eastAsia"/>
        </w:rPr>
        <w:t>或者以其他方式</w:t>
      </w:r>
      <w:r>
        <w:t>使用上述文件或将之提供给任何第三方。</w:t>
      </w:r>
    </w:p>
    <w:p w14:paraId="14EC8F27">
      <w:pPr>
        <w:autoSpaceDE w:val="0"/>
        <w:autoSpaceDN w:val="0"/>
        <w:adjustRightInd w:val="0"/>
        <w:spacing w:line="276" w:lineRule="auto"/>
        <w:ind w:firstLine="480" w:firstLineChars="200"/>
      </w:pPr>
      <w:r>
        <w:rPr>
          <w:rFonts w:hint="eastAsia"/>
        </w:rPr>
        <w:t>双方</w:t>
      </w:r>
      <w:r>
        <w:t>保证在履行</w:t>
      </w:r>
      <w:r>
        <w:rPr>
          <w:rFonts w:hint="eastAsia"/>
        </w:rPr>
        <w:t>本</w:t>
      </w:r>
      <w:r>
        <w:t>合同过程中不侵犯对方及第三方的知识产权。</w:t>
      </w:r>
      <w:r>
        <w:rPr>
          <w:rFonts w:hint="eastAsia"/>
        </w:rPr>
        <w:t>因咨询人</w:t>
      </w:r>
      <w:r>
        <w:t>侵犯他人知识产权所引起的责任，由</w:t>
      </w:r>
      <w:r>
        <w:rPr>
          <w:rFonts w:hint="eastAsia"/>
        </w:rPr>
        <w:t>咨询</w:t>
      </w:r>
      <w:r>
        <w:t>人承担；因</w:t>
      </w:r>
      <w:r>
        <w:rPr>
          <w:rFonts w:hint="eastAsia"/>
        </w:rPr>
        <w:t>委托</w:t>
      </w:r>
      <w:r>
        <w:t>人提供的</w:t>
      </w:r>
      <w:r>
        <w:rPr>
          <w:rFonts w:hint="eastAsia"/>
        </w:rPr>
        <w:t>基础资料</w:t>
      </w:r>
      <w:r>
        <w:t>导致侵权的，由</w:t>
      </w:r>
      <w:r>
        <w:rPr>
          <w:rFonts w:hint="eastAsia"/>
        </w:rPr>
        <w:t>委托</w:t>
      </w:r>
      <w:r>
        <w:t>人承担责任。</w:t>
      </w:r>
    </w:p>
    <w:p w14:paraId="71B6A873">
      <w:pPr>
        <w:spacing w:line="276" w:lineRule="auto"/>
        <w:ind w:firstLine="480" w:firstLineChars="200"/>
        <w:rPr>
          <w:rFonts w:hint="eastAsia"/>
        </w:rPr>
      </w:pPr>
      <w:r>
        <w:rPr>
          <w:rFonts w:hint="eastAsia"/>
        </w:rPr>
        <w:t>除专用条件另有约定外，双方均有权在履行本合同保密义务并且不损害对方利益的情况下，将履行本合同形成的有关成果文件用于企业宣传、申报奖项以及接受上级主管部门的检查。</w:t>
      </w:r>
    </w:p>
    <w:p w14:paraId="36E6C637">
      <w:pPr>
        <w:spacing w:line="360" w:lineRule="auto"/>
        <w:ind w:firstLine="480" w:firstLineChars="200"/>
        <w:rPr>
          <w:rFonts w:hint="eastAsia"/>
        </w:rPr>
      </w:pPr>
      <w:r>
        <w:t>　　</w:t>
      </w:r>
      <w:bookmarkStart w:id="588" w:name="_Toc422322521"/>
      <w:bookmarkStart w:id="589" w:name="_Toc419045098"/>
    </w:p>
    <w:p w14:paraId="105FDB66">
      <w:pPr>
        <w:spacing w:line="360" w:lineRule="auto"/>
        <w:ind w:firstLine="480" w:firstLineChars="200"/>
        <w:rPr>
          <w:rFonts w:hint="eastAsia"/>
        </w:rPr>
      </w:pPr>
    </w:p>
    <w:p w14:paraId="1EF9EA40">
      <w:pPr>
        <w:spacing w:line="360" w:lineRule="auto"/>
        <w:ind w:firstLine="480" w:firstLineChars="200"/>
        <w:rPr>
          <w:rFonts w:hint="eastAsia"/>
        </w:rPr>
      </w:pPr>
    </w:p>
    <w:p w14:paraId="0B1DBEE7">
      <w:pPr>
        <w:spacing w:line="360" w:lineRule="auto"/>
        <w:ind w:firstLine="480" w:firstLineChars="200"/>
        <w:rPr>
          <w:rFonts w:hint="eastAsia"/>
        </w:rPr>
      </w:pPr>
    </w:p>
    <w:p w14:paraId="587014CD">
      <w:pPr>
        <w:spacing w:line="360" w:lineRule="auto"/>
        <w:ind w:firstLine="480" w:firstLineChars="200"/>
        <w:rPr>
          <w:rFonts w:hint="eastAsia"/>
        </w:rPr>
      </w:pPr>
    </w:p>
    <w:p w14:paraId="2BD1AD20">
      <w:pPr>
        <w:spacing w:line="360" w:lineRule="auto"/>
        <w:ind w:firstLine="480" w:firstLineChars="200"/>
        <w:rPr>
          <w:rFonts w:hint="eastAsia"/>
        </w:rPr>
      </w:pPr>
    </w:p>
    <w:p w14:paraId="323A28DB">
      <w:pPr>
        <w:spacing w:line="360" w:lineRule="auto"/>
        <w:ind w:firstLine="480" w:firstLineChars="200"/>
        <w:rPr>
          <w:rFonts w:hint="eastAsia"/>
        </w:rPr>
      </w:pPr>
    </w:p>
    <w:p w14:paraId="19BC3B91">
      <w:pPr>
        <w:spacing w:line="360" w:lineRule="auto"/>
        <w:ind w:firstLine="480" w:firstLineChars="200"/>
        <w:rPr>
          <w:rFonts w:hint="eastAsia"/>
        </w:rPr>
      </w:pPr>
    </w:p>
    <w:p w14:paraId="6715E110">
      <w:pPr>
        <w:spacing w:line="360" w:lineRule="auto"/>
        <w:ind w:firstLine="480" w:firstLineChars="200"/>
        <w:rPr>
          <w:rFonts w:hint="eastAsia"/>
        </w:rPr>
      </w:pPr>
    </w:p>
    <w:p w14:paraId="42A0A1E7">
      <w:pPr>
        <w:spacing w:line="360" w:lineRule="auto"/>
        <w:ind w:firstLine="480" w:firstLineChars="200"/>
        <w:rPr>
          <w:rFonts w:hint="eastAsia"/>
        </w:rPr>
      </w:pPr>
    </w:p>
    <w:p w14:paraId="44A30A7B">
      <w:pPr>
        <w:rPr>
          <w:rFonts w:hint="eastAsia"/>
          <w:sz w:val="30"/>
          <w:szCs w:val="30"/>
        </w:rPr>
      </w:pPr>
      <w:r>
        <w:rPr>
          <w:rFonts w:hint="eastAsia"/>
          <w:sz w:val="30"/>
          <w:szCs w:val="30"/>
        </w:rPr>
        <w:br w:type="page"/>
      </w:r>
    </w:p>
    <w:p w14:paraId="69EB90D8">
      <w:pPr>
        <w:pStyle w:val="2"/>
        <w:spacing w:after="120"/>
        <w:jc w:val="center"/>
        <w:rPr>
          <w:rFonts w:hint="eastAsia"/>
          <w:sz w:val="30"/>
          <w:szCs w:val="30"/>
        </w:rPr>
      </w:pPr>
      <w:r>
        <w:rPr>
          <w:rFonts w:hint="eastAsia"/>
          <w:sz w:val="30"/>
          <w:szCs w:val="30"/>
        </w:rPr>
        <w:t>第三部分　专用条件</w:t>
      </w:r>
      <w:bookmarkEnd w:id="588"/>
      <w:bookmarkEnd w:id="589"/>
      <w:bookmarkStart w:id="590" w:name="45"/>
    </w:p>
    <w:bookmarkEnd w:id="590"/>
    <w:p w14:paraId="06B71BEB">
      <w:pPr>
        <w:pStyle w:val="30"/>
        <w:spacing w:before="0" w:after="0" w:line="360" w:lineRule="auto"/>
        <w:ind w:firstLine="482" w:firstLineChars="200"/>
        <w:jc w:val="left"/>
        <w:rPr>
          <w:rFonts w:hint="eastAsia" w:ascii="宋体" w:hAnsi="宋体"/>
        </w:rPr>
      </w:pPr>
      <w:bookmarkStart w:id="591" w:name="_Toc419045099"/>
      <w:bookmarkStart w:id="592" w:name="_Toc422322522"/>
      <w:r>
        <w:rPr>
          <w:rFonts w:hint="eastAsia" w:ascii="宋体" w:hAnsi="宋体"/>
        </w:rPr>
        <w:t>1.词语定义、语言、解释顺序与适用法律</w:t>
      </w:r>
      <w:bookmarkEnd w:id="591"/>
      <w:bookmarkEnd w:id="592"/>
    </w:p>
    <w:p w14:paraId="664053EE">
      <w:pPr>
        <w:spacing w:line="360" w:lineRule="auto"/>
        <w:ind w:firstLine="468"/>
        <w:rPr>
          <w:rStyle w:val="94"/>
          <w:rFonts w:hint="eastAsia" w:ascii="宋体" w:hAnsi="宋体"/>
          <w:b w:val="0"/>
          <w:sz w:val="24"/>
          <w:szCs w:val="24"/>
        </w:rPr>
      </w:pPr>
      <w:bookmarkStart w:id="593" w:name="_Toc422322524"/>
      <w:bookmarkStart w:id="594" w:name="_Toc419045101"/>
      <w:r>
        <w:rPr>
          <w:rStyle w:val="94"/>
          <w:rFonts w:hint="eastAsia" w:ascii="宋体" w:hAnsi="宋体"/>
          <w:b w:val="0"/>
          <w:sz w:val="24"/>
          <w:szCs w:val="24"/>
        </w:rPr>
        <w:t>1.2 语言</w:t>
      </w:r>
      <w:bookmarkEnd w:id="593"/>
      <w:bookmarkEnd w:id="594"/>
      <w:r>
        <w:rPr>
          <w:rFonts w:hint="eastAsia" w:cs="Times New Roman"/>
        </w:rPr>
        <w:br w:type="textWrapping"/>
      </w:r>
      <w:r>
        <w:rPr>
          <w:rFonts w:hint="eastAsia" w:cs="Times New Roman"/>
        </w:rPr>
        <w:t xml:space="preserve">    本合同文件除使用中文外，还可用</w:t>
      </w:r>
      <w:r>
        <w:rPr>
          <w:rFonts w:hint="eastAsia" w:cs="Times New Roman"/>
          <w:szCs w:val="21"/>
        </w:rPr>
        <w:t>____________</w:t>
      </w:r>
      <w:r>
        <w:rPr>
          <w:rFonts w:hint="eastAsia" w:cs="Times New Roman"/>
          <w:szCs w:val="21"/>
          <w:u w:val="single"/>
        </w:rPr>
        <w:t>_/_</w:t>
      </w:r>
      <w:r>
        <w:rPr>
          <w:rFonts w:hint="eastAsia" w:cs="Times New Roman"/>
          <w:szCs w:val="21"/>
        </w:rPr>
        <w:t>_________</w:t>
      </w:r>
      <w:r>
        <w:rPr>
          <w:rFonts w:hint="eastAsia" w:cs="Times New Roman"/>
        </w:rPr>
        <w:t>_。</w:t>
      </w:r>
    </w:p>
    <w:p w14:paraId="2547160F">
      <w:pPr>
        <w:pStyle w:val="22"/>
        <w:spacing w:before="60"/>
        <w:ind w:firstLine="480" w:firstLineChars="200"/>
        <w:jc w:val="left"/>
        <w:rPr>
          <w:rFonts w:hint="eastAsia" w:ascii="宋体" w:hAnsi="宋体"/>
          <w:b w:val="0"/>
          <w:sz w:val="24"/>
          <w:szCs w:val="24"/>
        </w:rPr>
      </w:pPr>
      <w:bookmarkStart w:id="595" w:name="_Toc422322525"/>
      <w:r>
        <w:rPr>
          <w:rFonts w:hint="eastAsia" w:ascii="宋体" w:hAnsi="宋体"/>
          <w:b w:val="0"/>
          <w:sz w:val="24"/>
          <w:szCs w:val="24"/>
        </w:rPr>
        <w:t>1.3合同</w:t>
      </w:r>
      <w:r>
        <w:rPr>
          <w:rFonts w:ascii="宋体" w:hAnsi="宋体"/>
          <w:b w:val="0"/>
          <w:sz w:val="24"/>
          <w:szCs w:val="24"/>
        </w:rPr>
        <w:t>文件的</w:t>
      </w:r>
      <w:r>
        <w:rPr>
          <w:rFonts w:hint="eastAsia" w:ascii="宋体" w:hAnsi="宋体"/>
          <w:b w:val="0"/>
          <w:sz w:val="24"/>
          <w:szCs w:val="24"/>
        </w:rPr>
        <w:t>优先</w:t>
      </w:r>
      <w:r>
        <w:rPr>
          <w:rFonts w:ascii="宋体" w:hAnsi="宋体"/>
          <w:b w:val="0"/>
          <w:sz w:val="24"/>
          <w:szCs w:val="24"/>
        </w:rPr>
        <w:t>顺序</w:t>
      </w:r>
      <w:bookmarkEnd w:id="595"/>
    </w:p>
    <w:p w14:paraId="254CCBBA">
      <w:pPr>
        <w:spacing w:line="360" w:lineRule="auto"/>
        <w:ind w:firstLine="468"/>
        <w:rPr>
          <w:rFonts w:hint="eastAsia" w:cs="Times New Roman"/>
        </w:rPr>
      </w:pPr>
      <w:r>
        <w:rPr>
          <w:rFonts w:hint="eastAsia" w:cs="Times New Roman"/>
        </w:rPr>
        <w:t>本合同文件的解释顺序为：</w:t>
      </w:r>
      <w:r>
        <w:rPr>
          <w:rFonts w:hint="eastAsia" w:cs="Times New Roman"/>
          <w:szCs w:val="21"/>
        </w:rPr>
        <w:t>__</w:t>
      </w:r>
      <w:r>
        <w:rPr>
          <w:rFonts w:hint="eastAsia" w:cs="Times New Roman"/>
          <w:szCs w:val="21"/>
          <w:u w:val="single"/>
        </w:rPr>
        <w:t>执行通用条款</w:t>
      </w:r>
      <w:r>
        <w:rPr>
          <w:rFonts w:hint="eastAsia" w:cs="Times New Roman"/>
          <w:szCs w:val="21"/>
        </w:rPr>
        <w:t>___</w:t>
      </w:r>
      <w:r>
        <w:rPr>
          <w:rFonts w:hint="eastAsia" w:cs="Times New Roman"/>
        </w:rPr>
        <w:t>_。</w:t>
      </w:r>
    </w:p>
    <w:p w14:paraId="63A3B3E0">
      <w:pPr>
        <w:spacing w:line="360" w:lineRule="auto"/>
        <w:ind w:firstLine="468"/>
        <w:rPr>
          <w:rStyle w:val="94"/>
          <w:rFonts w:hint="eastAsia" w:ascii="宋体" w:hAnsi="宋体"/>
          <w:b w:val="0"/>
          <w:sz w:val="24"/>
          <w:szCs w:val="24"/>
        </w:rPr>
      </w:pPr>
      <w:bookmarkStart w:id="596" w:name="_Toc422322526"/>
      <w:bookmarkStart w:id="597" w:name="_Toc419045102"/>
      <w:r>
        <w:rPr>
          <w:rStyle w:val="94"/>
          <w:rFonts w:hint="eastAsia" w:ascii="宋体" w:hAnsi="宋体"/>
          <w:b w:val="0"/>
          <w:sz w:val="24"/>
          <w:szCs w:val="24"/>
        </w:rPr>
        <w:t>1.4适用法律</w:t>
      </w:r>
      <w:bookmarkEnd w:id="596"/>
      <w:bookmarkEnd w:id="597"/>
    </w:p>
    <w:p w14:paraId="4E9F8031">
      <w:pPr>
        <w:spacing w:line="360" w:lineRule="auto"/>
        <w:ind w:left="108" w:leftChars="45" w:firstLine="480" w:firstLineChars="200"/>
        <w:rPr>
          <w:rFonts w:hint="eastAsia" w:cs="Times New Roman"/>
          <w:szCs w:val="21"/>
          <w:u w:val="single"/>
        </w:rPr>
      </w:pPr>
      <w:r>
        <w:rPr>
          <w:rFonts w:hint="eastAsia" w:cs="Times New Roman"/>
        </w:rPr>
        <w:t>本合同适用的其他规范性文件包括:</w:t>
      </w:r>
      <w:r>
        <w:rPr>
          <w:rFonts w:hint="eastAsia" w:cs="Times New Roman"/>
          <w:szCs w:val="21"/>
          <w:u w:val="single"/>
        </w:rPr>
        <w:t>《民法典》、《建筑法》及其他国家、新疆维吾尔自治区的相关规定、《乌鲁木齐市建设工程造价咨询成果文件质量管理办法》</w:t>
      </w:r>
      <w:r>
        <w:rPr>
          <w:rFonts w:hint="eastAsia" w:cs="Times New Roman"/>
        </w:rPr>
        <w:t>。</w:t>
      </w:r>
    </w:p>
    <w:p w14:paraId="4D53B11D">
      <w:pPr>
        <w:pStyle w:val="30"/>
        <w:spacing w:before="0" w:after="0" w:line="360" w:lineRule="auto"/>
        <w:ind w:firstLine="482" w:firstLineChars="200"/>
        <w:jc w:val="left"/>
        <w:rPr>
          <w:rFonts w:hint="eastAsia" w:ascii="宋体" w:hAnsi="宋体"/>
        </w:rPr>
      </w:pPr>
      <w:bookmarkStart w:id="598" w:name="_Toc422322527"/>
      <w:bookmarkStart w:id="599" w:name="_Toc419045103"/>
      <w:r>
        <w:rPr>
          <w:rFonts w:hint="eastAsia" w:ascii="宋体" w:hAnsi="宋体"/>
        </w:rPr>
        <w:t>2.委托人的义务</w:t>
      </w:r>
      <w:bookmarkEnd w:id="598"/>
      <w:bookmarkEnd w:id="599"/>
    </w:p>
    <w:p w14:paraId="2C427C92">
      <w:pPr>
        <w:spacing w:line="360" w:lineRule="auto"/>
        <w:ind w:firstLine="468"/>
        <w:rPr>
          <w:rStyle w:val="94"/>
          <w:rFonts w:hint="eastAsia" w:ascii="宋体" w:hAnsi="宋体"/>
          <w:b w:val="0"/>
          <w:sz w:val="24"/>
          <w:szCs w:val="24"/>
        </w:rPr>
      </w:pPr>
      <w:bookmarkStart w:id="600" w:name="_Toc422322528"/>
      <w:bookmarkStart w:id="601" w:name="_Toc419045104"/>
      <w:r>
        <w:rPr>
          <w:rStyle w:val="94"/>
          <w:rFonts w:hint="eastAsia" w:ascii="宋体" w:hAnsi="宋体"/>
          <w:b w:val="0"/>
          <w:sz w:val="24"/>
          <w:szCs w:val="24"/>
        </w:rPr>
        <w:t>2.1提供资料</w:t>
      </w:r>
      <w:bookmarkEnd w:id="600"/>
      <w:bookmarkEnd w:id="601"/>
    </w:p>
    <w:p w14:paraId="465CA6F7">
      <w:pPr>
        <w:spacing w:line="360" w:lineRule="auto"/>
        <w:ind w:firstLine="480" w:firstLineChars="200"/>
        <w:rPr>
          <w:rFonts w:hint="eastAsia"/>
        </w:rPr>
      </w:pPr>
      <w:r>
        <w:rPr>
          <w:rFonts w:hint="eastAsia"/>
        </w:rPr>
        <w:t>委托人按照附录C约定无偿向咨询人提供与本合同咨询业务有关资料的时间为：</w:t>
      </w:r>
      <w:r>
        <w:rPr>
          <w:rFonts w:hint="eastAsia" w:cs="Times New Roman"/>
          <w:szCs w:val="21"/>
          <w:u w:val="single"/>
        </w:rPr>
        <w:t>_不对正常造价咨询工作构成重大延期影响均可，委托人因保证资料的完整性，如因资料不完整导致咨询人延迟交付成果，咨询人不承担相应责任</w:t>
      </w:r>
      <w:r>
        <w:rPr>
          <w:rFonts w:hint="eastAsia"/>
        </w:rPr>
        <w:t>。</w:t>
      </w:r>
    </w:p>
    <w:p w14:paraId="3040FB12">
      <w:pPr>
        <w:spacing w:line="360" w:lineRule="auto"/>
        <w:ind w:firstLine="468"/>
        <w:rPr>
          <w:rStyle w:val="94"/>
          <w:rFonts w:hint="eastAsia" w:ascii="宋体" w:hAnsi="宋体"/>
          <w:b w:val="0"/>
          <w:sz w:val="24"/>
          <w:szCs w:val="24"/>
        </w:rPr>
      </w:pPr>
      <w:bookmarkStart w:id="602" w:name="_Toc419045105"/>
      <w:bookmarkStart w:id="603" w:name="_Toc422322529"/>
      <w:r>
        <w:rPr>
          <w:rStyle w:val="94"/>
          <w:rFonts w:hint="eastAsia" w:ascii="宋体" w:hAnsi="宋体"/>
          <w:b w:val="0"/>
          <w:sz w:val="24"/>
          <w:szCs w:val="24"/>
        </w:rPr>
        <w:t>2.2提供工作条件</w:t>
      </w:r>
      <w:bookmarkEnd w:id="602"/>
      <w:bookmarkEnd w:id="603"/>
    </w:p>
    <w:p w14:paraId="2FBC52B3">
      <w:pPr>
        <w:spacing w:line="360" w:lineRule="auto"/>
        <w:ind w:firstLine="480" w:firstLineChars="200"/>
        <w:rPr>
          <w:rFonts w:hint="eastAsia" w:cs="Times New Roman"/>
        </w:rPr>
      </w:pPr>
      <w:r>
        <w:rPr>
          <w:rFonts w:hint="eastAsia"/>
        </w:rPr>
        <w:t>2.2.1项目咨询人员使用附录D中由委托人提供的房屋及设备，支付使用费的标准为：</w:t>
      </w:r>
      <w:r>
        <w:rPr>
          <w:rFonts w:hint="eastAsia" w:cs="Times New Roman"/>
          <w:szCs w:val="21"/>
        </w:rPr>
        <w:t>_____________________</w:t>
      </w:r>
      <w:r>
        <w:rPr>
          <w:rFonts w:hint="eastAsia" w:cs="Times New Roman"/>
          <w:szCs w:val="21"/>
          <w:u w:val="single"/>
        </w:rPr>
        <w:t xml:space="preserve">/                     </w:t>
      </w:r>
      <w:r>
        <w:rPr>
          <w:rFonts w:hint="eastAsia"/>
          <w:u w:val="single"/>
        </w:rPr>
        <w:t xml:space="preserve">   </w:t>
      </w:r>
      <w:r>
        <w:rPr>
          <w:rFonts w:hint="eastAsia"/>
        </w:rPr>
        <w:t>。</w:t>
      </w:r>
    </w:p>
    <w:p w14:paraId="0DD504CC">
      <w:pPr>
        <w:spacing w:line="360" w:lineRule="auto"/>
        <w:rPr>
          <w:rStyle w:val="94"/>
          <w:rFonts w:ascii="宋体" w:hAnsi="宋体"/>
          <w:b w:val="0"/>
          <w:sz w:val="24"/>
          <w:szCs w:val="24"/>
        </w:rPr>
      </w:pPr>
      <w:bookmarkStart w:id="604" w:name="_Toc422322530"/>
      <w:bookmarkStart w:id="605" w:name="_Toc419045106"/>
      <w:r>
        <w:rPr>
          <w:rStyle w:val="94"/>
          <w:rFonts w:hint="eastAsia" w:ascii="宋体" w:hAnsi="宋体"/>
          <w:b w:val="0"/>
          <w:sz w:val="24"/>
          <w:szCs w:val="24"/>
        </w:rPr>
        <w:t>2.4委托人代表</w:t>
      </w:r>
      <w:bookmarkEnd w:id="604"/>
      <w:bookmarkEnd w:id="605"/>
      <w:r>
        <w:rPr>
          <w:rFonts w:hint="eastAsia" w:cs="Times New Roman"/>
        </w:rPr>
        <w:br w:type="textWrapping"/>
      </w:r>
      <w:r>
        <w:rPr>
          <w:rFonts w:hint="eastAsia" w:cs="Times New Roman"/>
        </w:rPr>
        <w:t xml:space="preserve">    委托人代表为：___</w:t>
      </w:r>
      <w:r>
        <w:rPr>
          <w:rFonts w:hint="eastAsia" w:cs="Times New Roman"/>
          <w:u w:val="single"/>
        </w:rPr>
        <w:t xml:space="preserve">李晓红  </w:t>
      </w:r>
      <w:r>
        <w:rPr>
          <w:rFonts w:hint="eastAsia" w:cs="Times New Roman"/>
        </w:rPr>
        <w:t>，其权限范围：</w:t>
      </w:r>
      <w:r>
        <w:rPr>
          <w:rFonts w:hint="eastAsia" w:cs="Times New Roman"/>
          <w:u w:val="single"/>
        </w:rPr>
        <w:t>1、代表委托方对关于本项目工程造价方面与咨询方进行沟通协调工作；2、对咨询方出具的成果文件进行认可并接收</w:t>
      </w:r>
      <w:r>
        <w:rPr>
          <w:rFonts w:hint="eastAsia" w:cs="Times New Roman"/>
        </w:rPr>
        <w:t>。</w:t>
      </w:r>
    </w:p>
    <w:p w14:paraId="01867C0A">
      <w:pPr>
        <w:pStyle w:val="22"/>
        <w:spacing w:before="60"/>
        <w:ind w:firstLine="480" w:firstLineChars="200"/>
        <w:jc w:val="left"/>
        <w:rPr>
          <w:rFonts w:hint="eastAsia" w:ascii="宋体" w:hAnsi="宋体"/>
          <w:b w:val="0"/>
          <w:sz w:val="24"/>
          <w:szCs w:val="24"/>
        </w:rPr>
      </w:pPr>
      <w:bookmarkStart w:id="606" w:name="_Toc422322531"/>
      <w:r>
        <w:rPr>
          <w:rFonts w:hint="eastAsia" w:ascii="宋体" w:hAnsi="宋体"/>
          <w:b w:val="0"/>
          <w:sz w:val="24"/>
          <w:szCs w:val="24"/>
        </w:rPr>
        <w:t>2.5答复</w:t>
      </w:r>
      <w:bookmarkEnd w:id="606"/>
    </w:p>
    <w:p w14:paraId="14F934B6">
      <w:pPr>
        <w:spacing w:line="360" w:lineRule="auto"/>
        <w:ind w:firstLine="480"/>
      </w:pPr>
      <w:r>
        <w:rPr>
          <w:rFonts w:hint="eastAsia" w:cs="Times New Roman"/>
        </w:rPr>
        <w:t>委托人同意在</w:t>
      </w:r>
      <w:r>
        <w:rPr>
          <w:rFonts w:hint="eastAsia" w:cs="Times New Roman"/>
          <w:szCs w:val="21"/>
        </w:rPr>
        <w:t>___</w:t>
      </w:r>
      <w:r>
        <w:rPr>
          <w:rFonts w:hint="eastAsia" w:cs="Times New Roman"/>
          <w:szCs w:val="21"/>
          <w:u w:val="single"/>
        </w:rPr>
        <w:t>叁</w:t>
      </w:r>
      <w:r>
        <w:rPr>
          <w:rFonts w:hint="eastAsia" w:cs="Times New Roman"/>
          <w:szCs w:val="21"/>
        </w:rPr>
        <w:t>____</w:t>
      </w:r>
      <w:r>
        <w:rPr>
          <w:rFonts w:hint="eastAsia" w:cs="Times New Roman"/>
        </w:rPr>
        <w:t>日内，对咨询人书面提交并要求做出决定的事宜给予书面答复。</w:t>
      </w:r>
      <w:r>
        <w:rPr>
          <w:rFonts w:hint="eastAsia"/>
        </w:rPr>
        <w:t>逾期未答复的，视为委托人认可。</w:t>
      </w:r>
    </w:p>
    <w:p w14:paraId="4B9E9495">
      <w:pPr>
        <w:spacing w:line="360" w:lineRule="auto"/>
        <w:ind w:firstLine="480"/>
      </w:pPr>
      <w:r>
        <w:rPr>
          <w:rFonts w:hint="eastAsia"/>
        </w:rPr>
        <w:t>委托人的义务还包括：</w:t>
      </w:r>
    </w:p>
    <w:p w14:paraId="41604FE3">
      <w:pPr>
        <w:spacing w:line="360" w:lineRule="auto"/>
        <w:ind w:firstLine="480"/>
      </w:pPr>
      <w:r>
        <w:t>1、向咨询人发出书面的任务指令，确保任务的明确性、清晰性及有效性。</w:t>
      </w:r>
    </w:p>
    <w:p w14:paraId="3C9CE384">
      <w:pPr>
        <w:spacing w:line="360" w:lineRule="auto"/>
        <w:ind w:firstLine="480"/>
      </w:pPr>
      <w:r>
        <w:t>2、当咨询人与第三方发生争议或分歧时，委托人应积极协调，并提供解决意见。</w:t>
      </w:r>
    </w:p>
    <w:p w14:paraId="42E5FD07">
      <w:pPr>
        <w:spacing w:line="360" w:lineRule="auto"/>
        <w:ind w:firstLine="480"/>
      </w:pPr>
      <w:r>
        <w:t>3、委托人应在7日内对咨询人书面提交并要求做出答复的事宜做出书面答复。</w:t>
      </w:r>
    </w:p>
    <w:p w14:paraId="0328A51F">
      <w:pPr>
        <w:spacing w:line="360" w:lineRule="auto"/>
        <w:ind w:firstLine="480"/>
      </w:pPr>
      <w:r>
        <w:t>4、委托人的权利还包括：</w:t>
      </w:r>
    </w:p>
    <w:p w14:paraId="355F50BD">
      <w:pPr>
        <w:spacing w:line="360" w:lineRule="auto"/>
        <w:ind w:firstLine="480"/>
      </w:pPr>
      <w:r>
        <w:t>4.1、在任何时间更换被认为不称职或不配合的造价咨询人员。</w:t>
      </w:r>
    </w:p>
    <w:p w14:paraId="7629903E">
      <w:pPr>
        <w:spacing w:line="360" w:lineRule="auto"/>
        <w:ind w:firstLine="480"/>
      </w:pPr>
      <w:r>
        <w:t>4.2、咨询人发生错误，并在收到委托人书面通知的3天内，仍未采取适当措施改正错误，则委托人有权解除合同，并要求咨询人赔偿相应损失。</w:t>
      </w:r>
    </w:p>
    <w:p w14:paraId="08841DB0">
      <w:pPr>
        <w:spacing w:line="360" w:lineRule="auto"/>
        <w:ind w:firstLine="480"/>
      </w:pPr>
      <w:r>
        <w:t>4.3、咨询人发生严重的工作延误，并在收到委托人书面通知的3天内，仍未采取适当措施加以改正，则委托人有权解除合同，并要求咨询人赔偿相应损失。</w:t>
      </w:r>
    </w:p>
    <w:p w14:paraId="41DF4AC4">
      <w:pPr>
        <w:spacing w:line="360" w:lineRule="auto"/>
        <w:ind w:firstLine="480"/>
        <w:rPr>
          <w:rFonts w:hint="eastAsia"/>
        </w:rPr>
      </w:pPr>
      <w:r>
        <w:t>4.4、同一项目工程量清单和招标控制价或标底编制、施工阶段全过程造价控制、竣工结算审的服务，委托人有权指定不同的咨询单位。若由于受托人人员不到位或提交的成果文件误差率较大或私下与施工单位接触等原因造成服务质量不能满足委托方要求的情况下，委托方可随时解除该项目的委托任务或服务合同。</w:t>
      </w:r>
    </w:p>
    <w:p w14:paraId="66E1388A">
      <w:pPr>
        <w:pStyle w:val="30"/>
        <w:spacing w:before="0" w:after="0" w:line="360" w:lineRule="auto"/>
        <w:ind w:firstLine="482" w:firstLineChars="200"/>
        <w:jc w:val="left"/>
        <w:rPr>
          <w:rFonts w:hint="eastAsia" w:ascii="宋体" w:hAnsi="宋体"/>
        </w:rPr>
      </w:pPr>
      <w:bookmarkStart w:id="607" w:name="_Toc419045107"/>
      <w:bookmarkStart w:id="608" w:name="_Toc422322532"/>
      <w:r>
        <w:rPr>
          <w:rFonts w:hint="eastAsia" w:ascii="宋体" w:hAnsi="宋体"/>
        </w:rPr>
        <w:t>3.咨询人的义务</w:t>
      </w:r>
      <w:bookmarkEnd w:id="607"/>
      <w:bookmarkEnd w:id="608"/>
    </w:p>
    <w:p w14:paraId="367FE47B">
      <w:pPr>
        <w:pStyle w:val="22"/>
        <w:spacing w:before="60"/>
        <w:ind w:firstLine="480" w:firstLineChars="200"/>
        <w:jc w:val="left"/>
        <w:rPr>
          <w:rFonts w:hint="eastAsia" w:ascii="宋体" w:hAnsi="宋体"/>
          <w:b w:val="0"/>
          <w:sz w:val="24"/>
          <w:szCs w:val="24"/>
        </w:rPr>
      </w:pPr>
      <w:bookmarkStart w:id="609" w:name="_Toc422322533"/>
      <w:bookmarkStart w:id="610" w:name="_Toc419045109"/>
      <w:r>
        <w:rPr>
          <w:rFonts w:hint="eastAsia" w:ascii="宋体" w:hAnsi="宋体"/>
          <w:b w:val="0"/>
          <w:sz w:val="24"/>
          <w:szCs w:val="24"/>
        </w:rPr>
        <w:t>3.1项目咨询团队及人员</w:t>
      </w:r>
      <w:bookmarkEnd w:id="609"/>
      <w:bookmarkEnd w:id="610"/>
    </w:p>
    <w:p w14:paraId="180CD1C2">
      <w:pPr>
        <w:spacing w:line="360" w:lineRule="auto"/>
        <w:ind w:firstLine="480" w:firstLineChars="200"/>
        <w:rPr>
          <w:rFonts w:hint="eastAsia"/>
        </w:rPr>
      </w:pPr>
      <w:r>
        <w:rPr>
          <w:rFonts w:hint="eastAsia"/>
        </w:rPr>
        <w:t>3.1.1项目咨询团队的主要人员应具有_</w:t>
      </w:r>
      <w:r>
        <w:rPr>
          <w:rFonts w:hint="eastAsia"/>
          <w:u w:val="single"/>
          <w:lang w:val="en-US" w:eastAsia="zh-CN"/>
        </w:rPr>
        <w:t xml:space="preserve">                   </w:t>
      </w:r>
      <w:r>
        <w:rPr>
          <w:rFonts w:hint="eastAsia" w:cs="Times New Roman"/>
          <w:szCs w:val="21"/>
        </w:rPr>
        <w:t>上</w:t>
      </w:r>
      <w:r>
        <w:rPr>
          <w:rFonts w:hint="eastAsia"/>
        </w:rPr>
        <w:t>资格条件，团队人员的数量为</w:t>
      </w:r>
      <w:r>
        <w:rPr>
          <w:rFonts w:hint="eastAsia" w:cs="Times New Roman"/>
          <w:szCs w:val="21"/>
          <w:lang w:val="en-US" w:eastAsia="zh-CN"/>
        </w:rPr>
        <w:t xml:space="preserve">  </w:t>
      </w:r>
      <w:r>
        <w:rPr>
          <w:rFonts w:hint="eastAsia"/>
        </w:rPr>
        <w:t>人以上。</w:t>
      </w:r>
    </w:p>
    <w:p w14:paraId="255F72E1">
      <w:pPr>
        <w:spacing w:line="360" w:lineRule="auto"/>
        <w:ind w:firstLine="480" w:firstLineChars="200"/>
        <w:rPr>
          <w:rFonts w:hint="eastAsia"/>
        </w:rPr>
      </w:pPr>
      <w:r>
        <w:rPr>
          <w:rFonts w:hint="eastAsia"/>
        </w:rPr>
        <w:t>3.1.2项目负责人为：</w:t>
      </w:r>
      <w:r>
        <w:rPr>
          <w:rFonts w:hint="eastAsia" w:cs="Times New Roman"/>
          <w:szCs w:val="21"/>
          <w:u w:val="single"/>
        </w:rPr>
        <w:t xml:space="preserve">  </w:t>
      </w:r>
      <w:r>
        <w:rPr>
          <w:rFonts w:hint="eastAsia" w:cs="Times New Roman"/>
          <w:szCs w:val="21"/>
          <w:u w:val="single"/>
          <w:lang w:val="en-US" w:eastAsia="zh-CN"/>
        </w:rPr>
        <w:t xml:space="preserve">     </w:t>
      </w:r>
      <w:r>
        <w:rPr>
          <w:rFonts w:hint="eastAsia" w:cs="Times New Roman"/>
          <w:szCs w:val="21"/>
          <w:u w:val="single"/>
        </w:rPr>
        <w:t xml:space="preserve"> </w:t>
      </w:r>
      <w:r>
        <w:rPr>
          <w:rFonts w:hint="eastAsia"/>
        </w:rPr>
        <w:t>_，项目负责人为履行本合同的权限为：</w:t>
      </w:r>
      <w:r>
        <w:rPr>
          <w:rFonts w:hint="eastAsia" w:cs="Times New Roman"/>
          <w:szCs w:val="21"/>
          <w:u w:val="single"/>
        </w:rPr>
        <w:t>出具</w:t>
      </w:r>
      <w:r>
        <w:rPr>
          <w:rFonts w:hint="eastAsia"/>
          <w:u w:val="single"/>
        </w:rPr>
        <w:t>工程概算编制、工程量清单编制、招标控制价编制、工程预算编制、工程结算审查、工程全过程造价咨询、其他建设项目及修缮、零星维修工程造价咨询服务等</w:t>
      </w:r>
      <w:r>
        <w:rPr>
          <w:rFonts w:hint="eastAsia" w:cs="Times New Roman"/>
          <w:szCs w:val="21"/>
          <w:u w:val="single"/>
        </w:rPr>
        <w:t xml:space="preserve">报告  </w:t>
      </w:r>
      <w:r>
        <w:rPr>
          <w:rFonts w:hint="eastAsia"/>
        </w:rPr>
        <w:t>。</w:t>
      </w:r>
    </w:p>
    <w:p w14:paraId="2CB102B7">
      <w:pPr>
        <w:pStyle w:val="91"/>
        <w:spacing w:line="360" w:lineRule="auto"/>
        <w:ind w:firstLine="480" w:firstLineChars="200"/>
        <w:jc w:val="left"/>
        <w:rPr>
          <w:rFonts w:hint="eastAsia" w:ascii="宋体" w:hAnsi="宋体"/>
          <w:sz w:val="24"/>
          <w:szCs w:val="24"/>
        </w:rPr>
      </w:pPr>
      <w:r>
        <w:rPr>
          <w:rFonts w:hint="eastAsia" w:ascii="宋体" w:hAnsi="宋体"/>
          <w:sz w:val="24"/>
          <w:szCs w:val="24"/>
        </w:rPr>
        <w:t>3.1.3咨询人更换项目咨询团队其他咨询人员的约定：</w:t>
      </w:r>
      <w:r>
        <w:rPr>
          <w:rFonts w:hint="eastAsia" w:ascii="宋体" w:hAnsi="宋体" w:cs="宋体"/>
          <w:sz w:val="24"/>
          <w:szCs w:val="24"/>
          <w:u w:val="single"/>
        </w:rPr>
        <w:t>_</w:t>
      </w:r>
      <w:r>
        <w:rPr>
          <w:rFonts w:hint="eastAsia" w:ascii="宋体" w:hAnsi="宋体"/>
          <w:sz w:val="24"/>
          <w:szCs w:val="24"/>
          <w:u w:val="single"/>
        </w:rPr>
        <w:t>原则上不允许更换，如有特殊情形，咨询人应</w:t>
      </w:r>
      <w:r>
        <w:rPr>
          <w:rFonts w:hint="eastAsia" w:ascii="宋体" w:hAnsi="宋体"/>
          <w:sz w:val="24"/>
          <w:u w:val="single"/>
        </w:rPr>
        <w:t xml:space="preserve">以书面形式向委托人提出请示，经委托人书面同意后方可更换；如咨询人擅自更换，向委托人支付叁万元违约金 </w:t>
      </w:r>
      <w:r>
        <w:rPr>
          <w:rFonts w:hint="eastAsia" w:ascii="宋体" w:hAnsi="宋体"/>
          <w:sz w:val="24"/>
          <w:szCs w:val="24"/>
        </w:rPr>
        <w:t>。</w:t>
      </w:r>
    </w:p>
    <w:p w14:paraId="27342F87">
      <w:pPr>
        <w:spacing w:line="360" w:lineRule="auto"/>
        <w:ind w:firstLine="480" w:firstLineChars="200"/>
        <w:rPr>
          <w:rFonts w:hint="eastAsia"/>
        </w:rPr>
      </w:pPr>
      <w:r>
        <w:rPr>
          <w:rFonts w:hint="eastAsia"/>
        </w:rPr>
        <w:t>3.1.4委托人要求更换咨询人员的情形还包括：</w:t>
      </w:r>
      <w:r>
        <w:rPr>
          <w:rFonts w:hint="eastAsia"/>
          <w:u w:val="single"/>
        </w:rPr>
        <w:t>与该项目相关方存在利害关系必须回避的以及委托人认为咨询人员在履行职责中存在其他不当行为的，咨询人应予以更换_。</w:t>
      </w:r>
    </w:p>
    <w:p w14:paraId="5EA18452">
      <w:pPr>
        <w:pStyle w:val="22"/>
        <w:spacing w:before="60"/>
        <w:ind w:firstLine="480" w:firstLineChars="200"/>
        <w:jc w:val="left"/>
        <w:rPr>
          <w:rFonts w:hint="eastAsia" w:ascii="宋体" w:hAnsi="宋体"/>
          <w:b w:val="0"/>
          <w:sz w:val="24"/>
          <w:szCs w:val="24"/>
        </w:rPr>
      </w:pPr>
      <w:bookmarkStart w:id="611" w:name="_Toc419045110"/>
      <w:bookmarkStart w:id="612" w:name="_Toc422322534"/>
      <w:r>
        <w:rPr>
          <w:rFonts w:hint="eastAsia" w:ascii="宋体" w:hAnsi="宋体"/>
          <w:b w:val="0"/>
          <w:sz w:val="24"/>
          <w:szCs w:val="24"/>
        </w:rPr>
        <w:t>3.2咨询人的工作要求</w:t>
      </w:r>
      <w:bookmarkEnd w:id="611"/>
      <w:bookmarkEnd w:id="612"/>
    </w:p>
    <w:p w14:paraId="40A4ED78">
      <w:pPr>
        <w:spacing w:line="360" w:lineRule="auto"/>
        <w:ind w:left="480" w:leftChars="200"/>
        <w:rPr>
          <w:rFonts w:hint="eastAsia"/>
        </w:rPr>
      </w:pPr>
      <w:r>
        <w:rPr>
          <w:rFonts w:hint="eastAsia"/>
        </w:rPr>
        <w:t>3.2.1咨询人向委托人提供有关资料的时间：</w:t>
      </w:r>
      <w:r>
        <w:rPr>
          <w:rFonts w:hint="eastAsia" w:cs="Times New Roman"/>
          <w:szCs w:val="21"/>
          <w:u w:val="single"/>
        </w:rPr>
        <w:t>_</w:t>
      </w:r>
      <w:r>
        <w:rPr>
          <w:rFonts w:hint="eastAsia"/>
          <w:u w:val="single"/>
          <w:lang w:val="en-US" w:eastAsia="zh-CN"/>
        </w:rPr>
        <w:t xml:space="preserve">                </w:t>
      </w:r>
      <w:r>
        <w:rPr>
          <w:rFonts w:hint="eastAsia"/>
          <w:u w:val="single"/>
        </w:rPr>
        <w:t xml:space="preserve">内 </w:t>
      </w:r>
      <w:r>
        <w:rPr>
          <w:rFonts w:hint="eastAsia"/>
        </w:rPr>
        <w:t>。咨询人向委托人提供的资料还包括：</w:t>
      </w:r>
      <w:r>
        <w:rPr>
          <w:rFonts w:hint="eastAsia" w:cs="Times New Roman"/>
          <w:szCs w:val="21"/>
          <w:u w:val="single"/>
        </w:rPr>
        <w:t xml:space="preserve">委托人认为必要的合理合情的其他内容  </w:t>
      </w:r>
      <w:r>
        <w:rPr>
          <w:rFonts w:hint="eastAsia"/>
        </w:rPr>
        <w:t>。</w:t>
      </w:r>
    </w:p>
    <w:p w14:paraId="10BD4202">
      <w:pPr>
        <w:spacing w:line="360" w:lineRule="auto"/>
        <w:ind w:firstLine="480" w:firstLineChars="200"/>
        <w:rPr>
          <w:rFonts w:hint="eastAsia"/>
        </w:rPr>
      </w:pPr>
      <w:r>
        <w:rPr>
          <w:rFonts w:hint="eastAsia"/>
        </w:rPr>
        <w:t>3.2.2咨询人向委托人提供咨询成果文件的名称、组成、时间、份数及质量标准：满足</w:t>
      </w:r>
      <w:r>
        <w:rPr>
          <w:u w:val="single"/>
        </w:rPr>
        <w:t>国家、新疆维吾尔自治区及项目所在地相关部</w:t>
      </w:r>
      <w:r>
        <w:rPr>
          <w:rFonts w:hint="eastAsia"/>
          <w:u w:val="single"/>
        </w:rPr>
        <w:t>门</w:t>
      </w:r>
      <w:r>
        <w:rPr>
          <w:u w:val="single"/>
        </w:rPr>
        <w:t>的规定</w:t>
      </w:r>
      <w:r>
        <w:rPr>
          <w:rFonts w:hint="eastAsia"/>
          <w:u w:val="single"/>
        </w:rPr>
        <w:t>、委托单位相关管理办法的要求</w:t>
      </w:r>
      <w:r>
        <w:rPr>
          <w:rFonts w:hint="eastAsia"/>
        </w:rPr>
        <w:t>。详见附录B。</w:t>
      </w:r>
    </w:p>
    <w:p w14:paraId="7606CDA9">
      <w:pPr>
        <w:spacing w:line="360" w:lineRule="auto"/>
        <w:ind w:firstLine="480" w:firstLineChars="200"/>
        <w:rPr>
          <w:rFonts w:hint="eastAsia"/>
        </w:rPr>
      </w:pPr>
      <w:r>
        <w:rPr>
          <w:rFonts w:hint="eastAsia"/>
        </w:rPr>
        <w:t>3.2.4咨询人应在收到委托人以书面形式提出的建议或者异议后</w:t>
      </w:r>
      <w:r>
        <w:rPr>
          <w:rFonts w:hint="eastAsia" w:cs="Times New Roman"/>
          <w:szCs w:val="21"/>
        </w:rPr>
        <w:t>__叁___</w:t>
      </w:r>
      <w:r>
        <w:rPr>
          <w:rFonts w:hint="eastAsia"/>
        </w:rPr>
        <w:t>日内给予书面答复。</w:t>
      </w:r>
    </w:p>
    <w:p w14:paraId="4AE063FE">
      <w:pPr>
        <w:pStyle w:val="22"/>
        <w:spacing w:before="60"/>
        <w:ind w:firstLine="480" w:firstLineChars="200"/>
        <w:jc w:val="left"/>
        <w:rPr>
          <w:rFonts w:hint="eastAsia" w:ascii="宋体" w:hAnsi="宋体"/>
          <w:b w:val="0"/>
          <w:sz w:val="24"/>
          <w:szCs w:val="24"/>
        </w:rPr>
      </w:pPr>
      <w:bookmarkStart w:id="613" w:name="_Toc422322535"/>
      <w:bookmarkStart w:id="614" w:name="_Toc419045111"/>
      <w:r>
        <w:rPr>
          <w:rFonts w:hint="eastAsia" w:ascii="宋体" w:hAnsi="宋体"/>
          <w:b w:val="0"/>
          <w:sz w:val="24"/>
          <w:szCs w:val="24"/>
        </w:rPr>
        <w:t>3.3咨询人的工作依据</w:t>
      </w:r>
      <w:bookmarkEnd w:id="613"/>
      <w:bookmarkEnd w:id="614"/>
    </w:p>
    <w:p w14:paraId="68F363DD">
      <w:pPr>
        <w:spacing w:line="360" w:lineRule="auto"/>
        <w:ind w:firstLine="480" w:firstLineChars="200"/>
        <w:rPr>
          <w:rFonts w:hint="eastAsia"/>
        </w:rPr>
      </w:pPr>
      <w:r>
        <w:rPr>
          <w:rFonts w:hint="eastAsia"/>
        </w:rPr>
        <w:t>经双方协商，本合同约定的造价咨询服务适用的技术标准、规范、定额等工作依据为：</w:t>
      </w:r>
      <w:r>
        <w:rPr>
          <w:rFonts w:hint="eastAsia" w:cs="Times New Roman"/>
          <w:szCs w:val="21"/>
          <w:u w:val="single"/>
        </w:rPr>
        <w:t>_2013《建设工程工程量清单计价规范》、2010《新疆维吾尔自治区建筑工程消耗量定额》等现行定额，相关调差费用文件，现行主管部发布的关于材料价的相关文件及新疆维吾尔</w:t>
      </w:r>
      <w:r>
        <w:rPr>
          <w:rFonts w:hint="eastAsia"/>
          <w:u w:val="single"/>
        </w:rPr>
        <w:t>自治区、市造价站有关的规章与制度等_</w:t>
      </w:r>
      <w:r>
        <w:rPr>
          <w:rFonts w:hint="eastAsia"/>
        </w:rPr>
        <w:t>。</w:t>
      </w:r>
    </w:p>
    <w:p w14:paraId="59737A48">
      <w:pPr>
        <w:pStyle w:val="22"/>
        <w:spacing w:before="60"/>
        <w:ind w:firstLine="480" w:firstLineChars="200"/>
        <w:jc w:val="left"/>
        <w:rPr>
          <w:rFonts w:hint="eastAsia" w:ascii="宋体" w:hAnsi="宋体"/>
          <w:b w:val="0"/>
          <w:sz w:val="24"/>
          <w:szCs w:val="24"/>
        </w:rPr>
      </w:pPr>
      <w:bookmarkStart w:id="615" w:name="_Toc419045112"/>
      <w:bookmarkStart w:id="616" w:name="_Toc422322536"/>
      <w:r>
        <w:rPr>
          <w:rFonts w:hint="eastAsia" w:ascii="宋体" w:hAnsi="宋体"/>
          <w:b w:val="0"/>
          <w:sz w:val="24"/>
          <w:szCs w:val="24"/>
        </w:rPr>
        <w:t>3.4使用委托人房屋及设备的返还</w:t>
      </w:r>
      <w:bookmarkEnd w:id="615"/>
      <w:bookmarkEnd w:id="616"/>
    </w:p>
    <w:p w14:paraId="20C049AA">
      <w:pPr>
        <w:spacing w:line="360" w:lineRule="auto"/>
        <w:ind w:firstLine="480" w:firstLineChars="200"/>
        <w:rPr>
          <w:rFonts w:cs="Times New Roman"/>
          <w:u w:val="single"/>
        </w:rPr>
      </w:pPr>
      <w:r>
        <w:rPr>
          <w:rFonts w:hint="eastAsia" w:cs="Times New Roman"/>
        </w:rPr>
        <w:t>咨询人应在本合同终止后</w:t>
      </w:r>
      <w:r>
        <w:rPr>
          <w:rFonts w:hint="eastAsia" w:cs="Times New Roman"/>
          <w:szCs w:val="21"/>
        </w:rPr>
        <w:t>__</w:t>
      </w:r>
      <w:r>
        <w:rPr>
          <w:rFonts w:hint="eastAsia" w:cs="Times New Roman"/>
          <w:szCs w:val="21"/>
          <w:u w:val="single"/>
        </w:rPr>
        <w:t>7</w:t>
      </w:r>
      <w:r>
        <w:rPr>
          <w:rFonts w:hint="eastAsia" w:cs="Times New Roman"/>
          <w:szCs w:val="21"/>
        </w:rPr>
        <w:t>_</w:t>
      </w:r>
      <w:r>
        <w:rPr>
          <w:rFonts w:hint="eastAsia" w:cs="Times New Roman"/>
        </w:rPr>
        <w:t>日内移交委托人提供的房屋及设备，移交的方式为</w:t>
      </w:r>
      <w:r>
        <w:rPr>
          <w:rFonts w:hint="eastAsia" w:cs="Times New Roman"/>
          <w:u w:val="single"/>
        </w:rPr>
        <w:t>双方现场进行清点、签字确认。</w:t>
      </w:r>
    </w:p>
    <w:p w14:paraId="4F0A1011">
      <w:pPr>
        <w:spacing w:line="360" w:lineRule="auto"/>
        <w:ind w:firstLine="480" w:firstLineChars="200"/>
        <w:rPr>
          <w:rFonts w:cs="Times New Roman"/>
        </w:rPr>
      </w:pPr>
      <w:r>
        <w:rPr>
          <w:rFonts w:hint="eastAsia" w:cs="Times New Roman"/>
        </w:rPr>
        <w:t>咨询人的义务还包括：</w:t>
      </w:r>
    </w:p>
    <w:p w14:paraId="00CD48B3">
      <w:pPr>
        <w:spacing w:line="360" w:lineRule="auto"/>
        <w:ind w:firstLine="480" w:firstLineChars="200"/>
        <w:rPr>
          <w:rFonts w:cs="Times New Roman"/>
        </w:rPr>
      </w:pPr>
      <w:r>
        <w:rPr>
          <w:rFonts w:cs="Times New Roman"/>
        </w:rPr>
        <w:t>1、保证编制各类造价咨询成果文件的准确性、合理性及严谨性。</w:t>
      </w:r>
    </w:p>
    <w:p w14:paraId="3333D97E">
      <w:pPr>
        <w:spacing w:line="360" w:lineRule="auto"/>
        <w:ind w:firstLine="480" w:firstLineChars="200"/>
        <w:rPr>
          <w:rFonts w:cs="Times New Roman"/>
        </w:rPr>
      </w:pPr>
      <w:r>
        <w:rPr>
          <w:rFonts w:cs="Times New Roman"/>
        </w:rPr>
        <w:t>2、对咨询人到工地现场执行工作人员的人身财产安全负全责。</w:t>
      </w:r>
    </w:p>
    <w:p w14:paraId="7BE1A804">
      <w:pPr>
        <w:spacing w:line="360" w:lineRule="auto"/>
        <w:ind w:firstLine="480" w:firstLineChars="200"/>
        <w:rPr>
          <w:rFonts w:cs="Times New Roman"/>
        </w:rPr>
      </w:pPr>
      <w:r>
        <w:rPr>
          <w:rFonts w:cs="Times New Roman"/>
        </w:rPr>
        <w:t>3、咨询人在提供服务过程中向第三方发出的与本工程有关的任何文件、资料、说明、澄清或其他任何涉及委托人权利义务的文件资料，必须事先通过委托人审核和确认。委托人审核、确认并不减免咨询人在本合同项下任何义务和责任。</w:t>
      </w:r>
    </w:p>
    <w:p w14:paraId="6F1C14A3">
      <w:pPr>
        <w:spacing w:line="360" w:lineRule="auto"/>
        <w:ind w:firstLine="480" w:firstLineChars="200"/>
        <w:rPr>
          <w:rFonts w:cs="Times New Roman"/>
        </w:rPr>
      </w:pPr>
      <w:r>
        <w:rPr>
          <w:rFonts w:cs="Times New Roman"/>
        </w:rPr>
        <w:t>4、咨询人在本合同执行过程中,非经委托人书面许可不得以委托人的名义对外作出任何承诺或者代表委托人对外执行任何事务。咨询人违反此规定导致的一切责任全部由咨询人负责承担。</w:t>
      </w:r>
    </w:p>
    <w:p w14:paraId="668A61D1">
      <w:pPr>
        <w:spacing w:line="360" w:lineRule="auto"/>
        <w:ind w:firstLine="480" w:firstLineChars="200"/>
        <w:rPr>
          <w:rFonts w:cs="Times New Roman"/>
        </w:rPr>
      </w:pPr>
      <w:r>
        <w:rPr>
          <w:rFonts w:cs="Times New Roman"/>
        </w:rPr>
        <w:t>5、由于咨询人的错误给委托人造成经济损失的，咨询人有责任赔偿委托人因错误部分而发生的经济损失。</w:t>
      </w:r>
    </w:p>
    <w:p w14:paraId="08D30591">
      <w:pPr>
        <w:spacing w:line="360" w:lineRule="auto"/>
        <w:ind w:firstLine="480" w:firstLineChars="200"/>
        <w:rPr>
          <w:rFonts w:cs="Times New Roman"/>
        </w:rPr>
      </w:pPr>
      <w:r>
        <w:rPr>
          <w:rFonts w:cs="Times New Roman"/>
        </w:rPr>
        <w:t>6、咨询人应保护委托人免于因咨询人执行本合同而引起的在专利、经注册设计以及其他知识产权方面针对委托人的第三者主张权利或索赔，如出现前述情况，由咨询人负责解决并承担一切赔偿责任。</w:t>
      </w:r>
    </w:p>
    <w:p w14:paraId="66BCFECC">
      <w:pPr>
        <w:spacing w:line="360" w:lineRule="auto"/>
        <w:ind w:firstLine="480" w:firstLineChars="200"/>
        <w:rPr>
          <w:rFonts w:cs="Times New Roman"/>
        </w:rPr>
      </w:pPr>
      <w:r>
        <w:rPr>
          <w:rFonts w:cs="Times New Roman"/>
        </w:rPr>
        <w:t>7、为了更好的编制工程量清单和招标控制价，咨询人有义务参与招标文件的编制的全过程。</w:t>
      </w:r>
    </w:p>
    <w:p w14:paraId="16544809">
      <w:pPr>
        <w:spacing w:line="360" w:lineRule="auto"/>
        <w:ind w:firstLine="480" w:firstLineChars="200"/>
        <w:rPr>
          <w:rFonts w:cs="Times New Roman"/>
        </w:rPr>
      </w:pPr>
      <w:r>
        <w:rPr>
          <w:rFonts w:cs="Times New Roman"/>
        </w:rPr>
        <w:t>8、为了更好的编制工程量清单和招标控制价，咨询人有义务对其他咨询人编制的工程量清单和招标控制价进行复核或与其他咨询人同时编制工程量清单和招标控制价。</w:t>
      </w:r>
    </w:p>
    <w:p w14:paraId="6F3FAB89">
      <w:pPr>
        <w:spacing w:line="360" w:lineRule="auto"/>
        <w:ind w:firstLine="480" w:firstLineChars="200"/>
        <w:rPr>
          <w:rFonts w:hint="eastAsia" w:cs="Times New Roman"/>
        </w:rPr>
      </w:pPr>
      <w:r>
        <w:rPr>
          <w:rFonts w:cs="Times New Roman"/>
        </w:rPr>
        <w:t>9、咨询人有义务根据实际情况对可研估算、初设概算等内容进行分析比较，并向委托人提出造价控制的合理建议。</w:t>
      </w:r>
    </w:p>
    <w:p w14:paraId="606B104F">
      <w:pPr>
        <w:pStyle w:val="30"/>
        <w:spacing w:before="0" w:after="0" w:line="360" w:lineRule="auto"/>
        <w:ind w:firstLine="482" w:firstLineChars="200"/>
        <w:jc w:val="left"/>
        <w:rPr>
          <w:rFonts w:hint="eastAsia" w:ascii="宋体" w:hAnsi="宋体"/>
        </w:rPr>
      </w:pPr>
      <w:bookmarkStart w:id="617" w:name="_Toc419045113"/>
      <w:bookmarkStart w:id="618" w:name="_Toc422322537"/>
      <w:r>
        <w:rPr>
          <w:rFonts w:hint="eastAsia" w:ascii="宋体" w:hAnsi="宋体"/>
        </w:rPr>
        <w:t>4. 违约责任</w:t>
      </w:r>
      <w:bookmarkEnd w:id="617"/>
      <w:bookmarkEnd w:id="618"/>
    </w:p>
    <w:p w14:paraId="19FE0929">
      <w:pPr>
        <w:pStyle w:val="22"/>
        <w:spacing w:before="60"/>
        <w:ind w:firstLine="480" w:firstLineChars="200"/>
        <w:jc w:val="left"/>
        <w:rPr>
          <w:rFonts w:hint="eastAsia" w:ascii="宋体" w:hAnsi="宋体"/>
          <w:sz w:val="24"/>
          <w:szCs w:val="24"/>
        </w:rPr>
      </w:pPr>
      <w:bookmarkStart w:id="619" w:name="_Toc422322538"/>
      <w:r>
        <w:rPr>
          <w:rStyle w:val="94"/>
          <w:rFonts w:hint="eastAsia" w:ascii="宋体" w:hAnsi="宋体"/>
          <w:b w:val="0"/>
          <w:bCs w:val="0"/>
          <w:sz w:val="24"/>
          <w:szCs w:val="24"/>
        </w:rPr>
        <w:t>4.1委托人的违约责任</w:t>
      </w:r>
      <w:bookmarkEnd w:id="619"/>
    </w:p>
    <w:p w14:paraId="4EDC2771">
      <w:pPr>
        <w:spacing w:line="360" w:lineRule="auto"/>
        <w:ind w:firstLine="480"/>
        <w:rPr>
          <w:rFonts w:hint="eastAsia" w:cs="Times New Roman"/>
        </w:rPr>
      </w:pPr>
      <w:r>
        <w:rPr>
          <w:rFonts w:hint="eastAsia" w:cs="Times New Roman"/>
        </w:rPr>
        <w:t>4.1.1委托人违约金的计算及支付方法：</w:t>
      </w:r>
      <w:r>
        <w:rPr>
          <w:rFonts w:hint="eastAsia" w:cs="Times New Roman"/>
          <w:u w:val="single"/>
        </w:rPr>
        <w:t>甲方无故不支付乙方咨询费，乙方有权要求甲方支付不超过合同价款1%的违约金</w:t>
      </w:r>
      <w:r>
        <w:rPr>
          <w:rFonts w:hint="eastAsia" w:cs="Times New Roman"/>
        </w:rPr>
        <w:t>。</w:t>
      </w:r>
    </w:p>
    <w:p w14:paraId="3EEABB9C">
      <w:pPr>
        <w:spacing w:line="360" w:lineRule="auto"/>
        <w:ind w:firstLine="480"/>
        <w:rPr>
          <w:rFonts w:hint="eastAsia" w:cs="Times New Roman"/>
        </w:rPr>
      </w:pPr>
      <w:r>
        <w:rPr>
          <w:rFonts w:hint="eastAsia" w:cs="Times New Roman"/>
        </w:rPr>
        <w:t>4.1.2委托人赔偿金额按下列方法确定并支付：</w:t>
      </w:r>
      <w:r>
        <w:rPr>
          <w:rFonts w:hint="eastAsia" w:cs="Times New Roman"/>
          <w:u w:val="single"/>
        </w:rPr>
        <w:t>甲方无故不支付乙方咨询费，乙方有权要求甲方支付不超过合同价款1%的违约金</w:t>
      </w:r>
      <w:r>
        <w:rPr>
          <w:rFonts w:hint="eastAsia" w:cs="Times New Roman"/>
        </w:rPr>
        <w:t>。</w:t>
      </w:r>
    </w:p>
    <w:p w14:paraId="2192E900">
      <w:pPr>
        <w:spacing w:line="360" w:lineRule="auto"/>
        <w:ind w:firstLine="480" w:firstLineChars="200"/>
        <w:rPr>
          <w:rFonts w:hint="eastAsia" w:cs="Times New Roman"/>
        </w:rPr>
      </w:pPr>
      <w:r>
        <w:rPr>
          <w:rFonts w:hint="eastAsia" w:cs="Times New Roman"/>
        </w:rPr>
        <w:t xml:space="preserve">4.1.3 委托人逾期付款利息按下列方法计算并支付： </w:t>
      </w:r>
      <w:r>
        <w:rPr>
          <w:rFonts w:hint="eastAsia" w:cs="Times New Roman"/>
          <w:u w:val="single"/>
        </w:rPr>
        <w:t>甲方无故不支付乙方咨询费，乙方有权要求甲方支付不超过合同价款1%的违约金。</w:t>
      </w:r>
    </w:p>
    <w:p w14:paraId="78520337">
      <w:pPr>
        <w:pStyle w:val="22"/>
        <w:spacing w:before="0" w:after="0" w:line="360" w:lineRule="auto"/>
        <w:ind w:firstLine="480" w:firstLineChars="200"/>
        <w:jc w:val="left"/>
        <w:outlineLvl w:val="9"/>
        <w:rPr>
          <w:rFonts w:hint="eastAsia" w:ascii="宋体" w:hAnsi="宋体"/>
          <w:b w:val="0"/>
          <w:sz w:val="24"/>
          <w:szCs w:val="24"/>
        </w:rPr>
      </w:pPr>
      <w:bookmarkStart w:id="620" w:name="_Toc422322539"/>
      <w:bookmarkStart w:id="621" w:name="_Toc419045114"/>
      <w:r>
        <w:rPr>
          <w:rFonts w:hint="eastAsia" w:ascii="宋体" w:hAnsi="宋体"/>
          <w:b w:val="0"/>
          <w:sz w:val="24"/>
          <w:szCs w:val="24"/>
        </w:rPr>
        <w:t>4.2咨询人</w:t>
      </w:r>
      <w:r>
        <w:rPr>
          <w:rFonts w:ascii="宋体" w:hAnsi="宋体"/>
          <w:b w:val="0"/>
          <w:sz w:val="24"/>
          <w:szCs w:val="24"/>
        </w:rPr>
        <w:t>的违约责任</w:t>
      </w:r>
      <w:bookmarkEnd w:id="620"/>
    </w:p>
    <w:bookmarkEnd w:id="621"/>
    <w:p w14:paraId="5E92DA99">
      <w:pPr>
        <w:spacing w:line="360" w:lineRule="auto"/>
        <w:ind w:firstLine="439" w:firstLineChars="183"/>
        <w:rPr>
          <w:rFonts w:hint="eastAsia"/>
        </w:rPr>
      </w:pPr>
      <w:bookmarkStart w:id="622" w:name="_Toc419045115"/>
      <w:bookmarkStart w:id="623" w:name="_Toc422322540"/>
      <w:r>
        <w:rPr>
          <w:rFonts w:hint="eastAsia" w:cs="仿宋"/>
        </w:rPr>
        <w:t>4.2.1.1</w:t>
      </w:r>
      <w:r>
        <w:rPr>
          <w:rFonts w:hint="eastAsia"/>
        </w:rPr>
        <w:t>咨询人提供的服务或服务结果不符合国家法律法规和本合同书的约定的，咨询人应负责无偿采取补救措施，以达到质量要求。</w:t>
      </w:r>
    </w:p>
    <w:p w14:paraId="2FA0BE6B">
      <w:pPr>
        <w:spacing w:line="360" w:lineRule="auto"/>
        <w:ind w:firstLine="439" w:firstLineChars="183"/>
        <w:rPr>
          <w:rFonts w:hint="eastAsia" w:cs="仿宋"/>
        </w:rPr>
      </w:pPr>
      <w:r>
        <w:rPr>
          <w:rFonts w:hint="eastAsia" w:cs="仿宋"/>
        </w:rPr>
        <w:t>4.2.1.2咨询人因服务或服务结果质量不符合本约定书约定的要求给委托人造成损失时，咨询人应对因此造成的损失负全责，委托人按实际经济损失乘30%计算直接从合同款中扣除，不设上限，且不足部分委托人将保留追偿权并单方面终止合同。</w:t>
      </w:r>
    </w:p>
    <w:p w14:paraId="335FBFBE">
      <w:pPr>
        <w:pStyle w:val="30"/>
        <w:keepNext w:val="0"/>
        <w:keepLines w:val="0"/>
        <w:pageBreakBefore w:val="0"/>
        <w:widowControl/>
        <w:kinsoku/>
        <w:wordWrap/>
        <w:overflowPunct/>
        <w:topLinePunct w:val="0"/>
        <w:autoSpaceDE/>
        <w:autoSpaceDN/>
        <w:bidi w:val="0"/>
        <w:adjustRightInd/>
        <w:snapToGrid/>
        <w:spacing w:before="0" w:after="0" w:line="560" w:lineRule="exact"/>
        <w:ind w:firstLine="480" w:firstLineChars="200"/>
        <w:jc w:val="left"/>
        <w:textAlignment w:val="auto"/>
        <w:rPr>
          <w:rFonts w:hint="eastAsia" w:cs="仿宋"/>
        </w:rPr>
      </w:pPr>
      <w:r>
        <w:rPr>
          <w:rFonts w:hint="eastAsia" w:ascii="宋体" w:hAnsi="宋体"/>
          <w:b w:val="0"/>
          <w:bCs w:val="0"/>
          <w:color w:val="FF0000"/>
        </w:rPr>
        <w:t>上述违约金不足以弥补委托人损失的，咨询人应按照给委托人造成的实际损失予以赔偿，包括但不限于由此产生的诉讼费、律师费、保全费、执行费等一切费用。</w:t>
      </w:r>
    </w:p>
    <w:p w14:paraId="22F9FD30">
      <w:pPr>
        <w:pStyle w:val="30"/>
        <w:spacing w:before="0" w:after="0" w:line="360" w:lineRule="auto"/>
        <w:ind w:firstLine="480" w:firstLineChars="200"/>
        <w:jc w:val="left"/>
        <w:rPr>
          <w:rFonts w:hint="eastAsia" w:ascii="宋体" w:hAnsi="宋体"/>
          <w:b w:val="0"/>
          <w:bCs w:val="0"/>
        </w:rPr>
      </w:pPr>
      <w:r>
        <w:rPr>
          <w:rFonts w:hint="eastAsia" w:ascii="宋体" w:hAnsi="宋体"/>
          <w:b w:val="0"/>
          <w:bCs w:val="0"/>
        </w:rPr>
        <w:t>5. 支付</w:t>
      </w:r>
      <w:bookmarkEnd w:id="622"/>
      <w:bookmarkEnd w:id="623"/>
    </w:p>
    <w:p w14:paraId="2081CD78">
      <w:pPr>
        <w:pStyle w:val="30"/>
        <w:spacing w:before="0" w:after="0" w:line="360" w:lineRule="auto"/>
        <w:ind w:firstLine="480" w:firstLineChars="200"/>
        <w:jc w:val="left"/>
        <w:outlineLvl w:val="9"/>
        <w:rPr>
          <w:rStyle w:val="94"/>
          <w:rFonts w:ascii="宋体" w:hAnsi="宋体"/>
          <w:b w:val="0"/>
          <w:bCs/>
          <w:sz w:val="24"/>
          <w:szCs w:val="24"/>
        </w:rPr>
      </w:pPr>
      <w:bookmarkStart w:id="624" w:name="_Toc419045119"/>
      <w:bookmarkStart w:id="625" w:name="_Toc422322544"/>
      <w:r>
        <w:rPr>
          <w:rStyle w:val="94"/>
          <w:rFonts w:hint="eastAsia" w:ascii="宋体" w:hAnsi="宋体"/>
          <w:b w:val="0"/>
          <w:bCs/>
          <w:sz w:val="24"/>
          <w:szCs w:val="24"/>
        </w:rPr>
        <w:t>（一）合同价款：</w:t>
      </w:r>
    </w:p>
    <w:p w14:paraId="21701CD5">
      <w:pPr>
        <w:pStyle w:val="30"/>
        <w:spacing w:before="0" w:after="0" w:line="360" w:lineRule="auto"/>
        <w:ind w:firstLine="480" w:firstLineChars="200"/>
        <w:jc w:val="left"/>
        <w:outlineLvl w:val="9"/>
        <w:rPr>
          <w:rStyle w:val="94"/>
          <w:rFonts w:hint="eastAsia" w:ascii="宋体" w:hAnsi="宋体"/>
          <w:b w:val="0"/>
          <w:bCs/>
          <w:color w:val="0000FF"/>
          <w:sz w:val="24"/>
          <w:szCs w:val="24"/>
        </w:rPr>
      </w:pPr>
      <w:r>
        <w:rPr>
          <w:rStyle w:val="94"/>
          <w:rFonts w:hint="eastAsia" w:ascii="宋体" w:hAnsi="宋体"/>
          <w:b w:val="0"/>
          <w:bCs/>
          <w:color w:val="0000FF"/>
          <w:sz w:val="24"/>
          <w:szCs w:val="24"/>
        </w:rPr>
        <w:t>本项目造价咨询服务费费率合同价：</w:t>
      </w:r>
    </w:p>
    <w:p w14:paraId="33B63EF7">
      <w:pPr>
        <w:rPr>
          <w:rStyle w:val="94"/>
          <w:rFonts w:hint="eastAsia" w:ascii="宋体" w:hAnsi="宋体"/>
          <w:bCs w:val="0"/>
          <w:sz w:val="24"/>
          <w:szCs w:val="24"/>
        </w:rPr>
      </w:pPr>
    </w:p>
    <w:p w14:paraId="006B4F84">
      <w:pPr>
        <w:rPr>
          <w:rStyle w:val="94"/>
          <w:rFonts w:hint="eastAsia" w:ascii="宋体" w:hAnsi="宋体"/>
          <w:bCs w:val="0"/>
          <w:sz w:val="24"/>
          <w:szCs w:val="24"/>
        </w:rPr>
      </w:pPr>
    </w:p>
    <w:tbl>
      <w:tblPr>
        <w:tblStyle w:val="3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4233"/>
        <w:gridCol w:w="3514"/>
      </w:tblGrid>
      <w:tr w14:paraId="06888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458" w:type="pct"/>
            <w:noWrap w:val="0"/>
            <w:vAlign w:val="center"/>
          </w:tcPr>
          <w:p w14:paraId="258167FA">
            <w:pPr>
              <w:tabs>
                <w:tab w:val="left" w:pos="9135"/>
              </w:tabs>
              <w:spacing w:line="400" w:lineRule="atLeast"/>
              <w:jc w:val="center"/>
              <w:rPr>
                <w:rFonts w:hint="eastAsia"/>
                <w:sz w:val="21"/>
                <w:szCs w:val="21"/>
              </w:rPr>
            </w:pPr>
            <w:r>
              <w:rPr>
                <w:rFonts w:hint="eastAsia"/>
                <w:sz w:val="21"/>
                <w:szCs w:val="21"/>
              </w:rPr>
              <w:t>序号</w:t>
            </w:r>
          </w:p>
        </w:tc>
        <w:tc>
          <w:tcPr>
            <w:tcW w:w="2481" w:type="pct"/>
            <w:noWrap w:val="0"/>
            <w:vAlign w:val="center"/>
          </w:tcPr>
          <w:p w14:paraId="47C50843">
            <w:pPr>
              <w:tabs>
                <w:tab w:val="left" w:pos="9135"/>
              </w:tabs>
              <w:spacing w:line="400" w:lineRule="atLeast"/>
              <w:jc w:val="center"/>
              <w:rPr>
                <w:rFonts w:hint="eastAsia"/>
                <w:sz w:val="21"/>
                <w:szCs w:val="21"/>
              </w:rPr>
            </w:pPr>
            <w:r>
              <w:rPr>
                <w:rFonts w:hint="eastAsia"/>
                <w:sz w:val="21"/>
                <w:szCs w:val="21"/>
              </w:rPr>
              <w:t>项目名称</w:t>
            </w:r>
          </w:p>
        </w:tc>
        <w:tc>
          <w:tcPr>
            <w:tcW w:w="2059" w:type="pct"/>
            <w:noWrap w:val="0"/>
            <w:vAlign w:val="center"/>
          </w:tcPr>
          <w:p w14:paraId="2F38F0BA">
            <w:pPr>
              <w:tabs>
                <w:tab w:val="left" w:pos="9135"/>
              </w:tabs>
              <w:spacing w:line="400" w:lineRule="atLeast"/>
              <w:jc w:val="center"/>
              <w:rPr>
                <w:rFonts w:hint="eastAsia"/>
                <w:sz w:val="21"/>
                <w:szCs w:val="21"/>
              </w:rPr>
            </w:pPr>
            <w:r>
              <w:rPr>
                <w:rFonts w:hint="eastAsia"/>
                <w:sz w:val="21"/>
                <w:szCs w:val="21"/>
              </w:rPr>
              <w:t>计取方式</w:t>
            </w:r>
          </w:p>
        </w:tc>
      </w:tr>
      <w:tr w14:paraId="76672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01B117EF">
            <w:pPr>
              <w:spacing w:line="400" w:lineRule="atLeast"/>
              <w:jc w:val="center"/>
              <w:rPr>
                <w:rFonts w:hint="eastAsia"/>
                <w:sz w:val="21"/>
                <w:szCs w:val="21"/>
              </w:rPr>
            </w:pPr>
            <w:r>
              <w:rPr>
                <w:rFonts w:hint="eastAsia"/>
                <w:sz w:val="21"/>
                <w:szCs w:val="21"/>
              </w:rPr>
              <w:t>1</w:t>
            </w:r>
          </w:p>
        </w:tc>
        <w:tc>
          <w:tcPr>
            <w:tcW w:w="2481" w:type="pct"/>
            <w:noWrap w:val="0"/>
            <w:vAlign w:val="center"/>
          </w:tcPr>
          <w:p w14:paraId="20BAD1B4">
            <w:pPr>
              <w:spacing w:line="400" w:lineRule="atLeast"/>
              <w:jc w:val="center"/>
              <w:rPr>
                <w:rFonts w:hint="eastAsia"/>
                <w:sz w:val="21"/>
                <w:szCs w:val="21"/>
              </w:rPr>
            </w:pPr>
            <w:r>
              <w:rPr>
                <w:rFonts w:hint="eastAsia"/>
                <w:sz w:val="21"/>
                <w:szCs w:val="21"/>
              </w:rPr>
              <w:t>造价类</w:t>
            </w:r>
          </w:p>
        </w:tc>
        <w:tc>
          <w:tcPr>
            <w:tcW w:w="2059" w:type="pct"/>
            <w:noWrap w:val="0"/>
            <w:vAlign w:val="center"/>
          </w:tcPr>
          <w:p w14:paraId="470DD072">
            <w:pPr>
              <w:tabs>
                <w:tab w:val="left" w:pos="9135"/>
              </w:tabs>
              <w:spacing w:line="400" w:lineRule="atLeast"/>
              <w:jc w:val="center"/>
              <w:rPr>
                <w:rFonts w:hint="eastAsia"/>
                <w:sz w:val="21"/>
                <w:szCs w:val="21"/>
              </w:rPr>
            </w:pPr>
            <w:r>
              <w:rPr>
                <w:rFonts w:hint="eastAsia"/>
                <w:sz w:val="21"/>
                <w:szCs w:val="21"/>
              </w:rPr>
              <w:t>按中价协【2013】35号文下浮50%</w:t>
            </w:r>
          </w:p>
        </w:tc>
      </w:tr>
      <w:tr w14:paraId="4E1E8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2D5C01C8">
            <w:pPr>
              <w:spacing w:line="400" w:lineRule="atLeast"/>
              <w:jc w:val="center"/>
              <w:rPr>
                <w:rFonts w:hint="eastAsia"/>
                <w:sz w:val="21"/>
                <w:szCs w:val="21"/>
              </w:rPr>
            </w:pPr>
            <w:r>
              <w:rPr>
                <w:rFonts w:hint="eastAsia"/>
                <w:sz w:val="21"/>
                <w:szCs w:val="21"/>
              </w:rPr>
              <w:t>2</w:t>
            </w:r>
          </w:p>
        </w:tc>
        <w:tc>
          <w:tcPr>
            <w:tcW w:w="2481" w:type="pct"/>
            <w:noWrap w:val="0"/>
            <w:vAlign w:val="center"/>
          </w:tcPr>
          <w:p w14:paraId="3393C769">
            <w:pPr>
              <w:spacing w:line="400" w:lineRule="atLeast"/>
              <w:jc w:val="center"/>
              <w:rPr>
                <w:rFonts w:hint="eastAsia"/>
                <w:sz w:val="21"/>
                <w:szCs w:val="21"/>
              </w:rPr>
            </w:pPr>
            <w:r>
              <w:rPr>
                <w:rFonts w:hint="eastAsia"/>
                <w:sz w:val="21"/>
                <w:szCs w:val="21"/>
              </w:rPr>
              <w:t>复核类（送审金额≤200万元）</w:t>
            </w:r>
          </w:p>
        </w:tc>
        <w:tc>
          <w:tcPr>
            <w:tcW w:w="2059" w:type="pct"/>
            <w:noWrap w:val="0"/>
            <w:vAlign w:val="center"/>
          </w:tcPr>
          <w:p w14:paraId="7A2E02B8">
            <w:pPr>
              <w:tabs>
                <w:tab w:val="left" w:pos="9135"/>
              </w:tabs>
              <w:spacing w:line="400" w:lineRule="atLeast"/>
              <w:jc w:val="center"/>
              <w:rPr>
                <w:rFonts w:hint="eastAsia"/>
                <w:sz w:val="21"/>
                <w:szCs w:val="21"/>
              </w:rPr>
            </w:pPr>
            <w:r>
              <w:rPr>
                <w:rFonts w:hint="eastAsia"/>
                <w:sz w:val="21"/>
                <w:szCs w:val="21"/>
              </w:rPr>
              <w:t>0</w:t>
            </w:r>
          </w:p>
        </w:tc>
      </w:tr>
      <w:tr w14:paraId="64FD0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47C21BEC">
            <w:pPr>
              <w:spacing w:line="400" w:lineRule="atLeast"/>
              <w:jc w:val="center"/>
              <w:rPr>
                <w:rFonts w:hint="eastAsia"/>
                <w:sz w:val="21"/>
                <w:szCs w:val="21"/>
              </w:rPr>
            </w:pPr>
            <w:r>
              <w:rPr>
                <w:rFonts w:hint="eastAsia"/>
                <w:sz w:val="21"/>
                <w:szCs w:val="21"/>
              </w:rPr>
              <w:t>3</w:t>
            </w:r>
          </w:p>
        </w:tc>
        <w:tc>
          <w:tcPr>
            <w:tcW w:w="2481" w:type="pct"/>
            <w:noWrap w:val="0"/>
            <w:vAlign w:val="center"/>
          </w:tcPr>
          <w:p w14:paraId="30805FAE">
            <w:pPr>
              <w:spacing w:line="400" w:lineRule="atLeast"/>
              <w:jc w:val="both"/>
              <w:rPr>
                <w:rFonts w:hint="eastAsia"/>
                <w:sz w:val="21"/>
                <w:szCs w:val="21"/>
              </w:rPr>
            </w:pPr>
            <w:r>
              <w:rPr>
                <w:rFonts w:hint="eastAsia"/>
                <w:sz w:val="21"/>
                <w:szCs w:val="21"/>
              </w:rPr>
              <w:t>复核类（送审金额200万-500万(含)）</w:t>
            </w:r>
          </w:p>
        </w:tc>
        <w:tc>
          <w:tcPr>
            <w:tcW w:w="2059" w:type="pct"/>
            <w:noWrap w:val="0"/>
            <w:vAlign w:val="center"/>
          </w:tcPr>
          <w:p w14:paraId="12E817B0">
            <w:pPr>
              <w:tabs>
                <w:tab w:val="left" w:pos="9135"/>
              </w:tabs>
              <w:spacing w:line="400" w:lineRule="atLeast"/>
              <w:jc w:val="center"/>
              <w:rPr>
                <w:rFonts w:hint="eastAsia"/>
                <w:sz w:val="21"/>
                <w:szCs w:val="21"/>
              </w:rPr>
            </w:pPr>
            <w:r>
              <w:rPr>
                <w:rFonts w:hint="eastAsia"/>
                <w:sz w:val="21"/>
                <w:szCs w:val="21"/>
              </w:rPr>
              <w:t>按中价协【2013】35号文下浮70%</w:t>
            </w:r>
          </w:p>
        </w:tc>
      </w:tr>
      <w:tr w14:paraId="2A78B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17E0345A">
            <w:pPr>
              <w:spacing w:line="400" w:lineRule="atLeast"/>
              <w:jc w:val="center"/>
              <w:rPr>
                <w:rFonts w:hint="eastAsia"/>
                <w:sz w:val="21"/>
                <w:szCs w:val="21"/>
              </w:rPr>
            </w:pPr>
            <w:r>
              <w:rPr>
                <w:rFonts w:hint="eastAsia"/>
                <w:sz w:val="21"/>
                <w:szCs w:val="21"/>
              </w:rPr>
              <w:t>4</w:t>
            </w:r>
          </w:p>
        </w:tc>
        <w:tc>
          <w:tcPr>
            <w:tcW w:w="2481" w:type="pct"/>
            <w:noWrap w:val="0"/>
            <w:vAlign w:val="center"/>
          </w:tcPr>
          <w:p w14:paraId="33C4E8CA">
            <w:pPr>
              <w:spacing w:line="400" w:lineRule="atLeast"/>
              <w:jc w:val="both"/>
              <w:rPr>
                <w:rFonts w:hint="eastAsia"/>
                <w:sz w:val="21"/>
                <w:szCs w:val="21"/>
              </w:rPr>
            </w:pPr>
            <w:r>
              <w:rPr>
                <w:rFonts w:hint="eastAsia"/>
                <w:sz w:val="21"/>
                <w:szCs w:val="21"/>
              </w:rPr>
              <w:t>复核类（送审金额500万-2000万(含)）</w:t>
            </w:r>
          </w:p>
        </w:tc>
        <w:tc>
          <w:tcPr>
            <w:tcW w:w="2059" w:type="pct"/>
            <w:noWrap w:val="0"/>
            <w:vAlign w:val="center"/>
          </w:tcPr>
          <w:p w14:paraId="11440E9B">
            <w:pPr>
              <w:tabs>
                <w:tab w:val="left" w:pos="9135"/>
              </w:tabs>
              <w:spacing w:line="400" w:lineRule="atLeast"/>
              <w:jc w:val="center"/>
              <w:rPr>
                <w:rFonts w:hint="eastAsia"/>
                <w:sz w:val="21"/>
                <w:szCs w:val="21"/>
              </w:rPr>
            </w:pPr>
            <w:r>
              <w:rPr>
                <w:rFonts w:hint="eastAsia"/>
                <w:sz w:val="21"/>
                <w:szCs w:val="21"/>
              </w:rPr>
              <w:t>按中价协【2013】35号文下浮75%</w:t>
            </w:r>
          </w:p>
        </w:tc>
      </w:tr>
      <w:tr w14:paraId="1BECA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73F0C041">
            <w:pPr>
              <w:spacing w:line="400" w:lineRule="atLeast"/>
              <w:jc w:val="center"/>
              <w:rPr>
                <w:rFonts w:hint="eastAsia"/>
                <w:sz w:val="21"/>
                <w:szCs w:val="21"/>
              </w:rPr>
            </w:pPr>
            <w:r>
              <w:rPr>
                <w:rFonts w:hint="eastAsia"/>
                <w:sz w:val="21"/>
                <w:szCs w:val="21"/>
              </w:rPr>
              <w:t>5</w:t>
            </w:r>
          </w:p>
        </w:tc>
        <w:tc>
          <w:tcPr>
            <w:tcW w:w="2481" w:type="pct"/>
            <w:noWrap w:val="0"/>
            <w:vAlign w:val="center"/>
          </w:tcPr>
          <w:p w14:paraId="25682C87">
            <w:pPr>
              <w:spacing w:line="400" w:lineRule="atLeast"/>
              <w:jc w:val="both"/>
              <w:rPr>
                <w:rFonts w:hint="eastAsia"/>
                <w:sz w:val="21"/>
                <w:szCs w:val="21"/>
              </w:rPr>
            </w:pPr>
            <w:r>
              <w:rPr>
                <w:rFonts w:hint="eastAsia"/>
                <w:sz w:val="21"/>
                <w:szCs w:val="21"/>
              </w:rPr>
              <w:t>复核类（送审金额2000万-5000万(含)）</w:t>
            </w:r>
          </w:p>
        </w:tc>
        <w:tc>
          <w:tcPr>
            <w:tcW w:w="2059" w:type="pct"/>
            <w:noWrap w:val="0"/>
            <w:vAlign w:val="center"/>
          </w:tcPr>
          <w:p w14:paraId="53F9AC39">
            <w:pPr>
              <w:tabs>
                <w:tab w:val="left" w:pos="9135"/>
              </w:tabs>
              <w:spacing w:line="400" w:lineRule="atLeast"/>
              <w:jc w:val="center"/>
              <w:rPr>
                <w:rFonts w:hint="eastAsia"/>
                <w:sz w:val="21"/>
                <w:szCs w:val="21"/>
              </w:rPr>
            </w:pPr>
            <w:r>
              <w:rPr>
                <w:rFonts w:hint="eastAsia"/>
                <w:sz w:val="21"/>
                <w:szCs w:val="21"/>
              </w:rPr>
              <w:t>按中价协【2013】35号文下浮80%</w:t>
            </w:r>
          </w:p>
        </w:tc>
      </w:tr>
      <w:tr w14:paraId="414EE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0169E0BA">
            <w:pPr>
              <w:spacing w:line="400" w:lineRule="atLeast"/>
              <w:jc w:val="center"/>
              <w:rPr>
                <w:rFonts w:hint="eastAsia"/>
                <w:sz w:val="21"/>
                <w:szCs w:val="21"/>
              </w:rPr>
            </w:pPr>
            <w:r>
              <w:rPr>
                <w:rFonts w:hint="eastAsia"/>
                <w:sz w:val="21"/>
                <w:szCs w:val="21"/>
              </w:rPr>
              <w:t>6</w:t>
            </w:r>
          </w:p>
        </w:tc>
        <w:tc>
          <w:tcPr>
            <w:tcW w:w="2481" w:type="pct"/>
            <w:noWrap w:val="0"/>
            <w:vAlign w:val="center"/>
          </w:tcPr>
          <w:p w14:paraId="44859A96">
            <w:pPr>
              <w:spacing w:line="400" w:lineRule="atLeast"/>
              <w:jc w:val="both"/>
              <w:rPr>
                <w:rFonts w:hint="eastAsia"/>
                <w:sz w:val="21"/>
                <w:szCs w:val="21"/>
              </w:rPr>
            </w:pPr>
            <w:r>
              <w:rPr>
                <w:rFonts w:hint="eastAsia"/>
                <w:sz w:val="21"/>
                <w:szCs w:val="21"/>
              </w:rPr>
              <w:t>复核类（送审金额5000万-10000万(含)）</w:t>
            </w:r>
          </w:p>
        </w:tc>
        <w:tc>
          <w:tcPr>
            <w:tcW w:w="2059" w:type="pct"/>
            <w:noWrap w:val="0"/>
            <w:vAlign w:val="center"/>
          </w:tcPr>
          <w:p w14:paraId="0E165995">
            <w:pPr>
              <w:tabs>
                <w:tab w:val="left" w:pos="9135"/>
              </w:tabs>
              <w:spacing w:line="400" w:lineRule="atLeast"/>
              <w:jc w:val="center"/>
              <w:rPr>
                <w:rFonts w:hint="eastAsia"/>
                <w:sz w:val="21"/>
                <w:szCs w:val="21"/>
              </w:rPr>
            </w:pPr>
            <w:r>
              <w:rPr>
                <w:rFonts w:hint="eastAsia"/>
                <w:sz w:val="21"/>
                <w:szCs w:val="21"/>
              </w:rPr>
              <w:t>按中价协【2013】35号文下浮85%</w:t>
            </w:r>
          </w:p>
        </w:tc>
      </w:tr>
    </w:tbl>
    <w:p w14:paraId="5BC79A28">
      <w:pPr>
        <w:pStyle w:val="30"/>
        <w:spacing w:before="0" w:after="0" w:line="360" w:lineRule="auto"/>
        <w:ind w:firstLine="480" w:firstLineChars="200"/>
        <w:jc w:val="left"/>
        <w:outlineLvl w:val="9"/>
        <w:rPr>
          <w:rStyle w:val="94"/>
          <w:rFonts w:ascii="宋体" w:hAnsi="宋体"/>
          <w:b w:val="0"/>
          <w:bCs/>
          <w:sz w:val="24"/>
          <w:szCs w:val="24"/>
        </w:rPr>
      </w:pPr>
      <w:r>
        <w:rPr>
          <w:rStyle w:val="94"/>
          <w:rFonts w:ascii="宋体" w:hAnsi="宋体"/>
          <w:b w:val="0"/>
          <w:bCs/>
          <w:sz w:val="24"/>
          <w:szCs w:val="24"/>
        </w:rPr>
        <w:t xml:space="preserve"> </w:t>
      </w:r>
    </w:p>
    <w:p w14:paraId="3CEA96EC">
      <w:pPr>
        <w:pStyle w:val="30"/>
        <w:spacing w:before="0" w:after="0" w:line="360" w:lineRule="auto"/>
        <w:ind w:firstLine="480" w:firstLineChars="200"/>
        <w:jc w:val="left"/>
        <w:outlineLvl w:val="9"/>
        <w:rPr>
          <w:rStyle w:val="94"/>
          <w:rFonts w:ascii="宋体" w:hAnsi="宋体"/>
          <w:b w:val="0"/>
          <w:bCs/>
          <w:sz w:val="24"/>
          <w:szCs w:val="24"/>
        </w:rPr>
      </w:pPr>
      <w:r>
        <w:rPr>
          <w:rStyle w:val="94"/>
          <w:rFonts w:hint="eastAsia" w:ascii="宋体" w:hAnsi="宋体"/>
          <w:b w:val="0"/>
          <w:bCs/>
          <w:sz w:val="24"/>
          <w:szCs w:val="24"/>
        </w:rPr>
        <w:t>（二）本合同价款的支付</w:t>
      </w:r>
      <w:r>
        <w:rPr>
          <w:rStyle w:val="94"/>
          <w:rFonts w:ascii="宋体" w:hAnsi="宋体"/>
          <w:b w:val="0"/>
          <w:bCs/>
          <w:sz w:val="24"/>
          <w:szCs w:val="24"/>
        </w:rPr>
        <w:t xml:space="preserve"> </w:t>
      </w:r>
    </w:p>
    <w:tbl>
      <w:tblPr>
        <w:tblStyle w:val="32"/>
        <w:tblW w:w="8155" w:type="dxa"/>
        <w:tblInd w:w="187" w:type="dxa"/>
        <w:tblLayout w:type="fixed"/>
        <w:tblCellMar>
          <w:top w:w="0" w:type="dxa"/>
          <w:left w:w="0" w:type="dxa"/>
          <w:bottom w:w="0" w:type="dxa"/>
          <w:right w:w="0" w:type="dxa"/>
        </w:tblCellMar>
      </w:tblPr>
      <w:tblGrid>
        <w:gridCol w:w="1597"/>
        <w:gridCol w:w="3127"/>
        <w:gridCol w:w="976"/>
        <w:gridCol w:w="2455"/>
      </w:tblGrid>
      <w:tr w14:paraId="66FFB887">
        <w:tblPrEx>
          <w:tblCellMar>
            <w:top w:w="0" w:type="dxa"/>
            <w:left w:w="0" w:type="dxa"/>
            <w:bottom w:w="0" w:type="dxa"/>
            <w:right w:w="0" w:type="dxa"/>
          </w:tblCellMar>
        </w:tblPrEx>
        <w:trPr>
          <w:trHeight w:val="481" w:hRule="exact"/>
        </w:trPr>
        <w:tc>
          <w:tcPr>
            <w:tcW w:w="1597" w:type="dxa"/>
            <w:tcBorders>
              <w:top w:val="single" w:color="000000" w:sz="6" w:space="0"/>
              <w:left w:val="single" w:color="000000" w:sz="6" w:space="0"/>
              <w:bottom w:val="single" w:color="000000" w:sz="6" w:space="0"/>
              <w:right w:val="single" w:color="000000" w:sz="6" w:space="0"/>
            </w:tcBorders>
            <w:noWrap w:val="0"/>
            <w:vAlign w:val="top"/>
          </w:tcPr>
          <w:p w14:paraId="2C848EBA">
            <w:pPr>
              <w:pStyle w:val="95"/>
              <w:widowControl w:val="0"/>
              <w:spacing w:line="360" w:lineRule="auto"/>
              <w:ind w:left="436"/>
              <w:rPr>
                <w:rFonts w:hint="eastAsia"/>
              </w:rPr>
            </w:pPr>
            <w:r>
              <w:rPr>
                <w:rFonts w:hint="eastAsia"/>
              </w:rPr>
              <w:t>支付次数</w:t>
            </w:r>
          </w:p>
        </w:tc>
        <w:tc>
          <w:tcPr>
            <w:tcW w:w="3127" w:type="dxa"/>
            <w:tcBorders>
              <w:top w:val="single" w:color="000000" w:sz="6" w:space="0"/>
              <w:left w:val="single" w:color="000000" w:sz="6" w:space="0"/>
              <w:bottom w:val="single" w:color="000000" w:sz="6" w:space="0"/>
              <w:right w:val="single" w:color="000000" w:sz="6" w:space="0"/>
            </w:tcBorders>
            <w:noWrap w:val="0"/>
            <w:vAlign w:val="top"/>
          </w:tcPr>
          <w:p w14:paraId="4EB385ED">
            <w:pPr>
              <w:pStyle w:val="95"/>
              <w:widowControl w:val="0"/>
              <w:spacing w:line="360" w:lineRule="auto"/>
              <w:ind w:left="383"/>
              <w:rPr>
                <w:rFonts w:hint="eastAsia"/>
              </w:rPr>
            </w:pPr>
            <w:r>
              <w:rPr>
                <w:rFonts w:hint="eastAsia"/>
              </w:rPr>
              <w:t>支付时间</w:t>
            </w:r>
          </w:p>
        </w:tc>
        <w:tc>
          <w:tcPr>
            <w:tcW w:w="976" w:type="dxa"/>
            <w:tcBorders>
              <w:top w:val="single" w:color="000000" w:sz="6" w:space="0"/>
              <w:left w:val="single" w:color="000000" w:sz="6" w:space="0"/>
              <w:bottom w:val="single" w:color="000000" w:sz="6" w:space="0"/>
              <w:right w:val="single" w:color="000000" w:sz="6" w:space="0"/>
            </w:tcBorders>
            <w:noWrap w:val="0"/>
            <w:vAlign w:val="top"/>
          </w:tcPr>
          <w:p w14:paraId="5D40CC83">
            <w:pPr>
              <w:pStyle w:val="95"/>
              <w:widowControl w:val="0"/>
              <w:spacing w:line="360" w:lineRule="auto"/>
              <w:rPr>
                <w:rFonts w:hint="eastAsia"/>
              </w:rPr>
            </w:pPr>
            <w:r>
              <w:rPr>
                <w:rFonts w:hint="eastAsia"/>
              </w:rPr>
              <w:t>支付比例</w:t>
            </w:r>
          </w:p>
        </w:tc>
        <w:tc>
          <w:tcPr>
            <w:tcW w:w="2455" w:type="dxa"/>
            <w:tcBorders>
              <w:top w:val="single" w:color="000000" w:sz="6" w:space="0"/>
              <w:left w:val="single" w:color="000000" w:sz="6" w:space="0"/>
              <w:bottom w:val="single" w:color="000000" w:sz="6" w:space="0"/>
              <w:right w:val="single" w:color="000000" w:sz="6" w:space="0"/>
            </w:tcBorders>
            <w:noWrap w:val="0"/>
            <w:vAlign w:val="top"/>
          </w:tcPr>
          <w:p w14:paraId="5439845E">
            <w:pPr>
              <w:pStyle w:val="95"/>
              <w:widowControl w:val="0"/>
              <w:spacing w:line="360" w:lineRule="auto"/>
              <w:ind w:left="258"/>
              <w:rPr>
                <w:rFonts w:hint="eastAsia"/>
              </w:rPr>
            </w:pPr>
            <w:r>
              <w:rPr>
                <w:rFonts w:hint="eastAsia"/>
              </w:rPr>
              <w:t>支付金额（万元）</w:t>
            </w:r>
          </w:p>
        </w:tc>
      </w:tr>
      <w:tr w14:paraId="754ABB27">
        <w:tblPrEx>
          <w:tblCellMar>
            <w:top w:w="0" w:type="dxa"/>
            <w:left w:w="0" w:type="dxa"/>
            <w:bottom w:w="0" w:type="dxa"/>
            <w:right w:w="0" w:type="dxa"/>
          </w:tblCellMar>
        </w:tblPrEx>
        <w:trPr>
          <w:trHeight w:val="1480" w:hRule="exact"/>
        </w:trPr>
        <w:tc>
          <w:tcPr>
            <w:tcW w:w="1597" w:type="dxa"/>
            <w:tcBorders>
              <w:top w:val="single" w:color="000000" w:sz="6" w:space="0"/>
              <w:left w:val="single" w:color="000000" w:sz="6" w:space="0"/>
              <w:bottom w:val="single" w:color="000000" w:sz="6" w:space="0"/>
              <w:right w:val="single" w:color="000000" w:sz="6" w:space="0"/>
            </w:tcBorders>
            <w:noWrap w:val="0"/>
            <w:vAlign w:val="center"/>
          </w:tcPr>
          <w:p w14:paraId="50C50BC8">
            <w:pPr>
              <w:widowControl w:val="0"/>
              <w:spacing w:line="360" w:lineRule="auto"/>
              <w:jc w:val="center"/>
              <w:rPr>
                <w:rFonts w:hint="eastAsia"/>
              </w:rPr>
            </w:pPr>
            <w:r>
              <w:rPr>
                <w:rFonts w:hint="eastAsia"/>
              </w:rPr>
              <w:t>一次支付</w:t>
            </w:r>
          </w:p>
        </w:tc>
        <w:tc>
          <w:tcPr>
            <w:tcW w:w="3127" w:type="dxa"/>
            <w:tcBorders>
              <w:top w:val="single" w:color="000000" w:sz="6" w:space="0"/>
              <w:left w:val="single" w:color="000000" w:sz="6" w:space="0"/>
              <w:bottom w:val="single" w:color="000000" w:sz="6" w:space="0"/>
              <w:right w:val="single" w:color="000000" w:sz="6" w:space="0"/>
            </w:tcBorders>
            <w:noWrap w:val="0"/>
            <w:vAlign w:val="center"/>
          </w:tcPr>
          <w:p w14:paraId="7D81439F">
            <w:pPr>
              <w:widowControl w:val="0"/>
              <w:spacing w:line="360" w:lineRule="auto"/>
            </w:pPr>
            <w:r>
              <w:rPr>
                <w:rFonts w:hint="eastAsia"/>
              </w:rPr>
              <w:t>出具成果文件后，服务年度末一次性支付已完成工程项目的造价咨询费。</w:t>
            </w:r>
          </w:p>
        </w:tc>
        <w:tc>
          <w:tcPr>
            <w:tcW w:w="976" w:type="dxa"/>
            <w:tcBorders>
              <w:top w:val="single" w:color="000000" w:sz="6" w:space="0"/>
              <w:left w:val="single" w:color="000000" w:sz="6" w:space="0"/>
              <w:bottom w:val="single" w:color="000000" w:sz="6" w:space="0"/>
              <w:right w:val="single" w:color="000000" w:sz="6" w:space="0"/>
            </w:tcBorders>
            <w:noWrap w:val="0"/>
            <w:vAlign w:val="center"/>
          </w:tcPr>
          <w:p w14:paraId="116AD4ED">
            <w:pPr>
              <w:widowControl w:val="0"/>
              <w:spacing w:line="360" w:lineRule="auto"/>
              <w:jc w:val="center"/>
            </w:pPr>
            <w:r>
              <w:rPr>
                <w:rFonts w:hint="eastAsia"/>
              </w:rPr>
              <w:t>100%</w:t>
            </w:r>
          </w:p>
        </w:tc>
        <w:tc>
          <w:tcPr>
            <w:tcW w:w="2455" w:type="dxa"/>
            <w:tcBorders>
              <w:top w:val="single" w:color="000000" w:sz="6" w:space="0"/>
              <w:left w:val="single" w:color="000000" w:sz="6" w:space="0"/>
              <w:bottom w:val="single" w:color="000000" w:sz="6" w:space="0"/>
              <w:right w:val="single" w:color="000000" w:sz="6" w:space="0"/>
            </w:tcBorders>
            <w:noWrap w:val="0"/>
            <w:vAlign w:val="center"/>
          </w:tcPr>
          <w:p w14:paraId="76310773">
            <w:pPr>
              <w:widowControl w:val="0"/>
              <w:spacing w:line="360" w:lineRule="auto"/>
              <w:jc w:val="center"/>
            </w:pPr>
            <w:r>
              <w:rPr>
                <w:rFonts w:hint="eastAsia"/>
              </w:rPr>
              <w:t>/</w:t>
            </w:r>
          </w:p>
        </w:tc>
      </w:tr>
    </w:tbl>
    <w:p w14:paraId="6AF86AD9">
      <w:pPr>
        <w:pStyle w:val="30"/>
        <w:spacing w:before="0" w:after="0" w:line="360" w:lineRule="auto"/>
        <w:ind w:firstLine="480" w:firstLineChars="200"/>
        <w:jc w:val="left"/>
        <w:outlineLvl w:val="9"/>
        <w:rPr>
          <w:rStyle w:val="94"/>
          <w:rFonts w:ascii="宋体" w:hAnsi="宋体"/>
          <w:b w:val="0"/>
          <w:bCs/>
          <w:sz w:val="24"/>
          <w:szCs w:val="24"/>
        </w:rPr>
      </w:pPr>
      <w:r>
        <w:rPr>
          <w:rStyle w:val="94"/>
          <w:rFonts w:hint="eastAsia" w:ascii="宋体" w:hAnsi="宋体"/>
          <w:b w:val="0"/>
          <w:bCs/>
          <w:sz w:val="24"/>
          <w:szCs w:val="24"/>
        </w:rPr>
        <w:t>付款年度为服务年度</w:t>
      </w:r>
    </w:p>
    <w:p w14:paraId="6DCBB149">
      <w:pPr>
        <w:spacing w:line="360" w:lineRule="auto"/>
        <w:ind w:firstLine="482" w:firstLineChars="200"/>
        <w:rPr>
          <w:rFonts w:hint="eastAsia" w:ascii="宋体" w:hAnsi="宋体"/>
          <w:color w:val="auto"/>
        </w:rPr>
      </w:pPr>
      <w:r>
        <w:rPr>
          <w:rStyle w:val="94"/>
          <w:rFonts w:hint="eastAsia" w:ascii="宋体" w:hAnsi="宋体"/>
          <w:bCs w:val="0"/>
          <w:sz w:val="24"/>
          <w:szCs w:val="24"/>
        </w:rPr>
        <w:t>（三）</w:t>
      </w:r>
      <w:r>
        <w:rPr>
          <w:rStyle w:val="94"/>
          <w:rFonts w:ascii="宋体" w:hAnsi="宋体"/>
          <w:bCs w:val="0"/>
          <w:sz w:val="24"/>
          <w:szCs w:val="24"/>
        </w:rPr>
        <w:t xml:space="preserve"> 双方同意用</w:t>
      </w:r>
      <w:r>
        <w:rPr>
          <w:rStyle w:val="94"/>
          <w:rFonts w:ascii="宋体" w:hAnsi="宋体"/>
          <w:bCs w:val="0"/>
          <w:sz w:val="24"/>
          <w:szCs w:val="24"/>
          <w:u w:val="single"/>
        </w:rPr>
        <w:t>　人民币</w:t>
      </w:r>
      <w:r>
        <w:rPr>
          <w:rStyle w:val="94"/>
          <w:rFonts w:ascii="宋体" w:hAnsi="宋体"/>
          <w:bCs w:val="0"/>
          <w:sz w:val="24"/>
          <w:szCs w:val="24"/>
        </w:rPr>
        <w:t>　支付酬金。</w:t>
      </w:r>
      <w:r>
        <w:rPr>
          <w:rFonts w:hint="eastAsia"/>
          <w:color w:val="FF0000"/>
        </w:rPr>
        <w:t>甲方向乙方支付款项时，乙方需向甲方提供相应增值税发票及相关支撑资料，否则，甲方有权拒绝付款且不承担违约责任。</w:t>
      </w:r>
    </w:p>
    <w:p w14:paraId="69918D29">
      <w:pPr>
        <w:pStyle w:val="30"/>
        <w:spacing w:before="0" w:after="0" w:line="360" w:lineRule="auto"/>
        <w:ind w:firstLine="482" w:firstLineChars="200"/>
        <w:jc w:val="left"/>
        <w:outlineLvl w:val="9"/>
        <w:rPr>
          <w:rFonts w:ascii="宋体" w:hAnsi="宋体"/>
        </w:rPr>
      </w:pPr>
    </w:p>
    <w:p w14:paraId="7AF689E5">
      <w:pPr>
        <w:pStyle w:val="30"/>
        <w:spacing w:before="0" w:after="0" w:line="360" w:lineRule="auto"/>
        <w:ind w:firstLine="482" w:firstLineChars="200"/>
        <w:jc w:val="left"/>
        <w:rPr>
          <w:rFonts w:hint="eastAsia" w:ascii="宋体" w:hAnsi="宋体"/>
        </w:rPr>
      </w:pPr>
      <w:r>
        <w:rPr>
          <w:rFonts w:hint="eastAsia" w:ascii="宋体" w:hAnsi="宋体"/>
        </w:rPr>
        <w:t>6. 合同变更、解除与终止</w:t>
      </w:r>
      <w:bookmarkEnd w:id="624"/>
      <w:bookmarkEnd w:id="625"/>
    </w:p>
    <w:p w14:paraId="578E1CD6">
      <w:pPr>
        <w:spacing w:line="360" w:lineRule="auto"/>
        <w:ind w:firstLine="480" w:firstLineChars="200"/>
        <w:rPr>
          <w:rStyle w:val="94"/>
          <w:rFonts w:ascii="宋体" w:hAnsi="宋体"/>
          <w:b w:val="0"/>
          <w:sz w:val="24"/>
          <w:szCs w:val="24"/>
        </w:rPr>
      </w:pPr>
      <w:bookmarkStart w:id="626" w:name="_Toc422322545"/>
      <w:bookmarkStart w:id="627" w:name="_Toc419045120"/>
      <w:r>
        <w:rPr>
          <w:rStyle w:val="94"/>
          <w:rFonts w:hint="eastAsia" w:ascii="宋体" w:hAnsi="宋体"/>
          <w:b w:val="0"/>
          <w:sz w:val="24"/>
          <w:szCs w:val="24"/>
        </w:rPr>
        <w:t>6.1合同变更</w:t>
      </w:r>
      <w:bookmarkEnd w:id="626"/>
      <w:bookmarkEnd w:id="627"/>
      <w:r>
        <w:rPr>
          <w:rFonts w:hint="eastAsia" w:cs="Times New Roman"/>
        </w:rPr>
        <w:br w:type="textWrapping"/>
      </w:r>
      <w:r>
        <w:rPr>
          <w:rFonts w:hint="eastAsia" w:cs="Times New Roman"/>
        </w:rPr>
        <w:t xml:space="preserve">    6.1.2 除不可抗力外，因非咨询人原因导致本合同履行期限延长、内容增加时，附加工作酬金按下列方法确定：__________</w:t>
      </w:r>
      <w:r>
        <w:rPr>
          <w:rFonts w:hint="eastAsia" w:cs="Times New Roman"/>
          <w:u w:val="single"/>
        </w:rPr>
        <w:t>__/__</w:t>
      </w:r>
      <w:r>
        <w:rPr>
          <w:rFonts w:hint="eastAsia" w:cs="Times New Roman"/>
        </w:rPr>
        <w:t xml:space="preserve">_____________。 </w:t>
      </w:r>
      <w:r>
        <w:rPr>
          <w:rFonts w:hint="eastAsia" w:cs="Times New Roman"/>
        </w:rPr>
        <w:br w:type="textWrapping"/>
      </w:r>
      <w:r>
        <w:rPr>
          <w:rFonts w:hint="eastAsia" w:cs="Times New Roman"/>
        </w:rPr>
        <w:t xml:space="preserve">    6.1.4因工程规模、服务范围及内容的变化等导致咨询人的工作量增减时，服务酬金的调整方法：___________________</w:t>
      </w:r>
      <w:r>
        <w:rPr>
          <w:rFonts w:hint="eastAsia" w:cs="Times New Roman"/>
          <w:u w:val="single"/>
        </w:rPr>
        <w:t>/</w:t>
      </w:r>
      <w:r>
        <w:rPr>
          <w:rFonts w:hint="eastAsia" w:cs="Times New Roman"/>
        </w:rPr>
        <w:t>_______________________。</w:t>
      </w:r>
    </w:p>
    <w:p w14:paraId="30BD3E1F">
      <w:pPr>
        <w:pStyle w:val="22"/>
        <w:spacing w:before="60"/>
        <w:ind w:firstLine="480" w:firstLineChars="200"/>
        <w:jc w:val="left"/>
        <w:rPr>
          <w:rFonts w:hint="eastAsia" w:ascii="宋体" w:hAnsi="宋体"/>
          <w:b w:val="0"/>
          <w:sz w:val="24"/>
          <w:szCs w:val="24"/>
        </w:rPr>
      </w:pPr>
      <w:bookmarkStart w:id="628" w:name="_Toc422322546"/>
      <w:r>
        <w:rPr>
          <w:rFonts w:hint="eastAsia" w:ascii="宋体" w:hAnsi="宋体"/>
          <w:b w:val="0"/>
          <w:sz w:val="24"/>
          <w:szCs w:val="24"/>
        </w:rPr>
        <w:t>6.2合同解除</w:t>
      </w:r>
      <w:bookmarkEnd w:id="628"/>
    </w:p>
    <w:p w14:paraId="5E0CA39C">
      <w:pPr>
        <w:spacing w:line="360" w:lineRule="auto"/>
        <w:ind w:firstLine="480" w:firstLineChars="200"/>
        <w:rPr>
          <w:rFonts w:hint="eastAsia" w:cs="Times New Roman"/>
        </w:rPr>
      </w:pPr>
      <w:r>
        <w:rPr>
          <w:rFonts w:hint="eastAsia" w:cs="Times New Roman"/>
        </w:rPr>
        <w:t>6.2.2双方约定解除合同的条件还包括：____________</w:t>
      </w:r>
      <w:r>
        <w:rPr>
          <w:rFonts w:hint="eastAsia" w:cs="Times New Roman"/>
          <w:u w:val="single"/>
        </w:rPr>
        <w:t>/</w:t>
      </w:r>
      <w:r>
        <w:rPr>
          <w:rFonts w:hint="eastAsia" w:cs="Times New Roman"/>
        </w:rPr>
        <w:t xml:space="preserve">_____________。 </w:t>
      </w:r>
    </w:p>
    <w:p w14:paraId="12F4710C">
      <w:pPr>
        <w:spacing w:line="360" w:lineRule="auto"/>
        <w:ind w:firstLine="480" w:firstLineChars="200"/>
        <w:rPr>
          <w:rFonts w:hint="eastAsia" w:cs="Times New Roman"/>
        </w:rPr>
      </w:pPr>
      <w:r>
        <w:rPr>
          <w:rFonts w:hint="eastAsia" w:cs="Times New Roman"/>
        </w:rPr>
        <w:t>6.2.4因不可抗力导致的合同解除，双方约定损失的分担如下：________________________________</w:t>
      </w:r>
      <w:r>
        <w:rPr>
          <w:rFonts w:hint="eastAsia" w:cs="Times New Roman"/>
          <w:u w:val="single"/>
        </w:rPr>
        <w:t xml:space="preserve">  /  __</w:t>
      </w:r>
      <w:r>
        <w:rPr>
          <w:rFonts w:hint="eastAsia" w:cs="Times New Roman"/>
        </w:rPr>
        <w:t>____。</w:t>
      </w:r>
    </w:p>
    <w:p w14:paraId="71662B3A">
      <w:pPr>
        <w:pStyle w:val="30"/>
        <w:spacing w:before="0" w:after="0" w:line="360" w:lineRule="auto"/>
        <w:ind w:firstLine="482" w:firstLineChars="200"/>
        <w:jc w:val="left"/>
        <w:rPr>
          <w:rFonts w:hint="eastAsia" w:ascii="宋体" w:hAnsi="宋体"/>
        </w:rPr>
      </w:pPr>
      <w:bookmarkStart w:id="629" w:name="_Toc419045121"/>
      <w:bookmarkStart w:id="630" w:name="_Toc422322547"/>
      <w:r>
        <w:rPr>
          <w:rFonts w:hint="eastAsia" w:ascii="宋体" w:hAnsi="宋体"/>
        </w:rPr>
        <w:t>7. 争议解决</w:t>
      </w:r>
      <w:bookmarkEnd w:id="629"/>
      <w:bookmarkEnd w:id="630"/>
    </w:p>
    <w:p w14:paraId="733049FC">
      <w:pPr>
        <w:spacing w:line="360" w:lineRule="auto"/>
        <w:ind w:firstLine="480"/>
        <w:rPr>
          <w:rStyle w:val="94"/>
          <w:rFonts w:ascii="宋体" w:hAnsi="宋体"/>
          <w:b w:val="0"/>
          <w:sz w:val="24"/>
          <w:szCs w:val="24"/>
        </w:rPr>
      </w:pPr>
      <w:r>
        <w:rPr>
          <w:rStyle w:val="94"/>
          <w:rFonts w:hint="eastAsia" w:ascii="宋体" w:hAnsi="宋体"/>
          <w:b w:val="0"/>
          <w:sz w:val="24"/>
          <w:szCs w:val="24"/>
        </w:rPr>
        <w:t>建设工程造价咨询合同在履行过程中发生争议，委托人与咨询人应及时协商解决；如未能达成一致，可提交有关主管部门调解；协商或调解不成的，按下列第</w:t>
      </w:r>
      <w:r>
        <w:rPr>
          <w:rStyle w:val="94"/>
          <w:rFonts w:hint="eastAsia" w:ascii="宋体" w:hAnsi="宋体"/>
          <w:b w:val="0"/>
          <w:sz w:val="24"/>
          <w:szCs w:val="24"/>
          <w:u w:val="single"/>
        </w:rPr>
        <w:t>（二）</w:t>
      </w:r>
      <w:r>
        <w:rPr>
          <w:rStyle w:val="94"/>
          <w:rFonts w:hint="eastAsia" w:ascii="宋体" w:hAnsi="宋体"/>
          <w:b w:val="0"/>
          <w:sz w:val="24"/>
          <w:szCs w:val="24"/>
        </w:rPr>
        <w:t>种方式解决：</w:t>
      </w:r>
    </w:p>
    <w:p w14:paraId="03C1968C">
      <w:pPr>
        <w:spacing w:line="360" w:lineRule="auto"/>
        <w:ind w:firstLine="480"/>
        <w:rPr>
          <w:rStyle w:val="94"/>
          <w:rFonts w:ascii="宋体" w:hAnsi="宋体"/>
          <w:b w:val="0"/>
          <w:sz w:val="24"/>
          <w:szCs w:val="24"/>
        </w:rPr>
      </w:pPr>
      <w:r>
        <w:rPr>
          <w:rStyle w:val="94"/>
          <w:rFonts w:hint="eastAsia" w:ascii="宋体" w:hAnsi="宋体"/>
          <w:b w:val="0"/>
          <w:sz w:val="24"/>
          <w:szCs w:val="24"/>
        </w:rPr>
        <w:t>（一）提交</w:t>
      </w:r>
      <w:r>
        <w:rPr>
          <w:rStyle w:val="94"/>
          <w:rFonts w:hint="eastAsia" w:ascii="宋体" w:hAnsi="宋体"/>
          <w:b w:val="0"/>
          <w:sz w:val="24"/>
          <w:szCs w:val="24"/>
          <w:u w:val="single"/>
        </w:rPr>
        <w:t>　</w:t>
      </w:r>
      <w:r>
        <w:rPr>
          <w:rStyle w:val="94"/>
          <w:rFonts w:hint="eastAsia"/>
          <w:b w:val="0"/>
          <w:sz w:val="24"/>
          <w:szCs w:val="24"/>
          <w:u w:val="single"/>
        </w:rPr>
        <w:t>/</w:t>
      </w:r>
      <w:r>
        <w:rPr>
          <w:rStyle w:val="94"/>
          <w:rFonts w:hint="eastAsia" w:ascii="宋体" w:hAnsi="宋体"/>
          <w:b w:val="0"/>
          <w:sz w:val="24"/>
          <w:szCs w:val="24"/>
          <w:u w:val="single"/>
        </w:rPr>
        <w:t>　</w:t>
      </w:r>
      <w:r>
        <w:rPr>
          <w:rStyle w:val="94"/>
          <w:rFonts w:hint="eastAsia" w:ascii="宋体" w:hAnsi="宋体"/>
          <w:b w:val="0"/>
          <w:sz w:val="24"/>
          <w:szCs w:val="24"/>
        </w:rPr>
        <w:t>仲裁委员会仲裁；</w:t>
      </w:r>
    </w:p>
    <w:p w14:paraId="550D6CFD">
      <w:pPr>
        <w:spacing w:line="360" w:lineRule="auto"/>
        <w:ind w:firstLine="480"/>
        <w:rPr>
          <w:rFonts w:hint="eastAsia" w:cs="Times New Roman"/>
        </w:rPr>
      </w:pPr>
      <w:r>
        <w:rPr>
          <w:rStyle w:val="94"/>
          <w:rFonts w:hint="eastAsia" w:ascii="宋体" w:hAnsi="宋体"/>
          <w:b w:val="0"/>
          <w:sz w:val="24"/>
          <w:szCs w:val="24"/>
        </w:rPr>
        <w:t>（二）依法向</w:t>
      </w:r>
      <w:r>
        <w:rPr>
          <w:rStyle w:val="94"/>
          <w:rFonts w:ascii="宋体" w:hAnsi="宋体"/>
          <w:b w:val="0"/>
          <w:sz w:val="24"/>
          <w:szCs w:val="24"/>
          <w:u w:val="single"/>
        </w:rPr>
        <w:t xml:space="preserve"> </w:t>
      </w:r>
      <w:r>
        <w:rPr>
          <w:rStyle w:val="94"/>
          <w:rFonts w:hint="eastAsia" w:ascii="宋体" w:hAnsi="宋体"/>
          <w:b w:val="0"/>
          <w:sz w:val="24"/>
          <w:szCs w:val="24"/>
          <w:u w:val="single"/>
        </w:rPr>
        <w:t xml:space="preserve">委托人所在地 </w:t>
      </w:r>
      <w:r>
        <w:rPr>
          <w:rStyle w:val="94"/>
          <w:rFonts w:ascii="宋体" w:hAnsi="宋体"/>
          <w:b w:val="0"/>
          <w:sz w:val="24"/>
          <w:szCs w:val="24"/>
          <w:u w:val="single"/>
        </w:rPr>
        <w:t xml:space="preserve"> </w:t>
      </w:r>
      <w:r>
        <w:rPr>
          <w:rStyle w:val="94"/>
          <w:rFonts w:ascii="宋体" w:hAnsi="宋体"/>
          <w:b w:val="0"/>
          <w:sz w:val="24"/>
          <w:szCs w:val="24"/>
        </w:rPr>
        <w:t>人民法院起诉。</w:t>
      </w:r>
    </w:p>
    <w:p w14:paraId="481E9C05">
      <w:pPr>
        <w:spacing w:line="360" w:lineRule="auto"/>
        <w:ind w:firstLine="482" w:firstLineChars="200"/>
        <w:rPr>
          <w:rStyle w:val="94"/>
          <w:rFonts w:ascii="宋体" w:hAnsi="宋体"/>
          <w:b w:val="0"/>
          <w:sz w:val="24"/>
          <w:szCs w:val="24"/>
        </w:rPr>
      </w:pPr>
      <w:bookmarkStart w:id="631" w:name="_Toc422322550"/>
      <w:bookmarkStart w:id="632" w:name="_Toc419045123"/>
      <w:r>
        <w:rPr>
          <w:rStyle w:val="93"/>
          <w:rFonts w:hint="eastAsia" w:ascii="宋体" w:hAnsi="宋体"/>
        </w:rPr>
        <w:t>8. 其他</w:t>
      </w:r>
      <w:bookmarkEnd w:id="631"/>
      <w:bookmarkEnd w:id="632"/>
    </w:p>
    <w:p w14:paraId="74CB6E97">
      <w:pPr>
        <w:pStyle w:val="22"/>
        <w:spacing w:before="60"/>
        <w:ind w:firstLine="480" w:firstLineChars="200"/>
        <w:jc w:val="left"/>
        <w:rPr>
          <w:rFonts w:hint="eastAsia" w:ascii="宋体" w:hAnsi="宋体"/>
          <w:b w:val="0"/>
          <w:sz w:val="24"/>
          <w:szCs w:val="24"/>
        </w:rPr>
      </w:pPr>
      <w:bookmarkStart w:id="633" w:name="_Toc422322551"/>
      <w:r>
        <w:rPr>
          <w:rFonts w:hint="eastAsia" w:ascii="宋体" w:hAnsi="宋体"/>
          <w:b w:val="0"/>
          <w:sz w:val="24"/>
          <w:szCs w:val="24"/>
        </w:rPr>
        <w:t>8.1考察</w:t>
      </w:r>
      <w:r>
        <w:rPr>
          <w:rFonts w:ascii="宋体" w:hAnsi="宋体"/>
          <w:b w:val="0"/>
          <w:sz w:val="24"/>
          <w:szCs w:val="24"/>
        </w:rPr>
        <w:t>及相关费用</w:t>
      </w:r>
      <w:bookmarkEnd w:id="633"/>
    </w:p>
    <w:p w14:paraId="2A280CA9">
      <w:pPr>
        <w:spacing w:line="360" w:lineRule="auto"/>
        <w:ind w:firstLine="480" w:firstLineChars="200"/>
        <w:rPr>
          <w:rFonts w:cs="Times New Roman"/>
        </w:rPr>
      </w:pPr>
      <w:r>
        <w:rPr>
          <w:rFonts w:hint="eastAsia" w:cs="Times New Roman"/>
        </w:rPr>
        <w:t>咨询人经委托人同意进行考察发生的费用由</w:t>
      </w:r>
      <w:r>
        <w:rPr>
          <w:rFonts w:hint="eastAsia" w:cs="Times New Roman"/>
          <w:u w:val="single"/>
        </w:rPr>
        <w:t>咨询人</w:t>
      </w:r>
      <w:r>
        <w:rPr>
          <w:rFonts w:hint="eastAsia" w:cs="Times New Roman"/>
        </w:rPr>
        <w:t>支付。</w:t>
      </w:r>
    </w:p>
    <w:p w14:paraId="010E707C">
      <w:pPr>
        <w:spacing w:line="360" w:lineRule="auto"/>
        <w:ind w:firstLine="480" w:firstLineChars="200"/>
        <w:rPr>
          <w:rFonts w:hint="eastAsia" w:cs="Times New Roman"/>
        </w:rPr>
      </w:pPr>
      <w:r>
        <w:rPr>
          <w:rFonts w:hint="eastAsia" w:cs="Times New Roman"/>
        </w:rPr>
        <w:t>差旅费及相关费用的支付：</w:t>
      </w:r>
      <w:bookmarkStart w:id="634" w:name="_Toc422322552"/>
      <w:r>
        <w:rPr>
          <w:rFonts w:hint="eastAsia"/>
        </w:rPr>
        <w:t xml:space="preserve">咨询人在本项目工作期间的差旅费（交通、住宿、餐饮）及其他相关费用的支付：由咨询人自行承担。   </w:t>
      </w:r>
      <w:r>
        <w:rPr>
          <w:rFonts w:hint="eastAsia" w:cs="Times New Roman"/>
        </w:rPr>
        <w:t xml:space="preserve">  </w:t>
      </w:r>
    </w:p>
    <w:p w14:paraId="4B2ECE3B">
      <w:pPr>
        <w:spacing w:line="360" w:lineRule="auto"/>
        <w:ind w:firstLine="482" w:firstLineChars="200"/>
        <w:rPr>
          <w:rFonts w:hint="eastAsia"/>
          <w:b/>
        </w:rPr>
      </w:pPr>
      <w:r>
        <w:rPr>
          <w:rFonts w:hint="eastAsia"/>
          <w:b/>
        </w:rPr>
        <w:t>8.2奖励</w:t>
      </w:r>
      <w:bookmarkEnd w:id="634"/>
    </w:p>
    <w:p w14:paraId="4D5CB893">
      <w:pPr>
        <w:spacing w:line="360" w:lineRule="auto"/>
        <w:ind w:firstLine="480" w:firstLineChars="200"/>
        <w:rPr>
          <w:rStyle w:val="94"/>
          <w:rFonts w:ascii="宋体" w:hAnsi="宋体"/>
          <w:b w:val="0"/>
          <w:sz w:val="24"/>
          <w:szCs w:val="24"/>
        </w:rPr>
      </w:pPr>
      <w:r>
        <w:rPr>
          <w:rFonts w:hint="eastAsia" w:cs="Times New Roman"/>
        </w:rPr>
        <w:t>合理化建议的奖励金额按下列方法确定：_________</w:t>
      </w:r>
      <w:r>
        <w:rPr>
          <w:rFonts w:hint="eastAsia" w:cs="Times New Roman"/>
          <w:u w:val="single"/>
        </w:rPr>
        <w:t>___/____</w:t>
      </w:r>
      <w:r>
        <w:rPr>
          <w:rFonts w:hint="eastAsia" w:cs="Times New Roman"/>
        </w:rPr>
        <w:t xml:space="preserve">_________。 </w:t>
      </w:r>
    </w:p>
    <w:p w14:paraId="39143B57">
      <w:pPr>
        <w:pStyle w:val="22"/>
        <w:spacing w:before="60"/>
        <w:ind w:firstLine="480" w:firstLineChars="200"/>
        <w:jc w:val="left"/>
        <w:rPr>
          <w:rFonts w:hint="eastAsia" w:ascii="宋体" w:hAnsi="宋体"/>
          <w:b w:val="0"/>
          <w:sz w:val="24"/>
          <w:szCs w:val="24"/>
        </w:rPr>
      </w:pPr>
      <w:bookmarkStart w:id="635" w:name="_Toc422322553"/>
      <w:r>
        <w:rPr>
          <w:rFonts w:hint="eastAsia" w:ascii="宋体" w:hAnsi="宋体"/>
          <w:b w:val="0"/>
          <w:sz w:val="24"/>
          <w:szCs w:val="24"/>
        </w:rPr>
        <w:t>8.3保密</w:t>
      </w:r>
      <w:bookmarkEnd w:id="635"/>
    </w:p>
    <w:p w14:paraId="216BEEBB">
      <w:pPr>
        <w:spacing w:line="360" w:lineRule="auto"/>
        <w:ind w:firstLine="360" w:firstLineChars="150"/>
        <w:rPr>
          <w:rFonts w:hint="eastAsia" w:cs="Times New Roman"/>
        </w:rPr>
      </w:pPr>
      <w:r>
        <w:rPr>
          <w:rFonts w:hint="eastAsia" w:cs="Times New Roman"/>
        </w:rPr>
        <w:t xml:space="preserve"> 委托人申明的保密事项和期限：_____</w:t>
      </w:r>
      <w:r>
        <w:rPr>
          <w:rFonts w:hint="eastAsia" w:cs="Times New Roman"/>
          <w:u w:val="single"/>
        </w:rPr>
        <w:t>按委托人申明确定</w:t>
      </w:r>
      <w:r>
        <w:rPr>
          <w:rFonts w:hint="eastAsia" w:cs="Times New Roman"/>
        </w:rPr>
        <w:t>______________。</w:t>
      </w:r>
      <w:r>
        <w:rPr>
          <w:rFonts w:hint="eastAsia" w:cs="Times New Roman"/>
        </w:rPr>
        <w:br w:type="textWrapping"/>
      </w:r>
      <w:r>
        <w:rPr>
          <w:rFonts w:hint="eastAsia" w:cs="Times New Roman"/>
        </w:rPr>
        <w:t xml:space="preserve">    咨询人申明的保密事项和期限：_____</w:t>
      </w:r>
      <w:r>
        <w:rPr>
          <w:rFonts w:hint="eastAsia" w:cs="Times New Roman"/>
          <w:u w:val="single"/>
        </w:rPr>
        <w:t>按咨询人申明确定</w:t>
      </w:r>
      <w:r>
        <w:rPr>
          <w:rFonts w:hint="eastAsia" w:cs="Times New Roman"/>
        </w:rPr>
        <w:t xml:space="preserve">______________。             </w:t>
      </w:r>
      <w:r>
        <w:rPr>
          <w:rFonts w:hint="eastAsia" w:cs="Times New Roman"/>
        </w:rPr>
        <w:br w:type="textWrapping"/>
      </w:r>
      <w:r>
        <w:rPr>
          <w:rFonts w:hint="eastAsia" w:cs="Times New Roman"/>
        </w:rPr>
        <w:t xml:space="preserve">    第三人申明的保密事项和期限：_____</w:t>
      </w:r>
      <w:r>
        <w:rPr>
          <w:rFonts w:hint="eastAsia" w:cs="Times New Roman"/>
          <w:u w:val="single"/>
        </w:rPr>
        <w:t>按相关申明确定</w:t>
      </w:r>
      <w:r>
        <w:rPr>
          <w:rFonts w:hint="eastAsia" w:cs="Times New Roman"/>
        </w:rPr>
        <w:t>________________。</w:t>
      </w:r>
    </w:p>
    <w:p w14:paraId="5CA8D67D">
      <w:pPr>
        <w:spacing w:line="360" w:lineRule="auto"/>
        <w:ind w:firstLine="360" w:firstLineChars="150"/>
        <w:rPr>
          <w:rFonts w:hint="eastAsia" w:cs="Times New Roman"/>
          <w:bCs/>
          <w:kern w:val="28"/>
        </w:rPr>
      </w:pPr>
      <w:bookmarkStart w:id="636" w:name="_Toc422322554"/>
      <w:r>
        <w:rPr>
          <w:rStyle w:val="94"/>
          <w:rFonts w:hint="eastAsia" w:ascii="宋体" w:hAnsi="宋体"/>
          <w:b w:val="0"/>
          <w:sz w:val="24"/>
          <w:szCs w:val="24"/>
        </w:rPr>
        <w:t>8.4联络</w:t>
      </w:r>
      <w:bookmarkEnd w:id="636"/>
    </w:p>
    <w:p w14:paraId="60DCE0F3">
      <w:pPr>
        <w:spacing w:line="360" w:lineRule="auto"/>
        <w:ind w:firstLine="480" w:firstLineChars="200"/>
        <w:rPr>
          <w:rFonts w:hint="eastAsia"/>
        </w:rPr>
      </w:pPr>
      <w:r>
        <w:rPr>
          <w:rFonts w:hint="eastAsia" w:cs="Times New Roman"/>
        </w:rPr>
        <w:t>8.4.1任何一方</w:t>
      </w:r>
      <w:r>
        <w:rPr>
          <w:rFonts w:hint="eastAsia"/>
        </w:rPr>
        <w:t>与合同有关的通知、指示、要求、决定等，均应在</w:t>
      </w:r>
      <w:r>
        <w:rPr>
          <w:rFonts w:hint="eastAsia" w:cs="Times New Roman"/>
          <w:u w:val="single"/>
        </w:rPr>
        <w:t>一</w:t>
      </w:r>
      <w:r>
        <w:rPr>
          <w:rFonts w:hint="eastAsia"/>
          <w:u w:val="single"/>
        </w:rPr>
        <w:t xml:space="preserve"> </w:t>
      </w:r>
      <w:r>
        <w:rPr>
          <w:rFonts w:hint="eastAsia"/>
        </w:rPr>
        <w:t xml:space="preserve"> </w:t>
      </w:r>
    </w:p>
    <w:p w14:paraId="1D23095F">
      <w:pPr>
        <w:spacing w:line="360" w:lineRule="auto"/>
        <w:rPr>
          <w:rFonts w:hint="eastAsia"/>
        </w:rPr>
      </w:pPr>
      <w:r>
        <w:rPr>
          <w:rFonts w:hint="eastAsia"/>
        </w:rPr>
        <w:t>日内送达对方指定的接收人和送达地点。</w:t>
      </w:r>
    </w:p>
    <w:p w14:paraId="69D17BF7">
      <w:pPr>
        <w:spacing w:line="360" w:lineRule="auto"/>
        <w:ind w:firstLine="480" w:firstLineChars="200"/>
        <w:rPr>
          <w:rFonts w:hint="eastAsia"/>
        </w:rPr>
      </w:pPr>
      <w:r>
        <w:rPr>
          <w:rFonts w:hint="eastAsia"/>
        </w:rPr>
        <w:t>8.4.2委托人指定的送达接收人：</w:t>
      </w:r>
      <w:r>
        <w:rPr>
          <w:rFonts w:hint="eastAsia" w:cs="Times New Roman"/>
          <w:szCs w:val="21"/>
          <w:u w:val="single"/>
          <w:lang w:val="en-US" w:eastAsia="zh-CN"/>
        </w:rPr>
        <w:t xml:space="preserve">     </w:t>
      </w:r>
      <w:r>
        <w:rPr>
          <w:rFonts w:hint="eastAsia"/>
        </w:rPr>
        <w:t>，送达地点：</w:t>
      </w:r>
      <w:r>
        <w:rPr>
          <w:rFonts w:hint="eastAsia" w:cs="Times New Roman"/>
          <w:szCs w:val="21"/>
          <w:u w:val="single"/>
          <w:lang w:val="en-US" w:eastAsia="zh-CN"/>
        </w:rPr>
        <w:t xml:space="preserve">      </w:t>
      </w:r>
      <w:r>
        <w:rPr>
          <w:rFonts w:hint="eastAsia"/>
        </w:rPr>
        <w:t>，电子邮箱：</w:t>
      </w:r>
      <w:r>
        <w:rPr>
          <w:rFonts w:hint="eastAsia" w:cs="Times New Roman"/>
          <w:szCs w:val="21"/>
          <w:u w:val="single"/>
          <w:lang w:val="en-US" w:eastAsia="zh-CN"/>
        </w:rPr>
        <w:t xml:space="preserve">      </w:t>
      </w:r>
      <w:r>
        <w:rPr>
          <w:rFonts w:hint="eastAsia"/>
        </w:rPr>
        <w:t>。</w:t>
      </w:r>
    </w:p>
    <w:p w14:paraId="0BD471D1">
      <w:pPr>
        <w:spacing w:line="360" w:lineRule="auto"/>
        <w:ind w:firstLine="480" w:firstLineChars="200"/>
        <w:rPr>
          <w:rFonts w:hint="eastAsia"/>
        </w:rPr>
      </w:pPr>
      <w:r>
        <w:rPr>
          <w:rFonts w:hint="eastAsia"/>
        </w:rPr>
        <w:t>咨询人指定的送达接收人：</w:t>
      </w:r>
      <w:r>
        <w:rPr>
          <w:rFonts w:hint="eastAsia" w:cs="Times New Roman"/>
          <w:szCs w:val="21"/>
          <w:u w:val="single"/>
          <w:lang w:val="en-US" w:eastAsia="zh-CN"/>
        </w:rPr>
        <w:t xml:space="preserve">   </w:t>
      </w:r>
      <w:r>
        <w:rPr>
          <w:rFonts w:hint="eastAsia"/>
        </w:rPr>
        <w:t>，送达地点：</w:t>
      </w:r>
      <w:r>
        <w:rPr>
          <w:rFonts w:hint="eastAsia"/>
          <w:u w:val="single"/>
          <w:lang w:val="en-US" w:eastAsia="zh-CN"/>
        </w:rPr>
        <w:t xml:space="preserve">                </w:t>
      </w:r>
      <w:r>
        <w:rPr>
          <w:rFonts w:hint="eastAsia"/>
        </w:rPr>
        <w:t>，电子邮箱：</w:t>
      </w:r>
      <w:r>
        <w:rPr>
          <w:rFonts w:hint="eastAsia" w:cs="Times New Roman"/>
          <w:szCs w:val="21"/>
          <w:u w:val="single"/>
          <w:lang w:val="en-US" w:eastAsia="zh-CN"/>
        </w:rPr>
        <w:t xml:space="preserve">          </w:t>
      </w:r>
      <w:r>
        <w:rPr>
          <w:rFonts w:hint="eastAsia"/>
        </w:rPr>
        <w:t>。</w:t>
      </w:r>
    </w:p>
    <w:p w14:paraId="390B7085">
      <w:pPr>
        <w:spacing w:line="360" w:lineRule="auto"/>
        <w:ind w:firstLine="360" w:firstLineChars="150"/>
        <w:rPr>
          <w:rStyle w:val="94"/>
          <w:rFonts w:hint="eastAsia" w:ascii="宋体" w:hAnsi="宋体"/>
          <w:b w:val="0"/>
          <w:sz w:val="24"/>
          <w:szCs w:val="24"/>
        </w:rPr>
      </w:pPr>
      <w:bookmarkStart w:id="637" w:name="_Toc422322555"/>
      <w:bookmarkStart w:id="638" w:name="_Toc419045124"/>
      <w:r>
        <w:rPr>
          <w:rStyle w:val="94"/>
          <w:rFonts w:hint="eastAsia" w:ascii="宋体" w:hAnsi="宋体"/>
          <w:b w:val="0"/>
          <w:sz w:val="24"/>
          <w:szCs w:val="24"/>
        </w:rPr>
        <w:t>8.5知识产权</w:t>
      </w:r>
      <w:bookmarkEnd w:id="637"/>
      <w:bookmarkEnd w:id="638"/>
    </w:p>
    <w:p w14:paraId="1851A72C">
      <w:pPr>
        <w:spacing w:line="360" w:lineRule="auto"/>
        <w:ind w:firstLine="480" w:firstLineChars="200"/>
        <w:rPr>
          <w:rFonts w:hint="eastAsia"/>
        </w:rPr>
      </w:pPr>
      <w:r>
        <w:rPr>
          <w:rFonts w:hint="eastAsia"/>
        </w:rPr>
        <w:t>委托人提供给咨询人的图纸、委托人为实施工程自行编制或委托编制的技术规范以及反映委托人要求的或其他类似性质文件的著作权属于</w:t>
      </w:r>
      <w:r>
        <w:rPr>
          <w:rFonts w:hint="eastAsia" w:cs="Times New Roman"/>
          <w:szCs w:val="21"/>
          <w:u w:val="single"/>
        </w:rPr>
        <w:t xml:space="preserve">委托人 </w:t>
      </w:r>
      <w:r>
        <w:rPr>
          <w:rFonts w:hint="eastAsia"/>
        </w:rPr>
        <w:t>。</w:t>
      </w:r>
    </w:p>
    <w:p w14:paraId="3FF1F82B">
      <w:pPr>
        <w:spacing w:line="360" w:lineRule="auto"/>
        <w:ind w:firstLine="480" w:firstLineChars="200"/>
        <w:rPr>
          <w:rFonts w:hint="eastAsia"/>
        </w:rPr>
      </w:pPr>
      <w:r>
        <w:t>咨询人为履行本合同约定而编制的</w:t>
      </w:r>
      <w:r>
        <w:rPr>
          <w:rFonts w:hint="eastAsia"/>
        </w:rPr>
        <w:t>成果</w:t>
      </w:r>
      <w:r>
        <w:t>文件</w:t>
      </w:r>
      <w:r>
        <w:rPr>
          <w:rFonts w:hint="eastAsia"/>
        </w:rPr>
        <w:t>，其</w:t>
      </w:r>
      <w:r>
        <w:t>著作权属于</w:t>
      </w:r>
      <w:r>
        <w:rPr>
          <w:rFonts w:hint="eastAsia" w:cs="Times New Roman"/>
          <w:szCs w:val="21"/>
          <w:u w:val="single"/>
        </w:rPr>
        <w:t>咨询人</w:t>
      </w:r>
      <w:r>
        <w:t>。</w:t>
      </w:r>
    </w:p>
    <w:p w14:paraId="523B901E">
      <w:pPr>
        <w:spacing w:line="360" w:lineRule="auto"/>
        <w:rPr>
          <w:rFonts w:hint="eastAsia" w:cs="Times New Roman"/>
          <w:b/>
        </w:rPr>
      </w:pPr>
      <w:r>
        <w:rPr>
          <w:rFonts w:hint="eastAsia"/>
        </w:rPr>
        <w:t>双方将履行本合同形成的有关成果文件用于企业宣传、申报奖项以及接受上级主管部门的检查须遵守以下约定：</w:t>
      </w:r>
      <w:r>
        <w:rPr>
          <w:rFonts w:hint="eastAsia" w:cs="Times New Roman"/>
          <w:szCs w:val="21"/>
          <w:u w:val="single"/>
        </w:rPr>
        <w:t xml:space="preserve">1.不涉及相关方经营及商业机密；2.须经相关方书面同意；3.就相关权益达成一致意见                         </w:t>
      </w:r>
      <w:bookmarkStart w:id="639" w:name="_Toc419045125"/>
      <w:bookmarkStart w:id="640" w:name="_Toc422322556"/>
      <w:r>
        <w:rPr>
          <w:rFonts w:hint="eastAsia" w:cs="Times New Roman"/>
        </w:rPr>
        <w:t>。</w:t>
      </w:r>
    </w:p>
    <w:p w14:paraId="594AF489">
      <w:pPr>
        <w:spacing w:line="360" w:lineRule="auto"/>
        <w:ind w:left="472"/>
        <w:rPr>
          <w:rStyle w:val="93"/>
          <w:rFonts w:hint="eastAsia" w:ascii="宋体" w:hAnsi="宋体"/>
        </w:rPr>
      </w:pPr>
      <w:r>
        <w:rPr>
          <w:rStyle w:val="93"/>
          <w:rFonts w:hint="eastAsia" w:ascii="宋体" w:hAnsi="宋体"/>
        </w:rPr>
        <w:t>9</w:t>
      </w:r>
      <w:r>
        <w:rPr>
          <w:rStyle w:val="93"/>
          <w:rFonts w:ascii="宋体" w:hAnsi="宋体"/>
        </w:rPr>
        <w:t>.</w:t>
      </w:r>
      <w:r>
        <w:rPr>
          <w:rStyle w:val="93"/>
          <w:rFonts w:hint="eastAsia" w:ascii="宋体" w:hAnsi="宋体"/>
        </w:rPr>
        <w:t>补充条款</w:t>
      </w:r>
      <w:bookmarkEnd w:id="639"/>
      <w:bookmarkEnd w:id="640"/>
    </w:p>
    <w:p w14:paraId="3AA5E486">
      <w:pPr>
        <w:pStyle w:val="29"/>
        <w:spacing w:before="0" w:beforeAutospacing="0" w:after="0" w:afterAutospacing="0" w:line="360" w:lineRule="auto"/>
        <w:ind w:firstLine="482" w:firstLineChars="200"/>
        <w:rPr>
          <w:rFonts w:ascii="Arial" w:hAnsi="Arial" w:cs="Arial"/>
          <w:b/>
          <w:szCs w:val="21"/>
        </w:rPr>
      </w:pPr>
      <w:r>
        <w:rPr>
          <w:rFonts w:ascii="Arial" w:cs="Arial"/>
          <w:b/>
          <w:szCs w:val="21"/>
        </w:rPr>
        <w:t>（一）咨询人应提供的成果文件</w:t>
      </w:r>
    </w:p>
    <w:p w14:paraId="12413FAE">
      <w:pPr>
        <w:pStyle w:val="29"/>
        <w:spacing w:before="0" w:beforeAutospacing="0" w:after="0" w:afterAutospacing="0" w:line="360" w:lineRule="auto"/>
        <w:ind w:firstLine="482" w:firstLineChars="200"/>
        <w:rPr>
          <w:rFonts w:ascii="Arial" w:hAnsi="Arial" w:cs="Arial"/>
          <w:szCs w:val="21"/>
        </w:rPr>
      </w:pPr>
      <w:r>
        <w:rPr>
          <w:rFonts w:ascii="Arial" w:hAnsi="Arial" w:cs="Arial"/>
          <w:b/>
          <w:szCs w:val="21"/>
        </w:rPr>
        <w:t>1</w:t>
      </w:r>
      <w:r>
        <w:rPr>
          <w:rFonts w:ascii="Arial" w:cs="Arial"/>
          <w:b/>
          <w:szCs w:val="21"/>
        </w:rPr>
        <w:t>、招投标阶段</w:t>
      </w:r>
      <w:r>
        <w:rPr>
          <w:rFonts w:ascii="Arial" w:cs="Arial"/>
          <w:szCs w:val="21"/>
        </w:rPr>
        <w:t>：</w:t>
      </w:r>
      <w:r>
        <w:rPr>
          <w:rFonts w:hint="eastAsia" w:ascii="Arial" w:cs="Arial"/>
          <w:szCs w:val="21"/>
        </w:rPr>
        <w:t>工程量清单、</w:t>
      </w:r>
      <w:r>
        <w:rPr>
          <w:rFonts w:ascii="Arial" w:cs="Arial"/>
          <w:szCs w:val="21"/>
        </w:rPr>
        <w:t>招标控制价或标底、其它</w:t>
      </w:r>
      <w:r>
        <w:rPr>
          <w:rFonts w:hint="eastAsia" w:ascii="Arial" w:cs="Arial"/>
          <w:szCs w:val="21"/>
        </w:rPr>
        <w:t>有关</w:t>
      </w:r>
      <w:r>
        <w:rPr>
          <w:rFonts w:ascii="Arial" w:cs="Arial"/>
          <w:szCs w:val="21"/>
        </w:rPr>
        <w:t>咨询报告</w:t>
      </w:r>
      <w:r>
        <w:rPr>
          <w:rFonts w:hint="eastAsia" w:ascii="Arial" w:cs="Arial"/>
          <w:szCs w:val="21"/>
        </w:rPr>
        <w:t>或成果文件</w:t>
      </w:r>
      <w:r>
        <w:rPr>
          <w:rFonts w:ascii="Arial" w:cs="Arial"/>
          <w:szCs w:val="21"/>
        </w:rPr>
        <w:t>。</w:t>
      </w:r>
    </w:p>
    <w:p w14:paraId="476F023D">
      <w:pPr>
        <w:pStyle w:val="29"/>
        <w:spacing w:before="0" w:beforeAutospacing="0" w:after="0" w:afterAutospacing="0" w:line="360" w:lineRule="auto"/>
        <w:ind w:firstLine="482" w:firstLineChars="200"/>
        <w:rPr>
          <w:rFonts w:ascii="Arial" w:hAnsi="Arial" w:cs="Arial"/>
          <w:szCs w:val="21"/>
        </w:rPr>
      </w:pPr>
      <w:r>
        <w:rPr>
          <w:rFonts w:ascii="Arial" w:hAnsi="Arial" w:cs="Arial"/>
          <w:b/>
          <w:szCs w:val="21"/>
        </w:rPr>
        <w:t>2</w:t>
      </w:r>
      <w:r>
        <w:rPr>
          <w:rFonts w:ascii="Arial" w:cs="Arial"/>
          <w:b/>
          <w:szCs w:val="21"/>
        </w:rPr>
        <w:t>、建设阶段全过程造价咨询：</w:t>
      </w:r>
    </w:p>
    <w:p w14:paraId="40007B0E">
      <w:pPr>
        <w:pStyle w:val="29"/>
        <w:spacing w:before="0" w:beforeAutospacing="0" w:after="0" w:afterAutospacing="0" w:line="360" w:lineRule="auto"/>
        <w:ind w:firstLine="480" w:firstLineChars="200"/>
        <w:rPr>
          <w:rFonts w:ascii="Arial" w:hAnsi="Arial" w:cs="Arial"/>
          <w:szCs w:val="21"/>
        </w:rPr>
      </w:pPr>
      <w:r>
        <w:rPr>
          <w:rFonts w:ascii="Arial" w:cs="Arial"/>
          <w:szCs w:val="21"/>
        </w:rPr>
        <w:t>中期付款审核意见、重大设计变更造价咨询意见、工程洽商现场签证审核意见及汇总表、设计变更审核意见及汇总表、其他索赔事项审核意见及汇总表、月度造价咨询情况报告等。</w:t>
      </w:r>
    </w:p>
    <w:p w14:paraId="73A69A08">
      <w:pPr>
        <w:pStyle w:val="29"/>
        <w:spacing w:before="0" w:beforeAutospacing="0" w:after="0" w:afterAutospacing="0" w:line="360" w:lineRule="auto"/>
        <w:ind w:firstLine="482" w:firstLineChars="200"/>
        <w:rPr>
          <w:rFonts w:ascii="Arial" w:hAnsi="Arial" w:cs="Arial"/>
          <w:szCs w:val="21"/>
        </w:rPr>
      </w:pPr>
      <w:r>
        <w:rPr>
          <w:rFonts w:ascii="Arial" w:hAnsi="Arial" w:cs="Arial"/>
          <w:b/>
          <w:szCs w:val="21"/>
        </w:rPr>
        <w:t>3</w:t>
      </w:r>
      <w:r>
        <w:rPr>
          <w:rFonts w:ascii="Arial" w:cs="Arial"/>
          <w:b/>
          <w:szCs w:val="21"/>
        </w:rPr>
        <w:t>、竣工结算及结算审核阶段：</w:t>
      </w:r>
      <w:r>
        <w:rPr>
          <w:rFonts w:ascii="Arial" w:cs="Arial"/>
          <w:szCs w:val="21"/>
        </w:rPr>
        <w:t>竣工结算审核报告、专题总结报告等。</w:t>
      </w:r>
    </w:p>
    <w:p w14:paraId="1877D145">
      <w:pPr>
        <w:pStyle w:val="29"/>
        <w:spacing w:before="0" w:beforeAutospacing="0" w:after="0" w:afterAutospacing="0" w:line="360" w:lineRule="auto"/>
        <w:ind w:firstLine="482" w:firstLineChars="200"/>
        <w:rPr>
          <w:rFonts w:ascii="Arial" w:hAnsi="Arial" w:cs="Arial"/>
          <w:szCs w:val="21"/>
        </w:rPr>
      </w:pPr>
      <w:r>
        <w:rPr>
          <w:rFonts w:ascii="Arial" w:hAnsi="Arial" w:cs="Arial"/>
          <w:b/>
          <w:szCs w:val="21"/>
        </w:rPr>
        <w:t>4</w:t>
      </w:r>
      <w:r>
        <w:rPr>
          <w:rFonts w:ascii="Arial" w:cs="Arial"/>
          <w:b/>
          <w:szCs w:val="21"/>
        </w:rPr>
        <w:t>、其他要求：</w:t>
      </w:r>
      <w:r>
        <w:rPr>
          <w:rFonts w:ascii="Arial" w:cs="Arial"/>
          <w:szCs w:val="21"/>
        </w:rPr>
        <w:t>招标人经过招标</w:t>
      </w:r>
      <w:r>
        <w:rPr>
          <w:rFonts w:hint="eastAsia" w:ascii="Arial" w:cs="Arial"/>
          <w:szCs w:val="21"/>
        </w:rPr>
        <w:t>或</w:t>
      </w:r>
      <w:r>
        <w:rPr>
          <w:rFonts w:ascii="Arial" w:cs="Arial"/>
          <w:szCs w:val="21"/>
        </w:rPr>
        <w:t>谈判</w:t>
      </w:r>
      <w:r>
        <w:rPr>
          <w:rFonts w:hint="eastAsia" w:ascii="Arial" w:cs="Arial"/>
          <w:szCs w:val="21"/>
        </w:rPr>
        <w:t>或</w:t>
      </w:r>
      <w:r>
        <w:rPr>
          <w:rFonts w:ascii="Arial" w:cs="Arial"/>
          <w:szCs w:val="21"/>
        </w:rPr>
        <w:t>询价的车辆、办公家具及餐具等设备，</w:t>
      </w:r>
      <w:r>
        <w:rPr>
          <w:rFonts w:hint="eastAsia" w:ascii="Arial" w:cs="Arial"/>
          <w:szCs w:val="21"/>
        </w:rPr>
        <w:t>若需出具结算报告，咨询人需</w:t>
      </w:r>
      <w:r>
        <w:rPr>
          <w:rFonts w:ascii="Arial" w:cs="Arial"/>
          <w:szCs w:val="21"/>
        </w:rPr>
        <w:t>免费出具相应的咨询报告。</w:t>
      </w:r>
    </w:p>
    <w:p w14:paraId="5BA60EEA">
      <w:pPr>
        <w:pStyle w:val="29"/>
        <w:spacing w:before="0" w:beforeAutospacing="0" w:after="0" w:afterAutospacing="0" w:line="360" w:lineRule="auto"/>
        <w:ind w:firstLine="482" w:firstLineChars="200"/>
        <w:rPr>
          <w:rFonts w:ascii="Arial" w:hAnsi="Arial" w:cs="Arial"/>
          <w:b/>
          <w:szCs w:val="21"/>
        </w:rPr>
      </w:pPr>
      <w:r>
        <w:rPr>
          <w:rFonts w:ascii="Arial" w:cs="Arial"/>
          <w:b/>
          <w:szCs w:val="21"/>
        </w:rPr>
        <w:t>（二）奖惩措施</w:t>
      </w:r>
    </w:p>
    <w:p w14:paraId="5117169F">
      <w:pPr>
        <w:pStyle w:val="29"/>
        <w:spacing w:before="0" w:beforeAutospacing="0" w:after="0" w:afterAutospacing="0" w:line="360" w:lineRule="auto"/>
        <w:ind w:firstLine="480" w:firstLineChars="200"/>
        <w:rPr>
          <w:rFonts w:hint="eastAsia" w:ascii="Arial" w:cs="Arial"/>
          <w:szCs w:val="21"/>
        </w:rPr>
      </w:pPr>
      <w:r>
        <w:rPr>
          <w:rFonts w:ascii="Arial" w:hAnsi="Arial" w:cs="Arial"/>
          <w:szCs w:val="21"/>
        </w:rPr>
        <w:t>1</w:t>
      </w:r>
      <w:r>
        <w:rPr>
          <w:rFonts w:ascii="Arial" w:cs="Arial"/>
          <w:szCs w:val="21"/>
        </w:rPr>
        <w:t>、由于咨询人原因，未能按照委托人工作计划的时间进度要求（合理的期限内）提供完备的、令业主满意的工作成果</w:t>
      </w:r>
      <w:r>
        <w:rPr>
          <w:rFonts w:hint="eastAsia" w:ascii="Arial" w:cs="Arial"/>
          <w:szCs w:val="21"/>
        </w:rPr>
        <w:t>。</w:t>
      </w:r>
    </w:p>
    <w:p w14:paraId="01F60490">
      <w:pPr>
        <w:pStyle w:val="29"/>
        <w:spacing w:before="0" w:beforeAutospacing="0" w:after="0" w:afterAutospacing="0" w:line="360" w:lineRule="auto"/>
        <w:ind w:firstLine="480" w:firstLineChars="200"/>
        <w:rPr>
          <w:rFonts w:hint="eastAsia" w:ascii="Arial" w:cs="Arial"/>
          <w:bCs/>
          <w:szCs w:val="21"/>
        </w:rPr>
      </w:pPr>
      <w:r>
        <w:rPr>
          <w:rFonts w:hint="eastAsia" w:ascii="Arial" w:cs="Arial"/>
          <w:bCs/>
          <w:szCs w:val="21"/>
        </w:rPr>
        <w:t>具体要求如下：</w:t>
      </w:r>
    </w:p>
    <w:p w14:paraId="1ACA987D">
      <w:pPr>
        <w:pStyle w:val="29"/>
        <w:spacing w:before="0" w:beforeAutospacing="0" w:after="0" w:afterAutospacing="0" w:line="360" w:lineRule="auto"/>
        <w:ind w:firstLine="420" w:firstLineChars="200"/>
        <w:rPr>
          <w:rFonts w:hint="eastAsia"/>
          <w:sz w:val="21"/>
          <w:szCs w:val="21"/>
        </w:rPr>
      </w:pPr>
      <w:r>
        <w:rPr>
          <w:rFonts w:hint="eastAsia"/>
          <w:sz w:val="21"/>
          <w:szCs w:val="21"/>
        </w:rPr>
        <w:t>1.1、乙方审计人员按照甲方负责部门要求每周不少于2次查看现场并进行项目进度汇报，将每周工程进展、参加工程会议及相关审计工作情况和现场勘查照片形成书面文字，项目负责人签字后，上报审计科；未按照甲方指定时间提交并累计三次后，每次支付违约金100元，甲方有权从合同款中直接扣除；累计违约三次的，甲方暂停支付咨询费。</w:t>
      </w:r>
    </w:p>
    <w:p w14:paraId="114C7DD4">
      <w:pPr>
        <w:widowControl w:val="0"/>
        <w:spacing w:line="460" w:lineRule="exact"/>
        <w:ind w:firstLine="420" w:firstLineChars="200"/>
        <w:rPr>
          <w:rFonts w:hint="eastAsia"/>
          <w:sz w:val="21"/>
          <w:szCs w:val="21"/>
        </w:rPr>
      </w:pPr>
      <w:r>
        <w:rPr>
          <w:rFonts w:hint="eastAsia"/>
          <w:sz w:val="21"/>
          <w:szCs w:val="21"/>
        </w:rPr>
        <w:t>1.2、乙方对出具的审核报告负有终身解释义务，相关结算资料须完整保存。</w:t>
      </w:r>
    </w:p>
    <w:p w14:paraId="6B65AEAD">
      <w:pPr>
        <w:widowControl w:val="0"/>
        <w:spacing w:line="460" w:lineRule="exact"/>
        <w:ind w:firstLine="420" w:firstLineChars="200"/>
        <w:rPr>
          <w:rFonts w:hint="eastAsia"/>
          <w:sz w:val="21"/>
          <w:szCs w:val="21"/>
        </w:rPr>
      </w:pPr>
      <w:r>
        <w:rPr>
          <w:rFonts w:hint="eastAsia"/>
          <w:sz w:val="21"/>
          <w:szCs w:val="21"/>
        </w:rPr>
        <w:t>1.3、清单控价编制流程及时限要求：</w:t>
      </w: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4278"/>
        <w:gridCol w:w="3396"/>
      </w:tblGrid>
      <w:tr w14:paraId="4F0D4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1" w:type="dxa"/>
            <w:noWrap w:val="0"/>
            <w:vAlign w:val="top"/>
          </w:tcPr>
          <w:p w14:paraId="434CB8F7">
            <w:pPr>
              <w:widowControl w:val="0"/>
              <w:spacing w:line="460" w:lineRule="exact"/>
              <w:jc w:val="center"/>
              <w:rPr>
                <w:rFonts w:hint="eastAsia"/>
                <w:sz w:val="21"/>
                <w:szCs w:val="21"/>
              </w:rPr>
            </w:pPr>
            <w:r>
              <w:rPr>
                <w:rFonts w:hint="eastAsia"/>
                <w:sz w:val="21"/>
                <w:szCs w:val="21"/>
              </w:rPr>
              <w:t>序号</w:t>
            </w:r>
          </w:p>
        </w:tc>
        <w:tc>
          <w:tcPr>
            <w:tcW w:w="4410" w:type="dxa"/>
            <w:noWrap w:val="0"/>
            <w:vAlign w:val="top"/>
          </w:tcPr>
          <w:p w14:paraId="5422FF24">
            <w:pPr>
              <w:widowControl w:val="0"/>
              <w:spacing w:line="460" w:lineRule="exact"/>
              <w:jc w:val="center"/>
              <w:rPr>
                <w:rFonts w:hint="eastAsia"/>
                <w:sz w:val="21"/>
                <w:szCs w:val="21"/>
              </w:rPr>
            </w:pPr>
            <w:r>
              <w:rPr>
                <w:rFonts w:hint="eastAsia"/>
                <w:sz w:val="21"/>
                <w:szCs w:val="21"/>
              </w:rPr>
              <w:t>单项工程预算金额</w:t>
            </w:r>
          </w:p>
        </w:tc>
        <w:tc>
          <w:tcPr>
            <w:tcW w:w="3495" w:type="dxa"/>
            <w:noWrap w:val="0"/>
            <w:vAlign w:val="top"/>
          </w:tcPr>
          <w:p w14:paraId="68844034">
            <w:pPr>
              <w:widowControl w:val="0"/>
              <w:spacing w:line="460" w:lineRule="exact"/>
              <w:jc w:val="center"/>
              <w:rPr>
                <w:rFonts w:hint="eastAsia"/>
                <w:sz w:val="21"/>
                <w:szCs w:val="21"/>
              </w:rPr>
            </w:pPr>
            <w:r>
              <w:rPr>
                <w:rFonts w:hint="eastAsia"/>
                <w:sz w:val="21"/>
                <w:szCs w:val="21"/>
              </w:rPr>
              <w:t>编制期限</w:t>
            </w:r>
          </w:p>
        </w:tc>
      </w:tr>
      <w:tr w14:paraId="322AC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1" w:type="dxa"/>
            <w:noWrap w:val="0"/>
            <w:vAlign w:val="top"/>
          </w:tcPr>
          <w:p w14:paraId="086AB2DA">
            <w:pPr>
              <w:widowControl w:val="0"/>
              <w:spacing w:line="460" w:lineRule="exact"/>
              <w:jc w:val="center"/>
              <w:rPr>
                <w:sz w:val="21"/>
                <w:szCs w:val="21"/>
              </w:rPr>
            </w:pPr>
            <w:r>
              <w:rPr>
                <w:rFonts w:hint="eastAsia"/>
                <w:sz w:val="21"/>
                <w:szCs w:val="21"/>
              </w:rPr>
              <w:t>1</w:t>
            </w:r>
          </w:p>
        </w:tc>
        <w:tc>
          <w:tcPr>
            <w:tcW w:w="4410" w:type="dxa"/>
            <w:noWrap w:val="0"/>
            <w:vAlign w:val="top"/>
          </w:tcPr>
          <w:p w14:paraId="10F73D68">
            <w:pPr>
              <w:widowControl w:val="0"/>
              <w:spacing w:line="460" w:lineRule="exact"/>
              <w:jc w:val="both"/>
              <w:rPr>
                <w:sz w:val="21"/>
                <w:szCs w:val="21"/>
              </w:rPr>
            </w:pPr>
            <w:r>
              <w:rPr>
                <w:rFonts w:hint="eastAsia"/>
                <w:sz w:val="21"/>
                <w:szCs w:val="21"/>
              </w:rPr>
              <w:t>100万元及以下</w:t>
            </w:r>
          </w:p>
        </w:tc>
        <w:tc>
          <w:tcPr>
            <w:tcW w:w="3495" w:type="dxa"/>
            <w:noWrap w:val="0"/>
            <w:vAlign w:val="top"/>
          </w:tcPr>
          <w:p w14:paraId="0228AB79">
            <w:pPr>
              <w:widowControl w:val="0"/>
              <w:spacing w:line="460" w:lineRule="exact"/>
              <w:jc w:val="both"/>
              <w:rPr>
                <w:sz w:val="21"/>
                <w:szCs w:val="21"/>
              </w:rPr>
            </w:pPr>
            <w:r>
              <w:rPr>
                <w:rFonts w:hint="eastAsia"/>
                <w:sz w:val="21"/>
                <w:szCs w:val="21"/>
              </w:rPr>
              <w:t>3-5个工作日内</w:t>
            </w:r>
          </w:p>
        </w:tc>
      </w:tr>
      <w:tr w14:paraId="78A57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1" w:type="dxa"/>
            <w:noWrap w:val="0"/>
            <w:vAlign w:val="top"/>
          </w:tcPr>
          <w:p w14:paraId="7A403D49">
            <w:pPr>
              <w:widowControl w:val="0"/>
              <w:spacing w:line="460" w:lineRule="exact"/>
              <w:jc w:val="center"/>
              <w:rPr>
                <w:sz w:val="21"/>
                <w:szCs w:val="21"/>
              </w:rPr>
            </w:pPr>
            <w:r>
              <w:rPr>
                <w:rFonts w:hint="eastAsia"/>
                <w:sz w:val="21"/>
                <w:szCs w:val="21"/>
              </w:rPr>
              <w:t>2</w:t>
            </w:r>
          </w:p>
        </w:tc>
        <w:tc>
          <w:tcPr>
            <w:tcW w:w="4410" w:type="dxa"/>
            <w:noWrap w:val="0"/>
            <w:vAlign w:val="top"/>
          </w:tcPr>
          <w:p w14:paraId="63D1F160">
            <w:pPr>
              <w:widowControl w:val="0"/>
              <w:spacing w:line="460" w:lineRule="exact"/>
              <w:jc w:val="both"/>
              <w:rPr>
                <w:sz w:val="21"/>
                <w:szCs w:val="21"/>
              </w:rPr>
            </w:pPr>
            <w:r>
              <w:rPr>
                <w:rFonts w:hint="eastAsia"/>
                <w:sz w:val="21"/>
                <w:szCs w:val="21"/>
              </w:rPr>
              <w:t>100万元-500万元</w:t>
            </w:r>
          </w:p>
        </w:tc>
        <w:tc>
          <w:tcPr>
            <w:tcW w:w="3495" w:type="dxa"/>
            <w:noWrap w:val="0"/>
            <w:vAlign w:val="top"/>
          </w:tcPr>
          <w:p w14:paraId="3114B193">
            <w:pPr>
              <w:widowControl w:val="0"/>
              <w:spacing w:line="460" w:lineRule="exact"/>
              <w:jc w:val="both"/>
              <w:rPr>
                <w:sz w:val="21"/>
                <w:szCs w:val="21"/>
              </w:rPr>
            </w:pPr>
            <w:r>
              <w:rPr>
                <w:rFonts w:hint="eastAsia"/>
                <w:sz w:val="21"/>
                <w:szCs w:val="21"/>
              </w:rPr>
              <w:t>5-10个工作日内</w:t>
            </w:r>
          </w:p>
        </w:tc>
      </w:tr>
      <w:tr w14:paraId="1F25B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1" w:type="dxa"/>
            <w:noWrap w:val="0"/>
            <w:vAlign w:val="top"/>
          </w:tcPr>
          <w:p w14:paraId="59760504">
            <w:pPr>
              <w:widowControl w:val="0"/>
              <w:spacing w:line="460" w:lineRule="exact"/>
              <w:jc w:val="center"/>
              <w:rPr>
                <w:sz w:val="21"/>
                <w:szCs w:val="21"/>
              </w:rPr>
            </w:pPr>
            <w:r>
              <w:rPr>
                <w:rFonts w:hint="eastAsia"/>
                <w:sz w:val="21"/>
                <w:szCs w:val="21"/>
              </w:rPr>
              <w:t>3</w:t>
            </w:r>
          </w:p>
        </w:tc>
        <w:tc>
          <w:tcPr>
            <w:tcW w:w="4410" w:type="dxa"/>
            <w:noWrap w:val="0"/>
            <w:vAlign w:val="top"/>
          </w:tcPr>
          <w:p w14:paraId="32D66350">
            <w:pPr>
              <w:widowControl w:val="0"/>
              <w:spacing w:line="460" w:lineRule="exact"/>
              <w:jc w:val="both"/>
              <w:rPr>
                <w:sz w:val="21"/>
                <w:szCs w:val="21"/>
              </w:rPr>
            </w:pPr>
            <w:r>
              <w:rPr>
                <w:rFonts w:hint="eastAsia"/>
                <w:sz w:val="21"/>
                <w:szCs w:val="21"/>
              </w:rPr>
              <w:t>500万元-1000万元</w:t>
            </w:r>
          </w:p>
        </w:tc>
        <w:tc>
          <w:tcPr>
            <w:tcW w:w="3495" w:type="dxa"/>
            <w:noWrap w:val="0"/>
            <w:vAlign w:val="top"/>
          </w:tcPr>
          <w:p w14:paraId="50BBD50C">
            <w:pPr>
              <w:widowControl w:val="0"/>
              <w:spacing w:line="460" w:lineRule="exact"/>
              <w:jc w:val="both"/>
              <w:rPr>
                <w:sz w:val="21"/>
                <w:szCs w:val="21"/>
              </w:rPr>
            </w:pPr>
            <w:r>
              <w:rPr>
                <w:rFonts w:hint="eastAsia"/>
                <w:sz w:val="21"/>
                <w:szCs w:val="21"/>
              </w:rPr>
              <w:t>10-15个工作日内</w:t>
            </w:r>
          </w:p>
        </w:tc>
      </w:tr>
      <w:tr w14:paraId="6278C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76" w:type="dxa"/>
            <w:gridSpan w:val="3"/>
            <w:noWrap w:val="0"/>
            <w:vAlign w:val="top"/>
          </w:tcPr>
          <w:p w14:paraId="01CA5832">
            <w:pPr>
              <w:widowControl w:val="0"/>
              <w:spacing w:line="460" w:lineRule="exact"/>
              <w:ind w:firstLine="420" w:firstLineChars="200"/>
              <w:jc w:val="both"/>
              <w:rPr>
                <w:rFonts w:hint="eastAsia"/>
                <w:sz w:val="21"/>
                <w:szCs w:val="21"/>
              </w:rPr>
            </w:pPr>
            <w:r>
              <w:rPr>
                <w:rFonts w:hint="eastAsia"/>
                <w:sz w:val="21"/>
                <w:szCs w:val="21"/>
              </w:rPr>
              <w:t>乙方收到无疑问的电子版图纸或参数起算，24小时内查看项目现场，后续24内书面反馈图纸或参数答疑</w:t>
            </w:r>
            <w:r>
              <w:rPr>
                <w:rFonts w:hint="eastAsia"/>
                <w:szCs w:val="21"/>
              </w:rPr>
              <w:t>，答疑须1-2次全部提出</w:t>
            </w:r>
            <w:r>
              <w:rPr>
                <w:rFonts w:hint="eastAsia"/>
                <w:sz w:val="21"/>
                <w:szCs w:val="21"/>
              </w:rPr>
              <w:t>。因乙方单方面原因延迟提交成果文件三次及以上的，甲方直接单方面终止合同。</w:t>
            </w:r>
          </w:p>
          <w:p w14:paraId="657D265D">
            <w:pPr>
              <w:widowControl w:val="0"/>
              <w:spacing w:line="460" w:lineRule="exact"/>
              <w:ind w:firstLine="420" w:firstLineChars="200"/>
              <w:jc w:val="both"/>
              <w:rPr>
                <w:sz w:val="21"/>
                <w:szCs w:val="21"/>
              </w:rPr>
            </w:pPr>
            <w:r>
              <w:rPr>
                <w:rFonts w:hint="eastAsia"/>
                <w:sz w:val="21"/>
                <w:szCs w:val="21"/>
              </w:rPr>
              <w:t>以乙方提交的成果文件为基准，经甲方复核后，误差率超过国家许可的</w:t>
            </w:r>
            <w:r>
              <w:rPr>
                <w:sz w:val="21"/>
                <w:szCs w:val="21"/>
              </w:rPr>
              <w:t xml:space="preserve"> 3%及以上的，甲方有权直接扣除咨询费的 1%作为违约金，超过三个项目的，甲方有权单方面终止合同。</w:t>
            </w:r>
          </w:p>
          <w:p w14:paraId="4BC90244">
            <w:pPr>
              <w:widowControl w:val="0"/>
              <w:spacing w:line="460" w:lineRule="exact"/>
              <w:ind w:firstLine="420" w:firstLineChars="200"/>
              <w:jc w:val="both"/>
              <w:rPr>
                <w:sz w:val="21"/>
                <w:szCs w:val="21"/>
              </w:rPr>
            </w:pPr>
            <w:r>
              <w:rPr>
                <w:rFonts w:hint="eastAsia"/>
                <w:sz w:val="21"/>
                <w:szCs w:val="21"/>
              </w:rPr>
              <w:t>如对甲方造成经济损失的，甲方按实际经济损失乘30%计算直接从合同款中扣除，不设上限，且不足部分甲方将保留追偿权并单方面终止合同。</w:t>
            </w:r>
          </w:p>
        </w:tc>
      </w:tr>
    </w:tbl>
    <w:p w14:paraId="3EDB1B02">
      <w:pPr>
        <w:widowControl w:val="0"/>
        <w:spacing w:line="460" w:lineRule="exact"/>
        <w:ind w:firstLine="420" w:firstLineChars="200"/>
        <w:rPr>
          <w:rFonts w:hint="eastAsia"/>
          <w:sz w:val="21"/>
          <w:szCs w:val="21"/>
        </w:rPr>
      </w:pPr>
      <w:r>
        <w:rPr>
          <w:rFonts w:hint="eastAsia"/>
          <w:sz w:val="21"/>
          <w:szCs w:val="21"/>
        </w:rPr>
        <w:t>1.4、工程竣工结算审计：</w:t>
      </w:r>
    </w:p>
    <w:tbl>
      <w:tblPr>
        <w:tblStyle w:val="32"/>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1"/>
        <w:gridCol w:w="2350"/>
        <w:gridCol w:w="5417"/>
      </w:tblGrid>
      <w:tr w14:paraId="6DB9C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1" w:type="dxa"/>
            <w:noWrap w:val="0"/>
            <w:vAlign w:val="center"/>
          </w:tcPr>
          <w:p w14:paraId="00CB84B8">
            <w:pPr>
              <w:widowControl w:val="0"/>
              <w:spacing w:line="460" w:lineRule="exact"/>
              <w:jc w:val="both"/>
              <w:rPr>
                <w:rFonts w:hint="eastAsia"/>
                <w:sz w:val="21"/>
                <w:szCs w:val="21"/>
              </w:rPr>
            </w:pPr>
            <w:r>
              <w:rPr>
                <w:rFonts w:hint="eastAsia"/>
                <w:sz w:val="21"/>
                <w:szCs w:val="21"/>
              </w:rPr>
              <w:t>序号</w:t>
            </w:r>
          </w:p>
        </w:tc>
        <w:tc>
          <w:tcPr>
            <w:tcW w:w="2360" w:type="dxa"/>
            <w:noWrap w:val="0"/>
            <w:vAlign w:val="center"/>
          </w:tcPr>
          <w:p w14:paraId="712B70FE">
            <w:pPr>
              <w:widowControl w:val="0"/>
              <w:spacing w:line="460" w:lineRule="exact"/>
              <w:jc w:val="both"/>
              <w:rPr>
                <w:rFonts w:hint="eastAsia"/>
                <w:sz w:val="21"/>
                <w:szCs w:val="21"/>
              </w:rPr>
            </w:pPr>
            <w:r>
              <w:rPr>
                <w:rFonts w:hint="eastAsia"/>
                <w:sz w:val="21"/>
                <w:szCs w:val="21"/>
              </w:rPr>
              <w:t>工程竣工结算送审金额</w:t>
            </w:r>
          </w:p>
        </w:tc>
        <w:tc>
          <w:tcPr>
            <w:tcW w:w="5447" w:type="dxa"/>
            <w:noWrap w:val="0"/>
            <w:vAlign w:val="center"/>
          </w:tcPr>
          <w:p w14:paraId="28E5A634">
            <w:pPr>
              <w:widowControl w:val="0"/>
              <w:spacing w:line="460" w:lineRule="exact"/>
              <w:jc w:val="center"/>
              <w:rPr>
                <w:rFonts w:hint="eastAsia"/>
                <w:sz w:val="21"/>
                <w:szCs w:val="21"/>
              </w:rPr>
            </w:pPr>
            <w:r>
              <w:rPr>
                <w:rFonts w:hint="eastAsia"/>
                <w:sz w:val="21"/>
                <w:szCs w:val="21"/>
              </w:rPr>
              <w:t>审计期限</w:t>
            </w:r>
          </w:p>
        </w:tc>
      </w:tr>
      <w:tr w14:paraId="552C6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1" w:type="dxa"/>
            <w:noWrap w:val="0"/>
            <w:vAlign w:val="center"/>
          </w:tcPr>
          <w:p w14:paraId="70D1029F">
            <w:pPr>
              <w:widowControl w:val="0"/>
              <w:spacing w:line="460" w:lineRule="exact"/>
              <w:ind w:firstLine="420" w:firstLineChars="200"/>
              <w:jc w:val="both"/>
              <w:rPr>
                <w:rFonts w:hint="eastAsia"/>
                <w:sz w:val="21"/>
                <w:szCs w:val="21"/>
              </w:rPr>
            </w:pPr>
            <w:r>
              <w:rPr>
                <w:rFonts w:hint="eastAsia"/>
                <w:sz w:val="21"/>
                <w:szCs w:val="21"/>
              </w:rPr>
              <w:t>1</w:t>
            </w:r>
          </w:p>
        </w:tc>
        <w:tc>
          <w:tcPr>
            <w:tcW w:w="2360" w:type="dxa"/>
            <w:noWrap w:val="0"/>
            <w:vAlign w:val="center"/>
          </w:tcPr>
          <w:p w14:paraId="0D8FF5EE">
            <w:pPr>
              <w:widowControl w:val="0"/>
              <w:spacing w:line="460" w:lineRule="exact"/>
              <w:jc w:val="both"/>
              <w:rPr>
                <w:rFonts w:hint="eastAsia"/>
                <w:sz w:val="21"/>
                <w:szCs w:val="21"/>
              </w:rPr>
            </w:pPr>
            <w:r>
              <w:rPr>
                <w:rFonts w:hint="eastAsia"/>
                <w:sz w:val="21"/>
                <w:szCs w:val="21"/>
              </w:rPr>
              <w:t>500万元及以下</w:t>
            </w:r>
          </w:p>
        </w:tc>
        <w:tc>
          <w:tcPr>
            <w:tcW w:w="5447" w:type="dxa"/>
            <w:noWrap w:val="0"/>
            <w:vAlign w:val="center"/>
          </w:tcPr>
          <w:p w14:paraId="622394BE">
            <w:pPr>
              <w:widowControl w:val="0"/>
              <w:spacing w:line="460" w:lineRule="exact"/>
              <w:jc w:val="both"/>
              <w:rPr>
                <w:sz w:val="21"/>
                <w:szCs w:val="21"/>
              </w:rPr>
            </w:pPr>
            <w:r>
              <w:rPr>
                <w:rFonts w:hint="eastAsia"/>
                <w:sz w:val="21"/>
                <w:szCs w:val="21"/>
              </w:rPr>
              <w:t>从接到竣工结算报告和完整的竣工结算资料之日起20天</w:t>
            </w:r>
          </w:p>
        </w:tc>
      </w:tr>
      <w:tr w14:paraId="0E764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761" w:type="dxa"/>
            <w:noWrap w:val="0"/>
            <w:vAlign w:val="center"/>
          </w:tcPr>
          <w:p w14:paraId="6F24A829">
            <w:pPr>
              <w:widowControl w:val="0"/>
              <w:spacing w:line="460" w:lineRule="exact"/>
              <w:ind w:firstLine="420" w:firstLineChars="200"/>
              <w:jc w:val="both"/>
              <w:rPr>
                <w:rFonts w:hint="eastAsia"/>
                <w:sz w:val="21"/>
                <w:szCs w:val="21"/>
              </w:rPr>
            </w:pPr>
            <w:r>
              <w:rPr>
                <w:rFonts w:hint="eastAsia"/>
                <w:sz w:val="21"/>
                <w:szCs w:val="21"/>
              </w:rPr>
              <w:t>2</w:t>
            </w:r>
          </w:p>
        </w:tc>
        <w:tc>
          <w:tcPr>
            <w:tcW w:w="2360" w:type="dxa"/>
            <w:noWrap w:val="0"/>
            <w:vAlign w:val="center"/>
          </w:tcPr>
          <w:p w14:paraId="31B8F376">
            <w:pPr>
              <w:widowControl w:val="0"/>
              <w:spacing w:line="460" w:lineRule="exact"/>
              <w:jc w:val="both"/>
              <w:rPr>
                <w:rFonts w:hint="eastAsia"/>
                <w:sz w:val="21"/>
                <w:szCs w:val="21"/>
              </w:rPr>
            </w:pPr>
            <w:r>
              <w:rPr>
                <w:rFonts w:hint="eastAsia"/>
                <w:sz w:val="21"/>
                <w:szCs w:val="21"/>
              </w:rPr>
              <w:t>500万元－2000万元</w:t>
            </w:r>
          </w:p>
        </w:tc>
        <w:tc>
          <w:tcPr>
            <w:tcW w:w="5447" w:type="dxa"/>
            <w:noWrap w:val="0"/>
            <w:vAlign w:val="center"/>
          </w:tcPr>
          <w:p w14:paraId="69C098AF">
            <w:pPr>
              <w:widowControl w:val="0"/>
              <w:spacing w:line="460" w:lineRule="exact"/>
              <w:jc w:val="both"/>
              <w:rPr>
                <w:rFonts w:hint="eastAsia"/>
                <w:sz w:val="21"/>
                <w:szCs w:val="21"/>
              </w:rPr>
            </w:pPr>
            <w:r>
              <w:rPr>
                <w:rFonts w:hint="eastAsia"/>
                <w:sz w:val="21"/>
                <w:szCs w:val="21"/>
              </w:rPr>
              <w:t>从接到竣工结算报告和完整的竣工结算资料之日起30天</w:t>
            </w:r>
          </w:p>
        </w:tc>
      </w:tr>
      <w:tr w14:paraId="2C522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1" w:type="dxa"/>
            <w:noWrap w:val="0"/>
            <w:vAlign w:val="center"/>
          </w:tcPr>
          <w:p w14:paraId="3A1BBB3A">
            <w:pPr>
              <w:widowControl w:val="0"/>
              <w:spacing w:line="460" w:lineRule="exact"/>
              <w:ind w:firstLine="420" w:firstLineChars="200"/>
              <w:jc w:val="both"/>
              <w:rPr>
                <w:rFonts w:hint="eastAsia"/>
                <w:sz w:val="21"/>
                <w:szCs w:val="21"/>
              </w:rPr>
            </w:pPr>
            <w:r>
              <w:rPr>
                <w:rFonts w:hint="eastAsia"/>
                <w:sz w:val="21"/>
                <w:szCs w:val="21"/>
              </w:rPr>
              <w:t>3</w:t>
            </w:r>
          </w:p>
        </w:tc>
        <w:tc>
          <w:tcPr>
            <w:tcW w:w="2360" w:type="dxa"/>
            <w:noWrap w:val="0"/>
            <w:vAlign w:val="center"/>
          </w:tcPr>
          <w:p w14:paraId="2CF33146">
            <w:pPr>
              <w:widowControl w:val="0"/>
              <w:spacing w:line="460" w:lineRule="exact"/>
              <w:jc w:val="both"/>
              <w:rPr>
                <w:rFonts w:hint="eastAsia"/>
                <w:sz w:val="21"/>
                <w:szCs w:val="21"/>
              </w:rPr>
            </w:pPr>
            <w:r>
              <w:rPr>
                <w:rFonts w:hint="eastAsia"/>
                <w:sz w:val="21"/>
                <w:szCs w:val="21"/>
              </w:rPr>
              <w:t>2000万元－5000万元</w:t>
            </w:r>
          </w:p>
        </w:tc>
        <w:tc>
          <w:tcPr>
            <w:tcW w:w="5447" w:type="dxa"/>
            <w:noWrap w:val="0"/>
            <w:vAlign w:val="center"/>
          </w:tcPr>
          <w:p w14:paraId="3F87B6E0">
            <w:pPr>
              <w:widowControl w:val="0"/>
              <w:spacing w:line="460" w:lineRule="exact"/>
              <w:jc w:val="both"/>
              <w:rPr>
                <w:rFonts w:hint="eastAsia"/>
                <w:sz w:val="21"/>
                <w:szCs w:val="21"/>
              </w:rPr>
            </w:pPr>
            <w:r>
              <w:rPr>
                <w:rFonts w:hint="eastAsia"/>
                <w:sz w:val="21"/>
                <w:szCs w:val="21"/>
              </w:rPr>
              <w:t>从接到竣工结算报告和完整的竣工结算资料之日起45天</w:t>
            </w:r>
          </w:p>
        </w:tc>
      </w:tr>
      <w:tr w14:paraId="0632C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1" w:type="dxa"/>
            <w:noWrap w:val="0"/>
            <w:vAlign w:val="center"/>
          </w:tcPr>
          <w:p w14:paraId="5A9ECEE3">
            <w:pPr>
              <w:widowControl w:val="0"/>
              <w:spacing w:line="460" w:lineRule="exact"/>
              <w:ind w:firstLine="420" w:firstLineChars="200"/>
              <w:jc w:val="both"/>
              <w:rPr>
                <w:rFonts w:hint="eastAsia"/>
                <w:sz w:val="21"/>
                <w:szCs w:val="21"/>
              </w:rPr>
            </w:pPr>
            <w:r>
              <w:rPr>
                <w:rFonts w:hint="eastAsia"/>
                <w:sz w:val="21"/>
                <w:szCs w:val="21"/>
              </w:rPr>
              <w:t>4</w:t>
            </w:r>
          </w:p>
        </w:tc>
        <w:tc>
          <w:tcPr>
            <w:tcW w:w="2360" w:type="dxa"/>
            <w:noWrap w:val="0"/>
            <w:vAlign w:val="center"/>
          </w:tcPr>
          <w:p w14:paraId="1AC3D9F4">
            <w:pPr>
              <w:widowControl w:val="0"/>
              <w:spacing w:line="460" w:lineRule="exact"/>
              <w:jc w:val="both"/>
              <w:rPr>
                <w:rFonts w:hint="eastAsia"/>
                <w:sz w:val="21"/>
                <w:szCs w:val="21"/>
              </w:rPr>
            </w:pPr>
            <w:r>
              <w:rPr>
                <w:rFonts w:hint="eastAsia"/>
                <w:sz w:val="21"/>
                <w:szCs w:val="21"/>
              </w:rPr>
              <w:t>5000万元以上</w:t>
            </w:r>
          </w:p>
        </w:tc>
        <w:tc>
          <w:tcPr>
            <w:tcW w:w="5447" w:type="dxa"/>
            <w:noWrap w:val="0"/>
            <w:vAlign w:val="center"/>
          </w:tcPr>
          <w:p w14:paraId="7AB0D896">
            <w:pPr>
              <w:widowControl w:val="0"/>
              <w:spacing w:line="460" w:lineRule="exact"/>
              <w:jc w:val="both"/>
              <w:rPr>
                <w:rFonts w:hint="eastAsia"/>
                <w:sz w:val="21"/>
                <w:szCs w:val="21"/>
              </w:rPr>
            </w:pPr>
            <w:r>
              <w:rPr>
                <w:rFonts w:hint="eastAsia"/>
                <w:sz w:val="21"/>
                <w:szCs w:val="21"/>
              </w:rPr>
              <w:t>从接到竣工结算报告和完整的竣工结算资料之日起60天</w:t>
            </w:r>
          </w:p>
        </w:tc>
      </w:tr>
      <w:tr w14:paraId="2C3C5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68" w:type="dxa"/>
            <w:gridSpan w:val="3"/>
            <w:noWrap w:val="0"/>
            <w:vAlign w:val="center"/>
          </w:tcPr>
          <w:p w14:paraId="243A9862">
            <w:pPr>
              <w:widowControl w:val="0"/>
              <w:spacing w:line="460" w:lineRule="exact"/>
              <w:ind w:firstLine="420" w:firstLineChars="200"/>
              <w:jc w:val="both"/>
              <w:rPr>
                <w:rFonts w:hint="eastAsia"/>
                <w:sz w:val="21"/>
                <w:szCs w:val="21"/>
              </w:rPr>
            </w:pPr>
            <w:r>
              <w:rPr>
                <w:rFonts w:hint="eastAsia"/>
                <w:sz w:val="21"/>
                <w:szCs w:val="21"/>
              </w:rPr>
              <w:t>期限内未按时完成，也未及时书面反馈的，每延迟一天，罚金500元，甲方有权从造价咨询费中直接扣除，不足部分甲方保留追偿权。如不能按期完成审核，委托人将直接委托其他咨询人进行审核。原项目剩余的全过程咨询服务费将不予支付。</w:t>
            </w:r>
          </w:p>
          <w:p w14:paraId="6DCD3BCE">
            <w:pPr>
              <w:widowControl w:val="0"/>
              <w:spacing w:line="460" w:lineRule="exact"/>
              <w:ind w:firstLine="420" w:firstLineChars="200"/>
              <w:jc w:val="both"/>
              <w:rPr>
                <w:rFonts w:hint="eastAsia"/>
                <w:sz w:val="21"/>
                <w:szCs w:val="21"/>
              </w:rPr>
            </w:pPr>
            <w:r>
              <w:rPr>
                <w:rFonts w:hint="eastAsia"/>
                <w:sz w:val="21"/>
                <w:szCs w:val="21"/>
              </w:rPr>
              <w:t>如将甲方移交的相关结算资料遗失的，由乙方自行补齐，给甲方造成影响的，甲方暂停支付乙方造价咨询费并终止合作。</w:t>
            </w:r>
          </w:p>
          <w:p w14:paraId="2B45CE6A">
            <w:pPr>
              <w:widowControl w:val="0"/>
              <w:spacing w:line="460" w:lineRule="exact"/>
              <w:ind w:firstLine="420" w:firstLineChars="200"/>
              <w:jc w:val="both"/>
              <w:rPr>
                <w:sz w:val="21"/>
                <w:szCs w:val="21"/>
              </w:rPr>
            </w:pPr>
            <w:r>
              <w:rPr>
                <w:rFonts w:hint="eastAsia"/>
                <w:sz w:val="21"/>
                <w:szCs w:val="21"/>
              </w:rPr>
              <w:t>以乙方提交的成果文件为基准，经甲方复核后，误差率超过国家许可的</w:t>
            </w:r>
            <w:r>
              <w:rPr>
                <w:sz w:val="21"/>
                <w:szCs w:val="21"/>
              </w:rPr>
              <w:t xml:space="preserve"> 3%及以上的，甲方有权直接扣除咨询费的 1%作为违约金，超过三个项目的，甲方有权单方面终止合同。</w:t>
            </w:r>
          </w:p>
          <w:p w14:paraId="61E85CBD">
            <w:pPr>
              <w:widowControl w:val="0"/>
              <w:spacing w:line="460" w:lineRule="exact"/>
              <w:ind w:firstLine="420" w:firstLineChars="200"/>
              <w:jc w:val="both"/>
              <w:rPr>
                <w:rFonts w:hint="eastAsia"/>
                <w:sz w:val="21"/>
                <w:szCs w:val="21"/>
              </w:rPr>
            </w:pPr>
            <w:r>
              <w:rPr>
                <w:rFonts w:hint="eastAsia"/>
                <w:sz w:val="21"/>
                <w:szCs w:val="21"/>
              </w:rPr>
              <w:t>如对甲方造成经济损失的，甲方按实际经济损失乘30%计算直接从合同款中扣除，不设上限，且不足部分甲方将保留追偿权并单方面终止合同。</w:t>
            </w:r>
          </w:p>
        </w:tc>
      </w:tr>
    </w:tbl>
    <w:p w14:paraId="57BD84AB">
      <w:pPr>
        <w:widowControl w:val="0"/>
        <w:spacing w:line="460" w:lineRule="exact"/>
        <w:ind w:firstLine="420" w:firstLineChars="200"/>
        <w:rPr>
          <w:rFonts w:hint="eastAsia"/>
          <w:sz w:val="21"/>
          <w:szCs w:val="21"/>
        </w:rPr>
      </w:pPr>
      <w:r>
        <w:rPr>
          <w:rFonts w:hint="eastAsia"/>
          <w:sz w:val="21"/>
          <w:szCs w:val="21"/>
        </w:rPr>
        <w:t>1.5、为委托人服务的整个服务期内，咨询人任何人员不应擅自与施工单位接触，不得以任何原因透露本工程相关信息，否则，委托人有权要求咨询人承担10000-20000元/次的违约金，同时委托人有权解除造价咨询合同。；</w:t>
      </w:r>
    </w:p>
    <w:p w14:paraId="54EBC341">
      <w:pPr>
        <w:pStyle w:val="29"/>
        <w:spacing w:before="0" w:beforeAutospacing="0" w:after="0" w:afterAutospacing="0" w:line="360" w:lineRule="auto"/>
        <w:ind w:firstLine="420" w:firstLineChars="200"/>
        <w:rPr>
          <w:rFonts w:hint="eastAsia"/>
          <w:sz w:val="21"/>
          <w:szCs w:val="21"/>
        </w:rPr>
      </w:pPr>
      <w:r>
        <w:rPr>
          <w:rFonts w:hint="eastAsia"/>
          <w:sz w:val="21"/>
          <w:szCs w:val="21"/>
        </w:rPr>
        <w:t>1.6、乙方审计人员所有项目资料及信息的收发，事务处理必须通过甲方负责部门（审计科）。违反该约定的，乙方应按照甲方要求更换审计人员，乙方拒不更换的，甲方有权解除合同并不支付未支付的酬金；</w:t>
      </w:r>
    </w:p>
    <w:p w14:paraId="249684B4">
      <w:pPr>
        <w:pStyle w:val="29"/>
        <w:spacing w:before="0" w:beforeAutospacing="0" w:after="0" w:afterAutospacing="0" w:line="360" w:lineRule="auto"/>
        <w:ind w:firstLine="420" w:firstLineChars="200"/>
        <w:rPr>
          <w:rFonts w:hint="eastAsia"/>
          <w:sz w:val="21"/>
          <w:szCs w:val="21"/>
        </w:rPr>
      </w:pPr>
      <w:r>
        <w:rPr>
          <w:rFonts w:hint="eastAsia"/>
          <w:sz w:val="21"/>
          <w:szCs w:val="21"/>
        </w:rPr>
        <w:t>2、乙方审计人员须遵守国家、政府的有关法律、法规、政策和公司的规章制度，自觉遵循造价工作者的职业道德，保证审计人员遵守“客观、公正、科学、可靠”的造价咨询原则，实事求是，不隐瞒真相，不说假话，客观公正的处理问题；</w:t>
      </w:r>
    </w:p>
    <w:p w14:paraId="1734D30D">
      <w:pPr>
        <w:pStyle w:val="29"/>
        <w:spacing w:before="0" w:beforeAutospacing="0" w:after="0" w:afterAutospacing="0" w:line="360" w:lineRule="auto"/>
        <w:ind w:firstLine="420" w:firstLineChars="200"/>
        <w:rPr>
          <w:rFonts w:hint="eastAsia"/>
          <w:sz w:val="21"/>
          <w:szCs w:val="21"/>
        </w:rPr>
      </w:pPr>
      <w:r>
        <w:rPr>
          <w:rFonts w:hint="eastAsia"/>
          <w:sz w:val="21"/>
          <w:szCs w:val="21"/>
        </w:rPr>
        <w:t>3、乙方审计人员不得接受被审计单位及关联方任何形式的礼品，不得参加宴请以及其他娱乐活动，不得接受任何有损独立和公正判断的酬谢；</w:t>
      </w:r>
    </w:p>
    <w:p w14:paraId="7FE6CF40">
      <w:pPr>
        <w:pStyle w:val="44"/>
        <w:spacing w:line="360" w:lineRule="auto"/>
        <w:jc w:val="left"/>
        <w:rPr>
          <w:rFonts w:hint="eastAsia" w:ascii="宋体" w:hAnsi="宋体" w:cs="宋体"/>
          <w:kern w:val="0"/>
          <w:szCs w:val="21"/>
          <w:lang w:val="zh-CN"/>
        </w:rPr>
      </w:pPr>
      <w:r>
        <w:rPr>
          <w:rFonts w:hint="eastAsia" w:ascii="宋体" w:hAnsi="宋体" w:cs="宋体"/>
          <w:szCs w:val="21"/>
        </w:rPr>
        <w:t>4、</w:t>
      </w:r>
      <w:r>
        <w:rPr>
          <w:rFonts w:hint="eastAsia" w:ascii="宋体" w:hAnsi="宋体" w:cs="宋体"/>
          <w:szCs w:val="21"/>
          <w:lang w:val="zh-CN"/>
        </w:rPr>
        <w:t>除委托人主动要求外，本合同咨询人在合同文件中所承诺的项目负责人在合同履行期间不得更换，也不得在本项目以外的项目任职。其他专业人员也必须按照咨询人在投标文件中所承诺的人员名单到位。如项目负责人</w:t>
      </w:r>
      <w:r>
        <w:rPr>
          <w:rFonts w:hint="eastAsia" w:ascii="宋体" w:hAnsi="宋体" w:cs="宋体"/>
          <w:kern w:val="0"/>
          <w:szCs w:val="21"/>
          <w:lang w:val="zh-CN"/>
        </w:rPr>
        <w:t>在履行合同的过程中发生更换，或者委托人发现本咨询项目负责人在其他项目任职，则视为严重违约，咨询人将支付委托人</w:t>
      </w:r>
      <w:r>
        <w:rPr>
          <w:rFonts w:hint="eastAsia" w:ascii="宋体" w:hAnsi="宋体" w:cs="宋体"/>
          <w:kern w:val="0"/>
          <w:szCs w:val="21"/>
        </w:rPr>
        <w:t>100000</w:t>
      </w:r>
      <w:r>
        <w:rPr>
          <w:rFonts w:hint="eastAsia" w:ascii="宋体" w:hAnsi="宋体" w:cs="宋体"/>
          <w:kern w:val="0"/>
          <w:szCs w:val="21"/>
          <w:lang w:val="zh-CN"/>
        </w:rPr>
        <w:t>元人民币的违约金，变动其他主要人员的，咨询人应向委托人支付违约金人民币</w:t>
      </w:r>
      <w:r>
        <w:rPr>
          <w:rFonts w:hint="eastAsia" w:ascii="宋体" w:hAnsi="宋体" w:cs="宋体"/>
          <w:kern w:val="0"/>
          <w:szCs w:val="21"/>
        </w:rPr>
        <w:t>10000</w:t>
      </w:r>
      <w:r>
        <w:rPr>
          <w:rFonts w:hint="eastAsia" w:ascii="宋体" w:hAnsi="宋体" w:cs="宋体"/>
          <w:kern w:val="0"/>
          <w:szCs w:val="21"/>
          <w:lang w:val="zh-CN"/>
        </w:rPr>
        <w:t>元/人次；如委托人通知咨询项目负责人在要求的时间内到场参加会议或主持工作而无故不到场者，每发生一次，咨询人向委托人支付违约金</w:t>
      </w:r>
      <w:r>
        <w:rPr>
          <w:rFonts w:hint="eastAsia" w:ascii="宋体" w:hAnsi="宋体" w:cs="宋体"/>
          <w:kern w:val="0"/>
          <w:szCs w:val="21"/>
        </w:rPr>
        <w:t>2</w:t>
      </w:r>
      <w:r>
        <w:rPr>
          <w:rFonts w:hint="eastAsia" w:ascii="宋体" w:hAnsi="宋体" w:cs="宋体"/>
          <w:kern w:val="0"/>
          <w:szCs w:val="21"/>
          <w:lang w:val="zh-CN"/>
        </w:rPr>
        <w:t>000元/次，因特殊情况并取得委托人同意的情况下除外；其他专业人员如发生更换也必须取得委托人的同意且人员水平不能低于代替人员的水平，并保证上述人员的调动不影响咨询服务的连续性。</w:t>
      </w:r>
    </w:p>
    <w:p w14:paraId="1B470E6C">
      <w:pPr>
        <w:pStyle w:val="44"/>
        <w:spacing w:line="360" w:lineRule="auto"/>
        <w:jc w:val="left"/>
        <w:rPr>
          <w:rFonts w:ascii="Arial" w:hAnsi="宋体" w:cs="Arial"/>
          <w:sz w:val="24"/>
          <w:szCs w:val="21"/>
          <w:lang w:val="zh-CN"/>
        </w:rPr>
      </w:pPr>
      <w:r>
        <w:rPr>
          <w:rFonts w:hint="eastAsia" w:ascii="宋体" w:hAnsi="宋体" w:cs="宋体"/>
          <w:szCs w:val="21"/>
        </w:rPr>
        <w:t>5、乙方如违反以上规定，甲方停止项目的委托以及审计工作，情节严重的，由有关部门依据法律规定进行处理，造成经济损失的应给委托单位相应的经济赔偿。</w:t>
      </w:r>
    </w:p>
    <w:p w14:paraId="69797259">
      <w:pPr>
        <w:pStyle w:val="29"/>
        <w:spacing w:before="0" w:beforeAutospacing="0" w:after="0" w:afterAutospacing="0" w:line="360" w:lineRule="auto"/>
        <w:ind w:firstLine="482" w:firstLineChars="200"/>
        <w:rPr>
          <w:rFonts w:ascii="Arial" w:hAnsi="Arial" w:cs="Arial"/>
          <w:b/>
          <w:szCs w:val="21"/>
        </w:rPr>
      </w:pPr>
      <w:r>
        <w:rPr>
          <w:rFonts w:ascii="Arial" w:cs="Arial"/>
          <w:b/>
          <w:szCs w:val="21"/>
        </w:rPr>
        <w:t>（三）项目部人员安排</w:t>
      </w:r>
      <w:r>
        <w:rPr>
          <w:rFonts w:ascii="Arial" w:hAnsi="Arial" w:cs="Arial"/>
          <w:b/>
          <w:szCs w:val="21"/>
        </w:rPr>
        <w:t xml:space="preserve"> </w:t>
      </w:r>
    </w:p>
    <w:p w14:paraId="3EBC2BF3">
      <w:pPr>
        <w:pStyle w:val="29"/>
        <w:spacing w:before="0" w:beforeAutospacing="0" w:after="0" w:afterAutospacing="0" w:line="360" w:lineRule="auto"/>
        <w:ind w:firstLine="480" w:firstLineChars="200"/>
        <w:rPr>
          <w:rFonts w:ascii="Arial" w:hAnsi="Arial" w:cs="Arial"/>
          <w:szCs w:val="21"/>
        </w:rPr>
      </w:pPr>
      <w:r>
        <w:rPr>
          <w:rFonts w:ascii="Arial" w:cs="Arial"/>
          <w:szCs w:val="21"/>
        </w:rPr>
        <w:t>咨询人必须在投标文件中列明常驻现场造价咨询人员的人数及分工，并且派驻的工作人员必须具备国家规定的相关人员执业资格。咨询人应当组建能够满足项目需要的项目组，具有与招标项目规模和复杂程度相适应的专业技术力量。</w:t>
      </w:r>
    </w:p>
    <w:p w14:paraId="25F87549">
      <w:pPr>
        <w:pStyle w:val="29"/>
        <w:spacing w:before="0" w:beforeAutospacing="0" w:after="0" w:afterAutospacing="0" w:line="360" w:lineRule="auto"/>
        <w:ind w:firstLine="480" w:firstLineChars="200"/>
        <w:rPr>
          <w:rFonts w:ascii="Arial" w:cs="Arial"/>
          <w:szCs w:val="21"/>
        </w:rPr>
      </w:pPr>
      <w:r>
        <w:rPr>
          <w:rFonts w:ascii="Arial" w:cs="Arial"/>
          <w:szCs w:val="21"/>
        </w:rPr>
        <w:t>咨询人拟投入本项目的人员名单见下表（此表应与招标文件第四篇的项目管理机构对应一致）:</w:t>
      </w:r>
    </w:p>
    <w:tbl>
      <w:tblPr>
        <w:tblStyle w:val="32"/>
        <w:tblW w:w="88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8"/>
        <w:gridCol w:w="1237"/>
        <w:gridCol w:w="962"/>
        <w:gridCol w:w="1743"/>
        <w:gridCol w:w="1517"/>
        <w:gridCol w:w="1235"/>
      </w:tblGrid>
      <w:tr w14:paraId="67B8A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 w:hRule="atLeast"/>
          <w:jc w:val="center"/>
        </w:trPr>
        <w:tc>
          <w:tcPr>
            <w:tcW w:w="2128" w:type="dxa"/>
            <w:noWrap w:val="0"/>
            <w:vAlign w:val="center"/>
          </w:tcPr>
          <w:p w14:paraId="5D50B153">
            <w:pPr>
              <w:jc w:val="center"/>
              <w:rPr>
                <w:rFonts w:cs="Arial"/>
                <w:sz w:val="21"/>
                <w:szCs w:val="21"/>
              </w:rPr>
            </w:pPr>
            <w:r>
              <w:rPr>
                <w:rFonts w:cs="Arial"/>
                <w:sz w:val="21"/>
                <w:szCs w:val="21"/>
              </w:rPr>
              <w:t>在本项目中拟任职务</w:t>
            </w:r>
          </w:p>
        </w:tc>
        <w:tc>
          <w:tcPr>
            <w:tcW w:w="1237" w:type="dxa"/>
            <w:noWrap w:val="0"/>
            <w:vAlign w:val="center"/>
          </w:tcPr>
          <w:p w14:paraId="20E4CBCE">
            <w:pPr>
              <w:jc w:val="center"/>
              <w:rPr>
                <w:rFonts w:cs="Arial"/>
                <w:sz w:val="21"/>
                <w:szCs w:val="21"/>
              </w:rPr>
            </w:pPr>
            <w:r>
              <w:rPr>
                <w:rFonts w:cs="Arial"/>
                <w:sz w:val="21"/>
                <w:szCs w:val="21"/>
              </w:rPr>
              <w:t>姓名</w:t>
            </w:r>
          </w:p>
        </w:tc>
        <w:tc>
          <w:tcPr>
            <w:tcW w:w="962" w:type="dxa"/>
            <w:noWrap w:val="0"/>
            <w:vAlign w:val="center"/>
          </w:tcPr>
          <w:p w14:paraId="038CE63B">
            <w:pPr>
              <w:jc w:val="center"/>
              <w:rPr>
                <w:rFonts w:cs="Arial"/>
                <w:sz w:val="21"/>
                <w:szCs w:val="21"/>
              </w:rPr>
            </w:pPr>
            <w:r>
              <w:rPr>
                <w:rFonts w:cs="Arial"/>
                <w:sz w:val="21"/>
                <w:szCs w:val="21"/>
              </w:rPr>
              <w:t>年龄</w:t>
            </w:r>
          </w:p>
        </w:tc>
        <w:tc>
          <w:tcPr>
            <w:tcW w:w="1743" w:type="dxa"/>
            <w:noWrap w:val="0"/>
            <w:vAlign w:val="center"/>
          </w:tcPr>
          <w:p w14:paraId="18C81A67">
            <w:pPr>
              <w:jc w:val="center"/>
              <w:rPr>
                <w:rFonts w:cs="Arial"/>
                <w:sz w:val="21"/>
                <w:szCs w:val="21"/>
              </w:rPr>
            </w:pPr>
            <w:r>
              <w:rPr>
                <w:rFonts w:cs="Arial"/>
                <w:sz w:val="21"/>
                <w:szCs w:val="21"/>
              </w:rPr>
              <w:t>执照资格</w:t>
            </w:r>
          </w:p>
        </w:tc>
        <w:tc>
          <w:tcPr>
            <w:tcW w:w="1517" w:type="dxa"/>
            <w:noWrap w:val="0"/>
            <w:vAlign w:val="center"/>
          </w:tcPr>
          <w:p w14:paraId="663FEB48">
            <w:pPr>
              <w:jc w:val="center"/>
              <w:rPr>
                <w:rFonts w:cs="Arial"/>
                <w:sz w:val="21"/>
                <w:szCs w:val="21"/>
              </w:rPr>
            </w:pPr>
            <w:r>
              <w:rPr>
                <w:rFonts w:cs="Arial"/>
                <w:sz w:val="21"/>
                <w:szCs w:val="21"/>
              </w:rPr>
              <w:t>是否驻现场</w:t>
            </w:r>
          </w:p>
        </w:tc>
        <w:tc>
          <w:tcPr>
            <w:tcW w:w="1235" w:type="dxa"/>
            <w:noWrap w:val="0"/>
            <w:vAlign w:val="center"/>
          </w:tcPr>
          <w:p w14:paraId="2288639E">
            <w:pPr>
              <w:jc w:val="center"/>
              <w:rPr>
                <w:rFonts w:cs="Arial"/>
                <w:sz w:val="21"/>
                <w:szCs w:val="21"/>
              </w:rPr>
            </w:pPr>
            <w:r>
              <w:rPr>
                <w:rFonts w:cs="Arial"/>
                <w:sz w:val="21"/>
                <w:szCs w:val="21"/>
              </w:rPr>
              <w:t>专业</w:t>
            </w:r>
          </w:p>
        </w:tc>
      </w:tr>
      <w:tr w14:paraId="06C6E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28" w:type="dxa"/>
            <w:noWrap w:val="0"/>
            <w:vAlign w:val="center"/>
          </w:tcPr>
          <w:p w14:paraId="756994BF">
            <w:pPr>
              <w:jc w:val="center"/>
              <w:rPr>
                <w:rFonts w:cs="Arial"/>
                <w:sz w:val="21"/>
                <w:szCs w:val="21"/>
              </w:rPr>
            </w:pPr>
          </w:p>
        </w:tc>
        <w:tc>
          <w:tcPr>
            <w:tcW w:w="1237" w:type="dxa"/>
            <w:noWrap w:val="0"/>
            <w:vAlign w:val="center"/>
          </w:tcPr>
          <w:p w14:paraId="3BC35B10">
            <w:pPr>
              <w:jc w:val="center"/>
              <w:rPr>
                <w:rFonts w:hint="eastAsia" w:cs="Arial"/>
                <w:sz w:val="21"/>
                <w:szCs w:val="21"/>
              </w:rPr>
            </w:pPr>
          </w:p>
        </w:tc>
        <w:tc>
          <w:tcPr>
            <w:tcW w:w="962" w:type="dxa"/>
            <w:noWrap w:val="0"/>
            <w:vAlign w:val="center"/>
          </w:tcPr>
          <w:p w14:paraId="0275821D">
            <w:pPr>
              <w:jc w:val="center"/>
              <w:rPr>
                <w:rFonts w:cs="Arial"/>
                <w:sz w:val="21"/>
                <w:szCs w:val="21"/>
              </w:rPr>
            </w:pPr>
          </w:p>
        </w:tc>
        <w:tc>
          <w:tcPr>
            <w:tcW w:w="1743" w:type="dxa"/>
            <w:noWrap w:val="0"/>
            <w:vAlign w:val="center"/>
          </w:tcPr>
          <w:p w14:paraId="515CFBFD">
            <w:pPr>
              <w:jc w:val="center"/>
              <w:rPr>
                <w:rFonts w:hint="eastAsia" w:cs="Arial"/>
                <w:sz w:val="21"/>
                <w:szCs w:val="21"/>
              </w:rPr>
            </w:pPr>
          </w:p>
        </w:tc>
        <w:tc>
          <w:tcPr>
            <w:tcW w:w="1517" w:type="dxa"/>
            <w:noWrap w:val="0"/>
            <w:vAlign w:val="center"/>
          </w:tcPr>
          <w:p w14:paraId="01B440B9">
            <w:pPr>
              <w:jc w:val="center"/>
              <w:rPr>
                <w:rFonts w:cs="Arial"/>
                <w:sz w:val="21"/>
                <w:szCs w:val="21"/>
              </w:rPr>
            </w:pPr>
          </w:p>
        </w:tc>
        <w:tc>
          <w:tcPr>
            <w:tcW w:w="1235" w:type="dxa"/>
            <w:noWrap w:val="0"/>
            <w:vAlign w:val="center"/>
          </w:tcPr>
          <w:p w14:paraId="301341EA">
            <w:pPr>
              <w:jc w:val="center"/>
              <w:rPr>
                <w:rFonts w:hint="eastAsia" w:cs="Arial"/>
                <w:sz w:val="21"/>
                <w:szCs w:val="21"/>
              </w:rPr>
            </w:pPr>
          </w:p>
        </w:tc>
      </w:tr>
      <w:tr w14:paraId="47827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28" w:type="dxa"/>
            <w:noWrap w:val="0"/>
            <w:vAlign w:val="center"/>
          </w:tcPr>
          <w:p w14:paraId="1E7004F2">
            <w:pPr>
              <w:jc w:val="center"/>
              <w:rPr>
                <w:rFonts w:hint="eastAsia" w:cs="Arial"/>
                <w:sz w:val="21"/>
                <w:szCs w:val="21"/>
              </w:rPr>
            </w:pPr>
          </w:p>
        </w:tc>
        <w:tc>
          <w:tcPr>
            <w:tcW w:w="1237" w:type="dxa"/>
            <w:noWrap w:val="0"/>
            <w:vAlign w:val="center"/>
          </w:tcPr>
          <w:p w14:paraId="5183E222">
            <w:pPr>
              <w:jc w:val="center"/>
              <w:rPr>
                <w:rFonts w:cs="Arial"/>
                <w:sz w:val="21"/>
                <w:szCs w:val="21"/>
              </w:rPr>
            </w:pPr>
          </w:p>
        </w:tc>
        <w:tc>
          <w:tcPr>
            <w:tcW w:w="962" w:type="dxa"/>
            <w:noWrap w:val="0"/>
            <w:vAlign w:val="center"/>
          </w:tcPr>
          <w:p w14:paraId="24FC577F">
            <w:pPr>
              <w:jc w:val="center"/>
              <w:rPr>
                <w:rFonts w:cs="Arial"/>
                <w:sz w:val="21"/>
                <w:szCs w:val="21"/>
              </w:rPr>
            </w:pPr>
          </w:p>
        </w:tc>
        <w:tc>
          <w:tcPr>
            <w:tcW w:w="1743" w:type="dxa"/>
            <w:noWrap w:val="0"/>
            <w:vAlign w:val="center"/>
          </w:tcPr>
          <w:p w14:paraId="55A13273">
            <w:pPr>
              <w:jc w:val="center"/>
              <w:rPr>
                <w:rFonts w:cs="Arial"/>
                <w:sz w:val="21"/>
                <w:szCs w:val="21"/>
              </w:rPr>
            </w:pPr>
          </w:p>
        </w:tc>
        <w:tc>
          <w:tcPr>
            <w:tcW w:w="1517" w:type="dxa"/>
            <w:noWrap w:val="0"/>
            <w:vAlign w:val="center"/>
          </w:tcPr>
          <w:p w14:paraId="4FFF4FDD">
            <w:pPr>
              <w:jc w:val="center"/>
              <w:rPr>
                <w:rFonts w:cs="Arial"/>
                <w:sz w:val="21"/>
                <w:szCs w:val="21"/>
              </w:rPr>
            </w:pPr>
          </w:p>
        </w:tc>
        <w:tc>
          <w:tcPr>
            <w:tcW w:w="1235" w:type="dxa"/>
            <w:noWrap w:val="0"/>
            <w:vAlign w:val="center"/>
          </w:tcPr>
          <w:p w14:paraId="78B5E35E">
            <w:pPr>
              <w:jc w:val="center"/>
              <w:rPr>
                <w:rFonts w:cs="Arial"/>
                <w:sz w:val="21"/>
                <w:szCs w:val="21"/>
              </w:rPr>
            </w:pPr>
          </w:p>
        </w:tc>
      </w:tr>
      <w:tr w14:paraId="1CD5C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28" w:type="dxa"/>
            <w:noWrap w:val="0"/>
            <w:vAlign w:val="center"/>
          </w:tcPr>
          <w:p w14:paraId="15A96B5E">
            <w:pPr>
              <w:jc w:val="center"/>
              <w:rPr>
                <w:rFonts w:hint="eastAsia" w:cs="Arial"/>
                <w:sz w:val="21"/>
                <w:szCs w:val="21"/>
              </w:rPr>
            </w:pPr>
          </w:p>
        </w:tc>
        <w:tc>
          <w:tcPr>
            <w:tcW w:w="1237" w:type="dxa"/>
            <w:noWrap w:val="0"/>
            <w:vAlign w:val="center"/>
          </w:tcPr>
          <w:p w14:paraId="17A2352E">
            <w:pPr>
              <w:jc w:val="center"/>
              <w:rPr>
                <w:rFonts w:cs="Arial"/>
                <w:sz w:val="21"/>
                <w:szCs w:val="21"/>
              </w:rPr>
            </w:pPr>
          </w:p>
        </w:tc>
        <w:tc>
          <w:tcPr>
            <w:tcW w:w="962" w:type="dxa"/>
            <w:noWrap w:val="0"/>
            <w:vAlign w:val="center"/>
          </w:tcPr>
          <w:p w14:paraId="6A58FCA0">
            <w:pPr>
              <w:jc w:val="center"/>
              <w:rPr>
                <w:rFonts w:cs="Arial"/>
                <w:sz w:val="21"/>
                <w:szCs w:val="21"/>
              </w:rPr>
            </w:pPr>
          </w:p>
        </w:tc>
        <w:tc>
          <w:tcPr>
            <w:tcW w:w="1743" w:type="dxa"/>
            <w:noWrap w:val="0"/>
            <w:vAlign w:val="center"/>
          </w:tcPr>
          <w:p w14:paraId="6DC3073B">
            <w:pPr>
              <w:jc w:val="center"/>
              <w:rPr>
                <w:rFonts w:cs="Arial"/>
                <w:sz w:val="21"/>
                <w:szCs w:val="21"/>
              </w:rPr>
            </w:pPr>
          </w:p>
        </w:tc>
        <w:tc>
          <w:tcPr>
            <w:tcW w:w="1517" w:type="dxa"/>
            <w:noWrap w:val="0"/>
            <w:vAlign w:val="center"/>
          </w:tcPr>
          <w:p w14:paraId="466A2AC3">
            <w:pPr>
              <w:jc w:val="center"/>
              <w:rPr>
                <w:rFonts w:cs="Arial"/>
                <w:sz w:val="21"/>
                <w:szCs w:val="21"/>
              </w:rPr>
            </w:pPr>
          </w:p>
        </w:tc>
        <w:tc>
          <w:tcPr>
            <w:tcW w:w="1235" w:type="dxa"/>
            <w:noWrap w:val="0"/>
            <w:vAlign w:val="center"/>
          </w:tcPr>
          <w:p w14:paraId="500D5C3F">
            <w:pPr>
              <w:jc w:val="center"/>
              <w:rPr>
                <w:rFonts w:hint="eastAsia" w:cs="Arial"/>
                <w:sz w:val="21"/>
                <w:szCs w:val="21"/>
              </w:rPr>
            </w:pPr>
          </w:p>
        </w:tc>
      </w:tr>
      <w:tr w14:paraId="4403B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28" w:type="dxa"/>
            <w:noWrap w:val="0"/>
            <w:vAlign w:val="center"/>
          </w:tcPr>
          <w:p w14:paraId="23781CA3">
            <w:pPr>
              <w:jc w:val="center"/>
              <w:rPr>
                <w:rFonts w:cs="Arial"/>
                <w:sz w:val="21"/>
                <w:szCs w:val="21"/>
              </w:rPr>
            </w:pPr>
          </w:p>
        </w:tc>
        <w:tc>
          <w:tcPr>
            <w:tcW w:w="1237" w:type="dxa"/>
            <w:noWrap w:val="0"/>
            <w:vAlign w:val="center"/>
          </w:tcPr>
          <w:p w14:paraId="4EAA73A9">
            <w:pPr>
              <w:jc w:val="center"/>
              <w:rPr>
                <w:rFonts w:cs="Arial"/>
                <w:sz w:val="21"/>
                <w:szCs w:val="21"/>
              </w:rPr>
            </w:pPr>
          </w:p>
        </w:tc>
        <w:tc>
          <w:tcPr>
            <w:tcW w:w="962" w:type="dxa"/>
            <w:noWrap w:val="0"/>
            <w:vAlign w:val="center"/>
          </w:tcPr>
          <w:p w14:paraId="09BDD625">
            <w:pPr>
              <w:jc w:val="center"/>
              <w:rPr>
                <w:rFonts w:cs="Arial"/>
                <w:sz w:val="21"/>
                <w:szCs w:val="21"/>
              </w:rPr>
            </w:pPr>
          </w:p>
        </w:tc>
        <w:tc>
          <w:tcPr>
            <w:tcW w:w="1743" w:type="dxa"/>
            <w:noWrap w:val="0"/>
            <w:vAlign w:val="center"/>
          </w:tcPr>
          <w:p w14:paraId="3277B43B">
            <w:pPr>
              <w:jc w:val="center"/>
              <w:rPr>
                <w:rFonts w:cs="Arial"/>
                <w:sz w:val="21"/>
                <w:szCs w:val="21"/>
              </w:rPr>
            </w:pPr>
          </w:p>
        </w:tc>
        <w:tc>
          <w:tcPr>
            <w:tcW w:w="1517" w:type="dxa"/>
            <w:noWrap w:val="0"/>
            <w:vAlign w:val="center"/>
          </w:tcPr>
          <w:p w14:paraId="7BEA870B">
            <w:pPr>
              <w:jc w:val="center"/>
              <w:rPr>
                <w:rFonts w:cs="Arial"/>
                <w:sz w:val="21"/>
                <w:szCs w:val="21"/>
              </w:rPr>
            </w:pPr>
          </w:p>
        </w:tc>
        <w:tc>
          <w:tcPr>
            <w:tcW w:w="1235" w:type="dxa"/>
            <w:noWrap w:val="0"/>
            <w:vAlign w:val="center"/>
          </w:tcPr>
          <w:p w14:paraId="753BB104">
            <w:pPr>
              <w:jc w:val="center"/>
              <w:rPr>
                <w:rFonts w:hint="eastAsia" w:cs="Arial"/>
                <w:sz w:val="21"/>
                <w:szCs w:val="21"/>
              </w:rPr>
            </w:pPr>
          </w:p>
        </w:tc>
      </w:tr>
      <w:tr w14:paraId="5D4B0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28" w:type="dxa"/>
            <w:noWrap w:val="0"/>
            <w:vAlign w:val="center"/>
          </w:tcPr>
          <w:p w14:paraId="5F037C23">
            <w:pPr>
              <w:jc w:val="center"/>
            </w:pPr>
          </w:p>
        </w:tc>
        <w:tc>
          <w:tcPr>
            <w:tcW w:w="1237" w:type="dxa"/>
            <w:noWrap w:val="0"/>
            <w:vAlign w:val="center"/>
          </w:tcPr>
          <w:p w14:paraId="01579F50">
            <w:pPr>
              <w:jc w:val="center"/>
              <w:rPr>
                <w:rFonts w:cs="Arial"/>
                <w:sz w:val="21"/>
                <w:szCs w:val="21"/>
              </w:rPr>
            </w:pPr>
          </w:p>
        </w:tc>
        <w:tc>
          <w:tcPr>
            <w:tcW w:w="962" w:type="dxa"/>
            <w:noWrap w:val="0"/>
            <w:vAlign w:val="center"/>
          </w:tcPr>
          <w:p w14:paraId="44B83632">
            <w:pPr>
              <w:jc w:val="center"/>
              <w:rPr>
                <w:rFonts w:cs="Arial"/>
                <w:sz w:val="21"/>
                <w:szCs w:val="21"/>
              </w:rPr>
            </w:pPr>
          </w:p>
        </w:tc>
        <w:tc>
          <w:tcPr>
            <w:tcW w:w="1743" w:type="dxa"/>
            <w:noWrap w:val="0"/>
            <w:vAlign w:val="center"/>
          </w:tcPr>
          <w:p w14:paraId="237E5705">
            <w:pPr>
              <w:jc w:val="center"/>
              <w:rPr>
                <w:rFonts w:cs="Arial"/>
                <w:sz w:val="21"/>
                <w:szCs w:val="21"/>
              </w:rPr>
            </w:pPr>
          </w:p>
        </w:tc>
        <w:tc>
          <w:tcPr>
            <w:tcW w:w="1517" w:type="dxa"/>
            <w:noWrap w:val="0"/>
            <w:vAlign w:val="center"/>
          </w:tcPr>
          <w:p w14:paraId="6F10F064">
            <w:pPr>
              <w:jc w:val="center"/>
              <w:rPr>
                <w:rFonts w:cs="Arial"/>
                <w:sz w:val="21"/>
                <w:szCs w:val="21"/>
              </w:rPr>
            </w:pPr>
          </w:p>
        </w:tc>
        <w:tc>
          <w:tcPr>
            <w:tcW w:w="1235" w:type="dxa"/>
            <w:noWrap w:val="0"/>
            <w:vAlign w:val="center"/>
          </w:tcPr>
          <w:p w14:paraId="70EE1005">
            <w:pPr>
              <w:jc w:val="center"/>
              <w:rPr>
                <w:rFonts w:cs="Arial"/>
                <w:sz w:val="21"/>
                <w:szCs w:val="21"/>
              </w:rPr>
            </w:pPr>
          </w:p>
        </w:tc>
      </w:tr>
      <w:tr w14:paraId="3C7F4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28" w:type="dxa"/>
            <w:noWrap w:val="0"/>
            <w:vAlign w:val="center"/>
          </w:tcPr>
          <w:p w14:paraId="28223F03">
            <w:pPr>
              <w:jc w:val="center"/>
            </w:pPr>
          </w:p>
        </w:tc>
        <w:tc>
          <w:tcPr>
            <w:tcW w:w="1237" w:type="dxa"/>
            <w:noWrap w:val="0"/>
            <w:vAlign w:val="center"/>
          </w:tcPr>
          <w:p w14:paraId="1EB19D63">
            <w:pPr>
              <w:jc w:val="center"/>
              <w:rPr>
                <w:rFonts w:cs="Arial"/>
                <w:sz w:val="21"/>
                <w:szCs w:val="21"/>
              </w:rPr>
            </w:pPr>
          </w:p>
        </w:tc>
        <w:tc>
          <w:tcPr>
            <w:tcW w:w="962" w:type="dxa"/>
            <w:noWrap w:val="0"/>
            <w:vAlign w:val="center"/>
          </w:tcPr>
          <w:p w14:paraId="5B23CAF7">
            <w:pPr>
              <w:jc w:val="center"/>
              <w:rPr>
                <w:rFonts w:cs="Arial"/>
                <w:sz w:val="21"/>
                <w:szCs w:val="21"/>
              </w:rPr>
            </w:pPr>
          </w:p>
        </w:tc>
        <w:tc>
          <w:tcPr>
            <w:tcW w:w="1743" w:type="dxa"/>
            <w:noWrap w:val="0"/>
            <w:vAlign w:val="center"/>
          </w:tcPr>
          <w:p w14:paraId="698FE3A1">
            <w:pPr>
              <w:jc w:val="center"/>
              <w:rPr>
                <w:rFonts w:cs="Arial"/>
                <w:sz w:val="21"/>
                <w:szCs w:val="21"/>
              </w:rPr>
            </w:pPr>
          </w:p>
        </w:tc>
        <w:tc>
          <w:tcPr>
            <w:tcW w:w="1517" w:type="dxa"/>
            <w:noWrap w:val="0"/>
            <w:vAlign w:val="center"/>
          </w:tcPr>
          <w:p w14:paraId="797B4915">
            <w:pPr>
              <w:jc w:val="center"/>
              <w:rPr>
                <w:rFonts w:cs="Arial"/>
                <w:sz w:val="21"/>
                <w:szCs w:val="21"/>
              </w:rPr>
            </w:pPr>
          </w:p>
        </w:tc>
        <w:tc>
          <w:tcPr>
            <w:tcW w:w="1235" w:type="dxa"/>
            <w:noWrap w:val="0"/>
            <w:vAlign w:val="center"/>
          </w:tcPr>
          <w:p w14:paraId="0133BA4F">
            <w:pPr>
              <w:jc w:val="center"/>
              <w:rPr>
                <w:rFonts w:cs="Arial"/>
                <w:sz w:val="21"/>
                <w:szCs w:val="21"/>
              </w:rPr>
            </w:pPr>
          </w:p>
        </w:tc>
      </w:tr>
      <w:tr w14:paraId="65707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28" w:type="dxa"/>
            <w:noWrap w:val="0"/>
            <w:vAlign w:val="center"/>
          </w:tcPr>
          <w:p w14:paraId="2DE38684">
            <w:pPr>
              <w:jc w:val="center"/>
            </w:pPr>
          </w:p>
        </w:tc>
        <w:tc>
          <w:tcPr>
            <w:tcW w:w="1237" w:type="dxa"/>
            <w:noWrap w:val="0"/>
            <w:vAlign w:val="center"/>
          </w:tcPr>
          <w:p w14:paraId="4E1A9EE4">
            <w:pPr>
              <w:jc w:val="center"/>
              <w:rPr>
                <w:rFonts w:cs="Arial"/>
                <w:sz w:val="21"/>
                <w:szCs w:val="21"/>
              </w:rPr>
            </w:pPr>
          </w:p>
        </w:tc>
        <w:tc>
          <w:tcPr>
            <w:tcW w:w="962" w:type="dxa"/>
            <w:noWrap w:val="0"/>
            <w:vAlign w:val="center"/>
          </w:tcPr>
          <w:p w14:paraId="6C2C000C">
            <w:pPr>
              <w:jc w:val="center"/>
              <w:rPr>
                <w:rFonts w:cs="Arial"/>
                <w:sz w:val="21"/>
                <w:szCs w:val="21"/>
              </w:rPr>
            </w:pPr>
          </w:p>
        </w:tc>
        <w:tc>
          <w:tcPr>
            <w:tcW w:w="1743" w:type="dxa"/>
            <w:noWrap w:val="0"/>
            <w:vAlign w:val="center"/>
          </w:tcPr>
          <w:p w14:paraId="0CDD42C1">
            <w:pPr>
              <w:jc w:val="center"/>
              <w:rPr>
                <w:rFonts w:cs="Arial"/>
                <w:sz w:val="21"/>
                <w:szCs w:val="21"/>
              </w:rPr>
            </w:pPr>
          </w:p>
        </w:tc>
        <w:tc>
          <w:tcPr>
            <w:tcW w:w="1517" w:type="dxa"/>
            <w:noWrap w:val="0"/>
            <w:vAlign w:val="center"/>
          </w:tcPr>
          <w:p w14:paraId="5EA191DE">
            <w:pPr>
              <w:jc w:val="center"/>
              <w:rPr>
                <w:rFonts w:cs="Arial"/>
                <w:sz w:val="21"/>
                <w:szCs w:val="21"/>
              </w:rPr>
            </w:pPr>
          </w:p>
        </w:tc>
        <w:tc>
          <w:tcPr>
            <w:tcW w:w="1235" w:type="dxa"/>
            <w:noWrap w:val="0"/>
            <w:vAlign w:val="center"/>
          </w:tcPr>
          <w:p w14:paraId="6628E889">
            <w:pPr>
              <w:jc w:val="center"/>
              <w:rPr>
                <w:rFonts w:cs="Arial"/>
                <w:sz w:val="21"/>
                <w:szCs w:val="21"/>
              </w:rPr>
            </w:pPr>
          </w:p>
        </w:tc>
      </w:tr>
    </w:tbl>
    <w:p w14:paraId="6D6B36DE">
      <w:pPr>
        <w:pStyle w:val="29"/>
        <w:spacing w:before="0" w:beforeAutospacing="0" w:after="0" w:afterAutospacing="0" w:line="560" w:lineRule="exact"/>
        <w:rPr>
          <w:rFonts w:ascii="Arial" w:hAnsi="Arial" w:cs="Arial"/>
          <w:szCs w:val="21"/>
        </w:rPr>
      </w:pPr>
      <w:r>
        <w:rPr>
          <w:rFonts w:ascii="Arial" w:cs="Arial"/>
          <w:szCs w:val="21"/>
        </w:rPr>
        <w:t>咨询人应按照承诺的人员数量及名单为委托人提供咨询服务，任何人员的更换需要得到委托人的同意。</w:t>
      </w:r>
    </w:p>
    <w:p w14:paraId="02FAD682">
      <w:pPr>
        <w:pStyle w:val="2"/>
        <w:spacing w:before="0" w:after="0"/>
        <w:jc w:val="center"/>
        <w:rPr>
          <w:rFonts w:hint="eastAsia"/>
          <w:sz w:val="28"/>
          <w:szCs w:val="28"/>
        </w:rPr>
        <w:sectPr>
          <w:headerReference r:id="rId12" w:type="default"/>
          <w:footerReference r:id="rId13" w:type="default"/>
          <w:pgSz w:w="11906" w:h="16838"/>
          <w:pgMar w:top="1440" w:right="1797" w:bottom="1440" w:left="1797" w:header="851" w:footer="992" w:gutter="0"/>
          <w:pgNumType w:fmt="decimal"/>
          <w:cols w:space="720" w:num="1"/>
        </w:sectPr>
      </w:pPr>
      <w:bookmarkStart w:id="641" w:name="_Toc422322557"/>
      <w:bookmarkStart w:id="642" w:name="_Toc419045126"/>
    </w:p>
    <w:p w14:paraId="2A719EEA">
      <w:pPr>
        <w:pStyle w:val="2"/>
        <w:spacing w:before="0" w:after="0"/>
        <w:jc w:val="center"/>
        <w:rPr>
          <w:rFonts w:hint="eastAsia"/>
          <w:sz w:val="28"/>
          <w:szCs w:val="28"/>
        </w:rPr>
      </w:pPr>
      <w:r>
        <w:rPr>
          <w:rFonts w:hint="eastAsia"/>
          <w:sz w:val="28"/>
          <w:szCs w:val="28"/>
        </w:rPr>
        <w:t>附录A 服务范围及工作内容、酬金一览表</w:t>
      </w:r>
      <w:bookmarkEnd w:id="641"/>
      <w:bookmarkEnd w:id="642"/>
    </w:p>
    <w:tbl>
      <w:tblPr>
        <w:tblStyle w:val="32"/>
        <w:tblW w:w="13312" w:type="dxa"/>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2"/>
        <w:gridCol w:w="2448"/>
        <w:gridCol w:w="2556"/>
        <w:gridCol w:w="2388"/>
        <w:gridCol w:w="3036"/>
        <w:gridCol w:w="912"/>
      </w:tblGrid>
      <w:tr w14:paraId="55964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0" w:type="dxa"/>
            <w:gridSpan w:val="2"/>
            <w:noWrap w:val="0"/>
            <w:vAlign w:val="center"/>
          </w:tcPr>
          <w:p w14:paraId="014A3CDB">
            <w:pPr>
              <w:pStyle w:val="29"/>
              <w:widowControl w:val="0"/>
              <w:spacing w:line="360" w:lineRule="auto"/>
              <w:jc w:val="center"/>
              <w:rPr>
                <w:rFonts w:hint="eastAsia"/>
              </w:rPr>
            </w:pPr>
            <w:r>
              <w:rPr>
                <w:rFonts w:hint="eastAsia"/>
              </w:rPr>
              <w:t>服务范围及工作内容</w:t>
            </w:r>
          </w:p>
        </w:tc>
        <w:tc>
          <w:tcPr>
            <w:tcW w:w="7980" w:type="dxa"/>
            <w:gridSpan w:val="3"/>
            <w:noWrap w:val="0"/>
            <w:vAlign w:val="top"/>
          </w:tcPr>
          <w:p w14:paraId="0E03117B">
            <w:pPr>
              <w:pStyle w:val="29"/>
              <w:widowControl w:val="0"/>
              <w:spacing w:line="360" w:lineRule="auto"/>
              <w:jc w:val="center"/>
              <w:rPr>
                <w:rFonts w:hint="eastAsia"/>
              </w:rPr>
            </w:pPr>
            <w:r>
              <w:rPr>
                <w:rFonts w:hint="eastAsia"/>
              </w:rPr>
              <w:t>酬金</w:t>
            </w:r>
          </w:p>
        </w:tc>
        <w:tc>
          <w:tcPr>
            <w:tcW w:w="912" w:type="dxa"/>
            <w:noWrap w:val="0"/>
            <w:vAlign w:val="top"/>
          </w:tcPr>
          <w:p w14:paraId="24666C7B">
            <w:pPr>
              <w:pStyle w:val="29"/>
              <w:widowControl w:val="0"/>
              <w:spacing w:line="360" w:lineRule="auto"/>
              <w:jc w:val="center"/>
              <w:rPr>
                <w:rFonts w:hint="eastAsia"/>
              </w:rPr>
            </w:pPr>
            <w:r>
              <w:rPr>
                <w:rFonts w:hint="eastAsia"/>
              </w:rPr>
              <w:t>备注</w:t>
            </w:r>
          </w:p>
        </w:tc>
      </w:tr>
      <w:tr w14:paraId="6C943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noWrap w:val="0"/>
            <w:vAlign w:val="center"/>
          </w:tcPr>
          <w:p w14:paraId="25EB90E1">
            <w:pPr>
              <w:pStyle w:val="29"/>
              <w:widowControl w:val="0"/>
              <w:spacing w:line="360" w:lineRule="auto"/>
              <w:jc w:val="center"/>
              <w:rPr>
                <w:rFonts w:hint="eastAsia"/>
              </w:rPr>
            </w:pPr>
            <w:r>
              <w:rPr>
                <w:rFonts w:hint="eastAsia"/>
              </w:rPr>
              <w:t>服务范围</w:t>
            </w:r>
          </w:p>
        </w:tc>
        <w:tc>
          <w:tcPr>
            <w:tcW w:w="2448" w:type="dxa"/>
            <w:noWrap w:val="0"/>
            <w:vAlign w:val="center"/>
          </w:tcPr>
          <w:p w14:paraId="4712C04A">
            <w:pPr>
              <w:pStyle w:val="29"/>
              <w:widowControl w:val="0"/>
              <w:spacing w:line="360" w:lineRule="auto"/>
              <w:jc w:val="center"/>
              <w:rPr>
                <w:rFonts w:hint="eastAsia"/>
              </w:rPr>
            </w:pPr>
            <w:r>
              <w:rPr>
                <w:rFonts w:hint="eastAsia"/>
              </w:rPr>
              <w:t>工作内容</w:t>
            </w:r>
          </w:p>
        </w:tc>
        <w:tc>
          <w:tcPr>
            <w:tcW w:w="2556" w:type="dxa"/>
            <w:noWrap w:val="0"/>
            <w:vAlign w:val="top"/>
          </w:tcPr>
          <w:p w14:paraId="2E70EF1C">
            <w:pPr>
              <w:pStyle w:val="29"/>
              <w:widowControl w:val="0"/>
              <w:spacing w:line="360" w:lineRule="auto"/>
              <w:jc w:val="center"/>
              <w:rPr>
                <w:rFonts w:hint="eastAsia"/>
              </w:rPr>
            </w:pPr>
            <w:r>
              <w:rPr>
                <w:rFonts w:hint="eastAsia"/>
              </w:rPr>
              <w:t>收费基数</w:t>
            </w:r>
          </w:p>
        </w:tc>
        <w:tc>
          <w:tcPr>
            <w:tcW w:w="2388" w:type="dxa"/>
            <w:noWrap w:val="0"/>
            <w:vAlign w:val="top"/>
          </w:tcPr>
          <w:p w14:paraId="294545FA">
            <w:pPr>
              <w:pStyle w:val="29"/>
              <w:widowControl w:val="0"/>
              <w:spacing w:line="360" w:lineRule="auto"/>
              <w:jc w:val="both"/>
              <w:rPr>
                <w:rFonts w:hint="eastAsia"/>
              </w:rPr>
            </w:pPr>
            <w:r>
              <w:rPr>
                <w:rFonts w:hint="eastAsia"/>
              </w:rPr>
              <w:t>收费标准（比例）</w:t>
            </w:r>
          </w:p>
        </w:tc>
        <w:tc>
          <w:tcPr>
            <w:tcW w:w="3036" w:type="dxa"/>
            <w:noWrap w:val="0"/>
            <w:vAlign w:val="top"/>
          </w:tcPr>
          <w:p w14:paraId="64F00632">
            <w:pPr>
              <w:pStyle w:val="29"/>
              <w:widowControl w:val="0"/>
              <w:spacing w:line="360" w:lineRule="auto"/>
              <w:jc w:val="center"/>
              <w:rPr>
                <w:rFonts w:hint="eastAsia"/>
              </w:rPr>
            </w:pPr>
            <w:r>
              <w:rPr>
                <w:rFonts w:hint="eastAsia"/>
              </w:rPr>
              <w:t>酬金数额（单位：万元）</w:t>
            </w:r>
          </w:p>
        </w:tc>
        <w:tc>
          <w:tcPr>
            <w:tcW w:w="912" w:type="dxa"/>
            <w:noWrap w:val="0"/>
            <w:vAlign w:val="top"/>
          </w:tcPr>
          <w:p w14:paraId="46ED2B5F">
            <w:pPr>
              <w:pStyle w:val="29"/>
              <w:widowControl w:val="0"/>
              <w:spacing w:line="360" w:lineRule="auto"/>
              <w:jc w:val="center"/>
              <w:rPr>
                <w:rFonts w:hint="eastAsia"/>
              </w:rPr>
            </w:pPr>
          </w:p>
        </w:tc>
      </w:tr>
      <w:tr w14:paraId="1A3F8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noWrap w:val="0"/>
            <w:vAlign w:val="center"/>
          </w:tcPr>
          <w:p w14:paraId="16624EB8">
            <w:pPr>
              <w:pStyle w:val="29"/>
              <w:widowControl w:val="0"/>
              <w:spacing w:line="360" w:lineRule="auto"/>
              <w:jc w:val="center"/>
              <w:rPr>
                <w:rFonts w:hint="eastAsia"/>
              </w:rPr>
            </w:pPr>
            <w:r>
              <w:rPr>
                <w:rFonts w:hint="eastAsia"/>
              </w:rPr>
              <w:t>工程概算编制</w:t>
            </w:r>
          </w:p>
        </w:tc>
        <w:tc>
          <w:tcPr>
            <w:tcW w:w="2448" w:type="dxa"/>
            <w:noWrap w:val="0"/>
            <w:vAlign w:val="center"/>
          </w:tcPr>
          <w:p w14:paraId="461A93D8">
            <w:pPr>
              <w:pStyle w:val="29"/>
              <w:widowControl w:val="0"/>
              <w:spacing w:line="360" w:lineRule="auto"/>
              <w:jc w:val="center"/>
              <w:rPr>
                <w:rFonts w:hint="eastAsia"/>
              </w:rPr>
            </w:pPr>
            <w:r>
              <w:rPr>
                <w:rFonts w:hint="eastAsia"/>
              </w:rPr>
              <w:t>√编制√审核√调整</w:t>
            </w:r>
          </w:p>
        </w:tc>
        <w:tc>
          <w:tcPr>
            <w:tcW w:w="2556" w:type="dxa"/>
            <w:noWrap w:val="0"/>
            <w:vAlign w:val="top"/>
          </w:tcPr>
          <w:p w14:paraId="7C6867E5">
            <w:pPr>
              <w:pStyle w:val="29"/>
              <w:widowControl w:val="0"/>
              <w:spacing w:line="360" w:lineRule="auto"/>
              <w:jc w:val="center"/>
              <w:rPr>
                <w:rFonts w:hint="eastAsia"/>
              </w:rPr>
            </w:pPr>
            <w:r>
              <w:rPr>
                <w:rFonts w:hint="eastAsia"/>
              </w:rPr>
              <w:t>中价协2013【35】文</w:t>
            </w:r>
          </w:p>
        </w:tc>
        <w:tc>
          <w:tcPr>
            <w:tcW w:w="2388" w:type="dxa"/>
            <w:noWrap w:val="0"/>
            <w:vAlign w:val="top"/>
          </w:tcPr>
          <w:p w14:paraId="4A6E79A1">
            <w:pPr>
              <w:pStyle w:val="29"/>
              <w:widowControl w:val="0"/>
              <w:spacing w:line="360" w:lineRule="auto"/>
              <w:jc w:val="center"/>
              <w:rPr>
                <w:rFonts w:hint="eastAsia"/>
              </w:rPr>
            </w:pPr>
            <w:r>
              <w:rPr>
                <w:rFonts w:hint="eastAsia"/>
              </w:rPr>
              <w:t>下浮50%</w:t>
            </w:r>
          </w:p>
        </w:tc>
        <w:tc>
          <w:tcPr>
            <w:tcW w:w="3036" w:type="dxa"/>
            <w:noWrap w:val="0"/>
            <w:vAlign w:val="top"/>
          </w:tcPr>
          <w:p w14:paraId="69271813">
            <w:pPr>
              <w:pStyle w:val="29"/>
              <w:widowControl w:val="0"/>
              <w:spacing w:line="360" w:lineRule="auto"/>
              <w:jc w:val="center"/>
              <w:rPr>
                <w:rFonts w:hint="eastAsia"/>
              </w:rPr>
            </w:pPr>
            <w:r>
              <w:rPr>
                <w:rFonts w:hint="eastAsia"/>
              </w:rPr>
              <w:t>具体项目按计算确认</w:t>
            </w:r>
          </w:p>
        </w:tc>
        <w:tc>
          <w:tcPr>
            <w:tcW w:w="912" w:type="dxa"/>
            <w:noWrap w:val="0"/>
            <w:vAlign w:val="top"/>
          </w:tcPr>
          <w:p w14:paraId="53C5F9B2">
            <w:pPr>
              <w:pStyle w:val="29"/>
              <w:widowControl w:val="0"/>
              <w:spacing w:line="360" w:lineRule="auto"/>
              <w:jc w:val="center"/>
              <w:rPr>
                <w:rFonts w:hint="eastAsia"/>
              </w:rPr>
            </w:pPr>
          </w:p>
        </w:tc>
      </w:tr>
      <w:tr w14:paraId="2B802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noWrap w:val="0"/>
            <w:vAlign w:val="top"/>
          </w:tcPr>
          <w:p w14:paraId="19B7A877">
            <w:pPr>
              <w:widowControl w:val="0"/>
              <w:spacing w:line="360" w:lineRule="auto"/>
              <w:jc w:val="center"/>
            </w:pPr>
            <w:r>
              <w:rPr>
                <w:rFonts w:hint="eastAsia"/>
              </w:rPr>
              <w:t>工程量清单编制</w:t>
            </w:r>
          </w:p>
        </w:tc>
        <w:tc>
          <w:tcPr>
            <w:tcW w:w="2448" w:type="dxa"/>
            <w:noWrap w:val="0"/>
            <w:vAlign w:val="top"/>
          </w:tcPr>
          <w:p w14:paraId="129C7612">
            <w:pPr>
              <w:widowControl w:val="0"/>
              <w:spacing w:line="360" w:lineRule="auto"/>
              <w:jc w:val="center"/>
            </w:pPr>
            <w:r>
              <w:rPr>
                <w:rFonts w:hint="eastAsia"/>
              </w:rPr>
              <w:t>√编制√审核√调整</w:t>
            </w:r>
          </w:p>
        </w:tc>
        <w:tc>
          <w:tcPr>
            <w:tcW w:w="2556" w:type="dxa"/>
            <w:noWrap w:val="0"/>
            <w:vAlign w:val="top"/>
          </w:tcPr>
          <w:p w14:paraId="76330C1C">
            <w:pPr>
              <w:widowControl w:val="0"/>
              <w:spacing w:line="360" w:lineRule="auto"/>
              <w:jc w:val="center"/>
              <w:rPr>
                <w:rFonts w:hint="eastAsia"/>
              </w:rPr>
            </w:pPr>
            <w:r>
              <w:rPr>
                <w:rFonts w:hint="eastAsia"/>
              </w:rPr>
              <w:t>中价协2013【35】文</w:t>
            </w:r>
          </w:p>
        </w:tc>
        <w:tc>
          <w:tcPr>
            <w:tcW w:w="2388" w:type="dxa"/>
            <w:noWrap w:val="0"/>
            <w:vAlign w:val="top"/>
          </w:tcPr>
          <w:p w14:paraId="78A425AD">
            <w:pPr>
              <w:widowControl w:val="0"/>
              <w:spacing w:line="360" w:lineRule="auto"/>
              <w:jc w:val="center"/>
              <w:rPr>
                <w:sz w:val="28"/>
                <w:szCs w:val="28"/>
              </w:rPr>
            </w:pPr>
            <w:r>
              <w:rPr>
                <w:rFonts w:hint="eastAsia"/>
              </w:rPr>
              <w:t>下浮50%</w:t>
            </w:r>
          </w:p>
        </w:tc>
        <w:tc>
          <w:tcPr>
            <w:tcW w:w="3036" w:type="dxa"/>
            <w:noWrap w:val="0"/>
            <w:vAlign w:val="top"/>
          </w:tcPr>
          <w:p w14:paraId="5C4A5A18">
            <w:pPr>
              <w:widowControl w:val="0"/>
              <w:spacing w:line="360" w:lineRule="auto"/>
              <w:jc w:val="center"/>
              <w:rPr>
                <w:rFonts w:hint="eastAsia"/>
              </w:rPr>
            </w:pPr>
            <w:r>
              <w:rPr>
                <w:rFonts w:hint="eastAsia"/>
              </w:rPr>
              <w:t>具体项目按计算确认</w:t>
            </w:r>
          </w:p>
        </w:tc>
        <w:tc>
          <w:tcPr>
            <w:tcW w:w="912" w:type="dxa"/>
            <w:noWrap w:val="0"/>
            <w:vAlign w:val="top"/>
          </w:tcPr>
          <w:p w14:paraId="562A56A6">
            <w:pPr>
              <w:widowControl w:val="0"/>
              <w:spacing w:line="360" w:lineRule="auto"/>
              <w:jc w:val="center"/>
              <w:rPr>
                <w:rFonts w:hint="eastAsia"/>
              </w:rPr>
            </w:pPr>
          </w:p>
        </w:tc>
      </w:tr>
      <w:tr w14:paraId="3C285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noWrap w:val="0"/>
            <w:vAlign w:val="top"/>
          </w:tcPr>
          <w:p w14:paraId="4349ADDD">
            <w:pPr>
              <w:widowControl w:val="0"/>
              <w:spacing w:line="360" w:lineRule="auto"/>
              <w:jc w:val="center"/>
              <w:rPr>
                <w:rFonts w:hint="eastAsia"/>
              </w:rPr>
            </w:pPr>
            <w:r>
              <w:rPr>
                <w:rFonts w:hint="eastAsia"/>
              </w:rPr>
              <w:t>招标控制价编制</w:t>
            </w:r>
          </w:p>
        </w:tc>
        <w:tc>
          <w:tcPr>
            <w:tcW w:w="2448" w:type="dxa"/>
            <w:noWrap w:val="0"/>
            <w:vAlign w:val="top"/>
          </w:tcPr>
          <w:p w14:paraId="35C48164">
            <w:pPr>
              <w:widowControl w:val="0"/>
              <w:spacing w:line="360" w:lineRule="auto"/>
              <w:jc w:val="center"/>
              <w:rPr>
                <w:rFonts w:hint="eastAsia"/>
              </w:rPr>
            </w:pPr>
            <w:r>
              <w:rPr>
                <w:rFonts w:hint="eastAsia"/>
              </w:rPr>
              <w:t>√编制√审核√调整</w:t>
            </w:r>
          </w:p>
        </w:tc>
        <w:tc>
          <w:tcPr>
            <w:tcW w:w="2556" w:type="dxa"/>
            <w:noWrap w:val="0"/>
            <w:vAlign w:val="top"/>
          </w:tcPr>
          <w:p w14:paraId="621407B3">
            <w:pPr>
              <w:widowControl w:val="0"/>
              <w:spacing w:line="360" w:lineRule="auto"/>
              <w:jc w:val="center"/>
              <w:rPr>
                <w:rFonts w:hint="eastAsia"/>
              </w:rPr>
            </w:pPr>
            <w:r>
              <w:rPr>
                <w:rFonts w:hint="eastAsia"/>
              </w:rPr>
              <w:t>中价协2013【35】文</w:t>
            </w:r>
          </w:p>
        </w:tc>
        <w:tc>
          <w:tcPr>
            <w:tcW w:w="2388" w:type="dxa"/>
            <w:noWrap w:val="0"/>
            <w:vAlign w:val="top"/>
          </w:tcPr>
          <w:p w14:paraId="45862815">
            <w:pPr>
              <w:widowControl w:val="0"/>
              <w:spacing w:line="360" w:lineRule="auto"/>
              <w:jc w:val="center"/>
              <w:rPr>
                <w:rFonts w:hint="eastAsia"/>
              </w:rPr>
            </w:pPr>
            <w:r>
              <w:rPr>
                <w:rFonts w:hint="eastAsia"/>
              </w:rPr>
              <w:t>下浮50%</w:t>
            </w:r>
          </w:p>
        </w:tc>
        <w:tc>
          <w:tcPr>
            <w:tcW w:w="3036" w:type="dxa"/>
            <w:noWrap w:val="0"/>
            <w:vAlign w:val="top"/>
          </w:tcPr>
          <w:p w14:paraId="149CC685">
            <w:pPr>
              <w:widowControl w:val="0"/>
              <w:spacing w:line="360" w:lineRule="auto"/>
              <w:jc w:val="center"/>
              <w:rPr>
                <w:rFonts w:hint="eastAsia"/>
              </w:rPr>
            </w:pPr>
            <w:r>
              <w:rPr>
                <w:rFonts w:hint="eastAsia"/>
              </w:rPr>
              <w:t>具体项目按计算确认</w:t>
            </w:r>
          </w:p>
        </w:tc>
        <w:tc>
          <w:tcPr>
            <w:tcW w:w="912" w:type="dxa"/>
            <w:noWrap w:val="0"/>
            <w:vAlign w:val="top"/>
          </w:tcPr>
          <w:p w14:paraId="27D55E0F">
            <w:pPr>
              <w:widowControl w:val="0"/>
              <w:spacing w:line="360" w:lineRule="auto"/>
              <w:jc w:val="center"/>
              <w:rPr>
                <w:rFonts w:hint="eastAsia"/>
              </w:rPr>
            </w:pPr>
          </w:p>
        </w:tc>
      </w:tr>
      <w:tr w14:paraId="48317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noWrap w:val="0"/>
            <w:vAlign w:val="top"/>
          </w:tcPr>
          <w:p w14:paraId="577B38B3">
            <w:pPr>
              <w:widowControl w:val="0"/>
              <w:spacing w:line="360" w:lineRule="auto"/>
              <w:jc w:val="center"/>
              <w:rPr>
                <w:rFonts w:hint="eastAsia"/>
              </w:rPr>
            </w:pPr>
            <w:r>
              <w:rPr>
                <w:rFonts w:hint="eastAsia"/>
              </w:rPr>
              <w:t>工程预算编制</w:t>
            </w:r>
          </w:p>
        </w:tc>
        <w:tc>
          <w:tcPr>
            <w:tcW w:w="2448" w:type="dxa"/>
            <w:noWrap w:val="0"/>
            <w:vAlign w:val="top"/>
          </w:tcPr>
          <w:p w14:paraId="21B0F7E2">
            <w:pPr>
              <w:widowControl w:val="0"/>
              <w:spacing w:line="360" w:lineRule="auto"/>
              <w:jc w:val="center"/>
              <w:rPr>
                <w:rFonts w:hint="eastAsia"/>
              </w:rPr>
            </w:pPr>
            <w:r>
              <w:rPr>
                <w:rFonts w:hint="eastAsia"/>
              </w:rPr>
              <w:t>√编制√审核√调整</w:t>
            </w:r>
          </w:p>
        </w:tc>
        <w:tc>
          <w:tcPr>
            <w:tcW w:w="2556" w:type="dxa"/>
            <w:noWrap w:val="0"/>
            <w:vAlign w:val="top"/>
          </w:tcPr>
          <w:p w14:paraId="2C14DCDD">
            <w:pPr>
              <w:widowControl w:val="0"/>
              <w:spacing w:line="360" w:lineRule="auto"/>
              <w:jc w:val="center"/>
              <w:rPr>
                <w:rFonts w:hint="eastAsia"/>
              </w:rPr>
            </w:pPr>
            <w:r>
              <w:rPr>
                <w:rFonts w:hint="eastAsia"/>
              </w:rPr>
              <w:t>中价协2013【35】文</w:t>
            </w:r>
          </w:p>
        </w:tc>
        <w:tc>
          <w:tcPr>
            <w:tcW w:w="2388" w:type="dxa"/>
            <w:noWrap w:val="0"/>
            <w:vAlign w:val="top"/>
          </w:tcPr>
          <w:p w14:paraId="1A4A77BD">
            <w:pPr>
              <w:widowControl w:val="0"/>
              <w:spacing w:line="360" w:lineRule="auto"/>
              <w:jc w:val="center"/>
              <w:rPr>
                <w:rFonts w:hint="eastAsia"/>
              </w:rPr>
            </w:pPr>
            <w:r>
              <w:rPr>
                <w:rFonts w:hint="eastAsia"/>
              </w:rPr>
              <w:t>下浮50%</w:t>
            </w:r>
          </w:p>
        </w:tc>
        <w:tc>
          <w:tcPr>
            <w:tcW w:w="3036" w:type="dxa"/>
            <w:noWrap w:val="0"/>
            <w:vAlign w:val="top"/>
          </w:tcPr>
          <w:p w14:paraId="5693CE21">
            <w:pPr>
              <w:widowControl w:val="0"/>
              <w:spacing w:line="360" w:lineRule="auto"/>
              <w:jc w:val="center"/>
              <w:rPr>
                <w:rFonts w:hint="eastAsia"/>
              </w:rPr>
            </w:pPr>
            <w:r>
              <w:rPr>
                <w:rFonts w:hint="eastAsia"/>
              </w:rPr>
              <w:t>具体项目按计算确认</w:t>
            </w:r>
          </w:p>
        </w:tc>
        <w:tc>
          <w:tcPr>
            <w:tcW w:w="912" w:type="dxa"/>
            <w:noWrap w:val="0"/>
            <w:vAlign w:val="top"/>
          </w:tcPr>
          <w:p w14:paraId="12662423">
            <w:pPr>
              <w:widowControl w:val="0"/>
              <w:spacing w:line="360" w:lineRule="auto"/>
              <w:jc w:val="center"/>
              <w:rPr>
                <w:rFonts w:hint="eastAsia"/>
              </w:rPr>
            </w:pPr>
          </w:p>
        </w:tc>
      </w:tr>
      <w:tr w14:paraId="6B1F0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noWrap w:val="0"/>
            <w:vAlign w:val="top"/>
          </w:tcPr>
          <w:p w14:paraId="5E4A02DB">
            <w:pPr>
              <w:widowControl w:val="0"/>
              <w:spacing w:line="360" w:lineRule="auto"/>
              <w:jc w:val="center"/>
              <w:rPr>
                <w:rFonts w:hint="eastAsia"/>
              </w:rPr>
            </w:pPr>
            <w:r>
              <w:rPr>
                <w:rFonts w:hint="eastAsia"/>
              </w:rPr>
              <w:t>工程结算审查</w:t>
            </w:r>
          </w:p>
        </w:tc>
        <w:tc>
          <w:tcPr>
            <w:tcW w:w="2448" w:type="dxa"/>
            <w:noWrap w:val="0"/>
            <w:vAlign w:val="top"/>
          </w:tcPr>
          <w:p w14:paraId="79AF8721">
            <w:pPr>
              <w:widowControl w:val="0"/>
              <w:spacing w:line="360" w:lineRule="auto"/>
              <w:jc w:val="center"/>
              <w:rPr>
                <w:rFonts w:hint="eastAsia"/>
              </w:rPr>
            </w:pPr>
            <w:r>
              <w:rPr>
                <w:rFonts w:hint="eastAsia"/>
              </w:rPr>
              <w:t>√编制√审核√调整</w:t>
            </w:r>
          </w:p>
        </w:tc>
        <w:tc>
          <w:tcPr>
            <w:tcW w:w="2556" w:type="dxa"/>
            <w:noWrap w:val="0"/>
            <w:vAlign w:val="top"/>
          </w:tcPr>
          <w:p w14:paraId="4BE4FF95">
            <w:pPr>
              <w:widowControl w:val="0"/>
              <w:spacing w:line="360" w:lineRule="auto"/>
              <w:jc w:val="center"/>
              <w:rPr>
                <w:rFonts w:hint="eastAsia"/>
              </w:rPr>
            </w:pPr>
            <w:r>
              <w:rPr>
                <w:rFonts w:hint="eastAsia"/>
              </w:rPr>
              <w:t>中价协2013【35】文</w:t>
            </w:r>
          </w:p>
        </w:tc>
        <w:tc>
          <w:tcPr>
            <w:tcW w:w="2388" w:type="dxa"/>
            <w:noWrap w:val="0"/>
            <w:vAlign w:val="top"/>
          </w:tcPr>
          <w:p w14:paraId="494B2020">
            <w:pPr>
              <w:widowControl w:val="0"/>
              <w:spacing w:line="360" w:lineRule="auto"/>
              <w:jc w:val="center"/>
              <w:rPr>
                <w:rFonts w:hint="eastAsia"/>
              </w:rPr>
            </w:pPr>
            <w:r>
              <w:rPr>
                <w:rFonts w:hint="eastAsia"/>
              </w:rPr>
              <w:t>下浮50%</w:t>
            </w:r>
          </w:p>
        </w:tc>
        <w:tc>
          <w:tcPr>
            <w:tcW w:w="3036" w:type="dxa"/>
            <w:noWrap w:val="0"/>
            <w:vAlign w:val="top"/>
          </w:tcPr>
          <w:p w14:paraId="6B0F1492">
            <w:pPr>
              <w:widowControl w:val="0"/>
              <w:spacing w:line="360" w:lineRule="auto"/>
              <w:jc w:val="center"/>
              <w:rPr>
                <w:rFonts w:hint="eastAsia"/>
              </w:rPr>
            </w:pPr>
            <w:r>
              <w:rPr>
                <w:rFonts w:hint="eastAsia"/>
              </w:rPr>
              <w:t>具体项目按计算确认</w:t>
            </w:r>
          </w:p>
        </w:tc>
        <w:tc>
          <w:tcPr>
            <w:tcW w:w="912" w:type="dxa"/>
            <w:noWrap w:val="0"/>
            <w:vAlign w:val="top"/>
          </w:tcPr>
          <w:p w14:paraId="48838ACB">
            <w:pPr>
              <w:widowControl w:val="0"/>
              <w:spacing w:line="360" w:lineRule="auto"/>
              <w:jc w:val="center"/>
              <w:rPr>
                <w:rFonts w:hint="eastAsia"/>
              </w:rPr>
            </w:pPr>
          </w:p>
        </w:tc>
      </w:tr>
      <w:tr w14:paraId="23142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noWrap w:val="0"/>
            <w:vAlign w:val="top"/>
          </w:tcPr>
          <w:p w14:paraId="28BCA9CD">
            <w:pPr>
              <w:widowControl w:val="0"/>
              <w:spacing w:line="360" w:lineRule="auto"/>
              <w:jc w:val="center"/>
              <w:rPr>
                <w:rFonts w:hint="eastAsia"/>
              </w:rPr>
            </w:pPr>
            <w:r>
              <w:rPr>
                <w:rFonts w:hint="eastAsia"/>
              </w:rPr>
              <w:t>全过程造价咨询</w:t>
            </w:r>
          </w:p>
        </w:tc>
        <w:tc>
          <w:tcPr>
            <w:tcW w:w="2448" w:type="dxa"/>
            <w:noWrap w:val="0"/>
            <w:vAlign w:val="top"/>
          </w:tcPr>
          <w:p w14:paraId="28E9EDEA">
            <w:pPr>
              <w:widowControl w:val="0"/>
              <w:spacing w:line="360" w:lineRule="auto"/>
              <w:jc w:val="center"/>
              <w:rPr>
                <w:rFonts w:hint="eastAsia"/>
              </w:rPr>
            </w:pPr>
            <w:r>
              <w:rPr>
                <w:rFonts w:hint="eastAsia"/>
              </w:rPr>
              <w:t>√编制√审核√调整</w:t>
            </w:r>
          </w:p>
        </w:tc>
        <w:tc>
          <w:tcPr>
            <w:tcW w:w="2556" w:type="dxa"/>
            <w:noWrap w:val="0"/>
            <w:vAlign w:val="top"/>
          </w:tcPr>
          <w:p w14:paraId="2449F25C">
            <w:pPr>
              <w:widowControl w:val="0"/>
              <w:spacing w:line="360" w:lineRule="auto"/>
              <w:jc w:val="center"/>
              <w:rPr>
                <w:rFonts w:hint="eastAsia"/>
              </w:rPr>
            </w:pPr>
            <w:r>
              <w:rPr>
                <w:rFonts w:hint="eastAsia"/>
              </w:rPr>
              <w:t>中价协2013【35】文</w:t>
            </w:r>
          </w:p>
        </w:tc>
        <w:tc>
          <w:tcPr>
            <w:tcW w:w="2388" w:type="dxa"/>
            <w:noWrap w:val="0"/>
            <w:vAlign w:val="top"/>
          </w:tcPr>
          <w:p w14:paraId="0F8526E0">
            <w:pPr>
              <w:widowControl w:val="0"/>
              <w:spacing w:line="360" w:lineRule="auto"/>
              <w:jc w:val="center"/>
              <w:rPr>
                <w:rFonts w:hint="eastAsia"/>
              </w:rPr>
            </w:pPr>
            <w:r>
              <w:rPr>
                <w:rFonts w:hint="eastAsia"/>
              </w:rPr>
              <w:t>下浮50%</w:t>
            </w:r>
          </w:p>
        </w:tc>
        <w:tc>
          <w:tcPr>
            <w:tcW w:w="3036" w:type="dxa"/>
            <w:noWrap w:val="0"/>
            <w:vAlign w:val="top"/>
          </w:tcPr>
          <w:p w14:paraId="2D132CEF">
            <w:pPr>
              <w:widowControl w:val="0"/>
              <w:spacing w:line="360" w:lineRule="auto"/>
              <w:jc w:val="center"/>
              <w:rPr>
                <w:rFonts w:hint="eastAsia"/>
              </w:rPr>
            </w:pPr>
            <w:r>
              <w:rPr>
                <w:rFonts w:hint="eastAsia"/>
              </w:rPr>
              <w:t>具体项目按计算确认</w:t>
            </w:r>
          </w:p>
        </w:tc>
        <w:tc>
          <w:tcPr>
            <w:tcW w:w="912" w:type="dxa"/>
            <w:noWrap w:val="0"/>
            <w:vAlign w:val="top"/>
          </w:tcPr>
          <w:p w14:paraId="32EE8541">
            <w:pPr>
              <w:widowControl w:val="0"/>
              <w:spacing w:line="360" w:lineRule="auto"/>
              <w:jc w:val="center"/>
              <w:rPr>
                <w:rFonts w:hint="eastAsia"/>
              </w:rPr>
            </w:pPr>
          </w:p>
        </w:tc>
      </w:tr>
      <w:tr w14:paraId="2829F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noWrap w:val="0"/>
            <w:vAlign w:val="top"/>
          </w:tcPr>
          <w:p w14:paraId="0876C2B8">
            <w:pPr>
              <w:widowControl w:val="0"/>
              <w:spacing w:line="360" w:lineRule="auto"/>
              <w:jc w:val="center"/>
              <w:rPr>
                <w:rFonts w:hint="eastAsia"/>
              </w:rPr>
            </w:pPr>
            <w:r>
              <w:rPr>
                <w:rFonts w:hint="eastAsia"/>
              </w:rPr>
              <w:t>其他</w:t>
            </w:r>
          </w:p>
        </w:tc>
        <w:tc>
          <w:tcPr>
            <w:tcW w:w="2448" w:type="dxa"/>
            <w:noWrap w:val="0"/>
            <w:vAlign w:val="top"/>
          </w:tcPr>
          <w:p w14:paraId="02C53570">
            <w:pPr>
              <w:widowControl w:val="0"/>
              <w:spacing w:line="360" w:lineRule="auto"/>
              <w:jc w:val="center"/>
              <w:rPr>
                <w:rFonts w:hint="eastAsia"/>
              </w:rPr>
            </w:pPr>
            <w:r>
              <w:rPr>
                <w:rFonts w:hint="eastAsia"/>
              </w:rPr>
              <w:t>√编制√审核√调整</w:t>
            </w:r>
          </w:p>
        </w:tc>
        <w:tc>
          <w:tcPr>
            <w:tcW w:w="2556" w:type="dxa"/>
            <w:noWrap w:val="0"/>
            <w:vAlign w:val="top"/>
          </w:tcPr>
          <w:p w14:paraId="23E88061">
            <w:pPr>
              <w:widowControl w:val="0"/>
              <w:spacing w:line="360" w:lineRule="auto"/>
              <w:jc w:val="center"/>
              <w:rPr>
                <w:rFonts w:hint="eastAsia"/>
                <w:sz w:val="18"/>
                <w:szCs w:val="18"/>
              </w:rPr>
            </w:pPr>
          </w:p>
        </w:tc>
        <w:tc>
          <w:tcPr>
            <w:tcW w:w="2388" w:type="dxa"/>
            <w:noWrap w:val="0"/>
            <w:vAlign w:val="top"/>
          </w:tcPr>
          <w:p w14:paraId="5CD952B5">
            <w:pPr>
              <w:widowControl w:val="0"/>
              <w:spacing w:line="360" w:lineRule="auto"/>
              <w:jc w:val="center"/>
              <w:rPr>
                <w:rFonts w:hint="eastAsia"/>
              </w:rPr>
            </w:pPr>
            <w:r>
              <w:rPr>
                <w:rFonts w:hint="eastAsia"/>
              </w:rPr>
              <w:t>采用入围中介机构所报费率的平均值计</w:t>
            </w:r>
          </w:p>
        </w:tc>
        <w:tc>
          <w:tcPr>
            <w:tcW w:w="3036" w:type="dxa"/>
            <w:noWrap w:val="0"/>
            <w:vAlign w:val="top"/>
          </w:tcPr>
          <w:p w14:paraId="11BDA3B0">
            <w:pPr>
              <w:widowControl w:val="0"/>
              <w:spacing w:line="360" w:lineRule="auto"/>
              <w:jc w:val="center"/>
              <w:rPr>
                <w:rFonts w:hint="eastAsia"/>
              </w:rPr>
            </w:pPr>
            <w:r>
              <w:rPr>
                <w:rFonts w:hint="eastAsia"/>
              </w:rPr>
              <w:t>具体项目按计算确认</w:t>
            </w:r>
          </w:p>
        </w:tc>
        <w:tc>
          <w:tcPr>
            <w:tcW w:w="912" w:type="dxa"/>
            <w:noWrap w:val="0"/>
            <w:vAlign w:val="top"/>
          </w:tcPr>
          <w:p w14:paraId="38953576">
            <w:pPr>
              <w:widowControl w:val="0"/>
              <w:spacing w:line="360" w:lineRule="auto"/>
              <w:jc w:val="center"/>
              <w:rPr>
                <w:rFonts w:hint="eastAsia"/>
              </w:rPr>
            </w:pPr>
          </w:p>
        </w:tc>
      </w:tr>
    </w:tbl>
    <w:p w14:paraId="291E4512">
      <w:pPr>
        <w:spacing w:line="360" w:lineRule="auto"/>
        <w:rPr>
          <w:rFonts w:hint="eastAsia"/>
          <w:b/>
        </w:rPr>
        <w:sectPr>
          <w:pgSz w:w="16838" w:h="11906" w:orient="landscape"/>
          <w:pgMar w:top="1797" w:right="1440" w:bottom="1797" w:left="1440" w:header="851" w:footer="992" w:gutter="0"/>
          <w:pgNumType w:fmt="decimal"/>
          <w:cols w:space="0" w:num="1"/>
          <w:rtlGutter w:val="0"/>
          <w:docGrid w:linePitch="0" w:charSpace="0"/>
        </w:sectPr>
      </w:pPr>
    </w:p>
    <w:p w14:paraId="68D7EBC3">
      <w:pPr>
        <w:spacing w:line="360" w:lineRule="auto"/>
        <w:rPr>
          <w:rFonts w:hint="eastAsia"/>
          <w:b/>
        </w:rPr>
      </w:pPr>
      <w:r>
        <w:rPr>
          <w:rFonts w:hint="eastAsia"/>
          <w:b/>
        </w:rPr>
        <w:t xml:space="preserve">           </w:t>
      </w:r>
    </w:p>
    <w:tbl>
      <w:tblPr>
        <w:tblStyle w:val="3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8"/>
        <w:gridCol w:w="7036"/>
        <w:gridCol w:w="5840"/>
      </w:tblGrid>
      <w:tr w14:paraId="3EB27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458" w:type="pct"/>
            <w:noWrap w:val="0"/>
            <w:vAlign w:val="center"/>
          </w:tcPr>
          <w:p w14:paraId="36A951D9">
            <w:pPr>
              <w:tabs>
                <w:tab w:val="left" w:pos="9135"/>
              </w:tabs>
              <w:spacing w:line="400" w:lineRule="atLeast"/>
              <w:jc w:val="center"/>
              <w:rPr>
                <w:rFonts w:hint="eastAsia"/>
                <w:sz w:val="21"/>
                <w:szCs w:val="21"/>
              </w:rPr>
            </w:pPr>
            <w:r>
              <w:rPr>
                <w:rFonts w:hint="eastAsia"/>
                <w:b/>
              </w:rPr>
              <w:t xml:space="preserve"> </w:t>
            </w:r>
            <w:r>
              <w:rPr>
                <w:b/>
              </w:rPr>
              <w:t xml:space="preserve"> </w:t>
            </w:r>
            <w:r>
              <w:rPr>
                <w:rFonts w:hint="eastAsia"/>
                <w:sz w:val="21"/>
                <w:szCs w:val="21"/>
              </w:rPr>
              <w:t>序号</w:t>
            </w:r>
          </w:p>
        </w:tc>
        <w:tc>
          <w:tcPr>
            <w:tcW w:w="2482" w:type="pct"/>
            <w:noWrap w:val="0"/>
            <w:vAlign w:val="center"/>
          </w:tcPr>
          <w:p w14:paraId="35682D6A">
            <w:pPr>
              <w:tabs>
                <w:tab w:val="left" w:pos="9135"/>
              </w:tabs>
              <w:spacing w:line="400" w:lineRule="atLeast"/>
              <w:jc w:val="center"/>
              <w:rPr>
                <w:rFonts w:hint="eastAsia"/>
                <w:sz w:val="21"/>
                <w:szCs w:val="21"/>
              </w:rPr>
            </w:pPr>
            <w:r>
              <w:rPr>
                <w:rFonts w:hint="eastAsia"/>
                <w:sz w:val="21"/>
                <w:szCs w:val="21"/>
              </w:rPr>
              <w:t>项目名称</w:t>
            </w:r>
          </w:p>
        </w:tc>
        <w:tc>
          <w:tcPr>
            <w:tcW w:w="2060" w:type="pct"/>
            <w:noWrap w:val="0"/>
            <w:vAlign w:val="center"/>
          </w:tcPr>
          <w:p w14:paraId="60A23EEA">
            <w:pPr>
              <w:tabs>
                <w:tab w:val="left" w:pos="9135"/>
              </w:tabs>
              <w:spacing w:line="400" w:lineRule="atLeast"/>
              <w:jc w:val="center"/>
              <w:rPr>
                <w:rFonts w:hint="eastAsia"/>
                <w:sz w:val="21"/>
                <w:szCs w:val="21"/>
              </w:rPr>
            </w:pPr>
            <w:r>
              <w:rPr>
                <w:rFonts w:hint="eastAsia"/>
                <w:sz w:val="21"/>
                <w:szCs w:val="21"/>
              </w:rPr>
              <w:t>计取方式</w:t>
            </w:r>
          </w:p>
        </w:tc>
      </w:tr>
      <w:tr w14:paraId="19B30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073415CF">
            <w:pPr>
              <w:spacing w:line="400" w:lineRule="atLeast"/>
              <w:jc w:val="center"/>
              <w:rPr>
                <w:rFonts w:hint="eastAsia"/>
                <w:sz w:val="21"/>
                <w:szCs w:val="21"/>
              </w:rPr>
            </w:pPr>
            <w:r>
              <w:rPr>
                <w:rFonts w:hint="eastAsia"/>
                <w:sz w:val="21"/>
                <w:szCs w:val="21"/>
              </w:rPr>
              <w:t>1</w:t>
            </w:r>
          </w:p>
        </w:tc>
        <w:tc>
          <w:tcPr>
            <w:tcW w:w="2482" w:type="pct"/>
            <w:noWrap w:val="0"/>
            <w:vAlign w:val="center"/>
          </w:tcPr>
          <w:p w14:paraId="1B58AABB">
            <w:pPr>
              <w:spacing w:line="400" w:lineRule="atLeast"/>
              <w:jc w:val="center"/>
              <w:rPr>
                <w:rFonts w:hint="eastAsia"/>
                <w:sz w:val="21"/>
                <w:szCs w:val="21"/>
              </w:rPr>
            </w:pPr>
            <w:r>
              <w:rPr>
                <w:rFonts w:hint="eastAsia"/>
                <w:sz w:val="21"/>
                <w:szCs w:val="21"/>
              </w:rPr>
              <w:t>造价类</w:t>
            </w:r>
          </w:p>
        </w:tc>
        <w:tc>
          <w:tcPr>
            <w:tcW w:w="2060" w:type="pct"/>
            <w:noWrap w:val="0"/>
            <w:vAlign w:val="center"/>
          </w:tcPr>
          <w:p w14:paraId="0F40CB86">
            <w:pPr>
              <w:tabs>
                <w:tab w:val="left" w:pos="9135"/>
              </w:tabs>
              <w:spacing w:line="400" w:lineRule="atLeast"/>
              <w:jc w:val="center"/>
              <w:rPr>
                <w:rFonts w:hint="eastAsia"/>
                <w:sz w:val="21"/>
                <w:szCs w:val="21"/>
              </w:rPr>
            </w:pPr>
            <w:r>
              <w:rPr>
                <w:rFonts w:hint="eastAsia"/>
                <w:sz w:val="21"/>
                <w:szCs w:val="21"/>
              </w:rPr>
              <w:t>按中价协【2013】35号文下浮50%</w:t>
            </w:r>
          </w:p>
        </w:tc>
      </w:tr>
      <w:tr w14:paraId="7FB83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2F33E7D6">
            <w:pPr>
              <w:spacing w:line="400" w:lineRule="atLeast"/>
              <w:jc w:val="center"/>
              <w:rPr>
                <w:rFonts w:hint="eastAsia"/>
                <w:sz w:val="21"/>
                <w:szCs w:val="21"/>
              </w:rPr>
            </w:pPr>
            <w:r>
              <w:rPr>
                <w:rFonts w:hint="eastAsia"/>
                <w:sz w:val="21"/>
                <w:szCs w:val="21"/>
              </w:rPr>
              <w:t>2</w:t>
            </w:r>
          </w:p>
        </w:tc>
        <w:tc>
          <w:tcPr>
            <w:tcW w:w="2482" w:type="pct"/>
            <w:noWrap w:val="0"/>
            <w:vAlign w:val="center"/>
          </w:tcPr>
          <w:p w14:paraId="4F808B7C">
            <w:pPr>
              <w:spacing w:line="400" w:lineRule="atLeast"/>
              <w:jc w:val="center"/>
              <w:rPr>
                <w:rFonts w:hint="eastAsia"/>
                <w:sz w:val="21"/>
                <w:szCs w:val="21"/>
              </w:rPr>
            </w:pPr>
            <w:r>
              <w:rPr>
                <w:rFonts w:hint="eastAsia"/>
                <w:sz w:val="21"/>
                <w:szCs w:val="21"/>
              </w:rPr>
              <w:t>复核类（送审金额≤200万元）</w:t>
            </w:r>
          </w:p>
        </w:tc>
        <w:tc>
          <w:tcPr>
            <w:tcW w:w="2060" w:type="pct"/>
            <w:noWrap w:val="0"/>
            <w:vAlign w:val="center"/>
          </w:tcPr>
          <w:p w14:paraId="0489C6A0">
            <w:pPr>
              <w:tabs>
                <w:tab w:val="left" w:pos="9135"/>
              </w:tabs>
              <w:spacing w:line="400" w:lineRule="atLeast"/>
              <w:jc w:val="center"/>
              <w:rPr>
                <w:rFonts w:hint="eastAsia"/>
                <w:sz w:val="21"/>
                <w:szCs w:val="21"/>
              </w:rPr>
            </w:pPr>
            <w:r>
              <w:rPr>
                <w:rFonts w:hint="eastAsia"/>
                <w:sz w:val="21"/>
                <w:szCs w:val="21"/>
              </w:rPr>
              <w:t>0</w:t>
            </w:r>
          </w:p>
        </w:tc>
      </w:tr>
      <w:tr w14:paraId="1B9C6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36E16D68">
            <w:pPr>
              <w:spacing w:line="400" w:lineRule="atLeast"/>
              <w:jc w:val="center"/>
              <w:rPr>
                <w:rFonts w:hint="eastAsia"/>
                <w:sz w:val="21"/>
                <w:szCs w:val="21"/>
              </w:rPr>
            </w:pPr>
            <w:r>
              <w:rPr>
                <w:rFonts w:hint="eastAsia"/>
                <w:sz w:val="21"/>
                <w:szCs w:val="21"/>
              </w:rPr>
              <w:t>3</w:t>
            </w:r>
          </w:p>
        </w:tc>
        <w:tc>
          <w:tcPr>
            <w:tcW w:w="2482" w:type="pct"/>
            <w:noWrap w:val="0"/>
            <w:vAlign w:val="center"/>
          </w:tcPr>
          <w:p w14:paraId="5CBE6308">
            <w:pPr>
              <w:spacing w:line="400" w:lineRule="atLeast"/>
              <w:jc w:val="both"/>
              <w:rPr>
                <w:rFonts w:hint="eastAsia"/>
                <w:sz w:val="21"/>
                <w:szCs w:val="21"/>
              </w:rPr>
            </w:pPr>
            <w:r>
              <w:rPr>
                <w:rFonts w:hint="eastAsia"/>
                <w:sz w:val="21"/>
                <w:szCs w:val="21"/>
              </w:rPr>
              <w:t>复核类（送审金额200万-500万(含)）</w:t>
            </w:r>
          </w:p>
        </w:tc>
        <w:tc>
          <w:tcPr>
            <w:tcW w:w="2060" w:type="pct"/>
            <w:noWrap w:val="0"/>
            <w:vAlign w:val="center"/>
          </w:tcPr>
          <w:p w14:paraId="084E89B7">
            <w:pPr>
              <w:tabs>
                <w:tab w:val="left" w:pos="9135"/>
              </w:tabs>
              <w:spacing w:line="400" w:lineRule="atLeast"/>
              <w:jc w:val="center"/>
              <w:rPr>
                <w:rFonts w:hint="eastAsia"/>
                <w:sz w:val="21"/>
                <w:szCs w:val="21"/>
              </w:rPr>
            </w:pPr>
            <w:r>
              <w:rPr>
                <w:rFonts w:hint="eastAsia"/>
                <w:sz w:val="21"/>
                <w:szCs w:val="21"/>
              </w:rPr>
              <w:t>按中价协【2013】35号文下浮70%</w:t>
            </w:r>
          </w:p>
        </w:tc>
      </w:tr>
      <w:tr w14:paraId="3576A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25083A03">
            <w:pPr>
              <w:spacing w:line="400" w:lineRule="atLeast"/>
              <w:jc w:val="center"/>
              <w:rPr>
                <w:rFonts w:hint="eastAsia"/>
                <w:sz w:val="21"/>
                <w:szCs w:val="21"/>
              </w:rPr>
            </w:pPr>
            <w:r>
              <w:rPr>
                <w:rFonts w:hint="eastAsia"/>
                <w:sz w:val="21"/>
                <w:szCs w:val="21"/>
              </w:rPr>
              <w:t>4</w:t>
            </w:r>
          </w:p>
        </w:tc>
        <w:tc>
          <w:tcPr>
            <w:tcW w:w="2482" w:type="pct"/>
            <w:noWrap w:val="0"/>
            <w:vAlign w:val="center"/>
          </w:tcPr>
          <w:p w14:paraId="4E909F5A">
            <w:pPr>
              <w:spacing w:line="400" w:lineRule="atLeast"/>
              <w:jc w:val="both"/>
              <w:rPr>
                <w:rFonts w:hint="eastAsia"/>
                <w:sz w:val="21"/>
                <w:szCs w:val="21"/>
              </w:rPr>
            </w:pPr>
            <w:r>
              <w:rPr>
                <w:rFonts w:hint="eastAsia"/>
                <w:sz w:val="21"/>
                <w:szCs w:val="21"/>
              </w:rPr>
              <w:t>复核类（送审金额500万-2000万(含)）</w:t>
            </w:r>
          </w:p>
        </w:tc>
        <w:tc>
          <w:tcPr>
            <w:tcW w:w="2060" w:type="pct"/>
            <w:noWrap w:val="0"/>
            <w:vAlign w:val="center"/>
          </w:tcPr>
          <w:p w14:paraId="2AA1EB62">
            <w:pPr>
              <w:tabs>
                <w:tab w:val="left" w:pos="9135"/>
              </w:tabs>
              <w:spacing w:line="400" w:lineRule="atLeast"/>
              <w:jc w:val="center"/>
              <w:rPr>
                <w:rFonts w:hint="eastAsia"/>
                <w:sz w:val="21"/>
                <w:szCs w:val="21"/>
              </w:rPr>
            </w:pPr>
            <w:r>
              <w:rPr>
                <w:rFonts w:hint="eastAsia"/>
                <w:sz w:val="21"/>
                <w:szCs w:val="21"/>
              </w:rPr>
              <w:t>按中价协【2013】35号文下浮75%</w:t>
            </w:r>
          </w:p>
        </w:tc>
      </w:tr>
      <w:tr w14:paraId="322C0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137E6CBB">
            <w:pPr>
              <w:spacing w:line="400" w:lineRule="atLeast"/>
              <w:jc w:val="center"/>
              <w:rPr>
                <w:rFonts w:hint="eastAsia"/>
                <w:sz w:val="21"/>
                <w:szCs w:val="21"/>
              </w:rPr>
            </w:pPr>
            <w:r>
              <w:rPr>
                <w:rFonts w:hint="eastAsia"/>
                <w:sz w:val="21"/>
                <w:szCs w:val="21"/>
              </w:rPr>
              <w:t>5</w:t>
            </w:r>
          </w:p>
        </w:tc>
        <w:tc>
          <w:tcPr>
            <w:tcW w:w="2482" w:type="pct"/>
            <w:noWrap w:val="0"/>
            <w:vAlign w:val="center"/>
          </w:tcPr>
          <w:p w14:paraId="76B0581F">
            <w:pPr>
              <w:spacing w:line="400" w:lineRule="atLeast"/>
              <w:jc w:val="both"/>
              <w:rPr>
                <w:rFonts w:hint="eastAsia"/>
                <w:sz w:val="21"/>
                <w:szCs w:val="21"/>
              </w:rPr>
            </w:pPr>
            <w:r>
              <w:rPr>
                <w:rFonts w:hint="eastAsia"/>
                <w:sz w:val="21"/>
                <w:szCs w:val="21"/>
              </w:rPr>
              <w:t>复核类（送审金额2000万-5000万(含)）</w:t>
            </w:r>
          </w:p>
        </w:tc>
        <w:tc>
          <w:tcPr>
            <w:tcW w:w="2060" w:type="pct"/>
            <w:noWrap w:val="0"/>
            <w:vAlign w:val="center"/>
          </w:tcPr>
          <w:p w14:paraId="7F0BB3B7">
            <w:pPr>
              <w:tabs>
                <w:tab w:val="left" w:pos="9135"/>
              </w:tabs>
              <w:spacing w:line="400" w:lineRule="atLeast"/>
              <w:jc w:val="center"/>
              <w:rPr>
                <w:rFonts w:hint="eastAsia"/>
                <w:sz w:val="21"/>
                <w:szCs w:val="21"/>
              </w:rPr>
            </w:pPr>
            <w:r>
              <w:rPr>
                <w:rFonts w:hint="eastAsia"/>
                <w:sz w:val="21"/>
                <w:szCs w:val="21"/>
              </w:rPr>
              <w:t>按中价协【2013】35号文下浮80%</w:t>
            </w:r>
          </w:p>
        </w:tc>
      </w:tr>
      <w:tr w14:paraId="32107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8" w:type="pct"/>
            <w:noWrap w:val="0"/>
            <w:vAlign w:val="center"/>
          </w:tcPr>
          <w:p w14:paraId="7C355262">
            <w:pPr>
              <w:spacing w:line="400" w:lineRule="atLeast"/>
              <w:jc w:val="center"/>
              <w:rPr>
                <w:rFonts w:hint="eastAsia"/>
                <w:sz w:val="21"/>
                <w:szCs w:val="21"/>
              </w:rPr>
            </w:pPr>
            <w:r>
              <w:rPr>
                <w:rFonts w:hint="eastAsia"/>
                <w:sz w:val="21"/>
                <w:szCs w:val="21"/>
              </w:rPr>
              <w:t>6</w:t>
            </w:r>
          </w:p>
        </w:tc>
        <w:tc>
          <w:tcPr>
            <w:tcW w:w="2482" w:type="pct"/>
            <w:noWrap w:val="0"/>
            <w:vAlign w:val="center"/>
          </w:tcPr>
          <w:p w14:paraId="6CA29EC4">
            <w:pPr>
              <w:spacing w:line="400" w:lineRule="atLeast"/>
              <w:jc w:val="both"/>
              <w:rPr>
                <w:rFonts w:hint="eastAsia"/>
                <w:sz w:val="21"/>
                <w:szCs w:val="21"/>
              </w:rPr>
            </w:pPr>
            <w:r>
              <w:rPr>
                <w:rFonts w:hint="eastAsia"/>
                <w:sz w:val="21"/>
                <w:szCs w:val="21"/>
              </w:rPr>
              <w:t>复核类（送审金额5000万-10000万(含)）</w:t>
            </w:r>
          </w:p>
        </w:tc>
        <w:tc>
          <w:tcPr>
            <w:tcW w:w="2060" w:type="pct"/>
            <w:noWrap w:val="0"/>
            <w:vAlign w:val="center"/>
          </w:tcPr>
          <w:p w14:paraId="40EDC788">
            <w:pPr>
              <w:tabs>
                <w:tab w:val="left" w:pos="9135"/>
              </w:tabs>
              <w:spacing w:line="400" w:lineRule="atLeast"/>
              <w:jc w:val="center"/>
              <w:rPr>
                <w:rFonts w:hint="eastAsia"/>
                <w:sz w:val="21"/>
                <w:szCs w:val="21"/>
              </w:rPr>
            </w:pPr>
            <w:r>
              <w:rPr>
                <w:rFonts w:hint="eastAsia"/>
                <w:sz w:val="21"/>
                <w:szCs w:val="21"/>
              </w:rPr>
              <w:t>按中价协【2013】35号文下浮85%</w:t>
            </w:r>
          </w:p>
        </w:tc>
      </w:tr>
    </w:tbl>
    <w:p w14:paraId="42201BC4">
      <w:pPr>
        <w:spacing w:line="360" w:lineRule="auto"/>
        <w:rPr>
          <w:b/>
        </w:rPr>
      </w:pPr>
    </w:p>
    <w:p w14:paraId="1FD02BED">
      <w:pPr>
        <w:spacing w:line="360" w:lineRule="auto"/>
        <w:rPr>
          <w:rFonts w:hint="eastAsia"/>
        </w:rPr>
      </w:pPr>
      <w:r>
        <w:rPr>
          <w:rFonts w:hint="eastAsia"/>
          <w:b/>
        </w:rPr>
        <w:t>注</w:t>
      </w:r>
      <w:r>
        <w:rPr>
          <w:b/>
        </w:rPr>
        <w:t>：</w:t>
      </w:r>
      <w:r>
        <w:rPr>
          <w:rFonts w:hint="eastAsia"/>
        </w:rPr>
        <w:t xml:space="preserve"> 附录A中服务范围及工作内容未涉及</w:t>
      </w:r>
      <w:r>
        <w:t>的可在“</w:t>
      </w:r>
      <w:r>
        <w:rPr>
          <w:rFonts w:hint="eastAsia"/>
        </w:rPr>
        <w:t>其他</w:t>
      </w:r>
      <w:r>
        <w:t>”</w:t>
      </w:r>
      <w:r>
        <w:rPr>
          <w:rFonts w:hint="eastAsia"/>
        </w:rPr>
        <w:t>项</w:t>
      </w:r>
      <w:r>
        <w:t>中列明。</w:t>
      </w:r>
    </w:p>
    <w:p w14:paraId="77578C1D">
      <w:pPr>
        <w:rPr>
          <w:rFonts w:hint="eastAsia"/>
        </w:rPr>
      </w:pPr>
      <w:bookmarkStart w:id="643" w:name="_Toc422322558"/>
      <w:bookmarkStart w:id="644" w:name="_Toc419045127"/>
    </w:p>
    <w:p w14:paraId="73F93FEE">
      <w:pPr>
        <w:rPr>
          <w:rFonts w:hint="eastAsia"/>
        </w:rPr>
      </w:pPr>
    </w:p>
    <w:p w14:paraId="40DC4912">
      <w:pPr>
        <w:rPr>
          <w:rFonts w:hint="eastAsia"/>
        </w:rPr>
      </w:pPr>
    </w:p>
    <w:p w14:paraId="68902747">
      <w:pPr>
        <w:rPr>
          <w:rFonts w:hint="eastAsia"/>
          <w:sz w:val="28"/>
          <w:szCs w:val="28"/>
        </w:rPr>
      </w:pPr>
      <w:r>
        <w:rPr>
          <w:rFonts w:hint="eastAsia"/>
          <w:sz w:val="28"/>
          <w:szCs w:val="28"/>
        </w:rPr>
        <w:br w:type="page"/>
      </w:r>
    </w:p>
    <w:p w14:paraId="39081262">
      <w:pPr>
        <w:pStyle w:val="2"/>
        <w:spacing w:before="0" w:after="0"/>
        <w:jc w:val="center"/>
        <w:rPr>
          <w:rFonts w:hint="eastAsia"/>
          <w:sz w:val="24"/>
          <w:szCs w:val="24"/>
        </w:rPr>
      </w:pPr>
      <w:r>
        <w:rPr>
          <w:rFonts w:hint="eastAsia"/>
          <w:sz w:val="28"/>
          <w:szCs w:val="28"/>
        </w:rPr>
        <w:t>附录B 咨询人提交成果文件一览表</w:t>
      </w:r>
      <w:bookmarkEnd w:id="643"/>
      <w:bookmarkEnd w:id="644"/>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2834"/>
        <w:gridCol w:w="2281"/>
        <w:gridCol w:w="2108"/>
        <w:gridCol w:w="1097"/>
        <w:gridCol w:w="3000"/>
      </w:tblGrid>
      <w:tr w14:paraId="6B3AD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376" w:type="dxa"/>
            <w:noWrap w:val="0"/>
            <w:vAlign w:val="center"/>
          </w:tcPr>
          <w:p w14:paraId="3B0D4730">
            <w:pPr>
              <w:widowControl w:val="0"/>
              <w:spacing w:line="360" w:lineRule="auto"/>
              <w:jc w:val="center"/>
              <w:rPr>
                <w:rFonts w:hint="eastAsia"/>
                <w:bCs/>
              </w:rPr>
            </w:pPr>
            <w:r>
              <w:rPr>
                <w:rFonts w:hint="eastAsia"/>
                <w:bCs/>
              </w:rPr>
              <w:t>服务阶段</w:t>
            </w:r>
          </w:p>
        </w:tc>
        <w:tc>
          <w:tcPr>
            <w:tcW w:w="2834" w:type="dxa"/>
            <w:noWrap w:val="0"/>
            <w:vAlign w:val="center"/>
          </w:tcPr>
          <w:p w14:paraId="3C08133D">
            <w:pPr>
              <w:widowControl w:val="0"/>
              <w:spacing w:line="360" w:lineRule="auto"/>
              <w:jc w:val="center"/>
              <w:rPr>
                <w:rFonts w:hint="eastAsia"/>
                <w:bCs/>
              </w:rPr>
            </w:pPr>
            <w:r>
              <w:rPr>
                <w:rFonts w:hint="eastAsia"/>
                <w:bCs/>
              </w:rPr>
              <w:t>成果文件名称</w:t>
            </w:r>
          </w:p>
        </w:tc>
        <w:tc>
          <w:tcPr>
            <w:tcW w:w="2281" w:type="dxa"/>
            <w:noWrap w:val="0"/>
            <w:vAlign w:val="center"/>
          </w:tcPr>
          <w:p w14:paraId="0E349837">
            <w:pPr>
              <w:widowControl w:val="0"/>
              <w:spacing w:line="360" w:lineRule="auto"/>
              <w:jc w:val="center"/>
              <w:rPr>
                <w:rFonts w:hint="eastAsia"/>
                <w:bCs/>
              </w:rPr>
            </w:pPr>
            <w:r>
              <w:rPr>
                <w:rFonts w:hint="eastAsia"/>
                <w:bCs/>
              </w:rPr>
              <w:t>成果文件组成</w:t>
            </w:r>
          </w:p>
        </w:tc>
        <w:tc>
          <w:tcPr>
            <w:tcW w:w="2108" w:type="dxa"/>
            <w:noWrap w:val="0"/>
            <w:vAlign w:val="center"/>
          </w:tcPr>
          <w:p w14:paraId="07F0F60F">
            <w:pPr>
              <w:widowControl w:val="0"/>
              <w:spacing w:line="360" w:lineRule="auto"/>
              <w:jc w:val="center"/>
              <w:rPr>
                <w:rFonts w:hint="eastAsia"/>
                <w:bCs/>
              </w:rPr>
            </w:pPr>
            <w:r>
              <w:rPr>
                <w:rFonts w:hint="eastAsia"/>
                <w:bCs/>
              </w:rPr>
              <w:t>提交时间</w:t>
            </w:r>
          </w:p>
        </w:tc>
        <w:tc>
          <w:tcPr>
            <w:tcW w:w="1097" w:type="dxa"/>
            <w:noWrap w:val="0"/>
            <w:vAlign w:val="center"/>
          </w:tcPr>
          <w:p w14:paraId="7EBBBDEE">
            <w:pPr>
              <w:widowControl w:val="0"/>
              <w:spacing w:line="360" w:lineRule="auto"/>
              <w:jc w:val="center"/>
              <w:rPr>
                <w:rFonts w:hint="eastAsia"/>
                <w:bCs/>
              </w:rPr>
            </w:pPr>
            <w:r>
              <w:rPr>
                <w:rFonts w:hint="eastAsia"/>
                <w:bCs/>
              </w:rPr>
              <w:t>份数</w:t>
            </w:r>
          </w:p>
        </w:tc>
        <w:tc>
          <w:tcPr>
            <w:tcW w:w="3000" w:type="dxa"/>
            <w:noWrap w:val="0"/>
            <w:vAlign w:val="center"/>
          </w:tcPr>
          <w:p w14:paraId="4E7C02D0">
            <w:pPr>
              <w:widowControl w:val="0"/>
              <w:spacing w:line="360" w:lineRule="auto"/>
              <w:jc w:val="center"/>
              <w:rPr>
                <w:rFonts w:hint="eastAsia"/>
                <w:bCs/>
              </w:rPr>
            </w:pPr>
            <w:r>
              <w:rPr>
                <w:rFonts w:hint="eastAsia"/>
                <w:bCs/>
              </w:rPr>
              <w:t>质量标准</w:t>
            </w:r>
          </w:p>
        </w:tc>
      </w:tr>
      <w:tr w14:paraId="3BDBC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exact"/>
          <w:jc w:val="center"/>
        </w:trPr>
        <w:tc>
          <w:tcPr>
            <w:tcW w:w="1376" w:type="dxa"/>
            <w:vMerge w:val="restart"/>
            <w:noWrap w:val="0"/>
            <w:vAlign w:val="center"/>
          </w:tcPr>
          <w:p w14:paraId="3AABC4BE">
            <w:pPr>
              <w:pStyle w:val="29"/>
              <w:widowControl w:val="0"/>
              <w:spacing w:line="360" w:lineRule="auto"/>
              <w:jc w:val="center"/>
              <w:rPr>
                <w:rFonts w:hint="eastAsia"/>
                <w:bCs/>
              </w:rPr>
            </w:pPr>
            <w:r>
              <w:rPr>
                <w:rFonts w:hint="eastAsia"/>
                <w:bCs/>
              </w:rPr>
              <w:t>发承包阶段</w:t>
            </w:r>
          </w:p>
        </w:tc>
        <w:tc>
          <w:tcPr>
            <w:tcW w:w="2834" w:type="dxa"/>
            <w:noWrap w:val="0"/>
            <w:vAlign w:val="center"/>
          </w:tcPr>
          <w:p w14:paraId="4307BB75">
            <w:pPr>
              <w:widowControl w:val="0"/>
              <w:spacing w:line="360" w:lineRule="auto"/>
              <w:jc w:val="center"/>
              <w:rPr>
                <w:rFonts w:hint="eastAsia"/>
                <w:bCs/>
              </w:rPr>
            </w:pPr>
            <w:r>
              <w:rPr>
                <w:rFonts w:hint="eastAsia"/>
                <w:bCs/>
              </w:rPr>
              <w:t>工程量清单</w:t>
            </w:r>
          </w:p>
        </w:tc>
        <w:tc>
          <w:tcPr>
            <w:tcW w:w="2281" w:type="dxa"/>
            <w:noWrap w:val="0"/>
            <w:vAlign w:val="center"/>
          </w:tcPr>
          <w:p w14:paraId="7F30CACA">
            <w:pPr>
              <w:widowControl w:val="0"/>
              <w:spacing w:line="360" w:lineRule="auto"/>
              <w:jc w:val="center"/>
              <w:rPr>
                <w:rFonts w:hint="eastAsia"/>
                <w:bCs/>
              </w:rPr>
            </w:pPr>
            <w:r>
              <w:rPr>
                <w:rFonts w:hint="eastAsia"/>
                <w:bCs/>
              </w:rPr>
              <w:t>按照行业标准要求</w:t>
            </w:r>
          </w:p>
        </w:tc>
        <w:tc>
          <w:tcPr>
            <w:tcW w:w="2108" w:type="dxa"/>
            <w:noWrap w:val="0"/>
            <w:vAlign w:val="center"/>
          </w:tcPr>
          <w:p w14:paraId="38F59612">
            <w:pPr>
              <w:widowControl w:val="0"/>
              <w:spacing w:line="360" w:lineRule="auto"/>
              <w:jc w:val="center"/>
              <w:rPr>
                <w:rFonts w:hint="eastAsia"/>
                <w:bCs/>
              </w:rPr>
            </w:pPr>
            <w:r>
              <w:rPr>
                <w:rFonts w:hint="eastAsia"/>
                <w:bCs/>
              </w:rPr>
              <w:t>按专用条款执行</w:t>
            </w:r>
          </w:p>
        </w:tc>
        <w:tc>
          <w:tcPr>
            <w:tcW w:w="1097" w:type="dxa"/>
            <w:noWrap w:val="0"/>
            <w:vAlign w:val="top"/>
          </w:tcPr>
          <w:p w14:paraId="1F1CAE15">
            <w:pPr>
              <w:widowControl w:val="0"/>
              <w:spacing w:line="360" w:lineRule="auto"/>
              <w:jc w:val="center"/>
              <w:rPr>
                <w:rFonts w:hint="eastAsia"/>
                <w:bCs/>
              </w:rPr>
            </w:pPr>
            <w:r>
              <w:rPr>
                <w:rFonts w:hint="eastAsia"/>
                <w:bCs/>
              </w:rPr>
              <w:t>1份</w:t>
            </w:r>
          </w:p>
        </w:tc>
        <w:tc>
          <w:tcPr>
            <w:tcW w:w="3000" w:type="dxa"/>
            <w:noWrap w:val="0"/>
            <w:vAlign w:val="center"/>
          </w:tcPr>
          <w:p w14:paraId="25E3735E">
            <w:pPr>
              <w:widowControl w:val="0"/>
              <w:spacing w:line="360" w:lineRule="auto"/>
              <w:jc w:val="center"/>
              <w:rPr>
                <w:rFonts w:hint="eastAsia"/>
                <w:bCs/>
              </w:rPr>
            </w:pPr>
            <w:r>
              <w:rPr>
                <w:rFonts w:hint="eastAsia"/>
                <w:bCs/>
              </w:rPr>
              <w:t>符合国家相关标准</w:t>
            </w:r>
          </w:p>
        </w:tc>
      </w:tr>
      <w:tr w14:paraId="5E8FB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exact"/>
          <w:jc w:val="center"/>
        </w:trPr>
        <w:tc>
          <w:tcPr>
            <w:tcW w:w="1376" w:type="dxa"/>
            <w:vMerge w:val="continue"/>
            <w:noWrap w:val="0"/>
            <w:vAlign w:val="center"/>
          </w:tcPr>
          <w:p w14:paraId="1FA54099">
            <w:pPr>
              <w:pStyle w:val="29"/>
              <w:widowControl w:val="0"/>
              <w:spacing w:line="360" w:lineRule="auto"/>
              <w:jc w:val="center"/>
              <w:rPr>
                <w:rFonts w:hint="eastAsia"/>
                <w:bCs/>
              </w:rPr>
            </w:pPr>
          </w:p>
        </w:tc>
        <w:tc>
          <w:tcPr>
            <w:tcW w:w="2834" w:type="dxa"/>
            <w:noWrap w:val="0"/>
            <w:vAlign w:val="center"/>
          </w:tcPr>
          <w:p w14:paraId="1C57CD35">
            <w:pPr>
              <w:widowControl w:val="0"/>
              <w:spacing w:line="360" w:lineRule="auto"/>
              <w:jc w:val="center"/>
              <w:rPr>
                <w:rFonts w:hint="eastAsia"/>
                <w:bCs/>
              </w:rPr>
            </w:pPr>
            <w:r>
              <w:rPr>
                <w:rFonts w:hint="eastAsia"/>
                <w:bCs/>
              </w:rPr>
              <w:t>招标控制价</w:t>
            </w:r>
          </w:p>
        </w:tc>
        <w:tc>
          <w:tcPr>
            <w:tcW w:w="2281" w:type="dxa"/>
            <w:noWrap w:val="0"/>
            <w:vAlign w:val="top"/>
          </w:tcPr>
          <w:p w14:paraId="228086AD">
            <w:pPr>
              <w:widowControl w:val="0"/>
              <w:spacing w:line="360" w:lineRule="auto"/>
              <w:jc w:val="center"/>
              <w:rPr>
                <w:rFonts w:hint="eastAsia"/>
                <w:bCs/>
              </w:rPr>
            </w:pPr>
            <w:r>
              <w:rPr>
                <w:rFonts w:hint="eastAsia"/>
                <w:bCs/>
              </w:rPr>
              <w:t>按照行业标准要求</w:t>
            </w:r>
          </w:p>
        </w:tc>
        <w:tc>
          <w:tcPr>
            <w:tcW w:w="2108" w:type="dxa"/>
            <w:noWrap w:val="0"/>
            <w:vAlign w:val="center"/>
          </w:tcPr>
          <w:p w14:paraId="7AB6E660">
            <w:pPr>
              <w:widowControl w:val="0"/>
              <w:spacing w:line="360" w:lineRule="auto"/>
              <w:jc w:val="center"/>
              <w:rPr>
                <w:rFonts w:hint="eastAsia"/>
                <w:bCs/>
              </w:rPr>
            </w:pPr>
            <w:r>
              <w:rPr>
                <w:rFonts w:hint="eastAsia"/>
                <w:bCs/>
              </w:rPr>
              <w:t>按专用条款执行</w:t>
            </w:r>
          </w:p>
        </w:tc>
        <w:tc>
          <w:tcPr>
            <w:tcW w:w="1097" w:type="dxa"/>
            <w:noWrap w:val="0"/>
            <w:vAlign w:val="top"/>
          </w:tcPr>
          <w:p w14:paraId="194E83FB">
            <w:pPr>
              <w:widowControl w:val="0"/>
              <w:spacing w:line="360" w:lineRule="auto"/>
              <w:jc w:val="center"/>
              <w:rPr>
                <w:rFonts w:hint="eastAsia"/>
                <w:bCs/>
              </w:rPr>
            </w:pPr>
            <w:r>
              <w:rPr>
                <w:rFonts w:hint="eastAsia"/>
                <w:bCs/>
              </w:rPr>
              <w:t>6份</w:t>
            </w:r>
          </w:p>
        </w:tc>
        <w:tc>
          <w:tcPr>
            <w:tcW w:w="3000" w:type="dxa"/>
            <w:noWrap w:val="0"/>
            <w:vAlign w:val="center"/>
          </w:tcPr>
          <w:p w14:paraId="7464AD4A">
            <w:pPr>
              <w:widowControl w:val="0"/>
              <w:spacing w:line="360" w:lineRule="auto"/>
              <w:jc w:val="center"/>
              <w:rPr>
                <w:rFonts w:hint="eastAsia"/>
                <w:bCs/>
              </w:rPr>
            </w:pPr>
            <w:r>
              <w:rPr>
                <w:rFonts w:hint="eastAsia"/>
                <w:bCs/>
              </w:rPr>
              <w:t>符合国家相关标准</w:t>
            </w:r>
          </w:p>
        </w:tc>
      </w:tr>
      <w:tr w14:paraId="1D41D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exact"/>
          <w:jc w:val="center"/>
        </w:trPr>
        <w:tc>
          <w:tcPr>
            <w:tcW w:w="1376" w:type="dxa"/>
            <w:vMerge w:val="continue"/>
            <w:noWrap w:val="0"/>
            <w:vAlign w:val="center"/>
          </w:tcPr>
          <w:p w14:paraId="44B00665">
            <w:pPr>
              <w:widowControl w:val="0"/>
              <w:spacing w:line="360" w:lineRule="auto"/>
              <w:jc w:val="center"/>
              <w:rPr>
                <w:rFonts w:hint="eastAsia"/>
                <w:bCs/>
              </w:rPr>
            </w:pPr>
          </w:p>
        </w:tc>
        <w:tc>
          <w:tcPr>
            <w:tcW w:w="2834" w:type="dxa"/>
            <w:noWrap w:val="0"/>
            <w:vAlign w:val="center"/>
          </w:tcPr>
          <w:p w14:paraId="725F7627">
            <w:pPr>
              <w:widowControl w:val="0"/>
              <w:spacing w:line="360" w:lineRule="auto"/>
              <w:jc w:val="center"/>
              <w:rPr>
                <w:rFonts w:hint="eastAsia"/>
                <w:bCs/>
              </w:rPr>
            </w:pPr>
            <w:r>
              <w:rPr>
                <w:rFonts w:hint="eastAsia"/>
                <w:bCs/>
              </w:rPr>
              <w:t>应出具的备案文件</w:t>
            </w:r>
          </w:p>
        </w:tc>
        <w:tc>
          <w:tcPr>
            <w:tcW w:w="2281" w:type="dxa"/>
            <w:noWrap w:val="0"/>
            <w:vAlign w:val="top"/>
          </w:tcPr>
          <w:p w14:paraId="2AA873B7">
            <w:pPr>
              <w:widowControl w:val="0"/>
              <w:spacing w:line="360" w:lineRule="auto"/>
              <w:jc w:val="center"/>
              <w:rPr>
                <w:rFonts w:hint="eastAsia"/>
                <w:bCs/>
              </w:rPr>
            </w:pPr>
            <w:r>
              <w:rPr>
                <w:rFonts w:hint="eastAsia"/>
                <w:bCs/>
              </w:rPr>
              <w:t>按照行业标准要求</w:t>
            </w:r>
          </w:p>
        </w:tc>
        <w:tc>
          <w:tcPr>
            <w:tcW w:w="2108" w:type="dxa"/>
            <w:noWrap w:val="0"/>
            <w:vAlign w:val="center"/>
          </w:tcPr>
          <w:p w14:paraId="7BC633B0">
            <w:pPr>
              <w:widowControl w:val="0"/>
              <w:spacing w:line="360" w:lineRule="auto"/>
              <w:jc w:val="center"/>
              <w:rPr>
                <w:rFonts w:hint="eastAsia"/>
                <w:bCs/>
              </w:rPr>
            </w:pPr>
            <w:r>
              <w:rPr>
                <w:rFonts w:hint="eastAsia"/>
                <w:bCs/>
              </w:rPr>
              <w:t>按专用条款执行</w:t>
            </w:r>
          </w:p>
        </w:tc>
        <w:tc>
          <w:tcPr>
            <w:tcW w:w="1097" w:type="dxa"/>
            <w:noWrap w:val="0"/>
            <w:vAlign w:val="center"/>
          </w:tcPr>
          <w:p w14:paraId="45E56F72">
            <w:pPr>
              <w:widowControl w:val="0"/>
              <w:spacing w:line="360" w:lineRule="auto"/>
              <w:jc w:val="center"/>
              <w:rPr>
                <w:rFonts w:hint="eastAsia"/>
                <w:bCs/>
              </w:rPr>
            </w:pPr>
            <w:r>
              <w:rPr>
                <w:rFonts w:hint="eastAsia"/>
                <w:bCs/>
              </w:rPr>
              <w:t>按要求</w:t>
            </w:r>
          </w:p>
        </w:tc>
        <w:tc>
          <w:tcPr>
            <w:tcW w:w="3000" w:type="dxa"/>
            <w:noWrap w:val="0"/>
            <w:vAlign w:val="center"/>
          </w:tcPr>
          <w:p w14:paraId="55F6B13B">
            <w:pPr>
              <w:widowControl w:val="0"/>
              <w:spacing w:line="360" w:lineRule="auto"/>
              <w:jc w:val="center"/>
              <w:rPr>
                <w:rFonts w:hint="eastAsia"/>
                <w:bCs/>
              </w:rPr>
            </w:pPr>
          </w:p>
        </w:tc>
      </w:tr>
      <w:tr w14:paraId="68867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376" w:type="dxa"/>
            <w:vMerge w:val="restart"/>
            <w:noWrap w:val="0"/>
            <w:vAlign w:val="center"/>
          </w:tcPr>
          <w:p w14:paraId="244EB138">
            <w:pPr>
              <w:pStyle w:val="29"/>
              <w:widowControl w:val="0"/>
              <w:spacing w:line="360" w:lineRule="auto"/>
              <w:jc w:val="center"/>
              <w:rPr>
                <w:rFonts w:hint="eastAsia"/>
                <w:bCs/>
              </w:rPr>
            </w:pPr>
            <w:r>
              <w:rPr>
                <w:rFonts w:hint="eastAsia"/>
                <w:bCs/>
              </w:rPr>
              <w:t>实施阶段</w:t>
            </w:r>
          </w:p>
        </w:tc>
        <w:tc>
          <w:tcPr>
            <w:tcW w:w="2834" w:type="dxa"/>
            <w:noWrap w:val="0"/>
            <w:vAlign w:val="center"/>
          </w:tcPr>
          <w:p w14:paraId="5F80CD2F">
            <w:pPr>
              <w:widowControl w:val="0"/>
              <w:spacing w:line="360" w:lineRule="auto"/>
              <w:jc w:val="center"/>
              <w:rPr>
                <w:rFonts w:hint="eastAsia"/>
                <w:bCs/>
              </w:rPr>
            </w:pPr>
            <w:r>
              <w:rPr>
                <w:rFonts w:hint="eastAsia"/>
                <w:bCs/>
              </w:rPr>
              <w:t>进度审核报告</w:t>
            </w:r>
          </w:p>
        </w:tc>
        <w:tc>
          <w:tcPr>
            <w:tcW w:w="2281" w:type="dxa"/>
            <w:noWrap w:val="0"/>
            <w:vAlign w:val="center"/>
          </w:tcPr>
          <w:p w14:paraId="31AA172C">
            <w:pPr>
              <w:widowControl w:val="0"/>
              <w:spacing w:line="360" w:lineRule="auto"/>
              <w:jc w:val="center"/>
              <w:rPr>
                <w:rFonts w:hint="eastAsia"/>
                <w:bCs/>
              </w:rPr>
            </w:pPr>
          </w:p>
        </w:tc>
        <w:tc>
          <w:tcPr>
            <w:tcW w:w="2108" w:type="dxa"/>
            <w:noWrap w:val="0"/>
            <w:vAlign w:val="center"/>
          </w:tcPr>
          <w:p w14:paraId="1C5912A5">
            <w:pPr>
              <w:widowControl w:val="0"/>
              <w:spacing w:line="360" w:lineRule="auto"/>
              <w:jc w:val="center"/>
              <w:rPr>
                <w:rFonts w:hint="eastAsia"/>
                <w:bCs/>
              </w:rPr>
            </w:pPr>
          </w:p>
        </w:tc>
        <w:tc>
          <w:tcPr>
            <w:tcW w:w="1097" w:type="dxa"/>
            <w:noWrap w:val="0"/>
            <w:vAlign w:val="top"/>
          </w:tcPr>
          <w:p w14:paraId="09F3EBBE">
            <w:pPr>
              <w:widowControl w:val="0"/>
              <w:spacing w:line="360" w:lineRule="auto"/>
              <w:jc w:val="center"/>
              <w:rPr>
                <w:rFonts w:hint="eastAsia"/>
                <w:bCs/>
              </w:rPr>
            </w:pPr>
            <w:r>
              <w:rPr>
                <w:rFonts w:hint="eastAsia"/>
                <w:bCs/>
              </w:rPr>
              <w:t>按要求</w:t>
            </w:r>
          </w:p>
        </w:tc>
        <w:tc>
          <w:tcPr>
            <w:tcW w:w="3000" w:type="dxa"/>
            <w:noWrap w:val="0"/>
            <w:vAlign w:val="top"/>
          </w:tcPr>
          <w:p w14:paraId="3430A98E">
            <w:pPr>
              <w:widowControl w:val="0"/>
              <w:spacing w:line="360" w:lineRule="auto"/>
              <w:jc w:val="center"/>
              <w:rPr>
                <w:rFonts w:hint="eastAsia"/>
                <w:bCs/>
              </w:rPr>
            </w:pPr>
            <w:r>
              <w:rPr>
                <w:rFonts w:hint="eastAsia"/>
                <w:bCs/>
              </w:rPr>
              <w:t>合格</w:t>
            </w:r>
          </w:p>
        </w:tc>
      </w:tr>
      <w:tr w14:paraId="13815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exact"/>
          <w:jc w:val="center"/>
        </w:trPr>
        <w:tc>
          <w:tcPr>
            <w:tcW w:w="1376" w:type="dxa"/>
            <w:vMerge w:val="continue"/>
            <w:noWrap w:val="0"/>
            <w:vAlign w:val="center"/>
          </w:tcPr>
          <w:p w14:paraId="5C69400F">
            <w:pPr>
              <w:pStyle w:val="29"/>
              <w:widowControl w:val="0"/>
              <w:spacing w:line="360" w:lineRule="auto"/>
              <w:jc w:val="center"/>
              <w:rPr>
                <w:rFonts w:hint="eastAsia"/>
                <w:bCs/>
              </w:rPr>
            </w:pPr>
          </w:p>
        </w:tc>
        <w:tc>
          <w:tcPr>
            <w:tcW w:w="2834" w:type="dxa"/>
            <w:noWrap w:val="0"/>
            <w:vAlign w:val="center"/>
          </w:tcPr>
          <w:p w14:paraId="391D92B5">
            <w:pPr>
              <w:widowControl w:val="0"/>
              <w:spacing w:line="360" w:lineRule="auto"/>
              <w:jc w:val="center"/>
              <w:rPr>
                <w:rFonts w:hint="eastAsia"/>
                <w:bCs/>
              </w:rPr>
            </w:pPr>
            <w:r>
              <w:rPr>
                <w:rFonts w:hint="eastAsia"/>
                <w:bCs/>
              </w:rPr>
              <w:t>经济性分析报告</w:t>
            </w:r>
          </w:p>
        </w:tc>
        <w:tc>
          <w:tcPr>
            <w:tcW w:w="2281" w:type="dxa"/>
            <w:noWrap w:val="0"/>
            <w:vAlign w:val="center"/>
          </w:tcPr>
          <w:p w14:paraId="3235F926">
            <w:pPr>
              <w:widowControl w:val="0"/>
              <w:spacing w:line="360" w:lineRule="auto"/>
              <w:jc w:val="center"/>
              <w:rPr>
                <w:rFonts w:hint="eastAsia"/>
                <w:bCs/>
              </w:rPr>
            </w:pPr>
          </w:p>
        </w:tc>
        <w:tc>
          <w:tcPr>
            <w:tcW w:w="2108" w:type="dxa"/>
            <w:noWrap w:val="0"/>
            <w:vAlign w:val="center"/>
          </w:tcPr>
          <w:p w14:paraId="28FF397A">
            <w:pPr>
              <w:widowControl w:val="0"/>
              <w:spacing w:line="360" w:lineRule="auto"/>
              <w:jc w:val="center"/>
              <w:rPr>
                <w:rFonts w:hint="eastAsia"/>
                <w:bCs/>
              </w:rPr>
            </w:pPr>
          </w:p>
        </w:tc>
        <w:tc>
          <w:tcPr>
            <w:tcW w:w="1097" w:type="dxa"/>
            <w:noWrap w:val="0"/>
            <w:vAlign w:val="top"/>
          </w:tcPr>
          <w:p w14:paraId="7137F188">
            <w:pPr>
              <w:widowControl w:val="0"/>
              <w:spacing w:line="360" w:lineRule="auto"/>
              <w:jc w:val="center"/>
              <w:rPr>
                <w:rFonts w:hint="eastAsia"/>
                <w:bCs/>
              </w:rPr>
            </w:pPr>
            <w:r>
              <w:rPr>
                <w:rFonts w:hint="eastAsia"/>
                <w:bCs/>
              </w:rPr>
              <w:t>按要求</w:t>
            </w:r>
          </w:p>
        </w:tc>
        <w:tc>
          <w:tcPr>
            <w:tcW w:w="3000" w:type="dxa"/>
            <w:noWrap w:val="0"/>
            <w:vAlign w:val="top"/>
          </w:tcPr>
          <w:p w14:paraId="289F37D8">
            <w:pPr>
              <w:widowControl w:val="0"/>
              <w:spacing w:line="360" w:lineRule="auto"/>
              <w:jc w:val="center"/>
              <w:rPr>
                <w:rFonts w:hint="eastAsia"/>
                <w:bCs/>
              </w:rPr>
            </w:pPr>
            <w:r>
              <w:rPr>
                <w:rFonts w:hint="eastAsia"/>
                <w:bCs/>
              </w:rPr>
              <w:t>合格</w:t>
            </w:r>
          </w:p>
        </w:tc>
      </w:tr>
      <w:tr w14:paraId="0118E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exact"/>
          <w:jc w:val="center"/>
        </w:trPr>
        <w:tc>
          <w:tcPr>
            <w:tcW w:w="1376" w:type="dxa"/>
            <w:vMerge w:val="continue"/>
            <w:noWrap w:val="0"/>
            <w:vAlign w:val="center"/>
          </w:tcPr>
          <w:p w14:paraId="1BC7C133">
            <w:pPr>
              <w:pStyle w:val="29"/>
              <w:widowControl w:val="0"/>
              <w:spacing w:line="360" w:lineRule="auto"/>
              <w:jc w:val="center"/>
              <w:rPr>
                <w:rFonts w:hint="eastAsia"/>
                <w:bCs/>
              </w:rPr>
            </w:pPr>
          </w:p>
        </w:tc>
        <w:tc>
          <w:tcPr>
            <w:tcW w:w="2834" w:type="dxa"/>
            <w:noWrap w:val="0"/>
            <w:vAlign w:val="center"/>
          </w:tcPr>
          <w:p w14:paraId="067F90DC">
            <w:pPr>
              <w:widowControl w:val="0"/>
              <w:spacing w:line="360" w:lineRule="auto"/>
              <w:jc w:val="center"/>
              <w:rPr>
                <w:rFonts w:hint="eastAsia"/>
                <w:bCs/>
              </w:rPr>
            </w:pPr>
            <w:r>
              <w:rPr>
                <w:rFonts w:hint="eastAsia"/>
                <w:bCs/>
              </w:rPr>
              <w:t>工程进度情况表</w:t>
            </w:r>
          </w:p>
        </w:tc>
        <w:tc>
          <w:tcPr>
            <w:tcW w:w="2281" w:type="dxa"/>
            <w:noWrap w:val="0"/>
            <w:vAlign w:val="center"/>
          </w:tcPr>
          <w:p w14:paraId="460D5FD7">
            <w:pPr>
              <w:widowControl w:val="0"/>
              <w:spacing w:line="360" w:lineRule="auto"/>
              <w:jc w:val="center"/>
              <w:rPr>
                <w:rFonts w:hint="eastAsia"/>
                <w:bCs/>
              </w:rPr>
            </w:pPr>
            <w:r>
              <w:rPr>
                <w:rFonts w:hint="eastAsia"/>
                <w:bCs/>
              </w:rPr>
              <w:t>电子版、纸质版</w:t>
            </w:r>
          </w:p>
        </w:tc>
        <w:tc>
          <w:tcPr>
            <w:tcW w:w="2108" w:type="dxa"/>
            <w:noWrap w:val="0"/>
            <w:vAlign w:val="center"/>
          </w:tcPr>
          <w:p w14:paraId="4E9456C8">
            <w:pPr>
              <w:widowControl w:val="0"/>
              <w:spacing w:line="360" w:lineRule="auto"/>
              <w:jc w:val="center"/>
              <w:rPr>
                <w:rFonts w:hint="eastAsia"/>
                <w:bCs/>
              </w:rPr>
            </w:pPr>
            <w:r>
              <w:rPr>
                <w:rFonts w:hint="eastAsia"/>
                <w:bCs/>
              </w:rPr>
              <w:t>按专用条款执行</w:t>
            </w:r>
          </w:p>
        </w:tc>
        <w:tc>
          <w:tcPr>
            <w:tcW w:w="1097" w:type="dxa"/>
            <w:noWrap w:val="0"/>
            <w:vAlign w:val="center"/>
          </w:tcPr>
          <w:p w14:paraId="78D63678">
            <w:pPr>
              <w:widowControl w:val="0"/>
              <w:spacing w:line="360" w:lineRule="auto"/>
              <w:jc w:val="center"/>
              <w:rPr>
                <w:rFonts w:hint="eastAsia"/>
                <w:bCs/>
              </w:rPr>
            </w:pPr>
            <w:r>
              <w:rPr>
                <w:rFonts w:hint="eastAsia"/>
                <w:bCs/>
              </w:rPr>
              <w:t>1份</w:t>
            </w:r>
          </w:p>
        </w:tc>
        <w:tc>
          <w:tcPr>
            <w:tcW w:w="3000" w:type="dxa"/>
            <w:noWrap w:val="0"/>
            <w:vAlign w:val="center"/>
          </w:tcPr>
          <w:p w14:paraId="2A69F134">
            <w:pPr>
              <w:widowControl w:val="0"/>
              <w:spacing w:line="360" w:lineRule="auto"/>
              <w:jc w:val="center"/>
              <w:rPr>
                <w:rFonts w:hint="eastAsia"/>
                <w:bCs/>
              </w:rPr>
            </w:pPr>
            <w:r>
              <w:rPr>
                <w:rFonts w:hint="eastAsia"/>
                <w:bCs/>
              </w:rPr>
              <w:t>符合甲方要求</w:t>
            </w:r>
          </w:p>
        </w:tc>
      </w:tr>
      <w:tr w14:paraId="5BACC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exact"/>
          <w:jc w:val="center"/>
        </w:trPr>
        <w:tc>
          <w:tcPr>
            <w:tcW w:w="1376" w:type="dxa"/>
            <w:vMerge w:val="continue"/>
            <w:noWrap w:val="0"/>
            <w:vAlign w:val="center"/>
          </w:tcPr>
          <w:p w14:paraId="6EFDDC5A">
            <w:pPr>
              <w:pStyle w:val="29"/>
              <w:widowControl w:val="0"/>
              <w:spacing w:line="360" w:lineRule="auto"/>
              <w:jc w:val="center"/>
              <w:rPr>
                <w:rFonts w:hint="eastAsia"/>
                <w:bCs/>
              </w:rPr>
            </w:pPr>
          </w:p>
        </w:tc>
        <w:tc>
          <w:tcPr>
            <w:tcW w:w="2834" w:type="dxa"/>
            <w:noWrap w:val="0"/>
            <w:vAlign w:val="center"/>
          </w:tcPr>
          <w:p w14:paraId="3952073A">
            <w:pPr>
              <w:widowControl w:val="0"/>
              <w:spacing w:line="360" w:lineRule="auto"/>
              <w:jc w:val="center"/>
              <w:rPr>
                <w:rFonts w:hint="eastAsia"/>
                <w:bCs/>
              </w:rPr>
            </w:pPr>
            <w:r>
              <w:rPr>
                <w:rFonts w:hint="eastAsia"/>
                <w:bCs/>
              </w:rPr>
              <w:t>市场价调查成果文件</w:t>
            </w:r>
          </w:p>
        </w:tc>
        <w:tc>
          <w:tcPr>
            <w:tcW w:w="2281" w:type="dxa"/>
            <w:noWrap w:val="0"/>
            <w:vAlign w:val="center"/>
          </w:tcPr>
          <w:p w14:paraId="170F0CE6">
            <w:pPr>
              <w:widowControl w:val="0"/>
              <w:spacing w:line="360" w:lineRule="auto"/>
              <w:jc w:val="center"/>
              <w:rPr>
                <w:rFonts w:hint="eastAsia"/>
                <w:bCs/>
              </w:rPr>
            </w:pPr>
          </w:p>
        </w:tc>
        <w:tc>
          <w:tcPr>
            <w:tcW w:w="2108" w:type="dxa"/>
            <w:noWrap w:val="0"/>
            <w:vAlign w:val="center"/>
          </w:tcPr>
          <w:p w14:paraId="75536415">
            <w:pPr>
              <w:widowControl w:val="0"/>
              <w:spacing w:line="360" w:lineRule="auto"/>
              <w:jc w:val="center"/>
              <w:rPr>
                <w:rFonts w:hint="eastAsia"/>
                <w:bCs/>
              </w:rPr>
            </w:pPr>
          </w:p>
        </w:tc>
        <w:tc>
          <w:tcPr>
            <w:tcW w:w="1097" w:type="dxa"/>
            <w:noWrap w:val="0"/>
            <w:vAlign w:val="top"/>
          </w:tcPr>
          <w:p w14:paraId="3DFC5314">
            <w:pPr>
              <w:widowControl w:val="0"/>
              <w:spacing w:line="360" w:lineRule="auto"/>
              <w:jc w:val="center"/>
              <w:rPr>
                <w:rFonts w:hint="eastAsia"/>
                <w:bCs/>
              </w:rPr>
            </w:pPr>
            <w:r>
              <w:rPr>
                <w:rFonts w:hint="eastAsia"/>
                <w:bCs/>
              </w:rPr>
              <w:t>按要求</w:t>
            </w:r>
          </w:p>
        </w:tc>
        <w:tc>
          <w:tcPr>
            <w:tcW w:w="3000" w:type="dxa"/>
            <w:noWrap w:val="0"/>
            <w:vAlign w:val="top"/>
          </w:tcPr>
          <w:p w14:paraId="15669F06">
            <w:pPr>
              <w:widowControl w:val="0"/>
              <w:spacing w:line="360" w:lineRule="auto"/>
              <w:jc w:val="center"/>
              <w:rPr>
                <w:rFonts w:hint="eastAsia"/>
                <w:bCs/>
              </w:rPr>
            </w:pPr>
            <w:r>
              <w:rPr>
                <w:rFonts w:hint="eastAsia"/>
                <w:bCs/>
              </w:rPr>
              <w:t>合格</w:t>
            </w:r>
          </w:p>
        </w:tc>
      </w:tr>
      <w:tr w14:paraId="22D4F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exact"/>
          <w:jc w:val="center"/>
        </w:trPr>
        <w:tc>
          <w:tcPr>
            <w:tcW w:w="1376" w:type="dxa"/>
            <w:noWrap w:val="0"/>
            <w:vAlign w:val="center"/>
          </w:tcPr>
          <w:p w14:paraId="705D6EEA">
            <w:pPr>
              <w:pStyle w:val="29"/>
              <w:widowControl w:val="0"/>
              <w:spacing w:line="360" w:lineRule="auto"/>
              <w:jc w:val="center"/>
              <w:rPr>
                <w:rFonts w:hint="eastAsia"/>
                <w:bCs/>
              </w:rPr>
            </w:pPr>
            <w:r>
              <w:rPr>
                <w:rFonts w:hint="eastAsia"/>
                <w:bCs/>
              </w:rPr>
              <w:t>竣工阶段</w:t>
            </w:r>
          </w:p>
        </w:tc>
        <w:tc>
          <w:tcPr>
            <w:tcW w:w="2834" w:type="dxa"/>
            <w:noWrap w:val="0"/>
            <w:vAlign w:val="center"/>
          </w:tcPr>
          <w:p w14:paraId="447BCB33">
            <w:pPr>
              <w:widowControl w:val="0"/>
              <w:spacing w:line="360" w:lineRule="auto"/>
              <w:jc w:val="center"/>
              <w:rPr>
                <w:rFonts w:hint="eastAsia"/>
                <w:bCs/>
              </w:rPr>
            </w:pPr>
            <w:r>
              <w:rPr>
                <w:rFonts w:hint="eastAsia"/>
                <w:bCs/>
              </w:rPr>
              <w:t>工程结算相关资料（含甲方移交的所有资料）</w:t>
            </w:r>
          </w:p>
        </w:tc>
        <w:tc>
          <w:tcPr>
            <w:tcW w:w="2281" w:type="dxa"/>
            <w:noWrap w:val="0"/>
            <w:vAlign w:val="center"/>
          </w:tcPr>
          <w:p w14:paraId="2E47E7EE">
            <w:pPr>
              <w:widowControl w:val="0"/>
              <w:spacing w:line="360" w:lineRule="auto"/>
              <w:jc w:val="center"/>
              <w:rPr>
                <w:rFonts w:hint="eastAsia"/>
                <w:bCs/>
              </w:rPr>
            </w:pPr>
            <w:r>
              <w:rPr>
                <w:rFonts w:hint="eastAsia"/>
                <w:bCs/>
              </w:rPr>
              <w:t>按照行业标准要求</w:t>
            </w:r>
          </w:p>
        </w:tc>
        <w:tc>
          <w:tcPr>
            <w:tcW w:w="2108" w:type="dxa"/>
            <w:noWrap w:val="0"/>
            <w:vAlign w:val="center"/>
          </w:tcPr>
          <w:p w14:paraId="757890BF">
            <w:pPr>
              <w:widowControl w:val="0"/>
              <w:spacing w:line="360" w:lineRule="auto"/>
              <w:jc w:val="center"/>
              <w:rPr>
                <w:rFonts w:hint="eastAsia"/>
                <w:bCs/>
              </w:rPr>
            </w:pPr>
            <w:r>
              <w:rPr>
                <w:rFonts w:hint="eastAsia"/>
                <w:bCs/>
              </w:rPr>
              <w:t>按专用条款执行</w:t>
            </w:r>
          </w:p>
        </w:tc>
        <w:tc>
          <w:tcPr>
            <w:tcW w:w="1097" w:type="dxa"/>
            <w:noWrap w:val="0"/>
            <w:vAlign w:val="center"/>
          </w:tcPr>
          <w:p w14:paraId="73719CAC">
            <w:pPr>
              <w:widowControl w:val="0"/>
              <w:spacing w:line="360" w:lineRule="auto"/>
              <w:jc w:val="center"/>
              <w:rPr>
                <w:rFonts w:hint="eastAsia"/>
                <w:bCs/>
              </w:rPr>
            </w:pPr>
            <w:r>
              <w:rPr>
                <w:rFonts w:hint="eastAsia"/>
                <w:bCs/>
              </w:rPr>
              <w:t>6份</w:t>
            </w:r>
          </w:p>
        </w:tc>
        <w:tc>
          <w:tcPr>
            <w:tcW w:w="3000" w:type="dxa"/>
            <w:noWrap w:val="0"/>
            <w:vAlign w:val="center"/>
          </w:tcPr>
          <w:p w14:paraId="251630C4">
            <w:pPr>
              <w:widowControl w:val="0"/>
              <w:spacing w:line="360" w:lineRule="auto"/>
              <w:jc w:val="center"/>
              <w:rPr>
                <w:rFonts w:hint="eastAsia"/>
                <w:bCs/>
              </w:rPr>
            </w:pPr>
            <w:r>
              <w:rPr>
                <w:rFonts w:hint="eastAsia"/>
                <w:bCs/>
              </w:rPr>
              <w:t>符合国家相关标准 正负3%以内二审结论</w:t>
            </w:r>
          </w:p>
        </w:tc>
      </w:tr>
      <w:tr w14:paraId="1396D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exact"/>
          <w:jc w:val="center"/>
        </w:trPr>
        <w:tc>
          <w:tcPr>
            <w:tcW w:w="1376" w:type="dxa"/>
            <w:vMerge w:val="restart"/>
            <w:noWrap w:val="0"/>
            <w:vAlign w:val="center"/>
          </w:tcPr>
          <w:p w14:paraId="22645FA1">
            <w:pPr>
              <w:widowControl w:val="0"/>
              <w:spacing w:line="360" w:lineRule="auto"/>
              <w:jc w:val="center"/>
              <w:rPr>
                <w:rFonts w:hint="eastAsia"/>
                <w:bCs/>
              </w:rPr>
            </w:pPr>
            <w:r>
              <w:rPr>
                <w:rFonts w:hint="eastAsia"/>
                <w:bCs/>
              </w:rPr>
              <w:t>其他服务</w:t>
            </w:r>
          </w:p>
        </w:tc>
        <w:tc>
          <w:tcPr>
            <w:tcW w:w="2834" w:type="dxa"/>
            <w:noWrap w:val="0"/>
            <w:vAlign w:val="center"/>
          </w:tcPr>
          <w:p w14:paraId="68D5D9AE">
            <w:pPr>
              <w:widowControl w:val="0"/>
              <w:spacing w:line="360" w:lineRule="auto"/>
              <w:jc w:val="center"/>
              <w:rPr>
                <w:rFonts w:hint="eastAsia"/>
                <w:bCs/>
              </w:rPr>
            </w:pPr>
            <w:r>
              <w:rPr>
                <w:rFonts w:hint="eastAsia"/>
                <w:bCs/>
              </w:rPr>
              <w:t>配合二审及竣工决算审计</w:t>
            </w:r>
          </w:p>
        </w:tc>
        <w:tc>
          <w:tcPr>
            <w:tcW w:w="2281" w:type="dxa"/>
            <w:noWrap w:val="0"/>
            <w:vAlign w:val="center"/>
          </w:tcPr>
          <w:p w14:paraId="4559EDD7">
            <w:pPr>
              <w:widowControl w:val="0"/>
              <w:spacing w:line="360" w:lineRule="auto"/>
              <w:jc w:val="center"/>
              <w:rPr>
                <w:rFonts w:hint="eastAsia"/>
                <w:bCs/>
              </w:rPr>
            </w:pPr>
          </w:p>
        </w:tc>
        <w:tc>
          <w:tcPr>
            <w:tcW w:w="2108" w:type="dxa"/>
            <w:noWrap w:val="0"/>
            <w:vAlign w:val="center"/>
          </w:tcPr>
          <w:p w14:paraId="0ECF9AB2">
            <w:pPr>
              <w:widowControl w:val="0"/>
              <w:spacing w:line="360" w:lineRule="auto"/>
              <w:jc w:val="center"/>
              <w:rPr>
                <w:rFonts w:hint="eastAsia"/>
                <w:bCs/>
              </w:rPr>
            </w:pPr>
          </w:p>
        </w:tc>
        <w:tc>
          <w:tcPr>
            <w:tcW w:w="1097" w:type="dxa"/>
            <w:noWrap w:val="0"/>
            <w:vAlign w:val="center"/>
          </w:tcPr>
          <w:p w14:paraId="12C57E06">
            <w:pPr>
              <w:widowControl w:val="0"/>
              <w:spacing w:line="360" w:lineRule="auto"/>
              <w:jc w:val="center"/>
              <w:rPr>
                <w:rFonts w:hint="eastAsia"/>
                <w:bCs/>
                <w:sz w:val="15"/>
                <w:szCs w:val="15"/>
              </w:rPr>
            </w:pPr>
            <w:r>
              <w:rPr>
                <w:rFonts w:hint="eastAsia"/>
                <w:bCs/>
              </w:rPr>
              <w:t>按要求</w:t>
            </w:r>
          </w:p>
        </w:tc>
        <w:tc>
          <w:tcPr>
            <w:tcW w:w="3000" w:type="dxa"/>
            <w:noWrap w:val="0"/>
            <w:vAlign w:val="center"/>
          </w:tcPr>
          <w:p w14:paraId="72AABF00">
            <w:pPr>
              <w:widowControl w:val="0"/>
              <w:spacing w:line="360" w:lineRule="auto"/>
              <w:jc w:val="center"/>
              <w:rPr>
                <w:rFonts w:hint="eastAsia"/>
                <w:bCs/>
              </w:rPr>
            </w:pPr>
          </w:p>
        </w:tc>
      </w:tr>
      <w:tr w14:paraId="69598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exact"/>
          <w:jc w:val="center"/>
        </w:trPr>
        <w:tc>
          <w:tcPr>
            <w:tcW w:w="1376" w:type="dxa"/>
            <w:vMerge w:val="continue"/>
            <w:noWrap w:val="0"/>
            <w:vAlign w:val="center"/>
          </w:tcPr>
          <w:p w14:paraId="43218829">
            <w:pPr>
              <w:widowControl w:val="0"/>
              <w:spacing w:line="360" w:lineRule="auto"/>
              <w:jc w:val="center"/>
              <w:rPr>
                <w:rFonts w:hint="eastAsia"/>
                <w:bCs/>
              </w:rPr>
            </w:pPr>
          </w:p>
        </w:tc>
        <w:tc>
          <w:tcPr>
            <w:tcW w:w="2834" w:type="dxa"/>
            <w:noWrap w:val="0"/>
            <w:vAlign w:val="center"/>
          </w:tcPr>
          <w:p w14:paraId="483A7945">
            <w:pPr>
              <w:spacing w:line="360" w:lineRule="auto"/>
              <w:jc w:val="center"/>
              <w:rPr>
                <w:rFonts w:hint="eastAsia"/>
                <w:bCs/>
              </w:rPr>
            </w:pPr>
            <w:r>
              <w:rPr>
                <w:rFonts w:hint="eastAsia"/>
                <w:bCs/>
              </w:rPr>
              <w:t>背靠背复核</w:t>
            </w:r>
          </w:p>
        </w:tc>
        <w:tc>
          <w:tcPr>
            <w:tcW w:w="2281" w:type="dxa"/>
            <w:noWrap w:val="0"/>
            <w:vAlign w:val="center"/>
          </w:tcPr>
          <w:p w14:paraId="77008EF8">
            <w:pPr>
              <w:spacing w:line="360" w:lineRule="auto"/>
              <w:jc w:val="center"/>
              <w:rPr>
                <w:rFonts w:hint="eastAsia"/>
                <w:bCs/>
              </w:rPr>
            </w:pPr>
            <w:r>
              <w:rPr>
                <w:rFonts w:hint="eastAsia"/>
                <w:bCs/>
              </w:rPr>
              <w:t>按照行业标准要求</w:t>
            </w:r>
          </w:p>
        </w:tc>
        <w:tc>
          <w:tcPr>
            <w:tcW w:w="2108" w:type="dxa"/>
            <w:noWrap w:val="0"/>
            <w:vAlign w:val="center"/>
          </w:tcPr>
          <w:p w14:paraId="131C32D3">
            <w:pPr>
              <w:spacing w:line="360" w:lineRule="auto"/>
              <w:rPr>
                <w:rFonts w:hint="eastAsia"/>
                <w:bCs/>
              </w:rPr>
            </w:pPr>
          </w:p>
        </w:tc>
        <w:tc>
          <w:tcPr>
            <w:tcW w:w="1097" w:type="dxa"/>
            <w:noWrap w:val="0"/>
            <w:vAlign w:val="center"/>
          </w:tcPr>
          <w:p w14:paraId="1A8EBFF1">
            <w:pPr>
              <w:spacing w:line="360" w:lineRule="auto"/>
              <w:jc w:val="center"/>
              <w:rPr>
                <w:rFonts w:hint="eastAsia"/>
                <w:bCs/>
              </w:rPr>
            </w:pPr>
            <w:r>
              <w:rPr>
                <w:rFonts w:hint="eastAsia"/>
                <w:bCs/>
              </w:rPr>
              <w:t>按要求</w:t>
            </w:r>
          </w:p>
        </w:tc>
        <w:tc>
          <w:tcPr>
            <w:tcW w:w="3000" w:type="dxa"/>
            <w:noWrap w:val="0"/>
            <w:vAlign w:val="center"/>
          </w:tcPr>
          <w:p w14:paraId="40D1D50E">
            <w:pPr>
              <w:spacing w:line="360" w:lineRule="auto"/>
              <w:jc w:val="center"/>
              <w:rPr>
                <w:rFonts w:hint="eastAsia"/>
                <w:bCs/>
              </w:rPr>
            </w:pPr>
            <w:r>
              <w:rPr>
                <w:rFonts w:hint="eastAsia"/>
                <w:bCs/>
              </w:rPr>
              <w:t>符合国家相关标准</w:t>
            </w:r>
          </w:p>
        </w:tc>
      </w:tr>
    </w:tbl>
    <w:p w14:paraId="084C2128">
      <w:pPr>
        <w:pStyle w:val="2"/>
        <w:spacing w:before="0" w:after="0"/>
        <w:jc w:val="center"/>
        <w:rPr>
          <w:rFonts w:hint="eastAsia"/>
          <w:b w:val="0"/>
          <w:bCs w:val="0"/>
          <w:sz w:val="30"/>
          <w:szCs w:val="30"/>
        </w:rPr>
        <w:sectPr>
          <w:pgSz w:w="16838" w:h="11906" w:orient="landscape"/>
          <w:pgMar w:top="1797" w:right="1440" w:bottom="1797" w:left="1440" w:header="851" w:footer="992" w:gutter="0"/>
          <w:pgNumType w:fmt="decimal"/>
          <w:cols w:space="0" w:num="1"/>
          <w:rtlGutter w:val="0"/>
          <w:docGrid w:linePitch="0" w:charSpace="0"/>
        </w:sectPr>
      </w:pPr>
    </w:p>
    <w:p w14:paraId="6F70B228">
      <w:pPr>
        <w:pStyle w:val="2"/>
        <w:numPr>
          <w:ilvl w:val="0"/>
          <w:numId w:val="0"/>
        </w:numPr>
        <w:ind w:left="420" w:leftChars="0" w:hanging="420" w:firstLineChars="0"/>
        <w:rPr>
          <w:i w:val="0"/>
          <w:iCs w:val="0"/>
          <w:color w:val="auto"/>
          <w:highlight w:val="none"/>
        </w:rPr>
      </w:pPr>
      <w:r>
        <w:rPr>
          <w:rFonts w:hint="eastAsia" w:ascii="宋体" w:hAnsi="宋体" w:eastAsia="宋体" w:cs="宋体"/>
          <w:b/>
          <w:bCs/>
          <w:i w:val="0"/>
          <w:iCs w:val="0"/>
          <w:color w:val="auto"/>
          <w:kern w:val="44"/>
          <w:sz w:val="36"/>
          <w:szCs w:val="36"/>
          <w:highlight w:val="none"/>
          <w:lang w:val="en-US" w:eastAsia="zh-CN" w:bidi="ar-SA"/>
        </w:rPr>
        <w:t xml:space="preserve">第六章 </w:t>
      </w:r>
      <w:r>
        <w:rPr>
          <w:rFonts w:hint="eastAsia" w:ascii="宋体" w:hAnsi="宋体" w:eastAsia="宋体" w:cs="宋体"/>
          <w:i w:val="0"/>
          <w:iCs w:val="0"/>
          <w:color w:val="auto"/>
          <w:sz w:val="36"/>
          <w:szCs w:val="36"/>
          <w:highlight w:val="none"/>
        </w:rPr>
        <w:t>响应文件的格式</w:t>
      </w:r>
      <w:bookmarkEnd w:id="485"/>
    </w:p>
    <w:p w14:paraId="0C887BD5">
      <w:pPr>
        <w:ind w:firstLine="480" w:firstLineChars="200"/>
        <w:rPr>
          <w:rFonts w:hint="eastAsia" w:cs="仿宋_GB2312"/>
          <w:i w:val="0"/>
          <w:iCs w:val="0"/>
          <w:color w:val="auto"/>
          <w:highlight w:val="none"/>
          <w:lang w:val="zh-CN"/>
        </w:rPr>
      </w:pPr>
    </w:p>
    <w:p w14:paraId="71379E1F">
      <w:pPr>
        <w:ind w:firstLine="480" w:firstLineChars="200"/>
        <w:rPr>
          <w:rFonts w:hint="eastAsia" w:cs="仿宋_GB2312"/>
          <w:i w:val="0"/>
          <w:iCs w:val="0"/>
          <w:color w:val="auto"/>
          <w:highlight w:val="none"/>
          <w:lang w:val="zh-CN"/>
        </w:rPr>
      </w:pPr>
    </w:p>
    <w:p w14:paraId="26DD405E">
      <w:pPr>
        <w:ind w:firstLine="480" w:firstLineChars="200"/>
        <w:rPr>
          <w:rFonts w:hint="eastAsia" w:cs="仿宋_GB2312"/>
          <w:i w:val="0"/>
          <w:iCs w:val="0"/>
          <w:color w:val="auto"/>
          <w:highlight w:val="none"/>
          <w:lang w:val="zh-CN"/>
        </w:rPr>
      </w:pPr>
    </w:p>
    <w:p w14:paraId="45CD0948">
      <w:pPr>
        <w:ind w:firstLine="480" w:firstLineChars="200"/>
        <w:rPr>
          <w:rFonts w:hint="eastAsia" w:cs="仿宋_GB2312"/>
          <w:i w:val="0"/>
          <w:iCs w:val="0"/>
          <w:color w:val="auto"/>
          <w:highlight w:val="none"/>
          <w:lang w:val="zh-CN"/>
        </w:rPr>
      </w:pPr>
    </w:p>
    <w:p w14:paraId="0C12C898">
      <w:pPr>
        <w:ind w:firstLine="480" w:firstLineChars="200"/>
        <w:rPr>
          <w:rFonts w:hint="eastAsia" w:cs="仿宋_GB2312"/>
          <w:i w:val="0"/>
          <w:iCs w:val="0"/>
          <w:color w:val="auto"/>
          <w:highlight w:val="none"/>
          <w:lang w:val="zh-CN"/>
        </w:rPr>
      </w:pPr>
    </w:p>
    <w:p w14:paraId="13A9D4F0">
      <w:pPr>
        <w:ind w:firstLine="480" w:firstLineChars="200"/>
        <w:rPr>
          <w:rFonts w:hint="eastAsia" w:cs="仿宋_GB2312"/>
          <w:i w:val="0"/>
          <w:iCs w:val="0"/>
          <w:color w:val="auto"/>
          <w:highlight w:val="none"/>
          <w:lang w:val="zh-CN"/>
        </w:rPr>
      </w:pPr>
    </w:p>
    <w:p w14:paraId="61318CAC">
      <w:pPr>
        <w:ind w:firstLine="480" w:firstLineChars="200"/>
        <w:rPr>
          <w:rFonts w:hint="eastAsia" w:cs="仿宋_GB2312"/>
          <w:i w:val="0"/>
          <w:iCs w:val="0"/>
          <w:color w:val="auto"/>
          <w:highlight w:val="none"/>
          <w:lang w:val="zh-CN"/>
        </w:rPr>
      </w:pPr>
    </w:p>
    <w:p w14:paraId="4ED3CD76">
      <w:pPr>
        <w:ind w:firstLine="480" w:firstLineChars="200"/>
        <w:rPr>
          <w:rFonts w:hint="eastAsia" w:cs="仿宋_GB2312"/>
          <w:i w:val="0"/>
          <w:iCs w:val="0"/>
          <w:color w:val="auto"/>
          <w:highlight w:val="none"/>
          <w:lang w:val="zh-CN"/>
        </w:rPr>
      </w:pPr>
    </w:p>
    <w:p w14:paraId="2F56E74A">
      <w:pPr>
        <w:ind w:firstLine="480" w:firstLineChars="200"/>
        <w:rPr>
          <w:rFonts w:hint="eastAsia" w:cs="仿宋_GB2312"/>
          <w:i w:val="0"/>
          <w:iCs w:val="0"/>
          <w:color w:val="auto"/>
          <w:highlight w:val="none"/>
          <w:lang w:val="zh-CN"/>
        </w:rPr>
      </w:pPr>
    </w:p>
    <w:p w14:paraId="28A52954">
      <w:pPr>
        <w:ind w:firstLine="480" w:firstLineChars="200"/>
        <w:rPr>
          <w:rFonts w:hint="eastAsia" w:cs="仿宋_GB2312"/>
          <w:i w:val="0"/>
          <w:iCs w:val="0"/>
          <w:color w:val="auto"/>
          <w:highlight w:val="none"/>
          <w:lang w:val="zh-CN"/>
        </w:rPr>
      </w:pPr>
    </w:p>
    <w:p w14:paraId="2CC346FB">
      <w:pPr>
        <w:ind w:firstLine="480" w:firstLineChars="200"/>
        <w:rPr>
          <w:rFonts w:hint="eastAsia" w:cs="仿宋_GB2312"/>
          <w:i w:val="0"/>
          <w:iCs w:val="0"/>
          <w:color w:val="auto"/>
          <w:highlight w:val="none"/>
          <w:lang w:val="zh-CN"/>
        </w:rPr>
      </w:pPr>
    </w:p>
    <w:p w14:paraId="7ED7139D">
      <w:pPr>
        <w:ind w:firstLine="480" w:firstLineChars="200"/>
        <w:rPr>
          <w:rFonts w:hint="eastAsia" w:cs="仿宋_GB2312"/>
          <w:i w:val="0"/>
          <w:iCs w:val="0"/>
          <w:color w:val="auto"/>
          <w:highlight w:val="none"/>
          <w:lang w:val="zh-CN"/>
        </w:rPr>
      </w:pPr>
    </w:p>
    <w:p w14:paraId="2B46B416">
      <w:pPr>
        <w:ind w:firstLine="480" w:firstLineChars="200"/>
        <w:rPr>
          <w:rFonts w:hint="eastAsia" w:cs="仿宋_GB2312"/>
          <w:i w:val="0"/>
          <w:iCs w:val="0"/>
          <w:color w:val="auto"/>
          <w:highlight w:val="none"/>
          <w:lang w:val="zh-CN"/>
        </w:rPr>
      </w:pPr>
    </w:p>
    <w:p w14:paraId="53B0917A">
      <w:pPr>
        <w:ind w:firstLine="480" w:firstLineChars="200"/>
        <w:rPr>
          <w:rFonts w:hint="eastAsia" w:cs="仿宋_GB2312"/>
          <w:i w:val="0"/>
          <w:iCs w:val="0"/>
          <w:color w:val="auto"/>
          <w:highlight w:val="none"/>
          <w:lang w:val="zh-CN"/>
        </w:rPr>
      </w:pPr>
    </w:p>
    <w:p w14:paraId="100CDCD1">
      <w:pPr>
        <w:ind w:firstLine="480" w:firstLineChars="200"/>
        <w:rPr>
          <w:rFonts w:hint="eastAsia" w:cs="仿宋_GB2312"/>
          <w:i w:val="0"/>
          <w:iCs w:val="0"/>
          <w:color w:val="auto"/>
          <w:highlight w:val="none"/>
          <w:lang w:val="zh-CN"/>
        </w:rPr>
      </w:pPr>
    </w:p>
    <w:p w14:paraId="579E923B">
      <w:pPr>
        <w:ind w:firstLine="480" w:firstLineChars="200"/>
        <w:rPr>
          <w:rFonts w:hint="eastAsia" w:cs="仿宋_GB2312"/>
          <w:i w:val="0"/>
          <w:iCs w:val="0"/>
          <w:color w:val="auto"/>
          <w:highlight w:val="none"/>
          <w:lang w:val="zh-CN"/>
        </w:rPr>
      </w:pPr>
    </w:p>
    <w:p w14:paraId="5CAEA8C0">
      <w:pPr>
        <w:ind w:firstLine="480" w:firstLineChars="200"/>
        <w:rPr>
          <w:rFonts w:hint="eastAsia" w:cs="仿宋_GB2312"/>
          <w:i w:val="0"/>
          <w:iCs w:val="0"/>
          <w:color w:val="auto"/>
          <w:highlight w:val="none"/>
          <w:lang w:val="zh-CN"/>
        </w:rPr>
      </w:pPr>
    </w:p>
    <w:p w14:paraId="345C0FA9">
      <w:pPr>
        <w:ind w:firstLine="480" w:firstLineChars="200"/>
        <w:rPr>
          <w:rFonts w:hint="eastAsia" w:cs="仿宋_GB2312"/>
          <w:i w:val="0"/>
          <w:iCs w:val="0"/>
          <w:color w:val="auto"/>
          <w:highlight w:val="none"/>
          <w:lang w:val="zh-CN"/>
        </w:rPr>
      </w:pPr>
    </w:p>
    <w:p w14:paraId="0CCEB9F5">
      <w:pPr>
        <w:ind w:firstLine="480" w:firstLineChars="200"/>
        <w:rPr>
          <w:rFonts w:hint="eastAsia" w:cs="仿宋_GB2312"/>
          <w:i w:val="0"/>
          <w:iCs w:val="0"/>
          <w:color w:val="auto"/>
          <w:highlight w:val="none"/>
          <w:lang w:val="zh-CN"/>
        </w:rPr>
      </w:pPr>
    </w:p>
    <w:p w14:paraId="6592C430">
      <w:pPr>
        <w:ind w:firstLine="480" w:firstLineChars="200"/>
        <w:rPr>
          <w:rFonts w:hint="eastAsia" w:cs="仿宋_GB2312"/>
          <w:i w:val="0"/>
          <w:iCs w:val="0"/>
          <w:color w:val="auto"/>
          <w:highlight w:val="none"/>
          <w:lang w:val="zh-CN"/>
        </w:rPr>
      </w:pPr>
    </w:p>
    <w:p w14:paraId="1D3461D1">
      <w:pPr>
        <w:ind w:firstLine="480" w:firstLineChars="200"/>
        <w:rPr>
          <w:rFonts w:hint="eastAsia" w:cs="仿宋_GB2312"/>
          <w:i w:val="0"/>
          <w:iCs w:val="0"/>
          <w:color w:val="auto"/>
          <w:highlight w:val="none"/>
          <w:lang w:val="zh-CN"/>
        </w:rPr>
      </w:pPr>
    </w:p>
    <w:p w14:paraId="0358AAFC">
      <w:pPr>
        <w:ind w:firstLine="480" w:firstLineChars="200"/>
        <w:rPr>
          <w:rFonts w:hint="eastAsia" w:cs="仿宋_GB2312"/>
          <w:i w:val="0"/>
          <w:iCs w:val="0"/>
          <w:color w:val="auto"/>
          <w:highlight w:val="none"/>
          <w:lang w:val="zh-CN"/>
        </w:rPr>
      </w:pPr>
    </w:p>
    <w:p w14:paraId="03052F18">
      <w:pPr>
        <w:ind w:firstLine="480" w:firstLineChars="200"/>
        <w:rPr>
          <w:rFonts w:hint="eastAsia" w:cs="仿宋_GB2312"/>
          <w:i w:val="0"/>
          <w:iCs w:val="0"/>
          <w:color w:val="auto"/>
          <w:szCs w:val="24"/>
          <w:highlight w:val="none"/>
          <w:lang w:val="zh-CN"/>
        </w:rPr>
      </w:pPr>
    </w:p>
    <w:p w14:paraId="5C6EC811">
      <w:pPr>
        <w:rPr>
          <w:rFonts w:hint="eastAsia" w:cs="仿宋_GB2312"/>
          <w:i w:val="0"/>
          <w:iCs w:val="0"/>
          <w:color w:val="auto"/>
          <w:szCs w:val="24"/>
          <w:highlight w:val="none"/>
          <w:lang w:val="zh-CN"/>
        </w:rPr>
      </w:pPr>
      <w:r>
        <w:rPr>
          <w:rFonts w:hint="eastAsia" w:cs="仿宋_GB2312"/>
          <w:i w:val="0"/>
          <w:iCs w:val="0"/>
          <w:color w:val="auto"/>
          <w:szCs w:val="24"/>
          <w:highlight w:val="none"/>
          <w:lang w:val="zh-CN"/>
        </w:rPr>
        <w:br w:type="page"/>
      </w:r>
    </w:p>
    <w:p w14:paraId="2ABE97CA">
      <w:pPr>
        <w:ind w:firstLine="480" w:firstLineChars="200"/>
        <w:rPr>
          <w:rFonts w:cs="仿宋_GB2312"/>
          <w:i w:val="0"/>
          <w:iCs w:val="0"/>
          <w:color w:val="auto"/>
          <w:szCs w:val="24"/>
          <w:highlight w:val="none"/>
          <w:lang w:val="zh-CN"/>
        </w:rPr>
      </w:pPr>
      <w:r>
        <w:rPr>
          <w:rFonts w:hint="eastAsia" w:cs="仿宋_GB2312"/>
          <w:i w:val="0"/>
          <w:iCs w:val="0"/>
          <w:color w:val="auto"/>
          <w:szCs w:val="24"/>
          <w:highlight w:val="none"/>
          <w:lang w:val="zh-CN"/>
        </w:rPr>
        <w:t>封面：</w:t>
      </w:r>
    </w:p>
    <w:p w14:paraId="0DCCF3E4">
      <w:pPr>
        <w:autoSpaceDE w:val="0"/>
        <w:autoSpaceDN w:val="0"/>
        <w:adjustRightInd w:val="0"/>
        <w:rPr>
          <w:i w:val="0"/>
          <w:iCs w:val="0"/>
          <w:color w:val="auto"/>
          <w:sz w:val="21"/>
          <w:szCs w:val="24"/>
          <w:highlight w:val="none"/>
        </w:rPr>
      </w:pPr>
    </w:p>
    <w:p w14:paraId="270C3F91">
      <w:pPr>
        <w:autoSpaceDE w:val="0"/>
        <w:autoSpaceDN w:val="0"/>
        <w:adjustRightInd w:val="0"/>
        <w:rPr>
          <w:i w:val="0"/>
          <w:iCs w:val="0"/>
          <w:color w:val="auto"/>
          <w:sz w:val="21"/>
          <w:szCs w:val="24"/>
          <w:highlight w:val="none"/>
        </w:rPr>
      </w:pPr>
    </w:p>
    <w:p w14:paraId="1120721D">
      <w:pPr>
        <w:autoSpaceDE w:val="0"/>
        <w:autoSpaceDN w:val="0"/>
        <w:adjustRightInd w:val="0"/>
        <w:jc w:val="center"/>
        <w:rPr>
          <w:i w:val="0"/>
          <w:iCs w:val="0"/>
          <w:color w:val="auto"/>
          <w:sz w:val="21"/>
          <w:szCs w:val="24"/>
          <w:highlight w:val="none"/>
        </w:rPr>
      </w:pPr>
    </w:p>
    <w:p w14:paraId="49C817BC">
      <w:pPr>
        <w:pStyle w:val="3"/>
        <w:bidi w:val="0"/>
        <w:jc w:val="center"/>
        <w:rPr>
          <w:color w:val="auto"/>
          <w:sz w:val="84"/>
          <w:szCs w:val="84"/>
          <w:highlight w:val="none"/>
        </w:rPr>
      </w:pPr>
      <w:bookmarkStart w:id="645" w:name="_Toc25574"/>
      <w:r>
        <w:rPr>
          <w:rFonts w:hint="eastAsia"/>
          <w:color w:val="auto"/>
          <w:sz w:val="84"/>
          <w:szCs w:val="84"/>
          <w:highlight w:val="none"/>
          <w:lang w:val="en-US" w:eastAsia="zh-CN"/>
        </w:rPr>
        <w:t>响</w:t>
      </w:r>
      <w:r>
        <w:rPr>
          <w:rFonts w:hint="eastAsia"/>
          <w:color w:val="auto"/>
          <w:sz w:val="84"/>
          <w:szCs w:val="84"/>
          <w:highlight w:val="none"/>
        </w:rPr>
        <w:t xml:space="preserve"> </w:t>
      </w:r>
      <w:r>
        <w:rPr>
          <w:rFonts w:hint="eastAsia"/>
          <w:color w:val="auto"/>
          <w:sz w:val="84"/>
          <w:szCs w:val="84"/>
          <w:highlight w:val="none"/>
          <w:lang w:val="en-US" w:eastAsia="zh-CN"/>
        </w:rPr>
        <w:t>应</w:t>
      </w:r>
      <w:r>
        <w:rPr>
          <w:rFonts w:hint="eastAsia"/>
          <w:color w:val="auto"/>
          <w:sz w:val="84"/>
          <w:szCs w:val="84"/>
          <w:highlight w:val="none"/>
        </w:rPr>
        <w:t xml:space="preserve"> 文 件</w:t>
      </w:r>
      <w:bookmarkEnd w:id="645"/>
    </w:p>
    <w:p w14:paraId="5CC606BE">
      <w:pPr>
        <w:pStyle w:val="3"/>
        <w:bidi w:val="0"/>
        <w:jc w:val="center"/>
        <w:rPr>
          <w:color w:val="auto"/>
          <w:sz w:val="56"/>
          <w:szCs w:val="56"/>
          <w:highlight w:val="none"/>
        </w:rPr>
      </w:pPr>
      <w:bookmarkStart w:id="646" w:name="_Toc30370"/>
      <w:r>
        <w:rPr>
          <w:rFonts w:hint="eastAsia"/>
          <w:color w:val="auto"/>
          <w:sz w:val="56"/>
          <w:szCs w:val="56"/>
          <w:highlight w:val="none"/>
        </w:rPr>
        <w:t>资格证明文件</w:t>
      </w:r>
      <w:bookmarkEnd w:id="646"/>
    </w:p>
    <w:p w14:paraId="2410FCD8">
      <w:pPr>
        <w:autoSpaceDE w:val="0"/>
        <w:autoSpaceDN w:val="0"/>
        <w:adjustRightInd w:val="0"/>
        <w:rPr>
          <w:b/>
          <w:bCs/>
          <w:i w:val="0"/>
          <w:iCs w:val="0"/>
          <w:color w:val="auto"/>
          <w:sz w:val="22"/>
          <w:highlight w:val="none"/>
        </w:rPr>
      </w:pPr>
    </w:p>
    <w:p w14:paraId="0B690FA6">
      <w:pPr>
        <w:autoSpaceDE w:val="0"/>
        <w:autoSpaceDN w:val="0"/>
        <w:adjustRightInd w:val="0"/>
        <w:jc w:val="center"/>
        <w:rPr>
          <w:rFonts w:hint="eastAsia" w:eastAsia="宋体"/>
          <w:i w:val="0"/>
          <w:iCs w:val="0"/>
          <w:color w:val="auto"/>
          <w:sz w:val="36"/>
          <w:szCs w:val="36"/>
          <w:highlight w:val="none"/>
          <w:lang w:eastAsia="zh-CN"/>
        </w:rPr>
      </w:pPr>
      <w:r>
        <w:rPr>
          <w:rFonts w:hint="eastAsia"/>
          <w:i w:val="0"/>
          <w:iCs w:val="0"/>
          <w:color w:val="auto"/>
          <w:sz w:val="36"/>
          <w:szCs w:val="36"/>
          <w:highlight w:val="none"/>
          <w:lang w:val="en-US" w:eastAsia="zh-CN"/>
        </w:rPr>
        <w:t>（第XX包</w:t>
      </w:r>
      <w:r>
        <w:rPr>
          <w:rFonts w:hint="eastAsia"/>
          <w:i w:val="0"/>
          <w:iCs w:val="0"/>
          <w:color w:val="auto"/>
          <w:sz w:val="36"/>
          <w:szCs w:val="36"/>
          <w:highlight w:val="none"/>
          <w:lang w:eastAsia="zh-CN"/>
        </w:rPr>
        <w:t>）【</w:t>
      </w:r>
      <w:r>
        <w:rPr>
          <w:rFonts w:hint="eastAsia"/>
          <w:i w:val="0"/>
          <w:iCs w:val="0"/>
          <w:color w:val="auto"/>
          <w:sz w:val="36"/>
          <w:szCs w:val="36"/>
          <w:highlight w:val="none"/>
          <w:lang w:val="en-US" w:eastAsia="zh-CN"/>
        </w:rPr>
        <w:t>如不分包，请删去本行</w:t>
      </w:r>
      <w:r>
        <w:rPr>
          <w:rFonts w:hint="eastAsia"/>
          <w:i w:val="0"/>
          <w:iCs w:val="0"/>
          <w:color w:val="auto"/>
          <w:sz w:val="36"/>
          <w:szCs w:val="36"/>
          <w:highlight w:val="none"/>
          <w:lang w:eastAsia="zh-CN"/>
        </w:rPr>
        <w:t>】</w:t>
      </w:r>
    </w:p>
    <w:p w14:paraId="5515A0FC">
      <w:pPr>
        <w:autoSpaceDE w:val="0"/>
        <w:autoSpaceDN w:val="0"/>
        <w:adjustRightInd w:val="0"/>
        <w:rPr>
          <w:i w:val="0"/>
          <w:iCs w:val="0"/>
          <w:color w:val="auto"/>
          <w:sz w:val="21"/>
          <w:szCs w:val="21"/>
          <w:highlight w:val="none"/>
        </w:rPr>
      </w:pPr>
    </w:p>
    <w:p w14:paraId="0E5111DA">
      <w:pPr>
        <w:autoSpaceDE w:val="0"/>
        <w:autoSpaceDN w:val="0"/>
        <w:adjustRightInd w:val="0"/>
        <w:rPr>
          <w:i w:val="0"/>
          <w:iCs w:val="0"/>
          <w:color w:val="auto"/>
          <w:sz w:val="21"/>
          <w:szCs w:val="21"/>
          <w:highlight w:val="none"/>
        </w:rPr>
      </w:pPr>
    </w:p>
    <w:p w14:paraId="6FE65EF0">
      <w:pPr>
        <w:autoSpaceDE w:val="0"/>
        <w:autoSpaceDN w:val="0"/>
        <w:adjustRightInd w:val="0"/>
        <w:rPr>
          <w:i w:val="0"/>
          <w:iCs w:val="0"/>
          <w:color w:val="auto"/>
          <w:sz w:val="21"/>
          <w:szCs w:val="21"/>
          <w:highlight w:val="none"/>
        </w:rPr>
      </w:pPr>
    </w:p>
    <w:p w14:paraId="16FE82B4">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项目编号</w:t>
      </w:r>
      <w:r>
        <w:rPr>
          <w:rFonts w:hint="eastAsia" w:ascii="宋体" w:hAnsi="宋体" w:eastAsia="宋体" w:cs="宋体"/>
          <w:i w:val="0"/>
          <w:iCs w:val="0"/>
          <w:color w:val="auto"/>
          <w:sz w:val="36"/>
          <w:szCs w:val="36"/>
          <w:highlight w:val="none"/>
          <w:lang w:val="en-US" w:eastAsia="zh-CN"/>
        </w:rPr>
        <w:t>/包号</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27F2D1C1">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项目名称：</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23ACD531">
      <w:pPr>
        <w:ind w:left="420" w:leftChars="175"/>
        <w:rPr>
          <w:rFonts w:hint="eastAsia" w:ascii="宋体" w:hAnsi="宋体" w:eastAsia="宋体" w:cs="宋体"/>
          <w:i w:val="0"/>
          <w:iCs w:val="0"/>
          <w:color w:val="auto"/>
          <w:sz w:val="36"/>
          <w:szCs w:val="36"/>
          <w:highlight w:val="none"/>
        </w:rPr>
      </w:pPr>
      <w:r>
        <w:rPr>
          <w:rFonts w:hint="eastAsia" w:cs="宋体"/>
          <w:i w:val="0"/>
          <w:iCs w:val="0"/>
          <w:color w:val="auto"/>
          <w:sz w:val="36"/>
          <w:szCs w:val="36"/>
          <w:highlight w:val="none"/>
          <w:lang w:val="en-US" w:eastAsia="zh-CN"/>
        </w:rPr>
        <w:t>供 应 商</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114C41E2">
      <w:pPr>
        <w:ind w:left="840" w:firstLine="420"/>
        <w:rPr>
          <w:b/>
          <w:bCs/>
          <w:i w:val="0"/>
          <w:iCs w:val="0"/>
          <w:color w:val="auto"/>
          <w:sz w:val="28"/>
          <w:szCs w:val="28"/>
          <w:highlight w:val="none"/>
        </w:rPr>
      </w:pPr>
    </w:p>
    <w:p w14:paraId="3BC6A183">
      <w:pPr>
        <w:ind w:left="840" w:firstLine="420"/>
        <w:rPr>
          <w:b/>
          <w:bCs/>
          <w:i w:val="0"/>
          <w:iCs w:val="0"/>
          <w:color w:val="auto"/>
          <w:sz w:val="28"/>
          <w:szCs w:val="28"/>
          <w:highlight w:val="none"/>
        </w:rPr>
      </w:pPr>
    </w:p>
    <w:p w14:paraId="399689DC">
      <w:pPr>
        <w:ind w:left="840" w:firstLine="420"/>
        <w:rPr>
          <w:b/>
          <w:bCs/>
          <w:i w:val="0"/>
          <w:iCs w:val="0"/>
          <w:color w:val="auto"/>
          <w:sz w:val="28"/>
          <w:szCs w:val="28"/>
          <w:highlight w:val="none"/>
        </w:rPr>
      </w:pPr>
    </w:p>
    <w:p w14:paraId="558B83A6">
      <w:pPr>
        <w:jc w:val="center"/>
        <w:rPr>
          <w:rFonts w:ascii="黑体" w:hAnsi="黑体" w:eastAsia="黑体"/>
          <w:i w:val="0"/>
          <w:iCs w:val="0"/>
          <w:color w:val="auto"/>
          <w:sz w:val="32"/>
          <w:szCs w:val="32"/>
          <w:highlight w:val="none"/>
        </w:rPr>
      </w:pPr>
      <w:r>
        <w:rPr>
          <w:rFonts w:hint="eastAsia" w:ascii="宋体" w:hAnsi="宋体" w:eastAsia="宋体" w:cs="宋体"/>
          <w:i w:val="0"/>
          <w:iCs w:val="0"/>
          <w:color w:val="auto"/>
          <w:sz w:val="32"/>
          <w:szCs w:val="32"/>
          <w:highlight w:val="none"/>
        </w:rPr>
        <w:t>年   月    日</w:t>
      </w:r>
    </w:p>
    <w:p w14:paraId="5F2BA123">
      <w:pPr>
        <w:jc w:val="center"/>
        <w:rPr>
          <w:b/>
          <w:bCs/>
          <w:i w:val="0"/>
          <w:iCs w:val="0"/>
          <w:color w:val="auto"/>
          <w:sz w:val="28"/>
          <w:szCs w:val="28"/>
          <w:highlight w:val="none"/>
        </w:rPr>
      </w:pPr>
      <w:r>
        <w:rPr>
          <w:b/>
          <w:bCs/>
          <w:i w:val="0"/>
          <w:iCs w:val="0"/>
          <w:color w:val="auto"/>
          <w:sz w:val="28"/>
          <w:szCs w:val="28"/>
          <w:highlight w:val="none"/>
        </w:rPr>
        <w:br w:type="page"/>
      </w:r>
    </w:p>
    <w:p w14:paraId="2C6B628D">
      <w:pPr>
        <w:rPr>
          <w:i w:val="0"/>
          <w:iCs w:val="0"/>
          <w:color w:val="auto"/>
          <w:highlight w:val="none"/>
          <w:lang w:val="zh-CN"/>
        </w:rPr>
      </w:pPr>
      <w:bookmarkStart w:id="647" w:name="_Toc155185928"/>
      <w:bookmarkStart w:id="648" w:name="_Toc163492922"/>
      <w:bookmarkStart w:id="649" w:name="_Toc163493643"/>
    </w:p>
    <w:p w14:paraId="053B0E36">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en-US" w:eastAsia="zh-CN" w:bidi="ar-SA"/>
        </w:rPr>
      </w:pPr>
      <w:bookmarkStart w:id="650" w:name="_Toc12516"/>
      <w:bookmarkStart w:id="651" w:name="_Toc155185927"/>
      <w:r>
        <w:rPr>
          <w:rFonts w:hint="eastAsia" w:eastAsia="宋体" w:asciiTheme="majorHAnsi" w:hAnsiTheme="majorHAnsi" w:cstheme="majorBidi"/>
          <w:b/>
          <w:bCs/>
          <w:i w:val="0"/>
          <w:iCs w:val="0"/>
          <w:color w:val="auto"/>
          <w:kern w:val="2"/>
          <w:sz w:val="28"/>
          <w:szCs w:val="28"/>
          <w:highlight w:val="none"/>
          <w:lang w:val="en-US" w:eastAsia="zh-CN" w:bidi="ar-SA"/>
        </w:rPr>
        <w:t>一、满足《中华人民共和国政府采购法》第二十二条规定</w:t>
      </w:r>
      <w:bookmarkEnd w:id="650"/>
    </w:p>
    <w:bookmarkEnd w:id="651"/>
    <w:p w14:paraId="04259590">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（一）法人、其他组织或者自然人的证明文件</w:t>
      </w:r>
    </w:p>
    <w:p w14:paraId="62FB9CC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1、供应商</w:t>
      </w:r>
      <w:r>
        <w:rPr>
          <w:rFonts w:hint="eastAsia" w:ascii="宋体" w:hAnsi="宋体" w:eastAsia="宋体" w:cs="宋体"/>
          <w:b w:val="0"/>
          <w:bCs w:val="0"/>
          <w:i w:val="0"/>
          <w:iCs w:val="0"/>
          <w:color w:val="auto"/>
          <w:kern w:val="0"/>
          <w:sz w:val="24"/>
          <w:szCs w:val="24"/>
          <w:highlight w:val="none"/>
          <w:lang w:val="en-US" w:eastAsia="zh-CN"/>
        </w:rPr>
        <w:t>为企业（包括合伙企业）的，应提供有效的“营业执照”；</w:t>
      </w:r>
    </w:p>
    <w:p w14:paraId="600485A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2、供应商</w:t>
      </w:r>
      <w:r>
        <w:rPr>
          <w:rFonts w:hint="eastAsia" w:ascii="宋体" w:hAnsi="宋体" w:eastAsia="宋体" w:cs="宋体"/>
          <w:b w:val="0"/>
          <w:bCs w:val="0"/>
          <w:i w:val="0"/>
          <w:iCs w:val="0"/>
          <w:color w:val="auto"/>
          <w:kern w:val="0"/>
          <w:sz w:val="24"/>
          <w:szCs w:val="24"/>
          <w:highlight w:val="none"/>
          <w:lang w:val="en-US" w:eastAsia="zh-CN"/>
        </w:rPr>
        <w:t>为事业单位的，应提供有效的“事业单位法人证书”；</w:t>
      </w:r>
    </w:p>
    <w:p w14:paraId="67A5F42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3、供应商</w:t>
      </w:r>
      <w:r>
        <w:rPr>
          <w:rFonts w:hint="eastAsia" w:ascii="宋体" w:hAnsi="宋体" w:eastAsia="宋体" w:cs="宋体"/>
          <w:b w:val="0"/>
          <w:bCs w:val="0"/>
          <w:i w:val="0"/>
          <w:iCs w:val="0"/>
          <w:color w:val="auto"/>
          <w:kern w:val="0"/>
          <w:sz w:val="24"/>
          <w:szCs w:val="24"/>
          <w:highlight w:val="none"/>
          <w:lang w:val="en-US" w:eastAsia="zh-CN"/>
        </w:rPr>
        <w:t>为非企业机构的，应提供有效的“执业许可证”、“登记证书”等证明文件；</w:t>
      </w:r>
    </w:p>
    <w:p w14:paraId="1FA7A24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4、供应商</w:t>
      </w:r>
      <w:r>
        <w:rPr>
          <w:rFonts w:hint="eastAsia" w:ascii="宋体" w:hAnsi="宋体" w:eastAsia="宋体" w:cs="宋体"/>
          <w:b w:val="0"/>
          <w:bCs w:val="0"/>
          <w:i w:val="0"/>
          <w:iCs w:val="0"/>
          <w:color w:val="auto"/>
          <w:kern w:val="0"/>
          <w:sz w:val="24"/>
          <w:szCs w:val="24"/>
          <w:highlight w:val="none"/>
          <w:lang w:val="en-US" w:eastAsia="zh-CN"/>
        </w:rPr>
        <w:t>是个体工商户的，应提供有效的“个体工商户营业执照”；</w:t>
      </w:r>
    </w:p>
    <w:p w14:paraId="43D5DF5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5、供应商</w:t>
      </w:r>
      <w:r>
        <w:rPr>
          <w:rFonts w:hint="eastAsia" w:ascii="宋体" w:hAnsi="宋体" w:eastAsia="宋体" w:cs="宋体"/>
          <w:b w:val="0"/>
          <w:bCs w:val="0"/>
          <w:i w:val="0"/>
          <w:iCs w:val="0"/>
          <w:color w:val="auto"/>
          <w:kern w:val="0"/>
          <w:sz w:val="24"/>
          <w:szCs w:val="24"/>
          <w:highlight w:val="none"/>
          <w:lang w:val="en-US" w:eastAsia="zh-CN"/>
        </w:rPr>
        <w:t>是自然人的，应提供有效的自然人身份证明。</w:t>
      </w:r>
    </w:p>
    <w:p w14:paraId="71461FAC">
      <w:pPr>
        <w:rPr>
          <w:rFonts w:hint="eastAsia" w:ascii="宋体" w:hAnsi="宋体" w:eastAsia="宋体" w:cs="宋体"/>
          <w:i w:val="0"/>
          <w:iCs w:val="0"/>
          <w:color w:val="auto"/>
          <w:kern w:val="0"/>
          <w:sz w:val="24"/>
          <w:szCs w:val="24"/>
          <w:highlight w:val="none"/>
          <w:lang w:val="en-US" w:eastAsia="zh-CN"/>
        </w:rPr>
      </w:pPr>
      <w:r>
        <w:rPr>
          <w:rFonts w:hint="eastAsia" w:ascii="宋体" w:hAnsi="宋体" w:eastAsia="宋体" w:cs="宋体"/>
          <w:i w:val="0"/>
          <w:iCs w:val="0"/>
          <w:color w:val="auto"/>
          <w:kern w:val="0"/>
          <w:sz w:val="24"/>
          <w:szCs w:val="24"/>
          <w:highlight w:val="none"/>
          <w:lang w:val="en-US" w:eastAsia="zh-CN"/>
        </w:rPr>
        <w:br w:type="page"/>
      </w:r>
    </w:p>
    <w:bookmarkEnd w:id="647"/>
    <w:bookmarkEnd w:id="648"/>
    <w:p w14:paraId="2D14B385">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（二）具有良好的商业信誉和健全的财务会计制度；</w:t>
      </w:r>
    </w:p>
    <w:p w14:paraId="344A5E2F">
      <w:pPr>
        <w:pStyle w:val="74"/>
        <w:adjustRightInd w:val="0"/>
        <w:snapToGrid w:val="0"/>
        <w:spacing w:line="360" w:lineRule="auto"/>
        <w:ind w:firstLine="420" w:firstLineChars="200"/>
        <w:jc w:val="left"/>
        <w:rPr>
          <w:rFonts w:hint="eastAsia" w:ascii="宋体" w:hAnsi="宋体" w:cs="宋体"/>
          <w:b/>
          <w:color w:val="auto"/>
          <w:sz w:val="24"/>
          <w:szCs w:val="24"/>
          <w:highlight w:val="none"/>
        </w:rPr>
      </w:pPr>
      <w:r>
        <w:rPr>
          <w:rFonts w:hint="eastAsia" w:ascii="宋体" w:hAnsi="宋体" w:eastAsia="宋体" w:cs="宋体"/>
          <w:b w:val="0"/>
          <w:bCs/>
          <w:color w:val="auto"/>
          <w:sz w:val="21"/>
          <w:szCs w:val="21"/>
          <w:highlight w:val="none"/>
        </w:rPr>
        <w:t>供应商是法人的，法人单位成立一年以上的须提供投标截止日前</w:t>
      </w:r>
      <w:r>
        <w:rPr>
          <w:rFonts w:hint="eastAsia" w:ascii="宋体" w:hAnsi="宋体" w:eastAsia="宋体" w:cs="宋体"/>
          <w:b w:val="0"/>
          <w:bCs/>
          <w:color w:val="auto"/>
          <w:sz w:val="21"/>
          <w:szCs w:val="21"/>
          <w:highlight w:val="none"/>
          <w:lang w:val="en-US" w:eastAsia="zh-CN"/>
        </w:rPr>
        <w:t>近三年任一年度</w:t>
      </w:r>
      <w:r>
        <w:rPr>
          <w:rFonts w:hint="eastAsia" w:ascii="宋体" w:hAnsi="宋体" w:eastAsia="宋体" w:cs="宋体"/>
          <w:b w:val="0"/>
          <w:bCs/>
          <w:color w:val="auto"/>
          <w:sz w:val="21"/>
          <w:szCs w:val="21"/>
          <w:highlight w:val="none"/>
        </w:rPr>
        <w:t>经审计的财务审计报告复印件加盖公章</w:t>
      </w: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法人单位成立一年以内的须提供成立当月至投标截止日前上个月的财务报表复印件加盖公章（须包括资产负债表、利润表、现金流量表等）或基本开户银行在投标截止日前三个月内开具的资信证明（原件或该原件的复印件，复印件须加盖供应商公章，银行存款证明无效）；法人单位成立三个月以内的须提供基本开户银行开具的资信证明（原件或该原件的复印件，复印件须加盖供应商公章，银行存款证明无效），或自行编写具有良好的商业信誉和健全的财务会计制度的承诺书；供应商是其他组织或自然人的，须提供银行出具的资信证明原件或自行编写具有良好的商业信誉和健全的财务会计制度的承诺书。</w:t>
      </w:r>
    </w:p>
    <w:p w14:paraId="2043C0FD">
      <w:pPr>
        <w:rPr>
          <w:rFonts w:hint="eastAsia" w:ascii="宋体" w:hAnsi="宋体" w:eastAsia="宋体" w:cs="宋体"/>
          <w:b/>
          <w:bCs/>
          <w:i w:val="0"/>
          <w:iCs w:val="0"/>
          <w:color w:val="auto"/>
          <w:kern w:val="2"/>
          <w:sz w:val="24"/>
          <w:szCs w:val="24"/>
          <w:highlight w:val="none"/>
          <w:lang w:val="en-US" w:eastAsia="zh-CN" w:bidi="ar-SA"/>
        </w:rPr>
      </w:pPr>
      <w:bookmarkStart w:id="652" w:name="_Toc28292"/>
      <w:bookmarkStart w:id="653" w:name="_Toc11370"/>
      <w:r>
        <w:rPr>
          <w:rFonts w:hint="eastAsia" w:ascii="宋体" w:hAnsi="宋体" w:eastAsia="宋体" w:cs="宋体"/>
          <w:b/>
          <w:bCs/>
          <w:i w:val="0"/>
          <w:iCs w:val="0"/>
          <w:color w:val="auto"/>
          <w:kern w:val="2"/>
          <w:sz w:val="24"/>
          <w:szCs w:val="24"/>
          <w:highlight w:val="none"/>
          <w:lang w:val="en-US" w:eastAsia="zh-CN" w:bidi="ar-SA"/>
        </w:rPr>
        <w:br w:type="page"/>
      </w:r>
    </w:p>
    <w:p w14:paraId="66F77BEF">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（三）有依法缴纳税收和社会保障资金的良好记录</w:t>
      </w:r>
      <w:bookmarkEnd w:id="652"/>
      <w:bookmarkEnd w:id="653"/>
    </w:p>
    <w:p w14:paraId="0B65B40E">
      <w:pPr>
        <w:pStyle w:val="74"/>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供应商依法缴纳税收的证明材料：本项目投标截止时间前6个月内（至少提供1个月）缴纳税收的凭据（完税证、缴款书、印花税票、银行代扣（代缴）转账凭证等均可）；</w:t>
      </w:r>
    </w:p>
    <w:p w14:paraId="068ACDE1">
      <w:pPr>
        <w:pStyle w:val="74"/>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依法免税的供应商，须提供相应文件证明其依法免税。</w:t>
      </w:r>
    </w:p>
    <w:p w14:paraId="3CD5783B">
      <w:pPr>
        <w:pStyle w:val="74"/>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供应商依法缴纳社会保障资金的证明材料：本项目投标截止时间时间前6个月内（至少提供1个月）缴纳社会保险的凭据（专用收据或社会保险交纳清单）；</w:t>
      </w:r>
    </w:p>
    <w:p w14:paraId="14734AAD">
      <w:pPr>
        <w:pStyle w:val="74"/>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供应商为其他组织或自然人的，也需要按此项规定提供缴纳税收的凭据和交纳社会保险的凭据。</w:t>
      </w:r>
    </w:p>
    <w:p w14:paraId="5F425A51">
      <w:pPr>
        <w:pStyle w:val="74"/>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sectPr>
          <w:pgSz w:w="11906" w:h="16838"/>
          <w:pgMar w:top="1440" w:right="1797" w:bottom="1440" w:left="1797" w:header="851" w:footer="992" w:gutter="0"/>
          <w:pgNumType w:fmt="decimal"/>
          <w:cols w:space="720" w:num="1"/>
        </w:sectPr>
      </w:pPr>
      <w:r>
        <w:rPr>
          <w:rFonts w:hint="eastAsia" w:ascii="宋体" w:hAnsi="宋体" w:eastAsia="宋体" w:cs="宋体"/>
          <w:b w:val="0"/>
          <w:bCs/>
          <w:color w:val="auto"/>
          <w:sz w:val="21"/>
          <w:szCs w:val="21"/>
          <w:highlight w:val="none"/>
        </w:rPr>
        <w:t>依法不需要缴纳社会保障资金的供应商，须提供相应文件证明其依法不需要缴纳社会保障资金。</w:t>
      </w:r>
    </w:p>
    <w:p w14:paraId="39F8B77A">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bookmarkStart w:id="654" w:name="_Toc19442"/>
      <w:bookmarkStart w:id="655" w:name="_Toc7342"/>
      <w:r>
        <w:rPr>
          <w:rFonts w:hint="eastAsia" w:ascii="宋体" w:hAnsi="宋体" w:eastAsia="宋体" w:cs="宋体"/>
          <w:b/>
          <w:bCs/>
          <w:i w:val="0"/>
          <w:iCs w:val="0"/>
          <w:color w:val="auto"/>
          <w:kern w:val="2"/>
          <w:sz w:val="24"/>
          <w:szCs w:val="24"/>
          <w:highlight w:val="none"/>
          <w:lang w:val="en-US" w:eastAsia="zh-CN" w:bidi="ar-SA"/>
        </w:rPr>
        <w:t>（四）供应商须具有履行合同所必需的设备和专业技术能力，须附相关证明材料或声明：</w:t>
      </w:r>
      <w:bookmarkEnd w:id="654"/>
      <w:bookmarkEnd w:id="655"/>
    </w:p>
    <w:p w14:paraId="2CED8279">
      <w:pPr>
        <w:pStyle w:val="74"/>
        <w:autoSpaceDE w:val="0"/>
        <w:autoSpaceDN w:val="0"/>
        <w:adjustRightInd w:val="0"/>
        <w:spacing w:line="440" w:lineRule="exact"/>
        <w:jc w:val="left"/>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格式：</w:t>
      </w:r>
    </w:p>
    <w:p w14:paraId="18C477D2">
      <w:pPr>
        <w:pStyle w:val="74"/>
        <w:autoSpaceDE w:val="0"/>
        <w:autoSpaceDN w:val="0"/>
        <w:adjustRightInd w:val="0"/>
        <w:spacing w:line="440" w:lineRule="exact"/>
        <w:ind w:firstLine="120" w:firstLineChars="5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本供应商郑重声明：</w:t>
      </w:r>
    </w:p>
    <w:p w14:paraId="7802F332">
      <w:pPr>
        <w:pStyle w:val="74"/>
        <w:autoSpaceDE w:val="0"/>
        <w:autoSpaceDN w:val="0"/>
        <w:adjustRightInd w:val="0"/>
        <w:spacing w:line="440" w:lineRule="exact"/>
        <w:jc w:val="left"/>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本公司（或单位）具备本项目履行合同所必需的设备和专业技术能力，特此承诺。 </w:t>
      </w:r>
    </w:p>
    <w:p w14:paraId="74091F66">
      <w:pPr>
        <w:pStyle w:val="75"/>
        <w:adjustRightInd w:val="0"/>
        <w:snapToGrid w:val="0"/>
        <w:spacing w:line="500" w:lineRule="exact"/>
        <w:rPr>
          <w:rFonts w:hint="eastAsia" w:ascii="宋体" w:hAnsi="宋体" w:cs="宋体"/>
          <w:color w:val="auto"/>
          <w:sz w:val="24"/>
          <w:szCs w:val="24"/>
          <w:highlight w:val="none"/>
        </w:rPr>
      </w:pPr>
    </w:p>
    <w:p w14:paraId="09D05F52">
      <w:pPr>
        <w:pStyle w:val="75"/>
        <w:adjustRightInd w:val="0"/>
        <w:snapToGrid w:val="0"/>
        <w:spacing w:line="500" w:lineRule="exact"/>
        <w:rPr>
          <w:rFonts w:hint="eastAsia" w:ascii="宋体" w:hAnsi="宋体" w:cs="宋体"/>
          <w:color w:val="auto"/>
          <w:sz w:val="24"/>
          <w:szCs w:val="24"/>
          <w:highlight w:val="none"/>
        </w:rPr>
      </w:pPr>
    </w:p>
    <w:p w14:paraId="06E7F57F">
      <w:pPr>
        <w:pStyle w:val="75"/>
        <w:adjustRightInd w:val="0"/>
        <w:snapToGrid w:val="0"/>
        <w:spacing w:line="500" w:lineRule="exact"/>
        <w:rPr>
          <w:rFonts w:hint="eastAsia" w:ascii="宋体" w:hAnsi="宋体" w:cs="宋体"/>
          <w:color w:val="auto"/>
          <w:sz w:val="24"/>
          <w:szCs w:val="24"/>
          <w:highlight w:val="none"/>
        </w:rPr>
      </w:pPr>
    </w:p>
    <w:p w14:paraId="0A55E66A">
      <w:pPr>
        <w:pStyle w:val="75"/>
        <w:adjustRightInd w:val="0"/>
        <w:snapToGrid w:val="0"/>
        <w:spacing w:line="500" w:lineRule="exact"/>
        <w:rPr>
          <w:rFonts w:hint="eastAsia" w:ascii="宋体" w:hAnsi="宋体" w:cs="宋体"/>
          <w:color w:val="auto"/>
          <w:sz w:val="24"/>
          <w:szCs w:val="24"/>
          <w:highlight w:val="none"/>
        </w:rPr>
      </w:pPr>
    </w:p>
    <w:p w14:paraId="6C0B4994">
      <w:pPr>
        <w:pStyle w:val="75"/>
        <w:adjustRightInd w:val="0"/>
        <w:snapToGrid w:val="0"/>
        <w:spacing w:line="500" w:lineRule="exact"/>
        <w:rPr>
          <w:rFonts w:hint="eastAsia" w:ascii="宋体" w:hAnsi="宋体" w:cs="宋体"/>
          <w:color w:val="auto"/>
          <w:sz w:val="24"/>
          <w:szCs w:val="24"/>
          <w:highlight w:val="none"/>
        </w:rPr>
      </w:pPr>
    </w:p>
    <w:p w14:paraId="5CD3836F">
      <w:pPr>
        <w:pStyle w:val="75"/>
        <w:adjustRightInd w:val="0"/>
        <w:snapToGrid w:val="0"/>
        <w:spacing w:line="5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法定代表人（单位负责人）或其委托代理人（签字或电子签章）：</w:t>
      </w:r>
      <w:r>
        <w:rPr>
          <w:rFonts w:hint="eastAsia" w:ascii="宋体" w:hAnsi="宋体" w:cs="宋体"/>
          <w:color w:val="auto"/>
          <w:sz w:val="24"/>
          <w:szCs w:val="24"/>
          <w:highlight w:val="none"/>
          <w:u w:val="single"/>
        </w:rPr>
        <w:t xml:space="preserve">                  </w:t>
      </w:r>
    </w:p>
    <w:p w14:paraId="34C7D42A">
      <w:pPr>
        <w:pStyle w:val="75"/>
        <w:adjustRightInd w:val="0"/>
        <w:snapToGrid w:val="0"/>
        <w:spacing w:line="500" w:lineRule="exact"/>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供应商名称（签章）：</w:t>
      </w:r>
      <w:r>
        <w:rPr>
          <w:rFonts w:hint="eastAsia" w:ascii="宋体" w:hAnsi="宋体" w:cs="宋体"/>
          <w:color w:val="auto"/>
          <w:sz w:val="24"/>
          <w:szCs w:val="24"/>
          <w:highlight w:val="none"/>
          <w:u w:val="single"/>
        </w:rPr>
        <w:t xml:space="preserve">                       </w:t>
      </w:r>
    </w:p>
    <w:p w14:paraId="75F21B0F">
      <w:pPr>
        <w:pStyle w:val="75"/>
        <w:spacing w:line="500" w:lineRule="exact"/>
        <w:rPr>
          <w:rFonts w:hint="eastAsia" w:ascii="宋体" w:hAnsi="宋体" w:cs="宋体"/>
          <w:color w:val="auto"/>
          <w:highlight w:val="none"/>
        </w:rPr>
      </w:pPr>
      <w:r>
        <w:rPr>
          <w:rFonts w:hint="eastAsia" w:ascii="宋体" w:hAnsi="宋体" w:cs="宋体"/>
          <w:color w:val="auto"/>
          <w:sz w:val="24"/>
          <w:szCs w:val="24"/>
          <w:highlight w:val="none"/>
        </w:rPr>
        <w:t>日期：</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日</w:t>
      </w:r>
    </w:p>
    <w:p w14:paraId="08D8F77C">
      <w:pPr>
        <w:pStyle w:val="74"/>
        <w:adjustRightInd w:val="0"/>
        <w:snapToGrid w:val="0"/>
        <w:spacing w:line="360" w:lineRule="auto"/>
        <w:jc w:val="left"/>
        <w:rPr>
          <w:rFonts w:hint="eastAsia" w:ascii="宋体" w:hAnsi="宋体" w:cs="宋体"/>
          <w:b/>
          <w:color w:val="auto"/>
          <w:sz w:val="24"/>
          <w:szCs w:val="24"/>
          <w:highlight w:val="none"/>
        </w:rPr>
      </w:pPr>
    </w:p>
    <w:p w14:paraId="42338A44">
      <w:pPr>
        <w:pStyle w:val="73"/>
        <w:outlineLvl w:val="2"/>
        <w:rPr>
          <w:rFonts w:hint="eastAsia" w:ascii="宋体" w:hAnsi="宋体" w:eastAsia="宋体" w:cs="宋体"/>
          <w:color w:val="auto"/>
          <w:highlight w:val="none"/>
        </w:rPr>
        <w:sectPr>
          <w:pgSz w:w="11906" w:h="16838"/>
          <w:pgMar w:top="1440" w:right="1797" w:bottom="1440" w:left="1797" w:header="851" w:footer="992" w:gutter="0"/>
          <w:pgNumType w:fmt="decimal"/>
          <w:cols w:space="720" w:num="1"/>
        </w:sectPr>
      </w:pPr>
    </w:p>
    <w:p w14:paraId="086F1CD3">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bookmarkStart w:id="656" w:name="_Toc21544"/>
      <w:bookmarkStart w:id="657" w:name="_Toc16347"/>
      <w:r>
        <w:rPr>
          <w:rFonts w:hint="eastAsia" w:ascii="宋体" w:hAnsi="宋体" w:eastAsia="宋体" w:cs="宋体"/>
          <w:b/>
          <w:bCs/>
          <w:i w:val="0"/>
          <w:iCs w:val="0"/>
          <w:color w:val="auto"/>
          <w:kern w:val="2"/>
          <w:sz w:val="24"/>
          <w:szCs w:val="24"/>
          <w:highlight w:val="none"/>
          <w:lang w:val="en-US" w:eastAsia="zh-CN" w:bidi="ar-SA"/>
        </w:rPr>
        <w:t>（五）参加政府采购活动前三年内，在经营活动中没有重大违法记录的书面声明：</w:t>
      </w:r>
      <w:bookmarkEnd w:id="656"/>
      <w:bookmarkEnd w:id="657"/>
    </w:p>
    <w:p w14:paraId="04A21087">
      <w:pPr>
        <w:pStyle w:val="74"/>
        <w:adjustRightInd w:val="0"/>
        <w:snapToGrid w:val="0"/>
        <w:spacing w:line="360" w:lineRule="auto"/>
        <w:rPr>
          <w:rFonts w:hint="eastAsia" w:ascii="宋体" w:hAnsi="宋体" w:cs="宋体"/>
          <w:color w:val="auto"/>
          <w:sz w:val="24"/>
          <w:szCs w:val="24"/>
          <w:highlight w:val="none"/>
        </w:rPr>
      </w:pPr>
    </w:p>
    <w:p w14:paraId="7D5E4B1B">
      <w:pPr>
        <w:pStyle w:val="74"/>
        <w:adjustRightInd w:val="0"/>
        <w:snapToGrid w:val="0"/>
        <w:spacing w:line="360" w:lineRule="auto"/>
        <w:rPr>
          <w:rFonts w:hint="eastAsia" w:ascii="宋体" w:hAnsi="宋体" w:cs="宋体"/>
          <w:color w:val="auto"/>
          <w:sz w:val="24"/>
          <w:szCs w:val="24"/>
          <w:highlight w:val="none"/>
        </w:rPr>
      </w:pPr>
    </w:p>
    <w:p w14:paraId="462EC1B3">
      <w:pPr>
        <w:pStyle w:val="74"/>
        <w:adjustRightInd w:val="0"/>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格式：</w:t>
      </w:r>
    </w:p>
    <w:p w14:paraId="5AE02A31">
      <w:pPr>
        <w:pStyle w:val="76"/>
        <w:adjustRightInd w:val="0"/>
        <w:snapToGrid w:val="0"/>
        <w:spacing w:line="360" w:lineRule="auto"/>
        <w:ind w:firstLine="480" w:firstLineChars="20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无重大违法记录声明书</w:t>
      </w:r>
    </w:p>
    <w:p w14:paraId="615E07B2">
      <w:pPr>
        <w:pStyle w:val="74"/>
        <w:adjustRightInd w:val="0"/>
        <w:snapToGrid w:val="0"/>
        <w:spacing w:line="360" w:lineRule="auto"/>
        <w:rPr>
          <w:rFonts w:hint="eastAsia" w:ascii="宋体" w:hAnsi="宋体" w:cs="宋体"/>
          <w:color w:val="auto"/>
          <w:sz w:val="24"/>
          <w:szCs w:val="24"/>
          <w:highlight w:val="none"/>
        </w:rPr>
      </w:pPr>
    </w:p>
    <w:p w14:paraId="0D9A0424">
      <w:pPr>
        <w:pStyle w:val="74"/>
        <w:adjustRightInd w:val="0"/>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u w:val="single"/>
        </w:rPr>
        <w:t xml:space="preserve">（采购人）         </w:t>
      </w:r>
      <w:r>
        <w:rPr>
          <w:rFonts w:hint="eastAsia" w:ascii="宋体" w:hAnsi="宋体" w:cs="宋体"/>
          <w:color w:val="auto"/>
          <w:sz w:val="24"/>
          <w:szCs w:val="24"/>
          <w:highlight w:val="none"/>
        </w:rPr>
        <w:t>：</w:t>
      </w:r>
    </w:p>
    <w:p w14:paraId="41BE35A7">
      <w:pPr>
        <w:pStyle w:val="74"/>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我公司参与</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名称、编号）投标，本公司郑重声明，我方参加本项目政府采购活动前三年内无重大违法记录，符合《政府采购法》规定的供应商条件。若贵方在本项目采购过程中发现我方政府采购活动前三年内有重大违法记录，我公司将无条件退出本项目的投标，并承担因此引起的一切后果。我方对此声明负全部法律责任。</w:t>
      </w:r>
    </w:p>
    <w:p w14:paraId="251D3375">
      <w:pPr>
        <w:pStyle w:val="74"/>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特此声明  </w:t>
      </w:r>
    </w:p>
    <w:p w14:paraId="064185E4">
      <w:pPr>
        <w:pStyle w:val="75"/>
        <w:adjustRightInd w:val="0"/>
        <w:snapToGrid w:val="0"/>
        <w:spacing w:line="5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法定代表人（单位负责人）或其委托代理人（签字或电子签章）：</w:t>
      </w:r>
      <w:r>
        <w:rPr>
          <w:rFonts w:hint="eastAsia" w:ascii="宋体" w:hAnsi="宋体" w:cs="宋体"/>
          <w:color w:val="auto"/>
          <w:sz w:val="24"/>
          <w:szCs w:val="24"/>
          <w:highlight w:val="none"/>
          <w:u w:val="single"/>
        </w:rPr>
        <w:t xml:space="preserve">                  </w:t>
      </w:r>
    </w:p>
    <w:p w14:paraId="2C0A3BED">
      <w:pPr>
        <w:pStyle w:val="75"/>
        <w:adjustRightInd w:val="0"/>
        <w:snapToGrid w:val="0"/>
        <w:spacing w:line="500" w:lineRule="exact"/>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供应商名称（签章）：</w:t>
      </w:r>
      <w:r>
        <w:rPr>
          <w:rFonts w:hint="eastAsia" w:ascii="宋体" w:hAnsi="宋体" w:cs="宋体"/>
          <w:color w:val="auto"/>
          <w:sz w:val="24"/>
          <w:szCs w:val="24"/>
          <w:highlight w:val="none"/>
          <w:u w:val="single"/>
        </w:rPr>
        <w:t xml:space="preserve">                       </w:t>
      </w:r>
    </w:p>
    <w:p w14:paraId="0361B8A2">
      <w:pPr>
        <w:pStyle w:val="75"/>
        <w:spacing w:line="500" w:lineRule="exact"/>
        <w:rPr>
          <w:rFonts w:hint="eastAsia" w:ascii="宋体" w:hAnsi="宋体" w:cs="宋体"/>
          <w:color w:val="auto"/>
          <w:highlight w:val="none"/>
        </w:rPr>
      </w:pPr>
      <w:r>
        <w:rPr>
          <w:rFonts w:hint="eastAsia" w:ascii="宋体" w:hAnsi="宋体" w:cs="宋体"/>
          <w:color w:val="auto"/>
          <w:sz w:val="24"/>
          <w:szCs w:val="24"/>
          <w:highlight w:val="none"/>
        </w:rPr>
        <w:t>日期：</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日</w:t>
      </w:r>
    </w:p>
    <w:p w14:paraId="4CF9B070">
      <w:pPr>
        <w:pStyle w:val="74"/>
        <w:adjustRightInd w:val="0"/>
        <w:snapToGrid w:val="0"/>
        <w:spacing w:line="360" w:lineRule="auto"/>
        <w:jc w:val="left"/>
        <w:rPr>
          <w:rFonts w:hint="eastAsia" w:ascii="宋体" w:hAnsi="宋体" w:cs="宋体"/>
          <w:color w:val="auto"/>
          <w:sz w:val="24"/>
          <w:szCs w:val="24"/>
          <w:highlight w:val="none"/>
        </w:rPr>
      </w:pPr>
    </w:p>
    <w:p w14:paraId="7B1DE612">
      <w:pPr>
        <w:pStyle w:val="74"/>
        <w:adjustRightInd w:val="0"/>
        <w:snapToGrid w:val="0"/>
        <w:spacing w:line="360" w:lineRule="auto"/>
        <w:jc w:val="left"/>
        <w:rPr>
          <w:rFonts w:hint="eastAsia" w:ascii="宋体" w:hAnsi="宋体" w:cs="宋体"/>
          <w:b/>
          <w:color w:val="auto"/>
          <w:kern w:val="0"/>
          <w:sz w:val="32"/>
          <w:szCs w:val="24"/>
          <w:highlight w:val="none"/>
        </w:rPr>
        <w:sectPr>
          <w:pgSz w:w="11906" w:h="16838"/>
          <w:pgMar w:top="1440" w:right="1797" w:bottom="1440" w:left="1797" w:header="851" w:footer="992" w:gutter="0"/>
          <w:pgNumType w:fmt="decimal"/>
          <w:cols w:space="720" w:num="1"/>
        </w:sectPr>
      </w:pPr>
    </w:p>
    <w:p w14:paraId="2899BCEC">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bookmarkStart w:id="658" w:name="_Toc31574"/>
      <w:bookmarkStart w:id="659" w:name="_Toc32053"/>
      <w:r>
        <w:rPr>
          <w:rFonts w:hint="eastAsia" w:ascii="宋体" w:hAnsi="宋体" w:eastAsia="宋体" w:cs="宋体"/>
          <w:b/>
          <w:bCs/>
          <w:i w:val="0"/>
          <w:iCs w:val="0"/>
          <w:color w:val="auto"/>
          <w:kern w:val="2"/>
          <w:sz w:val="24"/>
          <w:szCs w:val="24"/>
          <w:highlight w:val="none"/>
          <w:lang w:val="en-US" w:eastAsia="zh-CN" w:bidi="ar-SA"/>
        </w:rPr>
        <w:t>（六）供应商未列入失信被执行人、重大税收违法案件当事人名单、政府采购严重违法失信行为记录名单</w:t>
      </w:r>
      <w:bookmarkEnd w:id="658"/>
      <w:bookmarkEnd w:id="659"/>
    </w:p>
    <w:p w14:paraId="0DF2C932">
      <w:pPr>
        <w:pStyle w:val="77"/>
        <w:spacing w:line="360" w:lineRule="auto"/>
        <w:ind w:firstLine="504" w:firstLineChars="200"/>
        <w:jc w:val="left"/>
        <w:rPr>
          <w:rFonts w:hint="eastAsia" w:ascii="宋体" w:hAnsi="宋体" w:cs="宋体"/>
          <w:color w:val="auto"/>
          <w:spacing w:val="6"/>
          <w:kern w:val="0"/>
          <w:sz w:val="24"/>
          <w:szCs w:val="24"/>
          <w:highlight w:val="none"/>
        </w:rPr>
      </w:pPr>
    </w:p>
    <w:p w14:paraId="0ACD2F8E">
      <w:pPr>
        <w:pStyle w:val="77"/>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“信用中国”网站查询信息：</w:t>
      </w:r>
    </w:p>
    <w:p w14:paraId="2D561571">
      <w:pPr>
        <w:pStyle w:val="77"/>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 xml:space="preserve">①未被列入失信被执行人； </w:t>
      </w:r>
    </w:p>
    <w:p w14:paraId="77C6D42B">
      <w:pPr>
        <w:pStyle w:val="77"/>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 xml:space="preserve">②不是重大税收违法案件当事人名单的供应商； </w:t>
      </w:r>
    </w:p>
    <w:p w14:paraId="0C5A46E2">
      <w:pPr>
        <w:pStyle w:val="77"/>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③未被列入政府采购严重违法失信行为记录名单。</w:t>
      </w:r>
    </w:p>
    <w:p w14:paraId="5ACDECE8">
      <w:pPr>
        <w:pStyle w:val="77"/>
        <w:spacing w:line="360" w:lineRule="auto"/>
        <w:ind w:firstLine="504" w:firstLineChars="200"/>
        <w:jc w:val="left"/>
        <w:rPr>
          <w:rFonts w:hint="eastAsia" w:ascii="宋体" w:hAnsi="宋体" w:cs="宋体"/>
          <w:color w:val="auto"/>
          <w:spacing w:val="6"/>
          <w:kern w:val="0"/>
          <w:sz w:val="24"/>
          <w:szCs w:val="24"/>
          <w:highlight w:val="none"/>
        </w:rPr>
      </w:pPr>
    </w:p>
    <w:p w14:paraId="67FB19E7">
      <w:pPr>
        <w:pStyle w:val="77"/>
        <w:spacing w:line="360" w:lineRule="auto"/>
        <w:ind w:firstLine="504" w:firstLineChars="200"/>
        <w:jc w:val="left"/>
        <w:rPr>
          <w:rFonts w:hint="eastAsia" w:ascii="宋体" w:hAnsi="宋体" w:cs="宋体"/>
          <w:color w:val="auto"/>
          <w:spacing w:val="6"/>
          <w:kern w:val="0"/>
          <w:sz w:val="24"/>
          <w:szCs w:val="24"/>
          <w:highlight w:val="none"/>
        </w:rPr>
      </w:pPr>
    </w:p>
    <w:p w14:paraId="77537818">
      <w:pPr>
        <w:pStyle w:val="77"/>
        <w:spacing w:line="360" w:lineRule="auto"/>
        <w:ind w:firstLine="504" w:firstLineChars="200"/>
        <w:jc w:val="left"/>
        <w:rPr>
          <w:rFonts w:hint="eastAsia" w:ascii="宋体" w:hAnsi="宋体" w:cs="宋体"/>
          <w:color w:val="auto"/>
          <w:spacing w:val="6"/>
          <w:kern w:val="0"/>
          <w:sz w:val="24"/>
          <w:szCs w:val="24"/>
          <w:highlight w:val="none"/>
        </w:rPr>
      </w:pPr>
    </w:p>
    <w:p w14:paraId="610AF1FD">
      <w:pPr>
        <w:pStyle w:val="77"/>
        <w:spacing w:line="360" w:lineRule="auto"/>
        <w:ind w:firstLine="504" w:firstLineChars="200"/>
        <w:jc w:val="left"/>
        <w:rPr>
          <w:rFonts w:hint="eastAsia" w:ascii="宋体" w:hAnsi="宋体" w:eastAsia="宋体" w:cs="宋体"/>
          <w:color w:val="auto"/>
          <w:spacing w:val="6"/>
          <w:kern w:val="0"/>
          <w:sz w:val="24"/>
          <w:szCs w:val="24"/>
          <w:highlight w:val="none"/>
          <w:lang w:val="en-US" w:eastAsia="zh-CN"/>
        </w:rPr>
      </w:pPr>
      <w:r>
        <w:rPr>
          <w:rFonts w:hint="eastAsia" w:ascii="宋体" w:hAnsi="宋体" w:cs="宋体"/>
          <w:color w:val="auto"/>
          <w:spacing w:val="6"/>
          <w:kern w:val="0"/>
          <w:sz w:val="24"/>
          <w:szCs w:val="24"/>
          <w:highlight w:val="none"/>
          <w:lang w:val="en-US" w:eastAsia="zh-CN"/>
        </w:rPr>
        <w:t xml:space="preserve"> </w:t>
      </w:r>
    </w:p>
    <w:p w14:paraId="25A3CFB9">
      <w:pPr>
        <w:pStyle w:val="77"/>
        <w:spacing w:line="360" w:lineRule="auto"/>
        <w:ind w:firstLine="756" w:firstLineChars="300"/>
        <w:jc w:val="left"/>
        <w:rPr>
          <w:rFonts w:hint="eastAsia" w:ascii="宋体" w:hAnsi="宋体" w:cs="宋体"/>
          <w:color w:val="auto"/>
          <w:spacing w:val="6"/>
          <w:kern w:val="0"/>
          <w:sz w:val="24"/>
          <w:szCs w:val="24"/>
          <w:highlight w:val="none"/>
          <w:lang w:eastAsia="zh-CN"/>
        </w:rPr>
      </w:pPr>
      <w:r>
        <w:rPr>
          <w:rFonts w:hint="eastAsia" w:ascii="宋体" w:hAnsi="宋体" w:cs="宋体"/>
          <w:color w:val="auto"/>
          <w:spacing w:val="6"/>
          <w:kern w:val="0"/>
          <w:sz w:val="24"/>
          <w:szCs w:val="24"/>
          <w:highlight w:val="none"/>
        </w:rPr>
        <w:t>“中国政府采购网”查询信息</w:t>
      </w:r>
      <w:r>
        <w:rPr>
          <w:rFonts w:hint="eastAsia" w:ascii="宋体" w:hAnsi="宋体" w:cs="宋体"/>
          <w:color w:val="auto"/>
          <w:spacing w:val="6"/>
          <w:kern w:val="0"/>
          <w:sz w:val="24"/>
          <w:szCs w:val="24"/>
          <w:highlight w:val="none"/>
          <w:lang w:eastAsia="zh-CN"/>
        </w:rPr>
        <w:t>：</w:t>
      </w:r>
    </w:p>
    <w:p w14:paraId="6072AFE7">
      <w:pPr>
        <w:pStyle w:val="77"/>
        <w:spacing w:line="360" w:lineRule="auto"/>
        <w:ind w:firstLine="720" w:firstLineChars="300"/>
        <w:jc w:val="left"/>
        <w:rPr>
          <w:rFonts w:ascii="Arial" w:hAnsi="Arial" w:cs="Arial"/>
          <w:i w:val="0"/>
          <w:iCs w:val="0"/>
          <w:color w:val="auto"/>
          <w:szCs w:val="21"/>
          <w:highlight w:val="none"/>
        </w:rPr>
      </w:pPr>
      <w:r>
        <w:rPr>
          <w:rFonts w:hint="eastAsia" w:ascii="宋体" w:hAnsi="宋体" w:cs="宋体"/>
          <w:color w:val="auto"/>
          <w:sz w:val="24"/>
          <w:szCs w:val="24"/>
          <w:highlight w:val="none"/>
          <w:lang w:val="en-US" w:eastAsia="zh-CN"/>
        </w:rPr>
        <w:t>①</w:t>
      </w:r>
      <w:r>
        <w:rPr>
          <w:rFonts w:hint="eastAsia" w:ascii="宋体" w:hAnsi="宋体" w:eastAsia="宋体" w:cs="宋体"/>
          <w:color w:val="auto"/>
          <w:sz w:val="24"/>
          <w:szCs w:val="24"/>
          <w:highlight w:val="none"/>
        </w:rPr>
        <w:t>政府采购严重违法失信行为信息记录</w:t>
      </w:r>
      <w:r>
        <w:rPr>
          <w:rFonts w:hint="eastAsia" w:ascii="宋体" w:hAnsi="宋体" w:cs="宋体"/>
          <w:color w:val="auto"/>
          <w:sz w:val="24"/>
          <w:szCs w:val="24"/>
          <w:highlight w:val="none"/>
          <w:lang w:eastAsia="zh-CN"/>
        </w:rPr>
        <w:t>：</w:t>
      </w:r>
      <w:r>
        <w:rPr>
          <w:rFonts w:ascii="Arial" w:hAnsi="Arial" w:cs="Arial"/>
          <w:i w:val="0"/>
          <w:iCs w:val="0"/>
          <w:color w:val="auto"/>
          <w:szCs w:val="21"/>
          <w:highlight w:val="none"/>
        </w:rPr>
        <w:br w:type="page"/>
      </w:r>
    </w:p>
    <w:p w14:paraId="137C9F2E">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zh-CN" w:eastAsia="zh-CN" w:bidi="ar-SA"/>
        </w:rPr>
      </w:pPr>
      <w:bookmarkStart w:id="660" w:name="_Toc109900336"/>
      <w:bookmarkStart w:id="661" w:name="_Toc140132840"/>
      <w:bookmarkStart w:id="662" w:name="_Toc163492923"/>
      <w:bookmarkStart w:id="663" w:name="_Toc109899498"/>
      <w:bookmarkStart w:id="664" w:name="_Toc155185930"/>
      <w:bookmarkStart w:id="665" w:name="_Toc109899917"/>
      <w:bookmarkStart w:id="666" w:name="_Toc18882"/>
      <w:r>
        <w:rPr>
          <w:rFonts w:hint="eastAsia" w:eastAsia="宋体" w:asciiTheme="majorHAnsi" w:hAnsiTheme="majorHAnsi" w:cstheme="majorBidi"/>
          <w:b/>
          <w:bCs/>
          <w:i w:val="0"/>
          <w:iCs w:val="0"/>
          <w:color w:val="auto"/>
          <w:kern w:val="2"/>
          <w:sz w:val="28"/>
          <w:szCs w:val="28"/>
          <w:highlight w:val="none"/>
          <w:lang w:val="en-US" w:eastAsia="zh-CN" w:bidi="ar-SA"/>
        </w:rPr>
        <w:t>二、</w:t>
      </w:r>
      <w:bookmarkEnd w:id="660"/>
      <w:bookmarkEnd w:id="661"/>
      <w:bookmarkEnd w:id="662"/>
      <w:bookmarkEnd w:id="663"/>
      <w:bookmarkEnd w:id="664"/>
      <w:bookmarkEnd w:id="665"/>
      <w:bookmarkStart w:id="667" w:name="_Toc155185931"/>
      <w:r>
        <w:rPr>
          <w:rFonts w:hint="eastAsia" w:eastAsia="宋体" w:asciiTheme="majorHAnsi" w:hAnsiTheme="majorHAnsi" w:cstheme="majorBidi"/>
          <w:b/>
          <w:bCs/>
          <w:i w:val="0"/>
          <w:iCs w:val="0"/>
          <w:color w:val="auto"/>
          <w:kern w:val="2"/>
          <w:sz w:val="28"/>
          <w:szCs w:val="28"/>
          <w:highlight w:val="none"/>
          <w:lang w:val="zh-CN" w:eastAsia="zh-CN" w:bidi="ar-SA"/>
        </w:rPr>
        <w:t>联合体协议书</w:t>
      </w:r>
      <w:bookmarkEnd w:id="667"/>
      <w:r>
        <w:rPr>
          <w:rFonts w:hint="eastAsia" w:ascii="宋体" w:hAnsi="宋体" w:eastAsia="宋体" w:cstheme="minorBidi"/>
          <w:b w:val="0"/>
          <w:bCs w:val="0"/>
          <w:i w:val="0"/>
          <w:iCs w:val="0"/>
          <w:color w:val="auto"/>
          <w:kern w:val="2"/>
          <w:sz w:val="28"/>
          <w:szCs w:val="28"/>
          <w:highlight w:val="none"/>
          <w:lang w:val="zh-CN" w:eastAsia="zh-CN" w:bidi="ar-SA"/>
        </w:rPr>
        <w:t>【</w:t>
      </w:r>
      <w:r>
        <w:rPr>
          <w:rFonts w:hint="eastAsia" w:ascii="宋体" w:hAnsi="宋体" w:cstheme="minorBidi"/>
          <w:b w:val="0"/>
          <w:bCs w:val="0"/>
          <w:i w:val="0"/>
          <w:iCs w:val="0"/>
          <w:color w:val="auto"/>
          <w:kern w:val="2"/>
          <w:sz w:val="28"/>
          <w:szCs w:val="28"/>
          <w:highlight w:val="none"/>
          <w:lang w:val="en-US" w:eastAsia="zh-CN" w:bidi="ar-SA"/>
        </w:rPr>
        <w:t>不适用可不提供</w:t>
      </w:r>
      <w:r>
        <w:rPr>
          <w:rFonts w:hint="eastAsia" w:ascii="宋体" w:hAnsi="宋体" w:eastAsia="宋体" w:cstheme="minorBidi"/>
          <w:b w:val="0"/>
          <w:bCs w:val="0"/>
          <w:i w:val="0"/>
          <w:iCs w:val="0"/>
          <w:color w:val="auto"/>
          <w:kern w:val="2"/>
          <w:sz w:val="28"/>
          <w:szCs w:val="28"/>
          <w:highlight w:val="none"/>
          <w:lang w:val="zh-CN" w:eastAsia="zh-CN" w:bidi="ar-SA"/>
        </w:rPr>
        <w:t>】</w:t>
      </w:r>
      <w:bookmarkEnd w:id="666"/>
    </w:p>
    <w:p w14:paraId="7BD2164D">
      <w:pPr>
        <w:snapToGrid w:val="0"/>
        <w:spacing w:line="360" w:lineRule="auto"/>
        <w:jc w:val="center"/>
        <w:outlineLvl w:val="1"/>
        <w:rPr>
          <w:rFonts w:hint="eastAsia" w:ascii="宋体" w:hAnsi="宋体" w:cs="宋体"/>
          <w:b/>
          <w:i w:val="0"/>
          <w:iCs w:val="0"/>
          <w:color w:val="auto"/>
          <w:kern w:val="0"/>
          <w:sz w:val="32"/>
          <w:szCs w:val="32"/>
          <w:highlight w:val="none"/>
        </w:rPr>
      </w:pPr>
      <w:bookmarkStart w:id="668" w:name="_Toc4639"/>
      <w:r>
        <w:rPr>
          <w:rFonts w:hint="eastAsia" w:ascii="宋体" w:hAnsi="宋体" w:cs="宋体"/>
          <w:b/>
          <w:i w:val="0"/>
          <w:iCs w:val="0"/>
          <w:color w:val="auto"/>
          <w:kern w:val="0"/>
          <w:sz w:val="32"/>
          <w:szCs w:val="32"/>
          <w:highlight w:val="none"/>
        </w:rPr>
        <w:t>联合体协议书</w:t>
      </w:r>
      <w:bookmarkEnd w:id="668"/>
    </w:p>
    <w:p w14:paraId="1FDD62D4">
      <w:pPr>
        <w:widowControl/>
        <w:spacing w:line="360" w:lineRule="auto"/>
        <w:ind w:firstLine="482" w:firstLineChars="200"/>
        <w:jc w:val="left"/>
        <w:rPr>
          <w:rFonts w:ascii="宋体" w:hAnsi="宋体" w:cs="宋体"/>
          <w:b/>
          <w:i w:val="0"/>
          <w:iCs w:val="0"/>
          <w:color w:val="auto"/>
          <w:sz w:val="24"/>
          <w:highlight w:val="none"/>
        </w:rPr>
      </w:pPr>
      <w:r>
        <w:rPr>
          <w:rFonts w:hint="eastAsia" w:ascii="宋体" w:hAnsi="宋体" w:cs="宋体"/>
          <w:b/>
          <w:i w:val="0"/>
          <w:iCs w:val="0"/>
          <w:color w:val="auto"/>
          <w:sz w:val="24"/>
          <w:highlight w:val="none"/>
        </w:rPr>
        <w:t>（以联合体形式</w:t>
      </w:r>
      <w:r>
        <w:rPr>
          <w:rFonts w:hint="eastAsia" w:cs="宋体"/>
          <w:b/>
          <w:i w:val="0"/>
          <w:iCs w:val="0"/>
          <w:color w:val="auto"/>
          <w:sz w:val="24"/>
          <w:highlight w:val="none"/>
          <w:lang w:val="en-US" w:eastAsia="zh-CN"/>
        </w:rPr>
        <w:t>磋商响应</w:t>
      </w:r>
      <w:r>
        <w:rPr>
          <w:rFonts w:hint="eastAsia" w:ascii="宋体" w:hAnsi="宋体" w:cs="宋体"/>
          <w:b/>
          <w:i w:val="0"/>
          <w:iCs w:val="0"/>
          <w:color w:val="auto"/>
          <w:sz w:val="24"/>
          <w:highlight w:val="none"/>
        </w:rPr>
        <w:t>的，提供联合</w:t>
      </w:r>
      <w:r>
        <w:rPr>
          <w:rFonts w:hint="eastAsia" w:cs="宋体"/>
          <w:b/>
          <w:i w:val="0"/>
          <w:iCs w:val="0"/>
          <w:color w:val="auto"/>
          <w:sz w:val="24"/>
          <w:highlight w:val="none"/>
          <w:lang w:val="en-US" w:eastAsia="zh-CN"/>
        </w:rPr>
        <w:t>体</w:t>
      </w:r>
      <w:r>
        <w:rPr>
          <w:rFonts w:hint="eastAsia" w:ascii="宋体" w:hAnsi="宋体" w:cs="宋体"/>
          <w:b/>
          <w:i w:val="0"/>
          <w:iCs w:val="0"/>
          <w:color w:val="auto"/>
          <w:sz w:val="24"/>
          <w:highlight w:val="none"/>
        </w:rPr>
        <w:t>协议</w:t>
      </w:r>
      <w:r>
        <w:rPr>
          <w:rFonts w:hint="eastAsia" w:cs="宋体"/>
          <w:b/>
          <w:i w:val="0"/>
          <w:iCs w:val="0"/>
          <w:color w:val="auto"/>
          <w:sz w:val="24"/>
          <w:highlight w:val="none"/>
          <w:lang w:val="en-US" w:eastAsia="zh-CN"/>
        </w:rPr>
        <w:t>书</w:t>
      </w:r>
      <w:r>
        <w:rPr>
          <w:rFonts w:hint="eastAsia" w:ascii="宋体" w:hAnsi="宋体" w:cs="宋体"/>
          <w:b/>
          <w:i w:val="0"/>
          <w:iCs w:val="0"/>
          <w:color w:val="auto"/>
          <w:sz w:val="24"/>
          <w:highlight w:val="none"/>
        </w:rPr>
        <w:t>；本项目不接受联合体</w:t>
      </w:r>
      <w:r>
        <w:rPr>
          <w:rFonts w:hint="eastAsia" w:cs="宋体"/>
          <w:b/>
          <w:i w:val="0"/>
          <w:iCs w:val="0"/>
          <w:color w:val="auto"/>
          <w:sz w:val="24"/>
          <w:highlight w:val="none"/>
          <w:lang w:val="en-US" w:eastAsia="zh-CN"/>
        </w:rPr>
        <w:t>磋商响应</w:t>
      </w:r>
      <w:r>
        <w:rPr>
          <w:rFonts w:hint="eastAsia" w:ascii="宋体" w:hAnsi="宋体" w:cs="宋体"/>
          <w:b/>
          <w:i w:val="0"/>
          <w:iCs w:val="0"/>
          <w:color w:val="auto"/>
          <w:sz w:val="24"/>
          <w:highlight w:val="none"/>
        </w:rPr>
        <w:t>或者</w:t>
      </w:r>
      <w:r>
        <w:rPr>
          <w:rFonts w:hint="eastAsia" w:cs="宋体"/>
          <w:b/>
          <w:i w:val="0"/>
          <w:iCs w:val="0"/>
          <w:color w:val="auto"/>
          <w:sz w:val="24"/>
          <w:highlight w:val="none"/>
          <w:lang w:val="en-US" w:eastAsia="zh-CN"/>
        </w:rPr>
        <w:t>供应商</w:t>
      </w:r>
      <w:r>
        <w:rPr>
          <w:rFonts w:hint="eastAsia" w:ascii="宋体" w:hAnsi="宋体" w:cs="宋体"/>
          <w:b/>
          <w:i w:val="0"/>
          <w:iCs w:val="0"/>
          <w:color w:val="auto"/>
          <w:sz w:val="24"/>
          <w:highlight w:val="none"/>
        </w:rPr>
        <w:t>不以联合体形式</w:t>
      </w:r>
      <w:r>
        <w:rPr>
          <w:rFonts w:hint="eastAsia" w:cs="宋体"/>
          <w:b/>
          <w:i w:val="0"/>
          <w:iCs w:val="0"/>
          <w:color w:val="auto"/>
          <w:sz w:val="24"/>
          <w:highlight w:val="none"/>
          <w:lang w:val="en-US" w:eastAsia="zh-CN"/>
        </w:rPr>
        <w:t>磋商响应</w:t>
      </w:r>
      <w:r>
        <w:rPr>
          <w:rFonts w:hint="eastAsia" w:ascii="宋体" w:hAnsi="宋体" w:cs="宋体"/>
          <w:b/>
          <w:i w:val="0"/>
          <w:iCs w:val="0"/>
          <w:color w:val="auto"/>
          <w:sz w:val="24"/>
          <w:highlight w:val="none"/>
        </w:rPr>
        <w:t>的，则不需要提供）</w:t>
      </w:r>
    </w:p>
    <w:p w14:paraId="5EE0D0F8">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（联合体所有成员名称）</w:t>
      </w:r>
      <w:r>
        <w:rPr>
          <w:rFonts w:hint="eastAsia" w:ascii="宋体" w:hAnsi="宋体" w:cs="宋体"/>
          <w:i w:val="0"/>
          <w:iCs w:val="0"/>
          <w:color w:val="auto"/>
          <w:kern w:val="0"/>
          <w:sz w:val="24"/>
          <w:highlight w:val="none"/>
        </w:rPr>
        <w:t>自愿</w:t>
      </w:r>
      <w:r>
        <w:rPr>
          <w:rFonts w:hint="eastAsia" w:ascii="宋体" w:hAnsi="宋体" w:cs="宋体"/>
          <w:i w:val="0"/>
          <w:iCs w:val="0"/>
          <w:color w:val="auto"/>
          <w:kern w:val="0"/>
          <w:sz w:val="24"/>
          <w:highlight w:val="none"/>
          <w:lang w:val="zh-CN"/>
        </w:rPr>
        <w:t>组成一个联合体，以一个</w:t>
      </w:r>
      <w:r>
        <w:rPr>
          <w:rFonts w:hint="eastAsia" w:cs="宋体"/>
          <w:i w:val="0"/>
          <w:iCs w:val="0"/>
          <w:color w:val="auto"/>
          <w:kern w:val="0"/>
          <w:sz w:val="24"/>
          <w:highlight w:val="none"/>
          <w:lang w:val="en-US" w:eastAsia="zh-CN"/>
        </w:rPr>
        <w:t>供应商</w:t>
      </w:r>
      <w:r>
        <w:rPr>
          <w:rFonts w:hint="eastAsia" w:ascii="宋体" w:hAnsi="宋体" w:cs="宋体"/>
          <w:i w:val="0"/>
          <w:iCs w:val="0"/>
          <w:color w:val="auto"/>
          <w:kern w:val="0"/>
          <w:sz w:val="24"/>
          <w:highlight w:val="none"/>
          <w:lang w:val="zh-CN"/>
        </w:rPr>
        <w:t>的身份</w:t>
      </w:r>
      <w:r>
        <w:rPr>
          <w:rFonts w:hint="eastAsia" w:ascii="宋体" w:hAnsi="宋体" w:cs="宋体"/>
          <w:i w:val="0"/>
          <w:iCs w:val="0"/>
          <w:color w:val="auto"/>
          <w:kern w:val="0"/>
          <w:sz w:val="24"/>
          <w:highlight w:val="none"/>
        </w:rPr>
        <w:t>参加</w:t>
      </w:r>
      <w:r>
        <w:rPr>
          <w:rFonts w:hint="eastAsia" w:ascii="宋体" w:hAnsi="宋体" w:cs="宋体"/>
          <w:i w:val="0"/>
          <w:iCs w:val="0"/>
          <w:color w:val="auto"/>
          <w:sz w:val="24"/>
          <w:highlight w:val="none"/>
          <w:u w:val="single"/>
        </w:rPr>
        <w:t>（项目名称）</w:t>
      </w:r>
      <w:r>
        <w:rPr>
          <w:rFonts w:hint="eastAsia"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rPr>
        <w:t>【</w:t>
      </w:r>
      <w:r>
        <w:rPr>
          <w:rFonts w:hint="eastAsia" w:cs="宋体"/>
          <w:i w:val="0"/>
          <w:iCs w:val="0"/>
          <w:color w:val="auto"/>
          <w:sz w:val="24"/>
          <w:highlight w:val="none"/>
          <w:lang w:val="en-US" w:eastAsia="zh-CN"/>
        </w:rPr>
        <w:t>项目</w:t>
      </w:r>
      <w:r>
        <w:rPr>
          <w:rFonts w:hint="eastAsia" w:ascii="宋体" w:hAnsi="宋体" w:cs="宋体"/>
          <w:i w:val="0"/>
          <w:iCs w:val="0"/>
          <w:color w:val="auto"/>
          <w:sz w:val="24"/>
          <w:highlight w:val="none"/>
        </w:rPr>
        <w:t>编号</w:t>
      </w:r>
      <w:r>
        <w:rPr>
          <w:rFonts w:hint="eastAsia" w:cs="宋体"/>
          <w:i w:val="0"/>
          <w:iCs w:val="0"/>
          <w:color w:val="auto"/>
          <w:sz w:val="24"/>
          <w:highlight w:val="none"/>
          <w:lang w:val="en-US" w:eastAsia="zh-CN"/>
        </w:rPr>
        <w:t>/包号</w:t>
      </w:r>
      <w:r>
        <w:rPr>
          <w:rFonts w:hint="eastAsia" w:ascii="宋体" w:hAnsi="宋体" w:cs="宋体"/>
          <w:i w:val="0"/>
          <w:iCs w:val="0"/>
          <w:color w:val="auto"/>
          <w:sz w:val="24"/>
          <w:highlight w:val="none"/>
        </w:rPr>
        <w:t>：</w:t>
      </w:r>
      <w:r>
        <w:rPr>
          <w:rFonts w:hint="eastAsia" w:cs="宋体"/>
          <w:i w:val="0"/>
          <w:iCs w:val="0"/>
          <w:color w:val="auto"/>
          <w:sz w:val="24"/>
          <w:highlight w:val="none"/>
          <w:lang w:val="en-US" w:eastAsia="zh-CN"/>
        </w:rPr>
        <w:t xml:space="preserve">    </w:t>
      </w:r>
      <w:r>
        <w:rPr>
          <w:rFonts w:hint="eastAsia" w:ascii="宋体" w:hAnsi="宋体" w:cs="宋体"/>
          <w:i w:val="0"/>
          <w:iCs w:val="0"/>
          <w:color w:val="auto"/>
          <w:sz w:val="24"/>
          <w:highlight w:val="none"/>
        </w:rPr>
        <w:t>】</w:t>
      </w:r>
      <w:r>
        <w:rPr>
          <w:rFonts w:hint="eastAsia" w:cs="宋体"/>
          <w:i w:val="0"/>
          <w:iCs w:val="0"/>
          <w:color w:val="auto"/>
          <w:kern w:val="0"/>
          <w:sz w:val="24"/>
          <w:highlight w:val="none"/>
          <w:lang w:val="en-US" w:eastAsia="zh-CN"/>
        </w:rPr>
        <w:t>磋商</w:t>
      </w:r>
      <w:r>
        <w:rPr>
          <w:rFonts w:hint="eastAsia" w:ascii="宋体" w:hAnsi="宋体" w:cs="宋体"/>
          <w:i w:val="0"/>
          <w:iCs w:val="0"/>
          <w:color w:val="auto"/>
          <w:kern w:val="0"/>
          <w:sz w:val="24"/>
          <w:highlight w:val="none"/>
          <w:lang w:val="zh-CN"/>
        </w:rPr>
        <w:t xml:space="preserve">。 </w:t>
      </w:r>
    </w:p>
    <w:p w14:paraId="75D3551D">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一、各方一致决定，</w:t>
      </w:r>
      <w:r>
        <w:rPr>
          <w:rFonts w:hint="eastAsia" w:ascii="宋体" w:hAnsi="宋体" w:cs="宋体"/>
          <w:i w:val="0"/>
          <w:iCs w:val="0"/>
          <w:color w:val="auto"/>
          <w:kern w:val="0"/>
          <w:sz w:val="24"/>
          <w:highlight w:val="none"/>
          <w:u w:val="single"/>
        </w:rPr>
        <w:t>（某联合体成员名称）</w:t>
      </w:r>
      <w:r>
        <w:rPr>
          <w:rFonts w:hint="eastAsia" w:ascii="宋体" w:hAnsi="宋体" w:cs="宋体"/>
          <w:i w:val="0"/>
          <w:iCs w:val="0"/>
          <w:color w:val="auto"/>
          <w:kern w:val="0"/>
          <w:sz w:val="24"/>
          <w:highlight w:val="none"/>
        </w:rPr>
        <w:t>为联合体</w:t>
      </w:r>
      <w:r>
        <w:rPr>
          <w:rFonts w:hint="eastAsia" w:ascii="宋体" w:hAnsi="宋体" w:cs="宋体"/>
          <w:i w:val="0"/>
          <w:iCs w:val="0"/>
          <w:color w:val="auto"/>
          <w:kern w:val="0"/>
          <w:sz w:val="24"/>
          <w:highlight w:val="none"/>
          <w:lang w:val="zh-CN"/>
        </w:rPr>
        <w:t>牵头人</w:t>
      </w:r>
      <w:r>
        <w:rPr>
          <w:rFonts w:hint="eastAsia" w:ascii="宋体" w:hAnsi="宋体" w:cs="宋体"/>
          <w:i w:val="0"/>
          <w:iCs w:val="0"/>
          <w:color w:val="auto"/>
          <w:sz w:val="24"/>
          <w:highlight w:val="none"/>
        </w:rPr>
        <w:t>，代表所有联合体</w:t>
      </w:r>
      <w:r>
        <w:rPr>
          <w:rFonts w:hint="eastAsia" w:ascii="宋体" w:hAnsi="宋体" w:eastAsia="宋体" w:cs="宋体"/>
          <w:i w:val="0"/>
          <w:iCs w:val="0"/>
          <w:color w:val="auto"/>
          <w:sz w:val="24"/>
          <w:highlight w:val="none"/>
        </w:rPr>
        <w:t>成员负责</w:t>
      </w:r>
      <w:r>
        <w:rPr>
          <w:rFonts w:hint="eastAsia" w:ascii="宋体" w:hAnsi="宋体" w:eastAsia="宋体" w:cs="宋体"/>
          <w:i w:val="0"/>
          <w:iCs w:val="0"/>
          <w:color w:val="auto"/>
          <w:sz w:val="24"/>
          <w:highlight w:val="none"/>
          <w:lang w:val="en-US" w:eastAsia="zh-CN"/>
        </w:rPr>
        <w:t>磋商响应</w:t>
      </w:r>
      <w:r>
        <w:rPr>
          <w:rFonts w:hint="eastAsia" w:ascii="宋体" w:hAnsi="宋体" w:eastAsia="宋体" w:cs="宋体"/>
          <w:i w:val="0"/>
          <w:iCs w:val="0"/>
          <w:color w:val="auto"/>
          <w:sz w:val="24"/>
          <w:highlight w:val="none"/>
        </w:rPr>
        <w:t>和合同实施阶段的</w:t>
      </w:r>
      <w:r>
        <w:rPr>
          <w:rFonts w:hint="eastAsia" w:ascii="宋体" w:hAnsi="宋体" w:cs="宋体"/>
          <w:i w:val="0"/>
          <w:iCs w:val="0"/>
          <w:color w:val="auto"/>
          <w:sz w:val="24"/>
          <w:highlight w:val="none"/>
        </w:rPr>
        <w:t>主办、协调工作</w:t>
      </w:r>
      <w:r>
        <w:rPr>
          <w:rFonts w:hint="eastAsia" w:ascii="宋体" w:hAnsi="宋体" w:cs="宋体"/>
          <w:i w:val="0"/>
          <w:iCs w:val="0"/>
          <w:color w:val="auto"/>
          <w:kern w:val="0"/>
          <w:sz w:val="24"/>
          <w:highlight w:val="none"/>
          <w:lang w:val="zh-CN"/>
        </w:rPr>
        <w:t>。</w:t>
      </w:r>
    </w:p>
    <w:p w14:paraId="35FD114C">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二、</w:t>
      </w:r>
      <w:r>
        <w:rPr>
          <w:rFonts w:hint="eastAsia" w:ascii="宋体" w:hAnsi="宋体" w:cs="宋体"/>
          <w:i w:val="0"/>
          <w:iCs w:val="0"/>
          <w:color w:val="auto"/>
          <w:sz w:val="24"/>
          <w:highlight w:val="none"/>
        </w:rPr>
        <w:t>所有联合体成员各方签署授权书，授权书载明的</w:t>
      </w:r>
      <w:r>
        <w:rPr>
          <w:rFonts w:hint="eastAsia" w:ascii="宋体" w:hAnsi="宋体" w:cs="宋体"/>
          <w:i w:val="0"/>
          <w:iCs w:val="0"/>
          <w:color w:val="auto"/>
          <w:kern w:val="0"/>
          <w:sz w:val="24"/>
          <w:highlight w:val="none"/>
          <w:lang w:val="zh-CN"/>
        </w:rPr>
        <w:t>授权代表根据</w:t>
      </w:r>
      <w:r>
        <w:rPr>
          <w:rFonts w:hint="eastAsia" w:ascii="宋体" w:hAnsi="宋体" w:cs="宋体"/>
          <w:i w:val="0"/>
          <w:iCs w:val="0"/>
          <w:color w:val="auto"/>
          <w:kern w:val="0"/>
          <w:sz w:val="24"/>
          <w:highlight w:val="none"/>
          <w:lang w:val="zh-CN" w:eastAsia="zh-CN"/>
        </w:rPr>
        <w:t>竞争性磋商</w:t>
      </w:r>
      <w:r>
        <w:rPr>
          <w:rFonts w:hint="eastAsia" w:ascii="宋体" w:hAnsi="宋体" w:cs="宋体"/>
          <w:i w:val="0"/>
          <w:iCs w:val="0"/>
          <w:color w:val="auto"/>
          <w:kern w:val="0"/>
          <w:sz w:val="24"/>
          <w:highlight w:val="none"/>
          <w:lang w:val="zh-CN"/>
        </w:rPr>
        <w:t>文件规定及</w:t>
      </w:r>
      <w:r>
        <w:rPr>
          <w:rFonts w:hint="eastAsia" w:cs="宋体"/>
          <w:i w:val="0"/>
          <w:iCs w:val="0"/>
          <w:color w:val="auto"/>
          <w:kern w:val="0"/>
          <w:sz w:val="24"/>
          <w:highlight w:val="none"/>
          <w:lang w:val="en-US" w:eastAsia="zh-CN"/>
        </w:rPr>
        <w:t>响应</w:t>
      </w:r>
      <w:r>
        <w:rPr>
          <w:rFonts w:hint="eastAsia" w:ascii="宋体" w:hAnsi="宋体" w:cs="宋体"/>
          <w:i w:val="0"/>
          <w:iCs w:val="0"/>
          <w:color w:val="auto"/>
          <w:kern w:val="0"/>
          <w:sz w:val="24"/>
          <w:highlight w:val="none"/>
          <w:lang w:val="zh-CN"/>
        </w:rPr>
        <w:t>内容而对采购人、采购代理机构所作的任何合法承诺，包括书面澄清及相应等均对联合投标各方产生约束力。</w:t>
      </w:r>
    </w:p>
    <w:p w14:paraId="61F56079">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三、本次联合</w:t>
      </w:r>
      <w:r>
        <w:rPr>
          <w:rFonts w:hint="eastAsia" w:cs="宋体"/>
          <w:i w:val="0"/>
          <w:iCs w:val="0"/>
          <w:color w:val="auto"/>
          <w:kern w:val="0"/>
          <w:sz w:val="24"/>
          <w:highlight w:val="none"/>
          <w:lang w:val="en-US" w:eastAsia="zh-CN"/>
        </w:rPr>
        <w:t>磋商响应</w:t>
      </w:r>
      <w:r>
        <w:rPr>
          <w:rFonts w:hint="eastAsia" w:ascii="宋体" w:hAnsi="宋体" w:cs="宋体"/>
          <w:i w:val="0"/>
          <w:iCs w:val="0"/>
          <w:color w:val="auto"/>
          <w:kern w:val="0"/>
          <w:sz w:val="24"/>
          <w:highlight w:val="none"/>
          <w:lang w:val="zh-CN"/>
        </w:rPr>
        <w:t>中，分工如下：</w:t>
      </w:r>
    </w:p>
    <w:p w14:paraId="29FFB3D7">
      <w:pPr>
        <w:snapToGrid w:val="0"/>
        <w:spacing w:line="360" w:lineRule="auto"/>
        <w:ind w:firstLine="576"/>
        <w:rPr>
          <w:rFonts w:ascii="宋体" w:hAnsi="宋体" w:cs="宋体"/>
          <w:i w:val="0"/>
          <w:iCs w:val="0"/>
          <w:color w:val="auto"/>
          <w:kern w:val="0"/>
          <w:sz w:val="24"/>
          <w:highlight w:val="none"/>
          <w:lang w:val="zh-CN"/>
        </w:rPr>
      </w:pPr>
      <w:bookmarkStart w:id="669" w:name="_Hlk101134295"/>
      <w:r>
        <w:rPr>
          <w:rFonts w:hint="eastAsia" w:ascii="宋体" w:hAnsi="宋体" w:cs="宋体"/>
          <w:i w:val="0"/>
          <w:iCs w:val="0"/>
          <w:color w:val="auto"/>
          <w:kern w:val="0"/>
          <w:sz w:val="24"/>
          <w:highlight w:val="none"/>
          <w:u w:val="single"/>
        </w:rPr>
        <w:t>（联合体成员1）</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lang w:val="zh-CN"/>
        </w:rPr>
        <w:t>承担</w:t>
      </w:r>
      <w:r>
        <w:rPr>
          <w:rFonts w:hint="eastAsia" w:ascii="宋体" w:hAnsi="宋体" w:cs="宋体"/>
          <w:i w:val="0"/>
          <w:iCs w:val="0"/>
          <w:color w:val="auto"/>
          <w:kern w:val="0"/>
          <w:sz w:val="24"/>
          <w:highlight w:val="none"/>
          <w:lang w:val="en-US" w:eastAsia="zh-CN"/>
        </w:rPr>
        <w:t>项目采购合同金额的</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u w:val="none"/>
          <w:lang w:val="en-US" w:eastAsia="zh-CN"/>
        </w:rPr>
        <w:t>，负责</w:t>
      </w:r>
      <w:r>
        <w:rPr>
          <w:rFonts w:hint="eastAsia" w:ascii="宋体" w:hAnsi="宋体" w:cs="宋体"/>
          <w:i w:val="0"/>
          <w:iCs w:val="0"/>
          <w:color w:val="auto"/>
          <w:kern w:val="0"/>
          <w:sz w:val="24"/>
          <w:highlight w:val="none"/>
          <w:lang w:val="zh-CN"/>
        </w:rPr>
        <w:t>的工作和义务为：</w:t>
      </w:r>
      <w:r>
        <w:rPr>
          <w:rFonts w:hint="eastAsia" w:ascii="宋体" w:hAnsi="宋体" w:cs="宋体"/>
          <w:i w:val="0"/>
          <w:iCs w:val="0"/>
          <w:color w:val="auto"/>
          <w:highlight w:val="none"/>
          <w:u w:val="single"/>
        </w:rPr>
        <w:t xml:space="preserve">             </w:t>
      </w:r>
      <w:r>
        <w:rPr>
          <w:rFonts w:hint="eastAsia" w:ascii="宋体" w:hAnsi="宋体" w:cs="宋体"/>
          <w:i w:val="0"/>
          <w:iCs w:val="0"/>
          <w:color w:val="auto"/>
          <w:kern w:val="0"/>
          <w:sz w:val="24"/>
          <w:highlight w:val="none"/>
          <w:lang w:val="zh-CN"/>
        </w:rPr>
        <w:t>；</w:t>
      </w:r>
    </w:p>
    <w:p w14:paraId="55232A52">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（联合体成员</w:t>
      </w:r>
      <w:r>
        <w:rPr>
          <w:rFonts w:ascii="宋体" w:hAnsi="宋体" w:cs="宋体"/>
          <w:i w:val="0"/>
          <w:iCs w:val="0"/>
          <w:color w:val="auto"/>
          <w:kern w:val="0"/>
          <w:sz w:val="24"/>
          <w:highlight w:val="none"/>
          <w:u w:val="single"/>
        </w:rPr>
        <w:t>2</w:t>
      </w:r>
      <w:r>
        <w:rPr>
          <w:rFonts w:hint="eastAsia" w:ascii="宋体" w:hAnsi="宋体" w:cs="宋体"/>
          <w:i w:val="0"/>
          <w:iCs w:val="0"/>
          <w:color w:val="auto"/>
          <w:kern w:val="0"/>
          <w:sz w:val="24"/>
          <w:highlight w:val="none"/>
          <w:u w:val="single"/>
        </w:rPr>
        <w:t>）</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lang w:val="zh-CN"/>
        </w:rPr>
        <w:t>承担</w:t>
      </w:r>
      <w:r>
        <w:rPr>
          <w:rFonts w:hint="eastAsia" w:ascii="宋体" w:hAnsi="宋体" w:cs="宋体"/>
          <w:i w:val="0"/>
          <w:iCs w:val="0"/>
          <w:color w:val="auto"/>
          <w:kern w:val="0"/>
          <w:sz w:val="24"/>
          <w:highlight w:val="none"/>
          <w:lang w:val="en-US" w:eastAsia="zh-CN"/>
        </w:rPr>
        <w:t>项目采购合同金额的</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u w:val="none"/>
          <w:lang w:val="en-US" w:eastAsia="zh-CN"/>
        </w:rPr>
        <w:t>，负责</w:t>
      </w:r>
      <w:r>
        <w:rPr>
          <w:rFonts w:hint="eastAsia" w:ascii="宋体" w:hAnsi="宋体" w:cs="宋体"/>
          <w:i w:val="0"/>
          <w:iCs w:val="0"/>
          <w:color w:val="auto"/>
          <w:kern w:val="0"/>
          <w:sz w:val="24"/>
          <w:highlight w:val="none"/>
          <w:lang w:val="zh-CN"/>
        </w:rPr>
        <w:t>的工作和义务为：</w:t>
      </w:r>
      <w:r>
        <w:rPr>
          <w:rFonts w:hint="eastAsia" w:ascii="宋体" w:hAnsi="宋体" w:cs="宋体"/>
          <w:i w:val="0"/>
          <w:iCs w:val="0"/>
          <w:color w:val="auto"/>
          <w:highlight w:val="none"/>
          <w:u w:val="single"/>
        </w:rPr>
        <w:t xml:space="preserve">             </w:t>
      </w:r>
      <w:r>
        <w:rPr>
          <w:rFonts w:hint="eastAsia" w:ascii="宋体" w:hAnsi="宋体" w:cs="宋体"/>
          <w:i w:val="0"/>
          <w:iCs w:val="0"/>
          <w:color w:val="auto"/>
          <w:kern w:val="0"/>
          <w:sz w:val="24"/>
          <w:highlight w:val="none"/>
          <w:lang w:val="zh-CN"/>
        </w:rPr>
        <w:t>；</w:t>
      </w:r>
    </w:p>
    <w:p w14:paraId="348246F1">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w:t>
      </w:r>
    </w:p>
    <w:bookmarkEnd w:id="669"/>
    <w:p w14:paraId="1AE0CF4D">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四、联合体成员中小企业合同份额。</w:t>
      </w:r>
    </w:p>
    <w:p w14:paraId="4CF3978B">
      <w:pPr>
        <w:snapToGrid w:val="0"/>
        <w:spacing w:line="360" w:lineRule="auto"/>
        <w:ind w:firstLine="576"/>
        <w:rPr>
          <w:rFonts w:ascii="宋体" w:hAnsi="宋体" w:cs="宋体"/>
          <w:b/>
          <w:i w:val="0"/>
          <w:iCs w:val="0"/>
          <w:color w:val="auto"/>
          <w:kern w:val="0"/>
          <w:sz w:val="24"/>
          <w:highlight w:val="none"/>
          <w:lang w:val="zh-CN"/>
        </w:rPr>
      </w:pPr>
      <w:r>
        <w:rPr>
          <w:rFonts w:hint="eastAsia" w:ascii="宋体" w:hAnsi="宋体" w:cs="宋体"/>
          <w:i w:val="0"/>
          <w:iCs w:val="0"/>
          <w:color w:val="auto"/>
          <w:kern w:val="0"/>
          <w:sz w:val="24"/>
          <w:highlight w:val="none"/>
          <w:lang w:val="zh-CN"/>
        </w:rPr>
        <w:t>1、</w:t>
      </w:r>
      <w:r>
        <w:rPr>
          <w:rFonts w:hint="eastAsia" w:ascii="宋体" w:hAnsi="宋体" w:cs="宋体"/>
          <w:i w:val="0"/>
          <w:iCs w:val="0"/>
          <w:color w:val="auto"/>
          <w:kern w:val="0"/>
          <w:sz w:val="24"/>
          <w:highlight w:val="none"/>
          <w:u w:val="single"/>
        </w:rPr>
        <w:t>（联合体成员</w:t>
      </w:r>
      <w:r>
        <w:rPr>
          <w:rFonts w:ascii="宋体" w:hAnsi="宋体" w:cs="宋体"/>
          <w:i w:val="0"/>
          <w:iCs w:val="0"/>
          <w:color w:val="auto"/>
          <w:kern w:val="0"/>
          <w:sz w:val="24"/>
          <w:highlight w:val="none"/>
          <w:u w:val="single"/>
        </w:rPr>
        <w:t>X,</w:t>
      </w:r>
      <w:r>
        <w:rPr>
          <w:rFonts w:hint="eastAsia" w:ascii="宋体" w:hAnsi="宋体" w:cs="宋体"/>
          <w:i w:val="0"/>
          <w:iCs w:val="0"/>
          <w:color w:val="auto"/>
          <w:kern w:val="0"/>
          <w:sz w:val="24"/>
          <w:highlight w:val="none"/>
          <w:u w:val="single"/>
        </w:rPr>
        <w:t>……）</w:t>
      </w:r>
      <w:r>
        <w:rPr>
          <w:rFonts w:hint="eastAsia" w:ascii="宋体" w:hAnsi="宋体" w:cs="宋体"/>
          <w:i w:val="0"/>
          <w:iCs w:val="0"/>
          <w:color w:val="auto"/>
          <w:kern w:val="0"/>
          <w:sz w:val="24"/>
          <w:highlight w:val="none"/>
        </w:rPr>
        <w:t>提供的全部</w:t>
      </w:r>
      <w:r>
        <w:rPr>
          <w:rFonts w:hint="eastAsia" w:cs="宋体"/>
          <w:i w:val="0"/>
          <w:iCs w:val="0"/>
          <w:color w:val="auto"/>
          <w:kern w:val="0"/>
          <w:sz w:val="24"/>
          <w:highlight w:val="none"/>
          <w:lang w:val="en-US" w:eastAsia="zh-CN"/>
        </w:rPr>
        <w:t>服务及包含的</w:t>
      </w:r>
      <w:r>
        <w:rPr>
          <w:rFonts w:hint="eastAsia" w:ascii="宋体" w:hAnsi="宋体" w:cs="宋体"/>
          <w:i w:val="0"/>
          <w:iCs w:val="0"/>
          <w:color w:val="auto"/>
          <w:kern w:val="0"/>
          <w:sz w:val="24"/>
          <w:highlight w:val="none"/>
        </w:rPr>
        <w:t>货物由小微企业制造，其合同份额占到合同总金额</w:t>
      </w:r>
      <w:r>
        <w:rPr>
          <w:rFonts w:hint="eastAsia" w:ascii="宋体" w:hAnsi="宋体" w:cs="宋体"/>
          <w:i w:val="0"/>
          <w:iCs w:val="0"/>
          <w:color w:val="auto"/>
          <w:kern w:val="0"/>
          <w:sz w:val="24"/>
          <w:highlight w:val="none"/>
          <w:u w:val="single"/>
        </w:rPr>
        <w:t xml:space="preserve">     </w:t>
      </w:r>
      <w:r>
        <w:rPr>
          <w:rFonts w:hint="eastAsia" w:ascii="宋体" w:hAnsi="宋体" w:cs="宋体"/>
          <w:i w:val="0"/>
          <w:iCs w:val="0"/>
          <w:color w:val="auto"/>
          <w:kern w:val="0"/>
          <w:sz w:val="24"/>
          <w:highlight w:val="none"/>
        </w:rPr>
        <w:t>%以上；</w:t>
      </w:r>
      <w:r>
        <w:rPr>
          <w:rFonts w:hint="eastAsia" w:ascii="宋体" w:hAnsi="宋体" w:cs="宋体"/>
          <w:i w:val="0"/>
          <w:iCs w:val="0"/>
          <w:color w:val="auto"/>
          <w:kern w:val="0"/>
          <w:sz w:val="24"/>
          <w:highlight w:val="none"/>
          <w:lang w:val="zh-CN"/>
        </w:rPr>
        <w:t>……。</w:t>
      </w:r>
      <w:r>
        <w:rPr>
          <w:rFonts w:hint="eastAsia" w:ascii="宋体" w:hAnsi="宋体" w:cs="宋体"/>
          <w:b/>
          <w:i w:val="0"/>
          <w:iCs w:val="0"/>
          <w:color w:val="auto"/>
          <w:kern w:val="0"/>
          <w:sz w:val="24"/>
          <w:highlight w:val="none"/>
          <w:lang w:val="zh-CN"/>
        </w:rPr>
        <w:t>（未预留份额专门面向中小企业采购的采购项目，以及预留份额中的非预留部分采购包，接受联合体投标的，联合</w:t>
      </w:r>
      <w:r>
        <w:rPr>
          <w:rFonts w:hint="eastAsia" w:cs="宋体"/>
          <w:b/>
          <w:i w:val="0"/>
          <w:iCs w:val="0"/>
          <w:color w:val="auto"/>
          <w:kern w:val="0"/>
          <w:sz w:val="24"/>
          <w:highlight w:val="none"/>
          <w:lang w:val="en-US" w:eastAsia="zh-CN"/>
        </w:rPr>
        <w:t>体</w:t>
      </w:r>
      <w:r>
        <w:rPr>
          <w:rFonts w:hint="eastAsia" w:ascii="宋体" w:hAnsi="宋体" w:cs="宋体"/>
          <w:b/>
          <w:i w:val="0"/>
          <w:iCs w:val="0"/>
          <w:color w:val="auto"/>
          <w:kern w:val="0"/>
          <w:sz w:val="24"/>
          <w:highlight w:val="none"/>
          <w:lang w:val="zh-CN"/>
        </w:rPr>
        <w:t>协议</w:t>
      </w:r>
      <w:r>
        <w:rPr>
          <w:rFonts w:hint="eastAsia" w:cs="宋体"/>
          <w:b/>
          <w:i w:val="0"/>
          <w:iCs w:val="0"/>
          <w:color w:val="auto"/>
          <w:kern w:val="0"/>
          <w:sz w:val="24"/>
          <w:highlight w:val="none"/>
          <w:lang w:val="en-US" w:eastAsia="zh-CN"/>
        </w:rPr>
        <w:t>书</w:t>
      </w:r>
      <w:r>
        <w:rPr>
          <w:rFonts w:hint="eastAsia" w:ascii="宋体" w:hAnsi="宋体" w:cs="宋体"/>
          <w:b/>
          <w:i w:val="0"/>
          <w:iCs w:val="0"/>
          <w:color w:val="auto"/>
          <w:kern w:val="0"/>
          <w:sz w:val="24"/>
          <w:highlight w:val="none"/>
          <w:lang w:val="zh-CN"/>
        </w:rPr>
        <w:t>约定小微企业的合同份额占到合同总金额30%以上的，对联合体报价按评</w:t>
      </w:r>
      <w:r>
        <w:rPr>
          <w:rFonts w:hint="eastAsia" w:cs="宋体"/>
          <w:b/>
          <w:i w:val="0"/>
          <w:iCs w:val="0"/>
          <w:color w:val="auto"/>
          <w:kern w:val="0"/>
          <w:sz w:val="24"/>
          <w:highlight w:val="none"/>
          <w:lang w:val="en-US" w:eastAsia="zh-CN"/>
        </w:rPr>
        <w:t>审</w:t>
      </w:r>
      <w:r>
        <w:rPr>
          <w:rFonts w:hint="eastAsia" w:ascii="宋体" w:hAnsi="宋体" w:cs="宋体"/>
          <w:b/>
          <w:i w:val="0"/>
          <w:iCs w:val="0"/>
          <w:color w:val="auto"/>
          <w:kern w:val="0"/>
          <w:sz w:val="24"/>
          <w:highlight w:val="none"/>
          <w:lang w:val="zh-CN"/>
        </w:rPr>
        <w:t>标准确定的比例给予扣除。供应商</w:t>
      </w:r>
      <w:r>
        <w:rPr>
          <w:rFonts w:hint="eastAsia" w:ascii="宋体" w:hAnsi="宋体" w:cs="宋体"/>
          <w:b/>
          <w:i w:val="0"/>
          <w:iCs w:val="0"/>
          <w:color w:val="auto"/>
          <w:sz w:val="24"/>
          <w:highlight w:val="none"/>
        </w:rPr>
        <w:t>拟享受以上价格扣除政策的，填写有关内容。</w:t>
      </w:r>
      <w:r>
        <w:rPr>
          <w:rFonts w:hint="eastAsia" w:ascii="宋体" w:hAnsi="宋体" w:cs="宋体"/>
          <w:b/>
          <w:i w:val="0"/>
          <w:iCs w:val="0"/>
          <w:color w:val="auto"/>
          <w:kern w:val="0"/>
          <w:sz w:val="24"/>
          <w:highlight w:val="none"/>
          <w:lang w:val="zh-CN"/>
        </w:rPr>
        <w:t>）</w:t>
      </w:r>
    </w:p>
    <w:p w14:paraId="00D2B121">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sz w:val="24"/>
          <w:highlight w:val="none"/>
        </w:rPr>
        <w:t>2、中小企业合同金额达到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rPr>
        <w:t>%，其中小微企业合同金额达到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rPr>
        <w:t>%</w:t>
      </w:r>
      <w:r>
        <w:rPr>
          <w:rFonts w:hint="eastAsia" w:ascii="宋体" w:hAnsi="宋体" w:cs="宋体"/>
          <w:i w:val="0"/>
          <w:iCs w:val="0"/>
          <w:color w:val="auto"/>
          <w:kern w:val="0"/>
          <w:sz w:val="24"/>
          <w:highlight w:val="none"/>
          <w:lang w:val="zh-CN"/>
        </w:rPr>
        <w:t>。</w:t>
      </w:r>
      <w:r>
        <w:rPr>
          <w:rFonts w:hint="eastAsia" w:ascii="宋体" w:hAnsi="宋体" w:cs="宋体"/>
          <w:b/>
          <w:bCs/>
          <w:i w:val="0"/>
          <w:iCs w:val="0"/>
          <w:color w:val="auto"/>
          <w:kern w:val="0"/>
          <w:sz w:val="24"/>
          <w:highlight w:val="none"/>
          <w:lang w:val="zh-CN"/>
        </w:rPr>
        <w:t>（</w:t>
      </w:r>
      <w:r>
        <w:rPr>
          <w:rFonts w:hint="eastAsia" w:ascii="宋体" w:hAnsi="宋体" w:cs="宋体"/>
          <w:b/>
          <w:bCs/>
          <w:i w:val="0"/>
          <w:iCs w:val="0"/>
          <w:color w:val="auto"/>
          <w:sz w:val="24"/>
          <w:highlight w:val="none"/>
        </w:rPr>
        <w:t>要求以联合体形式参加的项目或采购包，供应商按</w:t>
      </w:r>
      <w:r>
        <w:rPr>
          <w:rFonts w:hint="eastAsia" w:cs="宋体"/>
          <w:b/>
          <w:bCs/>
          <w:i w:val="0"/>
          <w:iCs w:val="0"/>
          <w:color w:val="auto"/>
          <w:sz w:val="24"/>
          <w:highlight w:val="none"/>
          <w:lang w:val="en-US" w:eastAsia="zh-CN"/>
        </w:rPr>
        <w:t>竞争性磋商</w:t>
      </w:r>
      <w:r>
        <w:rPr>
          <w:rFonts w:hint="eastAsia" w:ascii="宋体" w:hAnsi="宋体" w:cs="宋体"/>
          <w:b/>
          <w:bCs/>
          <w:i w:val="0"/>
          <w:iCs w:val="0"/>
          <w:color w:val="auto"/>
          <w:sz w:val="24"/>
          <w:highlight w:val="none"/>
        </w:rPr>
        <w:t>文件第一部分</w:t>
      </w:r>
      <w:r>
        <w:rPr>
          <w:rFonts w:hint="eastAsia" w:cs="宋体"/>
          <w:b/>
          <w:bCs/>
          <w:i w:val="0"/>
          <w:iCs w:val="0"/>
          <w:color w:val="auto"/>
          <w:sz w:val="24"/>
          <w:highlight w:val="none"/>
          <w:lang w:val="en-US" w:eastAsia="zh-CN"/>
        </w:rPr>
        <w:t>竞争性磋商</w:t>
      </w:r>
      <w:r>
        <w:rPr>
          <w:rFonts w:hint="eastAsia" w:ascii="宋体" w:hAnsi="宋体" w:cs="宋体"/>
          <w:b/>
          <w:bCs/>
          <w:i w:val="0"/>
          <w:iCs w:val="0"/>
          <w:color w:val="auto"/>
          <w:sz w:val="24"/>
          <w:highlight w:val="none"/>
        </w:rPr>
        <w:t>公告申请人的资格要求中规定的联合</w:t>
      </w:r>
      <w:r>
        <w:rPr>
          <w:rFonts w:hint="eastAsia" w:cs="宋体"/>
          <w:b/>
          <w:bCs/>
          <w:i w:val="0"/>
          <w:iCs w:val="0"/>
          <w:color w:val="auto"/>
          <w:sz w:val="24"/>
          <w:highlight w:val="none"/>
          <w:lang w:val="en-US" w:eastAsia="zh-CN"/>
        </w:rPr>
        <w:t>体</w:t>
      </w:r>
      <w:r>
        <w:rPr>
          <w:rFonts w:hint="eastAsia" w:ascii="宋体" w:hAnsi="宋体" w:cs="宋体"/>
          <w:b/>
          <w:bCs/>
          <w:i w:val="0"/>
          <w:iCs w:val="0"/>
          <w:color w:val="auto"/>
          <w:sz w:val="24"/>
          <w:highlight w:val="none"/>
        </w:rPr>
        <w:t>协议</w:t>
      </w:r>
      <w:r>
        <w:rPr>
          <w:rFonts w:hint="eastAsia" w:cs="宋体"/>
          <w:b/>
          <w:bCs/>
          <w:i w:val="0"/>
          <w:iCs w:val="0"/>
          <w:color w:val="auto"/>
          <w:sz w:val="24"/>
          <w:highlight w:val="none"/>
          <w:lang w:val="en-US" w:eastAsia="zh-CN"/>
        </w:rPr>
        <w:t>书</w:t>
      </w:r>
      <w:r>
        <w:rPr>
          <w:rFonts w:hint="eastAsia" w:ascii="宋体" w:hAnsi="宋体" w:cs="宋体"/>
          <w:b/>
          <w:bCs/>
          <w:i w:val="0"/>
          <w:iCs w:val="0"/>
          <w:color w:val="auto"/>
          <w:sz w:val="24"/>
          <w:highlight w:val="none"/>
        </w:rPr>
        <w:t>中中小企业、小微企业合同金额应当达到的比例要求填写。</w:t>
      </w:r>
      <w:r>
        <w:rPr>
          <w:rFonts w:hint="eastAsia" w:ascii="宋体" w:hAnsi="宋体" w:cs="宋体"/>
          <w:b/>
          <w:bCs/>
          <w:i w:val="0"/>
          <w:iCs w:val="0"/>
          <w:color w:val="auto"/>
          <w:kern w:val="0"/>
          <w:sz w:val="24"/>
          <w:highlight w:val="none"/>
          <w:lang w:val="zh-CN"/>
        </w:rPr>
        <w:t>）</w:t>
      </w:r>
    </w:p>
    <w:p w14:paraId="20F285C2">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五、如果</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w:t>
      </w:r>
      <w:r>
        <w:rPr>
          <w:rFonts w:hint="eastAsia" w:ascii="宋体" w:hAnsi="宋体" w:cs="宋体"/>
          <w:i w:val="0"/>
          <w:iCs w:val="0"/>
          <w:color w:val="auto"/>
          <w:sz w:val="24"/>
          <w:highlight w:val="none"/>
        </w:rPr>
        <w:t>联合体各成员方共同与采购人签订</w:t>
      </w:r>
      <w:r>
        <w:rPr>
          <w:rFonts w:hint="eastAsia" w:ascii="宋体" w:hAnsi="宋体" w:cs="宋体"/>
          <w:i w:val="0"/>
          <w:iCs w:val="0"/>
          <w:color w:val="auto"/>
          <w:sz w:val="24"/>
          <w:highlight w:val="none"/>
          <w:lang w:val="en-US" w:eastAsia="zh-CN"/>
        </w:rPr>
        <w:t>采购</w:t>
      </w:r>
      <w:r>
        <w:rPr>
          <w:rFonts w:hint="eastAsia" w:ascii="宋体" w:hAnsi="宋体" w:cs="宋体"/>
          <w:i w:val="0"/>
          <w:iCs w:val="0"/>
          <w:color w:val="auto"/>
          <w:sz w:val="24"/>
          <w:highlight w:val="none"/>
        </w:rPr>
        <w:t>合同，并就采购合同约定的事项对采购人承担连带责任。</w:t>
      </w:r>
    </w:p>
    <w:p w14:paraId="4C5E0277">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六、有关本次联合</w:t>
      </w:r>
      <w:r>
        <w:rPr>
          <w:rFonts w:hint="eastAsia" w:cs="宋体"/>
          <w:i w:val="0"/>
          <w:iCs w:val="0"/>
          <w:color w:val="auto"/>
          <w:kern w:val="0"/>
          <w:sz w:val="24"/>
          <w:highlight w:val="none"/>
          <w:lang w:val="en-US" w:eastAsia="zh-CN"/>
        </w:rPr>
        <w:t>磋商响应</w:t>
      </w:r>
      <w:r>
        <w:rPr>
          <w:rFonts w:hint="eastAsia" w:ascii="宋体" w:hAnsi="宋体" w:cs="宋体"/>
          <w:i w:val="0"/>
          <w:iCs w:val="0"/>
          <w:color w:val="auto"/>
          <w:kern w:val="0"/>
          <w:sz w:val="24"/>
          <w:highlight w:val="none"/>
          <w:lang w:val="zh-CN"/>
        </w:rPr>
        <w:t>的其他事宜：</w:t>
      </w:r>
    </w:p>
    <w:p w14:paraId="28692FB2">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1、联合体各方不再单独参加或者与其他供应商另外组成联合体参加同一合同项下的政府采购活动。</w:t>
      </w:r>
    </w:p>
    <w:p w14:paraId="5F9FFE41">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2、联合体中有同类资质的各方按照联合体分工承担相同工作的，按照资质等级较低的供应商确定资质等级。</w:t>
      </w:r>
    </w:p>
    <w:p w14:paraId="6118E77D">
      <w:pPr>
        <w:snapToGrid w:val="0"/>
        <w:spacing w:line="360" w:lineRule="auto"/>
        <w:ind w:firstLine="576"/>
        <w:rPr>
          <w:rFonts w:hint="eastAsia"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3、本协议提交采购人、采购代理机构后，联合体各方不得以任何形式对上述内容进行修改或撤销。</w:t>
      </w:r>
    </w:p>
    <w:p w14:paraId="7574AD7E">
      <w:pPr>
        <w:snapToGrid w:val="0"/>
        <w:spacing w:line="360" w:lineRule="auto"/>
        <w:ind w:firstLine="576"/>
        <w:rPr>
          <w:rFonts w:hint="eastAsia" w:ascii="宋体" w:hAnsi="宋体" w:cs="宋体"/>
          <w:i w:val="0"/>
          <w:iCs w:val="0"/>
          <w:color w:val="auto"/>
          <w:kern w:val="0"/>
          <w:sz w:val="24"/>
          <w:highlight w:val="none"/>
          <w:lang w:val="zh-CN"/>
        </w:rPr>
      </w:pPr>
      <w:r>
        <w:rPr>
          <w:rFonts w:hint="eastAsia" w:cs="宋体"/>
          <w:i w:val="0"/>
          <w:iCs w:val="0"/>
          <w:color w:val="auto"/>
          <w:kern w:val="0"/>
          <w:sz w:val="24"/>
          <w:highlight w:val="none"/>
          <w:lang w:val="en-US" w:eastAsia="zh-CN"/>
        </w:rPr>
        <w:t>4、</w:t>
      </w:r>
      <w:r>
        <w:rPr>
          <w:rFonts w:hint="eastAsia" w:ascii="宋体" w:hAnsi="宋体" w:cs="宋体"/>
          <w:i w:val="0"/>
          <w:iCs w:val="0"/>
          <w:color w:val="auto"/>
          <w:kern w:val="0"/>
          <w:sz w:val="24"/>
          <w:highlight w:val="none"/>
          <w:lang w:val="zh-CN"/>
        </w:rPr>
        <w:t>其他：……</w:t>
      </w:r>
    </w:p>
    <w:p w14:paraId="658DCD00">
      <w:pPr>
        <w:snapToGrid w:val="0"/>
        <w:spacing w:line="360" w:lineRule="auto"/>
        <w:ind w:firstLine="576"/>
        <w:rPr>
          <w:rFonts w:hint="eastAsia" w:ascii="宋体" w:hAnsi="宋体" w:cs="宋体"/>
          <w:i w:val="0"/>
          <w:iCs w:val="0"/>
          <w:color w:val="auto"/>
          <w:kern w:val="0"/>
          <w:sz w:val="24"/>
          <w:highlight w:val="none"/>
          <w:lang w:val="zh-CN"/>
        </w:rPr>
      </w:pPr>
      <w:r>
        <w:rPr>
          <w:rFonts w:hint="eastAsia" w:cs="宋体"/>
          <w:i w:val="0"/>
          <w:iCs w:val="0"/>
          <w:color w:val="auto"/>
          <w:kern w:val="0"/>
          <w:sz w:val="24"/>
          <w:highlight w:val="none"/>
          <w:lang w:val="en-US" w:eastAsia="zh-CN"/>
        </w:rPr>
        <w:t>5、</w:t>
      </w:r>
      <w:r>
        <w:rPr>
          <w:rFonts w:hint="eastAsia" w:ascii="宋体" w:hAnsi="宋体" w:cs="宋体"/>
          <w:i w:val="0"/>
          <w:iCs w:val="0"/>
          <w:color w:val="auto"/>
          <w:kern w:val="0"/>
          <w:sz w:val="24"/>
          <w:highlight w:val="none"/>
          <w:lang w:val="zh-CN"/>
        </w:rPr>
        <w:t>本协议书自签署之日起生效，若未</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，自本</w:t>
      </w:r>
      <w:r>
        <w:rPr>
          <w:rFonts w:hint="eastAsia" w:cs="宋体"/>
          <w:i w:val="0"/>
          <w:iCs w:val="0"/>
          <w:color w:val="auto"/>
          <w:kern w:val="0"/>
          <w:sz w:val="24"/>
          <w:highlight w:val="none"/>
          <w:lang w:val="en-US" w:eastAsia="zh-CN"/>
        </w:rPr>
        <w:t>响应文件</w:t>
      </w:r>
      <w:r>
        <w:rPr>
          <w:rFonts w:hint="eastAsia" w:ascii="宋体" w:hAnsi="宋体" w:cs="宋体"/>
          <w:i w:val="0"/>
          <w:iCs w:val="0"/>
          <w:color w:val="auto"/>
          <w:kern w:val="0"/>
          <w:sz w:val="24"/>
          <w:highlight w:val="none"/>
          <w:lang w:val="zh-CN"/>
        </w:rPr>
        <w:t>有效期结束后自行失效；若</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，自合同书规定的期限之后自行失效。</w:t>
      </w:r>
    </w:p>
    <w:p w14:paraId="5C3C02AD">
      <w:pPr>
        <w:snapToGrid w:val="0"/>
        <w:spacing w:line="360" w:lineRule="auto"/>
        <w:ind w:firstLine="576"/>
        <w:rPr>
          <w:rFonts w:hint="eastAsia" w:ascii="宋体" w:hAnsi="宋体" w:cs="宋体"/>
          <w:i w:val="0"/>
          <w:iCs w:val="0"/>
          <w:color w:val="auto"/>
          <w:kern w:val="0"/>
          <w:sz w:val="24"/>
          <w:highlight w:val="none"/>
          <w:lang w:val="zh-CN"/>
        </w:rPr>
      </w:pPr>
      <w:r>
        <w:rPr>
          <w:rFonts w:hint="eastAsia" w:cs="宋体"/>
          <w:i w:val="0"/>
          <w:iCs w:val="0"/>
          <w:color w:val="auto"/>
          <w:kern w:val="0"/>
          <w:sz w:val="24"/>
          <w:highlight w:val="none"/>
          <w:lang w:val="en-US" w:eastAsia="zh-CN"/>
        </w:rPr>
        <w:t>6、</w:t>
      </w:r>
      <w:r>
        <w:rPr>
          <w:rFonts w:hint="eastAsia" w:ascii="宋体" w:hAnsi="宋体" w:cs="宋体"/>
          <w:i w:val="0"/>
          <w:iCs w:val="0"/>
          <w:color w:val="auto"/>
          <w:kern w:val="0"/>
          <w:sz w:val="24"/>
          <w:highlight w:val="none"/>
          <w:lang w:val="zh-CN"/>
        </w:rPr>
        <w:t>本协议书正本一式</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份，联合体成员各执</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份；副本一式</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份，联合体成员各执</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w:t>
      </w:r>
    </w:p>
    <w:p w14:paraId="15EE1377">
      <w:pPr>
        <w:snapToGrid w:val="0"/>
        <w:spacing w:line="360" w:lineRule="auto"/>
        <w:ind w:firstLine="3840" w:firstLineChars="1600"/>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联合体成员</w:t>
      </w:r>
      <w:r>
        <w:rPr>
          <w:rFonts w:hint="eastAsia" w:ascii="宋体" w:hAnsi="宋体" w:cs="宋体"/>
          <w:i w:val="0"/>
          <w:iCs w:val="0"/>
          <w:color w:val="auto"/>
          <w:kern w:val="0"/>
          <w:sz w:val="24"/>
          <w:highlight w:val="none"/>
          <w:lang w:val="en-US" w:eastAsia="zh-CN"/>
        </w:rPr>
        <w:t>1</w:t>
      </w:r>
      <w:r>
        <w:rPr>
          <w:rFonts w:hint="eastAsia" w:ascii="宋体" w:hAnsi="宋体" w:cs="宋体"/>
          <w:i w:val="0"/>
          <w:iCs w:val="0"/>
          <w:color w:val="auto"/>
          <w:kern w:val="0"/>
          <w:sz w:val="24"/>
          <w:highlight w:val="none"/>
          <w:lang w:val="zh-CN"/>
        </w:rPr>
        <w:t>名称(公章)：</w:t>
      </w:r>
    </w:p>
    <w:p w14:paraId="759F015F">
      <w:pPr>
        <w:snapToGrid w:val="0"/>
        <w:spacing w:line="360" w:lineRule="auto"/>
        <w:ind w:firstLine="3840" w:firstLineChars="1600"/>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联合体成员</w:t>
      </w:r>
      <w:r>
        <w:rPr>
          <w:rFonts w:hint="eastAsia" w:ascii="宋体" w:hAnsi="宋体" w:cs="宋体"/>
          <w:i w:val="0"/>
          <w:iCs w:val="0"/>
          <w:color w:val="auto"/>
          <w:kern w:val="0"/>
          <w:sz w:val="24"/>
          <w:highlight w:val="none"/>
          <w:lang w:val="en-US" w:eastAsia="zh-CN"/>
        </w:rPr>
        <w:t>2</w:t>
      </w:r>
      <w:r>
        <w:rPr>
          <w:rFonts w:hint="eastAsia" w:ascii="宋体" w:hAnsi="宋体" w:cs="宋体"/>
          <w:i w:val="0"/>
          <w:iCs w:val="0"/>
          <w:color w:val="auto"/>
          <w:kern w:val="0"/>
          <w:sz w:val="24"/>
          <w:highlight w:val="none"/>
          <w:lang w:val="zh-CN"/>
        </w:rPr>
        <w:t>名称(公章)：</w:t>
      </w:r>
    </w:p>
    <w:p w14:paraId="16E67483">
      <w:pPr>
        <w:snapToGrid w:val="0"/>
        <w:spacing w:line="360" w:lineRule="auto"/>
        <w:ind w:right="960"/>
        <w:jc w:val="center"/>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 xml:space="preserve">                   ……</w:t>
      </w:r>
    </w:p>
    <w:p w14:paraId="1446372E">
      <w:pPr>
        <w:snapToGrid w:val="0"/>
        <w:spacing w:line="360" w:lineRule="auto"/>
        <w:jc w:val="right"/>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日期：  年  月   日</w:t>
      </w:r>
    </w:p>
    <w:p w14:paraId="296E6F70">
      <w:pPr>
        <w:spacing w:line="360" w:lineRule="auto"/>
        <w:ind w:right="420"/>
        <w:rPr>
          <w:rFonts w:ascii="宋体" w:hAnsi="宋体" w:cs="宋体"/>
          <w:i w:val="0"/>
          <w:iCs w:val="0"/>
          <w:color w:val="auto"/>
          <w:sz w:val="24"/>
          <w:highlight w:val="none"/>
        </w:rPr>
      </w:pPr>
      <w:r>
        <w:rPr>
          <w:rFonts w:hint="eastAsia" w:ascii="宋体" w:hAnsi="宋体" w:cs="宋体"/>
          <w:i w:val="0"/>
          <w:iCs w:val="0"/>
          <w:color w:val="auto"/>
          <w:sz w:val="21"/>
          <w:szCs w:val="21"/>
          <w:highlight w:val="none"/>
        </w:rPr>
        <w:t>注：按本格式和要求提供。</w:t>
      </w:r>
    </w:p>
    <w:p w14:paraId="684FFEBB">
      <w:pPr>
        <w:keepNext w:val="0"/>
        <w:keepLines w:val="0"/>
        <w:pageBreakBefore w:val="0"/>
        <w:kinsoku/>
        <w:overflowPunct/>
        <w:topLinePunct w:val="0"/>
        <w:autoSpaceDE/>
        <w:autoSpaceDN/>
        <w:bidi w:val="0"/>
        <w:spacing w:before="157" w:beforeLines="50" w:after="157" w:afterLines="50"/>
        <w:ind w:left="2520" w:leftChars="1050"/>
        <w:textAlignment w:val="auto"/>
        <w:rPr>
          <w:rFonts w:cs="Tahoma"/>
          <w:i w:val="0"/>
          <w:iCs w:val="0"/>
          <w:color w:val="auto"/>
          <w:highlight w:val="none"/>
          <w:u w:val="single"/>
        </w:rPr>
      </w:pPr>
      <w:r>
        <w:rPr>
          <w:rFonts w:cs="Tahoma"/>
          <w:i w:val="0"/>
          <w:iCs w:val="0"/>
          <w:color w:val="auto"/>
          <w:highlight w:val="none"/>
          <w:u w:val="single"/>
        </w:rPr>
        <w:br w:type="page"/>
      </w:r>
    </w:p>
    <w:p w14:paraId="06A3B12B">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zh-CN" w:eastAsia="zh-CN" w:bidi="ar-SA"/>
        </w:rPr>
      </w:pPr>
      <w:bookmarkStart w:id="670" w:name="_Toc162299566"/>
      <w:bookmarkStart w:id="671" w:name="_Toc156490356"/>
      <w:bookmarkStart w:id="672" w:name="_Toc10112"/>
      <w:bookmarkStart w:id="673" w:name="_Hlk101169080"/>
      <w:r>
        <w:rPr>
          <w:rFonts w:hint="eastAsia" w:cstheme="majorBidi"/>
          <w:b/>
          <w:bCs/>
          <w:i w:val="0"/>
          <w:iCs w:val="0"/>
          <w:color w:val="auto"/>
          <w:kern w:val="2"/>
          <w:sz w:val="28"/>
          <w:szCs w:val="28"/>
          <w:highlight w:val="none"/>
          <w:lang w:val="en-US" w:eastAsia="zh-CN" w:bidi="ar-SA"/>
        </w:rPr>
        <w:t>三</w:t>
      </w:r>
      <w:r>
        <w:rPr>
          <w:rFonts w:hint="eastAsia" w:eastAsia="宋体" w:asciiTheme="majorHAnsi" w:hAnsiTheme="majorHAnsi" w:cstheme="majorBidi"/>
          <w:b/>
          <w:bCs/>
          <w:i w:val="0"/>
          <w:iCs w:val="0"/>
          <w:color w:val="auto"/>
          <w:kern w:val="2"/>
          <w:sz w:val="28"/>
          <w:szCs w:val="28"/>
          <w:highlight w:val="none"/>
          <w:lang w:val="en-US" w:eastAsia="zh-CN" w:bidi="ar-SA"/>
        </w:rPr>
        <w:t>、</w:t>
      </w:r>
      <w:r>
        <w:rPr>
          <w:rFonts w:hint="eastAsia" w:eastAsia="宋体" w:asciiTheme="majorHAnsi" w:hAnsiTheme="majorHAnsi" w:cstheme="majorBidi"/>
          <w:b/>
          <w:bCs/>
          <w:i w:val="0"/>
          <w:iCs w:val="0"/>
          <w:color w:val="auto"/>
          <w:kern w:val="2"/>
          <w:sz w:val="28"/>
          <w:szCs w:val="28"/>
          <w:highlight w:val="none"/>
          <w:lang w:val="zh-CN" w:eastAsia="zh-CN" w:bidi="ar-SA"/>
        </w:rPr>
        <w:t>分包意向协议书</w:t>
      </w:r>
      <w:r>
        <w:rPr>
          <w:rFonts w:hint="eastAsia" w:ascii="宋体" w:hAnsi="宋体" w:eastAsia="宋体" w:cstheme="minorBidi"/>
          <w:b w:val="0"/>
          <w:bCs w:val="0"/>
          <w:i w:val="0"/>
          <w:iCs w:val="0"/>
          <w:color w:val="auto"/>
          <w:kern w:val="2"/>
          <w:sz w:val="28"/>
          <w:szCs w:val="28"/>
          <w:highlight w:val="none"/>
          <w:lang w:val="zh-CN" w:eastAsia="zh-CN" w:bidi="ar-SA"/>
        </w:rPr>
        <w:t>【</w:t>
      </w:r>
      <w:r>
        <w:rPr>
          <w:rFonts w:hint="eastAsia" w:ascii="宋体" w:hAnsi="宋体" w:cstheme="minorBidi"/>
          <w:b w:val="0"/>
          <w:bCs w:val="0"/>
          <w:i w:val="0"/>
          <w:iCs w:val="0"/>
          <w:color w:val="auto"/>
          <w:kern w:val="2"/>
          <w:sz w:val="28"/>
          <w:szCs w:val="28"/>
          <w:highlight w:val="none"/>
          <w:lang w:val="en-US" w:eastAsia="zh-CN" w:bidi="ar-SA"/>
        </w:rPr>
        <w:t>不适用可不提供</w:t>
      </w:r>
      <w:r>
        <w:rPr>
          <w:rFonts w:hint="eastAsia" w:ascii="宋体" w:hAnsi="宋体" w:eastAsia="宋体" w:cstheme="minorBidi"/>
          <w:b w:val="0"/>
          <w:bCs w:val="0"/>
          <w:i w:val="0"/>
          <w:iCs w:val="0"/>
          <w:color w:val="auto"/>
          <w:kern w:val="2"/>
          <w:sz w:val="28"/>
          <w:szCs w:val="28"/>
          <w:highlight w:val="none"/>
          <w:lang w:val="zh-CN" w:eastAsia="zh-CN" w:bidi="ar-SA"/>
        </w:rPr>
        <w:t>】</w:t>
      </w:r>
      <w:bookmarkEnd w:id="670"/>
      <w:bookmarkEnd w:id="671"/>
      <w:bookmarkEnd w:id="672"/>
    </w:p>
    <w:p w14:paraId="3438DF08">
      <w:pPr>
        <w:snapToGrid w:val="0"/>
        <w:spacing w:line="360" w:lineRule="auto"/>
        <w:jc w:val="center"/>
        <w:outlineLvl w:val="1"/>
        <w:rPr>
          <w:rFonts w:hint="eastAsia" w:ascii="宋体" w:hAnsi="宋体" w:eastAsia="宋体" w:cs="宋体"/>
          <w:b/>
          <w:i w:val="0"/>
          <w:iCs w:val="0"/>
          <w:color w:val="auto"/>
          <w:kern w:val="0"/>
          <w:sz w:val="32"/>
          <w:szCs w:val="32"/>
          <w:highlight w:val="none"/>
          <w:lang w:val="en-US" w:eastAsia="zh-CN"/>
        </w:rPr>
      </w:pPr>
      <w:bookmarkStart w:id="674" w:name="_Toc21028"/>
      <w:r>
        <w:rPr>
          <w:rFonts w:hint="eastAsia" w:ascii="宋体" w:hAnsi="宋体" w:cs="宋体"/>
          <w:b/>
          <w:i w:val="0"/>
          <w:iCs w:val="0"/>
          <w:color w:val="auto"/>
          <w:kern w:val="0"/>
          <w:sz w:val="32"/>
          <w:szCs w:val="32"/>
          <w:highlight w:val="none"/>
        </w:rPr>
        <w:t>分包意向协议</w:t>
      </w:r>
      <w:r>
        <w:rPr>
          <w:rFonts w:hint="eastAsia" w:ascii="宋体" w:hAnsi="宋体" w:cs="宋体"/>
          <w:b/>
          <w:i w:val="0"/>
          <w:iCs w:val="0"/>
          <w:color w:val="auto"/>
          <w:kern w:val="0"/>
          <w:sz w:val="32"/>
          <w:szCs w:val="32"/>
          <w:highlight w:val="none"/>
          <w:lang w:val="en-US" w:eastAsia="zh-CN"/>
        </w:rPr>
        <w:t>书</w:t>
      </w:r>
      <w:bookmarkEnd w:id="674"/>
    </w:p>
    <w:p w14:paraId="56544C74">
      <w:pPr>
        <w:widowControl/>
        <w:spacing w:line="360" w:lineRule="auto"/>
        <w:ind w:firstLine="120" w:firstLineChars="50"/>
        <w:jc w:val="left"/>
        <w:rPr>
          <w:rFonts w:ascii="宋体" w:hAnsi="宋体" w:cs="宋体"/>
          <w:i w:val="0"/>
          <w:iCs w:val="0"/>
          <w:color w:val="auto"/>
          <w:sz w:val="24"/>
          <w:highlight w:val="none"/>
        </w:rPr>
      </w:pPr>
      <w:r>
        <w:rPr>
          <w:rFonts w:hint="eastAsia" w:ascii="宋体" w:hAnsi="宋体" w:cs="宋体"/>
          <w:i w:val="0"/>
          <w:iCs w:val="0"/>
          <w:color w:val="auto"/>
          <w:sz w:val="24"/>
          <w:highlight w:val="none"/>
        </w:rPr>
        <w:t>（</w:t>
      </w:r>
      <w:r>
        <w:rPr>
          <w:rFonts w:hint="eastAsia" w:cs="宋体"/>
          <w:b/>
          <w:i w:val="0"/>
          <w:iCs w:val="0"/>
          <w:color w:val="auto"/>
          <w:sz w:val="24"/>
          <w:highlight w:val="none"/>
          <w:lang w:val="en-US" w:eastAsia="zh-CN"/>
        </w:rPr>
        <w:t>成交</w:t>
      </w:r>
      <w:r>
        <w:rPr>
          <w:rFonts w:hint="eastAsia" w:ascii="宋体" w:hAnsi="宋体" w:cs="宋体"/>
          <w:b/>
          <w:i w:val="0"/>
          <w:iCs w:val="0"/>
          <w:color w:val="auto"/>
          <w:sz w:val="24"/>
          <w:highlight w:val="none"/>
        </w:rPr>
        <w:t>后以分包方式履行合同的，提供分包意向协议</w:t>
      </w:r>
      <w:r>
        <w:rPr>
          <w:rFonts w:hint="eastAsia" w:cs="宋体"/>
          <w:b/>
          <w:i w:val="0"/>
          <w:iCs w:val="0"/>
          <w:color w:val="auto"/>
          <w:sz w:val="24"/>
          <w:highlight w:val="none"/>
          <w:lang w:val="en-US" w:eastAsia="zh-CN"/>
        </w:rPr>
        <w:t>书</w:t>
      </w:r>
      <w:r>
        <w:rPr>
          <w:rFonts w:hint="eastAsia" w:ascii="宋体" w:hAnsi="宋体" w:cs="宋体"/>
          <w:b/>
          <w:i w:val="0"/>
          <w:iCs w:val="0"/>
          <w:color w:val="auto"/>
          <w:sz w:val="24"/>
          <w:highlight w:val="none"/>
        </w:rPr>
        <w:t>；采购人不同意分包或者</w:t>
      </w:r>
      <w:r>
        <w:rPr>
          <w:rFonts w:hint="eastAsia" w:cs="宋体"/>
          <w:b/>
          <w:i w:val="0"/>
          <w:iCs w:val="0"/>
          <w:color w:val="auto"/>
          <w:sz w:val="24"/>
          <w:highlight w:val="none"/>
          <w:lang w:val="en-US" w:eastAsia="zh-CN"/>
        </w:rPr>
        <w:t>供应商成交</w:t>
      </w:r>
      <w:r>
        <w:rPr>
          <w:rFonts w:hint="eastAsia" w:ascii="宋体" w:hAnsi="宋体" w:cs="宋体"/>
          <w:b/>
          <w:i w:val="0"/>
          <w:iCs w:val="0"/>
          <w:color w:val="auto"/>
          <w:sz w:val="24"/>
          <w:highlight w:val="none"/>
        </w:rPr>
        <w:t>后不以分包方式履行合同的，则不需要提供。</w:t>
      </w:r>
      <w:r>
        <w:rPr>
          <w:rFonts w:hint="eastAsia" w:ascii="宋体" w:hAnsi="宋体" w:cs="宋体"/>
          <w:i w:val="0"/>
          <w:iCs w:val="0"/>
          <w:color w:val="auto"/>
          <w:sz w:val="24"/>
          <w:highlight w:val="none"/>
        </w:rPr>
        <w:t>）</w:t>
      </w:r>
    </w:p>
    <w:p w14:paraId="23FD399A">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w:t>
      </w:r>
      <w:r>
        <w:rPr>
          <w:rFonts w:hint="eastAsia" w:cs="宋体"/>
          <w:i w:val="0"/>
          <w:iCs w:val="0"/>
          <w:color w:val="auto"/>
          <w:kern w:val="0"/>
          <w:sz w:val="24"/>
          <w:highlight w:val="none"/>
          <w:u w:val="single"/>
          <w:lang w:val="en-US" w:eastAsia="zh-CN"/>
        </w:rPr>
        <w:t>供应商</w:t>
      </w:r>
      <w:r>
        <w:rPr>
          <w:rFonts w:hint="eastAsia" w:ascii="宋体" w:hAnsi="宋体" w:cs="宋体"/>
          <w:i w:val="0"/>
          <w:iCs w:val="0"/>
          <w:color w:val="auto"/>
          <w:kern w:val="0"/>
          <w:sz w:val="24"/>
          <w:highlight w:val="none"/>
          <w:u w:val="single"/>
        </w:rPr>
        <w:t>名称）</w:t>
      </w:r>
      <w:r>
        <w:rPr>
          <w:rFonts w:hint="eastAsia" w:ascii="宋体" w:hAnsi="宋体" w:cs="宋体"/>
          <w:i w:val="0"/>
          <w:iCs w:val="0"/>
          <w:color w:val="auto"/>
          <w:kern w:val="0"/>
          <w:sz w:val="24"/>
          <w:highlight w:val="none"/>
          <w:lang w:val="zh-CN"/>
        </w:rPr>
        <w:t>若成为</w:t>
      </w:r>
      <w:r>
        <w:rPr>
          <w:rFonts w:hint="eastAsia" w:ascii="宋体" w:hAnsi="宋体" w:cs="宋体"/>
          <w:i w:val="0"/>
          <w:iCs w:val="0"/>
          <w:color w:val="auto"/>
          <w:sz w:val="24"/>
          <w:highlight w:val="none"/>
          <w:u w:val="single"/>
        </w:rPr>
        <w:t>（项目名称）</w:t>
      </w:r>
      <w:r>
        <w:rPr>
          <w:rFonts w:hint="eastAsia"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rPr>
        <w:t>【</w:t>
      </w:r>
      <w:r>
        <w:rPr>
          <w:rFonts w:hint="eastAsia" w:cs="宋体"/>
          <w:i w:val="0"/>
          <w:iCs w:val="0"/>
          <w:color w:val="auto"/>
          <w:sz w:val="24"/>
          <w:highlight w:val="none"/>
          <w:lang w:val="en-US" w:eastAsia="zh-CN"/>
        </w:rPr>
        <w:t>项目</w:t>
      </w:r>
      <w:r>
        <w:rPr>
          <w:rFonts w:hint="eastAsia" w:ascii="宋体" w:hAnsi="宋体" w:cs="宋体"/>
          <w:i w:val="0"/>
          <w:iCs w:val="0"/>
          <w:color w:val="auto"/>
          <w:sz w:val="24"/>
          <w:highlight w:val="none"/>
        </w:rPr>
        <w:t>编号</w:t>
      </w:r>
      <w:r>
        <w:rPr>
          <w:rFonts w:hint="eastAsia" w:cs="宋体"/>
          <w:i w:val="0"/>
          <w:iCs w:val="0"/>
          <w:color w:val="auto"/>
          <w:sz w:val="24"/>
          <w:highlight w:val="none"/>
          <w:lang w:val="en-US" w:eastAsia="zh-CN"/>
        </w:rPr>
        <w:t>/包号</w:t>
      </w:r>
      <w:r>
        <w:rPr>
          <w:rFonts w:hint="eastAsia" w:ascii="宋体" w:hAnsi="宋体" w:cs="宋体"/>
          <w:i w:val="0"/>
          <w:iCs w:val="0"/>
          <w:color w:val="auto"/>
          <w:sz w:val="24"/>
          <w:highlight w:val="none"/>
        </w:rPr>
        <w:t>：</w:t>
      </w:r>
      <w:r>
        <w:rPr>
          <w:rFonts w:hint="eastAsia" w:cs="宋体"/>
          <w:i w:val="0"/>
          <w:iCs w:val="0"/>
          <w:color w:val="auto"/>
          <w:sz w:val="24"/>
          <w:highlight w:val="none"/>
          <w:lang w:val="en-US" w:eastAsia="zh-CN"/>
        </w:rPr>
        <w:t xml:space="preserve">    </w:t>
      </w:r>
      <w:r>
        <w:rPr>
          <w:rFonts w:hint="eastAsia" w:ascii="宋体" w:hAnsi="宋体" w:cs="宋体"/>
          <w:i w:val="0"/>
          <w:iCs w:val="0"/>
          <w:color w:val="auto"/>
          <w:sz w:val="24"/>
          <w:highlight w:val="none"/>
        </w:rPr>
        <w:t>】</w:t>
      </w:r>
      <w:r>
        <w:rPr>
          <w:rFonts w:hint="eastAsia" w:ascii="宋体" w:hAnsi="宋体" w:cs="宋体"/>
          <w:i w:val="0"/>
          <w:iCs w:val="0"/>
          <w:color w:val="auto"/>
          <w:kern w:val="0"/>
          <w:sz w:val="24"/>
          <w:highlight w:val="none"/>
          <w:lang w:val="zh-CN"/>
        </w:rPr>
        <w:t>的</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供应商，将依法采取分包方式履行合同。</w:t>
      </w:r>
      <w:r>
        <w:rPr>
          <w:rFonts w:hint="eastAsia" w:ascii="宋体" w:hAnsi="宋体" w:cs="宋体"/>
          <w:i w:val="0"/>
          <w:iCs w:val="0"/>
          <w:color w:val="auto"/>
          <w:kern w:val="0"/>
          <w:sz w:val="24"/>
          <w:highlight w:val="none"/>
          <w:u w:val="single"/>
        </w:rPr>
        <w:t>（</w:t>
      </w:r>
      <w:r>
        <w:rPr>
          <w:rFonts w:hint="eastAsia" w:cs="宋体"/>
          <w:i w:val="0"/>
          <w:iCs w:val="0"/>
          <w:color w:val="auto"/>
          <w:kern w:val="0"/>
          <w:sz w:val="24"/>
          <w:highlight w:val="none"/>
          <w:u w:val="single"/>
          <w:lang w:val="en-US" w:eastAsia="zh-CN"/>
        </w:rPr>
        <w:t>供应商</w:t>
      </w:r>
      <w:r>
        <w:rPr>
          <w:rFonts w:hint="eastAsia" w:ascii="宋体" w:hAnsi="宋体" w:cs="宋体"/>
          <w:i w:val="0"/>
          <w:iCs w:val="0"/>
          <w:color w:val="auto"/>
          <w:kern w:val="0"/>
          <w:sz w:val="24"/>
          <w:highlight w:val="none"/>
          <w:u w:val="single"/>
        </w:rPr>
        <w:t>名称）</w:t>
      </w:r>
      <w:r>
        <w:rPr>
          <w:rFonts w:hint="eastAsia" w:ascii="宋体" w:hAnsi="宋体" w:cs="宋体"/>
          <w:i w:val="0"/>
          <w:iCs w:val="0"/>
          <w:color w:val="auto"/>
          <w:kern w:val="0"/>
          <w:sz w:val="24"/>
          <w:highlight w:val="none"/>
        </w:rPr>
        <w:t>与</w:t>
      </w:r>
      <w:r>
        <w:rPr>
          <w:rFonts w:hint="eastAsia" w:ascii="宋体" w:hAnsi="宋体" w:cs="宋体"/>
          <w:i w:val="0"/>
          <w:iCs w:val="0"/>
          <w:color w:val="auto"/>
          <w:kern w:val="0"/>
          <w:sz w:val="24"/>
          <w:highlight w:val="none"/>
          <w:u w:val="single"/>
        </w:rPr>
        <w:t>（所有分包供应商名称）</w:t>
      </w:r>
      <w:r>
        <w:rPr>
          <w:rFonts w:hint="eastAsia" w:ascii="宋体" w:hAnsi="宋体" w:cs="宋体"/>
          <w:i w:val="0"/>
          <w:iCs w:val="0"/>
          <w:color w:val="auto"/>
          <w:kern w:val="0"/>
          <w:sz w:val="24"/>
          <w:highlight w:val="none"/>
        </w:rPr>
        <w:t>达成分包意向协议</w:t>
      </w:r>
      <w:r>
        <w:rPr>
          <w:rFonts w:hint="eastAsia" w:cs="宋体"/>
          <w:i w:val="0"/>
          <w:iCs w:val="0"/>
          <w:color w:val="auto"/>
          <w:kern w:val="0"/>
          <w:sz w:val="24"/>
          <w:highlight w:val="none"/>
          <w:lang w:val="en-US" w:eastAsia="zh-CN"/>
        </w:rPr>
        <w:t>书</w:t>
      </w:r>
      <w:r>
        <w:rPr>
          <w:rFonts w:hint="eastAsia" w:ascii="宋体" w:hAnsi="宋体" w:cs="宋体"/>
          <w:i w:val="0"/>
          <w:iCs w:val="0"/>
          <w:color w:val="auto"/>
          <w:kern w:val="0"/>
          <w:sz w:val="24"/>
          <w:highlight w:val="none"/>
          <w:lang w:val="zh-CN"/>
        </w:rPr>
        <w:t xml:space="preserve">。 </w:t>
      </w:r>
    </w:p>
    <w:p w14:paraId="67152639">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一、分包标的及数量</w:t>
      </w:r>
    </w:p>
    <w:p w14:paraId="38B0EAFF">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w:t>
      </w:r>
      <w:r>
        <w:rPr>
          <w:rFonts w:hint="eastAsia" w:cs="宋体"/>
          <w:i w:val="0"/>
          <w:iCs w:val="0"/>
          <w:color w:val="auto"/>
          <w:kern w:val="0"/>
          <w:sz w:val="24"/>
          <w:highlight w:val="none"/>
          <w:u w:val="single"/>
          <w:lang w:val="en-US" w:eastAsia="zh-CN"/>
        </w:rPr>
        <w:t>供应商</w:t>
      </w:r>
      <w:r>
        <w:rPr>
          <w:rFonts w:hint="eastAsia" w:ascii="宋体" w:hAnsi="宋体" w:cs="宋体"/>
          <w:i w:val="0"/>
          <w:iCs w:val="0"/>
          <w:color w:val="auto"/>
          <w:kern w:val="0"/>
          <w:sz w:val="24"/>
          <w:highlight w:val="none"/>
          <w:u w:val="single"/>
        </w:rPr>
        <w:t>名称）</w:t>
      </w:r>
      <w:r>
        <w:rPr>
          <w:rFonts w:hint="eastAsia" w:ascii="宋体" w:hAnsi="宋体" w:cs="宋体"/>
          <w:i w:val="0"/>
          <w:iCs w:val="0"/>
          <w:color w:val="auto"/>
          <w:kern w:val="0"/>
          <w:sz w:val="24"/>
          <w:highlight w:val="none"/>
          <w:lang w:val="zh-CN"/>
        </w:rPr>
        <w:t>将</w:t>
      </w:r>
      <w:r>
        <w:rPr>
          <w:rFonts w:hint="eastAsia" w:ascii="宋体" w:hAnsi="宋体" w:cs="宋体"/>
          <w:i w:val="0"/>
          <w:iCs w:val="0"/>
          <w:color w:val="auto"/>
          <w:highlight w:val="none"/>
          <w:u w:val="single"/>
        </w:rPr>
        <w:t xml:space="preserve"> </w:t>
      </w:r>
      <w:r>
        <w:rPr>
          <w:rFonts w:ascii="宋体" w:hAnsi="宋体" w:cs="宋体"/>
          <w:i w:val="0"/>
          <w:iCs w:val="0"/>
          <w:color w:val="auto"/>
          <w:kern w:val="0"/>
          <w:sz w:val="24"/>
          <w:highlight w:val="none"/>
          <w:u w:val="single"/>
        </w:rPr>
        <w:t xml:space="preserve">  XX工作内容   </w:t>
      </w:r>
      <w:r>
        <w:rPr>
          <w:rFonts w:hint="eastAsia" w:ascii="宋体" w:hAnsi="宋体" w:cs="宋体"/>
          <w:i w:val="0"/>
          <w:iCs w:val="0"/>
          <w:color w:val="auto"/>
          <w:sz w:val="24"/>
          <w:highlight w:val="none"/>
        </w:rPr>
        <w:t>分包给</w:t>
      </w:r>
      <w:r>
        <w:rPr>
          <w:rFonts w:hint="eastAsia" w:ascii="宋体" w:hAnsi="宋体" w:cs="宋体"/>
          <w:i w:val="0"/>
          <w:iCs w:val="0"/>
          <w:color w:val="auto"/>
          <w:kern w:val="0"/>
          <w:sz w:val="24"/>
          <w:highlight w:val="none"/>
          <w:u w:val="single"/>
        </w:rPr>
        <w:t>（分包供应商1名称）</w:t>
      </w:r>
      <w:r>
        <w:rPr>
          <w:rFonts w:hint="eastAsia" w:ascii="宋体" w:hAnsi="宋体" w:cs="宋体"/>
          <w:i w:val="0"/>
          <w:iCs w:val="0"/>
          <w:color w:val="auto"/>
          <w:kern w:val="0"/>
          <w:sz w:val="24"/>
          <w:highlight w:val="none"/>
          <w:lang w:val="zh-CN"/>
        </w:rPr>
        <w:t>，</w:t>
      </w:r>
      <w:r>
        <w:rPr>
          <w:rFonts w:hint="eastAsia" w:ascii="宋体" w:hAnsi="宋体" w:cs="宋体"/>
          <w:i w:val="0"/>
          <w:iCs w:val="0"/>
          <w:color w:val="auto"/>
          <w:kern w:val="0"/>
          <w:sz w:val="24"/>
          <w:highlight w:val="none"/>
          <w:u w:val="single"/>
        </w:rPr>
        <w:t>（分包供应商1名称），</w:t>
      </w:r>
      <w:r>
        <w:rPr>
          <w:rFonts w:hint="eastAsia" w:ascii="宋体" w:hAnsi="宋体" w:cs="宋体"/>
          <w:i w:val="0"/>
          <w:iCs w:val="0"/>
          <w:color w:val="auto"/>
          <w:kern w:val="0"/>
          <w:sz w:val="24"/>
          <w:highlight w:val="none"/>
          <w:lang w:val="zh-CN"/>
        </w:rPr>
        <w:t>具备承</w:t>
      </w:r>
      <w:r>
        <w:rPr>
          <w:rFonts w:hint="eastAsia" w:ascii="宋体" w:hAnsi="宋体" w:cs="宋体"/>
          <w:i w:val="0"/>
          <w:iCs w:val="0"/>
          <w:color w:val="auto"/>
          <w:kern w:val="0"/>
          <w:sz w:val="24"/>
          <w:highlight w:val="none"/>
        </w:rPr>
        <w:t>担</w:t>
      </w:r>
      <w:r>
        <w:rPr>
          <w:rFonts w:hint="eastAsia" w:ascii="宋体" w:hAnsi="宋体" w:cs="宋体"/>
          <w:i w:val="0"/>
          <w:iCs w:val="0"/>
          <w:color w:val="auto"/>
          <w:kern w:val="0"/>
          <w:sz w:val="24"/>
          <w:highlight w:val="none"/>
          <w:u w:val="single"/>
          <w:lang w:val="zh-CN"/>
        </w:rPr>
        <w:t>XX工作内容</w:t>
      </w:r>
      <w:r>
        <w:rPr>
          <w:rFonts w:hint="eastAsia" w:ascii="宋体" w:hAnsi="宋体" w:cs="宋体"/>
          <w:i w:val="0"/>
          <w:iCs w:val="0"/>
          <w:color w:val="auto"/>
          <w:kern w:val="0"/>
          <w:sz w:val="24"/>
          <w:highlight w:val="none"/>
          <w:lang w:val="zh-CN"/>
        </w:rPr>
        <w:t>相应资质条件且不得再次分包；</w:t>
      </w:r>
    </w:p>
    <w:p w14:paraId="63FF6DF7">
      <w:pPr>
        <w:pStyle w:val="4"/>
        <w:tabs>
          <w:tab w:val="left" w:pos="432"/>
        </w:tabs>
        <w:ind w:left="758" w:leftChars="316" w:firstLine="229" w:firstLineChars="95"/>
        <w:rPr>
          <w:rFonts w:ascii="宋体" w:hAnsi="宋体" w:eastAsia="宋体" w:cs="宋体"/>
          <w:i w:val="0"/>
          <w:iCs w:val="0"/>
          <w:color w:val="auto"/>
          <w:kern w:val="0"/>
          <w:sz w:val="24"/>
          <w:szCs w:val="24"/>
          <w:highlight w:val="none"/>
        </w:rPr>
      </w:pPr>
      <w:bookmarkStart w:id="675" w:name="_Toc12110"/>
      <w:r>
        <w:rPr>
          <w:rFonts w:hint="eastAsia" w:ascii="宋体" w:hAnsi="宋体" w:eastAsia="宋体" w:cs="宋体"/>
          <w:i w:val="0"/>
          <w:iCs w:val="0"/>
          <w:color w:val="auto"/>
          <w:kern w:val="0"/>
          <w:sz w:val="24"/>
          <w:szCs w:val="24"/>
          <w:highlight w:val="none"/>
        </w:rPr>
        <w:t>……</w:t>
      </w:r>
      <w:bookmarkEnd w:id="675"/>
    </w:p>
    <w:p w14:paraId="6C285264">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二、分包供应商中小企业合同份额</w:t>
      </w:r>
    </w:p>
    <w:p w14:paraId="5E07AB6F">
      <w:pPr>
        <w:snapToGrid w:val="0"/>
        <w:spacing w:line="360" w:lineRule="auto"/>
        <w:ind w:firstLine="576"/>
        <w:rPr>
          <w:rFonts w:ascii="宋体" w:hAnsi="宋体" w:cs="宋体"/>
          <w:b/>
          <w:i w:val="0"/>
          <w:iCs w:val="0"/>
          <w:color w:val="auto"/>
          <w:kern w:val="0"/>
          <w:sz w:val="24"/>
          <w:highlight w:val="none"/>
          <w:lang w:val="zh-CN"/>
        </w:rPr>
      </w:pPr>
      <w:r>
        <w:rPr>
          <w:rFonts w:ascii="宋体" w:hAnsi="宋体" w:cs="宋体"/>
          <w:i w:val="0"/>
          <w:iCs w:val="0"/>
          <w:color w:val="auto"/>
          <w:kern w:val="0"/>
          <w:sz w:val="24"/>
          <w:highlight w:val="none"/>
        </w:rPr>
        <w:t>1、</w:t>
      </w:r>
      <w:r>
        <w:rPr>
          <w:rFonts w:hint="eastAsia" w:ascii="宋体" w:hAnsi="宋体" w:cs="宋体"/>
          <w:i w:val="0"/>
          <w:iCs w:val="0"/>
          <w:color w:val="auto"/>
          <w:kern w:val="0"/>
          <w:sz w:val="24"/>
          <w:highlight w:val="none"/>
          <w:u w:val="single"/>
        </w:rPr>
        <w:t>（分包供应商X</w:t>
      </w:r>
      <w:r>
        <w:rPr>
          <w:rFonts w:ascii="宋体" w:hAnsi="宋体" w:cs="宋体"/>
          <w:i w:val="0"/>
          <w:iCs w:val="0"/>
          <w:color w:val="auto"/>
          <w:kern w:val="0"/>
          <w:sz w:val="24"/>
          <w:highlight w:val="none"/>
          <w:u w:val="single"/>
        </w:rPr>
        <w:t>,</w:t>
      </w:r>
      <w:r>
        <w:rPr>
          <w:rFonts w:hint="eastAsia" w:ascii="宋体" w:hAnsi="宋体" w:cs="宋体"/>
          <w:i w:val="0"/>
          <w:iCs w:val="0"/>
          <w:color w:val="auto"/>
          <w:kern w:val="0"/>
          <w:sz w:val="24"/>
          <w:highlight w:val="none"/>
          <w:u w:val="single"/>
        </w:rPr>
        <w:t>……）提供的</w:t>
      </w:r>
      <w:r>
        <w:rPr>
          <w:rFonts w:hint="eastAsia" w:cs="宋体"/>
          <w:i w:val="0"/>
          <w:iCs w:val="0"/>
          <w:color w:val="auto"/>
          <w:kern w:val="0"/>
          <w:sz w:val="24"/>
          <w:highlight w:val="none"/>
          <w:u w:val="single"/>
          <w:lang w:val="en-US" w:eastAsia="zh-CN"/>
        </w:rPr>
        <w:t>服务</w:t>
      </w:r>
      <w:r>
        <w:rPr>
          <w:rFonts w:hint="eastAsia" w:ascii="宋体" w:hAnsi="宋体" w:cs="宋体"/>
          <w:i w:val="0"/>
          <w:iCs w:val="0"/>
          <w:color w:val="auto"/>
          <w:kern w:val="0"/>
          <w:sz w:val="24"/>
          <w:highlight w:val="none"/>
          <w:u w:val="single"/>
        </w:rPr>
        <w:t>全部由小微企业制造，</w:t>
      </w:r>
      <w:r>
        <w:rPr>
          <w:rFonts w:hint="eastAsia" w:ascii="宋体" w:hAnsi="宋体" w:cs="宋体"/>
          <w:i w:val="0"/>
          <w:iCs w:val="0"/>
          <w:color w:val="auto"/>
          <w:kern w:val="0"/>
          <w:sz w:val="24"/>
          <w:highlight w:val="none"/>
        </w:rPr>
        <w:t>其合同份额占到合同总金额</w:t>
      </w:r>
      <w:r>
        <w:rPr>
          <w:rFonts w:hint="eastAsia" w:ascii="宋体" w:hAnsi="宋体" w:cs="宋体"/>
          <w:i w:val="0"/>
          <w:iCs w:val="0"/>
          <w:color w:val="auto"/>
          <w:kern w:val="0"/>
          <w:sz w:val="24"/>
          <w:highlight w:val="none"/>
          <w:u w:val="single"/>
        </w:rPr>
        <w:t xml:space="preserve">     </w:t>
      </w:r>
      <w:r>
        <w:rPr>
          <w:rFonts w:hint="eastAsia" w:ascii="宋体" w:hAnsi="宋体" w:cs="宋体"/>
          <w:i w:val="0"/>
          <w:iCs w:val="0"/>
          <w:color w:val="auto"/>
          <w:kern w:val="0"/>
          <w:sz w:val="24"/>
          <w:highlight w:val="none"/>
        </w:rPr>
        <w:t>%以上</w:t>
      </w:r>
      <w:r>
        <w:rPr>
          <w:rFonts w:hint="eastAsia" w:ascii="宋体" w:hAnsi="宋体" w:cs="宋体"/>
          <w:i w:val="0"/>
          <w:iCs w:val="0"/>
          <w:color w:val="auto"/>
          <w:highlight w:val="none"/>
        </w:rPr>
        <w:t>。</w:t>
      </w:r>
      <w:r>
        <w:rPr>
          <w:rFonts w:hint="eastAsia" w:ascii="宋体" w:hAnsi="宋体" w:cs="宋体"/>
          <w:b/>
          <w:i w:val="0"/>
          <w:iCs w:val="0"/>
          <w:color w:val="auto"/>
          <w:kern w:val="0"/>
          <w:sz w:val="24"/>
          <w:highlight w:val="none"/>
          <w:lang w:val="zh-CN"/>
        </w:rPr>
        <w:t>（未预留份额专门面向中小企业采购的采购项目，以及预留份额中的非预留部分采购包，允许分包的，分包意向协议</w:t>
      </w:r>
      <w:r>
        <w:rPr>
          <w:rFonts w:hint="eastAsia" w:cs="宋体"/>
          <w:b/>
          <w:i w:val="0"/>
          <w:iCs w:val="0"/>
          <w:color w:val="auto"/>
          <w:kern w:val="0"/>
          <w:sz w:val="24"/>
          <w:highlight w:val="none"/>
          <w:lang w:val="en-US" w:eastAsia="zh-CN"/>
        </w:rPr>
        <w:t>书</w:t>
      </w:r>
      <w:r>
        <w:rPr>
          <w:rFonts w:hint="eastAsia" w:ascii="宋体" w:hAnsi="宋体" w:cs="宋体"/>
          <w:b/>
          <w:i w:val="0"/>
          <w:iCs w:val="0"/>
          <w:color w:val="auto"/>
          <w:kern w:val="0"/>
          <w:sz w:val="24"/>
          <w:highlight w:val="none"/>
          <w:lang w:val="zh-CN"/>
        </w:rPr>
        <w:t>约定小微企业的合同份额占到合同总金额30%以上的，对大中型企业的报价按评标标准确定的比例给予扣除。供应商</w:t>
      </w:r>
      <w:r>
        <w:rPr>
          <w:rFonts w:hint="eastAsia" w:ascii="宋体" w:hAnsi="宋体" w:cs="宋体"/>
          <w:b/>
          <w:i w:val="0"/>
          <w:iCs w:val="0"/>
          <w:color w:val="auto"/>
          <w:sz w:val="24"/>
          <w:highlight w:val="none"/>
        </w:rPr>
        <w:t>拟享受以上价格扣除政策的，填写有关内容。</w:t>
      </w:r>
      <w:r>
        <w:rPr>
          <w:rFonts w:hint="eastAsia" w:ascii="宋体" w:hAnsi="宋体" w:cs="宋体"/>
          <w:b/>
          <w:i w:val="0"/>
          <w:iCs w:val="0"/>
          <w:color w:val="auto"/>
          <w:kern w:val="0"/>
          <w:sz w:val="24"/>
          <w:highlight w:val="none"/>
          <w:lang w:val="zh-CN"/>
        </w:rPr>
        <w:t>）</w:t>
      </w:r>
    </w:p>
    <w:p w14:paraId="65C2E2DD">
      <w:pPr>
        <w:spacing w:line="360" w:lineRule="auto"/>
        <w:ind w:firstLine="480" w:firstLineChars="200"/>
        <w:rPr>
          <w:rFonts w:ascii="宋体" w:hAnsi="宋体" w:cs="宋体"/>
          <w:b/>
          <w:bCs/>
          <w:i w:val="0"/>
          <w:iCs w:val="0"/>
          <w:color w:val="auto"/>
          <w:kern w:val="0"/>
          <w:sz w:val="24"/>
          <w:highlight w:val="none"/>
          <w:lang w:val="zh-CN"/>
        </w:rPr>
      </w:pPr>
      <w:r>
        <w:rPr>
          <w:rFonts w:hint="eastAsia" w:ascii="宋体" w:hAnsi="宋体" w:cs="宋体"/>
          <w:i w:val="0"/>
          <w:iCs w:val="0"/>
          <w:color w:val="auto"/>
          <w:sz w:val="24"/>
          <w:highlight w:val="none"/>
        </w:rPr>
        <w:t>2、</w:t>
      </w:r>
      <w:bookmarkStart w:id="676" w:name="_Hlk101133173"/>
      <w:r>
        <w:rPr>
          <w:rFonts w:hint="eastAsia" w:ascii="宋体" w:hAnsi="宋体" w:cs="宋体"/>
          <w:i w:val="0"/>
          <w:iCs w:val="0"/>
          <w:color w:val="auto"/>
          <w:sz w:val="24"/>
          <w:highlight w:val="none"/>
        </w:rPr>
        <w:t>中小企业合同金额达到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rPr>
        <w:t>%，其中小微企业合同金额达到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rPr>
        <w:t>%</w:t>
      </w:r>
      <w:r>
        <w:rPr>
          <w:rFonts w:hint="eastAsia" w:ascii="宋体" w:hAnsi="宋体" w:cs="宋体"/>
          <w:i w:val="0"/>
          <w:iCs w:val="0"/>
          <w:color w:val="auto"/>
          <w:kern w:val="0"/>
          <w:sz w:val="24"/>
          <w:highlight w:val="none"/>
          <w:lang w:val="zh-CN"/>
        </w:rPr>
        <w:t>。</w:t>
      </w:r>
      <w:r>
        <w:rPr>
          <w:rFonts w:hint="eastAsia" w:ascii="宋体" w:hAnsi="宋体" w:cs="宋体"/>
          <w:b/>
          <w:bCs/>
          <w:i w:val="0"/>
          <w:iCs w:val="0"/>
          <w:color w:val="auto"/>
          <w:kern w:val="0"/>
          <w:sz w:val="24"/>
          <w:highlight w:val="none"/>
          <w:lang w:val="zh-CN"/>
        </w:rPr>
        <w:t>（</w:t>
      </w:r>
      <w:r>
        <w:rPr>
          <w:rFonts w:hint="eastAsia" w:ascii="宋体" w:hAnsi="宋体" w:cs="宋体"/>
          <w:b/>
          <w:bCs/>
          <w:i w:val="0"/>
          <w:iCs w:val="0"/>
          <w:color w:val="auto"/>
          <w:sz w:val="24"/>
          <w:highlight w:val="none"/>
        </w:rPr>
        <w:t>要求合同分包形式参加的项目或采购包，供应商按招标文件第一部分招标公告申请人的资格要求中规定的</w:t>
      </w:r>
      <w:r>
        <w:rPr>
          <w:rFonts w:hint="eastAsia" w:ascii="宋体" w:hAnsi="宋体" w:cs="宋体"/>
          <w:b/>
          <w:i w:val="0"/>
          <w:iCs w:val="0"/>
          <w:color w:val="auto"/>
          <w:kern w:val="0"/>
          <w:sz w:val="24"/>
          <w:highlight w:val="none"/>
          <w:lang w:val="zh-CN"/>
        </w:rPr>
        <w:t>分包意向协议</w:t>
      </w:r>
      <w:r>
        <w:rPr>
          <w:rFonts w:hint="eastAsia" w:cs="宋体"/>
          <w:b/>
          <w:i w:val="0"/>
          <w:iCs w:val="0"/>
          <w:color w:val="auto"/>
          <w:kern w:val="0"/>
          <w:sz w:val="24"/>
          <w:highlight w:val="none"/>
          <w:lang w:val="en-US" w:eastAsia="zh-CN"/>
        </w:rPr>
        <w:t>书</w:t>
      </w:r>
      <w:r>
        <w:rPr>
          <w:rFonts w:hint="eastAsia" w:ascii="宋体" w:hAnsi="宋体" w:cs="宋体"/>
          <w:b/>
          <w:bCs/>
          <w:i w:val="0"/>
          <w:iCs w:val="0"/>
          <w:color w:val="auto"/>
          <w:sz w:val="24"/>
          <w:highlight w:val="none"/>
        </w:rPr>
        <w:t>中中小企业、小微企业合同金额应当达到的比例要求填写。</w:t>
      </w:r>
      <w:r>
        <w:rPr>
          <w:rFonts w:hint="eastAsia" w:ascii="宋体" w:hAnsi="宋体" w:cs="宋体"/>
          <w:b/>
          <w:bCs/>
          <w:i w:val="0"/>
          <w:iCs w:val="0"/>
          <w:color w:val="auto"/>
          <w:kern w:val="0"/>
          <w:sz w:val="24"/>
          <w:highlight w:val="none"/>
          <w:lang w:val="zh-CN"/>
        </w:rPr>
        <w:t>）</w:t>
      </w:r>
      <w:bookmarkEnd w:id="676"/>
    </w:p>
    <w:p w14:paraId="59F29060">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三、分包工作履行期限、地点、方式</w:t>
      </w:r>
    </w:p>
    <w:p w14:paraId="55D77694">
      <w:pPr>
        <w:snapToGrid w:val="0"/>
        <w:spacing w:line="360" w:lineRule="auto"/>
        <w:ind w:firstLine="576"/>
        <w:rPr>
          <w:rFonts w:ascii="宋体" w:hAnsi="宋体" w:cs="宋体"/>
          <w:i w:val="0"/>
          <w:iCs w:val="0"/>
          <w:color w:val="auto"/>
          <w:highlight w:val="none"/>
          <w:u w:val="single"/>
        </w:rPr>
      </w:pPr>
      <w:r>
        <w:rPr>
          <w:rFonts w:hint="eastAsia" w:ascii="宋体" w:hAnsi="宋体" w:cs="宋体"/>
          <w:i w:val="0"/>
          <w:iCs w:val="0"/>
          <w:color w:val="auto"/>
          <w:highlight w:val="none"/>
          <w:u w:val="single"/>
        </w:rPr>
        <w:t xml:space="preserve">                                                                                  </w:t>
      </w:r>
    </w:p>
    <w:p w14:paraId="69186C77">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四、质量</w:t>
      </w:r>
    </w:p>
    <w:p w14:paraId="45377040">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24F1EA6C">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五、价款或者报酬</w:t>
      </w:r>
    </w:p>
    <w:p w14:paraId="2F84AD13">
      <w:pPr>
        <w:snapToGrid w:val="0"/>
        <w:spacing w:line="360" w:lineRule="auto"/>
        <w:ind w:left="655" w:leftChars="273"/>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79249CF4">
      <w:pPr>
        <w:snapToGrid w:val="0"/>
        <w:spacing w:line="360" w:lineRule="auto"/>
        <w:ind w:left="655" w:leftChars="273"/>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六、违约责任</w:t>
      </w:r>
    </w:p>
    <w:p w14:paraId="159F7362">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5986349C">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七、争议解决的办法</w:t>
      </w:r>
    </w:p>
    <w:p w14:paraId="79FF3566">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6986A023">
      <w:pPr>
        <w:snapToGrid w:val="0"/>
        <w:spacing w:line="360" w:lineRule="auto"/>
        <w:ind w:left="5861" w:leftChars="342" w:hanging="5040" w:hangingChars="2100"/>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 xml:space="preserve">                                          </w:t>
      </w:r>
      <w:r>
        <w:rPr>
          <w:rFonts w:hint="eastAsia" w:cs="宋体"/>
          <w:i w:val="0"/>
          <w:iCs w:val="0"/>
          <w:color w:val="auto"/>
          <w:kern w:val="0"/>
          <w:sz w:val="24"/>
          <w:highlight w:val="none"/>
          <w:lang w:val="en-US" w:eastAsia="zh-CN"/>
        </w:rPr>
        <w:t>供应商</w:t>
      </w:r>
      <w:r>
        <w:rPr>
          <w:rFonts w:hint="eastAsia" w:ascii="宋体" w:hAnsi="宋体" w:cs="宋体"/>
          <w:i w:val="0"/>
          <w:iCs w:val="0"/>
          <w:color w:val="auto"/>
          <w:kern w:val="0"/>
          <w:sz w:val="24"/>
          <w:highlight w:val="none"/>
          <w:lang w:val="zh-CN"/>
        </w:rPr>
        <w:t>名称(</w:t>
      </w:r>
      <w:r>
        <w:rPr>
          <w:rFonts w:hint="eastAsia" w:cs="宋体"/>
          <w:i w:val="0"/>
          <w:iCs w:val="0"/>
          <w:color w:val="auto"/>
          <w:kern w:val="0"/>
          <w:sz w:val="24"/>
          <w:highlight w:val="none"/>
          <w:lang w:val="zh-CN"/>
        </w:rPr>
        <w:t>公章</w:t>
      </w:r>
      <w:r>
        <w:rPr>
          <w:rFonts w:hint="eastAsia" w:ascii="宋体" w:hAnsi="宋体" w:cs="宋体"/>
          <w:i w:val="0"/>
          <w:iCs w:val="0"/>
          <w:color w:val="auto"/>
          <w:kern w:val="0"/>
          <w:sz w:val="24"/>
          <w:highlight w:val="none"/>
          <w:lang w:val="zh-CN"/>
        </w:rPr>
        <w:t>)：</w:t>
      </w:r>
    </w:p>
    <w:p w14:paraId="7B5FA272">
      <w:pPr>
        <w:snapToGrid w:val="0"/>
        <w:spacing w:line="360" w:lineRule="auto"/>
        <w:jc w:val="right"/>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分包供应商名称(公章)：</w:t>
      </w:r>
    </w:p>
    <w:p w14:paraId="2DCC977E">
      <w:pPr>
        <w:snapToGrid w:val="0"/>
        <w:spacing w:line="360" w:lineRule="auto"/>
        <w:ind w:firstLine="5760" w:firstLineChars="2400"/>
        <w:rPr>
          <w:rFonts w:ascii="宋体" w:hAnsi="宋体" w:cs="宋体"/>
          <w:i w:val="0"/>
          <w:iCs w:val="0"/>
          <w:color w:val="auto"/>
          <w:highlight w:val="none"/>
        </w:rPr>
      </w:pPr>
      <w:r>
        <w:rPr>
          <w:rFonts w:hint="eastAsia" w:ascii="宋体" w:hAnsi="宋体" w:cs="宋体"/>
          <w:i w:val="0"/>
          <w:iCs w:val="0"/>
          <w:color w:val="auto"/>
          <w:kern w:val="0"/>
          <w:sz w:val="24"/>
          <w:highlight w:val="none"/>
          <w:lang w:val="zh-CN"/>
        </w:rPr>
        <w:t>……</w:t>
      </w:r>
    </w:p>
    <w:p w14:paraId="43413851">
      <w:pPr>
        <w:spacing w:line="360" w:lineRule="auto"/>
        <w:jc w:val="center"/>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 xml:space="preserve">                                        日期：  年  月   日</w:t>
      </w:r>
    </w:p>
    <w:p w14:paraId="5E052511">
      <w:pPr>
        <w:spacing w:line="360" w:lineRule="auto"/>
        <w:ind w:right="420"/>
        <w:rPr>
          <w:rFonts w:ascii="宋体" w:hAnsi="宋体" w:cs="宋体"/>
          <w:i w:val="0"/>
          <w:iCs w:val="0"/>
          <w:color w:val="auto"/>
          <w:sz w:val="24"/>
          <w:highlight w:val="none"/>
        </w:rPr>
      </w:pPr>
      <w:r>
        <w:rPr>
          <w:rFonts w:hint="eastAsia" w:ascii="宋体" w:hAnsi="宋体" w:cs="宋体"/>
          <w:i w:val="0"/>
          <w:iCs w:val="0"/>
          <w:color w:val="auto"/>
          <w:sz w:val="21"/>
          <w:szCs w:val="21"/>
          <w:highlight w:val="none"/>
        </w:rPr>
        <w:t>注：按本格式和要求提供。</w:t>
      </w:r>
    </w:p>
    <w:p w14:paraId="5821A3B7">
      <w:pPr>
        <w:topLinePunct/>
        <w:ind w:firstLine="480" w:firstLineChars="200"/>
        <w:rPr>
          <w:rFonts w:hint="eastAsia"/>
          <w:i w:val="0"/>
          <w:iCs w:val="0"/>
          <w:color w:val="auto"/>
          <w:szCs w:val="32"/>
          <w:highlight w:val="none"/>
        </w:rPr>
      </w:pPr>
    </w:p>
    <w:p w14:paraId="611D4ADF">
      <w:pPr>
        <w:topLinePunct/>
        <w:ind w:firstLine="480" w:firstLineChars="200"/>
        <w:rPr>
          <w:rFonts w:hint="eastAsia"/>
          <w:i w:val="0"/>
          <w:iCs w:val="0"/>
          <w:color w:val="auto"/>
          <w:szCs w:val="32"/>
          <w:highlight w:val="none"/>
        </w:rPr>
      </w:pPr>
    </w:p>
    <w:p w14:paraId="376490F9">
      <w:pPr>
        <w:topLinePunct/>
        <w:ind w:firstLine="480" w:firstLineChars="200"/>
        <w:rPr>
          <w:rFonts w:hint="eastAsia"/>
          <w:i w:val="0"/>
          <w:iCs w:val="0"/>
          <w:color w:val="auto"/>
          <w:szCs w:val="32"/>
          <w:highlight w:val="none"/>
        </w:rPr>
      </w:pPr>
    </w:p>
    <w:p w14:paraId="48ED72FF">
      <w:pPr>
        <w:topLinePunct/>
        <w:ind w:firstLine="480" w:firstLineChars="200"/>
        <w:rPr>
          <w:rFonts w:hint="eastAsia"/>
          <w:i w:val="0"/>
          <w:iCs w:val="0"/>
          <w:color w:val="auto"/>
          <w:szCs w:val="32"/>
          <w:highlight w:val="none"/>
        </w:rPr>
      </w:pPr>
    </w:p>
    <w:bookmarkEnd w:id="673"/>
    <w:p w14:paraId="37E1E50C">
      <w:pPr>
        <w:ind w:left="2520" w:leftChars="1050"/>
        <w:rPr>
          <w:i w:val="0"/>
          <w:iCs w:val="0"/>
          <w:color w:val="auto"/>
          <w:highlight w:val="none"/>
        </w:rPr>
      </w:pPr>
      <w:r>
        <w:rPr>
          <w:rFonts w:cs="Courier New"/>
          <w:i w:val="0"/>
          <w:iCs w:val="0"/>
          <w:color w:val="auto"/>
          <w:szCs w:val="24"/>
          <w:highlight w:val="none"/>
        </w:rPr>
        <w:br w:type="page"/>
      </w:r>
    </w:p>
    <w:p w14:paraId="324FFC3F">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en-US" w:eastAsia="zh-CN" w:bidi="ar-SA"/>
        </w:rPr>
      </w:pPr>
      <w:bookmarkStart w:id="677" w:name="_Toc155185932"/>
      <w:bookmarkStart w:id="678" w:name="_Toc163492926"/>
      <w:bookmarkStart w:id="679" w:name="_Toc26686"/>
      <w:r>
        <w:rPr>
          <w:rFonts w:hint="eastAsia" w:cstheme="majorBidi"/>
          <w:b/>
          <w:bCs/>
          <w:i w:val="0"/>
          <w:iCs w:val="0"/>
          <w:color w:val="auto"/>
          <w:kern w:val="2"/>
          <w:sz w:val="28"/>
          <w:szCs w:val="28"/>
          <w:highlight w:val="none"/>
          <w:lang w:val="en-US" w:eastAsia="zh-CN" w:bidi="ar-SA"/>
        </w:rPr>
        <w:t>四</w:t>
      </w:r>
      <w:r>
        <w:rPr>
          <w:rFonts w:hint="eastAsia" w:eastAsia="宋体" w:asciiTheme="majorHAnsi" w:hAnsiTheme="majorHAnsi" w:cstheme="majorBidi"/>
          <w:b/>
          <w:bCs/>
          <w:i w:val="0"/>
          <w:iCs w:val="0"/>
          <w:color w:val="auto"/>
          <w:kern w:val="2"/>
          <w:sz w:val="28"/>
          <w:szCs w:val="28"/>
          <w:highlight w:val="none"/>
          <w:lang w:val="en-US" w:eastAsia="zh-CN" w:bidi="ar-SA"/>
        </w:rPr>
        <w:t>、</w:t>
      </w:r>
      <w:bookmarkEnd w:id="677"/>
      <w:bookmarkEnd w:id="678"/>
      <w:r>
        <w:rPr>
          <w:rFonts w:hint="eastAsia" w:eastAsia="宋体" w:asciiTheme="majorHAnsi" w:hAnsiTheme="majorHAnsi" w:cstheme="majorBidi"/>
          <w:b/>
          <w:bCs/>
          <w:i w:val="0"/>
          <w:iCs w:val="0"/>
          <w:color w:val="auto"/>
          <w:kern w:val="2"/>
          <w:sz w:val="28"/>
          <w:szCs w:val="28"/>
          <w:highlight w:val="none"/>
          <w:lang w:val="en-US" w:eastAsia="zh-CN" w:bidi="ar-SA"/>
        </w:rPr>
        <w:t>落实政府采购政策相关证明文件</w:t>
      </w:r>
      <w:bookmarkEnd w:id="679"/>
    </w:p>
    <w:p w14:paraId="3313777C">
      <w:pPr>
        <w:pStyle w:val="5"/>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680" w:name="_Toc21782"/>
      <w:bookmarkStart w:id="681" w:name="_Toc163492938"/>
      <w:r>
        <w:rPr>
          <w:rFonts w:hint="eastAsia" w:ascii="宋体" w:hAnsi="宋体" w:eastAsia="宋体" w:cs="宋体"/>
          <w:b/>
          <w:bCs/>
          <w:i w:val="0"/>
          <w:iCs w:val="0"/>
          <w:color w:val="auto"/>
          <w:kern w:val="2"/>
          <w:sz w:val="24"/>
          <w:szCs w:val="24"/>
          <w:highlight w:val="none"/>
          <w:lang w:val="en-US" w:eastAsia="zh-CN" w:bidi="ar-SA"/>
        </w:rPr>
        <w:t>（一）节能环保产品清单及证明材料</w:t>
      </w:r>
      <w:r>
        <w:rPr>
          <w:rFonts w:hint="eastAsia" w:ascii="宋体" w:hAnsi="宋体" w:eastAsia="宋体" w:cs="宋体"/>
          <w:b w:val="0"/>
          <w:bCs w:val="0"/>
          <w:i w:val="0"/>
          <w:iCs w:val="0"/>
          <w:color w:val="auto"/>
          <w:kern w:val="2"/>
          <w:sz w:val="24"/>
          <w:szCs w:val="24"/>
          <w:highlight w:val="none"/>
          <w:lang w:val="en-US" w:eastAsia="zh-CN" w:bidi="ar-SA"/>
        </w:rPr>
        <w:t>【</w:t>
      </w:r>
      <w:r>
        <w:rPr>
          <w:rFonts w:hint="eastAsia" w:cs="宋体"/>
          <w:b w:val="0"/>
          <w:bCs w:val="0"/>
          <w:i w:val="0"/>
          <w:iCs w:val="0"/>
          <w:color w:val="auto"/>
          <w:kern w:val="2"/>
          <w:sz w:val="24"/>
          <w:szCs w:val="24"/>
          <w:highlight w:val="none"/>
          <w:lang w:val="en-US" w:eastAsia="zh-CN" w:bidi="ar-SA"/>
        </w:rPr>
        <w:t>不适用可不提供</w:t>
      </w:r>
      <w:r>
        <w:rPr>
          <w:rFonts w:hint="eastAsia" w:ascii="宋体" w:hAnsi="宋体" w:eastAsia="宋体" w:cs="宋体"/>
          <w:b w:val="0"/>
          <w:bCs w:val="0"/>
          <w:i w:val="0"/>
          <w:iCs w:val="0"/>
          <w:color w:val="auto"/>
          <w:kern w:val="2"/>
          <w:sz w:val="24"/>
          <w:szCs w:val="24"/>
          <w:highlight w:val="none"/>
          <w:lang w:val="en-US" w:eastAsia="zh-CN" w:bidi="ar-SA"/>
        </w:rPr>
        <w:t>】</w:t>
      </w:r>
      <w:bookmarkEnd w:id="680"/>
      <w:bookmarkEnd w:id="681"/>
    </w:p>
    <w:p w14:paraId="4FF20263">
      <w:pPr>
        <w:spacing w:line="300" w:lineRule="auto"/>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项目名称：</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项目编号</w:t>
      </w:r>
      <w:r>
        <w:rPr>
          <w:rFonts w:hint="eastAsia" w:ascii="宋体" w:hAnsi="宋体" w:eastAsia="宋体" w:cs="宋体"/>
          <w:i w:val="0"/>
          <w:iCs w:val="0"/>
          <w:color w:val="auto"/>
          <w:sz w:val="24"/>
          <w:szCs w:val="24"/>
          <w:highlight w:val="none"/>
          <w:lang w:val="en-US" w:eastAsia="zh-CN"/>
        </w:rPr>
        <w:t>/包号</w:t>
      </w:r>
      <w:r>
        <w:rPr>
          <w:rFonts w:hint="eastAsia" w:ascii="宋体" w:hAnsi="宋体" w:eastAsia="宋体" w:cs="宋体"/>
          <w:i w:val="0"/>
          <w:iCs w:val="0"/>
          <w:color w:val="auto"/>
          <w:sz w:val="24"/>
          <w:szCs w:val="24"/>
          <w:highlight w:val="none"/>
        </w:rPr>
        <w:t>：</w:t>
      </w:r>
    </w:p>
    <w:p w14:paraId="293DD01E">
      <w:pPr>
        <w:spacing w:line="30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节能产品</w:t>
      </w:r>
    </w:p>
    <w:tbl>
      <w:tblPr>
        <w:tblStyle w:val="32"/>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57"/>
        <w:gridCol w:w="1147"/>
        <w:gridCol w:w="972"/>
        <w:gridCol w:w="792"/>
        <w:gridCol w:w="696"/>
        <w:gridCol w:w="648"/>
        <w:gridCol w:w="1128"/>
        <w:gridCol w:w="1224"/>
        <w:gridCol w:w="1582"/>
      </w:tblGrid>
      <w:tr w14:paraId="4276A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1A04898A">
            <w:pPr>
              <w:pStyle w:val="51"/>
              <w:jc w:val="center"/>
              <w:rPr>
                <w:i w:val="0"/>
                <w:iCs w:val="0"/>
                <w:color w:val="auto"/>
                <w:sz w:val="21"/>
                <w:szCs w:val="21"/>
                <w:highlight w:val="none"/>
              </w:rPr>
            </w:pPr>
            <w:r>
              <w:rPr>
                <w:rFonts w:hint="eastAsia"/>
                <w:i w:val="0"/>
                <w:iCs w:val="0"/>
                <w:color w:val="auto"/>
                <w:sz w:val="21"/>
                <w:szCs w:val="21"/>
                <w:highlight w:val="none"/>
              </w:rPr>
              <w:t>序号</w:t>
            </w:r>
          </w:p>
        </w:tc>
        <w:tc>
          <w:tcPr>
            <w:tcW w:w="1147" w:type="dxa"/>
            <w:tcBorders>
              <w:top w:val="single" w:color="auto" w:sz="4" w:space="0"/>
              <w:left w:val="single" w:color="auto" w:sz="4" w:space="0"/>
              <w:bottom w:val="single" w:color="auto" w:sz="4" w:space="0"/>
              <w:right w:val="single" w:color="auto" w:sz="4" w:space="0"/>
            </w:tcBorders>
            <w:vAlign w:val="center"/>
          </w:tcPr>
          <w:p w14:paraId="7677726A">
            <w:pPr>
              <w:pStyle w:val="51"/>
              <w:jc w:val="center"/>
              <w:rPr>
                <w:i w:val="0"/>
                <w:iCs w:val="0"/>
                <w:color w:val="auto"/>
                <w:sz w:val="21"/>
                <w:szCs w:val="21"/>
                <w:highlight w:val="none"/>
              </w:rPr>
            </w:pPr>
            <w:r>
              <w:rPr>
                <w:rFonts w:hint="eastAsia"/>
                <w:i w:val="0"/>
                <w:iCs w:val="0"/>
                <w:color w:val="auto"/>
                <w:sz w:val="21"/>
                <w:szCs w:val="21"/>
                <w:highlight w:val="none"/>
              </w:rPr>
              <w:t>设备名称</w:t>
            </w:r>
          </w:p>
        </w:tc>
        <w:tc>
          <w:tcPr>
            <w:tcW w:w="972" w:type="dxa"/>
            <w:tcBorders>
              <w:top w:val="single" w:color="auto" w:sz="4" w:space="0"/>
              <w:left w:val="single" w:color="auto" w:sz="4" w:space="0"/>
              <w:bottom w:val="single" w:color="auto" w:sz="4" w:space="0"/>
              <w:right w:val="single" w:color="auto" w:sz="4" w:space="0"/>
            </w:tcBorders>
            <w:vAlign w:val="center"/>
          </w:tcPr>
          <w:p w14:paraId="374FD25E">
            <w:pPr>
              <w:pStyle w:val="51"/>
              <w:jc w:val="center"/>
              <w:rPr>
                <w:i w:val="0"/>
                <w:iCs w:val="0"/>
                <w:color w:val="auto"/>
                <w:sz w:val="21"/>
                <w:szCs w:val="21"/>
                <w:highlight w:val="none"/>
              </w:rPr>
            </w:pPr>
            <w:r>
              <w:rPr>
                <w:rFonts w:hint="eastAsia"/>
                <w:i w:val="0"/>
                <w:iCs w:val="0"/>
                <w:color w:val="auto"/>
                <w:sz w:val="21"/>
                <w:szCs w:val="21"/>
                <w:highlight w:val="none"/>
              </w:rPr>
              <w:t>制造商名称</w:t>
            </w:r>
          </w:p>
        </w:tc>
        <w:tc>
          <w:tcPr>
            <w:tcW w:w="792" w:type="dxa"/>
            <w:tcBorders>
              <w:top w:val="single" w:color="auto" w:sz="4" w:space="0"/>
              <w:left w:val="single" w:color="auto" w:sz="4" w:space="0"/>
              <w:bottom w:val="single" w:color="auto" w:sz="4" w:space="0"/>
              <w:right w:val="single" w:color="auto" w:sz="4" w:space="0"/>
            </w:tcBorders>
            <w:vAlign w:val="center"/>
          </w:tcPr>
          <w:p w14:paraId="019718B1">
            <w:pPr>
              <w:pStyle w:val="51"/>
              <w:jc w:val="center"/>
              <w:rPr>
                <w:i w:val="0"/>
                <w:iCs w:val="0"/>
                <w:color w:val="auto"/>
                <w:sz w:val="21"/>
                <w:szCs w:val="21"/>
                <w:highlight w:val="none"/>
              </w:rPr>
            </w:pPr>
            <w:r>
              <w:rPr>
                <w:rFonts w:hint="eastAsia"/>
                <w:i w:val="0"/>
                <w:iCs w:val="0"/>
                <w:color w:val="auto"/>
                <w:sz w:val="21"/>
                <w:szCs w:val="21"/>
                <w:highlight w:val="none"/>
              </w:rPr>
              <w:t>品牌</w:t>
            </w:r>
          </w:p>
        </w:tc>
        <w:tc>
          <w:tcPr>
            <w:tcW w:w="696" w:type="dxa"/>
            <w:tcBorders>
              <w:top w:val="single" w:color="auto" w:sz="4" w:space="0"/>
              <w:left w:val="single" w:color="auto" w:sz="4" w:space="0"/>
              <w:bottom w:val="single" w:color="auto" w:sz="4" w:space="0"/>
              <w:right w:val="single" w:color="auto" w:sz="4" w:space="0"/>
            </w:tcBorders>
            <w:vAlign w:val="center"/>
          </w:tcPr>
          <w:p w14:paraId="1B59C470">
            <w:pPr>
              <w:pStyle w:val="51"/>
              <w:jc w:val="center"/>
              <w:rPr>
                <w:i w:val="0"/>
                <w:iCs w:val="0"/>
                <w:color w:val="auto"/>
                <w:sz w:val="21"/>
                <w:szCs w:val="21"/>
                <w:highlight w:val="none"/>
              </w:rPr>
            </w:pPr>
            <w:r>
              <w:rPr>
                <w:rFonts w:hint="eastAsia"/>
                <w:i w:val="0"/>
                <w:iCs w:val="0"/>
                <w:color w:val="auto"/>
                <w:sz w:val="21"/>
                <w:szCs w:val="21"/>
                <w:highlight w:val="none"/>
              </w:rPr>
              <w:t>型号</w:t>
            </w:r>
          </w:p>
        </w:tc>
        <w:tc>
          <w:tcPr>
            <w:tcW w:w="648" w:type="dxa"/>
            <w:tcBorders>
              <w:top w:val="single" w:color="auto" w:sz="4" w:space="0"/>
              <w:left w:val="single" w:color="auto" w:sz="4" w:space="0"/>
              <w:bottom w:val="single" w:color="auto" w:sz="4" w:space="0"/>
              <w:right w:val="single" w:color="auto" w:sz="4" w:space="0"/>
            </w:tcBorders>
            <w:vAlign w:val="center"/>
          </w:tcPr>
          <w:p w14:paraId="0FF83C4B">
            <w:pPr>
              <w:pStyle w:val="51"/>
              <w:jc w:val="center"/>
              <w:rPr>
                <w:i w:val="0"/>
                <w:iCs w:val="0"/>
                <w:color w:val="auto"/>
                <w:sz w:val="21"/>
                <w:szCs w:val="21"/>
                <w:highlight w:val="none"/>
              </w:rPr>
            </w:pPr>
            <w:r>
              <w:rPr>
                <w:rFonts w:hint="eastAsia"/>
                <w:i w:val="0"/>
                <w:iCs w:val="0"/>
                <w:color w:val="auto"/>
                <w:sz w:val="21"/>
                <w:szCs w:val="21"/>
                <w:highlight w:val="none"/>
              </w:rPr>
              <w:t>数量</w:t>
            </w:r>
          </w:p>
        </w:tc>
        <w:tc>
          <w:tcPr>
            <w:tcW w:w="1128" w:type="dxa"/>
            <w:tcBorders>
              <w:top w:val="single" w:color="auto" w:sz="4" w:space="0"/>
              <w:left w:val="single" w:color="auto" w:sz="4" w:space="0"/>
              <w:bottom w:val="single" w:color="auto" w:sz="4" w:space="0"/>
              <w:right w:val="single" w:color="auto" w:sz="4" w:space="0"/>
            </w:tcBorders>
            <w:vAlign w:val="center"/>
          </w:tcPr>
          <w:p w14:paraId="58394859">
            <w:pPr>
              <w:pStyle w:val="51"/>
              <w:jc w:val="center"/>
              <w:rPr>
                <w:i w:val="0"/>
                <w:iCs w:val="0"/>
                <w:color w:val="auto"/>
                <w:sz w:val="21"/>
                <w:szCs w:val="21"/>
                <w:highlight w:val="none"/>
              </w:rPr>
            </w:pPr>
            <w:r>
              <w:rPr>
                <w:rFonts w:hint="eastAsia"/>
                <w:i w:val="0"/>
                <w:iCs w:val="0"/>
                <w:color w:val="auto"/>
                <w:sz w:val="21"/>
                <w:szCs w:val="21"/>
                <w:highlight w:val="none"/>
              </w:rPr>
              <w:t>单价</w:t>
            </w:r>
          </w:p>
          <w:p w14:paraId="4F8410E1">
            <w:pPr>
              <w:pStyle w:val="51"/>
              <w:jc w:val="center"/>
              <w:rPr>
                <w:i w:val="0"/>
                <w:iCs w:val="0"/>
                <w:color w:val="auto"/>
                <w:sz w:val="21"/>
                <w:szCs w:val="21"/>
                <w:highlight w:val="none"/>
              </w:rPr>
            </w:pPr>
            <w:r>
              <w:rPr>
                <w:rFonts w:hint="eastAsia"/>
                <w:i w:val="0"/>
                <w:iCs w:val="0"/>
                <w:color w:val="auto"/>
                <w:sz w:val="21"/>
                <w:szCs w:val="21"/>
                <w:highlight w:val="none"/>
              </w:rPr>
              <w:t>（万元）</w:t>
            </w:r>
          </w:p>
        </w:tc>
        <w:tc>
          <w:tcPr>
            <w:tcW w:w="1224" w:type="dxa"/>
            <w:tcBorders>
              <w:top w:val="single" w:color="auto" w:sz="4" w:space="0"/>
              <w:left w:val="single" w:color="auto" w:sz="4" w:space="0"/>
              <w:bottom w:val="single" w:color="auto" w:sz="4" w:space="0"/>
              <w:right w:val="single" w:color="auto" w:sz="4" w:space="0"/>
            </w:tcBorders>
            <w:vAlign w:val="center"/>
          </w:tcPr>
          <w:p w14:paraId="1680867E">
            <w:pPr>
              <w:pStyle w:val="51"/>
              <w:jc w:val="center"/>
              <w:rPr>
                <w:i w:val="0"/>
                <w:iCs w:val="0"/>
                <w:color w:val="auto"/>
                <w:sz w:val="21"/>
                <w:szCs w:val="21"/>
                <w:highlight w:val="none"/>
              </w:rPr>
            </w:pPr>
            <w:r>
              <w:rPr>
                <w:rFonts w:hint="eastAsia"/>
                <w:i w:val="0"/>
                <w:iCs w:val="0"/>
                <w:color w:val="auto"/>
                <w:sz w:val="21"/>
                <w:szCs w:val="21"/>
                <w:highlight w:val="none"/>
              </w:rPr>
              <w:t>总价</w:t>
            </w:r>
          </w:p>
          <w:p w14:paraId="23E0A29D">
            <w:pPr>
              <w:pStyle w:val="51"/>
              <w:jc w:val="center"/>
              <w:rPr>
                <w:i w:val="0"/>
                <w:iCs w:val="0"/>
                <w:color w:val="auto"/>
                <w:sz w:val="21"/>
                <w:szCs w:val="21"/>
                <w:highlight w:val="none"/>
              </w:rPr>
            </w:pPr>
            <w:r>
              <w:rPr>
                <w:rFonts w:hint="eastAsia"/>
                <w:i w:val="0"/>
                <w:iCs w:val="0"/>
                <w:color w:val="auto"/>
                <w:sz w:val="21"/>
                <w:szCs w:val="21"/>
                <w:highlight w:val="none"/>
              </w:rPr>
              <w:t>（万元）</w:t>
            </w:r>
          </w:p>
        </w:tc>
        <w:tc>
          <w:tcPr>
            <w:tcW w:w="1582" w:type="dxa"/>
            <w:tcBorders>
              <w:top w:val="single" w:color="auto" w:sz="4" w:space="0"/>
              <w:left w:val="single" w:color="auto" w:sz="4" w:space="0"/>
              <w:bottom w:val="single" w:color="auto" w:sz="4" w:space="0"/>
              <w:right w:val="single" w:color="auto" w:sz="4" w:space="0"/>
            </w:tcBorders>
            <w:vAlign w:val="center"/>
          </w:tcPr>
          <w:p w14:paraId="23356323">
            <w:pPr>
              <w:pStyle w:val="51"/>
              <w:jc w:val="center"/>
              <w:rPr>
                <w:i w:val="0"/>
                <w:iCs w:val="0"/>
                <w:color w:val="auto"/>
                <w:sz w:val="21"/>
                <w:szCs w:val="21"/>
                <w:highlight w:val="none"/>
              </w:rPr>
            </w:pPr>
            <w:r>
              <w:rPr>
                <w:rFonts w:hint="eastAsia"/>
                <w:i w:val="0"/>
                <w:iCs w:val="0"/>
                <w:color w:val="auto"/>
                <w:sz w:val="21"/>
                <w:szCs w:val="21"/>
                <w:highlight w:val="none"/>
              </w:rPr>
              <w:t>属强制采购或优先采购</w:t>
            </w:r>
          </w:p>
        </w:tc>
      </w:tr>
      <w:tr w14:paraId="74A6B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180150D8">
            <w:pPr>
              <w:pStyle w:val="51"/>
              <w:numPr>
                <w:ilvl w:val="0"/>
                <w:numId w:val="6"/>
              </w:numPr>
              <w:jc w:val="center"/>
              <w:rPr>
                <w:i w:val="0"/>
                <w:iCs w:val="0"/>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5097A6E">
            <w:pPr>
              <w:pStyle w:val="51"/>
              <w:jc w:val="center"/>
              <w:rPr>
                <w:i w:val="0"/>
                <w:iCs w:val="0"/>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35D07BDB">
            <w:pPr>
              <w:pStyle w:val="51"/>
              <w:jc w:val="center"/>
              <w:rPr>
                <w:i w:val="0"/>
                <w:iCs w:val="0"/>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4734BBFC">
            <w:pPr>
              <w:pStyle w:val="51"/>
              <w:jc w:val="center"/>
              <w:rPr>
                <w:i w:val="0"/>
                <w:iCs w:val="0"/>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42309CD4">
            <w:pPr>
              <w:pStyle w:val="51"/>
              <w:jc w:val="center"/>
              <w:rPr>
                <w:i w:val="0"/>
                <w:iCs w:val="0"/>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39CFDB86">
            <w:pPr>
              <w:pStyle w:val="51"/>
              <w:jc w:val="center"/>
              <w:rPr>
                <w:i w:val="0"/>
                <w:iCs w:val="0"/>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304778E7">
            <w:pPr>
              <w:pStyle w:val="51"/>
              <w:jc w:val="center"/>
              <w:rPr>
                <w:i w:val="0"/>
                <w:iCs w:val="0"/>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358D311B">
            <w:pPr>
              <w:pStyle w:val="51"/>
              <w:jc w:val="center"/>
              <w:rPr>
                <w:i w:val="0"/>
                <w:iCs w:val="0"/>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1EB1543A">
            <w:pPr>
              <w:pStyle w:val="51"/>
              <w:jc w:val="center"/>
              <w:rPr>
                <w:i w:val="0"/>
                <w:iCs w:val="0"/>
                <w:color w:val="auto"/>
                <w:sz w:val="21"/>
                <w:szCs w:val="21"/>
                <w:highlight w:val="none"/>
              </w:rPr>
            </w:pPr>
          </w:p>
        </w:tc>
      </w:tr>
      <w:tr w14:paraId="74DEF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7DACE650">
            <w:pPr>
              <w:pStyle w:val="51"/>
              <w:numPr>
                <w:ilvl w:val="0"/>
                <w:numId w:val="6"/>
              </w:numPr>
              <w:jc w:val="center"/>
              <w:rPr>
                <w:i w:val="0"/>
                <w:iCs w:val="0"/>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7EDE620">
            <w:pPr>
              <w:pStyle w:val="51"/>
              <w:jc w:val="center"/>
              <w:rPr>
                <w:i w:val="0"/>
                <w:iCs w:val="0"/>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71CDD3BE">
            <w:pPr>
              <w:pStyle w:val="51"/>
              <w:jc w:val="center"/>
              <w:rPr>
                <w:i w:val="0"/>
                <w:iCs w:val="0"/>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4EEAB400">
            <w:pPr>
              <w:pStyle w:val="51"/>
              <w:jc w:val="center"/>
              <w:rPr>
                <w:i w:val="0"/>
                <w:iCs w:val="0"/>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6A2C2926">
            <w:pPr>
              <w:pStyle w:val="51"/>
              <w:jc w:val="center"/>
              <w:rPr>
                <w:i w:val="0"/>
                <w:iCs w:val="0"/>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69B4D3DB">
            <w:pPr>
              <w:pStyle w:val="51"/>
              <w:jc w:val="center"/>
              <w:rPr>
                <w:i w:val="0"/>
                <w:iCs w:val="0"/>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6B1FEBFC">
            <w:pPr>
              <w:pStyle w:val="51"/>
              <w:jc w:val="center"/>
              <w:rPr>
                <w:i w:val="0"/>
                <w:iCs w:val="0"/>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69C95585">
            <w:pPr>
              <w:pStyle w:val="51"/>
              <w:jc w:val="center"/>
              <w:rPr>
                <w:i w:val="0"/>
                <w:iCs w:val="0"/>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2B3FB40C">
            <w:pPr>
              <w:pStyle w:val="51"/>
              <w:jc w:val="center"/>
              <w:rPr>
                <w:i w:val="0"/>
                <w:iCs w:val="0"/>
                <w:color w:val="auto"/>
                <w:sz w:val="21"/>
                <w:szCs w:val="21"/>
                <w:highlight w:val="none"/>
              </w:rPr>
            </w:pPr>
          </w:p>
        </w:tc>
      </w:tr>
      <w:tr w14:paraId="6B272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074810A1">
            <w:pPr>
              <w:pStyle w:val="51"/>
              <w:numPr>
                <w:ilvl w:val="0"/>
                <w:numId w:val="6"/>
              </w:numPr>
              <w:jc w:val="center"/>
              <w:rPr>
                <w:i w:val="0"/>
                <w:iCs w:val="0"/>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36415221">
            <w:pPr>
              <w:pStyle w:val="51"/>
              <w:jc w:val="center"/>
              <w:rPr>
                <w:i w:val="0"/>
                <w:iCs w:val="0"/>
                <w:color w:val="auto"/>
                <w:sz w:val="21"/>
                <w:szCs w:val="21"/>
                <w:highlight w:val="none"/>
              </w:rPr>
            </w:pPr>
            <w:r>
              <w:rPr>
                <w:i w:val="0"/>
                <w:iCs w:val="0"/>
                <w:color w:val="auto"/>
                <w:sz w:val="21"/>
                <w:szCs w:val="21"/>
                <w:highlight w:val="none"/>
              </w:rPr>
              <w:t>……</w:t>
            </w:r>
          </w:p>
        </w:tc>
        <w:tc>
          <w:tcPr>
            <w:tcW w:w="972" w:type="dxa"/>
            <w:tcBorders>
              <w:top w:val="single" w:color="auto" w:sz="4" w:space="0"/>
              <w:left w:val="single" w:color="auto" w:sz="4" w:space="0"/>
              <w:bottom w:val="single" w:color="auto" w:sz="4" w:space="0"/>
              <w:right w:val="single" w:color="auto" w:sz="4" w:space="0"/>
            </w:tcBorders>
            <w:vAlign w:val="center"/>
          </w:tcPr>
          <w:p w14:paraId="29D8CD5E">
            <w:pPr>
              <w:pStyle w:val="51"/>
              <w:jc w:val="center"/>
              <w:rPr>
                <w:i w:val="0"/>
                <w:iCs w:val="0"/>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6C5D61F7">
            <w:pPr>
              <w:pStyle w:val="51"/>
              <w:jc w:val="center"/>
              <w:rPr>
                <w:i w:val="0"/>
                <w:iCs w:val="0"/>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74B4F304">
            <w:pPr>
              <w:pStyle w:val="51"/>
              <w:jc w:val="center"/>
              <w:rPr>
                <w:i w:val="0"/>
                <w:iCs w:val="0"/>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074063FE">
            <w:pPr>
              <w:pStyle w:val="51"/>
              <w:jc w:val="center"/>
              <w:rPr>
                <w:i w:val="0"/>
                <w:iCs w:val="0"/>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3A037419">
            <w:pPr>
              <w:pStyle w:val="51"/>
              <w:jc w:val="center"/>
              <w:rPr>
                <w:i w:val="0"/>
                <w:iCs w:val="0"/>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48A60167">
            <w:pPr>
              <w:pStyle w:val="51"/>
              <w:jc w:val="center"/>
              <w:rPr>
                <w:i w:val="0"/>
                <w:iCs w:val="0"/>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39C87CD6">
            <w:pPr>
              <w:pStyle w:val="51"/>
              <w:jc w:val="center"/>
              <w:rPr>
                <w:i w:val="0"/>
                <w:iCs w:val="0"/>
                <w:color w:val="auto"/>
                <w:sz w:val="21"/>
                <w:szCs w:val="21"/>
                <w:highlight w:val="none"/>
              </w:rPr>
            </w:pPr>
          </w:p>
        </w:tc>
      </w:tr>
    </w:tbl>
    <w:p w14:paraId="4F2768BB">
      <w:pPr>
        <w:spacing w:line="300" w:lineRule="auto"/>
        <w:rPr>
          <w:rFonts w:ascii="Arial" w:hAnsi="Arial" w:cs="Arial"/>
          <w:i w:val="0"/>
          <w:iCs w:val="0"/>
          <w:color w:val="auto"/>
          <w:szCs w:val="21"/>
          <w:highlight w:val="none"/>
        </w:rPr>
      </w:pPr>
    </w:p>
    <w:p w14:paraId="68854158">
      <w:pPr>
        <w:spacing w:line="300" w:lineRule="auto"/>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2</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rPr>
        <w:t>环保产品</w:t>
      </w:r>
    </w:p>
    <w:tbl>
      <w:tblPr>
        <w:tblStyle w:val="32"/>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76"/>
        <w:gridCol w:w="1140"/>
        <w:gridCol w:w="1272"/>
        <w:gridCol w:w="816"/>
        <w:gridCol w:w="816"/>
        <w:gridCol w:w="1032"/>
        <w:gridCol w:w="1380"/>
        <w:gridCol w:w="1714"/>
      </w:tblGrid>
      <w:tr w14:paraId="74EE6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49104DE9">
            <w:pPr>
              <w:pStyle w:val="51"/>
              <w:jc w:val="center"/>
              <w:rPr>
                <w:i w:val="0"/>
                <w:iCs w:val="0"/>
                <w:color w:val="auto"/>
                <w:sz w:val="21"/>
                <w:szCs w:val="21"/>
                <w:highlight w:val="none"/>
              </w:rPr>
            </w:pPr>
            <w:r>
              <w:rPr>
                <w:rFonts w:hint="eastAsia"/>
                <w:i w:val="0"/>
                <w:iCs w:val="0"/>
                <w:color w:val="auto"/>
                <w:sz w:val="21"/>
                <w:szCs w:val="21"/>
                <w:highlight w:val="none"/>
              </w:rPr>
              <w:t>序号</w:t>
            </w:r>
          </w:p>
        </w:tc>
        <w:tc>
          <w:tcPr>
            <w:tcW w:w="1140" w:type="dxa"/>
            <w:tcBorders>
              <w:top w:val="single" w:color="auto" w:sz="4" w:space="0"/>
              <w:left w:val="single" w:color="auto" w:sz="4" w:space="0"/>
              <w:bottom w:val="single" w:color="auto" w:sz="4" w:space="0"/>
              <w:right w:val="single" w:color="auto" w:sz="4" w:space="0"/>
            </w:tcBorders>
            <w:vAlign w:val="center"/>
          </w:tcPr>
          <w:p w14:paraId="1B68D74A">
            <w:pPr>
              <w:pStyle w:val="51"/>
              <w:jc w:val="center"/>
              <w:rPr>
                <w:i w:val="0"/>
                <w:iCs w:val="0"/>
                <w:color w:val="auto"/>
                <w:sz w:val="21"/>
                <w:szCs w:val="21"/>
                <w:highlight w:val="none"/>
              </w:rPr>
            </w:pPr>
            <w:r>
              <w:rPr>
                <w:rFonts w:hint="eastAsia"/>
                <w:i w:val="0"/>
                <w:iCs w:val="0"/>
                <w:color w:val="auto"/>
                <w:sz w:val="21"/>
                <w:szCs w:val="21"/>
                <w:highlight w:val="none"/>
              </w:rPr>
              <w:t>设备名称</w:t>
            </w:r>
          </w:p>
        </w:tc>
        <w:tc>
          <w:tcPr>
            <w:tcW w:w="1272" w:type="dxa"/>
            <w:tcBorders>
              <w:top w:val="single" w:color="auto" w:sz="4" w:space="0"/>
              <w:left w:val="single" w:color="auto" w:sz="4" w:space="0"/>
              <w:bottom w:val="single" w:color="auto" w:sz="4" w:space="0"/>
              <w:right w:val="single" w:color="auto" w:sz="4" w:space="0"/>
            </w:tcBorders>
            <w:vAlign w:val="center"/>
          </w:tcPr>
          <w:p w14:paraId="386EA8FB">
            <w:pPr>
              <w:pStyle w:val="51"/>
              <w:jc w:val="center"/>
              <w:rPr>
                <w:i w:val="0"/>
                <w:iCs w:val="0"/>
                <w:color w:val="auto"/>
                <w:sz w:val="21"/>
                <w:szCs w:val="21"/>
                <w:highlight w:val="none"/>
              </w:rPr>
            </w:pPr>
            <w:r>
              <w:rPr>
                <w:rFonts w:hint="eastAsia"/>
                <w:i w:val="0"/>
                <w:iCs w:val="0"/>
                <w:color w:val="auto"/>
                <w:sz w:val="21"/>
                <w:szCs w:val="21"/>
                <w:highlight w:val="none"/>
              </w:rPr>
              <w:t>制造商</w:t>
            </w:r>
          </w:p>
          <w:p w14:paraId="4DA4F397">
            <w:pPr>
              <w:pStyle w:val="51"/>
              <w:jc w:val="center"/>
              <w:rPr>
                <w:i w:val="0"/>
                <w:iCs w:val="0"/>
                <w:color w:val="auto"/>
                <w:sz w:val="21"/>
                <w:szCs w:val="21"/>
                <w:highlight w:val="none"/>
              </w:rPr>
            </w:pPr>
            <w:r>
              <w:rPr>
                <w:rFonts w:hint="eastAsia"/>
                <w:i w:val="0"/>
                <w:iCs w:val="0"/>
                <w:color w:val="auto"/>
                <w:sz w:val="21"/>
                <w:szCs w:val="21"/>
                <w:highlight w:val="none"/>
              </w:rPr>
              <w:t>名称</w:t>
            </w:r>
          </w:p>
        </w:tc>
        <w:tc>
          <w:tcPr>
            <w:tcW w:w="816" w:type="dxa"/>
            <w:tcBorders>
              <w:top w:val="single" w:color="auto" w:sz="4" w:space="0"/>
              <w:left w:val="single" w:color="auto" w:sz="4" w:space="0"/>
              <w:bottom w:val="single" w:color="auto" w:sz="4" w:space="0"/>
              <w:right w:val="single" w:color="auto" w:sz="4" w:space="0"/>
            </w:tcBorders>
            <w:vAlign w:val="center"/>
          </w:tcPr>
          <w:p w14:paraId="68A5A5EE">
            <w:pPr>
              <w:pStyle w:val="51"/>
              <w:jc w:val="center"/>
              <w:rPr>
                <w:i w:val="0"/>
                <w:iCs w:val="0"/>
                <w:color w:val="auto"/>
                <w:sz w:val="21"/>
                <w:szCs w:val="21"/>
                <w:highlight w:val="none"/>
              </w:rPr>
            </w:pPr>
            <w:r>
              <w:rPr>
                <w:rFonts w:hint="eastAsia"/>
                <w:i w:val="0"/>
                <w:iCs w:val="0"/>
                <w:color w:val="auto"/>
                <w:sz w:val="21"/>
                <w:szCs w:val="21"/>
                <w:highlight w:val="none"/>
              </w:rPr>
              <w:t>品牌</w:t>
            </w:r>
          </w:p>
        </w:tc>
        <w:tc>
          <w:tcPr>
            <w:tcW w:w="816" w:type="dxa"/>
            <w:tcBorders>
              <w:top w:val="single" w:color="auto" w:sz="4" w:space="0"/>
              <w:left w:val="single" w:color="auto" w:sz="4" w:space="0"/>
              <w:bottom w:val="single" w:color="auto" w:sz="4" w:space="0"/>
              <w:right w:val="single" w:color="auto" w:sz="4" w:space="0"/>
            </w:tcBorders>
            <w:vAlign w:val="center"/>
          </w:tcPr>
          <w:p w14:paraId="352E34BB">
            <w:pPr>
              <w:pStyle w:val="51"/>
              <w:jc w:val="center"/>
              <w:rPr>
                <w:i w:val="0"/>
                <w:iCs w:val="0"/>
                <w:color w:val="auto"/>
                <w:sz w:val="21"/>
                <w:szCs w:val="21"/>
                <w:highlight w:val="none"/>
              </w:rPr>
            </w:pPr>
            <w:r>
              <w:rPr>
                <w:rFonts w:hint="eastAsia"/>
                <w:i w:val="0"/>
                <w:iCs w:val="0"/>
                <w:color w:val="auto"/>
                <w:sz w:val="21"/>
                <w:szCs w:val="21"/>
                <w:highlight w:val="none"/>
              </w:rPr>
              <w:t>型号</w:t>
            </w:r>
          </w:p>
        </w:tc>
        <w:tc>
          <w:tcPr>
            <w:tcW w:w="1032" w:type="dxa"/>
            <w:tcBorders>
              <w:top w:val="single" w:color="auto" w:sz="4" w:space="0"/>
              <w:left w:val="single" w:color="auto" w:sz="4" w:space="0"/>
              <w:bottom w:val="single" w:color="auto" w:sz="4" w:space="0"/>
              <w:right w:val="single" w:color="auto" w:sz="4" w:space="0"/>
            </w:tcBorders>
            <w:vAlign w:val="center"/>
          </w:tcPr>
          <w:p w14:paraId="34BDE930">
            <w:pPr>
              <w:pStyle w:val="51"/>
              <w:jc w:val="center"/>
              <w:rPr>
                <w:i w:val="0"/>
                <w:iCs w:val="0"/>
                <w:color w:val="auto"/>
                <w:sz w:val="21"/>
                <w:szCs w:val="21"/>
                <w:highlight w:val="none"/>
              </w:rPr>
            </w:pPr>
            <w:r>
              <w:rPr>
                <w:rFonts w:hint="eastAsia"/>
                <w:i w:val="0"/>
                <w:iCs w:val="0"/>
                <w:color w:val="auto"/>
                <w:sz w:val="21"/>
                <w:szCs w:val="21"/>
                <w:highlight w:val="none"/>
              </w:rPr>
              <w:t>数量</w:t>
            </w:r>
          </w:p>
        </w:tc>
        <w:tc>
          <w:tcPr>
            <w:tcW w:w="1380" w:type="dxa"/>
            <w:tcBorders>
              <w:top w:val="single" w:color="auto" w:sz="4" w:space="0"/>
              <w:left w:val="single" w:color="auto" w:sz="4" w:space="0"/>
              <w:bottom w:val="single" w:color="auto" w:sz="4" w:space="0"/>
              <w:right w:val="single" w:color="auto" w:sz="4" w:space="0"/>
            </w:tcBorders>
            <w:vAlign w:val="center"/>
          </w:tcPr>
          <w:p w14:paraId="1C8CD08E">
            <w:pPr>
              <w:pStyle w:val="51"/>
              <w:jc w:val="center"/>
              <w:rPr>
                <w:i w:val="0"/>
                <w:iCs w:val="0"/>
                <w:color w:val="auto"/>
                <w:sz w:val="21"/>
                <w:szCs w:val="21"/>
                <w:highlight w:val="none"/>
              </w:rPr>
            </w:pPr>
            <w:r>
              <w:rPr>
                <w:rFonts w:hint="eastAsia"/>
                <w:i w:val="0"/>
                <w:iCs w:val="0"/>
                <w:color w:val="auto"/>
                <w:sz w:val="21"/>
                <w:szCs w:val="21"/>
                <w:highlight w:val="none"/>
              </w:rPr>
              <w:t>单价</w:t>
            </w:r>
          </w:p>
          <w:p w14:paraId="569505D3">
            <w:pPr>
              <w:pStyle w:val="51"/>
              <w:jc w:val="center"/>
              <w:rPr>
                <w:i w:val="0"/>
                <w:iCs w:val="0"/>
                <w:color w:val="auto"/>
                <w:sz w:val="21"/>
                <w:szCs w:val="21"/>
                <w:highlight w:val="none"/>
              </w:rPr>
            </w:pPr>
            <w:r>
              <w:rPr>
                <w:rFonts w:hint="eastAsia"/>
                <w:i w:val="0"/>
                <w:iCs w:val="0"/>
                <w:color w:val="auto"/>
                <w:sz w:val="21"/>
                <w:szCs w:val="21"/>
                <w:highlight w:val="none"/>
              </w:rPr>
              <w:t>（万元）</w:t>
            </w:r>
          </w:p>
        </w:tc>
        <w:tc>
          <w:tcPr>
            <w:tcW w:w="1714" w:type="dxa"/>
            <w:tcBorders>
              <w:top w:val="single" w:color="auto" w:sz="4" w:space="0"/>
              <w:left w:val="single" w:color="auto" w:sz="4" w:space="0"/>
              <w:bottom w:val="single" w:color="auto" w:sz="4" w:space="0"/>
              <w:right w:val="single" w:color="auto" w:sz="4" w:space="0"/>
            </w:tcBorders>
            <w:vAlign w:val="center"/>
          </w:tcPr>
          <w:p w14:paraId="5EE59CCB">
            <w:pPr>
              <w:pStyle w:val="51"/>
              <w:jc w:val="center"/>
              <w:rPr>
                <w:i w:val="0"/>
                <w:iCs w:val="0"/>
                <w:color w:val="auto"/>
                <w:sz w:val="21"/>
                <w:szCs w:val="21"/>
                <w:highlight w:val="none"/>
              </w:rPr>
            </w:pPr>
            <w:r>
              <w:rPr>
                <w:rFonts w:hint="eastAsia"/>
                <w:i w:val="0"/>
                <w:iCs w:val="0"/>
                <w:color w:val="auto"/>
                <w:sz w:val="21"/>
                <w:szCs w:val="21"/>
                <w:highlight w:val="none"/>
              </w:rPr>
              <w:t>总价</w:t>
            </w:r>
          </w:p>
          <w:p w14:paraId="6A32D5F7">
            <w:pPr>
              <w:pStyle w:val="51"/>
              <w:jc w:val="center"/>
              <w:rPr>
                <w:i w:val="0"/>
                <w:iCs w:val="0"/>
                <w:color w:val="auto"/>
                <w:sz w:val="21"/>
                <w:szCs w:val="21"/>
                <w:highlight w:val="none"/>
              </w:rPr>
            </w:pPr>
            <w:r>
              <w:rPr>
                <w:rFonts w:hint="eastAsia"/>
                <w:i w:val="0"/>
                <w:iCs w:val="0"/>
                <w:color w:val="auto"/>
                <w:sz w:val="21"/>
                <w:szCs w:val="21"/>
                <w:highlight w:val="none"/>
              </w:rPr>
              <w:t>（万元）</w:t>
            </w:r>
          </w:p>
        </w:tc>
      </w:tr>
      <w:tr w14:paraId="6AC00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34AD7687">
            <w:pPr>
              <w:pStyle w:val="51"/>
              <w:numPr>
                <w:ilvl w:val="0"/>
                <w:numId w:val="7"/>
              </w:numPr>
              <w:jc w:val="center"/>
              <w:rPr>
                <w:i w:val="0"/>
                <w:iCs w:val="0"/>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42482162">
            <w:pPr>
              <w:pStyle w:val="51"/>
              <w:jc w:val="center"/>
              <w:rPr>
                <w:i w:val="0"/>
                <w:iCs w:val="0"/>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1B980806">
            <w:pPr>
              <w:pStyle w:val="51"/>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5AA0B412">
            <w:pPr>
              <w:pStyle w:val="51"/>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0639AB31">
            <w:pPr>
              <w:pStyle w:val="51"/>
              <w:jc w:val="center"/>
              <w:rPr>
                <w:i w:val="0"/>
                <w:iCs w:val="0"/>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048B38AE">
            <w:pPr>
              <w:pStyle w:val="51"/>
              <w:jc w:val="center"/>
              <w:rPr>
                <w:i w:val="0"/>
                <w:iCs w:val="0"/>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6FC8C535">
            <w:pPr>
              <w:pStyle w:val="51"/>
              <w:jc w:val="center"/>
              <w:rPr>
                <w:i w:val="0"/>
                <w:iCs w:val="0"/>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0CD0CD95">
            <w:pPr>
              <w:pStyle w:val="51"/>
              <w:jc w:val="center"/>
              <w:rPr>
                <w:i w:val="0"/>
                <w:iCs w:val="0"/>
                <w:color w:val="auto"/>
                <w:sz w:val="21"/>
                <w:szCs w:val="21"/>
                <w:highlight w:val="none"/>
              </w:rPr>
            </w:pPr>
          </w:p>
        </w:tc>
      </w:tr>
      <w:tr w14:paraId="3BE73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1D2286C2">
            <w:pPr>
              <w:pStyle w:val="51"/>
              <w:numPr>
                <w:ilvl w:val="0"/>
                <w:numId w:val="7"/>
              </w:numPr>
              <w:jc w:val="center"/>
              <w:rPr>
                <w:i w:val="0"/>
                <w:iCs w:val="0"/>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005DBBC5">
            <w:pPr>
              <w:pStyle w:val="51"/>
              <w:jc w:val="center"/>
              <w:rPr>
                <w:i w:val="0"/>
                <w:iCs w:val="0"/>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2ACD378C">
            <w:pPr>
              <w:pStyle w:val="51"/>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6AB0490">
            <w:pPr>
              <w:pStyle w:val="51"/>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1D255A3C">
            <w:pPr>
              <w:pStyle w:val="51"/>
              <w:jc w:val="center"/>
              <w:rPr>
                <w:i w:val="0"/>
                <w:iCs w:val="0"/>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69B85CD0">
            <w:pPr>
              <w:pStyle w:val="51"/>
              <w:jc w:val="center"/>
              <w:rPr>
                <w:i w:val="0"/>
                <w:iCs w:val="0"/>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44D75919">
            <w:pPr>
              <w:pStyle w:val="51"/>
              <w:jc w:val="center"/>
              <w:rPr>
                <w:i w:val="0"/>
                <w:iCs w:val="0"/>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23E9BEB2">
            <w:pPr>
              <w:pStyle w:val="51"/>
              <w:jc w:val="center"/>
              <w:rPr>
                <w:i w:val="0"/>
                <w:iCs w:val="0"/>
                <w:color w:val="auto"/>
                <w:sz w:val="21"/>
                <w:szCs w:val="21"/>
                <w:highlight w:val="none"/>
              </w:rPr>
            </w:pPr>
          </w:p>
        </w:tc>
      </w:tr>
      <w:tr w14:paraId="23BAB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4E61A215">
            <w:pPr>
              <w:pStyle w:val="51"/>
              <w:numPr>
                <w:ilvl w:val="0"/>
                <w:numId w:val="7"/>
              </w:numPr>
              <w:jc w:val="center"/>
              <w:rPr>
                <w:i w:val="0"/>
                <w:iCs w:val="0"/>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41185C1F">
            <w:pPr>
              <w:pStyle w:val="51"/>
              <w:jc w:val="center"/>
              <w:rPr>
                <w:i w:val="0"/>
                <w:iCs w:val="0"/>
                <w:color w:val="auto"/>
                <w:sz w:val="21"/>
                <w:szCs w:val="21"/>
                <w:highlight w:val="none"/>
              </w:rPr>
            </w:pPr>
            <w:r>
              <w:rPr>
                <w:i w:val="0"/>
                <w:iCs w:val="0"/>
                <w:color w:val="auto"/>
                <w:sz w:val="21"/>
                <w:szCs w:val="21"/>
                <w:highlight w:val="none"/>
              </w:rPr>
              <w:t>……</w:t>
            </w:r>
          </w:p>
        </w:tc>
        <w:tc>
          <w:tcPr>
            <w:tcW w:w="1272" w:type="dxa"/>
            <w:tcBorders>
              <w:top w:val="single" w:color="auto" w:sz="4" w:space="0"/>
              <w:left w:val="single" w:color="auto" w:sz="4" w:space="0"/>
              <w:bottom w:val="single" w:color="auto" w:sz="4" w:space="0"/>
              <w:right w:val="single" w:color="auto" w:sz="4" w:space="0"/>
            </w:tcBorders>
            <w:vAlign w:val="center"/>
          </w:tcPr>
          <w:p w14:paraId="42C7102F">
            <w:pPr>
              <w:pStyle w:val="51"/>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06CF0B56">
            <w:pPr>
              <w:pStyle w:val="51"/>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3BFF0601">
            <w:pPr>
              <w:pStyle w:val="51"/>
              <w:jc w:val="center"/>
              <w:rPr>
                <w:i w:val="0"/>
                <w:iCs w:val="0"/>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0A9B9A0B">
            <w:pPr>
              <w:pStyle w:val="51"/>
              <w:jc w:val="center"/>
              <w:rPr>
                <w:i w:val="0"/>
                <w:iCs w:val="0"/>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457879B5">
            <w:pPr>
              <w:pStyle w:val="51"/>
              <w:jc w:val="center"/>
              <w:rPr>
                <w:i w:val="0"/>
                <w:iCs w:val="0"/>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7BA08B94">
            <w:pPr>
              <w:pStyle w:val="51"/>
              <w:jc w:val="center"/>
              <w:rPr>
                <w:i w:val="0"/>
                <w:iCs w:val="0"/>
                <w:color w:val="auto"/>
                <w:sz w:val="21"/>
                <w:szCs w:val="21"/>
                <w:highlight w:val="none"/>
              </w:rPr>
            </w:pPr>
          </w:p>
        </w:tc>
      </w:tr>
    </w:tbl>
    <w:p w14:paraId="5436B490">
      <w:pPr>
        <w:spacing w:line="300" w:lineRule="auto"/>
        <w:rPr>
          <w:rFonts w:ascii="Arial" w:hAnsi="Arial" w:cs="Arial"/>
          <w:i w:val="0"/>
          <w:iCs w:val="0"/>
          <w:color w:val="auto"/>
          <w:szCs w:val="21"/>
          <w:highlight w:val="none"/>
        </w:rPr>
      </w:pPr>
    </w:p>
    <w:p w14:paraId="011EA8A5">
      <w:pPr>
        <w:rPr>
          <w:rFonts w:ascii="Arial" w:hAnsi="Arial" w:cs="Arial"/>
          <w:b/>
          <w:i w:val="0"/>
          <w:iCs w:val="0"/>
          <w:color w:val="auto"/>
          <w:szCs w:val="21"/>
          <w:highlight w:val="none"/>
        </w:rPr>
      </w:pPr>
      <w:r>
        <w:rPr>
          <w:rFonts w:hint="eastAsia" w:ascii="Arial" w:hAnsi="Arial" w:cs="Arial"/>
          <w:b/>
          <w:i w:val="0"/>
          <w:iCs w:val="0"/>
          <w:color w:val="auto"/>
          <w:sz w:val="21"/>
          <w:szCs w:val="21"/>
          <w:highlight w:val="none"/>
        </w:rPr>
        <w:t>特别说明：</w:t>
      </w:r>
      <w:r>
        <w:rPr>
          <w:rFonts w:hint="eastAsia" w:ascii="Arial" w:hAnsi="Arial" w:cs="Arial"/>
          <w:b/>
          <w:i w:val="0"/>
          <w:iCs w:val="0"/>
          <w:color w:val="auto"/>
          <w:sz w:val="21"/>
          <w:szCs w:val="21"/>
          <w:highlight w:val="none"/>
          <w:lang w:val="en-US" w:eastAsia="zh-CN"/>
        </w:rPr>
        <w:t>供应商</w:t>
      </w:r>
      <w:r>
        <w:rPr>
          <w:rFonts w:hint="eastAsia" w:ascii="Arial" w:hAnsi="Arial" w:cs="Arial"/>
          <w:b/>
          <w:i w:val="0"/>
          <w:iCs w:val="0"/>
          <w:color w:val="auto"/>
          <w:sz w:val="21"/>
          <w:szCs w:val="21"/>
          <w:highlight w:val="none"/>
        </w:rPr>
        <w:t>应将所投产品中节能、环保产品分别列入上表中，并按本</w:t>
      </w:r>
      <w:r>
        <w:rPr>
          <w:rFonts w:hint="eastAsia" w:ascii="Arial" w:hAnsi="Arial" w:cs="Arial"/>
          <w:b/>
          <w:i w:val="0"/>
          <w:iCs w:val="0"/>
          <w:color w:val="auto"/>
          <w:sz w:val="21"/>
          <w:szCs w:val="21"/>
          <w:highlight w:val="none"/>
          <w:lang w:val="en-US" w:eastAsia="zh-CN"/>
        </w:rPr>
        <w:t>竞争性磋商</w:t>
      </w:r>
      <w:r>
        <w:rPr>
          <w:rFonts w:hint="eastAsia" w:ascii="Arial" w:hAnsi="Arial" w:cs="Arial"/>
          <w:b/>
          <w:i w:val="0"/>
          <w:iCs w:val="0"/>
          <w:color w:val="auto"/>
          <w:sz w:val="21"/>
          <w:szCs w:val="21"/>
          <w:highlight w:val="none"/>
        </w:rPr>
        <w:t>文件</w:t>
      </w:r>
      <w:r>
        <w:rPr>
          <w:rFonts w:hint="eastAsia" w:ascii="Arial" w:hAnsi="Arial" w:eastAsia="宋体" w:cs="Arial"/>
          <w:b/>
          <w:i w:val="0"/>
          <w:iCs w:val="0"/>
          <w:color w:val="auto"/>
          <w:sz w:val="21"/>
          <w:szCs w:val="21"/>
          <w:highlight w:val="none"/>
          <w:lang w:val="en-US" w:eastAsia="zh-CN"/>
        </w:rPr>
        <w:t>“</w:t>
      </w:r>
      <w:r>
        <w:rPr>
          <w:rFonts w:hint="eastAsia" w:ascii="Arial" w:hAnsi="Arial" w:eastAsia="宋体" w:cs="Arial"/>
          <w:b/>
          <w:i w:val="0"/>
          <w:iCs w:val="0"/>
          <w:color w:val="auto"/>
          <w:sz w:val="21"/>
          <w:szCs w:val="21"/>
          <w:highlight w:val="none"/>
        </w:rPr>
        <w:t>第二章</w:t>
      </w:r>
      <w:r>
        <w:rPr>
          <w:rFonts w:hint="eastAsia" w:ascii="Arial" w:hAnsi="Arial" w:eastAsia="宋体" w:cs="Arial"/>
          <w:b/>
          <w:i w:val="0"/>
          <w:iCs w:val="0"/>
          <w:color w:val="auto"/>
          <w:sz w:val="21"/>
          <w:szCs w:val="21"/>
          <w:highlight w:val="none"/>
          <w:lang w:val="en-US" w:eastAsia="zh-CN"/>
        </w:rPr>
        <w:t>供应商须知”</w:t>
      </w:r>
      <w:r>
        <w:rPr>
          <w:rFonts w:hint="eastAsia" w:ascii="Arial" w:hAnsi="Arial" w:eastAsia="宋体" w:cs="Arial"/>
          <w:b/>
          <w:i w:val="0"/>
          <w:iCs w:val="0"/>
          <w:color w:val="auto"/>
          <w:sz w:val="21"/>
          <w:szCs w:val="21"/>
          <w:highlight w:val="none"/>
        </w:rPr>
        <w:t>提</w:t>
      </w:r>
      <w:r>
        <w:rPr>
          <w:rFonts w:hint="eastAsia" w:ascii="Arial" w:hAnsi="Arial" w:cs="Arial"/>
          <w:b/>
          <w:i w:val="0"/>
          <w:iCs w:val="0"/>
          <w:color w:val="auto"/>
          <w:sz w:val="21"/>
          <w:szCs w:val="21"/>
          <w:highlight w:val="none"/>
        </w:rPr>
        <w:t>供相关证明材料，未填写本表或未提供有效认证证书</w:t>
      </w:r>
      <w:r>
        <w:rPr>
          <w:rFonts w:ascii="Arial" w:hAnsi="Arial" w:cs="Arial"/>
          <w:b/>
          <w:i w:val="0"/>
          <w:iCs w:val="0"/>
          <w:color w:val="auto"/>
          <w:sz w:val="21"/>
          <w:szCs w:val="21"/>
          <w:highlight w:val="none"/>
        </w:rPr>
        <w:t>的</w:t>
      </w:r>
      <w:r>
        <w:rPr>
          <w:rFonts w:hint="eastAsia" w:ascii="Arial" w:hAnsi="Arial" w:cs="Arial"/>
          <w:b/>
          <w:i w:val="0"/>
          <w:iCs w:val="0"/>
          <w:color w:val="auto"/>
          <w:sz w:val="21"/>
          <w:szCs w:val="21"/>
          <w:highlight w:val="none"/>
        </w:rPr>
        <w:t>不给予</w:t>
      </w:r>
      <w:r>
        <w:rPr>
          <w:rFonts w:ascii="Arial" w:hAnsi="Arial" w:cs="Arial"/>
          <w:b/>
          <w:i w:val="0"/>
          <w:iCs w:val="0"/>
          <w:color w:val="auto"/>
          <w:sz w:val="21"/>
          <w:szCs w:val="21"/>
          <w:highlight w:val="none"/>
        </w:rPr>
        <w:t>价格扣除</w:t>
      </w:r>
      <w:r>
        <w:rPr>
          <w:rFonts w:hint="eastAsia" w:ascii="Arial" w:hAnsi="Arial" w:cs="Arial"/>
          <w:b/>
          <w:i w:val="0"/>
          <w:iCs w:val="0"/>
          <w:color w:val="auto"/>
          <w:sz w:val="21"/>
          <w:szCs w:val="21"/>
          <w:highlight w:val="none"/>
        </w:rPr>
        <w:t>。</w:t>
      </w:r>
    </w:p>
    <w:p w14:paraId="424ED3E0">
      <w:pPr>
        <w:spacing w:line="300" w:lineRule="auto"/>
        <w:rPr>
          <w:rFonts w:ascii="Arial" w:hAnsi="Arial" w:cs="Arial"/>
          <w:i w:val="0"/>
          <w:iCs w:val="0"/>
          <w:color w:val="auto"/>
          <w:szCs w:val="21"/>
          <w:highlight w:val="none"/>
        </w:rPr>
      </w:pPr>
    </w:p>
    <w:p w14:paraId="0212EA8F">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1D2F85F6">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345DFCC9">
      <w:pPr>
        <w:rPr>
          <w:rFonts w:ascii="Arial" w:hAnsi="Arial" w:cs="Arial"/>
          <w:i w:val="0"/>
          <w:iCs w:val="0"/>
          <w:color w:val="auto"/>
          <w:szCs w:val="21"/>
          <w:highlight w:val="none"/>
        </w:rPr>
      </w:pPr>
      <w:r>
        <w:rPr>
          <w:rFonts w:ascii="Arial" w:hAnsi="Arial" w:cs="Arial"/>
          <w:i w:val="0"/>
          <w:iCs w:val="0"/>
          <w:color w:val="auto"/>
          <w:szCs w:val="21"/>
          <w:highlight w:val="none"/>
        </w:rPr>
        <w:br w:type="page"/>
      </w:r>
    </w:p>
    <w:p w14:paraId="79D2BBFA">
      <w:pPr>
        <w:pStyle w:val="5"/>
        <w:keepNext/>
        <w:keepLines/>
        <w:pageBreakBefore w:val="0"/>
        <w:widowControl w:val="0"/>
        <w:numPr>
          <w:ilvl w:val="0"/>
          <w:numId w:val="0"/>
        </w:numPr>
        <w:kinsoku/>
        <w:wordWrap/>
        <w:overflowPunct/>
        <w:topLinePunct w:val="0"/>
        <w:autoSpaceDE/>
        <w:autoSpaceDN/>
        <w:bidi w:val="0"/>
        <w:adjustRightInd/>
        <w:snapToGrid/>
        <w:spacing w:before="0" w:after="0" w:line="360" w:lineRule="auto"/>
        <w:textAlignment w:val="auto"/>
        <w:rPr>
          <w:rFonts w:hint="eastAsia" w:ascii="宋体" w:hAnsi="宋体" w:eastAsia="宋体" w:cstheme="minorBidi"/>
          <w:b/>
          <w:bCs/>
          <w:i w:val="0"/>
          <w:iCs w:val="0"/>
          <w:color w:val="auto"/>
          <w:kern w:val="2"/>
          <w:sz w:val="24"/>
          <w:szCs w:val="24"/>
          <w:highlight w:val="none"/>
          <w:lang w:val="en-US" w:eastAsia="zh-CN" w:bidi="ar-SA"/>
        </w:rPr>
      </w:pPr>
      <w:bookmarkStart w:id="682" w:name="_Toc27847"/>
      <w:bookmarkStart w:id="683" w:name="_Toc163492939"/>
      <w:r>
        <w:rPr>
          <w:rFonts w:hint="eastAsia" w:ascii="宋体" w:hAnsi="宋体" w:eastAsia="宋体" w:cstheme="minorBidi"/>
          <w:b/>
          <w:bCs/>
          <w:i w:val="0"/>
          <w:iCs w:val="0"/>
          <w:color w:val="auto"/>
          <w:kern w:val="2"/>
          <w:sz w:val="24"/>
          <w:szCs w:val="24"/>
          <w:highlight w:val="none"/>
          <w:lang w:val="en-US" w:eastAsia="zh-CN" w:bidi="ar-SA"/>
        </w:rPr>
        <w:t>（二）中小企业声明函</w:t>
      </w:r>
      <w:r>
        <w:rPr>
          <w:rFonts w:hint="eastAsia" w:ascii="宋体" w:hAnsi="宋体" w:eastAsia="宋体" w:cstheme="minorBidi"/>
          <w:b w:val="0"/>
          <w:bCs w:val="0"/>
          <w:i w:val="0"/>
          <w:iCs w:val="0"/>
          <w:color w:val="auto"/>
          <w:kern w:val="2"/>
          <w:sz w:val="24"/>
          <w:szCs w:val="24"/>
          <w:highlight w:val="none"/>
          <w:lang w:val="en-US" w:eastAsia="zh-CN" w:bidi="ar-SA"/>
        </w:rPr>
        <w:t>【</w:t>
      </w:r>
      <w:r>
        <w:rPr>
          <w:rFonts w:hint="eastAsia" w:cstheme="minorBidi"/>
          <w:b w:val="0"/>
          <w:bCs w:val="0"/>
          <w:i w:val="0"/>
          <w:iCs w:val="0"/>
          <w:color w:val="auto"/>
          <w:kern w:val="2"/>
          <w:sz w:val="24"/>
          <w:szCs w:val="24"/>
          <w:highlight w:val="none"/>
          <w:lang w:val="en-US" w:eastAsia="zh-CN" w:bidi="ar-SA"/>
        </w:rPr>
        <w:t>如专门面向中小企业采购的项目，此函可放于此处，否则，应后置于“其他资格证明文件”</w:t>
      </w:r>
      <w:r>
        <w:rPr>
          <w:rFonts w:hint="eastAsia" w:ascii="宋体" w:hAnsi="宋体" w:eastAsia="宋体" w:cstheme="minorBidi"/>
          <w:b w:val="0"/>
          <w:bCs w:val="0"/>
          <w:i w:val="0"/>
          <w:iCs w:val="0"/>
          <w:color w:val="auto"/>
          <w:kern w:val="2"/>
          <w:sz w:val="24"/>
          <w:szCs w:val="24"/>
          <w:highlight w:val="none"/>
          <w:lang w:val="en-US" w:eastAsia="zh-CN" w:bidi="ar-SA"/>
        </w:rPr>
        <w:t>】</w:t>
      </w:r>
      <w:bookmarkEnd w:id="682"/>
      <w:bookmarkEnd w:id="683"/>
    </w:p>
    <w:p w14:paraId="50A170A9">
      <w:pPr>
        <w:pStyle w:val="44"/>
        <w:keepNext w:val="0"/>
        <w:keepLines w:val="0"/>
        <w:pageBreakBefore w:val="0"/>
        <w:widowControl w:val="0"/>
        <w:numPr>
          <w:ilvl w:val="0"/>
          <w:numId w:val="0"/>
        </w:numPr>
        <w:kinsoku/>
        <w:wordWrap/>
        <w:overflowPunct/>
        <w:topLinePunct w:val="0"/>
        <w:autoSpaceDE/>
        <w:autoSpaceDN/>
        <w:bidi w:val="0"/>
        <w:adjustRightInd/>
        <w:snapToGrid/>
        <w:spacing w:line="300" w:lineRule="exact"/>
        <w:ind w:left="420" w:leftChars="0" w:hanging="420" w:firstLineChars="0"/>
        <w:jc w:val="center"/>
        <w:textAlignment w:val="auto"/>
        <w:rPr>
          <w:rFonts w:hint="eastAsia"/>
          <w:b/>
          <w:bCs/>
          <w:i w:val="0"/>
          <w:iCs w:val="0"/>
          <w:color w:val="auto"/>
          <w:sz w:val="32"/>
          <w:szCs w:val="32"/>
          <w:highlight w:val="none"/>
        </w:rPr>
      </w:pPr>
    </w:p>
    <w:p w14:paraId="5B7ED196">
      <w:pPr>
        <w:pStyle w:val="44"/>
        <w:numPr>
          <w:ilvl w:val="0"/>
          <w:numId w:val="0"/>
        </w:numPr>
        <w:ind w:left="420" w:leftChars="0" w:hanging="420" w:firstLineChars="0"/>
        <w:jc w:val="center"/>
        <w:rPr>
          <w:b/>
          <w:bCs/>
          <w:i w:val="0"/>
          <w:iCs w:val="0"/>
          <w:color w:val="auto"/>
          <w:sz w:val="32"/>
          <w:szCs w:val="32"/>
          <w:highlight w:val="none"/>
        </w:rPr>
      </w:pPr>
      <w:r>
        <w:rPr>
          <w:rFonts w:hint="eastAsia"/>
          <w:b/>
          <w:bCs/>
          <w:i w:val="0"/>
          <w:iCs w:val="0"/>
          <w:color w:val="auto"/>
          <w:sz w:val="32"/>
          <w:szCs w:val="32"/>
          <w:highlight w:val="none"/>
        </w:rPr>
        <w:t>中小企业声明函</w:t>
      </w:r>
    </w:p>
    <w:p w14:paraId="02613900">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本公司（联合体）郑重声明，根据《政府采购促进中小企业发展管理办法》（财库﹝2020﹞46 号）的规定，本公司（联合体）参加</w:t>
      </w:r>
      <w:r>
        <w:rPr>
          <w:rFonts w:hint="eastAsia" w:cs="宋体"/>
          <w:i w:val="0"/>
          <w:iCs w:val="0"/>
          <w:color w:val="auto"/>
          <w:spacing w:val="6"/>
          <w:szCs w:val="24"/>
          <w:highlight w:val="none"/>
          <w:u w:val="single"/>
        </w:rPr>
        <w:t xml:space="preserve"> （单位名称）</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u w:val="single"/>
        </w:rPr>
        <w:t xml:space="preserve"> </w:t>
      </w:r>
      <w:r>
        <w:rPr>
          <w:rFonts w:hint="eastAsia" w:cs="宋体"/>
          <w:i w:val="0"/>
          <w:iCs w:val="0"/>
          <w:color w:val="auto"/>
          <w:spacing w:val="6"/>
          <w:szCs w:val="24"/>
          <w:highlight w:val="none"/>
        </w:rPr>
        <w:t xml:space="preserve">的 </w:t>
      </w:r>
      <w:r>
        <w:rPr>
          <w:rFonts w:hint="eastAsia" w:cs="宋体"/>
          <w:i w:val="0"/>
          <w:iCs w:val="0"/>
          <w:color w:val="auto"/>
          <w:spacing w:val="6"/>
          <w:szCs w:val="24"/>
          <w:highlight w:val="none"/>
          <w:u w:val="single"/>
        </w:rPr>
        <w:t xml:space="preserve">（项目名称） </w:t>
      </w:r>
      <w:r>
        <w:rPr>
          <w:rFonts w:hint="eastAsia" w:cs="宋体"/>
          <w:i w:val="0"/>
          <w:iCs w:val="0"/>
          <w:color w:val="auto"/>
          <w:spacing w:val="6"/>
          <w:szCs w:val="24"/>
          <w:highlight w:val="none"/>
        </w:rPr>
        <w:t>采购活动，服务全部由符合政策要求的中小企业承接。相关企业（含联合体中的中小企业、签订分包意向协议</w:t>
      </w:r>
      <w:r>
        <w:rPr>
          <w:rFonts w:hint="eastAsia" w:cs="宋体"/>
          <w:i w:val="0"/>
          <w:iCs w:val="0"/>
          <w:color w:val="auto"/>
          <w:spacing w:val="6"/>
          <w:szCs w:val="24"/>
          <w:highlight w:val="none"/>
          <w:lang w:val="en-US" w:eastAsia="zh-CN"/>
        </w:rPr>
        <w:t>书</w:t>
      </w:r>
      <w:r>
        <w:rPr>
          <w:rFonts w:hint="eastAsia" w:cs="宋体"/>
          <w:i w:val="0"/>
          <w:iCs w:val="0"/>
          <w:color w:val="auto"/>
          <w:spacing w:val="6"/>
          <w:szCs w:val="24"/>
          <w:highlight w:val="none"/>
        </w:rPr>
        <w:t>的中小企业）的具体情况如下：</w:t>
      </w:r>
    </w:p>
    <w:p w14:paraId="7D7C0AD4">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1.</w:t>
      </w:r>
      <w:r>
        <w:rPr>
          <w:rFonts w:hint="eastAsia" w:cs="宋体"/>
          <w:i w:val="0"/>
          <w:iCs w:val="0"/>
          <w:color w:val="auto"/>
          <w:spacing w:val="6"/>
          <w:szCs w:val="24"/>
          <w:highlight w:val="none"/>
          <w:u w:val="single"/>
        </w:rPr>
        <w:t xml:space="preserve"> （标的名称） </w:t>
      </w:r>
      <w:r>
        <w:rPr>
          <w:rFonts w:hint="eastAsia" w:cs="宋体"/>
          <w:i w:val="0"/>
          <w:iCs w:val="0"/>
          <w:color w:val="auto"/>
          <w:spacing w:val="6"/>
          <w:szCs w:val="24"/>
          <w:highlight w:val="none"/>
        </w:rPr>
        <w:t>，属于</w:t>
      </w:r>
      <w:r>
        <w:rPr>
          <w:rFonts w:hint="eastAsia" w:cs="宋体"/>
          <w:i w:val="0"/>
          <w:iCs w:val="0"/>
          <w:color w:val="auto"/>
          <w:spacing w:val="6"/>
          <w:szCs w:val="24"/>
          <w:highlight w:val="none"/>
          <w:u w:val="single"/>
        </w:rPr>
        <w:t xml:space="preserve"> </w:t>
      </w:r>
      <w:r>
        <w:rPr>
          <w:rFonts w:hint="eastAsia" w:cs="宋体"/>
          <w:color w:val="auto"/>
          <w:spacing w:val="6"/>
          <w:szCs w:val="24"/>
          <w:highlight w:val="none"/>
          <w:u w:val="single"/>
        </w:rPr>
        <w:t xml:space="preserve"> </w:t>
      </w:r>
      <w:r>
        <w:rPr>
          <w:rStyle w:val="35"/>
          <w:rFonts w:hint="eastAsia" w:cs="宋体"/>
          <w:b w:val="0"/>
          <w:bCs w:val="0"/>
          <w:color w:val="auto"/>
          <w:szCs w:val="24"/>
          <w:highlight w:val="none"/>
          <w:u w:val="single"/>
          <w:lang w:eastAsia="zh-CN"/>
        </w:rPr>
        <w:t>（</w:t>
      </w:r>
      <w:r>
        <w:rPr>
          <w:rStyle w:val="35"/>
          <w:rFonts w:hint="eastAsia" w:cs="宋体"/>
          <w:b w:val="0"/>
          <w:bCs w:val="0"/>
          <w:color w:val="auto"/>
          <w:szCs w:val="24"/>
          <w:highlight w:val="none"/>
          <w:u w:val="single"/>
          <w:lang w:val="en-US" w:eastAsia="zh-CN"/>
        </w:rPr>
        <w:t>采购文件列明的</w:t>
      </w:r>
      <w:r>
        <w:rPr>
          <w:rStyle w:val="35"/>
          <w:rFonts w:hint="eastAsia" w:cs="宋体"/>
          <w:b w:val="0"/>
          <w:bCs w:val="0"/>
          <w:color w:val="auto"/>
          <w:szCs w:val="24"/>
          <w:highlight w:val="none"/>
          <w:u w:val="single"/>
          <w:lang w:eastAsia="zh-CN"/>
        </w:rPr>
        <w:t>）</w:t>
      </w:r>
      <w:r>
        <w:rPr>
          <w:rStyle w:val="35"/>
          <w:rFonts w:hint="eastAsia" w:cs="宋体"/>
          <w:b w:val="0"/>
          <w:bCs w:val="0"/>
          <w:color w:val="auto"/>
          <w:szCs w:val="24"/>
          <w:highlight w:val="none"/>
          <w:u w:val="single"/>
          <w:lang w:val="en-US" w:eastAsia="zh-CN"/>
        </w:rPr>
        <w:t xml:space="preserve"> </w:t>
      </w:r>
      <w:r>
        <w:rPr>
          <w:rFonts w:hint="eastAsia" w:cs="宋体"/>
          <w:i w:val="0"/>
          <w:iCs w:val="0"/>
          <w:color w:val="auto"/>
          <w:spacing w:val="6"/>
          <w:szCs w:val="24"/>
          <w:highlight w:val="none"/>
        </w:rPr>
        <w:t>行业 ；承接企业为</w:t>
      </w:r>
      <w:r>
        <w:rPr>
          <w:rFonts w:hint="eastAsia" w:cs="宋体"/>
          <w:i w:val="0"/>
          <w:iCs w:val="0"/>
          <w:color w:val="auto"/>
          <w:spacing w:val="6"/>
          <w:szCs w:val="24"/>
          <w:highlight w:val="none"/>
          <w:u w:val="single"/>
        </w:rPr>
        <w:t xml:space="preserve"> （企业名称） </w:t>
      </w:r>
      <w:r>
        <w:rPr>
          <w:rFonts w:hint="eastAsia" w:cs="宋体"/>
          <w:i w:val="0"/>
          <w:iCs w:val="0"/>
          <w:color w:val="auto"/>
          <w:spacing w:val="6"/>
          <w:szCs w:val="24"/>
          <w:highlight w:val="none"/>
        </w:rPr>
        <w:t>，从业人员</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人，营业收入为</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万元，资产总额为</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万元，属于</w:t>
      </w:r>
      <w:r>
        <w:rPr>
          <w:rFonts w:hint="eastAsia" w:cs="宋体"/>
          <w:i w:val="0"/>
          <w:iCs w:val="0"/>
          <w:color w:val="auto"/>
          <w:spacing w:val="6"/>
          <w:szCs w:val="24"/>
          <w:highlight w:val="none"/>
          <w:u w:val="single"/>
        </w:rPr>
        <w:t xml:space="preserve"> （中型企业、小型企业、微型企业）</w:t>
      </w:r>
      <w:r>
        <w:rPr>
          <w:rFonts w:hint="eastAsia" w:cs="宋体"/>
          <w:i w:val="0"/>
          <w:iCs w:val="0"/>
          <w:color w:val="auto"/>
          <w:spacing w:val="6"/>
          <w:szCs w:val="24"/>
          <w:highlight w:val="none"/>
        </w:rPr>
        <w:t>；</w:t>
      </w:r>
    </w:p>
    <w:p w14:paraId="07479E30">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2.</w:t>
      </w:r>
      <w:r>
        <w:rPr>
          <w:rFonts w:hint="eastAsia" w:cs="宋体"/>
          <w:i w:val="0"/>
          <w:iCs w:val="0"/>
          <w:color w:val="auto"/>
          <w:spacing w:val="6"/>
          <w:szCs w:val="24"/>
          <w:highlight w:val="none"/>
          <w:u w:val="single"/>
        </w:rPr>
        <w:t xml:space="preserve"> （标的名称） </w:t>
      </w:r>
      <w:r>
        <w:rPr>
          <w:rFonts w:hint="eastAsia" w:cs="宋体"/>
          <w:i w:val="0"/>
          <w:iCs w:val="0"/>
          <w:color w:val="auto"/>
          <w:spacing w:val="6"/>
          <w:szCs w:val="24"/>
          <w:highlight w:val="none"/>
        </w:rPr>
        <w:t>，属于</w:t>
      </w:r>
      <w:r>
        <w:rPr>
          <w:rFonts w:hint="eastAsia" w:cs="宋体"/>
          <w:i w:val="0"/>
          <w:iCs w:val="0"/>
          <w:color w:val="auto"/>
          <w:spacing w:val="6"/>
          <w:szCs w:val="24"/>
          <w:highlight w:val="none"/>
          <w:u w:val="single"/>
        </w:rPr>
        <w:t xml:space="preserve"> </w:t>
      </w:r>
      <w:r>
        <w:rPr>
          <w:rFonts w:hint="eastAsia" w:cs="宋体"/>
          <w:color w:val="auto"/>
          <w:spacing w:val="6"/>
          <w:szCs w:val="24"/>
          <w:highlight w:val="none"/>
          <w:u w:val="single"/>
        </w:rPr>
        <w:t xml:space="preserve">  </w:t>
      </w:r>
      <w:r>
        <w:rPr>
          <w:rStyle w:val="35"/>
          <w:rFonts w:hint="eastAsia" w:cs="宋体"/>
          <w:b w:val="0"/>
          <w:bCs w:val="0"/>
          <w:color w:val="auto"/>
          <w:szCs w:val="24"/>
          <w:highlight w:val="none"/>
          <w:u w:val="single"/>
          <w:lang w:eastAsia="zh-CN"/>
        </w:rPr>
        <w:t>（</w:t>
      </w:r>
      <w:r>
        <w:rPr>
          <w:rStyle w:val="35"/>
          <w:rFonts w:hint="eastAsia" w:cs="宋体"/>
          <w:b w:val="0"/>
          <w:bCs w:val="0"/>
          <w:color w:val="auto"/>
          <w:szCs w:val="24"/>
          <w:highlight w:val="none"/>
          <w:u w:val="single"/>
          <w:lang w:val="en-US" w:eastAsia="zh-CN"/>
        </w:rPr>
        <w:t>采购文件列明的</w:t>
      </w:r>
      <w:r>
        <w:rPr>
          <w:rStyle w:val="35"/>
          <w:rFonts w:hint="eastAsia" w:cs="宋体"/>
          <w:b w:val="0"/>
          <w:bCs w:val="0"/>
          <w:color w:val="auto"/>
          <w:szCs w:val="24"/>
          <w:highlight w:val="none"/>
          <w:u w:val="single"/>
          <w:lang w:eastAsia="zh-CN"/>
        </w:rPr>
        <w:t>）</w:t>
      </w:r>
      <w:r>
        <w:rPr>
          <w:rStyle w:val="35"/>
          <w:rFonts w:hint="eastAsia" w:cs="宋体"/>
          <w:b w:val="0"/>
          <w:bCs w:val="0"/>
          <w:color w:val="auto"/>
          <w:szCs w:val="24"/>
          <w:highlight w:val="none"/>
          <w:u w:val="single"/>
          <w:lang w:val="en-US" w:eastAsia="zh-CN"/>
        </w:rPr>
        <w:t xml:space="preserve"> </w:t>
      </w:r>
      <w:r>
        <w:rPr>
          <w:rFonts w:hint="eastAsia" w:cs="宋体"/>
          <w:i w:val="0"/>
          <w:iCs w:val="0"/>
          <w:color w:val="auto"/>
          <w:spacing w:val="6"/>
          <w:szCs w:val="24"/>
          <w:highlight w:val="none"/>
        </w:rPr>
        <w:t>行业 ；承接企业为</w:t>
      </w:r>
      <w:r>
        <w:rPr>
          <w:rFonts w:hint="eastAsia" w:cs="宋体"/>
          <w:i w:val="0"/>
          <w:iCs w:val="0"/>
          <w:color w:val="auto"/>
          <w:spacing w:val="6"/>
          <w:szCs w:val="24"/>
          <w:highlight w:val="none"/>
          <w:u w:val="single"/>
        </w:rPr>
        <w:t xml:space="preserve"> （企业名称） </w:t>
      </w:r>
      <w:r>
        <w:rPr>
          <w:rFonts w:hint="eastAsia" w:cs="宋体"/>
          <w:i w:val="0"/>
          <w:iCs w:val="0"/>
          <w:color w:val="auto"/>
          <w:spacing w:val="6"/>
          <w:szCs w:val="24"/>
          <w:highlight w:val="none"/>
        </w:rPr>
        <w:t>，从业人员</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人，营业收入为</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万元，资产总额为</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万元，属于</w:t>
      </w:r>
      <w:r>
        <w:rPr>
          <w:rFonts w:hint="eastAsia" w:cs="宋体"/>
          <w:i w:val="0"/>
          <w:iCs w:val="0"/>
          <w:color w:val="auto"/>
          <w:spacing w:val="6"/>
          <w:szCs w:val="24"/>
          <w:highlight w:val="none"/>
          <w:u w:val="single"/>
        </w:rPr>
        <w:t xml:space="preserve"> （中型企业、小型企业、微型企业）</w:t>
      </w:r>
      <w:r>
        <w:rPr>
          <w:rFonts w:hint="eastAsia" w:cs="宋体"/>
          <w:i w:val="0"/>
          <w:iCs w:val="0"/>
          <w:color w:val="auto"/>
          <w:spacing w:val="6"/>
          <w:szCs w:val="24"/>
          <w:highlight w:val="none"/>
        </w:rPr>
        <w:t>；</w:t>
      </w:r>
    </w:p>
    <w:p w14:paraId="6B80F955">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w:t>
      </w:r>
    </w:p>
    <w:p w14:paraId="0C0FEB9D">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以上企业，不属于大企业的分支机构，不存在控股股东为大企业的情形，也不存在与大企业的负责人为同一人的情形。</w:t>
      </w:r>
    </w:p>
    <w:p w14:paraId="39A352AD">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本企业对上述声明内容的真实性负责。如有虚假，将依法承担相应责任。</w:t>
      </w:r>
    </w:p>
    <w:p w14:paraId="5B4AE894">
      <w:pPr>
        <w:ind w:right="1008" w:firstLine="4788" w:firstLineChars="1900"/>
        <w:rPr>
          <w:rFonts w:cs="宋体"/>
          <w:i w:val="0"/>
          <w:iCs w:val="0"/>
          <w:color w:val="auto"/>
          <w:spacing w:val="6"/>
          <w:szCs w:val="24"/>
          <w:highlight w:val="none"/>
        </w:rPr>
      </w:pPr>
    </w:p>
    <w:p w14:paraId="1ACEB894">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0144D8D2">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E678BB7">
      <w:pPr>
        <w:ind w:firstLine="504" w:firstLineChars="200"/>
        <w:rPr>
          <w:rFonts w:cs="宋体"/>
          <w:i w:val="0"/>
          <w:iCs w:val="0"/>
          <w:color w:val="auto"/>
          <w:spacing w:val="6"/>
          <w:szCs w:val="24"/>
          <w:highlight w:val="none"/>
        </w:rPr>
      </w:pPr>
    </w:p>
    <w:p w14:paraId="557EB33B">
      <w:pPr>
        <w:spacing w:line="360" w:lineRule="auto"/>
        <w:rPr>
          <w:rFonts w:hint="default" w:cs="宋体"/>
          <w:b/>
          <w:bCs/>
          <w:i w:val="0"/>
          <w:iCs w:val="0"/>
          <w:color w:val="auto"/>
          <w:spacing w:val="6"/>
          <w:sz w:val="21"/>
          <w:szCs w:val="21"/>
          <w:highlight w:val="none"/>
          <w:lang w:val="en-US" w:eastAsia="zh-CN"/>
        </w:rPr>
      </w:pPr>
      <w:r>
        <w:rPr>
          <w:rFonts w:hint="eastAsia" w:cs="宋体"/>
          <w:b/>
          <w:bCs/>
          <w:i w:val="0"/>
          <w:iCs w:val="0"/>
          <w:color w:val="auto"/>
          <w:spacing w:val="6"/>
          <w:sz w:val="21"/>
          <w:szCs w:val="21"/>
          <w:highlight w:val="none"/>
        </w:rPr>
        <w:t>说明：</w:t>
      </w:r>
      <w:r>
        <w:rPr>
          <w:rFonts w:hint="eastAsia" w:cs="宋体"/>
          <w:b/>
          <w:bCs/>
          <w:i w:val="0"/>
          <w:iCs w:val="0"/>
          <w:color w:val="auto"/>
          <w:spacing w:val="6"/>
          <w:sz w:val="21"/>
          <w:szCs w:val="21"/>
          <w:highlight w:val="none"/>
          <w:lang w:val="en-US" w:eastAsia="zh-CN"/>
        </w:rPr>
        <w:t>1.重要提示：供应商应仔细阅读本函附件1关于“中小企业声明函”的填写要求及提交要求，否则，因填写或提交等产生的一切不利后果，须自行承担。</w:t>
      </w:r>
    </w:p>
    <w:p w14:paraId="5E9B093F">
      <w:pPr>
        <w:spacing w:line="360" w:lineRule="auto"/>
        <w:ind w:firstLine="446" w:firstLineChars="200"/>
        <w:rPr>
          <w:rFonts w:hint="eastAsia" w:cs="宋体"/>
          <w:i w:val="0"/>
          <w:iCs w:val="0"/>
          <w:color w:val="auto"/>
          <w:spacing w:val="6"/>
          <w:sz w:val="24"/>
          <w:szCs w:val="24"/>
          <w:highlight w:val="none"/>
        </w:rPr>
      </w:pPr>
      <w:r>
        <w:rPr>
          <w:rFonts w:hint="eastAsia" w:cs="宋体"/>
          <w:b/>
          <w:bCs/>
          <w:i w:val="0"/>
          <w:iCs w:val="0"/>
          <w:color w:val="auto"/>
          <w:spacing w:val="6"/>
          <w:sz w:val="21"/>
          <w:szCs w:val="21"/>
          <w:highlight w:val="none"/>
          <w:lang w:val="en-US" w:eastAsia="zh-CN"/>
        </w:rPr>
        <w:t>2.</w:t>
      </w:r>
      <w:r>
        <w:rPr>
          <w:rFonts w:hint="eastAsia" w:cs="宋体"/>
          <w:i w:val="0"/>
          <w:iCs w:val="0"/>
          <w:color w:val="auto"/>
          <w:spacing w:val="6"/>
          <w:sz w:val="21"/>
          <w:szCs w:val="21"/>
          <w:highlight w:val="none"/>
        </w:rPr>
        <w:t>从业人员、营业收入、资产总额填报上一年度数据，无上一年度数据的新成立企业可不填报。</w:t>
      </w:r>
    </w:p>
    <w:p w14:paraId="280E9434">
      <w:pPr>
        <w:rPr>
          <w:rFonts w:cs="宋体"/>
          <w:i w:val="0"/>
          <w:iCs w:val="0"/>
          <w:color w:val="auto"/>
          <w:spacing w:val="6"/>
          <w:sz w:val="21"/>
          <w:szCs w:val="21"/>
          <w:highlight w:val="none"/>
        </w:rPr>
      </w:pPr>
    </w:p>
    <w:p w14:paraId="4C19990A">
      <w:pPr>
        <w:rPr>
          <w:rFonts w:cs="宋体"/>
          <w:i w:val="0"/>
          <w:iCs w:val="0"/>
          <w:color w:val="auto"/>
          <w:spacing w:val="6"/>
          <w:sz w:val="21"/>
          <w:szCs w:val="21"/>
          <w:highlight w:val="none"/>
        </w:rPr>
      </w:pPr>
    </w:p>
    <w:p w14:paraId="4DBE2A37">
      <w:pPr>
        <w:rPr>
          <w:rFonts w:cs="宋体"/>
          <w:i w:val="0"/>
          <w:iCs w:val="0"/>
          <w:color w:val="auto"/>
          <w:spacing w:val="6"/>
          <w:sz w:val="21"/>
          <w:szCs w:val="21"/>
          <w:highlight w:val="none"/>
        </w:rPr>
      </w:pPr>
    </w:p>
    <w:p w14:paraId="7A1B1970">
      <w:pPr>
        <w:rPr>
          <w:rFonts w:cs="宋体"/>
          <w:i w:val="0"/>
          <w:iCs w:val="0"/>
          <w:color w:val="auto"/>
          <w:spacing w:val="6"/>
          <w:sz w:val="21"/>
          <w:szCs w:val="21"/>
          <w:highlight w:val="none"/>
        </w:rPr>
      </w:pPr>
    </w:p>
    <w:p w14:paraId="5BB8E55D">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b/>
          <w:bCs/>
          <w:i w:val="0"/>
          <w:iCs w:val="0"/>
          <w:color w:val="auto"/>
          <w:highlight w:val="none"/>
          <w:lang w:val="en-US" w:eastAsia="zh-CN"/>
        </w:rPr>
      </w:pPr>
    </w:p>
    <w:p w14:paraId="56278A73">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b/>
          <w:bCs/>
          <w:i w:val="0"/>
          <w:iCs w:val="0"/>
          <w:color w:val="auto"/>
          <w:highlight w:val="none"/>
          <w:lang w:val="en-US" w:eastAsia="zh-CN"/>
        </w:rPr>
      </w:pPr>
      <w:r>
        <w:rPr>
          <w:rFonts w:hint="eastAsia"/>
          <w:b/>
          <w:bCs/>
          <w:i w:val="0"/>
          <w:iCs w:val="0"/>
          <w:color w:val="auto"/>
          <w:highlight w:val="none"/>
          <w:lang w:val="en-US" w:eastAsia="zh-CN"/>
        </w:rPr>
        <w:t xml:space="preserve">附件1 </w:t>
      </w:r>
    </w:p>
    <w:p w14:paraId="2FD2D3A9">
      <w:pPr>
        <w:keepNext w:val="0"/>
        <w:keepLines w:val="0"/>
        <w:widowControl/>
        <w:suppressLineNumbers w:val="0"/>
        <w:ind w:firstLine="562" w:firstLineChars="200"/>
        <w:jc w:val="left"/>
        <w:rPr>
          <w:rStyle w:val="35"/>
          <w:rFonts w:hint="eastAsia" w:ascii="宋体" w:hAnsi="宋体" w:eastAsia="宋体" w:cs="宋体"/>
          <w:i w:val="0"/>
          <w:iCs w:val="0"/>
          <w:color w:val="auto"/>
          <w:kern w:val="0"/>
          <w:sz w:val="28"/>
          <w:szCs w:val="28"/>
          <w:highlight w:val="none"/>
          <w:lang w:val="en-US" w:eastAsia="zh-CN" w:bidi="ar"/>
        </w:rPr>
      </w:pPr>
    </w:p>
    <w:p w14:paraId="529118AE">
      <w:pPr>
        <w:keepNext w:val="0"/>
        <w:keepLines w:val="0"/>
        <w:widowControl/>
        <w:suppressLineNumbers w:val="0"/>
        <w:ind w:firstLine="482" w:firstLineChars="200"/>
        <w:jc w:val="left"/>
        <w:rPr>
          <w:rStyle w:val="35"/>
          <w:rFonts w:hint="eastAsia" w:ascii="宋体" w:hAnsi="宋体" w:eastAsia="宋体" w:cs="宋体"/>
          <w:i w:val="0"/>
          <w:iCs w:val="0"/>
          <w:color w:val="auto"/>
          <w:kern w:val="0"/>
          <w:sz w:val="28"/>
          <w:szCs w:val="28"/>
          <w:highlight w:val="none"/>
          <w:lang w:val="en-US" w:eastAsia="zh-CN" w:bidi="ar"/>
        </w:rPr>
      </w:pPr>
      <w:r>
        <w:rPr>
          <w:rStyle w:val="35"/>
          <w:rFonts w:hint="eastAsia" w:ascii="宋体" w:hAnsi="宋体" w:eastAsia="宋体" w:cs="宋体"/>
          <w:i w:val="0"/>
          <w:iCs w:val="0"/>
          <w:color w:val="auto"/>
          <w:kern w:val="0"/>
          <w:sz w:val="24"/>
          <w:szCs w:val="24"/>
          <w:highlight w:val="none"/>
          <w:lang w:val="en-US" w:eastAsia="zh-CN" w:bidi="ar"/>
        </w:rPr>
        <w:t>（一）关于</w:t>
      </w:r>
      <w:r>
        <w:rPr>
          <w:rStyle w:val="35"/>
          <w:rFonts w:hint="eastAsia" w:cs="宋体"/>
          <w:i w:val="0"/>
          <w:iCs w:val="0"/>
          <w:color w:val="auto"/>
          <w:kern w:val="0"/>
          <w:sz w:val="24"/>
          <w:szCs w:val="24"/>
          <w:highlight w:val="none"/>
          <w:lang w:val="en-US" w:eastAsia="zh-CN" w:bidi="ar"/>
        </w:rPr>
        <w:t>“</w:t>
      </w:r>
      <w:r>
        <w:rPr>
          <w:rStyle w:val="35"/>
          <w:rFonts w:hint="eastAsia" w:ascii="宋体" w:hAnsi="宋体" w:eastAsia="宋体" w:cs="宋体"/>
          <w:i w:val="0"/>
          <w:iCs w:val="0"/>
          <w:color w:val="auto"/>
          <w:kern w:val="0"/>
          <w:sz w:val="24"/>
          <w:szCs w:val="24"/>
          <w:highlight w:val="none"/>
          <w:lang w:val="en-US" w:eastAsia="zh-CN" w:bidi="ar"/>
        </w:rPr>
        <w:t>中小企业声明函</w:t>
      </w:r>
      <w:r>
        <w:rPr>
          <w:rStyle w:val="35"/>
          <w:rFonts w:hint="eastAsia" w:cs="宋体"/>
          <w:i w:val="0"/>
          <w:iCs w:val="0"/>
          <w:color w:val="auto"/>
          <w:kern w:val="0"/>
          <w:sz w:val="24"/>
          <w:szCs w:val="24"/>
          <w:highlight w:val="none"/>
          <w:lang w:val="en-US" w:eastAsia="zh-CN" w:bidi="ar"/>
        </w:rPr>
        <w:t>”</w:t>
      </w:r>
      <w:r>
        <w:rPr>
          <w:rStyle w:val="35"/>
          <w:rFonts w:hint="eastAsia" w:ascii="宋体" w:hAnsi="宋体" w:eastAsia="宋体" w:cs="宋体"/>
          <w:i w:val="0"/>
          <w:iCs w:val="0"/>
          <w:color w:val="auto"/>
          <w:kern w:val="0"/>
          <w:sz w:val="24"/>
          <w:szCs w:val="24"/>
          <w:highlight w:val="none"/>
          <w:lang w:val="en-US" w:eastAsia="zh-CN" w:bidi="ar"/>
        </w:rPr>
        <w:t>的填写要求</w:t>
      </w:r>
    </w:p>
    <w:p w14:paraId="7AC67A2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具体填写要求如下：</w:t>
      </w:r>
    </w:p>
    <w:p w14:paraId="7525E10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1.“单位名称”应填写采购人名称。</w:t>
      </w:r>
    </w:p>
    <w:p w14:paraId="36AB145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2.“项目名称”应按照采购文件中确定的项目名称填写。对于分包方式面向中小企业采购的项目，应标明中小企业的具体分包内容；对于以联合体方式面向中小企业采购的项目，应标明联合体中中小企业所承担的具体内容。</w:t>
      </w:r>
    </w:p>
    <w:p w14:paraId="44155B3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3.“标的名称”应填写采购文件中细化载明的采购标的名称。对于分包方式面向中小企业采购的项目，“标的名称”应填写采购文件中注明的分包给中小企业的采购标的名称；对于以联合体方式面向中小企业采购的项目，“标的名称”应填写采购文件中注明的联合体中中小企业承担的采购标的名称。</w:t>
      </w:r>
    </w:p>
    <w:p w14:paraId="542F6BC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4.“采购文件中明确的所属行业”应填写采购文件中明确的采购标的所属行业，并应确保与采购标的涉及的货物制造商/服务承接商/工程承建商（根据项目属性确定）本身的所属行业保持一致。</w:t>
      </w:r>
    </w:p>
    <w:p w14:paraId="3E5732A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分包方式面向中小企业采购的项目，“采购文件中明确的所属行业”应按照采购文件中注明的分包给中小企业的采购标的所属行业填写，并应确保与该分包部分采购标的涉及的货物制造商/服务承接商/工程承建商（根据项目属性确定）本身的所属行业保持一致。</w:t>
      </w:r>
    </w:p>
    <w:p w14:paraId="437FB32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以联合体方式面向中小企业采购的项目，“采购文件中明确的所属行业”应按照采购文件中注明的联合体中中小企业承担的采购标的所属行业填写，并应确保与该承担部分采购标的涉及的货物制造商/服务承接商/工程承建商（根据项目属性确定）本身的所属行业保持一致。</w:t>
      </w:r>
    </w:p>
    <w:p w14:paraId="6AAF53D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5.“企业名称”应填写投标（响应）的货物制造商/服务承接商/工程承建商（根据项目属性确定）。</w:t>
      </w:r>
    </w:p>
    <w:p w14:paraId="5F644CC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对于分包方式面向中小企业采购的项目，“企业名称”应填写分包部分采购标的对应的货物制造商/服务承接商/工程承建商（根据项目属性确定）。</w:t>
      </w:r>
    </w:p>
    <w:p w14:paraId="10CABB6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对于以联合体方式面向中小企业采购的项目，“企业名称”应填写联合体中中小企业承担采购标的对应的货物制造商/服务承接商/工程承建商（根据项目属性确定）。</w:t>
      </w:r>
    </w:p>
    <w:p w14:paraId="50EDC48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6.从业人员、资产总额指标以上年度末数据为依据，营业收入指标以上年度累计数据为依据。无上年度数据的新成立企业可不填报。</w:t>
      </w:r>
    </w:p>
    <w:p w14:paraId="3C9C19CA">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7.“中型企业/小型企业/微型企业”部分，供应商应依据企业上年度从业人员、营业收入、资产总额等指标，按照《中小企业划型标准规定》（工信部联企业〔2011〕300号）、《金融业企业划型标准规定》（银发〔2015〕309号），判断</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载明的货物制造商/服务承接商/工程承建商（根据项目属性确定）是否属于采购文件所属行业的中型企业/小型企业/微型企业。</w:t>
      </w:r>
    </w:p>
    <w:p w14:paraId="0AC9F0AC">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8.对于已纳入统计部门统计范围的企业，所属行业、从业人员、营业收入、资产总额、规模类型应与统计部门报表保持一致。对于未纳入统计部门统计范围的企业，应对照《国民经济行业分类》确定所属行业，当企业从事两种以上的经济活动时，按照企业从事的主要活动确定所属行业；从业人员、营业收入、资产总额应按照上年度末实际情况填报，并应确保在争议纠纷处理时，可提供相关数据的来源依据。</w:t>
      </w:r>
    </w:p>
    <w:p w14:paraId="3DBB6695">
      <w:pPr>
        <w:keepNext w:val="0"/>
        <w:keepLines w:val="0"/>
        <w:widowControl/>
        <w:suppressLineNumbers w:val="0"/>
        <w:ind w:firstLine="482" w:firstLineChars="200"/>
        <w:jc w:val="left"/>
        <w:rPr>
          <w:rStyle w:val="35"/>
          <w:rFonts w:hint="eastAsia" w:ascii="宋体" w:hAnsi="宋体" w:eastAsia="宋体" w:cs="宋体"/>
          <w:i w:val="0"/>
          <w:iCs w:val="0"/>
          <w:color w:val="auto"/>
          <w:kern w:val="0"/>
          <w:sz w:val="24"/>
          <w:szCs w:val="24"/>
          <w:highlight w:val="none"/>
          <w:lang w:val="en-US" w:eastAsia="zh-CN" w:bidi="ar"/>
        </w:rPr>
      </w:pPr>
      <w:r>
        <w:rPr>
          <w:rStyle w:val="35"/>
          <w:rFonts w:hint="eastAsia" w:ascii="宋体" w:hAnsi="宋体" w:eastAsia="宋体" w:cs="宋体"/>
          <w:i w:val="0"/>
          <w:iCs w:val="0"/>
          <w:color w:val="auto"/>
          <w:kern w:val="0"/>
          <w:sz w:val="24"/>
          <w:szCs w:val="24"/>
          <w:highlight w:val="none"/>
          <w:lang w:val="en-US" w:eastAsia="zh-CN" w:bidi="ar"/>
        </w:rPr>
        <w:t>（二）关于“中小企业声明函”的提交要求</w:t>
      </w:r>
    </w:p>
    <w:p w14:paraId="67E55B5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1.投标（响应）供应商对</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的真实性负责。投标（响应）供应商应当核实投标（响应）的货物制造商/服务承接商/工程承建商（根据项目属性确定）的相关信息，如对相关信息了解不充分，或者不能确定相关信息真实、准确的，不建议出具</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w:t>
      </w:r>
    </w:p>
    <w:p w14:paraId="0CE0BA6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2.鼓励供应商在投标（响应）时一并提供对货物制造商、服务承接商、工程承建商相关信息的核实核验情况以及其他佐证材料。</w:t>
      </w:r>
    </w:p>
    <w:p w14:paraId="5BBD5930">
      <w:pPr>
        <w:ind w:firstLine="480" w:firstLineChars="200"/>
        <w:rPr>
          <w:rFonts w:cs="宋体"/>
          <w:i w:val="0"/>
          <w:iCs w:val="0"/>
          <w:color w:val="auto"/>
          <w:spacing w:val="6"/>
          <w:sz w:val="21"/>
          <w:szCs w:val="21"/>
          <w:highlight w:val="none"/>
        </w:rPr>
      </w:pPr>
      <w:r>
        <w:rPr>
          <w:rFonts w:hint="eastAsia" w:ascii="宋体" w:hAnsi="宋体" w:eastAsia="宋体" w:cs="宋体"/>
          <w:i w:val="0"/>
          <w:iCs w:val="0"/>
          <w:color w:val="auto"/>
          <w:kern w:val="0"/>
          <w:sz w:val="24"/>
          <w:szCs w:val="28"/>
          <w:highlight w:val="none"/>
          <w:lang w:val="en-US" w:eastAsia="zh-CN" w:bidi="ar"/>
        </w:rPr>
        <w:t>3.如供应商提供的</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存在按采购文件所属行业划型不实的，属于提供虚假材料谋取中标、成交，依照《中华人民共和国政府采购法》第七十七条的规定，将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346BAE09">
      <w:pPr>
        <w:rPr>
          <w:rFonts w:cs="宋体"/>
          <w:i w:val="0"/>
          <w:iCs w:val="0"/>
          <w:color w:val="auto"/>
          <w:spacing w:val="6"/>
          <w:sz w:val="21"/>
          <w:szCs w:val="21"/>
          <w:highlight w:val="none"/>
        </w:rPr>
      </w:pPr>
    </w:p>
    <w:p w14:paraId="66FC25F0">
      <w:pPr>
        <w:rPr>
          <w:rFonts w:cs="宋体"/>
          <w:i w:val="0"/>
          <w:iCs w:val="0"/>
          <w:color w:val="auto"/>
          <w:spacing w:val="6"/>
          <w:sz w:val="21"/>
          <w:szCs w:val="21"/>
          <w:highlight w:val="none"/>
        </w:rPr>
      </w:pPr>
    </w:p>
    <w:p w14:paraId="4A46ADE8">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eastAsia="宋体"/>
          <w:b/>
          <w:bCs/>
          <w:i w:val="0"/>
          <w:iCs w:val="0"/>
          <w:color w:val="auto"/>
          <w:highlight w:val="none"/>
          <w:lang w:val="en-US" w:eastAsia="zh-CN"/>
        </w:rPr>
      </w:pPr>
      <w:r>
        <w:rPr>
          <w:rFonts w:hint="eastAsia"/>
          <w:b/>
          <w:bCs/>
          <w:i w:val="0"/>
          <w:iCs w:val="0"/>
          <w:color w:val="auto"/>
          <w:highlight w:val="none"/>
          <w:lang w:val="en-US" w:eastAsia="zh-CN"/>
        </w:rPr>
        <w:t>附件2：</w:t>
      </w:r>
    </w:p>
    <w:p w14:paraId="6E10B20A">
      <w:pPr>
        <w:pStyle w:val="16"/>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i w:val="0"/>
          <w:iCs w:val="0"/>
          <w:color w:val="auto"/>
          <w:sz w:val="32"/>
          <w:szCs w:val="32"/>
          <w:highlight w:val="none"/>
        </w:rPr>
      </w:pPr>
      <w:r>
        <w:rPr>
          <w:rFonts w:hint="eastAsia" w:ascii="宋体" w:hAnsi="宋体" w:eastAsia="宋体" w:cs="宋体"/>
          <w:b/>
          <w:bCs w:val="0"/>
          <w:i w:val="0"/>
          <w:iCs w:val="0"/>
          <w:color w:val="auto"/>
          <w:sz w:val="32"/>
          <w:szCs w:val="32"/>
          <w:highlight w:val="none"/>
        </w:rPr>
        <w:t>关于印发中小企业划型标准规定的通知</w:t>
      </w:r>
    </w:p>
    <w:p w14:paraId="1984EC9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Style w:val="35"/>
          <w:rFonts w:hint="eastAsia" w:ascii="宋体" w:hAnsi="宋体" w:eastAsia="宋体" w:cs="宋体"/>
          <w:b w:val="0"/>
          <w:i w:val="0"/>
          <w:iCs w:val="0"/>
          <w:color w:val="auto"/>
          <w:sz w:val="24"/>
          <w:szCs w:val="24"/>
          <w:highlight w:val="none"/>
        </w:rPr>
      </w:pPr>
      <w:r>
        <w:rPr>
          <w:rStyle w:val="35"/>
          <w:rFonts w:hint="eastAsia" w:ascii="宋体" w:hAnsi="宋体" w:eastAsia="宋体" w:cs="宋体"/>
          <w:b w:val="0"/>
          <w:i w:val="0"/>
          <w:iCs w:val="0"/>
          <w:color w:val="auto"/>
          <w:sz w:val="24"/>
          <w:szCs w:val="24"/>
          <w:highlight w:val="none"/>
        </w:rPr>
        <w:t>工信部联企业〔2011〕300号</w:t>
      </w:r>
    </w:p>
    <w:p w14:paraId="0B1ABA8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Style w:val="35"/>
          <w:rFonts w:hint="eastAsia" w:ascii="宋体" w:hAnsi="宋体" w:eastAsia="宋体" w:cs="宋体"/>
          <w:b w:val="0"/>
          <w:i w:val="0"/>
          <w:iCs w:val="0"/>
          <w:color w:val="auto"/>
          <w:sz w:val="24"/>
          <w:szCs w:val="24"/>
          <w:highlight w:val="none"/>
        </w:rPr>
      </w:pPr>
    </w:p>
    <w:p w14:paraId="78153521">
      <w:pPr>
        <w:keepNext w:val="0"/>
        <w:keepLines w:val="0"/>
        <w:pageBreakBefore w:val="0"/>
        <w:widowControl w:val="0"/>
        <w:kinsoku/>
        <w:wordWrap/>
        <w:overflowPunct/>
        <w:topLinePunct w:val="0"/>
        <w:autoSpaceDE/>
        <w:autoSpaceDN/>
        <w:bidi w:val="0"/>
        <w:adjustRightInd/>
        <w:snapToGrid/>
        <w:spacing w:line="360" w:lineRule="exact"/>
        <w:textAlignment w:val="auto"/>
        <w:rPr>
          <w:rStyle w:val="35"/>
          <w:rFonts w:hint="eastAsia" w:ascii="宋体" w:hAnsi="宋体" w:eastAsia="宋体" w:cs="宋体"/>
          <w:b w:val="0"/>
          <w:i w:val="0"/>
          <w:iCs w:val="0"/>
          <w:color w:val="auto"/>
          <w:sz w:val="24"/>
          <w:szCs w:val="24"/>
          <w:highlight w:val="none"/>
        </w:rPr>
      </w:pPr>
      <w:r>
        <w:rPr>
          <w:rStyle w:val="35"/>
          <w:rFonts w:hint="eastAsia" w:ascii="宋体" w:hAnsi="宋体" w:eastAsia="宋体" w:cs="宋体"/>
          <w:b w:val="0"/>
          <w:i w:val="0"/>
          <w:iCs w:val="0"/>
          <w:color w:val="auto"/>
          <w:sz w:val="24"/>
          <w:szCs w:val="24"/>
          <w:highlight w:val="none"/>
        </w:rPr>
        <w:t>各省、自治区、直辖市人民政府，国务院各部委、各直属机构及有关单位：</w:t>
      </w:r>
    </w:p>
    <w:p w14:paraId="755B66D4">
      <w:pPr>
        <w:keepNext w:val="0"/>
        <w:keepLines w:val="0"/>
        <w:pageBreakBefore w:val="0"/>
        <w:widowControl w:val="0"/>
        <w:kinsoku/>
        <w:wordWrap/>
        <w:overflowPunct/>
        <w:topLinePunct w:val="0"/>
        <w:autoSpaceDE/>
        <w:autoSpaceDN/>
        <w:bidi w:val="0"/>
        <w:adjustRightInd/>
        <w:snapToGrid/>
        <w:spacing w:line="36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2BCCADD1">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工业和信息化部　国家统计局</w:t>
      </w:r>
    </w:p>
    <w:p w14:paraId="490481A7">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国家发展和改革委员会　财政部</w:t>
      </w:r>
    </w:p>
    <w:p w14:paraId="0586E2E7">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二○一一年六月十八日</w:t>
      </w:r>
    </w:p>
    <w:p w14:paraId="4F9D88A2">
      <w:pPr>
        <w:keepNext w:val="0"/>
        <w:keepLines w:val="0"/>
        <w:pageBreakBefore w:val="0"/>
        <w:widowControl w:val="0"/>
        <w:kinsoku/>
        <w:wordWrap/>
        <w:overflowPunct/>
        <w:topLinePunct w:val="0"/>
        <w:autoSpaceDE/>
        <w:autoSpaceDN/>
        <w:bidi w:val="0"/>
        <w:adjustRightInd/>
        <w:snapToGrid/>
        <w:spacing w:line="36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xml:space="preserve"> </w:t>
      </w:r>
    </w:p>
    <w:p w14:paraId="35A37D4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Style w:val="35"/>
          <w:rFonts w:hint="eastAsia" w:ascii="宋体" w:hAnsi="宋体" w:eastAsia="宋体" w:cs="宋体"/>
          <w:b/>
          <w:bCs w:val="0"/>
          <w:i w:val="0"/>
          <w:iCs w:val="0"/>
          <w:color w:val="auto"/>
          <w:sz w:val="28"/>
          <w:szCs w:val="28"/>
          <w:highlight w:val="none"/>
        </w:rPr>
      </w:pPr>
      <w:r>
        <w:rPr>
          <w:rStyle w:val="35"/>
          <w:rFonts w:hint="eastAsia" w:ascii="宋体" w:hAnsi="宋体" w:eastAsia="宋体" w:cs="宋体"/>
          <w:b/>
          <w:bCs w:val="0"/>
          <w:i w:val="0"/>
          <w:iCs w:val="0"/>
          <w:color w:val="auto"/>
          <w:sz w:val="28"/>
          <w:szCs w:val="28"/>
          <w:highlight w:val="none"/>
        </w:rPr>
        <w:t>中小企业划型标准规定</w:t>
      </w:r>
    </w:p>
    <w:p w14:paraId="1B723FC2">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一、根据《中华人民共和国中小企业促进法》和《国务院关于进一步促进中小企业发展的若干意见》(国发〔2009〕36号)，制定本规定。</w:t>
      </w:r>
    </w:p>
    <w:p w14:paraId="6E6B0720">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二、中小企业划分为中型、小型、微型三种类型，具体标准根据企业从业人员、营业收入、资产总额等指标，结合行业特点制定。</w:t>
      </w:r>
    </w:p>
    <w:p w14:paraId="6E31F9F8">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6AEB2A0">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四、各行业划型标准为：</w:t>
      </w:r>
    </w:p>
    <w:p w14:paraId="3D77C24D">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59549748">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11903F5">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035A746">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9A70904">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1074842">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A10C0BE">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C8F7E19">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CA30A82">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343BA0A">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E182595">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01E47C2">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927DFAD">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95B94D2">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CE85D4F">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52C2139">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（十六）其他未列明行业。从业人员300人以下的为中小微型企业。其中，从业人员100人及以上的为中型企业；从业人员10人及以上的为小型企业；从业人员10人以下的为微型企业。　　</w:t>
      </w:r>
    </w:p>
    <w:p w14:paraId="6C933EA3">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五、企业类型的划分以统计部门的统计数据为依据。</w:t>
      </w:r>
    </w:p>
    <w:p w14:paraId="11568454">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六、本规定适用于在中华人民共和国境内依法设立的各类所有制和各种组织形式的企业。个体工商户和本规定以外的行业，参照本规定进行划型。</w:t>
      </w:r>
    </w:p>
    <w:p w14:paraId="2232ED12">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2E91E39D">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八、本规定由工业和信息化部、国家统计局会同有关部门根据《国民经济行业分类》修订情况和企业发展变化情况适时修订。</w:t>
      </w:r>
    </w:p>
    <w:p w14:paraId="3E0692C0">
      <w:pPr>
        <w:keepNext w:val="0"/>
        <w:keepLines w:val="0"/>
        <w:pageBreakBefore w:val="0"/>
        <w:widowControl w:val="0"/>
        <w:kinsoku/>
        <w:wordWrap/>
        <w:overflowPunct/>
        <w:topLinePunct w:val="0"/>
        <w:autoSpaceDE/>
        <w:autoSpaceDN/>
        <w:bidi w:val="0"/>
        <w:adjustRightInd/>
        <w:snapToGrid/>
        <w:spacing w:line="40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九、本规定由工业和信息化部、国家统计局会同有关部门负责解释。</w:t>
      </w:r>
    </w:p>
    <w:p w14:paraId="2E8CD100">
      <w:pPr>
        <w:keepNext w:val="0"/>
        <w:keepLines w:val="0"/>
        <w:pageBreakBefore w:val="0"/>
        <w:widowControl w:val="0"/>
        <w:kinsoku/>
        <w:wordWrap/>
        <w:overflowPunct/>
        <w:topLinePunct w:val="0"/>
        <w:autoSpaceDE/>
        <w:autoSpaceDN/>
        <w:bidi w:val="0"/>
        <w:adjustRightInd/>
        <w:snapToGrid/>
        <w:spacing w:line="400" w:lineRule="exact"/>
        <w:textAlignment w:val="auto"/>
        <w:rPr>
          <w:rFonts w:cs="宋体"/>
          <w:i w:val="0"/>
          <w:iCs w:val="0"/>
          <w:color w:val="auto"/>
          <w:spacing w:val="6"/>
          <w:sz w:val="21"/>
          <w:szCs w:val="21"/>
          <w:highlight w:val="none"/>
        </w:rPr>
      </w:pPr>
      <w:r>
        <w:rPr>
          <w:rStyle w:val="35"/>
          <w:rFonts w:hint="eastAsia" w:ascii="宋体" w:hAnsi="宋体" w:eastAsia="宋体" w:cs="宋体"/>
          <w:b w:val="0"/>
          <w:bCs w:val="0"/>
          <w:i w:val="0"/>
          <w:iCs w:val="0"/>
          <w:color w:val="auto"/>
          <w:sz w:val="24"/>
          <w:szCs w:val="24"/>
          <w:highlight w:val="none"/>
        </w:rPr>
        <w:t>十、本规定自发布之日起执行，原国家经贸委、原国家计委、财政部和国家统计局2003年颁布的《中小企业标准暂行规定》同时废止。</w:t>
      </w:r>
    </w:p>
    <w:p w14:paraId="2C610052">
      <w:pPr>
        <w:rPr>
          <w:rFonts w:cs="宋体"/>
          <w:i w:val="0"/>
          <w:iCs w:val="0"/>
          <w:color w:val="auto"/>
          <w:spacing w:val="6"/>
          <w:sz w:val="21"/>
          <w:szCs w:val="21"/>
          <w:highlight w:val="none"/>
        </w:rPr>
      </w:pPr>
      <w:r>
        <w:rPr>
          <w:rFonts w:cs="宋体"/>
          <w:i w:val="0"/>
          <w:iCs w:val="0"/>
          <w:color w:val="auto"/>
          <w:spacing w:val="6"/>
          <w:sz w:val="21"/>
          <w:szCs w:val="21"/>
          <w:highlight w:val="none"/>
        </w:rPr>
        <w:br w:type="page"/>
      </w:r>
    </w:p>
    <w:p w14:paraId="1248B2D5">
      <w:pPr>
        <w:rPr>
          <w:rFonts w:cs="宋体"/>
          <w:i w:val="0"/>
          <w:iCs w:val="0"/>
          <w:color w:val="auto"/>
          <w:spacing w:val="6"/>
          <w:sz w:val="21"/>
          <w:szCs w:val="21"/>
          <w:highlight w:val="none"/>
        </w:rPr>
      </w:pPr>
      <w:bookmarkStart w:id="684" w:name="_Toc163492940"/>
    </w:p>
    <w:p w14:paraId="09046F0B">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eastAsia="宋体"/>
          <w:b/>
          <w:bCs/>
          <w:i w:val="0"/>
          <w:iCs w:val="0"/>
          <w:color w:val="auto"/>
          <w:highlight w:val="none"/>
          <w:lang w:val="en-US" w:eastAsia="zh-CN"/>
        </w:rPr>
      </w:pPr>
      <w:r>
        <w:rPr>
          <w:rFonts w:hint="eastAsia"/>
          <w:b/>
          <w:bCs/>
          <w:i w:val="0"/>
          <w:iCs w:val="0"/>
          <w:color w:val="auto"/>
          <w:highlight w:val="none"/>
          <w:lang w:val="en-US" w:eastAsia="zh-CN"/>
        </w:rPr>
        <w:t>附件3：</w:t>
      </w:r>
    </w:p>
    <w:p w14:paraId="107DB640">
      <w:pPr>
        <w:rPr>
          <w:rFonts w:hint="eastAsia" w:cs="宋体"/>
          <w:i w:val="0"/>
          <w:iCs w:val="0"/>
          <w:color w:val="auto"/>
          <w:spacing w:val="6"/>
          <w:sz w:val="21"/>
          <w:szCs w:val="21"/>
          <w:highlight w:val="none"/>
        </w:rPr>
      </w:pPr>
    </w:p>
    <w:p w14:paraId="6AC05D7E">
      <w:pPr>
        <w:pStyle w:val="16"/>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i w:val="0"/>
          <w:iCs w:val="0"/>
          <w:color w:val="auto"/>
          <w:sz w:val="32"/>
          <w:szCs w:val="32"/>
          <w:highlight w:val="none"/>
        </w:rPr>
      </w:pPr>
      <w:r>
        <w:rPr>
          <w:rFonts w:hint="eastAsia" w:ascii="宋体" w:hAnsi="宋体" w:eastAsia="宋体" w:cs="宋体"/>
          <w:b/>
          <w:bCs w:val="0"/>
          <w:i w:val="0"/>
          <w:iCs w:val="0"/>
          <w:color w:val="auto"/>
          <w:sz w:val="32"/>
          <w:szCs w:val="32"/>
          <w:highlight w:val="none"/>
        </w:rPr>
        <w:t>关于印发《金融业企业划型标准规定》的通知</w:t>
      </w:r>
    </w:p>
    <w:p w14:paraId="24D6CEF7">
      <w:pPr>
        <w:keepNext w:val="0"/>
        <w:keepLines w:val="0"/>
        <w:pageBreakBefore w:val="0"/>
        <w:widowControl w:val="0"/>
        <w:kinsoku/>
        <w:wordWrap/>
        <w:overflowPunct/>
        <w:topLinePunct w:val="0"/>
        <w:autoSpaceDE/>
        <w:autoSpaceDN/>
        <w:bidi w:val="0"/>
        <w:adjustRightInd/>
        <w:snapToGrid/>
        <w:spacing w:before="0" w:beforeLines="50"/>
        <w:jc w:val="center"/>
        <w:textAlignment w:val="auto"/>
        <w:rPr>
          <w:rStyle w:val="35"/>
          <w:rFonts w:hint="eastAsia" w:ascii="宋体" w:hAnsi="宋体" w:eastAsia="宋体" w:cs="宋体"/>
          <w:b w:val="0"/>
          <w:i w:val="0"/>
          <w:iCs w:val="0"/>
          <w:color w:val="auto"/>
          <w:sz w:val="24"/>
          <w:szCs w:val="24"/>
          <w:highlight w:val="none"/>
        </w:rPr>
      </w:pPr>
      <w:r>
        <w:rPr>
          <w:rStyle w:val="35"/>
          <w:rFonts w:hint="eastAsia" w:ascii="宋体" w:hAnsi="宋体" w:eastAsia="宋体" w:cs="宋体"/>
          <w:b w:val="0"/>
          <w:i w:val="0"/>
          <w:iCs w:val="0"/>
          <w:color w:val="auto"/>
          <w:sz w:val="24"/>
          <w:szCs w:val="24"/>
          <w:highlight w:val="none"/>
        </w:rPr>
        <w:t>银发〔2015〕309号</w:t>
      </w:r>
    </w:p>
    <w:p w14:paraId="6BC518C8">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经国务院同意，现印发给你们，请遵照执行。</w:t>
      </w:r>
    </w:p>
    <w:p w14:paraId="3B66A95D">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请人民银行上海总部，各分行、营业管理部、省会（首府）城市中心支行、副省级城市中心支行会同所在省（区、市）银监局、证监局、保监局、统计局将本通知联合转发至辖内相关机构。</w:t>
      </w:r>
    </w:p>
    <w:p w14:paraId="05F44DE6">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5"/>
          <w:rFonts w:hint="eastAsia" w:ascii="宋体" w:hAnsi="宋体" w:eastAsia="宋体" w:cs="宋体"/>
          <w:b w:val="0"/>
          <w:bCs w:val="0"/>
          <w:i w:val="0"/>
          <w:iCs w:val="0"/>
          <w:color w:val="auto"/>
          <w:sz w:val="24"/>
          <w:szCs w:val="24"/>
          <w:highlight w:val="none"/>
        </w:rPr>
      </w:pPr>
    </w:p>
    <w:p w14:paraId="4032BC9F">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附件：金融业企业划型标准规定</w:t>
      </w:r>
    </w:p>
    <w:p w14:paraId="4F49E482">
      <w:pPr>
        <w:keepNext w:val="0"/>
        <w:keepLines w:val="0"/>
        <w:pageBreakBefore w:val="0"/>
        <w:widowControl w:val="0"/>
        <w:kinsoku/>
        <w:wordWrap/>
        <w:overflowPunct/>
        <w:topLinePunct w:val="0"/>
        <w:autoSpaceDE/>
        <w:autoSpaceDN/>
        <w:bidi w:val="0"/>
        <w:adjustRightInd/>
        <w:snapToGrid/>
        <w:spacing w:line="460" w:lineRule="exact"/>
        <w:textAlignment w:val="auto"/>
        <w:rPr>
          <w:rStyle w:val="35"/>
          <w:rFonts w:hint="eastAsia" w:ascii="宋体" w:hAnsi="宋体" w:eastAsia="宋体" w:cs="宋体"/>
          <w:b w:val="0"/>
          <w:bCs w:val="0"/>
          <w:i w:val="0"/>
          <w:iCs w:val="0"/>
          <w:color w:val="auto"/>
          <w:sz w:val="24"/>
          <w:szCs w:val="24"/>
          <w:highlight w:val="none"/>
        </w:rPr>
      </w:pPr>
      <w:r>
        <w:rPr>
          <w:rFonts w:hint="eastAsia" w:cs="宋体"/>
          <w:i w:val="0"/>
          <w:iCs w:val="0"/>
          <w:color w:val="auto"/>
          <w:spacing w:val="6"/>
          <w:sz w:val="24"/>
          <w:szCs w:val="24"/>
          <w:highlight w:val="none"/>
        </w:rPr>
        <w:t>                                      </w:t>
      </w:r>
      <w:r>
        <w:rPr>
          <w:rStyle w:val="35"/>
          <w:rFonts w:hint="eastAsia" w:ascii="宋体" w:hAnsi="宋体" w:eastAsia="宋体" w:cs="宋体"/>
          <w:b w:val="0"/>
          <w:bCs w:val="0"/>
          <w:i w:val="0"/>
          <w:iCs w:val="0"/>
          <w:color w:val="auto"/>
          <w:sz w:val="24"/>
          <w:szCs w:val="24"/>
          <w:highlight w:val="none"/>
        </w:rPr>
        <w:t>       </w:t>
      </w:r>
      <w:r>
        <w:rPr>
          <w:rStyle w:val="35"/>
          <w:rFonts w:hint="eastAsia" w:cs="宋体"/>
          <w:b w:val="0"/>
          <w:bCs w:val="0"/>
          <w:i w:val="0"/>
          <w:iCs w:val="0"/>
          <w:color w:val="auto"/>
          <w:sz w:val="24"/>
          <w:szCs w:val="24"/>
          <w:highlight w:val="none"/>
          <w:lang w:val="en-US" w:eastAsia="zh-CN"/>
        </w:rPr>
        <w:t xml:space="preserve">                            </w:t>
      </w:r>
      <w:r>
        <w:rPr>
          <w:rStyle w:val="35"/>
          <w:rFonts w:hint="eastAsia" w:ascii="宋体" w:hAnsi="宋体" w:eastAsia="宋体" w:cs="宋体"/>
          <w:b w:val="0"/>
          <w:bCs w:val="0"/>
          <w:i w:val="0"/>
          <w:iCs w:val="0"/>
          <w:color w:val="auto"/>
          <w:sz w:val="24"/>
          <w:szCs w:val="24"/>
          <w:highlight w:val="none"/>
        </w:rPr>
        <w:t>中国人民银行</w:t>
      </w:r>
    </w:p>
    <w:p w14:paraId="3C1FD2BE">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中国银行业监督管理委员会</w:t>
      </w:r>
    </w:p>
    <w:p w14:paraId="55AA3B63">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中国证券监督管理委员会</w:t>
      </w:r>
    </w:p>
    <w:p w14:paraId="186B5904">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中国保险监督管理委员会</w:t>
      </w:r>
    </w:p>
    <w:p w14:paraId="0C4FD8C9">
      <w:pPr>
        <w:keepNext w:val="0"/>
        <w:keepLines w:val="0"/>
        <w:pageBreakBefore w:val="0"/>
        <w:widowControl w:val="0"/>
        <w:kinsoku/>
        <w:wordWrap/>
        <w:overflowPunct/>
        <w:topLinePunct w:val="0"/>
        <w:autoSpaceDE/>
        <w:autoSpaceDN/>
        <w:bidi w:val="0"/>
        <w:adjustRightInd/>
        <w:snapToGrid/>
        <w:spacing w:line="460" w:lineRule="exact"/>
        <w:ind w:firstLine="2160" w:firstLineChars="900"/>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中华人民共和国国家统计局</w:t>
      </w:r>
    </w:p>
    <w:p w14:paraId="78690901">
      <w:pPr>
        <w:keepNext w:val="0"/>
        <w:keepLines w:val="0"/>
        <w:pageBreakBefore w:val="0"/>
        <w:widowControl w:val="0"/>
        <w:kinsoku/>
        <w:wordWrap/>
        <w:overflowPunct/>
        <w:topLinePunct w:val="0"/>
        <w:autoSpaceDE/>
        <w:autoSpaceDN/>
        <w:bidi w:val="0"/>
        <w:adjustRightInd/>
        <w:snapToGrid/>
        <w:spacing w:line="460" w:lineRule="exact"/>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                                                     </w:t>
      </w:r>
      <w:r>
        <w:rPr>
          <w:rStyle w:val="35"/>
          <w:rFonts w:hint="eastAsia" w:cs="宋体"/>
          <w:b w:val="0"/>
          <w:bCs w:val="0"/>
          <w:i w:val="0"/>
          <w:iCs w:val="0"/>
          <w:color w:val="auto"/>
          <w:sz w:val="24"/>
          <w:szCs w:val="24"/>
          <w:highlight w:val="none"/>
          <w:lang w:val="en-US" w:eastAsia="zh-CN"/>
        </w:rPr>
        <w:t xml:space="preserve">     </w:t>
      </w:r>
      <w:r>
        <w:rPr>
          <w:rStyle w:val="35"/>
          <w:rFonts w:hint="eastAsia" w:ascii="宋体" w:hAnsi="宋体" w:eastAsia="宋体" w:cs="宋体"/>
          <w:b w:val="0"/>
          <w:bCs w:val="0"/>
          <w:i w:val="0"/>
          <w:iCs w:val="0"/>
          <w:color w:val="auto"/>
          <w:sz w:val="24"/>
          <w:szCs w:val="24"/>
          <w:highlight w:val="none"/>
        </w:rPr>
        <w:t> 2015年9月28日</w:t>
      </w:r>
    </w:p>
    <w:p w14:paraId="5F33C147">
      <w:pPr>
        <w:rPr>
          <w:rFonts w:hint="eastAsia" w:cs="宋体"/>
          <w:i w:val="0"/>
          <w:iCs w:val="0"/>
          <w:color w:val="auto"/>
          <w:spacing w:val="6"/>
          <w:sz w:val="21"/>
          <w:szCs w:val="21"/>
          <w:highlight w:val="none"/>
        </w:rPr>
      </w:pPr>
    </w:p>
    <w:p w14:paraId="66C68DE6">
      <w:pPr>
        <w:rPr>
          <w:rFonts w:hint="eastAsia" w:cs="宋体"/>
          <w:i w:val="0"/>
          <w:iCs w:val="0"/>
          <w:color w:val="auto"/>
          <w:spacing w:val="6"/>
          <w:sz w:val="21"/>
          <w:szCs w:val="21"/>
          <w:highlight w:val="none"/>
          <w:lang w:val="en-US" w:eastAsia="zh-CN"/>
        </w:rPr>
      </w:pPr>
    </w:p>
    <w:p w14:paraId="3103CF0A">
      <w:pPr>
        <w:rPr>
          <w:rFonts w:hint="eastAsia" w:cs="宋体"/>
          <w:i w:val="0"/>
          <w:iCs w:val="0"/>
          <w:color w:val="auto"/>
          <w:spacing w:val="6"/>
          <w:sz w:val="21"/>
          <w:szCs w:val="21"/>
          <w:highlight w:val="none"/>
          <w:lang w:val="en-US" w:eastAsia="zh-CN"/>
        </w:rPr>
      </w:pPr>
    </w:p>
    <w:p w14:paraId="068B5183">
      <w:pPr>
        <w:rPr>
          <w:rFonts w:hint="eastAsia" w:cs="宋体"/>
          <w:i w:val="0"/>
          <w:iCs w:val="0"/>
          <w:color w:val="auto"/>
          <w:spacing w:val="6"/>
          <w:sz w:val="21"/>
          <w:szCs w:val="21"/>
          <w:highlight w:val="none"/>
          <w:lang w:val="en-US" w:eastAsia="zh-CN"/>
        </w:rPr>
      </w:pPr>
    </w:p>
    <w:p w14:paraId="39CAF136">
      <w:pPr>
        <w:rPr>
          <w:rFonts w:hint="eastAsia" w:cs="宋体"/>
          <w:i w:val="0"/>
          <w:iCs w:val="0"/>
          <w:color w:val="auto"/>
          <w:spacing w:val="6"/>
          <w:sz w:val="21"/>
          <w:szCs w:val="21"/>
          <w:highlight w:val="none"/>
          <w:lang w:val="en-US" w:eastAsia="zh-CN"/>
        </w:rPr>
      </w:pPr>
    </w:p>
    <w:p w14:paraId="3F3BDCC1">
      <w:pPr>
        <w:rPr>
          <w:rFonts w:hint="eastAsia" w:cs="宋体"/>
          <w:i w:val="0"/>
          <w:iCs w:val="0"/>
          <w:color w:val="auto"/>
          <w:spacing w:val="6"/>
          <w:sz w:val="21"/>
          <w:szCs w:val="21"/>
          <w:highlight w:val="none"/>
          <w:lang w:val="en-US" w:eastAsia="zh-CN"/>
        </w:rPr>
      </w:pPr>
    </w:p>
    <w:p w14:paraId="6864B454">
      <w:pPr>
        <w:rPr>
          <w:rFonts w:hint="eastAsia" w:cs="宋体"/>
          <w:i w:val="0"/>
          <w:iCs w:val="0"/>
          <w:color w:val="auto"/>
          <w:spacing w:val="6"/>
          <w:sz w:val="21"/>
          <w:szCs w:val="21"/>
          <w:highlight w:val="none"/>
          <w:lang w:val="en-US" w:eastAsia="zh-CN"/>
        </w:rPr>
      </w:pPr>
    </w:p>
    <w:p w14:paraId="30774D0D">
      <w:pPr>
        <w:rPr>
          <w:rFonts w:hint="eastAsia" w:cs="宋体"/>
          <w:i w:val="0"/>
          <w:iCs w:val="0"/>
          <w:color w:val="auto"/>
          <w:spacing w:val="6"/>
          <w:sz w:val="21"/>
          <w:szCs w:val="21"/>
          <w:highlight w:val="none"/>
          <w:lang w:val="en-US" w:eastAsia="zh-CN"/>
        </w:rPr>
      </w:pPr>
    </w:p>
    <w:p w14:paraId="58EB1E65">
      <w:pPr>
        <w:rPr>
          <w:rFonts w:hint="eastAsia" w:cs="宋体"/>
          <w:i w:val="0"/>
          <w:iCs w:val="0"/>
          <w:color w:val="auto"/>
          <w:spacing w:val="6"/>
          <w:sz w:val="21"/>
          <w:szCs w:val="21"/>
          <w:highlight w:val="none"/>
        </w:rPr>
      </w:pPr>
      <w:r>
        <w:rPr>
          <w:rFonts w:hint="eastAsia" w:cs="宋体"/>
          <w:i w:val="0"/>
          <w:iCs w:val="0"/>
          <w:color w:val="auto"/>
          <w:spacing w:val="6"/>
          <w:sz w:val="21"/>
          <w:szCs w:val="21"/>
          <w:highlight w:val="none"/>
          <w:lang w:val="en-US" w:eastAsia="zh-CN"/>
        </w:rPr>
        <w:t>附件</w:t>
      </w:r>
      <w:r>
        <w:rPr>
          <w:rFonts w:hint="eastAsia" w:cs="宋体"/>
          <w:i w:val="0"/>
          <w:iCs w:val="0"/>
          <w:color w:val="auto"/>
          <w:spacing w:val="6"/>
          <w:sz w:val="21"/>
          <w:szCs w:val="21"/>
          <w:highlight w:val="none"/>
        </w:rPr>
        <w:t>              </w:t>
      </w:r>
    </w:p>
    <w:p w14:paraId="0E5B3074">
      <w:pPr>
        <w:pStyle w:val="16"/>
        <w:keepNext w:val="0"/>
        <w:keepLines w:val="0"/>
        <w:pageBreakBefore w:val="0"/>
        <w:widowControl w:val="0"/>
        <w:kinsoku/>
        <w:wordWrap/>
        <w:overflowPunct/>
        <w:topLinePunct w:val="0"/>
        <w:autoSpaceDE/>
        <w:autoSpaceDN/>
        <w:bidi w:val="0"/>
        <w:adjustRightInd/>
        <w:snapToGrid/>
        <w:spacing w:before="0" w:beforeLines="50" w:after="0" w:afterLines="50" w:line="240" w:lineRule="auto"/>
        <w:jc w:val="center"/>
        <w:textAlignment w:val="auto"/>
        <w:rPr>
          <w:rFonts w:hint="eastAsia" w:ascii="方正小标宋_GBK" w:hAnsi="方正小标宋_GBK" w:eastAsia="方正小标宋_GBK" w:cs="方正小标宋_GBK"/>
          <w:bCs/>
          <w:i w:val="0"/>
          <w:iCs w:val="0"/>
          <w:color w:val="auto"/>
          <w:sz w:val="32"/>
          <w:szCs w:val="32"/>
          <w:highlight w:val="none"/>
        </w:rPr>
      </w:pPr>
      <w:r>
        <w:rPr>
          <w:rFonts w:hint="eastAsia" w:ascii="宋体" w:hAnsi="宋体" w:eastAsia="宋体" w:cs="宋体"/>
          <w:b/>
          <w:bCs w:val="0"/>
          <w:i w:val="0"/>
          <w:iCs w:val="0"/>
          <w:color w:val="auto"/>
          <w:sz w:val="28"/>
          <w:szCs w:val="28"/>
          <w:highlight w:val="none"/>
        </w:rPr>
        <w:t>金融业企业划型标准规定</w:t>
      </w:r>
    </w:p>
    <w:p w14:paraId="7C4A3396">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一、根据《中华人民共和国中小企业促进法》、《国务院关于进一步促进中小企业发展的若干意见》（国发〔2009〕36号）和《国务院办公厅关于金融支持小微企业发展的实施意见》（国办发〔2013〕87号），制定本规定。</w:t>
      </w:r>
    </w:p>
    <w:p w14:paraId="0462FA6D">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二、适用范围。本规定适用于从事《国民经济行业分类》（GB/T4754-2011）中J门类（金融业）活动的企业。</w:t>
      </w:r>
    </w:p>
    <w:p w14:paraId="7A691AF1">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6034F976">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四、划型标准指标。采用一个完整会计年度中四个季度末法人并表口径的资产总额（信托公司为信托资产）平均值作为划型指标，该指标以监管部门数据为准。</w:t>
      </w:r>
    </w:p>
    <w:p w14:paraId="0B689C77">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五、指标标准值。依据指标标准值，将各类金融业企业划分为大、中、小、微四个规模类型，中型企业标准上限及以上的为大型企业。</w:t>
      </w:r>
    </w:p>
    <w:p w14:paraId="36BC8398">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（一）银行业存款类金融机构。资产总额40000亿元以下的为中小微型企业。其中，资产总额5000亿元及以上的为中型企业，资产总额50亿元及以上的为小型企业，资产总额50亿元以下的为微型企业。</w:t>
      </w:r>
    </w:p>
    <w:p w14:paraId="737D1065">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（二）银行业非存款类金融机构。资产总额1000亿元以下的为中小微企业。其中，资产总额200亿元及以上的为中型企业，资产总额50亿元及以上的为小型企业，资产总额50亿元以下的为微型企业。</w:t>
      </w:r>
    </w:p>
    <w:p w14:paraId="5231F48B">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（三）贷款公司、小额贷款公司及典当行。资产总额1000亿元以下的为中小微型企业。其中，资产总额200亿元及以上的为中型企业，资产总额50亿元及以上的为小型企业，资产总额50亿元以下的为微型企业。</w:t>
      </w:r>
    </w:p>
    <w:p w14:paraId="0CBEB3E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（四）证券业金融机构。资产总额1000亿元以下的为中小微型企业。其中，资产总额100亿元及以上的为中型企业，资产总额10亿元及以上的为小型企业，资产总额10亿元以下的为微型企业。</w:t>
      </w:r>
    </w:p>
    <w:p w14:paraId="4EDFCC7F">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（五）保险业金融机构。资产总额5000亿元以下的为中小微型企业。其中，资产总额400亿元及以上的为中型企业，资产总额20亿元及以上的为小型企业，资产总额20亿元以下的为微型企业。</w:t>
      </w:r>
    </w:p>
    <w:p w14:paraId="200DC0FC">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（六）信托公司。信托资产1000亿元以下的为中小微型企业。其中，信托资产400亿元及以上的为中型企业，信托资产20亿元及以上的为小型企业，信托资产20亿元以下的为微型企业。</w:t>
      </w:r>
    </w:p>
    <w:p w14:paraId="556AEB8A">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（七）金融控股公司。资产总额40000亿元以下的为中小微企业。其中，资产总额5000亿元及以上的为中型企业，资产总额50亿元及以上的为小型企业，资产总额50亿元以下的为微型企业。、</w:t>
      </w:r>
    </w:p>
    <w:p w14:paraId="5537A299">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lang w:eastAsia="zh-CN"/>
        </w:rPr>
      </w:pPr>
      <w:r>
        <w:rPr>
          <w:rStyle w:val="35"/>
          <w:rFonts w:hint="eastAsia" w:ascii="宋体" w:hAnsi="宋体" w:eastAsia="宋体" w:cs="宋体"/>
          <w:b w:val="0"/>
          <w:bCs w:val="0"/>
          <w:i w:val="0"/>
          <w:iCs w:val="0"/>
          <w:color w:val="auto"/>
          <w:sz w:val="24"/>
          <w:szCs w:val="24"/>
          <w:highlight w:val="none"/>
        </w:rPr>
        <w:t>(八)除贷款公司、小额贷款公司、典当行以外的其他金融机构。资产总额1000亿元以下的为中小微型企业。其中，资产总额200亿元及以上的为中型企业，资产总额50亿元及以上的为小型企业，资产总额50亿元以下的为微型企业</w:t>
      </w:r>
      <w:r>
        <w:rPr>
          <w:rStyle w:val="35"/>
          <w:rFonts w:hint="eastAsia" w:cs="宋体"/>
          <w:b w:val="0"/>
          <w:bCs w:val="0"/>
          <w:i w:val="0"/>
          <w:iCs w:val="0"/>
          <w:color w:val="auto"/>
          <w:sz w:val="24"/>
          <w:szCs w:val="24"/>
          <w:highlight w:val="none"/>
          <w:lang w:eastAsia="zh-CN"/>
        </w:rPr>
        <w:t>。</w:t>
      </w:r>
    </w:p>
    <w:p w14:paraId="745E2624">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加相应的字段模块。经过认定的金融业企业在系统中进行规模登记</w:t>
      </w:r>
      <w:r>
        <w:rPr>
          <w:rStyle w:val="35"/>
          <w:rFonts w:hint="eastAsia" w:cs="宋体"/>
          <w:b w:val="0"/>
          <w:bCs w:val="0"/>
          <w:i w:val="0"/>
          <w:iCs w:val="0"/>
          <w:color w:val="auto"/>
          <w:sz w:val="24"/>
          <w:szCs w:val="24"/>
          <w:highlight w:val="none"/>
          <w:lang w:eastAsia="zh-CN"/>
        </w:rPr>
        <w:t>，</w:t>
      </w:r>
      <w:r>
        <w:rPr>
          <w:rStyle w:val="35"/>
          <w:rFonts w:hint="eastAsia" w:ascii="宋体" w:hAnsi="宋体" w:eastAsia="宋体" w:cs="宋体"/>
          <w:b w:val="0"/>
          <w:bCs w:val="0"/>
          <w:i w:val="0"/>
          <w:iCs w:val="0"/>
          <w:color w:val="auto"/>
          <w:sz w:val="24"/>
          <w:szCs w:val="24"/>
          <w:highlight w:val="none"/>
        </w:rPr>
        <w:t>方便政府部门和社会各界查询使用。</w:t>
      </w:r>
    </w:p>
    <w:p w14:paraId="5560111B">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七、标准值的评估和调整。金融业企业划型标准工作组每五年对划型标准值受经济发展与通货膨胀等因素的影响程度进行评估和调整。</w:t>
      </w:r>
    </w:p>
    <w:p w14:paraId="4B4AEF4D">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lang w:eastAsia="zh-CN"/>
        </w:rPr>
      </w:pPr>
      <w:r>
        <w:rPr>
          <w:rStyle w:val="35"/>
          <w:rFonts w:hint="eastAsia" w:ascii="宋体" w:hAnsi="宋体" w:eastAsia="宋体" w:cs="宋体"/>
          <w:b w:val="0"/>
          <w:bCs w:val="0"/>
          <w:i w:val="0"/>
          <w:iCs w:val="0"/>
          <w:color w:val="auto"/>
          <w:sz w:val="24"/>
          <w:szCs w:val="24"/>
          <w:highlight w:val="none"/>
        </w:rPr>
        <w:t>八、本规定的中型金融业企业标准上限即为大型金融业企业下限。国务院有关部门据此进行相关数据的统计分析，不得制定与本规定不一致的金融业企业划型标准</w:t>
      </w:r>
      <w:r>
        <w:rPr>
          <w:rStyle w:val="35"/>
          <w:rFonts w:hint="eastAsia" w:cs="宋体"/>
          <w:b w:val="0"/>
          <w:bCs w:val="0"/>
          <w:i w:val="0"/>
          <w:iCs w:val="0"/>
          <w:color w:val="auto"/>
          <w:sz w:val="24"/>
          <w:szCs w:val="24"/>
          <w:highlight w:val="none"/>
          <w:lang w:eastAsia="zh-CN"/>
        </w:rPr>
        <w:t>。</w:t>
      </w:r>
    </w:p>
    <w:p w14:paraId="5ED81B1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lang w:eastAsia="zh-CN"/>
        </w:rPr>
      </w:pPr>
      <w:r>
        <w:rPr>
          <w:rStyle w:val="35"/>
          <w:rFonts w:hint="eastAsia" w:ascii="宋体" w:hAnsi="宋体" w:eastAsia="宋体" w:cs="宋体"/>
          <w:b w:val="0"/>
          <w:bCs w:val="0"/>
          <w:i w:val="0"/>
          <w:iCs w:val="0"/>
          <w:color w:val="auto"/>
          <w:sz w:val="24"/>
          <w:szCs w:val="24"/>
          <w:highlight w:val="none"/>
        </w:rPr>
        <w:t>九、融资担保公司参照本规定中“除贷款公司、小额贷款公司、典当行以外的其他金融机构”标准划型</w:t>
      </w:r>
      <w:r>
        <w:rPr>
          <w:rStyle w:val="35"/>
          <w:rFonts w:hint="eastAsia" w:cs="宋体"/>
          <w:b w:val="0"/>
          <w:bCs w:val="0"/>
          <w:i w:val="0"/>
          <w:iCs w:val="0"/>
          <w:color w:val="auto"/>
          <w:sz w:val="24"/>
          <w:szCs w:val="24"/>
          <w:highlight w:val="none"/>
          <w:lang w:eastAsia="zh-CN"/>
        </w:rPr>
        <w:t>。</w:t>
      </w:r>
    </w:p>
    <w:p w14:paraId="6B3C92AD">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十、本规定由人民银行会同银监会、证监会、保监会和统计局负责解释。</w:t>
      </w:r>
    </w:p>
    <w:p w14:paraId="26F59803">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十一、本规定自发布之日起实施,</w:t>
      </w:r>
    </w:p>
    <w:p w14:paraId="1C5EB811">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p>
    <w:p w14:paraId="5BD79D13">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5"/>
          <w:rFonts w:hint="eastAsia" w:ascii="宋体" w:hAnsi="宋体" w:eastAsia="宋体" w:cs="宋体"/>
          <w:b w:val="0"/>
          <w:bCs w:val="0"/>
          <w:i w:val="0"/>
          <w:iCs w:val="0"/>
          <w:color w:val="auto"/>
          <w:sz w:val="24"/>
          <w:szCs w:val="24"/>
          <w:highlight w:val="none"/>
        </w:rPr>
      </w:pPr>
      <w:r>
        <w:rPr>
          <w:rStyle w:val="35"/>
          <w:rFonts w:hint="eastAsia" w:ascii="宋体" w:hAnsi="宋体" w:eastAsia="宋体" w:cs="宋体"/>
          <w:b w:val="0"/>
          <w:bCs w:val="0"/>
          <w:i w:val="0"/>
          <w:iCs w:val="0"/>
          <w:color w:val="auto"/>
          <w:sz w:val="24"/>
          <w:szCs w:val="24"/>
          <w:highlight w:val="none"/>
        </w:rPr>
        <w:t>附:金融业企业划型标准</w:t>
      </w:r>
    </w:p>
    <w:p w14:paraId="2A225327">
      <w:pPr>
        <w:rPr>
          <w:rFonts w:cs="宋体"/>
          <w:i w:val="0"/>
          <w:iCs w:val="0"/>
          <w:color w:val="auto"/>
          <w:spacing w:val="6"/>
          <w:sz w:val="21"/>
          <w:szCs w:val="21"/>
          <w:highlight w:val="none"/>
        </w:rPr>
      </w:pPr>
    </w:p>
    <w:p w14:paraId="30DE7947">
      <w:pPr>
        <w:rPr>
          <w:rFonts w:hint="eastAsia" w:cs="宋体"/>
          <w:i w:val="0"/>
          <w:iCs w:val="0"/>
          <w:color w:val="auto"/>
          <w:spacing w:val="6"/>
          <w:sz w:val="24"/>
          <w:szCs w:val="24"/>
          <w:highlight w:val="none"/>
          <w:lang w:val="en-US" w:eastAsia="zh-CN"/>
        </w:rPr>
      </w:pPr>
    </w:p>
    <w:p w14:paraId="3BCF3796">
      <w:pPr>
        <w:rPr>
          <w:rFonts w:hint="eastAsia" w:cs="宋体"/>
          <w:i w:val="0"/>
          <w:iCs w:val="0"/>
          <w:color w:val="auto"/>
          <w:spacing w:val="6"/>
          <w:sz w:val="24"/>
          <w:szCs w:val="24"/>
          <w:highlight w:val="none"/>
          <w:lang w:val="en-US" w:eastAsia="zh-CN"/>
        </w:rPr>
      </w:pPr>
    </w:p>
    <w:p w14:paraId="78D841A2">
      <w:pPr>
        <w:rPr>
          <w:rFonts w:hint="eastAsia" w:cs="宋体"/>
          <w:i w:val="0"/>
          <w:iCs w:val="0"/>
          <w:color w:val="auto"/>
          <w:spacing w:val="6"/>
          <w:sz w:val="24"/>
          <w:szCs w:val="24"/>
          <w:highlight w:val="none"/>
          <w:lang w:val="en-US" w:eastAsia="zh-CN"/>
        </w:rPr>
      </w:pPr>
    </w:p>
    <w:p w14:paraId="268BC663">
      <w:pPr>
        <w:rPr>
          <w:rFonts w:hint="eastAsia" w:cs="宋体"/>
          <w:i w:val="0"/>
          <w:iCs w:val="0"/>
          <w:color w:val="auto"/>
          <w:spacing w:val="6"/>
          <w:sz w:val="24"/>
          <w:szCs w:val="24"/>
          <w:highlight w:val="none"/>
          <w:lang w:val="en-US" w:eastAsia="zh-CN"/>
        </w:rPr>
      </w:pPr>
    </w:p>
    <w:p w14:paraId="1EA31805">
      <w:pPr>
        <w:rPr>
          <w:rFonts w:hint="eastAsia" w:cs="宋体"/>
          <w:i w:val="0"/>
          <w:iCs w:val="0"/>
          <w:color w:val="auto"/>
          <w:spacing w:val="6"/>
          <w:sz w:val="24"/>
          <w:szCs w:val="24"/>
          <w:highlight w:val="none"/>
          <w:lang w:val="en-US" w:eastAsia="zh-CN"/>
        </w:rPr>
      </w:pPr>
    </w:p>
    <w:p w14:paraId="4A921E90">
      <w:pPr>
        <w:rPr>
          <w:rFonts w:hint="eastAsia" w:cs="宋体"/>
          <w:i w:val="0"/>
          <w:iCs w:val="0"/>
          <w:color w:val="auto"/>
          <w:spacing w:val="6"/>
          <w:sz w:val="24"/>
          <w:szCs w:val="24"/>
          <w:highlight w:val="none"/>
          <w:lang w:val="en-US" w:eastAsia="zh-CN"/>
        </w:rPr>
      </w:pPr>
    </w:p>
    <w:p w14:paraId="5235ACE8">
      <w:pPr>
        <w:rPr>
          <w:rFonts w:hint="eastAsia" w:cs="宋体"/>
          <w:i w:val="0"/>
          <w:iCs w:val="0"/>
          <w:color w:val="auto"/>
          <w:spacing w:val="6"/>
          <w:sz w:val="24"/>
          <w:szCs w:val="24"/>
          <w:highlight w:val="none"/>
          <w:lang w:val="en-US" w:eastAsia="zh-CN"/>
        </w:rPr>
      </w:pPr>
      <w:r>
        <w:rPr>
          <w:rFonts w:hint="eastAsia" w:cs="宋体"/>
          <w:i w:val="0"/>
          <w:iCs w:val="0"/>
          <w:color w:val="auto"/>
          <w:spacing w:val="6"/>
          <w:sz w:val="24"/>
          <w:szCs w:val="24"/>
          <w:highlight w:val="none"/>
          <w:lang w:val="en-US" w:eastAsia="zh-CN"/>
        </w:rPr>
        <w:t>附</w:t>
      </w:r>
    </w:p>
    <w:p w14:paraId="2C7DD164">
      <w:pPr>
        <w:pStyle w:val="16"/>
        <w:keepNext w:val="0"/>
        <w:keepLines w:val="0"/>
        <w:pageBreakBefore w:val="0"/>
        <w:widowControl w:val="0"/>
        <w:kinsoku/>
        <w:wordWrap/>
        <w:overflowPunct/>
        <w:topLinePunct w:val="0"/>
        <w:autoSpaceDE/>
        <w:autoSpaceDN/>
        <w:bidi w:val="0"/>
        <w:adjustRightInd/>
        <w:snapToGrid/>
        <w:spacing w:before="0" w:beforeLines="50" w:after="0" w:afterLines="50" w:line="240" w:lineRule="auto"/>
        <w:jc w:val="center"/>
        <w:textAlignment w:val="auto"/>
        <w:rPr>
          <w:rFonts w:hint="eastAsia" w:ascii="方正小标宋_GBK" w:hAnsi="方正小标宋_GBK" w:eastAsia="方正小标宋_GBK" w:cs="方正小标宋_GBK"/>
          <w:bCs/>
          <w:i w:val="0"/>
          <w:iCs w:val="0"/>
          <w:color w:val="auto"/>
          <w:sz w:val="32"/>
          <w:szCs w:val="32"/>
          <w:highlight w:val="none"/>
        </w:rPr>
      </w:pPr>
      <w:r>
        <w:rPr>
          <w:rFonts w:hint="eastAsia" w:ascii="宋体" w:hAnsi="宋体" w:eastAsia="宋体" w:cs="宋体"/>
          <w:b/>
          <w:bCs w:val="0"/>
          <w:i w:val="0"/>
          <w:iCs w:val="0"/>
          <w:color w:val="auto"/>
          <w:sz w:val="28"/>
          <w:szCs w:val="28"/>
          <w:highlight w:val="none"/>
        </w:rPr>
        <w:t>金融业企业划型标准</w:t>
      </w:r>
    </w:p>
    <w:tbl>
      <w:tblPr>
        <w:tblStyle w:val="33"/>
        <w:tblW w:w="8498" w:type="dxa"/>
        <w:tblInd w:w="1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9"/>
        <w:gridCol w:w="1168"/>
        <w:gridCol w:w="1817"/>
        <w:gridCol w:w="1143"/>
        <w:gridCol w:w="3251"/>
      </w:tblGrid>
      <w:tr w14:paraId="7AD54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Align w:val="center"/>
          </w:tcPr>
          <w:p w14:paraId="35CC5654">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行业</w:t>
            </w:r>
          </w:p>
        </w:tc>
        <w:tc>
          <w:tcPr>
            <w:tcW w:w="1817" w:type="dxa"/>
            <w:vAlign w:val="center"/>
          </w:tcPr>
          <w:p w14:paraId="60398326">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类别</w:t>
            </w:r>
          </w:p>
        </w:tc>
        <w:tc>
          <w:tcPr>
            <w:tcW w:w="1143" w:type="dxa"/>
            <w:vAlign w:val="center"/>
          </w:tcPr>
          <w:p w14:paraId="39636D4F">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类型</w:t>
            </w:r>
          </w:p>
        </w:tc>
        <w:tc>
          <w:tcPr>
            <w:tcW w:w="3251" w:type="dxa"/>
            <w:vAlign w:val="center"/>
          </w:tcPr>
          <w:p w14:paraId="062D6952">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资产总额</w:t>
            </w:r>
          </w:p>
        </w:tc>
      </w:tr>
      <w:tr w14:paraId="4A009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322801B2">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货币金融服务</w:t>
            </w:r>
          </w:p>
        </w:tc>
        <w:tc>
          <w:tcPr>
            <w:tcW w:w="1168" w:type="dxa"/>
            <w:vMerge w:val="restart"/>
            <w:vAlign w:val="center"/>
          </w:tcPr>
          <w:p w14:paraId="4E9E521D">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货币银行服务</w:t>
            </w:r>
          </w:p>
        </w:tc>
        <w:tc>
          <w:tcPr>
            <w:tcW w:w="1817" w:type="dxa"/>
            <w:vMerge w:val="restart"/>
            <w:vAlign w:val="center"/>
          </w:tcPr>
          <w:p w14:paraId="1CA8B52A">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银行业存款类金融机构</w:t>
            </w:r>
          </w:p>
        </w:tc>
        <w:tc>
          <w:tcPr>
            <w:tcW w:w="1143" w:type="dxa"/>
            <w:vAlign w:val="center"/>
          </w:tcPr>
          <w:p w14:paraId="2C1232D1">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vAlign w:val="center"/>
          </w:tcPr>
          <w:p w14:paraId="037F4309">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5000亿元（含）至40000亿元</w:t>
            </w:r>
          </w:p>
        </w:tc>
      </w:tr>
      <w:tr w14:paraId="2ACF7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B9DD8E3">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3A4450B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47663EA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vAlign w:val="center"/>
          </w:tcPr>
          <w:p w14:paraId="21EEC975">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66583C40">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50亿元（含）至5000亿元</w:t>
            </w:r>
          </w:p>
        </w:tc>
      </w:tr>
      <w:tr w14:paraId="2C5CC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4D8A1082">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48E191DB">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651919A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vAlign w:val="center"/>
          </w:tcPr>
          <w:p w14:paraId="747367C7">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vAlign w:val="center"/>
          </w:tcPr>
          <w:p w14:paraId="2DE87BAC">
            <w:pPr>
              <w:spacing w:line="240" w:lineRule="auto"/>
              <w:jc w:val="center"/>
              <w:rPr>
                <w:rFonts w:hint="eastAsia" w:ascii="宋体" w:hAnsi="宋体" w:eastAsia="宋体" w:cs="宋体"/>
                <w:i w:val="0"/>
                <w:iCs w:val="0"/>
                <w:color w:val="auto"/>
                <w:spacing w:val="6"/>
                <w:sz w:val="21"/>
                <w:szCs w:val="21"/>
                <w:highlight w:val="none"/>
                <w:vertAlign w:val="baseline"/>
                <w:lang w:val="en-US"/>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33957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F810A0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restart"/>
            <w:vAlign w:val="center"/>
          </w:tcPr>
          <w:p w14:paraId="762E5801">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非货币银行服务</w:t>
            </w:r>
          </w:p>
        </w:tc>
        <w:tc>
          <w:tcPr>
            <w:tcW w:w="1817" w:type="dxa"/>
            <w:vMerge w:val="restart"/>
            <w:vAlign w:val="center"/>
          </w:tcPr>
          <w:p w14:paraId="15E4750B">
            <w:pPr>
              <w:spacing w:line="240" w:lineRule="auto"/>
              <w:jc w:val="both"/>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lang w:val="en-US" w:eastAsia="zh-CN"/>
              </w:rPr>
              <w:t>银行业非存款类金融机构</w:t>
            </w:r>
          </w:p>
        </w:tc>
        <w:tc>
          <w:tcPr>
            <w:tcW w:w="1143" w:type="dxa"/>
            <w:shd w:val="clear" w:color="auto" w:fill="auto"/>
            <w:vAlign w:val="center"/>
          </w:tcPr>
          <w:p w14:paraId="225A4F2D">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4E1A428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200亿元（含）至1000亿元</w:t>
            </w:r>
          </w:p>
        </w:tc>
      </w:tr>
      <w:tr w14:paraId="7B744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E1A6E4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4D50AC96">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31E2F9F7">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1645F3BD">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29EE1C4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50亿元（含）至200亿元</w:t>
            </w:r>
          </w:p>
        </w:tc>
      </w:tr>
      <w:tr w14:paraId="136E9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F15DAF5">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3DAA4292">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30406A8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11B27E37">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vAlign w:val="center"/>
          </w:tcPr>
          <w:p w14:paraId="54339DBA">
            <w:pPr>
              <w:spacing w:line="240" w:lineRule="auto"/>
              <w:jc w:val="center"/>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24CA6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784C99D1">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65CCC3B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restart"/>
            <w:vAlign w:val="center"/>
          </w:tcPr>
          <w:p w14:paraId="27FE0995">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贷款公司、小额贷款公司及典当行</w:t>
            </w:r>
          </w:p>
        </w:tc>
        <w:tc>
          <w:tcPr>
            <w:tcW w:w="1143" w:type="dxa"/>
            <w:shd w:val="clear" w:color="auto" w:fill="auto"/>
            <w:vAlign w:val="center"/>
          </w:tcPr>
          <w:p w14:paraId="7F7CD7F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4903E9A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200亿元（含）至1000亿元</w:t>
            </w:r>
          </w:p>
        </w:tc>
      </w:tr>
      <w:tr w14:paraId="4D7A7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4D30921">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170DE0E7">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519CAC1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5888795B">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07A62F11">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50亿元（含）至200亿元</w:t>
            </w:r>
          </w:p>
        </w:tc>
      </w:tr>
      <w:tr w14:paraId="1CBF0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EE26E3E">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6B6B188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4BEE9187">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7A38BAF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370313E9">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23D47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717BF8DA">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资本市场服务</w:t>
            </w:r>
          </w:p>
        </w:tc>
        <w:tc>
          <w:tcPr>
            <w:tcW w:w="1817" w:type="dxa"/>
            <w:vMerge w:val="restart"/>
            <w:vAlign w:val="center"/>
          </w:tcPr>
          <w:p w14:paraId="37B07E65">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证券业金融机构</w:t>
            </w:r>
          </w:p>
        </w:tc>
        <w:tc>
          <w:tcPr>
            <w:tcW w:w="1143" w:type="dxa"/>
            <w:shd w:val="clear" w:color="auto" w:fill="auto"/>
            <w:vAlign w:val="center"/>
          </w:tcPr>
          <w:p w14:paraId="38F383A9">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140D57BF">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100亿元（含）至1000亿元</w:t>
            </w:r>
          </w:p>
        </w:tc>
      </w:tr>
      <w:tr w14:paraId="4F778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338F138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7710AF8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2D08D168">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6A76EF5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10亿元（含）至100亿元</w:t>
            </w:r>
          </w:p>
        </w:tc>
      </w:tr>
      <w:tr w14:paraId="67743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1575680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10C54C1B">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0B1699BB">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7AB4DA8D">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10亿元以下</w:t>
            </w:r>
          </w:p>
        </w:tc>
      </w:tr>
      <w:tr w14:paraId="1411C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173945E7">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保险业</w:t>
            </w:r>
          </w:p>
        </w:tc>
        <w:tc>
          <w:tcPr>
            <w:tcW w:w="1817" w:type="dxa"/>
            <w:vMerge w:val="restart"/>
            <w:vAlign w:val="center"/>
          </w:tcPr>
          <w:p w14:paraId="0E04A019">
            <w:pPr>
              <w:spacing w:line="240" w:lineRule="auto"/>
              <w:jc w:val="both"/>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lang w:val="en-US" w:eastAsia="zh-CN"/>
              </w:rPr>
              <w:t>保险业金融机构</w:t>
            </w:r>
          </w:p>
        </w:tc>
        <w:tc>
          <w:tcPr>
            <w:tcW w:w="1143" w:type="dxa"/>
            <w:shd w:val="clear" w:color="auto" w:fill="auto"/>
            <w:vAlign w:val="center"/>
          </w:tcPr>
          <w:p w14:paraId="50A4B50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4A40F9F7">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400亿元（含）至5000亿元</w:t>
            </w:r>
          </w:p>
        </w:tc>
      </w:tr>
      <w:tr w14:paraId="6149E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2752DD2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20650581">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7DA47220">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4CF1E870">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20亿元（含）至400亿元</w:t>
            </w:r>
          </w:p>
        </w:tc>
      </w:tr>
      <w:tr w14:paraId="1118F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345E254B">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0CB8A67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00124DB1">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7E08BD65">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20亿元以下</w:t>
            </w:r>
          </w:p>
        </w:tc>
      </w:tr>
      <w:tr w14:paraId="11894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4BA27800">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其他金融业</w:t>
            </w:r>
          </w:p>
        </w:tc>
        <w:tc>
          <w:tcPr>
            <w:tcW w:w="1168" w:type="dxa"/>
            <w:vMerge w:val="restart"/>
            <w:vAlign w:val="center"/>
          </w:tcPr>
          <w:p w14:paraId="25AB3C45">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金融信托与管理服务</w:t>
            </w:r>
          </w:p>
        </w:tc>
        <w:tc>
          <w:tcPr>
            <w:tcW w:w="1817" w:type="dxa"/>
            <w:vMerge w:val="restart"/>
            <w:vAlign w:val="center"/>
          </w:tcPr>
          <w:p w14:paraId="24D39D44">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信托公司</w:t>
            </w:r>
          </w:p>
        </w:tc>
        <w:tc>
          <w:tcPr>
            <w:tcW w:w="1143" w:type="dxa"/>
            <w:shd w:val="clear" w:color="auto" w:fill="auto"/>
            <w:vAlign w:val="center"/>
          </w:tcPr>
          <w:p w14:paraId="7C6C6E86">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0DC8470E">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400亿元（含）至1000亿元</w:t>
            </w:r>
          </w:p>
        </w:tc>
      </w:tr>
      <w:tr w14:paraId="12F01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5550CC0E">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709ACEC6">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30A487A4">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202F8C61">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740F866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20亿元（含）至400亿元</w:t>
            </w:r>
          </w:p>
        </w:tc>
      </w:tr>
      <w:tr w14:paraId="28890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E0E28BA">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0D2A5CC3">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783D7754">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41B38C27">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47116DA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20亿元以下</w:t>
            </w:r>
          </w:p>
        </w:tc>
      </w:tr>
      <w:tr w14:paraId="5E27B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CF0360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restart"/>
            <w:vAlign w:val="center"/>
          </w:tcPr>
          <w:p w14:paraId="5BDF5E20">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控股公司服务</w:t>
            </w:r>
          </w:p>
        </w:tc>
        <w:tc>
          <w:tcPr>
            <w:tcW w:w="1817" w:type="dxa"/>
            <w:vMerge w:val="restart"/>
            <w:vAlign w:val="center"/>
          </w:tcPr>
          <w:p w14:paraId="6059FDE4">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金融控股公司</w:t>
            </w:r>
          </w:p>
        </w:tc>
        <w:tc>
          <w:tcPr>
            <w:tcW w:w="1143" w:type="dxa"/>
            <w:shd w:val="clear" w:color="auto" w:fill="auto"/>
            <w:vAlign w:val="center"/>
          </w:tcPr>
          <w:p w14:paraId="15159C8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0009A97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5000亿元（含）至40000亿元</w:t>
            </w:r>
          </w:p>
        </w:tc>
      </w:tr>
      <w:tr w14:paraId="7C768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5EBD09A">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5660200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33EE5D95">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04A57C30">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7AF1D1A5">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50亿元（含）至5000亿元</w:t>
            </w:r>
          </w:p>
        </w:tc>
      </w:tr>
      <w:tr w14:paraId="185A3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5D24603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2669CB42">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594AEAC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3A3B59F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0BA1A03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765AA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119" w:type="dxa"/>
            <w:vMerge w:val="continue"/>
            <w:vAlign w:val="center"/>
          </w:tcPr>
          <w:p w14:paraId="7DD4E1C0">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restart"/>
            <w:vAlign w:val="center"/>
          </w:tcPr>
          <w:p w14:paraId="01FF6FD3">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其他未包括的金融业</w:t>
            </w:r>
          </w:p>
        </w:tc>
        <w:tc>
          <w:tcPr>
            <w:tcW w:w="1817" w:type="dxa"/>
            <w:vMerge w:val="restart"/>
            <w:vAlign w:val="center"/>
          </w:tcPr>
          <w:p w14:paraId="179AF2B1">
            <w:pPr>
              <w:spacing w:line="240" w:lineRule="auto"/>
              <w:jc w:val="both"/>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rPr>
              <w:t>除贷款公司、小额贷款公司、典当行以外的其他金融机构</w:t>
            </w:r>
          </w:p>
        </w:tc>
        <w:tc>
          <w:tcPr>
            <w:tcW w:w="1143" w:type="dxa"/>
            <w:shd w:val="clear" w:color="auto" w:fill="auto"/>
            <w:vAlign w:val="center"/>
          </w:tcPr>
          <w:p w14:paraId="5CF1FF4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2D5F3316">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200亿元（含）至1000亿元</w:t>
            </w:r>
          </w:p>
        </w:tc>
      </w:tr>
      <w:tr w14:paraId="0DAFB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1119" w:type="dxa"/>
            <w:vMerge w:val="continue"/>
          </w:tcPr>
          <w:p w14:paraId="6874F9F6">
            <w:pPr>
              <w:spacing w:line="240" w:lineRule="auto"/>
              <w:rPr>
                <w:rFonts w:hint="eastAsia" w:ascii="宋体" w:hAnsi="宋体" w:eastAsia="宋体" w:cs="宋体"/>
                <w:i w:val="0"/>
                <w:iCs w:val="0"/>
                <w:color w:val="auto"/>
                <w:spacing w:val="6"/>
                <w:sz w:val="21"/>
                <w:szCs w:val="21"/>
                <w:highlight w:val="none"/>
                <w:vertAlign w:val="baseline"/>
              </w:rPr>
            </w:pPr>
          </w:p>
        </w:tc>
        <w:tc>
          <w:tcPr>
            <w:tcW w:w="1168" w:type="dxa"/>
            <w:vMerge w:val="continue"/>
          </w:tcPr>
          <w:p w14:paraId="4B0F7E4C">
            <w:pPr>
              <w:spacing w:line="240" w:lineRule="auto"/>
              <w:rPr>
                <w:rFonts w:hint="eastAsia" w:ascii="宋体" w:hAnsi="宋体" w:eastAsia="宋体" w:cs="宋体"/>
                <w:i w:val="0"/>
                <w:iCs w:val="0"/>
                <w:color w:val="auto"/>
                <w:spacing w:val="6"/>
                <w:sz w:val="21"/>
                <w:szCs w:val="21"/>
                <w:highlight w:val="none"/>
                <w:vertAlign w:val="baseline"/>
              </w:rPr>
            </w:pPr>
          </w:p>
        </w:tc>
        <w:tc>
          <w:tcPr>
            <w:tcW w:w="1817" w:type="dxa"/>
            <w:vMerge w:val="continue"/>
          </w:tcPr>
          <w:p w14:paraId="49CB95E6">
            <w:pPr>
              <w:spacing w:line="240" w:lineRule="auto"/>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71B0280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43819D99">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50亿元（含）至200亿元</w:t>
            </w:r>
          </w:p>
        </w:tc>
      </w:tr>
      <w:tr w14:paraId="16E7E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19" w:type="dxa"/>
            <w:vMerge w:val="continue"/>
          </w:tcPr>
          <w:p w14:paraId="3B6E86F4">
            <w:pPr>
              <w:spacing w:line="240" w:lineRule="auto"/>
              <w:rPr>
                <w:rFonts w:hint="eastAsia" w:ascii="宋体" w:hAnsi="宋体" w:eastAsia="宋体" w:cs="宋体"/>
                <w:i w:val="0"/>
                <w:iCs w:val="0"/>
                <w:color w:val="auto"/>
                <w:spacing w:val="6"/>
                <w:sz w:val="21"/>
                <w:szCs w:val="21"/>
                <w:highlight w:val="none"/>
                <w:vertAlign w:val="baseline"/>
              </w:rPr>
            </w:pPr>
          </w:p>
        </w:tc>
        <w:tc>
          <w:tcPr>
            <w:tcW w:w="1168" w:type="dxa"/>
            <w:vMerge w:val="continue"/>
          </w:tcPr>
          <w:p w14:paraId="7484B083">
            <w:pPr>
              <w:spacing w:line="240" w:lineRule="auto"/>
              <w:rPr>
                <w:rFonts w:hint="eastAsia" w:ascii="宋体" w:hAnsi="宋体" w:eastAsia="宋体" w:cs="宋体"/>
                <w:i w:val="0"/>
                <w:iCs w:val="0"/>
                <w:color w:val="auto"/>
                <w:spacing w:val="6"/>
                <w:sz w:val="21"/>
                <w:szCs w:val="21"/>
                <w:highlight w:val="none"/>
                <w:vertAlign w:val="baseline"/>
              </w:rPr>
            </w:pPr>
          </w:p>
        </w:tc>
        <w:tc>
          <w:tcPr>
            <w:tcW w:w="1817" w:type="dxa"/>
            <w:vMerge w:val="continue"/>
          </w:tcPr>
          <w:p w14:paraId="4DDB2CEB">
            <w:pPr>
              <w:spacing w:line="240" w:lineRule="auto"/>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07937A85">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54932A4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bl>
    <w:p w14:paraId="452B9107">
      <w:pPr>
        <w:rPr>
          <w:rFonts w:cs="宋体"/>
          <w:i w:val="0"/>
          <w:iCs w:val="0"/>
          <w:color w:val="auto"/>
          <w:spacing w:val="6"/>
          <w:sz w:val="21"/>
          <w:szCs w:val="21"/>
          <w:highlight w:val="none"/>
        </w:rPr>
      </w:pPr>
      <w:r>
        <w:rPr>
          <w:rFonts w:cs="宋体"/>
          <w:i w:val="0"/>
          <w:iCs w:val="0"/>
          <w:color w:val="auto"/>
          <w:spacing w:val="6"/>
          <w:sz w:val="21"/>
          <w:szCs w:val="21"/>
          <w:highlight w:val="none"/>
        </w:rPr>
        <w:br w:type="page"/>
      </w:r>
    </w:p>
    <w:bookmarkEnd w:id="684"/>
    <w:p w14:paraId="24379409">
      <w:pPr>
        <w:pStyle w:val="16"/>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方正小标宋_GBK" w:hAnsi="方正小标宋_GBK" w:eastAsia="方正小标宋_GBK" w:cs="方正小标宋_GBK"/>
          <w:bCs/>
          <w:i w:val="0"/>
          <w:iCs w:val="0"/>
          <w:color w:val="auto"/>
          <w:sz w:val="36"/>
          <w:szCs w:val="36"/>
          <w:highlight w:val="none"/>
          <w:lang w:val="en-US" w:eastAsia="zh-CN"/>
        </w:rPr>
      </w:pPr>
    </w:p>
    <w:p w14:paraId="2C0C2142">
      <w:pPr>
        <w:pStyle w:val="5"/>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i w:val="0"/>
          <w:iCs w:val="0"/>
          <w:color w:val="auto"/>
          <w:kern w:val="2"/>
          <w:sz w:val="24"/>
          <w:szCs w:val="24"/>
          <w:highlight w:val="none"/>
          <w:lang w:val="en-US" w:eastAsia="zh-CN" w:bidi="ar-SA"/>
        </w:rPr>
      </w:pPr>
      <w:bookmarkStart w:id="685" w:name="_Toc23416"/>
      <w:r>
        <w:rPr>
          <w:rFonts w:hint="eastAsia" w:ascii="宋体" w:hAnsi="宋体" w:eastAsia="宋体" w:cstheme="minorBidi"/>
          <w:b/>
          <w:bCs/>
          <w:i w:val="0"/>
          <w:iCs w:val="0"/>
          <w:color w:val="auto"/>
          <w:kern w:val="2"/>
          <w:sz w:val="24"/>
          <w:szCs w:val="24"/>
          <w:highlight w:val="none"/>
          <w:lang w:val="en-US" w:eastAsia="zh-CN" w:bidi="ar-SA"/>
        </w:rPr>
        <w:t>（三）监狱企业证明文件</w:t>
      </w:r>
      <w:r>
        <w:rPr>
          <w:rFonts w:hint="eastAsia" w:ascii="宋体" w:hAnsi="宋体" w:eastAsia="宋体" w:cstheme="minorBidi"/>
          <w:b w:val="0"/>
          <w:bCs w:val="0"/>
          <w:i w:val="0"/>
          <w:iCs w:val="0"/>
          <w:color w:val="auto"/>
          <w:kern w:val="2"/>
          <w:sz w:val="24"/>
          <w:szCs w:val="24"/>
          <w:highlight w:val="none"/>
          <w:lang w:val="en-US" w:eastAsia="zh-CN" w:bidi="ar-SA"/>
        </w:rPr>
        <w:t>【</w:t>
      </w:r>
      <w:r>
        <w:rPr>
          <w:rFonts w:hint="eastAsia" w:cstheme="minorBidi"/>
          <w:b w:val="0"/>
          <w:bCs w:val="0"/>
          <w:i w:val="0"/>
          <w:iCs w:val="0"/>
          <w:color w:val="auto"/>
          <w:kern w:val="2"/>
          <w:sz w:val="24"/>
          <w:szCs w:val="24"/>
          <w:highlight w:val="none"/>
          <w:lang w:val="en-US" w:eastAsia="zh-CN" w:bidi="ar-SA"/>
        </w:rPr>
        <w:t>不适用可不提供</w:t>
      </w:r>
      <w:r>
        <w:rPr>
          <w:rFonts w:hint="eastAsia" w:ascii="宋体" w:hAnsi="宋体" w:eastAsia="宋体" w:cstheme="minorBidi"/>
          <w:b w:val="0"/>
          <w:bCs w:val="0"/>
          <w:i w:val="0"/>
          <w:iCs w:val="0"/>
          <w:color w:val="auto"/>
          <w:kern w:val="2"/>
          <w:sz w:val="24"/>
          <w:szCs w:val="24"/>
          <w:highlight w:val="none"/>
          <w:lang w:val="en-US" w:eastAsia="zh-CN" w:bidi="ar-SA"/>
        </w:rPr>
        <w:t>】</w:t>
      </w:r>
      <w:bookmarkEnd w:id="685"/>
    </w:p>
    <w:p w14:paraId="7D18AEBF">
      <w:pPr>
        <w:rPr>
          <w:rFonts w:cs="仿宋_GB2312"/>
          <w:b/>
          <w:i w:val="0"/>
          <w:iCs w:val="0"/>
          <w:color w:val="auto"/>
          <w:sz w:val="28"/>
          <w:szCs w:val="28"/>
          <w:highlight w:val="none"/>
        </w:rPr>
      </w:pPr>
    </w:p>
    <w:p w14:paraId="50F06713">
      <w:pPr>
        <w:adjustRightInd w:val="0"/>
        <w:snapToGrid w:val="0"/>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【监狱企业应当提供由省级及以上监狱管理局、戒毒管理局（含新疆生产建设兵团）出具的监狱企业的证明文件，格式</w:t>
      </w:r>
      <w:r>
        <w:rPr>
          <w:rFonts w:hint="eastAsia" w:ascii="宋体" w:hAnsi="宋体" w:eastAsia="宋体" w:cs="宋体"/>
          <w:i w:val="0"/>
          <w:iCs w:val="0"/>
          <w:color w:val="auto"/>
          <w:sz w:val="24"/>
          <w:szCs w:val="24"/>
          <w:highlight w:val="none"/>
          <w:lang w:val="en-US" w:eastAsia="zh-CN"/>
        </w:rPr>
        <w:t>如下</w:t>
      </w:r>
      <w:r>
        <w:rPr>
          <w:rFonts w:hint="eastAsia" w:ascii="宋体" w:hAnsi="宋体" w:eastAsia="宋体" w:cs="宋体"/>
          <w:i w:val="0"/>
          <w:iCs w:val="0"/>
          <w:color w:val="auto"/>
          <w:sz w:val="24"/>
          <w:szCs w:val="24"/>
          <w:highlight w:val="none"/>
        </w:rPr>
        <w:t>】。</w:t>
      </w:r>
    </w:p>
    <w:p w14:paraId="7B8FE2F9">
      <w:pPr>
        <w:pStyle w:val="16"/>
        <w:spacing w:line="360" w:lineRule="auto"/>
        <w:jc w:val="center"/>
        <w:rPr>
          <w:rFonts w:hint="eastAsia" w:ascii="宋体" w:hAnsi="宋体" w:eastAsia="宋体" w:cs="宋体"/>
          <w:b/>
          <w:bCs w:val="0"/>
          <w:i w:val="0"/>
          <w:iCs w:val="0"/>
          <w:color w:val="auto"/>
          <w:sz w:val="32"/>
          <w:szCs w:val="32"/>
          <w:highlight w:val="none"/>
        </w:rPr>
      </w:pPr>
    </w:p>
    <w:p w14:paraId="32B605CA">
      <w:pPr>
        <w:pStyle w:val="16"/>
        <w:spacing w:line="360" w:lineRule="auto"/>
        <w:jc w:val="center"/>
        <w:rPr>
          <w:rFonts w:hint="eastAsia" w:ascii="宋体" w:hAnsi="宋体" w:eastAsia="宋体" w:cs="宋体"/>
          <w:b/>
          <w:bCs w:val="0"/>
          <w:i w:val="0"/>
          <w:iCs w:val="0"/>
          <w:color w:val="auto"/>
          <w:sz w:val="32"/>
          <w:szCs w:val="32"/>
          <w:highlight w:val="none"/>
        </w:rPr>
      </w:pPr>
      <w:r>
        <w:rPr>
          <w:rFonts w:hint="eastAsia" w:ascii="宋体" w:hAnsi="宋体" w:eastAsia="宋体" w:cs="宋体"/>
          <w:b/>
          <w:bCs w:val="0"/>
          <w:i w:val="0"/>
          <w:iCs w:val="0"/>
          <w:color w:val="auto"/>
          <w:sz w:val="32"/>
          <w:szCs w:val="32"/>
          <w:highlight w:val="none"/>
        </w:rPr>
        <w:t>监狱企业证明函</w:t>
      </w:r>
    </w:p>
    <w:p w14:paraId="78A34C1D">
      <w:pPr>
        <w:spacing w:line="360" w:lineRule="auto"/>
        <w:rPr>
          <w:rFonts w:hint="eastAsia" w:ascii="仿宋_GB2312" w:hAnsi="仿宋_GB2312" w:eastAsia="仿宋_GB2312" w:cs="仿宋_GB2312"/>
          <w:i w:val="0"/>
          <w:iCs w:val="0"/>
          <w:color w:val="auto"/>
          <w:sz w:val="32"/>
          <w:szCs w:val="32"/>
          <w:highlight w:val="none"/>
        </w:rPr>
      </w:pPr>
    </w:p>
    <w:p w14:paraId="2136E224">
      <w:pPr>
        <w:ind w:firstLine="504" w:firstLineChars="200"/>
        <w:rPr>
          <w:rFonts w:hint="eastAsia" w:cs="宋体"/>
          <w:i w:val="0"/>
          <w:iCs w:val="0"/>
          <w:color w:val="auto"/>
          <w:spacing w:val="6"/>
          <w:szCs w:val="24"/>
          <w:highlight w:val="none"/>
        </w:rPr>
      </w:pPr>
      <w:r>
        <w:rPr>
          <w:rFonts w:hint="eastAsia" w:cs="宋体"/>
          <w:i w:val="0"/>
          <w:iCs w:val="0"/>
          <w:color w:val="auto"/>
          <w:spacing w:val="6"/>
          <w:szCs w:val="24"/>
          <w:highlight w:val="none"/>
        </w:rPr>
        <w:t>本公司郑重声明，根据财政部、司法部《关于政府采购支持监狱企业发展有关问题的通知》（财库【2014】68号）的规定，本公司为监狱企业。</w:t>
      </w:r>
    </w:p>
    <w:p w14:paraId="4AC3C297">
      <w:pPr>
        <w:spacing w:line="360" w:lineRule="auto"/>
        <w:rPr>
          <w:rFonts w:hint="eastAsia" w:ascii="宋体" w:hAnsi="宋体" w:eastAsia="宋体" w:cs="宋体"/>
          <w:i w:val="0"/>
          <w:iCs w:val="0"/>
          <w:color w:val="auto"/>
          <w:sz w:val="24"/>
          <w:szCs w:val="24"/>
          <w:highlight w:val="none"/>
        </w:rPr>
      </w:pPr>
    </w:p>
    <w:p w14:paraId="09DBCB52">
      <w:pPr>
        <w:ind w:firstLine="4440" w:firstLineChars="1850"/>
        <w:rPr>
          <w:rFonts w:hint="eastAsia" w:ascii="宋体" w:hAnsi="宋体" w:eastAsia="宋体" w:cs="宋体"/>
          <w:i w:val="0"/>
          <w:iCs w:val="0"/>
          <w:color w:val="auto"/>
          <w:sz w:val="24"/>
          <w:szCs w:val="24"/>
          <w:highlight w:val="none"/>
        </w:rPr>
      </w:pPr>
    </w:p>
    <w:p w14:paraId="404C9A5C">
      <w:pPr>
        <w:ind w:firstLine="4440" w:firstLineChars="1850"/>
        <w:rPr>
          <w:rFonts w:hint="eastAsia" w:ascii="宋体" w:hAnsi="宋体" w:eastAsia="宋体" w:cs="宋体"/>
          <w:i w:val="0"/>
          <w:iCs w:val="0"/>
          <w:color w:val="auto"/>
          <w:sz w:val="24"/>
          <w:szCs w:val="24"/>
          <w:highlight w:val="none"/>
        </w:rPr>
      </w:pPr>
    </w:p>
    <w:p w14:paraId="22233D54">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0C8BB3E7">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92CF9BC">
      <w:pPr>
        <w:spacing w:line="360" w:lineRule="auto"/>
        <w:ind w:firstLine="240" w:firstLineChars="100"/>
        <w:rPr>
          <w:rFonts w:hint="eastAsia" w:ascii="宋体" w:hAnsi="宋体" w:eastAsia="宋体" w:cs="宋体"/>
          <w:i w:val="0"/>
          <w:iCs w:val="0"/>
          <w:color w:val="auto"/>
          <w:sz w:val="24"/>
          <w:szCs w:val="24"/>
          <w:highlight w:val="none"/>
        </w:rPr>
      </w:pPr>
    </w:p>
    <w:p w14:paraId="16CFAD64">
      <w:pPr>
        <w:spacing w:line="360" w:lineRule="auto"/>
        <w:ind w:firstLine="240" w:firstLineChars="100"/>
        <w:rPr>
          <w:rFonts w:hint="eastAsia" w:ascii="宋体" w:hAnsi="宋体" w:eastAsia="宋体" w:cs="宋体"/>
          <w:i w:val="0"/>
          <w:iCs w:val="0"/>
          <w:color w:val="auto"/>
          <w:sz w:val="24"/>
          <w:szCs w:val="24"/>
          <w:highlight w:val="none"/>
        </w:rPr>
      </w:pPr>
    </w:p>
    <w:p w14:paraId="48D7CF8F">
      <w:pPr>
        <w:spacing w:line="360" w:lineRule="auto"/>
        <w:ind w:firstLine="3360" w:firstLineChars="1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省级以上监狱管理局、戒毒管理局</w:t>
      </w:r>
    </w:p>
    <w:p w14:paraId="68421675">
      <w:pPr>
        <w:ind w:firstLine="3360" w:firstLineChars="1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（含新疆生产建设兵团）（盖章）：  </w:t>
      </w:r>
    </w:p>
    <w:p w14:paraId="4E0D3C9D">
      <w:pPr>
        <w:ind w:firstLine="4320" w:firstLineChars="18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日期：</w:t>
      </w:r>
      <w:r>
        <w:rPr>
          <w:rFonts w:hint="eastAsia" w:ascii="宋体" w:hAnsi="宋体" w:eastAsia="宋体" w:cs="宋体"/>
          <w:i w:val="0"/>
          <w:iCs w:val="0"/>
          <w:color w:val="auto"/>
          <w:spacing w:val="6"/>
          <w:sz w:val="24"/>
          <w:szCs w:val="24"/>
          <w:highlight w:val="none"/>
          <w:lang w:val="en-US" w:eastAsia="zh-CN"/>
        </w:rPr>
        <w:t xml:space="preserve">   年  月  日</w:t>
      </w:r>
    </w:p>
    <w:p w14:paraId="24AB4A69">
      <w:pPr>
        <w:spacing w:line="360" w:lineRule="auto"/>
        <w:ind w:firstLine="240" w:firstLineChars="100"/>
        <w:rPr>
          <w:rFonts w:hint="eastAsia" w:ascii="宋体" w:hAnsi="宋体" w:eastAsia="宋体" w:cs="宋体"/>
          <w:i w:val="0"/>
          <w:iCs w:val="0"/>
          <w:color w:val="auto"/>
          <w:sz w:val="24"/>
          <w:szCs w:val="24"/>
          <w:highlight w:val="none"/>
        </w:rPr>
      </w:pPr>
    </w:p>
    <w:p w14:paraId="0C345536">
      <w:pPr>
        <w:spacing w:line="360" w:lineRule="auto"/>
        <w:ind w:firstLine="4000" w:firstLineChars="1250"/>
        <w:rPr>
          <w:rFonts w:hint="eastAsia" w:ascii="仿宋_GB2312" w:hAnsi="仿宋_GB2312" w:eastAsia="仿宋_GB2312" w:cs="仿宋_GB2312"/>
          <w:i w:val="0"/>
          <w:iCs w:val="0"/>
          <w:color w:val="auto"/>
          <w:sz w:val="32"/>
          <w:szCs w:val="32"/>
          <w:highlight w:val="none"/>
        </w:rPr>
      </w:pPr>
    </w:p>
    <w:p w14:paraId="71EE2137">
      <w:pPr>
        <w:spacing w:line="360" w:lineRule="auto"/>
        <w:rPr>
          <w:rFonts w:hint="eastAsia" w:ascii="仿宋_GB2312" w:hAnsi="仿宋_GB2312" w:eastAsia="仿宋_GB2312" w:cs="仿宋_GB2312"/>
          <w:i w:val="0"/>
          <w:iCs w:val="0"/>
          <w:color w:val="auto"/>
          <w:sz w:val="32"/>
          <w:szCs w:val="32"/>
          <w:highlight w:val="none"/>
        </w:rPr>
      </w:pPr>
    </w:p>
    <w:p w14:paraId="221481FA">
      <w:pPr>
        <w:widowControl/>
        <w:spacing w:before="100" w:beforeAutospacing="1" w:after="100" w:afterAutospacing="1"/>
        <w:rPr>
          <w:rFonts w:ascii="Arial" w:hAnsi="Arial" w:cs="Arial"/>
          <w:i w:val="0"/>
          <w:iCs w:val="0"/>
          <w:color w:val="auto"/>
          <w:sz w:val="21"/>
          <w:szCs w:val="21"/>
          <w:highlight w:val="none"/>
        </w:rPr>
      </w:pPr>
    </w:p>
    <w:p w14:paraId="21983259">
      <w:pPr>
        <w:widowControl/>
        <w:spacing w:before="100" w:beforeAutospacing="1" w:after="100" w:afterAutospacing="1"/>
        <w:rPr>
          <w:rFonts w:ascii="Arial" w:hAnsi="Arial" w:cs="Arial"/>
          <w:i w:val="0"/>
          <w:iCs w:val="0"/>
          <w:color w:val="auto"/>
          <w:sz w:val="21"/>
          <w:szCs w:val="21"/>
          <w:highlight w:val="none"/>
        </w:rPr>
      </w:pPr>
    </w:p>
    <w:p w14:paraId="6AD259B9">
      <w:pPr>
        <w:widowControl/>
        <w:spacing w:before="100" w:beforeAutospacing="1" w:after="100" w:afterAutospacing="1"/>
        <w:rPr>
          <w:rFonts w:ascii="Arial" w:hAnsi="Arial" w:cs="Arial"/>
          <w:i w:val="0"/>
          <w:iCs w:val="0"/>
          <w:color w:val="auto"/>
          <w:sz w:val="21"/>
          <w:szCs w:val="21"/>
          <w:highlight w:val="none"/>
        </w:rPr>
      </w:pPr>
    </w:p>
    <w:p w14:paraId="31FB6BA8">
      <w:pPr>
        <w:pStyle w:val="5"/>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i w:val="0"/>
          <w:iCs w:val="0"/>
          <w:color w:val="auto"/>
          <w:kern w:val="2"/>
          <w:sz w:val="24"/>
          <w:szCs w:val="24"/>
          <w:highlight w:val="none"/>
          <w:lang w:val="en-US" w:eastAsia="zh-CN" w:bidi="ar-SA"/>
        </w:rPr>
      </w:pPr>
      <w:bookmarkStart w:id="686" w:name="_Toc163492941"/>
    </w:p>
    <w:p w14:paraId="66127536">
      <w:pPr>
        <w:pStyle w:val="5"/>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i w:val="0"/>
          <w:iCs w:val="0"/>
          <w:color w:val="auto"/>
          <w:kern w:val="2"/>
          <w:sz w:val="24"/>
          <w:szCs w:val="24"/>
          <w:highlight w:val="none"/>
          <w:lang w:val="en-US" w:eastAsia="zh-CN" w:bidi="ar-SA"/>
        </w:rPr>
      </w:pPr>
      <w:bookmarkStart w:id="687" w:name="_Toc15561"/>
      <w:r>
        <w:rPr>
          <w:rFonts w:hint="eastAsia" w:ascii="宋体" w:hAnsi="宋体" w:eastAsia="宋体" w:cstheme="minorBidi"/>
          <w:b/>
          <w:bCs/>
          <w:i w:val="0"/>
          <w:iCs w:val="0"/>
          <w:color w:val="auto"/>
          <w:kern w:val="2"/>
          <w:sz w:val="24"/>
          <w:szCs w:val="24"/>
          <w:highlight w:val="none"/>
          <w:lang w:val="en-US" w:eastAsia="zh-CN" w:bidi="ar-SA"/>
        </w:rPr>
        <w:t>（四）残疾人福利性单位声明函</w:t>
      </w:r>
      <w:r>
        <w:rPr>
          <w:rFonts w:hint="eastAsia" w:ascii="宋体" w:hAnsi="宋体" w:eastAsia="宋体" w:cstheme="minorBidi"/>
          <w:b w:val="0"/>
          <w:bCs w:val="0"/>
          <w:i w:val="0"/>
          <w:iCs w:val="0"/>
          <w:color w:val="auto"/>
          <w:kern w:val="2"/>
          <w:sz w:val="24"/>
          <w:szCs w:val="24"/>
          <w:highlight w:val="none"/>
          <w:lang w:val="en-US" w:eastAsia="zh-CN" w:bidi="ar-SA"/>
        </w:rPr>
        <w:t>【</w:t>
      </w:r>
      <w:r>
        <w:rPr>
          <w:rFonts w:hint="eastAsia" w:cstheme="minorBidi"/>
          <w:b w:val="0"/>
          <w:bCs w:val="0"/>
          <w:i w:val="0"/>
          <w:iCs w:val="0"/>
          <w:color w:val="auto"/>
          <w:kern w:val="2"/>
          <w:sz w:val="24"/>
          <w:szCs w:val="24"/>
          <w:highlight w:val="none"/>
          <w:lang w:val="en-US" w:eastAsia="zh-CN" w:bidi="ar-SA"/>
        </w:rPr>
        <w:t>不适用可不提供</w:t>
      </w:r>
      <w:r>
        <w:rPr>
          <w:rFonts w:hint="eastAsia" w:ascii="宋体" w:hAnsi="宋体" w:eastAsia="宋体" w:cstheme="minorBidi"/>
          <w:b w:val="0"/>
          <w:bCs w:val="0"/>
          <w:i w:val="0"/>
          <w:iCs w:val="0"/>
          <w:color w:val="auto"/>
          <w:kern w:val="2"/>
          <w:sz w:val="24"/>
          <w:szCs w:val="24"/>
          <w:highlight w:val="none"/>
          <w:lang w:val="en-US" w:eastAsia="zh-CN" w:bidi="ar-SA"/>
        </w:rPr>
        <w:t>】</w:t>
      </w:r>
      <w:bookmarkEnd w:id="686"/>
      <w:bookmarkEnd w:id="687"/>
    </w:p>
    <w:p w14:paraId="19A7B6C3">
      <w:pPr>
        <w:pStyle w:val="44"/>
        <w:numPr>
          <w:ilvl w:val="0"/>
          <w:numId w:val="0"/>
        </w:numPr>
        <w:ind w:left="420" w:leftChars="0" w:hanging="420" w:firstLineChars="0"/>
        <w:jc w:val="center"/>
        <w:rPr>
          <w:rFonts w:hint="eastAsia"/>
          <w:b/>
          <w:bCs/>
          <w:i w:val="0"/>
          <w:iCs w:val="0"/>
          <w:color w:val="auto"/>
          <w:sz w:val="32"/>
          <w:szCs w:val="32"/>
          <w:highlight w:val="none"/>
        </w:rPr>
      </w:pPr>
    </w:p>
    <w:p w14:paraId="52EAB70D">
      <w:pPr>
        <w:pStyle w:val="44"/>
        <w:numPr>
          <w:ilvl w:val="0"/>
          <w:numId w:val="0"/>
        </w:numPr>
        <w:ind w:left="420" w:leftChars="0" w:hanging="420" w:firstLineChars="0"/>
        <w:jc w:val="center"/>
        <w:rPr>
          <w:b/>
          <w:bCs/>
          <w:i w:val="0"/>
          <w:iCs w:val="0"/>
          <w:color w:val="auto"/>
          <w:sz w:val="32"/>
          <w:szCs w:val="32"/>
          <w:highlight w:val="none"/>
        </w:rPr>
      </w:pPr>
      <w:r>
        <w:rPr>
          <w:rFonts w:hint="eastAsia"/>
          <w:b/>
          <w:bCs/>
          <w:i w:val="0"/>
          <w:iCs w:val="0"/>
          <w:color w:val="auto"/>
          <w:sz w:val="32"/>
          <w:szCs w:val="32"/>
          <w:highlight w:val="none"/>
        </w:rPr>
        <w:t>残疾人福利性单位声明函</w:t>
      </w:r>
    </w:p>
    <w:p w14:paraId="4F3F1AC3">
      <w:pPr>
        <w:wordWrap w:val="0"/>
        <w:ind w:firstLine="480" w:firstLineChars="200"/>
        <w:rPr>
          <w:rFonts w:hint="eastAsia"/>
          <w:i w:val="0"/>
          <w:iCs w:val="0"/>
          <w:color w:val="auto"/>
          <w:szCs w:val="24"/>
          <w:highlight w:val="none"/>
        </w:rPr>
      </w:pPr>
    </w:p>
    <w:p w14:paraId="2D8126D9">
      <w:pPr>
        <w:wordWrap w:val="0"/>
        <w:ind w:firstLine="480" w:firstLineChars="200"/>
        <w:rPr>
          <w:i w:val="0"/>
          <w:iCs w:val="0"/>
          <w:color w:val="auto"/>
          <w:szCs w:val="24"/>
          <w:highlight w:val="none"/>
        </w:rPr>
      </w:pPr>
      <w:r>
        <w:rPr>
          <w:rFonts w:hint="eastAsia"/>
          <w:i w:val="0"/>
          <w:iCs w:val="0"/>
          <w:color w:val="auto"/>
          <w:szCs w:val="24"/>
          <w:highlight w:val="none"/>
        </w:rPr>
        <w:t>本公司（联合体）郑重声明，根据《财政部 民政部 中国残疾人联合会关于促进残疾人就业政府采购政策的通知》（财库〔2017〕141号）的规定，本公司（联合体）参加</w:t>
      </w:r>
      <w:r>
        <w:rPr>
          <w:rFonts w:hint="eastAsia"/>
          <w:i w:val="0"/>
          <w:iCs w:val="0"/>
          <w:color w:val="auto"/>
          <w:szCs w:val="24"/>
          <w:highlight w:val="none"/>
          <w:u w:val="single"/>
        </w:rPr>
        <w:t xml:space="preserve"> （单位名称） </w:t>
      </w:r>
      <w:r>
        <w:rPr>
          <w:rFonts w:hint="eastAsia"/>
          <w:i w:val="0"/>
          <w:iCs w:val="0"/>
          <w:color w:val="auto"/>
          <w:szCs w:val="24"/>
          <w:highlight w:val="none"/>
        </w:rPr>
        <w:t>的</w:t>
      </w:r>
      <w:r>
        <w:rPr>
          <w:rFonts w:hint="eastAsia"/>
          <w:i w:val="0"/>
          <w:iCs w:val="0"/>
          <w:color w:val="auto"/>
          <w:szCs w:val="24"/>
          <w:highlight w:val="none"/>
          <w:u w:val="single"/>
        </w:rPr>
        <w:t xml:space="preserve"> （项目名称） </w:t>
      </w:r>
      <w:r>
        <w:rPr>
          <w:rFonts w:hint="eastAsia"/>
          <w:i w:val="0"/>
          <w:iCs w:val="0"/>
          <w:color w:val="auto"/>
          <w:szCs w:val="24"/>
          <w:highlight w:val="none"/>
        </w:rPr>
        <w:t>采购活动，提供的</w:t>
      </w:r>
      <w:r>
        <w:rPr>
          <w:rFonts w:hint="eastAsia"/>
          <w:i w:val="0"/>
          <w:iCs w:val="0"/>
          <w:color w:val="auto"/>
          <w:szCs w:val="24"/>
          <w:highlight w:val="none"/>
          <w:lang w:val="en-US" w:eastAsia="zh-CN"/>
        </w:rPr>
        <w:t>服务</w:t>
      </w:r>
      <w:r>
        <w:rPr>
          <w:rFonts w:hint="eastAsia"/>
          <w:b/>
          <w:i w:val="0"/>
          <w:iCs w:val="0"/>
          <w:color w:val="auto"/>
          <w:szCs w:val="24"/>
          <w:highlight w:val="none"/>
        </w:rPr>
        <w:t>全部由</w:t>
      </w:r>
      <w:r>
        <w:rPr>
          <w:rFonts w:hint="eastAsia"/>
          <w:i w:val="0"/>
          <w:iCs w:val="0"/>
          <w:color w:val="auto"/>
          <w:szCs w:val="24"/>
          <w:highlight w:val="none"/>
        </w:rPr>
        <w:t>符合政策要求的</w:t>
      </w:r>
      <w:r>
        <w:rPr>
          <w:rFonts w:hint="eastAsia"/>
          <w:b/>
          <w:i w:val="0"/>
          <w:iCs w:val="0"/>
          <w:color w:val="auto"/>
          <w:szCs w:val="24"/>
          <w:highlight w:val="none"/>
        </w:rPr>
        <w:t>残疾人福利性单位</w:t>
      </w:r>
      <w:r>
        <w:rPr>
          <w:rFonts w:hint="eastAsia"/>
          <w:b/>
          <w:i w:val="0"/>
          <w:iCs w:val="0"/>
          <w:color w:val="auto"/>
          <w:szCs w:val="24"/>
          <w:highlight w:val="none"/>
          <w:lang w:val="en-US" w:eastAsia="zh-CN"/>
        </w:rPr>
        <w:t>承接</w:t>
      </w:r>
      <w:r>
        <w:rPr>
          <w:rFonts w:hint="eastAsia"/>
          <w:i w:val="0"/>
          <w:iCs w:val="0"/>
          <w:color w:val="auto"/>
          <w:szCs w:val="24"/>
          <w:highlight w:val="none"/>
        </w:rPr>
        <w:t>。相关企业（含联合体中的残疾人福利性单位、签订分包意向协议</w:t>
      </w:r>
      <w:r>
        <w:rPr>
          <w:rFonts w:hint="eastAsia"/>
          <w:i w:val="0"/>
          <w:iCs w:val="0"/>
          <w:color w:val="auto"/>
          <w:szCs w:val="24"/>
          <w:highlight w:val="none"/>
          <w:lang w:val="en-US" w:eastAsia="zh-CN"/>
        </w:rPr>
        <w:t>书</w:t>
      </w:r>
      <w:r>
        <w:rPr>
          <w:rFonts w:hint="eastAsia"/>
          <w:i w:val="0"/>
          <w:iCs w:val="0"/>
          <w:color w:val="auto"/>
          <w:szCs w:val="24"/>
          <w:highlight w:val="none"/>
        </w:rPr>
        <w:t>的残疾人福利性单位）的具体情况如下：</w:t>
      </w:r>
    </w:p>
    <w:p w14:paraId="2CF54269">
      <w:pPr>
        <w:wordWrap w:val="0"/>
        <w:ind w:firstLine="480" w:firstLineChars="200"/>
        <w:rPr>
          <w:i w:val="0"/>
          <w:iCs w:val="0"/>
          <w:color w:val="auto"/>
          <w:szCs w:val="24"/>
          <w:highlight w:val="none"/>
        </w:rPr>
      </w:pPr>
      <w:r>
        <w:rPr>
          <w:rFonts w:hint="eastAsia"/>
          <w:i w:val="0"/>
          <w:iCs w:val="0"/>
          <w:color w:val="auto"/>
          <w:szCs w:val="24"/>
          <w:highlight w:val="none"/>
        </w:rPr>
        <w:t>1.</w:t>
      </w:r>
      <w:r>
        <w:rPr>
          <w:rFonts w:hint="eastAsia"/>
          <w:i w:val="0"/>
          <w:iCs w:val="0"/>
          <w:color w:val="auto"/>
          <w:szCs w:val="24"/>
          <w:highlight w:val="none"/>
          <w:u w:val="single"/>
        </w:rPr>
        <w:t xml:space="preserve"> （标的名称） </w:t>
      </w:r>
      <w:r>
        <w:rPr>
          <w:rFonts w:hint="eastAsia"/>
          <w:i w:val="0"/>
          <w:iCs w:val="0"/>
          <w:color w:val="auto"/>
          <w:szCs w:val="24"/>
          <w:highlight w:val="none"/>
        </w:rPr>
        <w:t>，</w:t>
      </w:r>
      <w:r>
        <w:rPr>
          <w:rFonts w:hint="eastAsia"/>
          <w:i w:val="0"/>
          <w:iCs w:val="0"/>
          <w:color w:val="auto"/>
          <w:szCs w:val="24"/>
          <w:highlight w:val="none"/>
          <w:lang w:val="en-US" w:eastAsia="zh-CN"/>
        </w:rPr>
        <w:t>承接单位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1B3BB32D">
      <w:pPr>
        <w:wordWrap w:val="0"/>
        <w:ind w:firstLine="480" w:firstLineChars="200"/>
        <w:rPr>
          <w:i w:val="0"/>
          <w:iCs w:val="0"/>
          <w:color w:val="auto"/>
          <w:szCs w:val="24"/>
          <w:highlight w:val="none"/>
        </w:rPr>
      </w:pPr>
      <w:r>
        <w:rPr>
          <w:rFonts w:hint="eastAsia"/>
          <w:i w:val="0"/>
          <w:iCs w:val="0"/>
          <w:color w:val="auto"/>
          <w:szCs w:val="24"/>
          <w:highlight w:val="none"/>
        </w:rPr>
        <w:t xml:space="preserve">2. </w:t>
      </w:r>
      <w:r>
        <w:rPr>
          <w:rFonts w:hint="eastAsia"/>
          <w:i w:val="0"/>
          <w:iCs w:val="0"/>
          <w:color w:val="auto"/>
          <w:szCs w:val="24"/>
          <w:highlight w:val="none"/>
          <w:u w:val="single"/>
        </w:rPr>
        <w:t xml:space="preserve">（标的名称） </w:t>
      </w:r>
      <w:r>
        <w:rPr>
          <w:rFonts w:hint="eastAsia"/>
          <w:i w:val="0"/>
          <w:iCs w:val="0"/>
          <w:color w:val="auto"/>
          <w:szCs w:val="24"/>
          <w:highlight w:val="none"/>
        </w:rPr>
        <w:t>，</w:t>
      </w:r>
      <w:r>
        <w:rPr>
          <w:rFonts w:hint="eastAsia"/>
          <w:i w:val="0"/>
          <w:iCs w:val="0"/>
          <w:color w:val="auto"/>
          <w:szCs w:val="24"/>
          <w:highlight w:val="none"/>
          <w:lang w:val="en-US" w:eastAsia="zh-CN"/>
        </w:rPr>
        <w:t>承接单位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5A9D1106">
      <w:pPr>
        <w:wordWrap w:val="0"/>
        <w:ind w:firstLine="480" w:firstLineChars="200"/>
        <w:rPr>
          <w:i w:val="0"/>
          <w:iCs w:val="0"/>
          <w:color w:val="auto"/>
          <w:szCs w:val="24"/>
          <w:highlight w:val="none"/>
        </w:rPr>
      </w:pPr>
      <w:r>
        <w:rPr>
          <w:rFonts w:hint="eastAsia"/>
          <w:i w:val="0"/>
          <w:iCs w:val="0"/>
          <w:color w:val="auto"/>
          <w:szCs w:val="24"/>
          <w:highlight w:val="none"/>
        </w:rPr>
        <w:t>……</w:t>
      </w:r>
    </w:p>
    <w:p w14:paraId="0ADC4317">
      <w:pPr>
        <w:wordWrap w:val="0"/>
        <w:ind w:firstLine="480" w:firstLineChars="200"/>
        <w:rPr>
          <w:i w:val="0"/>
          <w:iCs w:val="0"/>
          <w:color w:val="auto"/>
          <w:szCs w:val="24"/>
          <w:highlight w:val="none"/>
        </w:rPr>
      </w:pPr>
      <w:r>
        <w:rPr>
          <w:rFonts w:hint="eastAsia"/>
          <w:i w:val="0"/>
          <w:iCs w:val="0"/>
          <w:color w:val="auto"/>
          <w:szCs w:val="24"/>
          <w:highlight w:val="none"/>
        </w:rPr>
        <w:t>以上企业，不属于大企业的分支机构，不存在控股股东为大企业的情形，也不存在与大企业的负责人为同一人的情形。</w:t>
      </w:r>
    </w:p>
    <w:p w14:paraId="77DA2527">
      <w:pPr>
        <w:wordWrap w:val="0"/>
        <w:ind w:left="1087" w:leftChars="200" w:hanging="607" w:hangingChars="253"/>
        <w:rPr>
          <w:i w:val="0"/>
          <w:iCs w:val="0"/>
          <w:color w:val="auto"/>
          <w:szCs w:val="24"/>
          <w:highlight w:val="none"/>
        </w:rPr>
      </w:pPr>
      <w:r>
        <w:rPr>
          <w:rFonts w:hint="eastAsia"/>
          <w:i w:val="0"/>
          <w:iCs w:val="0"/>
          <w:color w:val="auto"/>
          <w:szCs w:val="24"/>
          <w:highlight w:val="none"/>
        </w:rPr>
        <w:t>本企业对上述声明内容的真实性负责。如有虚假，将依法承担相应责任。</w:t>
      </w:r>
    </w:p>
    <w:p w14:paraId="5B67C160">
      <w:pPr>
        <w:wordWrap w:val="0"/>
        <w:ind w:left="1091" w:hanging="1091" w:hangingChars="453"/>
        <w:rPr>
          <w:b/>
          <w:bCs/>
          <w:i w:val="0"/>
          <w:iCs w:val="0"/>
          <w:color w:val="auto"/>
          <w:szCs w:val="24"/>
          <w:highlight w:val="none"/>
        </w:rPr>
      </w:pPr>
    </w:p>
    <w:p w14:paraId="5114DF9C">
      <w:pPr>
        <w:wordWrap w:val="0"/>
        <w:ind w:left="1091" w:hanging="1091" w:hangingChars="453"/>
        <w:rPr>
          <w:bCs/>
          <w:i w:val="0"/>
          <w:iCs w:val="0"/>
          <w:color w:val="auto"/>
          <w:szCs w:val="24"/>
          <w:highlight w:val="none"/>
        </w:rPr>
      </w:pPr>
      <w:r>
        <w:rPr>
          <w:rFonts w:hint="eastAsia"/>
          <w:b/>
          <w:bCs/>
          <w:i w:val="0"/>
          <w:iCs w:val="0"/>
          <w:color w:val="auto"/>
          <w:szCs w:val="24"/>
          <w:highlight w:val="none"/>
        </w:rPr>
        <w:t>说明：</w:t>
      </w:r>
      <w:r>
        <w:rPr>
          <w:rFonts w:hint="eastAsia"/>
          <w:bCs/>
          <w:i w:val="0"/>
          <w:iCs w:val="0"/>
          <w:color w:val="auto"/>
          <w:szCs w:val="24"/>
          <w:highlight w:val="none"/>
        </w:rPr>
        <w:t>1、</w:t>
      </w:r>
      <w:r>
        <w:rPr>
          <w:rFonts w:hint="eastAsia"/>
          <w:bCs/>
          <w:i w:val="0"/>
          <w:iCs w:val="0"/>
          <w:color w:val="auto"/>
          <w:szCs w:val="24"/>
          <w:highlight w:val="none"/>
          <w:lang w:val="en-US" w:eastAsia="zh-CN"/>
        </w:rPr>
        <w:t>服务</w:t>
      </w:r>
      <w:r>
        <w:rPr>
          <w:rFonts w:hint="eastAsia"/>
          <w:bCs/>
          <w:i w:val="0"/>
          <w:iCs w:val="0"/>
          <w:color w:val="auto"/>
          <w:szCs w:val="21"/>
          <w:highlight w:val="none"/>
          <w:lang w:val="zh-CN"/>
        </w:rPr>
        <w:t>应当全部由符合政策要求的残疾人福利性单位</w:t>
      </w:r>
      <w:r>
        <w:rPr>
          <w:rFonts w:hint="eastAsia"/>
          <w:bCs/>
          <w:i w:val="0"/>
          <w:iCs w:val="0"/>
          <w:color w:val="auto"/>
          <w:szCs w:val="21"/>
          <w:highlight w:val="none"/>
          <w:lang w:val="en-US" w:eastAsia="zh-CN"/>
        </w:rPr>
        <w:t>承接</w:t>
      </w:r>
      <w:r>
        <w:rPr>
          <w:rFonts w:hint="eastAsia"/>
          <w:bCs/>
          <w:i w:val="0"/>
          <w:iCs w:val="0"/>
          <w:color w:val="auto"/>
          <w:szCs w:val="21"/>
          <w:highlight w:val="none"/>
          <w:lang w:val="zh-CN"/>
        </w:rPr>
        <w:t>且使用该残疾人福利性单位商号或注册商标（与代理商或</w:t>
      </w:r>
      <w:r>
        <w:rPr>
          <w:rFonts w:hint="eastAsia"/>
          <w:bCs/>
          <w:i w:val="0"/>
          <w:iCs w:val="0"/>
          <w:color w:val="auto"/>
          <w:szCs w:val="21"/>
          <w:highlight w:val="none"/>
          <w:lang w:val="en-US" w:eastAsia="zh-CN"/>
        </w:rPr>
        <w:t>供应商</w:t>
      </w:r>
      <w:r>
        <w:rPr>
          <w:rFonts w:hint="eastAsia"/>
          <w:bCs/>
          <w:i w:val="0"/>
          <w:iCs w:val="0"/>
          <w:color w:val="auto"/>
          <w:szCs w:val="21"/>
          <w:highlight w:val="none"/>
          <w:lang w:val="zh-CN"/>
        </w:rPr>
        <w:t>无关）；应当严格按上述格式及内容进行填写（应当明确每个</w:t>
      </w:r>
      <w:r>
        <w:rPr>
          <w:rFonts w:hint="eastAsia"/>
          <w:bCs/>
          <w:i w:val="0"/>
          <w:iCs w:val="0"/>
          <w:color w:val="auto"/>
          <w:szCs w:val="21"/>
          <w:highlight w:val="none"/>
          <w:lang w:val="en-US" w:eastAsia="zh-CN"/>
        </w:rPr>
        <w:t>包</w:t>
      </w:r>
      <w:r>
        <w:rPr>
          <w:rFonts w:hint="eastAsia"/>
          <w:bCs/>
          <w:i w:val="0"/>
          <w:iCs w:val="0"/>
          <w:color w:val="auto"/>
          <w:szCs w:val="21"/>
          <w:highlight w:val="none"/>
          <w:lang w:val="zh-CN"/>
        </w:rPr>
        <w:t>的的</w:t>
      </w:r>
      <w:r>
        <w:rPr>
          <w:rFonts w:hint="eastAsia"/>
          <w:bCs/>
          <w:i w:val="0"/>
          <w:iCs w:val="0"/>
          <w:color w:val="auto"/>
          <w:szCs w:val="21"/>
          <w:highlight w:val="none"/>
          <w:lang w:val="en-US" w:eastAsia="zh-CN"/>
        </w:rPr>
        <w:t>承接</w:t>
      </w:r>
      <w:r>
        <w:rPr>
          <w:rFonts w:hint="eastAsia"/>
          <w:bCs/>
          <w:i w:val="0"/>
          <w:iCs w:val="0"/>
          <w:color w:val="auto"/>
          <w:szCs w:val="21"/>
          <w:highlight w:val="none"/>
          <w:lang w:val="zh-CN"/>
        </w:rPr>
        <w:t>企业类型及相关数据），否则导致的后果由</w:t>
      </w:r>
      <w:r>
        <w:rPr>
          <w:rFonts w:hint="eastAsia"/>
          <w:bCs/>
          <w:i w:val="0"/>
          <w:iCs w:val="0"/>
          <w:color w:val="auto"/>
          <w:szCs w:val="21"/>
          <w:highlight w:val="none"/>
          <w:lang w:val="en-US" w:eastAsia="zh-CN"/>
        </w:rPr>
        <w:t>供应商</w:t>
      </w:r>
      <w:r>
        <w:rPr>
          <w:rFonts w:hint="eastAsia"/>
          <w:bCs/>
          <w:i w:val="0"/>
          <w:iCs w:val="0"/>
          <w:color w:val="auto"/>
          <w:szCs w:val="21"/>
          <w:highlight w:val="none"/>
          <w:lang w:val="zh-CN"/>
        </w:rPr>
        <w:t>自行承担；</w:t>
      </w:r>
    </w:p>
    <w:p w14:paraId="1B7604F0">
      <w:pPr>
        <w:wordWrap w:val="0"/>
        <w:ind w:left="1087" w:hanging="1087" w:hangingChars="453"/>
        <w:rPr>
          <w:rFonts w:cs="Courier New"/>
          <w:i w:val="0"/>
          <w:iCs w:val="0"/>
          <w:color w:val="auto"/>
          <w:szCs w:val="21"/>
          <w:highlight w:val="none"/>
        </w:rPr>
      </w:pPr>
      <w:r>
        <w:rPr>
          <w:rFonts w:hint="eastAsia"/>
          <w:bCs/>
          <w:i w:val="0"/>
          <w:iCs w:val="0"/>
          <w:color w:val="auto"/>
          <w:szCs w:val="21"/>
          <w:highlight w:val="none"/>
          <w:lang w:val="zh-CN"/>
        </w:rPr>
        <w:t xml:space="preserve">      2、</w:t>
      </w:r>
      <w:r>
        <w:rPr>
          <w:rFonts w:hint="eastAsia" w:cs="Courier New"/>
          <w:i w:val="0"/>
          <w:iCs w:val="0"/>
          <w:color w:val="auto"/>
          <w:szCs w:val="21"/>
          <w:highlight w:val="none"/>
        </w:rPr>
        <w:t>以联合体形式参加的，应</w:t>
      </w:r>
      <w:r>
        <w:rPr>
          <w:rFonts w:hint="eastAsia"/>
          <w:bCs/>
          <w:i w:val="0"/>
          <w:iCs w:val="0"/>
          <w:color w:val="auto"/>
          <w:szCs w:val="21"/>
          <w:highlight w:val="none"/>
          <w:lang w:val="zh-CN"/>
        </w:rPr>
        <w:t>当</w:t>
      </w:r>
      <w:r>
        <w:rPr>
          <w:rFonts w:hint="eastAsia" w:cs="Courier New"/>
          <w:i w:val="0"/>
          <w:iCs w:val="0"/>
          <w:color w:val="auto"/>
          <w:szCs w:val="21"/>
          <w:highlight w:val="none"/>
        </w:rPr>
        <w:t>由联合体各方盖章。</w:t>
      </w:r>
    </w:p>
    <w:p w14:paraId="0841EC4B">
      <w:pPr>
        <w:wordWrap w:val="0"/>
        <w:spacing w:before="100" w:beforeAutospacing="1" w:after="100" w:afterAutospacing="1"/>
        <w:ind w:firstLine="3316" w:firstLineChars="1382"/>
        <w:rPr>
          <w:bCs/>
          <w:i w:val="0"/>
          <w:iCs w:val="0"/>
          <w:color w:val="auto"/>
          <w:szCs w:val="21"/>
          <w:highlight w:val="none"/>
          <w:lang w:val="zh-CN"/>
        </w:rPr>
      </w:pPr>
      <w:r>
        <w:rPr>
          <w:rFonts w:hint="eastAsia"/>
          <w:bCs/>
          <w:i w:val="0"/>
          <w:iCs w:val="0"/>
          <w:color w:val="auto"/>
          <w:szCs w:val="21"/>
          <w:highlight w:val="none"/>
          <w:lang w:val="en-US" w:eastAsia="zh-CN"/>
        </w:rPr>
        <w:t>供应商</w:t>
      </w:r>
      <w:r>
        <w:rPr>
          <w:rFonts w:hint="eastAsia" w:ascii="宋体" w:hAnsi="宋体" w:eastAsia="宋体"/>
          <w:bCs/>
          <w:i w:val="0"/>
          <w:iCs w:val="0"/>
          <w:color w:val="auto"/>
          <w:szCs w:val="21"/>
          <w:highlight w:val="none"/>
          <w:lang w:val="en-US" w:eastAsia="zh-CN"/>
        </w:rPr>
        <w:t>名称</w:t>
      </w:r>
      <w:r>
        <w:rPr>
          <w:rFonts w:hint="eastAsia"/>
          <w:bCs/>
          <w:i w:val="0"/>
          <w:iCs w:val="0"/>
          <w:color w:val="auto"/>
          <w:szCs w:val="21"/>
          <w:highlight w:val="none"/>
          <w:lang w:val="en-US" w:eastAsia="zh-CN"/>
        </w:rPr>
        <w:t>（公章）</w:t>
      </w:r>
      <w:r>
        <w:rPr>
          <w:rFonts w:hint="eastAsia"/>
          <w:bCs/>
          <w:i w:val="0"/>
          <w:iCs w:val="0"/>
          <w:color w:val="auto"/>
          <w:szCs w:val="21"/>
          <w:highlight w:val="none"/>
          <w:lang w:val="zh-CN"/>
        </w:rPr>
        <w:t>：</w:t>
      </w:r>
      <w:r>
        <w:rPr>
          <w:rFonts w:hint="eastAsia"/>
          <w:bCs/>
          <w:i w:val="0"/>
          <w:iCs w:val="0"/>
          <w:color w:val="auto"/>
          <w:szCs w:val="21"/>
          <w:highlight w:val="none"/>
          <w:u w:val="single"/>
          <w:lang w:val="zh-CN"/>
        </w:rPr>
        <w:t xml:space="preserve">              </w:t>
      </w:r>
    </w:p>
    <w:p w14:paraId="572750B9">
      <w:pPr>
        <w:wordWrap w:val="0"/>
        <w:spacing w:before="100" w:beforeAutospacing="1" w:after="100" w:afterAutospacing="1"/>
        <w:ind w:firstLine="3316" w:firstLineChars="1382"/>
        <w:rPr>
          <w:i w:val="0"/>
          <w:iCs w:val="0"/>
          <w:color w:val="auto"/>
          <w:highlight w:val="none"/>
        </w:rPr>
      </w:pPr>
      <w:r>
        <w:rPr>
          <w:rFonts w:hint="eastAsia"/>
          <w:i w:val="0"/>
          <w:iCs w:val="0"/>
          <w:color w:val="auto"/>
          <w:szCs w:val="24"/>
          <w:highlight w:val="none"/>
        </w:rPr>
        <w:t>日</w:t>
      </w:r>
      <w:r>
        <w:rPr>
          <w:i w:val="0"/>
          <w:iCs w:val="0"/>
          <w:color w:val="auto"/>
          <w:szCs w:val="24"/>
          <w:highlight w:val="none"/>
        </w:rPr>
        <w:t xml:space="preserve">  </w:t>
      </w:r>
      <w:r>
        <w:rPr>
          <w:rFonts w:hint="eastAsia"/>
          <w:i w:val="0"/>
          <w:iCs w:val="0"/>
          <w:color w:val="auto"/>
          <w:szCs w:val="24"/>
          <w:highlight w:val="none"/>
        </w:rPr>
        <w:t>期：</w:t>
      </w:r>
      <w:r>
        <w:rPr>
          <w:bCs/>
          <w:i w:val="0"/>
          <w:iCs w:val="0"/>
          <w:color w:val="auto"/>
          <w:szCs w:val="24"/>
          <w:highlight w:val="none"/>
          <w:u w:val="single"/>
        </w:rPr>
        <w:t xml:space="preserve">                         </w:t>
      </w:r>
    </w:p>
    <w:p w14:paraId="721D611B">
      <w:pPr>
        <w:ind w:left="4620" w:firstLine="281" w:firstLineChars="100"/>
        <w:rPr>
          <w:rFonts w:cs="仿宋_GB2312"/>
          <w:b/>
          <w:i w:val="0"/>
          <w:iCs w:val="0"/>
          <w:color w:val="auto"/>
          <w:sz w:val="28"/>
          <w:szCs w:val="28"/>
          <w:highlight w:val="none"/>
        </w:rPr>
      </w:pPr>
    </w:p>
    <w:p w14:paraId="2E7DDED0">
      <w:pPr>
        <w:rPr>
          <w:i w:val="0"/>
          <w:iCs w:val="0"/>
          <w:color w:val="auto"/>
          <w:highlight w:val="none"/>
        </w:rPr>
      </w:pPr>
      <w:r>
        <w:rPr>
          <w:i w:val="0"/>
          <w:iCs w:val="0"/>
          <w:color w:val="auto"/>
          <w:highlight w:val="none"/>
        </w:rPr>
        <w:br w:type="page"/>
      </w:r>
    </w:p>
    <w:p w14:paraId="6168BD88">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cstheme="majorBidi"/>
          <w:b/>
          <w:bCs/>
          <w:i w:val="0"/>
          <w:iCs w:val="0"/>
          <w:color w:val="auto"/>
          <w:kern w:val="2"/>
          <w:sz w:val="28"/>
          <w:szCs w:val="28"/>
          <w:highlight w:val="none"/>
          <w:lang w:val="en-US" w:eastAsia="zh-CN" w:bidi="ar-SA"/>
        </w:rPr>
      </w:pPr>
      <w:bookmarkStart w:id="688" w:name="_Toc25754"/>
      <w:r>
        <w:rPr>
          <w:rFonts w:hint="eastAsia" w:cstheme="majorBidi"/>
          <w:b/>
          <w:bCs/>
          <w:i w:val="0"/>
          <w:iCs w:val="0"/>
          <w:color w:val="auto"/>
          <w:kern w:val="2"/>
          <w:sz w:val="28"/>
          <w:szCs w:val="28"/>
          <w:highlight w:val="none"/>
          <w:lang w:val="en-US" w:eastAsia="zh-CN" w:bidi="ar-SA"/>
        </w:rPr>
        <w:t>五、不参与围标串标承诺书</w:t>
      </w:r>
      <w:bookmarkEnd w:id="688"/>
    </w:p>
    <w:p w14:paraId="035D3C64">
      <w:pPr>
        <w:pStyle w:val="4"/>
        <w:keepNext/>
        <w:keepLines/>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p>
    <w:p w14:paraId="620A848E">
      <w:pPr>
        <w:spacing w:line="56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不参与围标串标承诺书</w:t>
      </w:r>
    </w:p>
    <w:p w14:paraId="2A499E15">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为诚实、客观、有序地参与</w:t>
      </w:r>
      <w:r>
        <w:rPr>
          <w:rFonts w:hint="eastAsia" w:ascii="宋体" w:hAnsi="宋体" w:eastAsia="宋体" w:cs="宋体"/>
          <w:i/>
          <w:iCs/>
          <w:color w:val="auto"/>
          <w:kern w:val="0"/>
          <w:sz w:val="24"/>
          <w:szCs w:val="24"/>
          <w:highlight w:val="none"/>
          <w:u w:val="single"/>
        </w:rPr>
        <w:t xml:space="preserve">                     </w:t>
      </w:r>
      <w:r>
        <w:rPr>
          <w:rFonts w:hint="eastAsia" w:ascii="宋体" w:hAnsi="宋体" w:eastAsia="宋体" w:cs="宋体"/>
          <w:i w:val="0"/>
          <w:iCs w:val="0"/>
          <w:color w:val="auto"/>
          <w:kern w:val="0"/>
          <w:sz w:val="24"/>
          <w:szCs w:val="24"/>
          <w:highlight w:val="none"/>
        </w:rPr>
        <w:t>项目采购活动，愿就以下内容作出承诺：</w:t>
      </w:r>
    </w:p>
    <w:p w14:paraId="32F6E106">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一、严格遵守国家法律法规和行业规范，诚实守信，公平竞争，不参与任何形式的围标、串标行为，不与其他投标供应商存在控股、管理及其他关联关系。</w:t>
      </w:r>
    </w:p>
    <w:p w14:paraId="46347ABE">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二、依法参加采购活动，不与其他供应商互相串通投标；不使用具有串标嫌疑、关联关系的公司参与投标（包括但不限于工商登记邮箱、电话号码、高管人员一致等）；不与采购人或者招标代理机构串通投标；不向采购人或者评标委员会成员行贿以牟取中标。不排挤其他供应商的公平竞争，不损害采购人的合法权益，不损害国家利益、社会公共利益或者他人的合法权益。</w:t>
      </w:r>
    </w:p>
    <w:p w14:paraId="0D6BA85D">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三、若在招标投标过程中发现其他投标人或相关方有围标、串标等违法行为，及时告知采购人或代理机构，积极配合调查。</w:t>
      </w:r>
    </w:p>
    <w:p w14:paraId="299E09AB">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四、愿接受社会各界监督。如有违反上述承诺行为，自愿放弃中标资格，限制以后投标，记入不良信用档案，没收本次投标保证金。同意采购人或代理机构有权将线索移交有关部门，并愿意承担由此引起的其他法律责任。</w:t>
      </w:r>
    </w:p>
    <w:p w14:paraId="3E6464F4">
      <w:pPr>
        <w:spacing w:line="560" w:lineRule="exact"/>
        <w:rPr>
          <w:rFonts w:hint="eastAsia" w:ascii="宋体" w:hAnsi="宋体" w:eastAsia="宋体" w:cs="宋体"/>
          <w:i w:val="0"/>
          <w:iCs w:val="0"/>
          <w:color w:val="auto"/>
          <w:kern w:val="0"/>
          <w:sz w:val="24"/>
          <w:szCs w:val="24"/>
          <w:highlight w:val="none"/>
        </w:rPr>
      </w:pPr>
    </w:p>
    <w:p w14:paraId="718D11ED">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供应商：                             （公章）</w:t>
      </w:r>
    </w:p>
    <w:p w14:paraId="38AF2F0D">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法定代表人或委托代理人：             （签字）</w:t>
      </w:r>
    </w:p>
    <w:p w14:paraId="2CE354BE">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 xml:space="preserve">                                    年   月   日</w:t>
      </w:r>
    </w:p>
    <w:p w14:paraId="74C30BF3">
      <w:pPr>
        <w:widowControl/>
        <w:spacing w:line="560" w:lineRule="exact"/>
        <w:ind w:firstLine="630"/>
        <w:jc w:val="left"/>
        <w:rPr>
          <w:rFonts w:hint="eastAsia" w:ascii="宋体" w:hAnsi="宋体" w:eastAsia="宋体" w:cs="宋体"/>
          <w:i w:val="0"/>
          <w:iCs w:val="0"/>
          <w:color w:val="auto"/>
          <w:kern w:val="0"/>
          <w:sz w:val="24"/>
          <w:szCs w:val="24"/>
          <w:highlight w:val="none"/>
        </w:rPr>
      </w:pPr>
    </w:p>
    <w:p w14:paraId="17A62EC9">
      <w:pPr>
        <w:pStyle w:val="11"/>
        <w:rPr>
          <w:rFonts w:hint="eastAsia"/>
          <w:i w:val="0"/>
          <w:iCs w:val="0"/>
          <w:color w:val="auto"/>
          <w:highlight w:val="none"/>
          <w:lang w:val="en-US" w:eastAsia="zh-CN"/>
        </w:rPr>
      </w:pPr>
    </w:p>
    <w:p w14:paraId="6FFD6171">
      <w:pPr>
        <w:pStyle w:val="11"/>
        <w:rPr>
          <w:rFonts w:hint="eastAsia"/>
          <w:i w:val="0"/>
          <w:iCs w:val="0"/>
          <w:color w:val="auto"/>
          <w:highlight w:val="none"/>
          <w:lang w:val="en-US" w:eastAsia="zh-CN"/>
        </w:rPr>
      </w:pPr>
    </w:p>
    <w:p w14:paraId="1AEB7F87">
      <w:pPr>
        <w:pStyle w:val="11"/>
        <w:rPr>
          <w:rFonts w:hint="eastAsia"/>
          <w:i w:val="0"/>
          <w:iCs w:val="0"/>
          <w:color w:val="auto"/>
          <w:highlight w:val="none"/>
          <w:lang w:val="en-US" w:eastAsia="zh-CN"/>
        </w:rPr>
      </w:pPr>
    </w:p>
    <w:p w14:paraId="456E642F">
      <w:pPr>
        <w:pStyle w:val="11"/>
        <w:rPr>
          <w:rFonts w:hint="eastAsia"/>
          <w:i w:val="0"/>
          <w:iCs w:val="0"/>
          <w:color w:val="auto"/>
          <w:highlight w:val="none"/>
          <w:lang w:val="en-US" w:eastAsia="zh-CN"/>
        </w:rPr>
      </w:pPr>
    </w:p>
    <w:p w14:paraId="33184101">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cstheme="majorBidi"/>
          <w:b/>
          <w:bCs/>
          <w:i w:val="0"/>
          <w:iCs w:val="0"/>
          <w:color w:val="auto"/>
          <w:kern w:val="2"/>
          <w:sz w:val="28"/>
          <w:szCs w:val="28"/>
          <w:highlight w:val="none"/>
          <w:lang w:val="zh-CN" w:eastAsia="zh-CN" w:bidi="ar-SA"/>
        </w:rPr>
      </w:pPr>
      <w:bookmarkStart w:id="689" w:name="_Toc19980"/>
      <w:r>
        <w:rPr>
          <w:rFonts w:hint="eastAsia" w:cstheme="majorBidi"/>
          <w:b/>
          <w:bCs/>
          <w:i w:val="0"/>
          <w:iCs w:val="0"/>
          <w:color w:val="auto"/>
          <w:kern w:val="2"/>
          <w:sz w:val="28"/>
          <w:szCs w:val="28"/>
          <w:highlight w:val="none"/>
          <w:lang w:val="en-US" w:eastAsia="zh-CN" w:bidi="ar-SA"/>
        </w:rPr>
        <w:t>六</w:t>
      </w:r>
      <w:r>
        <w:rPr>
          <w:rFonts w:hint="eastAsia" w:eastAsia="宋体" w:asciiTheme="majorHAnsi" w:hAnsiTheme="majorHAnsi" w:cstheme="majorBidi"/>
          <w:b/>
          <w:bCs/>
          <w:i w:val="0"/>
          <w:iCs w:val="0"/>
          <w:color w:val="auto"/>
          <w:kern w:val="2"/>
          <w:sz w:val="28"/>
          <w:szCs w:val="28"/>
          <w:highlight w:val="none"/>
          <w:lang w:val="en-US" w:eastAsia="zh-CN" w:bidi="ar-SA"/>
        </w:rPr>
        <w:t>、</w:t>
      </w:r>
      <w:r>
        <w:rPr>
          <w:rFonts w:hint="eastAsia" w:eastAsia="宋体" w:asciiTheme="majorHAnsi" w:hAnsiTheme="majorHAnsi" w:cstheme="majorBidi"/>
          <w:b/>
          <w:bCs/>
          <w:i w:val="0"/>
          <w:iCs w:val="0"/>
          <w:color w:val="auto"/>
          <w:kern w:val="2"/>
          <w:sz w:val="28"/>
          <w:szCs w:val="28"/>
          <w:highlight w:val="none"/>
          <w:lang w:val="zh-CN" w:eastAsia="zh-CN" w:bidi="ar-SA"/>
        </w:rPr>
        <w:t>其他资格证明文件</w:t>
      </w:r>
      <w:bookmarkEnd w:id="689"/>
    </w:p>
    <w:p w14:paraId="77C9E35F">
      <w:pPr>
        <w:pStyle w:val="40"/>
        <w:rPr>
          <w:rFonts w:hint="default" w:eastAsia="宋体"/>
          <w:i w:val="0"/>
          <w:iCs w:val="0"/>
          <w:color w:val="auto"/>
          <w:highlight w:val="none"/>
          <w:lang w:val="en-US" w:eastAsia="zh-CN"/>
        </w:rPr>
      </w:pPr>
      <w:r>
        <w:rPr>
          <w:rFonts w:hint="eastAsia" w:cs="Courier New"/>
          <w:i w:val="0"/>
          <w:iCs w:val="0"/>
          <w:color w:val="auto"/>
          <w:szCs w:val="24"/>
          <w:highlight w:val="none"/>
          <w:lang w:val="en-US" w:eastAsia="zh-CN"/>
        </w:rPr>
        <w:t>供应商</w:t>
      </w:r>
      <w:r>
        <w:rPr>
          <w:rFonts w:hint="eastAsia" w:cs="Courier New"/>
          <w:i w:val="0"/>
          <w:iCs w:val="0"/>
          <w:color w:val="auto"/>
          <w:szCs w:val="24"/>
          <w:highlight w:val="none"/>
        </w:rPr>
        <w:t>认为需提供的其它相关资格证明材料</w:t>
      </w:r>
      <w:r>
        <w:rPr>
          <w:rFonts w:hint="eastAsia" w:cs="Courier New"/>
          <w:i w:val="0"/>
          <w:iCs w:val="0"/>
          <w:color w:val="auto"/>
          <w:szCs w:val="24"/>
          <w:highlight w:val="none"/>
          <w:lang w:eastAsia="zh-CN"/>
        </w:rPr>
        <w:t>，</w:t>
      </w:r>
      <w:r>
        <w:rPr>
          <w:rFonts w:hint="eastAsia" w:cs="Courier New"/>
          <w:i w:val="0"/>
          <w:iCs w:val="0"/>
          <w:color w:val="auto"/>
          <w:szCs w:val="24"/>
          <w:highlight w:val="none"/>
          <w:lang w:val="en-US" w:eastAsia="zh-CN"/>
        </w:rPr>
        <w:t>如公告中</w:t>
      </w:r>
      <w:r>
        <w:rPr>
          <w:rFonts w:hint="eastAsia" w:cs="Courier New"/>
          <w:i w:val="0"/>
          <w:iCs w:val="0"/>
          <w:color w:val="auto"/>
          <w:szCs w:val="24"/>
          <w:highlight w:val="none"/>
          <w:lang w:eastAsia="zh-CN"/>
        </w:rPr>
        <w:t>本项目的特定资格要求</w:t>
      </w:r>
      <w:r>
        <w:rPr>
          <w:rFonts w:hint="eastAsia" w:cs="Courier New"/>
          <w:i w:val="0"/>
          <w:iCs w:val="0"/>
          <w:color w:val="auto"/>
          <w:szCs w:val="24"/>
          <w:highlight w:val="none"/>
          <w:lang w:val="en-US" w:eastAsia="zh-CN"/>
        </w:rPr>
        <w:t>相关证明</w:t>
      </w:r>
      <w:r>
        <w:rPr>
          <w:rFonts w:hint="eastAsia" w:cs="Courier New"/>
          <w:i w:val="0"/>
          <w:iCs w:val="0"/>
          <w:color w:val="auto"/>
          <w:szCs w:val="24"/>
          <w:highlight w:val="none"/>
          <w:lang w:eastAsia="zh-CN"/>
        </w:rPr>
        <w:t>。</w:t>
      </w:r>
    </w:p>
    <w:p w14:paraId="680A7B5F">
      <w:pPr>
        <w:pStyle w:val="40"/>
        <w:rPr>
          <w:rFonts w:hint="eastAsia"/>
          <w:i w:val="0"/>
          <w:iCs w:val="0"/>
          <w:color w:val="auto"/>
          <w:highlight w:val="none"/>
        </w:rPr>
      </w:pPr>
    </w:p>
    <w:p w14:paraId="453936AC">
      <w:pPr>
        <w:pStyle w:val="40"/>
        <w:rPr>
          <w:rFonts w:hint="eastAsia"/>
          <w:i w:val="0"/>
          <w:iCs w:val="0"/>
          <w:color w:val="auto"/>
          <w:highlight w:val="none"/>
        </w:rPr>
      </w:pPr>
    </w:p>
    <w:p w14:paraId="671994FA">
      <w:pPr>
        <w:pStyle w:val="40"/>
        <w:rPr>
          <w:rFonts w:hint="eastAsia"/>
          <w:i w:val="0"/>
          <w:iCs w:val="0"/>
          <w:color w:val="auto"/>
          <w:highlight w:val="none"/>
        </w:rPr>
      </w:pPr>
    </w:p>
    <w:p w14:paraId="43872059">
      <w:pPr>
        <w:pStyle w:val="40"/>
        <w:rPr>
          <w:rFonts w:hint="eastAsia"/>
          <w:i w:val="0"/>
          <w:iCs w:val="0"/>
          <w:color w:val="auto"/>
          <w:highlight w:val="none"/>
        </w:rPr>
      </w:pPr>
    </w:p>
    <w:p w14:paraId="13EF145F">
      <w:pPr>
        <w:pStyle w:val="40"/>
        <w:rPr>
          <w:rFonts w:hint="eastAsia"/>
          <w:i w:val="0"/>
          <w:iCs w:val="0"/>
          <w:color w:val="auto"/>
          <w:highlight w:val="none"/>
        </w:rPr>
      </w:pPr>
    </w:p>
    <w:p w14:paraId="5DD1A527">
      <w:pPr>
        <w:pStyle w:val="40"/>
        <w:rPr>
          <w:rFonts w:hint="eastAsia"/>
          <w:i w:val="0"/>
          <w:iCs w:val="0"/>
          <w:color w:val="auto"/>
          <w:highlight w:val="none"/>
        </w:rPr>
      </w:pPr>
    </w:p>
    <w:p w14:paraId="045D4071">
      <w:pPr>
        <w:pStyle w:val="40"/>
        <w:rPr>
          <w:rFonts w:hint="eastAsia"/>
          <w:i w:val="0"/>
          <w:iCs w:val="0"/>
          <w:color w:val="auto"/>
          <w:highlight w:val="none"/>
        </w:rPr>
      </w:pPr>
    </w:p>
    <w:p w14:paraId="6EF3043A">
      <w:pPr>
        <w:pStyle w:val="40"/>
        <w:rPr>
          <w:rFonts w:hint="eastAsia"/>
          <w:i w:val="0"/>
          <w:iCs w:val="0"/>
          <w:color w:val="auto"/>
          <w:highlight w:val="none"/>
        </w:rPr>
      </w:pPr>
    </w:p>
    <w:p w14:paraId="1B27FB1A">
      <w:pPr>
        <w:pStyle w:val="40"/>
        <w:rPr>
          <w:rFonts w:hint="eastAsia"/>
          <w:i w:val="0"/>
          <w:iCs w:val="0"/>
          <w:color w:val="auto"/>
          <w:highlight w:val="none"/>
        </w:rPr>
      </w:pPr>
    </w:p>
    <w:p w14:paraId="5B68AF5B">
      <w:pPr>
        <w:pStyle w:val="40"/>
        <w:rPr>
          <w:rFonts w:hint="eastAsia"/>
          <w:i w:val="0"/>
          <w:iCs w:val="0"/>
          <w:color w:val="auto"/>
          <w:highlight w:val="none"/>
        </w:rPr>
      </w:pPr>
    </w:p>
    <w:p w14:paraId="2DD3061E">
      <w:pPr>
        <w:pStyle w:val="40"/>
        <w:rPr>
          <w:rFonts w:hint="eastAsia"/>
          <w:i w:val="0"/>
          <w:iCs w:val="0"/>
          <w:color w:val="auto"/>
          <w:highlight w:val="none"/>
        </w:rPr>
      </w:pPr>
    </w:p>
    <w:p w14:paraId="24E0F5D6">
      <w:pPr>
        <w:pStyle w:val="40"/>
        <w:rPr>
          <w:rFonts w:hint="eastAsia"/>
          <w:i w:val="0"/>
          <w:iCs w:val="0"/>
          <w:color w:val="auto"/>
          <w:highlight w:val="none"/>
        </w:rPr>
      </w:pPr>
    </w:p>
    <w:p w14:paraId="3CA5B2EA">
      <w:pPr>
        <w:pStyle w:val="40"/>
        <w:rPr>
          <w:rFonts w:hint="eastAsia"/>
          <w:i w:val="0"/>
          <w:iCs w:val="0"/>
          <w:color w:val="auto"/>
          <w:highlight w:val="none"/>
        </w:rPr>
      </w:pPr>
    </w:p>
    <w:p w14:paraId="1A09258B">
      <w:pPr>
        <w:pStyle w:val="40"/>
        <w:rPr>
          <w:rFonts w:hint="eastAsia"/>
          <w:i w:val="0"/>
          <w:iCs w:val="0"/>
          <w:color w:val="auto"/>
          <w:highlight w:val="none"/>
        </w:rPr>
      </w:pPr>
    </w:p>
    <w:p w14:paraId="68982619">
      <w:pPr>
        <w:pStyle w:val="40"/>
        <w:rPr>
          <w:rFonts w:hint="eastAsia"/>
          <w:i w:val="0"/>
          <w:iCs w:val="0"/>
          <w:color w:val="auto"/>
          <w:highlight w:val="none"/>
        </w:rPr>
      </w:pPr>
    </w:p>
    <w:p w14:paraId="2493EC7E">
      <w:pPr>
        <w:pStyle w:val="40"/>
        <w:rPr>
          <w:rFonts w:hint="eastAsia"/>
          <w:i w:val="0"/>
          <w:iCs w:val="0"/>
          <w:color w:val="auto"/>
          <w:highlight w:val="none"/>
        </w:rPr>
      </w:pPr>
    </w:p>
    <w:p w14:paraId="304DEC83">
      <w:pPr>
        <w:pStyle w:val="40"/>
        <w:rPr>
          <w:rFonts w:hint="eastAsia"/>
          <w:i w:val="0"/>
          <w:iCs w:val="0"/>
          <w:color w:val="auto"/>
          <w:highlight w:val="none"/>
        </w:rPr>
      </w:pPr>
    </w:p>
    <w:p w14:paraId="276B39F5">
      <w:pPr>
        <w:pStyle w:val="40"/>
        <w:rPr>
          <w:rFonts w:hint="eastAsia"/>
          <w:i w:val="0"/>
          <w:iCs w:val="0"/>
          <w:color w:val="auto"/>
          <w:highlight w:val="none"/>
        </w:rPr>
      </w:pPr>
    </w:p>
    <w:p w14:paraId="7480142F">
      <w:pPr>
        <w:pStyle w:val="40"/>
        <w:rPr>
          <w:rFonts w:hint="eastAsia"/>
          <w:i w:val="0"/>
          <w:iCs w:val="0"/>
          <w:color w:val="auto"/>
          <w:highlight w:val="none"/>
        </w:rPr>
      </w:pPr>
    </w:p>
    <w:p w14:paraId="70A7EC82">
      <w:pPr>
        <w:pStyle w:val="40"/>
        <w:rPr>
          <w:rFonts w:hint="eastAsia"/>
          <w:i w:val="0"/>
          <w:iCs w:val="0"/>
          <w:color w:val="auto"/>
          <w:highlight w:val="none"/>
        </w:rPr>
      </w:pPr>
    </w:p>
    <w:p w14:paraId="3BE98917">
      <w:pPr>
        <w:pStyle w:val="40"/>
        <w:rPr>
          <w:rFonts w:hint="eastAsia"/>
          <w:i w:val="0"/>
          <w:iCs w:val="0"/>
          <w:color w:val="auto"/>
          <w:highlight w:val="none"/>
        </w:rPr>
      </w:pPr>
    </w:p>
    <w:p w14:paraId="6574D1B7">
      <w:pPr>
        <w:pStyle w:val="40"/>
        <w:rPr>
          <w:rFonts w:hint="eastAsia"/>
          <w:i w:val="0"/>
          <w:iCs w:val="0"/>
          <w:color w:val="auto"/>
          <w:highlight w:val="none"/>
        </w:rPr>
      </w:pPr>
    </w:p>
    <w:p w14:paraId="181742A6">
      <w:pPr>
        <w:pStyle w:val="40"/>
        <w:rPr>
          <w:rFonts w:hint="eastAsia"/>
          <w:i w:val="0"/>
          <w:iCs w:val="0"/>
          <w:color w:val="auto"/>
          <w:highlight w:val="none"/>
        </w:rPr>
      </w:pPr>
    </w:p>
    <w:p w14:paraId="2F7C7A6E">
      <w:pPr>
        <w:pStyle w:val="40"/>
        <w:rPr>
          <w:rFonts w:hint="eastAsia"/>
          <w:i w:val="0"/>
          <w:iCs w:val="0"/>
          <w:color w:val="auto"/>
          <w:highlight w:val="none"/>
        </w:rPr>
      </w:pPr>
    </w:p>
    <w:p w14:paraId="4B8DDF8F">
      <w:pPr>
        <w:pStyle w:val="40"/>
        <w:rPr>
          <w:rFonts w:hint="eastAsia"/>
          <w:i w:val="0"/>
          <w:iCs w:val="0"/>
          <w:color w:val="auto"/>
          <w:highlight w:val="none"/>
        </w:rPr>
      </w:pPr>
    </w:p>
    <w:p w14:paraId="7B2F1A82">
      <w:pPr>
        <w:pStyle w:val="40"/>
        <w:rPr>
          <w:rFonts w:hint="eastAsia"/>
          <w:i w:val="0"/>
          <w:iCs w:val="0"/>
          <w:color w:val="auto"/>
          <w:highlight w:val="none"/>
        </w:rPr>
      </w:pPr>
    </w:p>
    <w:p w14:paraId="2FB4A42D">
      <w:pPr>
        <w:pStyle w:val="66"/>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i w:val="0"/>
          <w:iCs w:val="0"/>
          <w:color w:val="auto"/>
          <w:highlight w:val="none"/>
          <w:lang w:val="en-US" w:eastAsia="zh-CN"/>
        </w:rPr>
      </w:pPr>
    </w:p>
    <w:p w14:paraId="6C3920F8">
      <w:pPr>
        <w:ind w:firstLine="480" w:firstLineChars="200"/>
        <w:rPr>
          <w:rFonts w:cs="仿宋_GB2312"/>
          <w:i w:val="0"/>
          <w:iCs w:val="0"/>
          <w:color w:val="auto"/>
          <w:szCs w:val="24"/>
          <w:highlight w:val="none"/>
          <w:lang w:val="zh-CN"/>
        </w:rPr>
      </w:pPr>
      <w:r>
        <w:rPr>
          <w:rFonts w:hint="eastAsia" w:cs="仿宋_GB2312"/>
          <w:i w:val="0"/>
          <w:iCs w:val="0"/>
          <w:color w:val="auto"/>
          <w:szCs w:val="24"/>
          <w:highlight w:val="none"/>
          <w:lang w:val="zh-CN"/>
        </w:rPr>
        <w:t>封面：</w:t>
      </w:r>
    </w:p>
    <w:p w14:paraId="382E5926">
      <w:pPr>
        <w:autoSpaceDE w:val="0"/>
        <w:autoSpaceDN w:val="0"/>
        <w:adjustRightInd w:val="0"/>
        <w:rPr>
          <w:i w:val="0"/>
          <w:iCs w:val="0"/>
          <w:color w:val="auto"/>
          <w:sz w:val="21"/>
          <w:szCs w:val="24"/>
          <w:highlight w:val="none"/>
        </w:rPr>
      </w:pPr>
    </w:p>
    <w:p w14:paraId="731A60CE">
      <w:pPr>
        <w:autoSpaceDE w:val="0"/>
        <w:autoSpaceDN w:val="0"/>
        <w:adjustRightInd w:val="0"/>
        <w:rPr>
          <w:i w:val="0"/>
          <w:iCs w:val="0"/>
          <w:color w:val="auto"/>
          <w:sz w:val="21"/>
          <w:szCs w:val="24"/>
          <w:highlight w:val="none"/>
        </w:rPr>
      </w:pPr>
    </w:p>
    <w:p w14:paraId="05D49386">
      <w:pPr>
        <w:autoSpaceDE w:val="0"/>
        <w:autoSpaceDN w:val="0"/>
        <w:adjustRightInd w:val="0"/>
        <w:jc w:val="center"/>
        <w:rPr>
          <w:i w:val="0"/>
          <w:iCs w:val="0"/>
          <w:color w:val="auto"/>
          <w:sz w:val="21"/>
          <w:szCs w:val="24"/>
          <w:highlight w:val="none"/>
        </w:rPr>
      </w:pPr>
    </w:p>
    <w:p w14:paraId="5C75D4B0">
      <w:pPr>
        <w:pStyle w:val="4"/>
        <w:bidi w:val="0"/>
        <w:jc w:val="center"/>
        <w:rPr>
          <w:color w:val="auto"/>
          <w:sz w:val="84"/>
          <w:szCs w:val="84"/>
          <w:highlight w:val="none"/>
        </w:rPr>
      </w:pPr>
      <w:bookmarkStart w:id="690" w:name="_Toc25204"/>
      <w:r>
        <w:rPr>
          <w:rFonts w:hint="eastAsia"/>
          <w:color w:val="auto"/>
          <w:sz w:val="84"/>
          <w:szCs w:val="84"/>
          <w:highlight w:val="none"/>
          <w:lang w:val="en-US" w:eastAsia="zh-CN"/>
        </w:rPr>
        <w:t>响 应</w:t>
      </w:r>
      <w:r>
        <w:rPr>
          <w:rFonts w:hint="eastAsia"/>
          <w:color w:val="auto"/>
          <w:sz w:val="84"/>
          <w:szCs w:val="84"/>
          <w:highlight w:val="none"/>
        </w:rPr>
        <w:t xml:space="preserve"> 文 件</w:t>
      </w:r>
      <w:bookmarkEnd w:id="690"/>
    </w:p>
    <w:p w14:paraId="781A253E">
      <w:pPr>
        <w:pStyle w:val="3"/>
        <w:bidi w:val="0"/>
        <w:jc w:val="center"/>
        <w:rPr>
          <w:rFonts w:hint="eastAsia"/>
          <w:color w:val="auto"/>
          <w:sz w:val="56"/>
          <w:szCs w:val="56"/>
          <w:highlight w:val="none"/>
          <w:lang w:val="en-US" w:eastAsia="zh-CN"/>
        </w:rPr>
      </w:pPr>
      <w:bookmarkStart w:id="691" w:name="_Toc6323"/>
      <w:r>
        <w:rPr>
          <w:rFonts w:hint="eastAsia"/>
          <w:color w:val="auto"/>
          <w:sz w:val="56"/>
          <w:szCs w:val="56"/>
          <w:highlight w:val="none"/>
          <w:lang w:val="en-US" w:eastAsia="zh-CN"/>
        </w:rPr>
        <w:t>报价文件</w:t>
      </w:r>
      <w:bookmarkEnd w:id="691"/>
    </w:p>
    <w:p w14:paraId="507D2F9D">
      <w:pPr>
        <w:autoSpaceDE w:val="0"/>
        <w:autoSpaceDN w:val="0"/>
        <w:adjustRightInd w:val="0"/>
        <w:jc w:val="center"/>
        <w:rPr>
          <w:rFonts w:hint="eastAsia" w:eastAsia="宋体"/>
          <w:i w:val="0"/>
          <w:iCs w:val="0"/>
          <w:color w:val="auto"/>
          <w:sz w:val="36"/>
          <w:szCs w:val="36"/>
          <w:highlight w:val="none"/>
          <w:lang w:eastAsia="zh-CN"/>
        </w:rPr>
      </w:pPr>
      <w:r>
        <w:rPr>
          <w:rFonts w:hint="eastAsia"/>
          <w:i w:val="0"/>
          <w:iCs w:val="0"/>
          <w:color w:val="auto"/>
          <w:sz w:val="36"/>
          <w:szCs w:val="36"/>
          <w:highlight w:val="none"/>
          <w:lang w:val="en-US" w:eastAsia="zh-CN"/>
        </w:rPr>
        <w:t>（第XX包</w:t>
      </w:r>
      <w:r>
        <w:rPr>
          <w:rFonts w:hint="eastAsia"/>
          <w:i w:val="0"/>
          <w:iCs w:val="0"/>
          <w:color w:val="auto"/>
          <w:sz w:val="36"/>
          <w:szCs w:val="36"/>
          <w:highlight w:val="none"/>
          <w:lang w:eastAsia="zh-CN"/>
        </w:rPr>
        <w:t>）【</w:t>
      </w:r>
      <w:r>
        <w:rPr>
          <w:rFonts w:hint="eastAsia"/>
          <w:i w:val="0"/>
          <w:iCs w:val="0"/>
          <w:color w:val="auto"/>
          <w:sz w:val="36"/>
          <w:szCs w:val="36"/>
          <w:highlight w:val="none"/>
          <w:lang w:val="en-US" w:eastAsia="zh-CN"/>
        </w:rPr>
        <w:t>如不分包，请删去本行</w:t>
      </w:r>
      <w:r>
        <w:rPr>
          <w:rFonts w:hint="eastAsia"/>
          <w:i w:val="0"/>
          <w:iCs w:val="0"/>
          <w:color w:val="auto"/>
          <w:sz w:val="36"/>
          <w:szCs w:val="36"/>
          <w:highlight w:val="none"/>
          <w:lang w:eastAsia="zh-CN"/>
        </w:rPr>
        <w:t>】</w:t>
      </w:r>
    </w:p>
    <w:p w14:paraId="51AE96B7">
      <w:pPr>
        <w:pStyle w:val="3"/>
        <w:rPr>
          <w:i w:val="0"/>
          <w:iCs w:val="0"/>
          <w:color w:val="auto"/>
          <w:sz w:val="21"/>
          <w:szCs w:val="21"/>
          <w:highlight w:val="none"/>
        </w:rPr>
      </w:pPr>
    </w:p>
    <w:p w14:paraId="1B47BAE7">
      <w:pPr>
        <w:rPr>
          <w:i w:val="0"/>
          <w:iCs w:val="0"/>
          <w:color w:val="auto"/>
          <w:sz w:val="21"/>
          <w:szCs w:val="21"/>
          <w:highlight w:val="none"/>
        </w:rPr>
      </w:pPr>
    </w:p>
    <w:p w14:paraId="2753DE04">
      <w:pPr>
        <w:rPr>
          <w:i w:val="0"/>
          <w:iCs w:val="0"/>
          <w:color w:val="auto"/>
          <w:highlight w:val="none"/>
        </w:rPr>
      </w:pPr>
    </w:p>
    <w:p w14:paraId="0581C2BD">
      <w:pPr>
        <w:autoSpaceDE w:val="0"/>
        <w:autoSpaceDN w:val="0"/>
        <w:adjustRightInd w:val="0"/>
        <w:rPr>
          <w:i w:val="0"/>
          <w:iCs w:val="0"/>
          <w:color w:val="auto"/>
          <w:sz w:val="21"/>
          <w:szCs w:val="21"/>
          <w:highlight w:val="none"/>
        </w:rPr>
      </w:pPr>
    </w:p>
    <w:p w14:paraId="3707FB6E">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项目编号</w:t>
      </w:r>
      <w:r>
        <w:rPr>
          <w:rFonts w:hint="eastAsia" w:ascii="宋体" w:hAnsi="宋体" w:eastAsia="宋体" w:cs="宋体"/>
          <w:i w:val="0"/>
          <w:iCs w:val="0"/>
          <w:color w:val="auto"/>
          <w:sz w:val="36"/>
          <w:szCs w:val="36"/>
          <w:highlight w:val="none"/>
          <w:lang w:val="en-US" w:eastAsia="zh-CN"/>
        </w:rPr>
        <w:t>/包号</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42C0CD7A">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项目名称：</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29417731">
      <w:pPr>
        <w:ind w:left="420" w:leftChars="175"/>
        <w:rPr>
          <w:rFonts w:hint="eastAsia" w:ascii="宋体" w:hAnsi="宋体" w:eastAsia="宋体" w:cs="宋体"/>
          <w:i w:val="0"/>
          <w:iCs w:val="0"/>
          <w:color w:val="auto"/>
          <w:sz w:val="36"/>
          <w:szCs w:val="36"/>
          <w:highlight w:val="none"/>
        </w:rPr>
      </w:pPr>
      <w:r>
        <w:rPr>
          <w:rFonts w:hint="eastAsia" w:cs="宋体"/>
          <w:i w:val="0"/>
          <w:iCs w:val="0"/>
          <w:color w:val="auto"/>
          <w:sz w:val="36"/>
          <w:szCs w:val="36"/>
          <w:highlight w:val="none"/>
          <w:lang w:val="en-US" w:eastAsia="zh-CN"/>
        </w:rPr>
        <w:t>供 应 商</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06909597">
      <w:pPr>
        <w:ind w:left="840" w:firstLine="420"/>
        <w:rPr>
          <w:b/>
          <w:bCs/>
          <w:i w:val="0"/>
          <w:iCs w:val="0"/>
          <w:color w:val="auto"/>
          <w:sz w:val="28"/>
          <w:szCs w:val="28"/>
          <w:highlight w:val="none"/>
        </w:rPr>
      </w:pPr>
    </w:p>
    <w:p w14:paraId="76D6809E">
      <w:pPr>
        <w:ind w:left="840" w:firstLine="420"/>
        <w:rPr>
          <w:b/>
          <w:bCs/>
          <w:i w:val="0"/>
          <w:iCs w:val="0"/>
          <w:color w:val="auto"/>
          <w:sz w:val="28"/>
          <w:szCs w:val="28"/>
          <w:highlight w:val="none"/>
        </w:rPr>
      </w:pPr>
    </w:p>
    <w:p w14:paraId="243BE84E">
      <w:pPr>
        <w:jc w:val="center"/>
        <w:rPr>
          <w:rFonts w:ascii="黑体" w:hAnsi="黑体" w:eastAsia="黑体"/>
          <w:i w:val="0"/>
          <w:iCs w:val="0"/>
          <w:color w:val="auto"/>
          <w:sz w:val="32"/>
          <w:szCs w:val="32"/>
          <w:highlight w:val="none"/>
        </w:rPr>
      </w:pPr>
      <w:r>
        <w:rPr>
          <w:rFonts w:hint="eastAsia" w:ascii="宋体" w:hAnsi="宋体" w:eastAsia="宋体" w:cs="宋体"/>
          <w:i w:val="0"/>
          <w:iCs w:val="0"/>
          <w:color w:val="auto"/>
          <w:sz w:val="32"/>
          <w:szCs w:val="32"/>
          <w:highlight w:val="none"/>
        </w:rPr>
        <w:t>年   月    日</w:t>
      </w:r>
    </w:p>
    <w:p w14:paraId="35B20AE9">
      <w:pPr>
        <w:rPr>
          <w:i w:val="0"/>
          <w:iCs w:val="0"/>
          <w:color w:val="auto"/>
          <w:highlight w:val="none"/>
          <w:lang w:val="zh-CN"/>
        </w:rPr>
      </w:pPr>
      <w:r>
        <w:rPr>
          <w:i w:val="0"/>
          <w:iCs w:val="0"/>
          <w:color w:val="auto"/>
          <w:highlight w:val="none"/>
          <w:lang w:val="zh-CN"/>
        </w:rPr>
        <w:br w:type="page"/>
      </w:r>
    </w:p>
    <w:p w14:paraId="447F0E61">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p>
    <w:p w14:paraId="20CF3756">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bookmarkStart w:id="692" w:name="_Toc10882"/>
      <w:r>
        <w:rPr>
          <w:rFonts w:hint="eastAsia" w:cstheme="majorBidi"/>
          <w:b/>
          <w:bCs/>
          <w:i w:val="0"/>
          <w:iCs w:val="0"/>
          <w:color w:val="auto"/>
          <w:kern w:val="2"/>
          <w:sz w:val="32"/>
          <w:szCs w:val="32"/>
          <w:highlight w:val="none"/>
          <w:lang w:val="en-US" w:eastAsia="zh-CN" w:bidi="ar-SA"/>
        </w:rPr>
        <w:t>一、报价一览表</w:t>
      </w:r>
      <w:bookmarkEnd w:id="692"/>
    </w:p>
    <w:p w14:paraId="241FA595">
      <w:pPr>
        <w:spacing w:line="300" w:lineRule="auto"/>
        <w:rPr>
          <w:rFonts w:cs="仿宋_GB2312"/>
          <w:i w:val="0"/>
          <w:iCs w:val="0"/>
          <w:color w:val="auto"/>
          <w:szCs w:val="24"/>
          <w:highlight w:val="none"/>
        </w:rPr>
      </w:pPr>
    </w:p>
    <w:p w14:paraId="10EFF48D">
      <w:pPr>
        <w:rPr>
          <w:b w:val="0"/>
          <w:bCs/>
          <w:i w:val="0"/>
          <w:iCs w:val="0"/>
          <w:color w:val="auto"/>
          <w:szCs w:val="21"/>
          <w:highlight w:val="none"/>
          <w:lang w:val="zh-CN"/>
        </w:rPr>
      </w:pPr>
      <w:r>
        <w:rPr>
          <w:rFonts w:hint="eastAsia"/>
          <w:b w:val="0"/>
          <w:bCs/>
          <w:i w:val="0"/>
          <w:iCs w:val="0"/>
          <w:color w:val="auto"/>
          <w:szCs w:val="21"/>
          <w:highlight w:val="none"/>
          <w:lang w:val="zh-CN"/>
        </w:rPr>
        <w:t>项目名称：</w:t>
      </w:r>
      <w:r>
        <w:rPr>
          <w:rFonts w:hint="eastAsia"/>
          <w:b w:val="0"/>
          <w:bCs/>
          <w:i w:val="0"/>
          <w:iCs w:val="0"/>
          <w:color w:val="auto"/>
          <w:szCs w:val="21"/>
          <w:highlight w:val="none"/>
          <w:u w:val="single"/>
          <w:lang w:val="zh-CN"/>
        </w:rPr>
        <w:t xml:space="preserve">                     </w:t>
      </w:r>
    </w:p>
    <w:p w14:paraId="6E3677A6">
      <w:pPr>
        <w:rPr>
          <w:b w:val="0"/>
          <w:bCs/>
          <w:i w:val="0"/>
          <w:iCs w:val="0"/>
          <w:color w:val="auto"/>
          <w:szCs w:val="21"/>
          <w:highlight w:val="none"/>
          <w:u w:val="single"/>
          <w:lang w:val="zh-CN"/>
        </w:rPr>
      </w:pPr>
      <w:r>
        <w:rPr>
          <w:rFonts w:hint="eastAsia"/>
          <w:b w:val="0"/>
          <w:bCs/>
          <w:i w:val="0"/>
          <w:iCs w:val="0"/>
          <w:color w:val="auto"/>
          <w:szCs w:val="21"/>
          <w:highlight w:val="none"/>
          <w:lang w:val="zh-CN"/>
        </w:rPr>
        <w:t>项目编号</w:t>
      </w:r>
      <w:r>
        <w:rPr>
          <w:rFonts w:hint="eastAsia"/>
          <w:b w:val="0"/>
          <w:bCs/>
          <w:i w:val="0"/>
          <w:iCs w:val="0"/>
          <w:color w:val="auto"/>
          <w:szCs w:val="21"/>
          <w:highlight w:val="none"/>
          <w:lang w:val="en-US" w:eastAsia="zh-CN"/>
        </w:rPr>
        <w:t>/</w:t>
      </w:r>
      <w:r>
        <w:rPr>
          <w:rFonts w:hint="eastAsia"/>
          <w:b w:val="0"/>
          <w:bCs/>
          <w:i w:val="0"/>
          <w:iCs w:val="0"/>
          <w:color w:val="auto"/>
          <w:szCs w:val="21"/>
          <w:highlight w:val="none"/>
          <w:lang w:val="zh-CN"/>
        </w:rPr>
        <w:t>包号：</w:t>
      </w:r>
      <w:r>
        <w:rPr>
          <w:rFonts w:hint="eastAsia"/>
          <w:b w:val="0"/>
          <w:bCs/>
          <w:i w:val="0"/>
          <w:iCs w:val="0"/>
          <w:color w:val="auto"/>
          <w:szCs w:val="21"/>
          <w:highlight w:val="none"/>
          <w:u w:val="single"/>
          <w:lang w:val="zh-CN"/>
        </w:rPr>
        <w:t xml:space="preserve">                </w:t>
      </w:r>
    </w:p>
    <w:p w14:paraId="090188B1">
      <w:pPr>
        <w:ind w:right="1008" w:firstLine="4284" w:firstLineChars="1700"/>
        <w:rPr>
          <w:rFonts w:hint="eastAsia" w:cs="宋体"/>
          <w:i w:val="0"/>
          <w:iCs w:val="0"/>
          <w:color w:val="auto"/>
          <w:spacing w:val="6"/>
          <w:szCs w:val="24"/>
          <w:highlight w:val="none"/>
          <w:lang w:val="en-US" w:eastAsia="zh-CN"/>
        </w:rPr>
      </w:pPr>
    </w:p>
    <w:tbl>
      <w:tblPr>
        <w:tblStyle w:val="32"/>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3"/>
        <w:gridCol w:w="2352"/>
        <w:gridCol w:w="2161"/>
        <w:gridCol w:w="2611"/>
      </w:tblGrid>
      <w:tr w14:paraId="37F37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1403" w:type="dxa"/>
            <w:vAlign w:val="center"/>
          </w:tcPr>
          <w:p w14:paraId="0016AE0B">
            <w:pPr>
              <w:widowControl/>
              <w:autoSpaceDE w:val="0"/>
              <w:autoSpaceDN w:val="0"/>
              <w:jc w:val="center"/>
              <w:textAlignment w:val="bottom"/>
              <w:rPr>
                <w:i w:val="0"/>
                <w:iCs w:val="0"/>
                <w:color w:val="auto"/>
                <w:szCs w:val="21"/>
                <w:highlight w:val="none"/>
              </w:rPr>
            </w:pPr>
            <w:r>
              <w:rPr>
                <w:rFonts w:hint="eastAsia"/>
                <w:i w:val="0"/>
                <w:iCs w:val="0"/>
                <w:color w:val="auto"/>
                <w:szCs w:val="21"/>
                <w:highlight w:val="none"/>
              </w:rPr>
              <w:t>序号</w:t>
            </w:r>
          </w:p>
        </w:tc>
        <w:tc>
          <w:tcPr>
            <w:tcW w:w="2352" w:type="dxa"/>
            <w:vAlign w:val="center"/>
          </w:tcPr>
          <w:p w14:paraId="224C9AF7">
            <w:pPr>
              <w:tabs>
                <w:tab w:val="left" w:pos="1337"/>
              </w:tabs>
              <w:spacing w:line="360" w:lineRule="auto"/>
              <w:jc w:val="center"/>
              <w:rPr>
                <w:rFonts w:hint="eastAsia" w:ascii="仿宋" w:hAnsi="仿宋" w:eastAsia="仿宋" w:cs="仿宋"/>
                <w:bCs/>
                <w:sz w:val="24"/>
                <w:szCs w:val="22"/>
                <w:highlight w:val="none"/>
                <w:u w:val="none" w:color="auto"/>
              </w:rPr>
            </w:pPr>
            <w:r>
              <w:rPr>
                <w:rFonts w:hint="eastAsia" w:ascii="仿宋" w:hAnsi="仿宋" w:eastAsia="仿宋" w:cs="仿宋"/>
                <w:bCs/>
                <w:sz w:val="24"/>
                <w:szCs w:val="22"/>
                <w:highlight w:val="none"/>
                <w:u w:val="none" w:color="auto"/>
              </w:rPr>
              <w:t>投 标 报 价</w:t>
            </w:r>
          </w:p>
          <w:p w14:paraId="7E7CF957">
            <w:pPr>
              <w:widowControl/>
              <w:autoSpaceDE w:val="0"/>
              <w:autoSpaceDN w:val="0"/>
              <w:ind w:left="851" w:hanging="851"/>
              <w:jc w:val="center"/>
              <w:textAlignment w:val="bottom"/>
              <w:rPr>
                <w:i w:val="0"/>
                <w:iCs w:val="0"/>
                <w:color w:val="auto"/>
                <w:szCs w:val="21"/>
                <w:highlight w:val="none"/>
              </w:rPr>
            </w:pPr>
            <w:r>
              <w:rPr>
                <w:rFonts w:hint="eastAsia" w:ascii="仿宋" w:hAnsi="仿宋" w:eastAsia="仿宋" w:cs="仿宋"/>
                <w:bCs/>
                <w:sz w:val="24"/>
                <w:szCs w:val="22"/>
                <w:highlight w:val="none"/>
                <w:u w:val="none" w:color="auto"/>
                <w:lang w:eastAsia="zh-CN"/>
              </w:rPr>
              <w:t>（</w:t>
            </w:r>
            <w:r>
              <w:rPr>
                <w:rFonts w:hint="eastAsia" w:ascii="仿宋" w:hAnsi="仿宋" w:eastAsia="仿宋" w:cs="仿宋"/>
                <w:bCs/>
                <w:sz w:val="24"/>
                <w:szCs w:val="22"/>
                <w:highlight w:val="none"/>
                <w:u w:val="none" w:color="auto"/>
                <w:lang w:val="en-US" w:eastAsia="zh-CN"/>
              </w:rPr>
              <w:t>下浮率%</w:t>
            </w:r>
            <w:r>
              <w:rPr>
                <w:rFonts w:hint="eastAsia" w:ascii="仿宋" w:hAnsi="仿宋" w:eastAsia="仿宋" w:cs="仿宋"/>
                <w:bCs/>
                <w:sz w:val="24"/>
                <w:szCs w:val="22"/>
                <w:highlight w:val="none"/>
                <w:u w:val="none" w:color="auto"/>
                <w:lang w:eastAsia="zh-CN"/>
              </w:rPr>
              <w:t>）</w:t>
            </w:r>
          </w:p>
        </w:tc>
        <w:tc>
          <w:tcPr>
            <w:tcW w:w="2161" w:type="dxa"/>
            <w:vAlign w:val="center"/>
          </w:tcPr>
          <w:p w14:paraId="4F523D4E">
            <w:pPr>
              <w:widowControl/>
              <w:autoSpaceDE w:val="0"/>
              <w:autoSpaceDN w:val="0"/>
              <w:ind w:left="851" w:hanging="851"/>
              <w:jc w:val="center"/>
              <w:textAlignment w:val="bottom"/>
              <w:rPr>
                <w:i w:val="0"/>
                <w:iCs w:val="0"/>
                <w:color w:val="auto"/>
                <w:szCs w:val="21"/>
                <w:highlight w:val="none"/>
              </w:rPr>
            </w:pPr>
            <w:r>
              <w:rPr>
                <w:rFonts w:hint="eastAsia"/>
                <w:i w:val="0"/>
                <w:iCs w:val="0"/>
                <w:color w:val="auto"/>
                <w:szCs w:val="21"/>
                <w:highlight w:val="none"/>
                <w:lang w:val="en-US" w:eastAsia="zh-CN"/>
              </w:rPr>
              <w:t>服务</w:t>
            </w:r>
            <w:r>
              <w:rPr>
                <w:rFonts w:hint="eastAsia"/>
                <w:i w:val="0"/>
                <w:iCs w:val="0"/>
                <w:color w:val="auto"/>
                <w:szCs w:val="21"/>
                <w:highlight w:val="none"/>
              </w:rPr>
              <w:t>期限</w:t>
            </w:r>
          </w:p>
        </w:tc>
        <w:tc>
          <w:tcPr>
            <w:tcW w:w="2611" w:type="dxa"/>
            <w:vAlign w:val="center"/>
          </w:tcPr>
          <w:p w14:paraId="4655980B">
            <w:pPr>
              <w:widowControl/>
              <w:autoSpaceDE w:val="0"/>
              <w:autoSpaceDN w:val="0"/>
              <w:jc w:val="center"/>
              <w:textAlignment w:val="bottom"/>
              <w:rPr>
                <w:i w:val="0"/>
                <w:iCs w:val="0"/>
                <w:color w:val="auto"/>
                <w:szCs w:val="21"/>
                <w:highlight w:val="none"/>
              </w:rPr>
            </w:pPr>
            <w:r>
              <w:rPr>
                <w:rFonts w:hint="eastAsia"/>
                <w:i w:val="0"/>
                <w:iCs w:val="0"/>
                <w:color w:val="auto"/>
                <w:szCs w:val="21"/>
                <w:highlight w:val="none"/>
              </w:rPr>
              <w:t>备注（如有）</w:t>
            </w:r>
          </w:p>
        </w:tc>
      </w:tr>
      <w:tr w14:paraId="4CAD8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1403" w:type="dxa"/>
            <w:vAlign w:val="center"/>
          </w:tcPr>
          <w:p w14:paraId="441DB28E">
            <w:pPr>
              <w:jc w:val="center"/>
              <w:rPr>
                <w:rFonts w:hint="eastAsia" w:eastAsia="宋体"/>
                <w:i w:val="0"/>
                <w:iCs w:val="0"/>
                <w:color w:val="auto"/>
                <w:sz w:val="28"/>
                <w:highlight w:val="none"/>
                <w:lang w:val="en-US" w:eastAsia="zh-CN"/>
              </w:rPr>
            </w:pPr>
            <w:r>
              <w:rPr>
                <w:rFonts w:hint="eastAsia"/>
                <w:i w:val="0"/>
                <w:iCs w:val="0"/>
                <w:color w:val="auto"/>
                <w:sz w:val="28"/>
                <w:highlight w:val="none"/>
                <w:lang w:val="en-US" w:eastAsia="zh-CN"/>
              </w:rPr>
              <w:t>1</w:t>
            </w:r>
          </w:p>
        </w:tc>
        <w:tc>
          <w:tcPr>
            <w:tcW w:w="2352" w:type="dxa"/>
            <w:vAlign w:val="center"/>
          </w:tcPr>
          <w:p w14:paraId="318E9671">
            <w:pPr>
              <w:widowControl/>
              <w:autoSpaceDE w:val="0"/>
              <w:autoSpaceDN w:val="0"/>
              <w:spacing w:line="240" w:lineRule="auto"/>
              <w:ind w:left="851" w:hanging="851"/>
              <w:jc w:val="left"/>
              <w:textAlignment w:val="bottom"/>
              <w:rPr>
                <w:rFonts w:hint="eastAsia"/>
                <w:i w:val="0"/>
                <w:iCs w:val="0"/>
                <w:color w:val="auto"/>
                <w:szCs w:val="21"/>
                <w:highlight w:val="none"/>
                <w:lang w:val="en-US" w:eastAsia="zh-CN"/>
              </w:rPr>
            </w:pPr>
            <w:r>
              <w:rPr>
                <w:rFonts w:hint="eastAsia"/>
                <w:i w:val="0"/>
                <w:iCs w:val="0"/>
                <w:color w:val="auto"/>
                <w:szCs w:val="21"/>
                <w:highlight w:val="none"/>
                <w:lang w:val="en-US" w:eastAsia="zh-CN"/>
              </w:rPr>
              <w:t>小写：</w:t>
            </w:r>
          </w:p>
          <w:p w14:paraId="01997923">
            <w:pPr>
              <w:jc w:val="left"/>
              <w:rPr>
                <w:i w:val="0"/>
                <w:iCs w:val="0"/>
                <w:color w:val="auto"/>
                <w:sz w:val="28"/>
                <w:highlight w:val="none"/>
              </w:rPr>
            </w:pPr>
            <w:r>
              <w:rPr>
                <w:rFonts w:hint="eastAsia"/>
                <w:i w:val="0"/>
                <w:iCs w:val="0"/>
                <w:color w:val="auto"/>
                <w:szCs w:val="21"/>
                <w:highlight w:val="none"/>
                <w:lang w:val="en-US" w:eastAsia="zh-CN"/>
              </w:rPr>
              <w:t>大写：</w:t>
            </w:r>
          </w:p>
        </w:tc>
        <w:tc>
          <w:tcPr>
            <w:tcW w:w="2161" w:type="dxa"/>
            <w:vAlign w:val="center"/>
          </w:tcPr>
          <w:p w14:paraId="1D8FF61B">
            <w:pPr>
              <w:jc w:val="center"/>
              <w:rPr>
                <w:i w:val="0"/>
                <w:iCs w:val="0"/>
                <w:color w:val="auto"/>
                <w:sz w:val="28"/>
                <w:highlight w:val="none"/>
              </w:rPr>
            </w:pPr>
          </w:p>
        </w:tc>
        <w:tc>
          <w:tcPr>
            <w:tcW w:w="2611" w:type="dxa"/>
            <w:vAlign w:val="center"/>
          </w:tcPr>
          <w:p w14:paraId="5059136A">
            <w:pPr>
              <w:jc w:val="center"/>
              <w:rPr>
                <w:i w:val="0"/>
                <w:iCs w:val="0"/>
                <w:color w:val="auto"/>
                <w:sz w:val="28"/>
                <w:highlight w:val="none"/>
              </w:rPr>
            </w:pPr>
          </w:p>
        </w:tc>
      </w:tr>
    </w:tbl>
    <w:p w14:paraId="60F79970">
      <w:pPr>
        <w:ind w:right="1008" w:firstLine="4284" w:firstLineChars="1700"/>
        <w:rPr>
          <w:rFonts w:hint="eastAsia" w:cs="宋体"/>
          <w:i w:val="0"/>
          <w:iCs w:val="0"/>
          <w:color w:val="auto"/>
          <w:spacing w:val="6"/>
          <w:szCs w:val="24"/>
          <w:highlight w:val="none"/>
          <w:lang w:val="en-US" w:eastAsia="zh-CN"/>
        </w:rPr>
      </w:pPr>
    </w:p>
    <w:p w14:paraId="762FAA6E">
      <w:pPr>
        <w:ind w:right="1008" w:firstLine="4284" w:firstLineChars="1700"/>
        <w:rPr>
          <w:rFonts w:hint="eastAsia" w:cs="宋体"/>
          <w:i w:val="0"/>
          <w:iCs w:val="0"/>
          <w:color w:val="auto"/>
          <w:spacing w:val="6"/>
          <w:szCs w:val="24"/>
          <w:highlight w:val="none"/>
          <w:lang w:val="en-US" w:eastAsia="zh-CN"/>
        </w:rPr>
      </w:pPr>
    </w:p>
    <w:p w14:paraId="444327EB">
      <w:pPr>
        <w:ind w:right="1008" w:firstLine="4284" w:firstLineChars="1700"/>
        <w:rPr>
          <w:rFonts w:hint="eastAsia" w:cs="宋体"/>
          <w:i w:val="0"/>
          <w:iCs w:val="0"/>
          <w:color w:val="auto"/>
          <w:spacing w:val="6"/>
          <w:szCs w:val="24"/>
          <w:highlight w:val="none"/>
          <w:lang w:val="en-US" w:eastAsia="zh-CN"/>
        </w:rPr>
      </w:pPr>
    </w:p>
    <w:p w14:paraId="5CD61796">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2A166447">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23DB2D3">
      <w:pPr>
        <w:pStyle w:val="11"/>
        <w:rPr>
          <w:rFonts w:cs="Arial"/>
          <w:i w:val="0"/>
          <w:iCs w:val="0"/>
          <w:color w:val="auto"/>
          <w:szCs w:val="24"/>
          <w:highlight w:val="none"/>
        </w:rPr>
      </w:pPr>
    </w:p>
    <w:p w14:paraId="01A6C5F3">
      <w:pPr>
        <w:spacing w:line="360" w:lineRule="auto"/>
        <w:rPr>
          <w:rFonts w:hint="eastAsia" w:ascii="宋体" w:hAnsi="宋体" w:eastAsia="宋体" w:cs="宋体"/>
          <w:b/>
          <w:i w:val="0"/>
          <w:iCs w:val="0"/>
          <w:color w:val="auto"/>
          <w:sz w:val="21"/>
          <w:szCs w:val="21"/>
          <w:highlight w:val="none"/>
          <w:lang w:eastAsia="zh-CN"/>
        </w:rPr>
      </w:pPr>
      <w:r>
        <w:rPr>
          <w:rFonts w:hint="eastAsia" w:ascii="宋体" w:hAnsi="宋体" w:eastAsia="宋体" w:cs="宋体"/>
          <w:b/>
          <w:i w:val="0"/>
          <w:iCs w:val="0"/>
          <w:color w:val="auto"/>
          <w:sz w:val="21"/>
          <w:szCs w:val="21"/>
          <w:highlight w:val="none"/>
          <w:lang w:eastAsia="zh-CN"/>
        </w:rPr>
        <w:t>注：</w:t>
      </w:r>
    </w:p>
    <w:p w14:paraId="5C794569">
      <w:pPr>
        <w:pStyle w:val="11"/>
        <w:ind w:firstLine="420" w:firstLineChars="20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1.特殊事项在备注中注明。</w:t>
      </w:r>
    </w:p>
    <w:p w14:paraId="720DB846">
      <w:pPr>
        <w:pStyle w:val="11"/>
        <w:ind w:firstLine="420" w:firstLineChars="200"/>
        <w:rPr>
          <w:rFonts w:hint="eastAsia" w:ascii="宋体" w:hAnsi="宋体" w:eastAsia="宋体" w:cs="宋体"/>
          <w:i w:val="0"/>
          <w:iCs w:val="0"/>
          <w:color w:val="auto"/>
          <w:sz w:val="21"/>
          <w:szCs w:val="21"/>
          <w:highlight w:val="none"/>
          <w:lang w:val="en-US" w:eastAsia="zh-CN"/>
        </w:rPr>
      </w:pPr>
      <w:r>
        <w:rPr>
          <w:rFonts w:hint="eastAsia" w:ascii="宋体" w:hAnsi="宋体" w:cs="宋体"/>
          <w:i w:val="0"/>
          <w:iCs w:val="0"/>
          <w:color w:val="auto"/>
          <w:sz w:val="21"/>
          <w:szCs w:val="21"/>
          <w:highlight w:val="none"/>
          <w:lang w:val="en-US" w:eastAsia="zh-CN"/>
        </w:rPr>
        <w:t>2.</w:t>
      </w:r>
      <w:r>
        <w:rPr>
          <w:rFonts w:hint="eastAsia" w:ascii="宋体" w:hAnsi="宋体" w:eastAsia="宋体" w:cs="宋体"/>
          <w:i w:val="0"/>
          <w:iCs w:val="0"/>
          <w:color w:val="auto"/>
          <w:sz w:val="21"/>
          <w:szCs w:val="21"/>
          <w:highlight w:val="none"/>
          <w:lang w:val="en-US" w:eastAsia="zh-CN"/>
        </w:rPr>
        <w:t>不论结果如何，供应商均应自行承担所有与投标有关的全部费用。</w:t>
      </w:r>
    </w:p>
    <w:p w14:paraId="3FE57670">
      <w:pPr>
        <w:pStyle w:val="11"/>
        <w:ind w:firstLine="420" w:firstLineChars="200"/>
        <w:rPr>
          <w:rFonts w:hint="eastAsia" w:ascii="宋体" w:hAnsi="宋体" w:eastAsia="宋体" w:cs="宋体"/>
          <w:i w:val="0"/>
          <w:iCs w:val="0"/>
          <w:color w:val="auto"/>
          <w:sz w:val="21"/>
          <w:szCs w:val="21"/>
          <w:highlight w:val="none"/>
          <w:lang w:val="en-US" w:eastAsia="zh-CN"/>
        </w:rPr>
      </w:pPr>
      <w:r>
        <w:rPr>
          <w:rFonts w:hint="eastAsia" w:ascii="宋体" w:hAnsi="宋体"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lang w:val="en-US" w:eastAsia="zh-CN"/>
        </w:rPr>
        <w:t>在满足服务要求的基础上，供应商应具有合理的报价，包括完成本项目服务所需的所有费用，包括各类人员的人工费用、服务费用、报告费、税费及其他一切相关费用。</w:t>
      </w:r>
    </w:p>
    <w:p w14:paraId="3F130DD1">
      <w:pPr>
        <w:tabs>
          <w:tab w:val="left" w:pos="5760"/>
        </w:tabs>
        <w:ind w:left="0" w:leftChars="0" w:firstLine="0" w:firstLineChars="0"/>
        <w:rPr>
          <w:rFonts w:hint="eastAsia"/>
          <w:highlight w:val="cyan"/>
        </w:rPr>
        <w:sectPr>
          <w:pgSz w:w="11905" w:h="16840"/>
          <w:pgMar w:top="1440" w:right="1797" w:bottom="1440" w:left="1797" w:header="851" w:footer="850" w:gutter="0"/>
          <w:pgBorders>
            <w:top w:val="none" w:sz="0" w:space="0"/>
            <w:left w:val="none" w:sz="0" w:space="0"/>
            <w:bottom w:val="none" w:sz="0" w:space="0"/>
            <w:right w:val="none" w:sz="0" w:space="0"/>
          </w:pgBorders>
          <w:pgNumType w:fmt="decimal"/>
          <w:cols w:space="720" w:num="1"/>
        </w:sectPr>
      </w:pPr>
    </w:p>
    <w:p w14:paraId="102D6756">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bookmarkStart w:id="693" w:name="_Toc27300"/>
      <w:r>
        <w:rPr>
          <w:rFonts w:hint="eastAsia" w:cstheme="majorBidi"/>
          <w:b/>
          <w:bCs/>
          <w:i w:val="0"/>
          <w:iCs w:val="0"/>
          <w:color w:val="auto"/>
          <w:kern w:val="2"/>
          <w:sz w:val="32"/>
          <w:szCs w:val="32"/>
          <w:highlight w:val="none"/>
          <w:lang w:val="en-US" w:eastAsia="zh-CN" w:bidi="ar-SA"/>
        </w:rPr>
        <w:t>二、分项报价表</w:t>
      </w:r>
      <w:bookmarkEnd w:id="693"/>
    </w:p>
    <w:p w14:paraId="54C0CA97">
      <w:pPr>
        <w:rPr>
          <w:b w:val="0"/>
          <w:bCs/>
          <w:i w:val="0"/>
          <w:iCs w:val="0"/>
          <w:color w:val="auto"/>
          <w:szCs w:val="21"/>
          <w:highlight w:val="none"/>
          <w:lang w:val="zh-CN"/>
        </w:rPr>
      </w:pPr>
      <w:r>
        <w:rPr>
          <w:rFonts w:hint="eastAsia"/>
          <w:b w:val="0"/>
          <w:bCs/>
          <w:i w:val="0"/>
          <w:iCs w:val="0"/>
          <w:color w:val="auto"/>
          <w:szCs w:val="21"/>
          <w:highlight w:val="none"/>
          <w:lang w:val="zh-CN"/>
        </w:rPr>
        <w:t>项目名称：</w:t>
      </w:r>
      <w:r>
        <w:rPr>
          <w:rFonts w:hint="eastAsia"/>
          <w:b w:val="0"/>
          <w:bCs/>
          <w:i w:val="0"/>
          <w:iCs w:val="0"/>
          <w:color w:val="auto"/>
          <w:szCs w:val="21"/>
          <w:highlight w:val="none"/>
          <w:u w:val="single"/>
          <w:lang w:val="zh-CN"/>
        </w:rPr>
        <w:t xml:space="preserve">                  </w:t>
      </w:r>
      <w:r>
        <w:rPr>
          <w:rFonts w:hint="eastAsia"/>
          <w:b w:val="0"/>
          <w:bCs/>
          <w:i w:val="0"/>
          <w:iCs w:val="0"/>
          <w:color w:val="auto"/>
          <w:szCs w:val="21"/>
          <w:highlight w:val="none"/>
          <w:u w:val="single"/>
          <w:lang w:val="en-US" w:eastAsia="zh-CN"/>
        </w:rPr>
        <w:t xml:space="preserve">     </w:t>
      </w:r>
      <w:r>
        <w:rPr>
          <w:rFonts w:hint="eastAsia"/>
          <w:b w:val="0"/>
          <w:bCs/>
          <w:i w:val="0"/>
          <w:iCs w:val="0"/>
          <w:color w:val="auto"/>
          <w:szCs w:val="21"/>
          <w:highlight w:val="none"/>
          <w:u w:val="single"/>
          <w:lang w:val="zh-CN"/>
        </w:rPr>
        <w:t xml:space="preserve">   </w:t>
      </w:r>
    </w:p>
    <w:p w14:paraId="0AE851E3">
      <w:pPr>
        <w:rPr>
          <w:rFonts w:hint="eastAsia"/>
          <w:b w:val="0"/>
          <w:bCs/>
          <w:i w:val="0"/>
          <w:iCs w:val="0"/>
          <w:color w:val="auto"/>
          <w:szCs w:val="21"/>
          <w:highlight w:val="none"/>
          <w:u w:val="single"/>
          <w:lang w:val="zh-CN"/>
        </w:rPr>
      </w:pPr>
      <w:r>
        <w:rPr>
          <w:rFonts w:hint="eastAsia"/>
          <w:b w:val="0"/>
          <w:bCs/>
          <w:i w:val="0"/>
          <w:iCs w:val="0"/>
          <w:color w:val="auto"/>
          <w:szCs w:val="21"/>
          <w:highlight w:val="none"/>
          <w:lang w:val="zh-CN"/>
        </w:rPr>
        <w:t>项目编号</w:t>
      </w:r>
      <w:r>
        <w:rPr>
          <w:rFonts w:hint="eastAsia"/>
          <w:b w:val="0"/>
          <w:bCs/>
          <w:i w:val="0"/>
          <w:iCs w:val="0"/>
          <w:color w:val="auto"/>
          <w:szCs w:val="21"/>
          <w:highlight w:val="none"/>
          <w:lang w:val="en-US" w:eastAsia="zh-CN"/>
        </w:rPr>
        <w:t>/</w:t>
      </w:r>
      <w:r>
        <w:rPr>
          <w:rFonts w:hint="eastAsia"/>
          <w:b w:val="0"/>
          <w:bCs/>
          <w:i w:val="0"/>
          <w:iCs w:val="0"/>
          <w:color w:val="auto"/>
          <w:szCs w:val="21"/>
          <w:highlight w:val="none"/>
          <w:lang w:val="zh-CN"/>
        </w:rPr>
        <w:t>包号：</w:t>
      </w:r>
      <w:r>
        <w:rPr>
          <w:rFonts w:hint="eastAsia"/>
          <w:b w:val="0"/>
          <w:bCs/>
          <w:i w:val="0"/>
          <w:iCs w:val="0"/>
          <w:color w:val="auto"/>
          <w:szCs w:val="21"/>
          <w:highlight w:val="none"/>
          <w:u w:val="single"/>
          <w:lang w:val="zh-CN"/>
        </w:rPr>
        <w:t xml:space="preserve">                     </w:t>
      </w:r>
    </w:p>
    <w:p w14:paraId="17B121AB">
      <w:pPr>
        <w:pStyle w:val="11"/>
        <w:rPr>
          <w:rFonts w:hint="eastAsia"/>
          <w:b w:val="0"/>
          <w:bCs/>
          <w:i w:val="0"/>
          <w:iCs w:val="0"/>
          <w:color w:val="auto"/>
          <w:szCs w:val="21"/>
          <w:highlight w:val="none"/>
          <w:u w:val="single"/>
          <w:lang w:val="zh-CN"/>
        </w:rPr>
      </w:pPr>
    </w:p>
    <w:tbl>
      <w:tblPr>
        <w:tblStyle w:val="32"/>
        <w:tblpPr w:leftFromText="180" w:rightFromText="180" w:vertAnchor="text" w:horzAnchor="page" w:tblpX="1726" w:tblpY="1191"/>
        <w:tblOverlap w:val="never"/>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3720"/>
        <w:gridCol w:w="1065"/>
        <w:gridCol w:w="1065"/>
        <w:gridCol w:w="1066"/>
        <w:gridCol w:w="947"/>
      </w:tblGrid>
      <w:tr w14:paraId="3FB63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AD645AA">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序号</w:t>
            </w:r>
          </w:p>
        </w:tc>
        <w:tc>
          <w:tcPr>
            <w:tcW w:w="3720" w:type="dxa"/>
            <w:vAlign w:val="center"/>
          </w:tcPr>
          <w:p w14:paraId="19C93FC7">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名称</w:t>
            </w:r>
          </w:p>
        </w:tc>
        <w:tc>
          <w:tcPr>
            <w:tcW w:w="1065" w:type="dxa"/>
            <w:vAlign w:val="center"/>
          </w:tcPr>
          <w:p w14:paraId="7353E8D0">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数量</w:t>
            </w:r>
          </w:p>
        </w:tc>
        <w:tc>
          <w:tcPr>
            <w:tcW w:w="1065" w:type="dxa"/>
            <w:vAlign w:val="center"/>
          </w:tcPr>
          <w:p w14:paraId="035090E1">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单价（元）</w:t>
            </w:r>
          </w:p>
        </w:tc>
        <w:tc>
          <w:tcPr>
            <w:tcW w:w="1066" w:type="dxa"/>
            <w:vAlign w:val="center"/>
          </w:tcPr>
          <w:p w14:paraId="26204EDF">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总价</w:t>
            </w:r>
          </w:p>
        </w:tc>
        <w:tc>
          <w:tcPr>
            <w:tcW w:w="947" w:type="dxa"/>
            <w:vAlign w:val="center"/>
          </w:tcPr>
          <w:p w14:paraId="2299787C">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备注</w:t>
            </w:r>
          </w:p>
        </w:tc>
      </w:tr>
      <w:tr w14:paraId="15B83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903A281">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1</w:t>
            </w:r>
          </w:p>
        </w:tc>
        <w:tc>
          <w:tcPr>
            <w:tcW w:w="3720" w:type="dxa"/>
            <w:vAlign w:val="center"/>
          </w:tcPr>
          <w:p w14:paraId="0B480F42">
            <w:pPr>
              <w:adjustRightInd w:val="0"/>
              <w:snapToGrid w:val="0"/>
              <w:spacing w:line="240" w:lineRule="auto"/>
              <w:jc w:val="center"/>
              <w:rPr>
                <w:i w:val="0"/>
                <w:iCs w:val="0"/>
                <w:color w:val="auto"/>
                <w:szCs w:val="21"/>
                <w:highlight w:val="none"/>
              </w:rPr>
            </w:pPr>
          </w:p>
        </w:tc>
        <w:tc>
          <w:tcPr>
            <w:tcW w:w="1065" w:type="dxa"/>
            <w:vAlign w:val="center"/>
          </w:tcPr>
          <w:p w14:paraId="40067A70">
            <w:pPr>
              <w:adjustRightInd w:val="0"/>
              <w:snapToGrid w:val="0"/>
              <w:spacing w:line="240" w:lineRule="auto"/>
              <w:jc w:val="center"/>
              <w:rPr>
                <w:i w:val="0"/>
                <w:iCs w:val="0"/>
                <w:color w:val="auto"/>
                <w:szCs w:val="21"/>
                <w:highlight w:val="none"/>
              </w:rPr>
            </w:pPr>
          </w:p>
        </w:tc>
        <w:tc>
          <w:tcPr>
            <w:tcW w:w="1065" w:type="dxa"/>
            <w:vAlign w:val="center"/>
          </w:tcPr>
          <w:p w14:paraId="27060FCA">
            <w:pPr>
              <w:adjustRightInd w:val="0"/>
              <w:snapToGrid w:val="0"/>
              <w:spacing w:line="240" w:lineRule="auto"/>
              <w:jc w:val="center"/>
              <w:rPr>
                <w:i w:val="0"/>
                <w:iCs w:val="0"/>
                <w:color w:val="auto"/>
                <w:szCs w:val="21"/>
                <w:highlight w:val="none"/>
              </w:rPr>
            </w:pPr>
          </w:p>
        </w:tc>
        <w:tc>
          <w:tcPr>
            <w:tcW w:w="1066" w:type="dxa"/>
            <w:vAlign w:val="center"/>
          </w:tcPr>
          <w:p w14:paraId="058A34AA">
            <w:pPr>
              <w:adjustRightInd w:val="0"/>
              <w:snapToGrid w:val="0"/>
              <w:spacing w:line="240" w:lineRule="auto"/>
              <w:jc w:val="center"/>
              <w:rPr>
                <w:i w:val="0"/>
                <w:iCs w:val="0"/>
                <w:color w:val="auto"/>
                <w:szCs w:val="21"/>
                <w:highlight w:val="none"/>
              </w:rPr>
            </w:pPr>
          </w:p>
        </w:tc>
        <w:tc>
          <w:tcPr>
            <w:tcW w:w="947" w:type="dxa"/>
            <w:vAlign w:val="center"/>
          </w:tcPr>
          <w:p w14:paraId="67E0B4B0">
            <w:pPr>
              <w:adjustRightInd w:val="0"/>
              <w:snapToGrid w:val="0"/>
              <w:spacing w:line="240" w:lineRule="auto"/>
              <w:jc w:val="center"/>
              <w:rPr>
                <w:i w:val="0"/>
                <w:iCs w:val="0"/>
                <w:color w:val="auto"/>
                <w:szCs w:val="21"/>
                <w:highlight w:val="none"/>
              </w:rPr>
            </w:pPr>
          </w:p>
        </w:tc>
      </w:tr>
      <w:tr w14:paraId="173A8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B556595">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2</w:t>
            </w:r>
          </w:p>
        </w:tc>
        <w:tc>
          <w:tcPr>
            <w:tcW w:w="3720" w:type="dxa"/>
            <w:vAlign w:val="center"/>
          </w:tcPr>
          <w:p w14:paraId="3F5DC859">
            <w:pPr>
              <w:adjustRightInd w:val="0"/>
              <w:snapToGrid w:val="0"/>
              <w:spacing w:line="240" w:lineRule="auto"/>
              <w:jc w:val="center"/>
              <w:rPr>
                <w:i w:val="0"/>
                <w:iCs w:val="0"/>
                <w:color w:val="auto"/>
                <w:szCs w:val="21"/>
                <w:highlight w:val="none"/>
              </w:rPr>
            </w:pPr>
          </w:p>
        </w:tc>
        <w:tc>
          <w:tcPr>
            <w:tcW w:w="1065" w:type="dxa"/>
            <w:vAlign w:val="center"/>
          </w:tcPr>
          <w:p w14:paraId="5F939237">
            <w:pPr>
              <w:adjustRightInd w:val="0"/>
              <w:snapToGrid w:val="0"/>
              <w:spacing w:line="240" w:lineRule="auto"/>
              <w:jc w:val="center"/>
              <w:rPr>
                <w:i w:val="0"/>
                <w:iCs w:val="0"/>
                <w:color w:val="auto"/>
                <w:szCs w:val="21"/>
                <w:highlight w:val="none"/>
              </w:rPr>
            </w:pPr>
          </w:p>
        </w:tc>
        <w:tc>
          <w:tcPr>
            <w:tcW w:w="1065" w:type="dxa"/>
            <w:vAlign w:val="center"/>
          </w:tcPr>
          <w:p w14:paraId="7952CB54">
            <w:pPr>
              <w:adjustRightInd w:val="0"/>
              <w:snapToGrid w:val="0"/>
              <w:spacing w:line="240" w:lineRule="auto"/>
              <w:jc w:val="center"/>
              <w:rPr>
                <w:i w:val="0"/>
                <w:iCs w:val="0"/>
                <w:color w:val="auto"/>
                <w:szCs w:val="21"/>
                <w:highlight w:val="none"/>
              </w:rPr>
            </w:pPr>
          </w:p>
        </w:tc>
        <w:tc>
          <w:tcPr>
            <w:tcW w:w="1066" w:type="dxa"/>
            <w:vAlign w:val="center"/>
          </w:tcPr>
          <w:p w14:paraId="0A6F7EC3">
            <w:pPr>
              <w:adjustRightInd w:val="0"/>
              <w:snapToGrid w:val="0"/>
              <w:spacing w:line="240" w:lineRule="auto"/>
              <w:jc w:val="center"/>
              <w:rPr>
                <w:i w:val="0"/>
                <w:iCs w:val="0"/>
                <w:color w:val="auto"/>
                <w:szCs w:val="21"/>
                <w:highlight w:val="none"/>
              </w:rPr>
            </w:pPr>
          </w:p>
        </w:tc>
        <w:tc>
          <w:tcPr>
            <w:tcW w:w="947" w:type="dxa"/>
            <w:vAlign w:val="center"/>
          </w:tcPr>
          <w:p w14:paraId="618B5714">
            <w:pPr>
              <w:adjustRightInd w:val="0"/>
              <w:snapToGrid w:val="0"/>
              <w:spacing w:line="240" w:lineRule="auto"/>
              <w:jc w:val="center"/>
              <w:rPr>
                <w:i w:val="0"/>
                <w:iCs w:val="0"/>
                <w:color w:val="auto"/>
                <w:szCs w:val="21"/>
                <w:highlight w:val="none"/>
              </w:rPr>
            </w:pPr>
          </w:p>
        </w:tc>
      </w:tr>
      <w:tr w14:paraId="46D52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575428D4">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3</w:t>
            </w:r>
          </w:p>
        </w:tc>
        <w:tc>
          <w:tcPr>
            <w:tcW w:w="3720" w:type="dxa"/>
            <w:vAlign w:val="center"/>
          </w:tcPr>
          <w:p w14:paraId="1C4FDBC5">
            <w:pPr>
              <w:adjustRightInd w:val="0"/>
              <w:snapToGrid w:val="0"/>
              <w:spacing w:line="240" w:lineRule="auto"/>
              <w:jc w:val="center"/>
              <w:rPr>
                <w:i w:val="0"/>
                <w:iCs w:val="0"/>
                <w:color w:val="auto"/>
                <w:szCs w:val="21"/>
                <w:highlight w:val="none"/>
              </w:rPr>
            </w:pPr>
          </w:p>
        </w:tc>
        <w:tc>
          <w:tcPr>
            <w:tcW w:w="1065" w:type="dxa"/>
            <w:vAlign w:val="center"/>
          </w:tcPr>
          <w:p w14:paraId="049C6929">
            <w:pPr>
              <w:adjustRightInd w:val="0"/>
              <w:snapToGrid w:val="0"/>
              <w:spacing w:line="240" w:lineRule="auto"/>
              <w:jc w:val="center"/>
              <w:rPr>
                <w:i w:val="0"/>
                <w:iCs w:val="0"/>
                <w:color w:val="auto"/>
                <w:szCs w:val="21"/>
                <w:highlight w:val="none"/>
              </w:rPr>
            </w:pPr>
          </w:p>
        </w:tc>
        <w:tc>
          <w:tcPr>
            <w:tcW w:w="1065" w:type="dxa"/>
            <w:vAlign w:val="center"/>
          </w:tcPr>
          <w:p w14:paraId="36C1783A">
            <w:pPr>
              <w:adjustRightInd w:val="0"/>
              <w:snapToGrid w:val="0"/>
              <w:spacing w:line="240" w:lineRule="auto"/>
              <w:jc w:val="center"/>
              <w:rPr>
                <w:i w:val="0"/>
                <w:iCs w:val="0"/>
                <w:color w:val="auto"/>
                <w:szCs w:val="21"/>
                <w:highlight w:val="none"/>
              </w:rPr>
            </w:pPr>
          </w:p>
        </w:tc>
        <w:tc>
          <w:tcPr>
            <w:tcW w:w="1066" w:type="dxa"/>
            <w:vAlign w:val="center"/>
          </w:tcPr>
          <w:p w14:paraId="4D73DF23">
            <w:pPr>
              <w:adjustRightInd w:val="0"/>
              <w:snapToGrid w:val="0"/>
              <w:spacing w:line="240" w:lineRule="auto"/>
              <w:jc w:val="center"/>
              <w:rPr>
                <w:i w:val="0"/>
                <w:iCs w:val="0"/>
                <w:color w:val="auto"/>
                <w:szCs w:val="21"/>
                <w:highlight w:val="none"/>
              </w:rPr>
            </w:pPr>
          </w:p>
        </w:tc>
        <w:tc>
          <w:tcPr>
            <w:tcW w:w="947" w:type="dxa"/>
            <w:vAlign w:val="center"/>
          </w:tcPr>
          <w:p w14:paraId="12486146">
            <w:pPr>
              <w:adjustRightInd w:val="0"/>
              <w:snapToGrid w:val="0"/>
              <w:spacing w:line="240" w:lineRule="auto"/>
              <w:jc w:val="center"/>
              <w:rPr>
                <w:i w:val="0"/>
                <w:iCs w:val="0"/>
                <w:color w:val="auto"/>
                <w:szCs w:val="21"/>
                <w:highlight w:val="none"/>
              </w:rPr>
            </w:pPr>
          </w:p>
        </w:tc>
      </w:tr>
      <w:tr w14:paraId="7C1AC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495DBEF4">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4</w:t>
            </w:r>
          </w:p>
        </w:tc>
        <w:tc>
          <w:tcPr>
            <w:tcW w:w="3720" w:type="dxa"/>
            <w:vAlign w:val="center"/>
          </w:tcPr>
          <w:p w14:paraId="31F90A64">
            <w:pPr>
              <w:adjustRightInd w:val="0"/>
              <w:snapToGrid w:val="0"/>
              <w:spacing w:line="240" w:lineRule="auto"/>
              <w:jc w:val="center"/>
              <w:rPr>
                <w:i w:val="0"/>
                <w:iCs w:val="0"/>
                <w:color w:val="auto"/>
                <w:szCs w:val="21"/>
                <w:highlight w:val="none"/>
              </w:rPr>
            </w:pPr>
          </w:p>
        </w:tc>
        <w:tc>
          <w:tcPr>
            <w:tcW w:w="1065" w:type="dxa"/>
            <w:vAlign w:val="center"/>
          </w:tcPr>
          <w:p w14:paraId="33F22229">
            <w:pPr>
              <w:adjustRightInd w:val="0"/>
              <w:snapToGrid w:val="0"/>
              <w:spacing w:line="240" w:lineRule="auto"/>
              <w:jc w:val="center"/>
              <w:rPr>
                <w:i w:val="0"/>
                <w:iCs w:val="0"/>
                <w:color w:val="auto"/>
                <w:szCs w:val="21"/>
                <w:highlight w:val="none"/>
              </w:rPr>
            </w:pPr>
          </w:p>
        </w:tc>
        <w:tc>
          <w:tcPr>
            <w:tcW w:w="1065" w:type="dxa"/>
            <w:vAlign w:val="center"/>
          </w:tcPr>
          <w:p w14:paraId="3D5A198F">
            <w:pPr>
              <w:adjustRightInd w:val="0"/>
              <w:snapToGrid w:val="0"/>
              <w:spacing w:line="240" w:lineRule="auto"/>
              <w:jc w:val="center"/>
              <w:rPr>
                <w:i w:val="0"/>
                <w:iCs w:val="0"/>
                <w:color w:val="auto"/>
                <w:szCs w:val="21"/>
                <w:highlight w:val="none"/>
              </w:rPr>
            </w:pPr>
          </w:p>
        </w:tc>
        <w:tc>
          <w:tcPr>
            <w:tcW w:w="1066" w:type="dxa"/>
            <w:vAlign w:val="center"/>
          </w:tcPr>
          <w:p w14:paraId="6F612B31">
            <w:pPr>
              <w:adjustRightInd w:val="0"/>
              <w:snapToGrid w:val="0"/>
              <w:spacing w:line="240" w:lineRule="auto"/>
              <w:jc w:val="center"/>
              <w:rPr>
                <w:i w:val="0"/>
                <w:iCs w:val="0"/>
                <w:color w:val="auto"/>
                <w:szCs w:val="21"/>
                <w:highlight w:val="none"/>
              </w:rPr>
            </w:pPr>
          </w:p>
        </w:tc>
        <w:tc>
          <w:tcPr>
            <w:tcW w:w="947" w:type="dxa"/>
            <w:vAlign w:val="center"/>
          </w:tcPr>
          <w:p w14:paraId="1B507F0B">
            <w:pPr>
              <w:adjustRightInd w:val="0"/>
              <w:snapToGrid w:val="0"/>
              <w:spacing w:line="240" w:lineRule="auto"/>
              <w:jc w:val="center"/>
              <w:rPr>
                <w:i w:val="0"/>
                <w:iCs w:val="0"/>
                <w:color w:val="auto"/>
                <w:szCs w:val="21"/>
                <w:highlight w:val="none"/>
              </w:rPr>
            </w:pPr>
          </w:p>
        </w:tc>
      </w:tr>
      <w:tr w14:paraId="5FDCC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5CBC500E">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5</w:t>
            </w:r>
          </w:p>
        </w:tc>
        <w:tc>
          <w:tcPr>
            <w:tcW w:w="3720" w:type="dxa"/>
            <w:vAlign w:val="center"/>
          </w:tcPr>
          <w:p w14:paraId="02862C05">
            <w:pPr>
              <w:adjustRightInd w:val="0"/>
              <w:snapToGrid w:val="0"/>
              <w:spacing w:line="240" w:lineRule="auto"/>
              <w:jc w:val="center"/>
              <w:rPr>
                <w:i w:val="0"/>
                <w:iCs w:val="0"/>
                <w:color w:val="auto"/>
                <w:szCs w:val="21"/>
                <w:highlight w:val="none"/>
              </w:rPr>
            </w:pPr>
          </w:p>
        </w:tc>
        <w:tc>
          <w:tcPr>
            <w:tcW w:w="1065" w:type="dxa"/>
            <w:vAlign w:val="center"/>
          </w:tcPr>
          <w:p w14:paraId="151D9B09">
            <w:pPr>
              <w:adjustRightInd w:val="0"/>
              <w:snapToGrid w:val="0"/>
              <w:spacing w:line="240" w:lineRule="auto"/>
              <w:jc w:val="center"/>
              <w:rPr>
                <w:i w:val="0"/>
                <w:iCs w:val="0"/>
                <w:color w:val="auto"/>
                <w:szCs w:val="21"/>
                <w:highlight w:val="none"/>
              </w:rPr>
            </w:pPr>
          </w:p>
        </w:tc>
        <w:tc>
          <w:tcPr>
            <w:tcW w:w="1065" w:type="dxa"/>
            <w:vAlign w:val="center"/>
          </w:tcPr>
          <w:p w14:paraId="135908FE">
            <w:pPr>
              <w:adjustRightInd w:val="0"/>
              <w:snapToGrid w:val="0"/>
              <w:spacing w:line="240" w:lineRule="auto"/>
              <w:jc w:val="center"/>
              <w:rPr>
                <w:i w:val="0"/>
                <w:iCs w:val="0"/>
                <w:color w:val="auto"/>
                <w:szCs w:val="21"/>
                <w:highlight w:val="none"/>
              </w:rPr>
            </w:pPr>
          </w:p>
        </w:tc>
        <w:tc>
          <w:tcPr>
            <w:tcW w:w="1066" w:type="dxa"/>
            <w:vAlign w:val="center"/>
          </w:tcPr>
          <w:p w14:paraId="29A7158B">
            <w:pPr>
              <w:adjustRightInd w:val="0"/>
              <w:snapToGrid w:val="0"/>
              <w:spacing w:line="240" w:lineRule="auto"/>
              <w:jc w:val="center"/>
              <w:rPr>
                <w:i w:val="0"/>
                <w:iCs w:val="0"/>
                <w:color w:val="auto"/>
                <w:szCs w:val="21"/>
                <w:highlight w:val="none"/>
              </w:rPr>
            </w:pPr>
          </w:p>
        </w:tc>
        <w:tc>
          <w:tcPr>
            <w:tcW w:w="947" w:type="dxa"/>
            <w:vAlign w:val="center"/>
          </w:tcPr>
          <w:p w14:paraId="1A41A970">
            <w:pPr>
              <w:adjustRightInd w:val="0"/>
              <w:snapToGrid w:val="0"/>
              <w:spacing w:line="240" w:lineRule="auto"/>
              <w:jc w:val="center"/>
              <w:rPr>
                <w:i w:val="0"/>
                <w:iCs w:val="0"/>
                <w:color w:val="auto"/>
                <w:szCs w:val="21"/>
                <w:highlight w:val="none"/>
              </w:rPr>
            </w:pPr>
          </w:p>
        </w:tc>
      </w:tr>
      <w:tr w14:paraId="114F4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7747617">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6</w:t>
            </w:r>
          </w:p>
        </w:tc>
        <w:tc>
          <w:tcPr>
            <w:tcW w:w="3720" w:type="dxa"/>
            <w:vAlign w:val="center"/>
          </w:tcPr>
          <w:p w14:paraId="73F73A3B">
            <w:pPr>
              <w:adjustRightInd w:val="0"/>
              <w:snapToGrid w:val="0"/>
              <w:spacing w:line="240" w:lineRule="auto"/>
              <w:jc w:val="center"/>
              <w:rPr>
                <w:i w:val="0"/>
                <w:iCs w:val="0"/>
                <w:color w:val="auto"/>
                <w:szCs w:val="21"/>
                <w:highlight w:val="none"/>
              </w:rPr>
            </w:pPr>
          </w:p>
        </w:tc>
        <w:tc>
          <w:tcPr>
            <w:tcW w:w="1065" w:type="dxa"/>
            <w:vAlign w:val="center"/>
          </w:tcPr>
          <w:p w14:paraId="5F8CA9D3">
            <w:pPr>
              <w:adjustRightInd w:val="0"/>
              <w:snapToGrid w:val="0"/>
              <w:spacing w:line="240" w:lineRule="auto"/>
              <w:jc w:val="center"/>
              <w:rPr>
                <w:i w:val="0"/>
                <w:iCs w:val="0"/>
                <w:color w:val="auto"/>
                <w:szCs w:val="21"/>
                <w:highlight w:val="none"/>
              </w:rPr>
            </w:pPr>
          </w:p>
        </w:tc>
        <w:tc>
          <w:tcPr>
            <w:tcW w:w="1065" w:type="dxa"/>
            <w:vAlign w:val="center"/>
          </w:tcPr>
          <w:p w14:paraId="35EBED88">
            <w:pPr>
              <w:adjustRightInd w:val="0"/>
              <w:snapToGrid w:val="0"/>
              <w:spacing w:line="240" w:lineRule="auto"/>
              <w:jc w:val="center"/>
              <w:rPr>
                <w:i w:val="0"/>
                <w:iCs w:val="0"/>
                <w:color w:val="auto"/>
                <w:szCs w:val="21"/>
                <w:highlight w:val="none"/>
              </w:rPr>
            </w:pPr>
          </w:p>
        </w:tc>
        <w:tc>
          <w:tcPr>
            <w:tcW w:w="1066" w:type="dxa"/>
            <w:vAlign w:val="center"/>
          </w:tcPr>
          <w:p w14:paraId="17292063">
            <w:pPr>
              <w:adjustRightInd w:val="0"/>
              <w:snapToGrid w:val="0"/>
              <w:spacing w:line="240" w:lineRule="auto"/>
              <w:jc w:val="center"/>
              <w:rPr>
                <w:i w:val="0"/>
                <w:iCs w:val="0"/>
                <w:color w:val="auto"/>
                <w:szCs w:val="21"/>
                <w:highlight w:val="none"/>
              </w:rPr>
            </w:pPr>
          </w:p>
        </w:tc>
        <w:tc>
          <w:tcPr>
            <w:tcW w:w="947" w:type="dxa"/>
            <w:vAlign w:val="center"/>
          </w:tcPr>
          <w:p w14:paraId="573A4BB9">
            <w:pPr>
              <w:adjustRightInd w:val="0"/>
              <w:snapToGrid w:val="0"/>
              <w:spacing w:line="240" w:lineRule="auto"/>
              <w:jc w:val="center"/>
              <w:rPr>
                <w:i w:val="0"/>
                <w:iCs w:val="0"/>
                <w:color w:val="auto"/>
                <w:szCs w:val="21"/>
                <w:highlight w:val="none"/>
              </w:rPr>
            </w:pPr>
          </w:p>
        </w:tc>
      </w:tr>
      <w:tr w14:paraId="79341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3A72E563">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7</w:t>
            </w:r>
          </w:p>
        </w:tc>
        <w:tc>
          <w:tcPr>
            <w:tcW w:w="3720" w:type="dxa"/>
            <w:vAlign w:val="center"/>
          </w:tcPr>
          <w:p w14:paraId="09C17B51">
            <w:pPr>
              <w:adjustRightInd w:val="0"/>
              <w:snapToGrid w:val="0"/>
              <w:spacing w:line="240" w:lineRule="auto"/>
              <w:jc w:val="center"/>
              <w:rPr>
                <w:i w:val="0"/>
                <w:iCs w:val="0"/>
                <w:color w:val="auto"/>
                <w:szCs w:val="21"/>
                <w:highlight w:val="none"/>
              </w:rPr>
            </w:pPr>
          </w:p>
        </w:tc>
        <w:tc>
          <w:tcPr>
            <w:tcW w:w="1065" w:type="dxa"/>
            <w:vAlign w:val="center"/>
          </w:tcPr>
          <w:p w14:paraId="0E304E79">
            <w:pPr>
              <w:adjustRightInd w:val="0"/>
              <w:snapToGrid w:val="0"/>
              <w:spacing w:line="240" w:lineRule="auto"/>
              <w:jc w:val="center"/>
              <w:rPr>
                <w:i w:val="0"/>
                <w:iCs w:val="0"/>
                <w:color w:val="auto"/>
                <w:szCs w:val="21"/>
                <w:highlight w:val="none"/>
              </w:rPr>
            </w:pPr>
          </w:p>
        </w:tc>
        <w:tc>
          <w:tcPr>
            <w:tcW w:w="1065" w:type="dxa"/>
            <w:vAlign w:val="center"/>
          </w:tcPr>
          <w:p w14:paraId="0210E398">
            <w:pPr>
              <w:adjustRightInd w:val="0"/>
              <w:snapToGrid w:val="0"/>
              <w:spacing w:line="240" w:lineRule="auto"/>
              <w:jc w:val="center"/>
              <w:rPr>
                <w:i w:val="0"/>
                <w:iCs w:val="0"/>
                <w:color w:val="auto"/>
                <w:szCs w:val="21"/>
                <w:highlight w:val="none"/>
              </w:rPr>
            </w:pPr>
          </w:p>
        </w:tc>
        <w:tc>
          <w:tcPr>
            <w:tcW w:w="1066" w:type="dxa"/>
            <w:vAlign w:val="center"/>
          </w:tcPr>
          <w:p w14:paraId="4CF977F8">
            <w:pPr>
              <w:adjustRightInd w:val="0"/>
              <w:snapToGrid w:val="0"/>
              <w:spacing w:line="240" w:lineRule="auto"/>
              <w:jc w:val="center"/>
              <w:rPr>
                <w:i w:val="0"/>
                <w:iCs w:val="0"/>
                <w:color w:val="auto"/>
                <w:szCs w:val="21"/>
                <w:highlight w:val="none"/>
              </w:rPr>
            </w:pPr>
          </w:p>
        </w:tc>
        <w:tc>
          <w:tcPr>
            <w:tcW w:w="947" w:type="dxa"/>
            <w:vAlign w:val="center"/>
          </w:tcPr>
          <w:p w14:paraId="5B517533">
            <w:pPr>
              <w:adjustRightInd w:val="0"/>
              <w:snapToGrid w:val="0"/>
              <w:spacing w:line="240" w:lineRule="auto"/>
              <w:jc w:val="center"/>
              <w:rPr>
                <w:i w:val="0"/>
                <w:iCs w:val="0"/>
                <w:color w:val="auto"/>
                <w:szCs w:val="21"/>
                <w:highlight w:val="none"/>
              </w:rPr>
            </w:pPr>
          </w:p>
        </w:tc>
      </w:tr>
      <w:tr w14:paraId="099D2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5F767D8D">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8</w:t>
            </w:r>
          </w:p>
        </w:tc>
        <w:tc>
          <w:tcPr>
            <w:tcW w:w="3720" w:type="dxa"/>
            <w:vAlign w:val="center"/>
          </w:tcPr>
          <w:p w14:paraId="33B1DF03">
            <w:pPr>
              <w:adjustRightInd w:val="0"/>
              <w:snapToGrid w:val="0"/>
              <w:spacing w:line="240" w:lineRule="auto"/>
              <w:jc w:val="center"/>
              <w:rPr>
                <w:i w:val="0"/>
                <w:iCs w:val="0"/>
                <w:color w:val="auto"/>
                <w:szCs w:val="21"/>
                <w:highlight w:val="none"/>
              </w:rPr>
            </w:pPr>
          </w:p>
        </w:tc>
        <w:tc>
          <w:tcPr>
            <w:tcW w:w="1065" w:type="dxa"/>
            <w:vAlign w:val="center"/>
          </w:tcPr>
          <w:p w14:paraId="58DC349F">
            <w:pPr>
              <w:adjustRightInd w:val="0"/>
              <w:snapToGrid w:val="0"/>
              <w:spacing w:line="240" w:lineRule="auto"/>
              <w:jc w:val="center"/>
              <w:rPr>
                <w:i w:val="0"/>
                <w:iCs w:val="0"/>
                <w:color w:val="auto"/>
                <w:szCs w:val="21"/>
                <w:highlight w:val="none"/>
              </w:rPr>
            </w:pPr>
          </w:p>
        </w:tc>
        <w:tc>
          <w:tcPr>
            <w:tcW w:w="1065" w:type="dxa"/>
            <w:vAlign w:val="center"/>
          </w:tcPr>
          <w:p w14:paraId="1B36A6E3">
            <w:pPr>
              <w:adjustRightInd w:val="0"/>
              <w:snapToGrid w:val="0"/>
              <w:spacing w:line="240" w:lineRule="auto"/>
              <w:jc w:val="center"/>
              <w:rPr>
                <w:i w:val="0"/>
                <w:iCs w:val="0"/>
                <w:color w:val="auto"/>
                <w:szCs w:val="21"/>
                <w:highlight w:val="none"/>
              </w:rPr>
            </w:pPr>
          </w:p>
        </w:tc>
        <w:tc>
          <w:tcPr>
            <w:tcW w:w="1066" w:type="dxa"/>
            <w:vAlign w:val="center"/>
          </w:tcPr>
          <w:p w14:paraId="44856CC5">
            <w:pPr>
              <w:adjustRightInd w:val="0"/>
              <w:snapToGrid w:val="0"/>
              <w:spacing w:line="240" w:lineRule="auto"/>
              <w:jc w:val="center"/>
              <w:rPr>
                <w:i w:val="0"/>
                <w:iCs w:val="0"/>
                <w:color w:val="auto"/>
                <w:szCs w:val="21"/>
                <w:highlight w:val="none"/>
              </w:rPr>
            </w:pPr>
          </w:p>
        </w:tc>
        <w:tc>
          <w:tcPr>
            <w:tcW w:w="947" w:type="dxa"/>
            <w:vAlign w:val="center"/>
          </w:tcPr>
          <w:p w14:paraId="4E0D6419">
            <w:pPr>
              <w:adjustRightInd w:val="0"/>
              <w:snapToGrid w:val="0"/>
              <w:spacing w:line="240" w:lineRule="auto"/>
              <w:jc w:val="center"/>
              <w:rPr>
                <w:i w:val="0"/>
                <w:iCs w:val="0"/>
                <w:color w:val="auto"/>
                <w:szCs w:val="21"/>
                <w:highlight w:val="none"/>
              </w:rPr>
            </w:pPr>
          </w:p>
        </w:tc>
      </w:tr>
      <w:tr w14:paraId="380E1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shd w:val="clear" w:color="auto" w:fill="auto"/>
            <w:vAlign w:val="center"/>
          </w:tcPr>
          <w:p w14:paraId="5D0420CB">
            <w:pPr>
              <w:adjustRightInd w:val="0"/>
              <w:snapToGrid w:val="0"/>
              <w:spacing w:line="240" w:lineRule="auto"/>
              <w:jc w:val="center"/>
              <w:rPr>
                <w:rFonts w:ascii="宋体" w:hAnsi="宋体" w:eastAsia="宋体" w:cstheme="minorBidi"/>
                <w:i w:val="0"/>
                <w:iCs w:val="0"/>
                <w:color w:val="auto"/>
                <w:kern w:val="2"/>
                <w:sz w:val="24"/>
                <w:szCs w:val="21"/>
                <w:highlight w:val="none"/>
                <w:lang w:val="en-US" w:eastAsia="zh-CN" w:bidi="ar-SA"/>
              </w:rPr>
            </w:pPr>
            <w:r>
              <w:rPr>
                <w:rFonts w:hint="eastAsia"/>
                <w:i w:val="0"/>
                <w:iCs w:val="0"/>
                <w:color w:val="auto"/>
                <w:szCs w:val="21"/>
                <w:highlight w:val="none"/>
              </w:rPr>
              <w:t>……</w:t>
            </w:r>
          </w:p>
        </w:tc>
        <w:tc>
          <w:tcPr>
            <w:tcW w:w="3720" w:type="dxa"/>
            <w:shd w:val="clear" w:color="auto" w:fill="auto"/>
            <w:vAlign w:val="center"/>
          </w:tcPr>
          <w:p w14:paraId="29FF791A">
            <w:pPr>
              <w:adjustRightInd w:val="0"/>
              <w:snapToGrid w:val="0"/>
              <w:spacing w:line="240" w:lineRule="auto"/>
              <w:jc w:val="center"/>
              <w:rPr>
                <w:rFonts w:ascii="宋体" w:hAnsi="宋体" w:eastAsia="宋体" w:cstheme="minorBidi"/>
                <w:i w:val="0"/>
                <w:iCs w:val="0"/>
                <w:color w:val="auto"/>
                <w:kern w:val="2"/>
                <w:sz w:val="24"/>
                <w:szCs w:val="21"/>
                <w:highlight w:val="none"/>
                <w:lang w:val="en-US" w:eastAsia="zh-CN" w:bidi="ar-SA"/>
              </w:rPr>
            </w:pPr>
            <w:r>
              <w:rPr>
                <w:rFonts w:hint="eastAsia"/>
                <w:i w:val="0"/>
                <w:iCs w:val="0"/>
                <w:color w:val="auto"/>
                <w:szCs w:val="21"/>
                <w:highlight w:val="none"/>
              </w:rPr>
              <w:t>……</w:t>
            </w:r>
          </w:p>
        </w:tc>
        <w:tc>
          <w:tcPr>
            <w:tcW w:w="1065" w:type="dxa"/>
            <w:vAlign w:val="center"/>
          </w:tcPr>
          <w:p w14:paraId="3A1790F9">
            <w:pPr>
              <w:adjustRightInd w:val="0"/>
              <w:snapToGrid w:val="0"/>
              <w:spacing w:line="240" w:lineRule="auto"/>
              <w:jc w:val="center"/>
              <w:rPr>
                <w:i w:val="0"/>
                <w:iCs w:val="0"/>
                <w:color w:val="auto"/>
                <w:szCs w:val="21"/>
                <w:highlight w:val="none"/>
              </w:rPr>
            </w:pPr>
          </w:p>
        </w:tc>
        <w:tc>
          <w:tcPr>
            <w:tcW w:w="1065" w:type="dxa"/>
            <w:vAlign w:val="center"/>
          </w:tcPr>
          <w:p w14:paraId="474C3A94">
            <w:pPr>
              <w:adjustRightInd w:val="0"/>
              <w:snapToGrid w:val="0"/>
              <w:spacing w:line="240" w:lineRule="auto"/>
              <w:jc w:val="center"/>
              <w:rPr>
                <w:i w:val="0"/>
                <w:iCs w:val="0"/>
                <w:color w:val="auto"/>
                <w:szCs w:val="21"/>
                <w:highlight w:val="none"/>
              </w:rPr>
            </w:pPr>
          </w:p>
        </w:tc>
        <w:tc>
          <w:tcPr>
            <w:tcW w:w="1066" w:type="dxa"/>
            <w:vAlign w:val="center"/>
          </w:tcPr>
          <w:p w14:paraId="12CD6E3C">
            <w:pPr>
              <w:adjustRightInd w:val="0"/>
              <w:snapToGrid w:val="0"/>
              <w:spacing w:line="240" w:lineRule="auto"/>
              <w:jc w:val="center"/>
              <w:rPr>
                <w:i w:val="0"/>
                <w:iCs w:val="0"/>
                <w:color w:val="auto"/>
                <w:szCs w:val="21"/>
                <w:highlight w:val="none"/>
              </w:rPr>
            </w:pPr>
          </w:p>
        </w:tc>
        <w:tc>
          <w:tcPr>
            <w:tcW w:w="947" w:type="dxa"/>
            <w:vAlign w:val="center"/>
          </w:tcPr>
          <w:p w14:paraId="582FFA15">
            <w:pPr>
              <w:adjustRightInd w:val="0"/>
              <w:snapToGrid w:val="0"/>
              <w:spacing w:line="240" w:lineRule="auto"/>
              <w:jc w:val="center"/>
              <w:rPr>
                <w:i w:val="0"/>
                <w:iCs w:val="0"/>
                <w:color w:val="auto"/>
                <w:szCs w:val="21"/>
                <w:highlight w:val="none"/>
              </w:rPr>
            </w:pPr>
          </w:p>
        </w:tc>
      </w:tr>
      <w:tr w14:paraId="261F5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3D9E45E2">
            <w:pPr>
              <w:adjustRightInd w:val="0"/>
              <w:snapToGrid w:val="0"/>
              <w:spacing w:line="240" w:lineRule="auto"/>
              <w:jc w:val="center"/>
              <w:rPr>
                <w:i w:val="0"/>
                <w:iCs w:val="0"/>
                <w:color w:val="auto"/>
                <w:szCs w:val="21"/>
                <w:highlight w:val="none"/>
              </w:rPr>
            </w:pPr>
          </w:p>
        </w:tc>
        <w:tc>
          <w:tcPr>
            <w:tcW w:w="3720" w:type="dxa"/>
            <w:vAlign w:val="center"/>
          </w:tcPr>
          <w:p w14:paraId="3A3AD2BC">
            <w:pPr>
              <w:adjustRightInd w:val="0"/>
              <w:snapToGrid w:val="0"/>
              <w:spacing w:line="240" w:lineRule="auto"/>
              <w:jc w:val="center"/>
              <w:rPr>
                <w:i w:val="0"/>
                <w:iCs w:val="0"/>
                <w:color w:val="auto"/>
                <w:szCs w:val="21"/>
                <w:highlight w:val="none"/>
              </w:rPr>
            </w:pPr>
            <w:r>
              <w:rPr>
                <w:rFonts w:hint="eastAsia" w:asciiTheme="minorEastAsia" w:hAnsiTheme="minorEastAsia" w:eastAsiaTheme="minorEastAsia"/>
                <w:i w:val="0"/>
                <w:iCs w:val="0"/>
                <w:color w:val="auto"/>
                <w:highlight w:val="none"/>
              </w:rPr>
              <w:t>其他费用</w:t>
            </w:r>
          </w:p>
        </w:tc>
        <w:tc>
          <w:tcPr>
            <w:tcW w:w="1065" w:type="dxa"/>
            <w:vAlign w:val="center"/>
          </w:tcPr>
          <w:p w14:paraId="6A8185EA">
            <w:pPr>
              <w:adjustRightInd w:val="0"/>
              <w:snapToGrid w:val="0"/>
              <w:spacing w:line="240" w:lineRule="auto"/>
              <w:jc w:val="center"/>
              <w:rPr>
                <w:i w:val="0"/>
                <w:iCs w:val="0"/>
                <w:color w:val="auto"/>
                <w:szCs w:val="21"/>
                <w:highlight w:val="none"/>
              </w:rPr>
            </w:pPr>
          </w:p>
        </w:tc>
        <w:tc>
          <w:tcPr>
            <w:tcW w:w="1065" w:type="dxa"/>
            <w:vAlign w:val="center"/>
          </w:tcPr>
          <w:p w14:paraId="2B46FA46">
            <w:pPr>
              <w:adjustRightInd w:val="0"/>
              <w:snapToGrid w:val="0"/>
              <w:spacing w:line="240" w:lineRule="auto"/>
              <w:jc w:val="center"/>
              <w:rPr>
                <w:i w:val="0"/>
                <w:iCs w:val="0"/>
                <w:color w:val="auto"/>
                <w:szCs w:val="21"/>
                <w:highlight w:val="none"/>
              </w:rPr>
            </w:pPr>
          </w:p>
        </w:tc>
        <w:tc>
          <w:tcPr>
            <w:tcW w:w="1066" w:type="dxa"/>
            <w:vAlign w:val="center"/>
          </w:tcPr>
          <w:p w14:paraId="7DD34863">
            <w:pPr>
              <w:adjustRightInd w:val="0"/>
              <w:snapToGrid w:val="0"/>
              <w:spacing w:line="240" w:lineRule="auto"/>
              <w:jc w:val="center"/>
              <w:rPr>
                <w:i w:val="0"/>
                <w:iCs w:val="0"/>
                <w:color w:val="auto"/>
                <w:szCs w:val="21"/>
                <w:highlight w:val="none"/>
              </w:rPr>
            </w:pPr>
          </w:p>
        </w:tc>
        <w:tc>
          <w:tcPr>
            <w:tcW w:w="947" w:type="dxa"/>
            <w:vAlign w:val="center"/>
          </w:tcPr>
          <w:p w14:paraId="6CC7618D">
            <w:pPr>
              <w:adjustRightInd w:val="0"/>
              <w:snapToGrid w:val="0"/>
              <w:spacing w:line="240" w:lineRule="auto"/>
              <w:jc w:val="center"/>
              <w:rPr>
                <w:i w:val="0"/>
                <w:iCs w:val="0"/>
                <w:color w:val="auto"/>
                <w:szCs w:val="21"/>
                <w:highlight w:val="none"/>
              </w:rPr>
            </w:pPr>
          </w:p>
        </w:tc>
      </w:tr>
      <w:tr w14:paraId="69522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24D3F8CA">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w:t>
            </w:r>
          </w:p>
        </w:tc>
        <w:tc>
          <w:tcPr>
            <w:tcW w:w="3720" w:type="dxa"/>
            <w:vAlign w:val="center"/>
          </w:tcPr>
          <w:p w14:paraId="5623F750">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w:t>
            </w:r>
          </w:p>
        </w:tc>
        <w:tc>
          <w:tcPr>
            <w:tcW w:w="1065" w:type="dxa"/>
            <w:vAlign w:val="center"/>
          </w:tcPr>
          <w:p w14:paraId="7FC147AA">
            <w:pPr>
              <w:adjustRightInd w:val="0"/>
              <w:snapToGrid w:val="0"/>
              <w:spacing w:line="240" w:lineRule="auto"/>
              <w:jc w:val="center"/>
              <w:rPr>
                <w:i w:val="0"/>
                <w:iCs w:val="0"/>
                <w:color w:val="auto"/>
                <w:szCs w:val="21"/>
                <w:highlight w:val="none"/>
              </w:rPr>
            </w:pPr>
          </w:p>
        </w:tc>
        <w:tc>
          <w:tcPr>
            <w:tcW w:w="1065" w:type="dxa"/>
            <w:vAlign w:val="center"/>
          </w:tcPr>
          <w:p w14:paraId="2938069A">
            <w:pPr>
              <w:adjustRightInd w:val="0"/>
              <w:snapToGrid w:val="0"/>
              <w:spacing w:line="240" w:lineRule="auto"/>
              <w:jc w:val="center"/>
              <w:rPr>
                <w:i w:val="0"/>
                <w:iCs w:val="0"/>
                <w:color w:val="auto"/>
                <w:szCs w:val="21"/>
                <w:highlight w:val="none"/>
              </w:rPr>
            </w:pPr>
          </w:p>
        </w:tc>
        <w:tc>
          <w:tcPr>
            <w:tcW w:w="1066" w:type="dxa"/>
            <w:vAlign w:val="center"/>
          </w:tcPr>
          <w:p w14:paraId="61CB4BB8">
            <w:pPr>
              <w:adjustRightInd w:val="0"/>
              <w:snapToGrid w:val="0"/>
              <w:spacing w:line="240" w:lineRule="auto"/>
              <w:jc w:val="center"/>
              <w:rPr>
                <w:i w:val="0"/>
                <w:iCs w:val="0"/>
                <w:color w:val="auto"/>
                <w:szCs w:val="21"/>
                <w:highlight w:val="none"/>
              </w:rPr>
            </w:pPr>
          </w:p>
        </w:tc>
        <w:tc>
          <w:tcPr>
            <w:tcW w:w="947" w:type="dxa"/>
            <w:vAlign w:val="center"/>
          </w:tcPr>
          <w:p w14:paraId="760C7701">
            <w:pPr>
              <w:adjustRightInd w:val="0"/>
              <w:snapToGrid w:val="0"/>
              <w:spacing w:line="240" w:lineRule="auto"/>
              <w:jc w:val="center"/>
              <w:rPr>
                <w:i w:val="0"/>
                <w:iCs w:val="0"/>
                <w:color w:val="auto"/>
                <w:szCs w:val="21"/>
                <w:highlight w:val="none"/>
              </w:rPr>
            </w:pPr>
          </w:p>
        </w:tc>
      </w:tr>
      <w:tr w14:paraId="42564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915" w:type="dxa"/>
            <w:gridSpan w:val="4"/>
            <w:vAlign w:val="center"/>
          </w:tcPr>
          <w:p w14:paraId="0A3D18E4">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报价合计（元）</w:t>
            </w:r>
          </w:p>
        </w:tc>
        <w:tc>
          <w:tcPr>
            <w:tcW w:w="2013" w:type="dxa"/>
            <w:gridSpan w:val="2"/>
            <w:vAlign w:val="center"/>
          </w:tcPr>
          <w:p w14:paraId="2F8C5621">
            <w:pPr>
              <w:adjustRightInd w:val="0"/>
              <w:snapToGrid w:val="0"/>
              <w:spacing w:line="240" w:lineRule="auto"/>
              <w:jc w:val="center"/>
              <w:rPr>
                <w:i w:val="0"/>
                <w:iCs w:val="0"/>
                <w:color w:val="auto"/>
                <w:szCs w:val="21"/>
                <w:highlight w:val="none"/>
              </w:rPr>
            </w:pPr>
          </w:p>
        </w:tc>
      </w:tr>
    </w:tbl>
    <w:p w14:paraId="328756C9">
      <w:pPr>
        <w:rPr>
          <w:rFonts w:hint="eastAsia"/>
          <w:b w:val="0"/>
          <w:bCs/>
          <w:i w:val="0"/>
          <w:iCs w:val="0"/>
          <w:color w:val="auto"/>
          <w:szCs w:val="21"/>
          <w:highlight w:val="none"/>
          <w:u w:val="single"/>
          <w:lang w:val="zh-CN"/>
        </w:rPr>
      </w:pPr>
    </w:p>
    <w:p w14:paraId="3E542861">
      <w:pPr>
        <w:spacing w:line="300" w:lineRule="auto"/>
        <w:rPr>
          <w:rFonts w:ascii="Arial" w:hAnsi="Arial" w:cs="Arial"/>
          <w:i w:val="0"/>
          <w:iCs w:val="0"/>
          <w:color w:val="auto"/>
          <w:szCs w:val="21"/>
          <w:highlight w:val="none"/>
        </w:rPr>
      </w:pPr>
    </w:p>
    <w:p w14:paraId="5370C78E">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1DB54D2A">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B3EDC9B">
      <w:pPr>
        <w:spacing w:line="300" w:lineRule="auto"/>
        <w:rPr>
          <w:rFonts w:ascii="Arial" w:hAnsi="Arial" w:cs="Arial"/>
          <w:i w:val="0"/>
          <w:iCs w:val="0"/>
          <w:color w:val="auto"/>
          <w:szCs w:val="21"/>
          <w:highlight w:val="none"/>
        </w:rPr>
      </w:pPr>
    </w:p>
    <w:p w14:paraId="2D592B4D">
      <w:pPr>
        <w:shd w:val="clear" w:color="auto"/>
        <w:spacing w:line="440" w:lineRule="exac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注：1、供应商须根据磋商文件《采购需求》的载明的内容逐条进行明细报价，不接受服务内容不符、不接受缺漏项、不接受顺序更改、不接受数量负偏离，否则，响应无效。如有增项，须在《报价明细表》最末说明及增加。</w:t>
      </w:r>
    </w:p>
    <w:p w14:paraId="310F86D5">
      <w:pPr>
        <w:numPr>
          <w:ilvl w:val="0"/>
          <w:numId w:val="8"/>
        </w:numPr>
        <w:shd w:val="clear" w:color="auto"/>
        <w:spacing w:line="440" w:lineRule="exact"/>
        <w:rPr>
          <w:rFonts w:hint="eastAsia" w:ascii="宋体" w:hAnsi="宋体" w:eastAsia="宋体" w:cs="宋体"/>
          <w:b/>
          <w:bCs/>
          <w:i w:val="0"/>
          <w:iCs w:val="0"/>
          <w:color w:val="auto"/>
          <w:highlight w:val="none"/>
          <w:lang w:val="en-US" w:eastAsia="zh-CN"/>
        </w:rPr>
      </w:pPr>
      <w:r>
        <w:rPr>
          <w:rFonts w:hint="eastAsia" w:ascii="宋体" w:hAnsi="宋体" w:eastAsia="宋体" w:cs="宋体"/>
          <w:b w:val="0"/>
          <w:bCs/>
          <w:color w:val="auto"/>
          <w:sz w:val="24"/>
          <w:szCs w:val="24"/>
          <w:highlight w:val="none"/>
        </w:rPr>
        <w:t>“其他”可填写供应商认为需要填写的其他内容。</w:t>
      </w:r>
    </w:p>
    <w:p w14:paraId="737388C0">
      <w:pPr>
        <w:pStyle w:val="66"/>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i w:val="0"/>
          <w:iCs w:val="0"/>
          <w:color w:val="auto"/>
          <w:highlight w:val="none"/>
          <w:lang w:val="en-US" w:eastAsia="zh-CN"/>
        </w:rPr>
      </w:pPr>
    </w:p>
    <w:p w14:paraId="6D189030">
      <w:pPr>
        <w:rPr>
          <w:rFonts w:hint="eastAsia" w:cs="仿宋_GB2312"/>
          <w:i w:val="0"/>
          <w:iCs w:val="0"/>
          <w:color w:val="auto"/>
          <w:szCs w:val="24"/>
          <w:highlight w:val="none"/>
          <w:lang w:val="zh-CN"/>
        </w:rPr>
      </w:pPr>
      <w:r>
        <w:rPr>
          <w:rFonts w:hint="eastAsia" w:cs="仿宋_GB2312"/>
          <w:i w:val="0"/>
          <w:iCs w:val="0"/>
          <w:color w:val="auto"/>
          <w:szCs w:val="24"/>
          <w:highlight w:val="none"/>
          <w:lang w:val="zh-CN"/>
        </w:rPr>
        <w:br w:type="page"/>
      </w:r>
    </w:p>
    <w:p w14:paraId="59E6F39D">
      <w:pPr>
        <w:ind w:firstLine="480" w:firstLineChars="200"/>
        <w:rPr>
          <w:rFonts w:cs="仿宋_GB2312"/>
          <w:i w:val="0"/>
          <w:iCs w:val="0"/>
          <w:color w:val="auto"/>
          <w:szCs w:val="24"/>
          <w:highlight w:val="none"/>
          <w:lang w:val="zh-CN"/>
        </w:rPr>
      </w:pPr>
      <w:r>
        <w:rPr>
          <w:rFonts w:hint="eastAsia" w:cs="仿宋_GB2312"/>
          <w:i w:val="0"/>
          <w:iCs w:val="0"/>
          <w:color w:val="auto"/>
          <w:szCs w:val="24"/>
          <w:highlight w:val="none"/>
          <w:lang w:val="zh-CN"/>
        </w:rPr>
        <w:t>封面：</w:t>
      </w:r>
    </w:p>
    <w:p w14:paraId="1608ED84">
      <w:pPr>
        <w:autoSpaceDE w:val="0"/>
        <w:autoSpaceDN w:val="0"/>
        <w:adjustRightInd w:val="0"/>
        <w:rPr>
          <w:i w:val="0"/>
          <w:iCs w:val="0"/>
          <w:color w:val="auto"/>
          <w:sz w:val="21"/>
          <w:szCs w:val="24"/>
          <w:highlight w:val="none"/>
        </w:rPr>
      </w:pPr>
    </w:p>
    <w:p w14:paraId="52549619">
      <w:pPr>
        <w:autoSpaceDE w:val="0"/>
        <w:autoSpaceDN w:val="0"/>
        <w:adjustRightInd w:val="0"/>
        <w:rPr>
          <w:i w:val="0"/>
          <w:iCs w:val="0"/>
          <w:color w:val="auto"/>
          <w:sz w:val="21"/>
          <w:szCs w:val="24"/>
          <w:highlight w:val="none"/>
        </w:rPr>
      </w:pPr>
    </w:p>
    <w:p w14:paraId="707CB2C6">
      <w:pPr>
        <w:autoSpaceDE w:val="0"/>
        <w:autoSpaceDN w:val="0"/>
        <w:adjustRightInd w:val="0"/>
        <w:jc w:val="center"/>
        <w:rPr>
          <w:i w:val="0"/>
          <w:iCs w:val="0"/>
          <w:color w:val="auto"/>
          <w:sz w:val="21"/>
          <w:szCs w:val="24"/>
          <w:highlight w:val="none"/>
        </w:rPr>
      </w:pPr>
    </w:p>
    <w:p w14:paraId="39A885C9">
      <w:pPr>
        <w:pStyle w:val="3"/>
        <w:bidi w:val="0"/>
        <w:jc w:val="center"/>
        <w:rPr>
          <w:color w:val="auto"/>
          <w:sz w:val="84"/>
          <w:szCs w:val="84"/>
          <w:highlight w:val="none"/>
        </w:rPr>
      </w:pPr>
      <w:bookmarkStart w:id="694" w:name="_Toc20481"/>
      <w:r>
        <w:rPr>
          <w:rFonts w:hint="eastAsia"/>
          <w:color w:val="auto"/>
          <w:sz w:val="84"/>
          <w:szCs w:val="84"/>
          <w:highlight w:val="none"/>
          <w:lang w:val="en-US" w:eastAsia="zh-CN"/>
        </w:rPr>
        <w:t>响 应</w:t>
      </w:r>
      <w:r>
        <w:rPr>
          <w:rFonts w:hint="eastAsia"/>
          <w:color w:val="auto"/>
          <w:sz w:val="84"/>
          <w:szCs w:val="84"/>
          <w:highlight w:val="none"/>
        </w:rPr>
        <w:t xml:space="preserve"> 文 件</w:t>
      </w:r>
      <w:bookmarkEnd w:id="694"/>
    </w:p>
    <w:p w14:paraId="7B73C93C">
      <w:pPr>
        <w:pStyle w:val="3"/>
        <w:bidi w:val="0"/>
        <w:jc w:val="center"/>
        <w:rPr>
          <w:rFonts w:hint="eastAsia"/>
          <w:color w:val="auto"/>
          <w:sz w:val="56"/>
          <w:szCs w:val="56"/>
          <w:highlight w:val="none"/>
          <w:lang w:val="en-US" w:eastAsia="zh-CN"/>
        </w:rPr>
      </w:pPr>
      <w:bookmarkStart w:id="695" w:name="_Toc23374"/>
      <w:r>
        <w:rPr>
          <w:rFonts w:hint="eastAsia"/>
          <w:color w:val="auto"/>
          <w:sz w:val="56"/>
          <w:szCs w:val="56"/>
          <w:highlight w:val="none"/>
          <w:lang w:val="en-US" w:eastAsia="zh-CN"/>
        </w:rPr>
        <w:t>商务技术文件</w:t>
      </w:r>
      <w:bookmarkEnd w:id="695"/>
    </w:p>
    <w:p w14:paraId="7B4E1662">
      <w:pPr>
        <w:autoSpaceDE w:val="0"/>
        <w:autoSpaceDN w:val="0"/>
        <w:adjustRightInd w:val="0"/>
        <w:jc w:val="center"/>
        <w:rPr>
          <w:rFonts w:hint="eastAsia" w:eastAsia="宋体"/>
          <w:i w:val="0"/>
          <w:iCs w:val="0"/>
          <w:color w:val="auto"/>
          <w:sz w:val="36"/>
          <w:szCs w:val="36"/>
          <w:highlight w:val="none"/>
          <w:lang w:eastAsia="zh-CN"/>
        </w:rPr>
      </w:pPr>
      <w:r>
        <w:rPr>
          <w:rFonts w:hint="eastAsia"/>
          <w:i w:val="0"/>
          <w:iCs w:val="0"/>
          <w:color w:val="auto"/>
          <w:sz w:val="36"/>
          <w:szCs w:val="36"/>
          <w:highlight w:val="none"/>
          <w:lang w:val="en-US" w:eastAsia="zh-CN"/>
        </w:rPr>
        <w:t>（第XX包</w:t>
      </w:r>
      <w:r>
        <w:rPr>
          <w:rFonts w:hint="eastAsia"/>
          <w:i w:val="0"/>
          <w:iCs w:val="0"/>
          <w:color w:val="auto"/>
          <w:sz w:val="36"/>
          <w:szCs w:val="36"/>
          <w:highlight w:val="none"/>
          <w:lang w:eastAsia="zh-CN"/>
        </w:rPr>
        <w:t>）【</w:t>
      </w:r>
      <w:r>
        <w:rPr>
          <w:rFonts w:hint="eastAsia"/>
          <w:i w:val="0"/>
          <w:iCs w:val="0"/>
          <w:color w:val="auto"/>
          <w:sz w:val="36"/>
          <w:szCs w:val="36"/>
          <w:highlight w:val="none"/>
          <w:lang w:val="en-US" w:eastAsia="zh-CN"/>
        </w:rPr>
        <w:t>如不分包，请删去本行</w:t>
      </w:r>
      <w:r>
        <w:rPr>
          <w:rFonts w:hint="eastAsia"/>
          <w:i w:val="0"/>
          <w:iCs w:val="0"/>
          <w:color w:val="auto"/>
          <w:sz w:val="36"/>
          <w:szCs w:val="36"/>
          <w:highlight w:val="none"/>
          <w:lang w:eastAsia="zh-CN"/>
        </w:rPr>
        <w:t>】</w:t>
      </w:r>
    </w:p>
    <w:p w14:paraId="65E75388">
      <w:pPr>
        <w:pStyle w:val="3"/>
        <w:rPr>
          <w:i w:val="0"/>
          <w:iCs w:val="0"/>
          <w:color w:val="auto"/>
          <w:sz w:val="21"/>
          <w:szCs w:val="21"/>
          <w:highlight w:val="none"/>
        </w:rPr>
      </w:pPr>
    </w:p>
    <w:p w14:paraId="468292C4">
      <w:pPr>
        <w:rPr>
          <w:i w:val="0"/>
          <w:iCs w:val="0"/>
          <w:color w:val="auto"/>
          <w:sz w:val="21"/>
          <w:szCs w:val="21"/>
          <w:highlight w:val="none"/>
        </w:rPr>
      </w:pPr>
    </w:p>
    <w:p w14:paraId="5ED53CDE">
      <w:pPr>
        <w:rPr>
          <w:i w:val="0"/>
          <w:iCs w:val="0"/>
          <w:color w:val="auto"/>
          <w:highlight w:val="none"/>
        </w:rPr>
      </w:pPr>
    </w:p>
    <w:p w14:paraId="261A98BD">
      <w:pPr>
        <w:autoSpaceDE w:val="0"/>
        <w:autoSpaceDN w:val="0"/>
        <w:adjustRightInd w:val="0"/>
        <w:rPr>
          <w:i w:val="0"/>
          <w:iCs w:val="0"/>
          <w:color w:val="auto"/>
          <w:sz w:val="21"/>
          <w:szCs w:val="21"/>
          <w:highlight w:val="none"/>
        </w:rPr>
      </w:pPr>
    </w:p>
    <w:p w14:paraId="7F1B3B73">
      <w:pPr>
        <w:autoSpaceDE w:val="0"/>
        <w:autoSpaceDN w:val="0"/>
        <w:adjustRightInd w:val="0"/>
        <w:rPr>
          <w:i w:val="0"/>
          <w:iCs w:val="0"/>
          <w:color w:val="auto"/>
          <w:sz w:val="21"/>
          <w:szCs w:val="21"/>
          <w:highlight w:val="none"/>
        </w:rPr>
      </w:pPr>
    </w:p>
    <w:p w14:paraId="4E314F55">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项目编号</w:t>
      </w:r>
      <w:r>
        <w:rPr>
          <w:rFonts w:hint="eastAsia" w:ascii="宋体" w:hAnsi="宋体" w:eastAsia="宋体" w:cs="宋体"/>
          <w:i w:val="0"/>
          <w:iCs w:val="0"/>
          <w:color w:val="auto"/>
          <w:sz w:val="36"/>
          <w:szCs w:val="36"/>
          <w:highlight w:val="none"/>
          <w:lang w:val="en-US" w:eastAsia="zh-CN"/>
        </w:rPr>
        <w:t>/包号</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00896020">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项目名称：</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537E119B">
      <w:pPr>
        <w:ind w:left="420" w:leftChars="175"/>
        <w:rPr>
          <w:rFonts w:hint="eastAsia" w:ascii="宋体" w:hAnsi="宋体" w:eastAsia="宋体" w:cs="宋体"/>
          <w:i w:val="0"/>
          <w:iCs w:val="0"/>
          <w:color w:val="auto"/>
          <w:sz w:val="36"/>
          <w:szCs w:val="36"/>
          <w:highlight w:val="none"/>
        </w:rPr>
      </w:pPr>
      <w:r>
        <w:rPr>
          <w:rFonts w:hint="eastAsia" w:cs="宋体"/>
          <w:i w:val="0"/>
          <w:iCs w:val="0"/>
          <w:color w:val="auto"/>
          <w:sz w:val="36"/>
          <w:szCs w:val="36"/>
          <w:highlight w:val="none"/>
          <w:lang w:val="en-US" w:eastAsia="zh-CN"/>
        </w:rPr>
        <w:t>供 应 商</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0830AD08">
      <w:pPr>
        <w:jc w:val="center"/>
        <w:rPr>
          <w:rFonts w:ascii="黑体" w:hAnsi="黑体" w:eastAsia="黑体"/>
          <w:i w:val="0"/>
          <w:iCs w:val="0"/>
          <w:color w:val="auto"/>
          <w:sz w:val="32"/>
          <w:szCs w:val="32"/>
          <w:highlight w:val="none"/>
        </w:rPr>
      </w:pPr>
    </w:p>
    <w:p w14:paraId="2AA64C4E">
      <w:pPr>
        <w:jc w:val="center"/>
        <w:rPr>
          <w:rFonts w:ascii="黑体" w:hAnsi="黑体" w:eastAsia="黑体"/>
          <w:i w:val="0"/>
          <w:iCs w:val="0"/>
          <w:color w:val="auto"/>
          <w:sz w:val="32"/>
          <w:szCs w:val="32"/>
          <w:highlight w:val="none"/>
        </w:rPr>
      </w:pPr>
    </w:p>
    <w:p w14:paraId="38E4ED2E">
      <w:pPr>
        <w:rPr>
          <w:i w:val="0"/>
          <w:iCs w:val="0"/>
          <w:color w:val="auto"/>
          <w:highlight w:val="none"/>
          <w:lang w:val="zh-CN"/>
        </w:rPr>
      </w:pPr>
      <w:r>
        <w:rPr>
          <w:i w:val="0"/>
          <w:iCs w:val="0"/>
          <w:color w:val="auto"/>
          <w:highlight w:val="none"/>
          <w:lang w:val="zh-CN"/>
        </w:rPr>
        <w:br w:type="page"/>
      </w:r>
    </w:p>
    <w:p w14:paraId="161B8F8A">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696" w:name="_Toc155185921"/>
      <w:bookmarkStart w:id="697" w:name="_Toc109899489"/>
      <w:bookmarkStart w:id="698" w:name="_Toc3577"/>
      <w:bookmarkStart w:id="699" w:name="_Toc140132831"/>
      <w:bookmarkStart w:id="700" w:name="_Toc109900327"/>
      <w:bookmarkStart w:id="701" w:name="_Toc25402"/>
      <w:bookmarkStart w:id="702" w:name="_Toc16679"/>
      <w:bookmarkStart w:id="703" w:name="_Toc109899908"/>
      <w:r>
        <w:rPr>
          <w:rFonts w:hint="eastAsia" w:eastAsia="宋体" w:asciiTheme="majorHAnsi" w:hAnsiTheme="majorHAnsi" w:cstheme="majorBidi"/>
          <w:b/>
          <w:bCs/>
          <w:i w:val="0"/>
          <w:iCs w:val="0"/>
          <w:color w:val="auto"/>
          <w:kern w:val="2"/>
          <w:sz w:val="32"/>
          <w:szCs w:val="32"/>
          <w:highlight w:val="none"/>
          <w:lang w:val="en-US" w:eastAsia="zh-CN" w:bidi="ar-SA"/>
        </w:rPr>
        <w:t>一、</w:t>
      </w:r>
      <w:r>
        <w:rPr>
          <w:rFonts w:hint="eastAsia" w:cstheme="majorBidi"/>
          <w:b/>
          <w:bCs/>
          <w:i w:val="0"/>
          <w:iCs w:val="0"/>
          <w:color w:val="auto"/>
          <w:kern w:val="2"/>
          <w:sz w:val="32"/>
          <w:szCs w:val="32"/>
          <w:highlight w:val="none"/>
          <w:lang w:val="en-US" w:eastAsia="zh-CN" w:bidi="ar-SA"/>
        </w:rPr>
        <w:t>响应</w:t>
      </w:r>
      <w:r>
        <w:rPr>
          <w:rFonts w:hint="eastAsia" w:eastAsia="宋体" w:asciiTheme="majorHAnsi" w:hAnsiTheme="majorHAnsi" w:cstheme="majorBidi"/>
          <w:b/>
          <w:bCs/>
          <w:i w:val="0"/>
          <w:iCs w:val="0"/>
          <w:color w:val="auto"/>
          <w:kern w:val="2"/>
          <w:sz w:val="32"/>
          <w:szCs w:val="32"/>
          <w:highlight w:val="none"/>
          <w:lang w:val="en-US" w:eastAsia="zh-CN" w:bidi="ar-SA"/>
        </w:rPr>
        <w:t>函</w:t>
      </w:r>
      <w:bookmarkEnd w:id="696"/>
      <w:bookmarkEnd w:id="697"/>
      <w:bookmarkEnd w:id="698"/>
      <w:bookmarkEnd w:id="699"/>
      <w:bookmarkEnd w:id="700"/>
      <w:bookmarkEnd w:id="701"/>
      <w:bookmarkEnd w:id="702"/>
      <w:bookmarkEnd w:id="703"/>
    </w:p>
    <w:p w14:paraId="4C9E7DCD">
      <w:pPr>
        <w:rPr>
          <w:i w:val="0"/>
          <w:iCs w:val="0"/>
          <w:color w:val="auto"/>
          <w:highlight w:val="none"/>
        </w:rPr>
      </w:pPr>
      <w:r>
        <w:rPr>
          <w:rFonts w:hint="eastAsia"/>
          <w:i w:val="0"/>
          <w:iCs w:val="0"/>
          <w:color w:val="auto"/>
          <w:highlight w:val="none"/>
        </w:rPr>
        <w:t>致：（采购人）</w:t>
      </w:r>
    </w:p>
    <w:p w14:paraId="3221248E">
      <w:pPr>
        <w:ind w:firstLine="480" w:firstLineChars="200"/>
        <w:rPr>
          <w:rFonts w:cs="仿宋_GB2312"/>
          <w:b/>
          <w:bCs/>
          <w:i w:val="0"/>
          <w:iCs w:val="0"/>
          <w:color w:val="auto"/>
          <w:szCs w:val="24"/>
          <w:highlight w:val="none"/>
        </w:rPr>
      </w:pPr>
      <w:r>
        <w:rPr>
          <w:rFonts w:hint="eastAsia" w:cs="仿宋_GB2312"/>
          <w:i w:val="0"/>
          <w:iCs w:val="0"/>
          <w:color w:val="auto"/>
          <w:szCs w:val="24"/>
          <w:highlight w:val="none"/>
        </w:rPr>
        <w:t>根据贵方</w:t>
      </w:r>
      <w:r>
        <w:rPr>
          <w:rFonts w:hint="eastAsia" w:cs="仿宋_GB2312"/>
          <w:i w:val="0"/>
          <w:iCs w:val="0"/>
          <w:color w:val="auto"/>
          <w:szCs w:val="24"/>
          <w:highlight w:val="none"/>
          <w:u w:val="single"/>
        </w:rPr>
        <w:t>（项目名称）（项目编号</w:t>
      </w:r>
      <w:r>
        <w:rPr>
          <w:rFonts w:hint="eastAsia" w:cs="仿宋_GB2312"/>
          <w:i w:val="0"/>
          <w:iCs w:val="0"/>
          <w:color w:val="auto"/>
          <w:szCs w:val="24"/>
          <w:highlight w:val="none"/>
          <w:u w:val="single"/>
          <w:lang w:val="en-US" w:eastAsia="zh-CN"/>
        </w:rPr>
        <w:t>/包号</w:t>
      </w:r>
      <w:r>
        <w:rPr>
          <w:rFonts w:hint="eastAsia" w:cs="仿宋_GB2312"/>
          <w:i w:val="0"/>
          <w:iCs w:val="0"/>
          <w:color w:val="auto"/>
          <w:szCs w:val="24"/>
          <w:highlight w:val="none"/>
          <w:u w:val="single"/>
        </w:rPr>
        <w:t>）</w:t>
      </w:r>
      <w:r>
        <w:rPr>
          <w:rFonts w:hint="eastAsia" w:cs="仿宋_GB2312"/>
          <w:i w:val="0"/>
          <w:iCs w:val="0"/>
          <w:color w:val="auto"/>
          <w:szCs w:val="24"/>
          <w:highlight w:val="none"/>
          <w:lang w:val="en-US" w:eastAsia="zh-CN"/>
        </w:rPr>
        <w:t>项目</w:t>
      </w:r>
      <w:r>
        <w:rPr>
          <w:rFonts w:hint="eastAsia" w:cs="仿宋_GB2312"/>
          <w:i w:val="0"/>
          <w:iCs w:val="0"/>
          <w:color w:val="auto"/>
          <w:szCs w:val="24"/>
          <w:highlight w:val="none"/>
        </w:rPr>
        <w:t>的</w:t>
      </w:r>
      <w:r>
        <w:rPr>
          <w:rFonts w:hint="eastAsia" w:cs="仿宋_GB2312"/>
          <w:i w:val="0"/>
          <w:iCs w:val="0"/>
          <w:color w:val="auto"/>
          <w:szCs w:val="24"/>
          <w:highlight w:val="none"/>
          <w:lang w:val="en-US" w:eastAsia="zh-CN"/>
        </w:rPr>
        <w:t>竞争性磋商公告</w:t>
      </w:r>
      <w:r>
        <w:rPr>
          <w:rFonts w:hint="eastAsia" w:cs="仿宋_GB2312"/>
          <w:i w:val="0"/>
          <w:iCs w:val="0"/>
          <w:color w:val="auto"/>
          <w:szCs w:val="24"/>
          <w:highlight w:val="none"/>
        </w:rPr>
        <w:t>，签字代表</w:t>
      </w:r>
      <w:r>
        <w:rPr>
          <w:rFonts w:hint="eastAsia" w:cs="仿宋_GB2312"/>
          <w:i w:val="0"/>
          <w:iCs w:val="0"/>
          <w:color w:val="auto"/>
          <w:szCs w:val="24"/>
          <w:highlight w:val="none"/>
          <w:u w:val="single"/>
        </w:rPr>
        <w:t>（姓名、职务）</w:t>
      </w:r>
      <w:r>
        <w:rPr>
          <w:rFonts w:hint="eastAsia" w:cs="仿宋_GB2312"/>
          <w:i w:val="0"/>
          <w:iCs w:val="0"/>
          <w:color w:val="auto"/>
          <w:szCs w:val="24"/>
          <w:highlight w:val="none"/>
        </w:rPr>
        <w:t>经正式授权并代表</w:t>
      </w:r>
      <w:r>
        <w:rPr>
          <w:rFonts w:hint="eastAsia" w:cs="仿宋_GB2312"/>
          <w:i w:val="0"/>
          <w:iCs w:val="0"/>
          <w:color w:val="auto"/>
          <w:szCs w:val="24"/>
          <w:highlight w:val="none"/>
          <w:lang w:val="en-US" w:eastAsia="zh-CN"/>
        </w:rPr>
        <w:t>供应商</w:t>
      </w:r>
      <w:r>
        <w:rPr>
          <w:rFonts w:hint="eastAsia" w:cs="仿宋_GB2312"/>
          <w:i w:val="0"/>
          <w:iCs w:val="0"/>
          <w:color w:val="auto"/>
          <w:szCs w:val="24"/>
          <w:highlight w:val="none"/>
          <w:u w:val="single"/>
        </w:rPr>
        <w:t>（</w:t>
      </w:r>
      <w:r>
        <w:rPr>
          <w:rFonts w:hint="eastAsia" w:cs="仿宋_GB2312"/>
          <w:i w:val="0"/>
          <w:iCs w:val="0"/>
          <w:color w:val="auto"/>
          <w:szCs w:val="24"/>
          <w:highlight w:val="none"/>
          <w:u w:val="single"/>
          <w:lang w:val="en-US" w:eastAsia="zh-CN"/>
        </w:rPr>
        <w:t>供应商</w:t>
      </w:r>
      <w:r>
        <w:rPr>
          <w:rFonts w:hint="eastAsia" w:cs="仿宋_GB2312"/>
          <w:i w:val="0"/>
          <w:iCs w:val="0"/>
          <w:color w:val="auto"/>
          <w:szCs w:val="24"/>
          <w:highlight w:val="none"/>
          <w:u w:val="single"/>
        </w:rPr>
        <w:t>名称、地址）</w:t>
      </w:r>
      <w:r>
        <w:rPr>
          <w:rFonts w:hint="eastAsia" w:cs="仿宋_GB2312"/>
          <w:i w:val="0"/>
          <w:iCs w:val="0"/>
          <w:color w:val="auto"/>
          <w:szCs w:val="24"/>
          <w:highlight w:val="none"/>
        </w:rPr>
        <w:t>提交下述文件</w:t>
      </w:r>
      <w:r>
        <w:rPr>
          <w:rFonts w:hint="eastAsia" w:cs="仿宋_GB2312"/>
          <w:b/>
          <w:bCs/>
          <w:i w:val="0"/>
          <w:iCs w:val="0"/>
          <w:color w:val="auto"/>
          <w:szCs w:val="24"/>
          <w:highlight w:val="none"/>
        </w:rPr>
        <w:t>：</w:t>
      </w:r>
    </w:p>
    <w:p w14:paraId="65FA88F8">
      <w:pPr>
        <w:spacing w:line="324" w:lineRule="auto"/>
        <w:ind w:firstLine="480" w:firstLineChars="200"/>
        <w:rPr>
          <w:rFonts w:hint="eastAsia" w:cs="Arial"/>
          <w:i w:val="0"/>
          <w:iCs w:val="0"/>
          <w:color w:val="auto"/>
          <w:szCs w:val="24"/>
          <w:highlight w:val="none"/>
          <w:lang w:val="en-US" w:eastAsia="zh-CN"/>
        </w:rPr>
      </w:pPr>
      <w:r>
        <w:rPr>
          <w:rFonts w:hint="eastAsia" w:cs="Arial"/>
          <w:i w:val="0"/>
          <w:iCs w:val="0"/>
          <w:color w:val="auto"/>
          <w:szCs w:val="24"/>
          <w:highlight w:val="none"/>
          <w:lang w:val="en-US" w:eastAsia="zh-CN"/>
        </w:rPr>
        <w:t>1.资格证明文件；</w:t>
      </w:r>
    </w:p>
    <w:p w14:paraId="3E3834BA">
      <w:pPr>
        <w:spacing w:line="324" w:lineRule="auto"/>
        <w:ind w:firstLine="480" w:firstLineChars="200"/>
        <w:rPr>
          <w:rFonts w:hint="eastAsia" w:cs="Arial"/>
          <w:i w:val="0"/>
          <w:iCs w:val="0"/>
          <w:color w:val="auto"/>
          <w:szCs w:val="24"/>
          <w:highlight w:val="none"/>
          <w:lang w:val="en-US" w:eastAsia="zh-CN"/>
        </w:rPr>
      </w:pPr>
      <w:r>
        <w:rPr>
          <w:rFonts w:hint="eastAsia" w:cs="Arial"/>
          <w:i w:val="0"/>
          <w:iCs w:val="0"/>
          <w:color w:val="auto"/>
          <w:szCs w:val="24"/>
          <w:highlight w:val="none"/>
          <w:lang w:val="en-US" w:eastAsia="zh-CN"/>
        </w:rPr>
        <w:t>2.报价文件；</w:t>
      </w:r>
    </w:p>
    <w:p w14:paraId="2F633022">
      <w:pPr>
        <w:numPr>
          <w:ilvl w:val="0"/>
          <w:numId w:val="0"/>
        </w:numPr>
        <w:spacing w:line="324" w:lineRule="auto"/>
        <w:ind w:firstLine="480" w:firstLineChars="200"/>
        <w:jc w:val="both"/>
        <w:rPr>
          <w:rFonts w:cs="Arial"/>
          <w:i w:val="0"/>
          <w:iCs w:val="0"/>
          <w:color w:val="auto"/>
          <w:szCs w:val="24"/>
          <w:highlight w:val="none"/>
        </w:rPr>
      </w:pPr>
      <w:r>
        <w:rPr>
          <w:rFonts w:hint="eastAsia" w:cs="Arial"/>
          <w:i w:val="0"/>
          <w:iCs w:val="0"/>
          <w:color w:val="auto"/>
          <w:szCs w:val="24"/>
          <w:highlight w:val="none"/>
          <w:lang w:val="en-US" w:eastAsia="zh-CN"/>
        </w:rPr>
        <w:t>3.商务技术文件</w:t>
      </w:r>
      <w:r>
        <w:rPr>
          <w:rFonts w:cs="Arial"/>
          <w:i w:val="0"/>
          <w:iCs w:val="0"/>
          <w:color w:val="auto"/>
          <w:szCs w:val="24"/>
          <w:highlight w:val="none"/>
        </w:rPr>
        <w:t>。</w:t>
      </w:r>
    </w:p>
    <w:p w14:paraId="4F69A5C9">
      <w:pPr>
        <w:spacing w:line="324" w:lineRule="auto"/>
        <w:ind w:firstLine="480" w:firstLineChars="200"/>
        <w:rPr>
          <w:rFonts w:cs="Arial"/>
          <w:i w:val="0"/>
          <w:iCs w:val="0"/>
          <w:color w:val="auto"/>
          <w:szCs w:val="24"/>
          <w:highlight w:val="none"/>
        </w:rPr>
      </w:pPr>
      <w:r>
        <w:rPr>
          <w:rFonts w:cs="Arial"/>
          <w:i w:val="0"/>
          <w:iCs w:val="0"/>
          <w:color w:val="auto"/>
          <w:szCs w:val="24"/>
          <w:highlight w:val="none"/>
        </w:rPr>
        <w:t>根据此函，签字代表宣布同意如下：</w:t>
      </w:r>
    </w:p>
    <w:p w14:paraId="0E908926">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1.</w:t>
      </w:r>
      <w:r>
        <w:rPr>
          <w:rFonts w:cs="Arial"/>
          <w:i w:val="0"/>
          <w:iCs w:val="0"/>
          <w:color w:val="auto"/>
          <w:szCs w:val="24"/>
          <w:highlight w:val="none"/>
        </w:rPr>
        <w:t>所附</w:t>
      </w:r>
      <w:r>
        <w:rPr>
          <w:rFonts w:hint="eastAsia" w:cs="Arial"/>
          <w:i w:val="0"/>
          <w:iCs w:val="0"/>
          <w:color w:val="auto"/>
          <w:szCs w:val="24"/>
          <w:highlight w:val="none"/>
          <w:lang w:val="en-US" w:eastAsia="zh-CN"/>
        </w:rPr>
        <w:t>报价一览</w:t>
      </w:r>
      <w:r>
        <w:rPr>
          <w:rFonts w:cs="Arial"/>
          <w:i w:val="0"/>
          <w:iCs w:val="0"/>
          <w:color w:val="auto"/>
          <w:szCs w:val="24"/>
          <w:highlight w:val="none"/>
        </w:rPr>
        <w:t>表中规定的应提交和交付的服务和</w:t>
      </w:r>
      <w:r>
        <w:rPr>
          <w:rFonts w:hint="eastAsia"/>
          <w:i w:val="0"/>
          <w:iCs w:val="0"/>
          <w:color w:val="auto"/>
          <w:szCs w:val="24"/>
          <w:highlight w:val="none"/>
          <w:lang w:val="en-US" w:eastAsia="zh-CN"/>
        </w:rPr>
        <w:t>包含的</w:t>
      </w:r>
      <w:r>
        <w:rPr>
          <w:rFonts w:hint="eastAsia" w:cs="Arial"/>
          <w:i w:val="0"/>
          <w:iCs w:val="0"/>
          <w:color w:val="auto"/>
          <w:szCs w:val="24"/>
          <w:highlight w:val="none"/>
        </w:rPr>
        <w:t>货物（如有）</w:t>
      </w:r>
      <w:r>
        <w:rPr>
          <w:rFonts w:cs="Arial"/>
          <w:i w:val="0"/>
          <w:iCs w:val="0"/>
          <w:color w:val="auto"/>
          <w:szCs w:val="24"/>
          <w:highlight w:val="none"/>
        </w:rPr>
        <w:t>的</w:t>
      </w:r>
      <w:r>
        <w:rPr>
          <w:rFonts w:hint="eastAsia" w:cs="Arial"/>
          <w:i w:val="0"/>
          <w:iCs w:val="0"/>
          <w:color w:val="auto"/>
          <w:szCs w:val="24"/>
          <w:highlight w:val="none"/>
        </w:rPr>
        <w:t>报价</w:t>
      </w:r>
      <w:r>
        <w:rPr>
          <w:rFonts w:cs="Arial"/>
          <w:i w:val="0"/>
          <w:iCs w:val="0"/>
          <w:color w:val="auto"/>
          <w:szCs w:val="24"/>
          <w:highlight w:val="none"/>
        </w:rPr>
        <w:t>为</w:t>
      </w:r>
      <w:r>
        <w:rPr>
          <w:rFonts w:hint="eastAsia" w:cs="Arial"/>
          <w:i w:val="0"/>
          <w:iCs w:val="0"/>
          <w:color w:val="auto"/>
          <w:szCs w:val="24"/>
          <w:highlight w:val="none"/>
        </w:rPr>
        <w:t xml:space="preserve"> </w:t>
      </w:r>
      <w:r>
        <w:rPr>
          <w:rFonts w:hint="eastAsia" w:cs="Arial"/>
          <w:i w:val="0"/>
          <w:iCs w:val="0"/>
          <w:color w:val="auto"/>
          <w:szCs w:val="24"/>
          <w:highlight w:val="none"/>
          <w:u w:val="single"/>
        </w:rPr>
        <w:t xml:space="preserve">                  </w:t>
      </w:r>
      <w:r>
        <w:rPr>
          <w:rFonts w:cs="Arial"/>
          <w:i w:val="0"/>
          <w:iCs w:val="0"/>
          <w:color w:val="auto"/>
          <w:szCs w:val="24"/>
          <w:highlight w:val="none"/>
        </w:rPr>
        <w:t>。</w:t>
      </w:r>
    </w:p>
    <w:p w14:paraId="02F6F8F5">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2.</w:t>
      </w:r>
      <w:r>
        <w:rPr>
          <w:rFonts w:hint="eastAsia" w:cs="Arial"/>
          <w:i w:val="0"/>
          <w:iCs w:val="0"/>
          <w:color w:val="auto"/>
          <w:szCs w:val="24"/>
          <w:highlight w:val="none"/>
        </w:rPr>
        <w:t>我方</w:t>
      </w:r>
      <w:r>
        <w:rPr>
          <w:rFonts w:cs="Arial"/>
          <w:i w:val="0"/>
          <w:iCs w:val="0"/>
          <w:color w:val="auto"/>
          <w:szCs w:val="24"/>
          <w:highlight w:val="none"/>
        </w:rPr>
        <w:t>将按</w:t>
      </w:r>
      <w:r>
        <w:rPr>
          <w:rFonts w:hint="eastAsia" w:cs="仿宋_GB2312"/>
          <w:i w:val="0"/>
          <w:iCs w:val="0"/>
          <w:color w:val="auto"/>
          <w:szCs w:val="24"/>
          <w:highlight w:val="none"/>
          <w:lang w:val="en-US" w:eastAsia="zh-CN"/>
        </w:rPr>
        <w:t>竞争性磋商</w:t>
      </w:r>
      <w:r>
        <w:rPr>
          <w:rFonts w:cs="Arial"/>
          <w:i w:val="0"/>
          <w:iCs w:val="0"/>
          <w:color w:val="auto"/>
          <w:szCs w:val="24"/>
          <w:highlight w:val="none"/>
        </w:rPr>
        <w:t>文件的规定履行合同责任和义务。</w:t>
      </w:r>
    </w:p>
    <w:p w14:paraId="1ACAD740">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3.</w:t>
      </w:r>
      <w:r>
        <w:rPr>
          <w:rFonts w:hint="eastAsia" w:cs="Arial"/>
          <w:i w:val="0"/>
          <w:iCs w:val="0"/>
          <w:color w:val="auto"/>
          <w:szCs w:val="24"/>
          <w:highlight w:val="none"/>
        </w:rPr>
        <w:t>我方</w:t>
      </w:r>
      <w:r>
        <w:rPr>
          <w:rFonts w:cs="Arial"/>
          <w:i w:val="0"/>
          <w:iCs w:val="0"/>
          <w:color w:val="auto"/>
          <w:szCs w:val="24"/>
          <w:highlight w:val="none"/>
        </w:rPr>
        <w:t>已详细审查全部</w:t>
      </w:r>
      <w:r>
        <w:rPr>
          <w:rFonts w:hint="eastAsia" w:cs="仿宋_GB2312"/>
          <w:i w:val="0"/>
          <w:iCs w:val="0"/>
          <w:color w:val="auto"/>
          <w:szCs w:val="24"/>
          <w:highlight w:val="none"/>
          <w:lang w:val="en-US" w:eastAsia="zh-CN"/>
        </w:rPr>
        <w:t>竞争性磋商</w:t>
      </w:r>
      <w:r>
        <w:rPr>
          <w:rFonts w:cs="Arial"/>
          <w:i w:val="0"/>
          <w:iCs w:val="0"/>
          <w:color w:val="auto"/>
          <w:szCs w:val="24"/>
          <w:highlight w:val="none"/>
        </w:rPr>
        <w:t>文件，包括第</w:t>
      </w:r>
      <w:r>
        <w:rPr>
          <w:rFonts w:cs="Arial"/>
          <w:i w:val="0"/>
          <w:iCs w:val="0"/>
          <w:color w:val="auto"/>
          <w:szCs w:val="24"/>
          <w:highlight w:val="none"/>
          <w:u w:val="single"/>
        </w:rPr>
        <w:t>（编号、补遗书）（如果有的话）</w:t>
      </w:r>
      <w:r>
        <w:rPr>
          <w:rFonts w:cs="Arial"/>
          <w:i w:val="0"/>
          <w:iCs w:val="0"/>
          <w:color w:val="auto"/>
          <w:szCs w:val="24"/>
          <w:highlight w:val="none"/>
        </w:rPr>
        <w:t>。我</w:t>
      </w:r>
      <w:r>
        <w:rPr>
          <w:rFonts w:hint="eastAsia" w:cs="Arial"/>
          <w:i w:val="0"/>
          <w:iCs w:val="0"/>
          <w:color w:val="auto"/>
          <w:szCs w:val="24"/>
          <w:highlight w:val="none"/>
        </w:rPr>
        <w:t>方</w:t>
      </w:r>
      <w:r>
        <w:rPr>
          <w:rFonts w:cs="Arial"/>
          <w:i w:val="0"/>
          <w:iCs w:val="0"/>
          <w:color w:val="auto"/>
          <w:szCs w:val="24"/>
          <w:highlight w:val="none"/>
        </w:rPr>
        <w:t>完全理解并同意放弃对这方面有不明及误解的权力。</w:t>
      </w:r>
    </w:p>
    <w:p w14:paraId="161F3106">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4.</w:t>
      </w:r>
      <w:r>
        <w:rPr>
          <w:rFonts w:hint="eastAsia" w:cs="Arial"/>
          <w:i w:val="0"/>
          <w:iCs w:val="0"/>
          <w:color w:val="auto"/>
          <w:szCs w:val="24"/>
          <w:highlight w:val="none"/>
        </w:rPr>
        <w:t>响应有效期为自提交响应文件的截止之日起</w:t>
      </w:r>
      <w:r>
        <w:rPr>
          <w:rFonts w:hint="eastAsia" w:cs="Arial"/>
          <w:i w:val="0"/>
          <w:iCs w:val="0"/>
          <w:color w:val="auto"/>
          <w:szCs w:val="24"/>
          <w:highlight w:val="none"/>
          <w:u w:val="single"/>
        </w:rPr>
        <w:t xml:space="preserve"> （由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填写）</w:t>
      </w:r>
      <w:r>
        <w:rPr>
          <w:rFonts w:cs="Arial"/>
          <w:i w:val="0"/>
          <w:iCs w:val="0"/>
          <w:color w:val="auto"/>
          <w:szCs w:val="24"/>
          <w:highlight w:val="none"/>
        </w:rPr>
        <w:t>个日历天。</w:t>
      </w:r>
    </w:p>
    <w:p w14:paraId="0A5D4704">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5.</w:t>
      </w:r>
      <w:r>
        <w:rPr>
          <w:rFonts w:hint="eastAsia" w:cs="Arial"/>
          <w:i w:val="0"/>
          <w:iCs w:val="0"/>
          <w:color w:val="auto"/>
          <w:szCs w:val="24"/>
          <w:highlight w:val="none"/>
        </w:rPr>
        <w:t>我方</w:t>
      </w:r>
      <w:r>
        <w:rPr>
          <w:rFonts w:cs="Arial"/>
          <w:i w:val="0"/>
          <w:iCs w:val="0"/>
          <w:color w:val="auto"/>
          <w:szCs w:val="24"/>
          <w:highlight w:val="none"/>
        </w:rPr>
        <w:t>同意提供按照贵方</w:t>
      </w:r>
      <w:r>
        <w:rPr>
          <w:rFonts w:hint="eastAsia" w:cs="Arial"/>
          <w:i w:val="0"/>
          <w:iCs w:val="0"/>
          <w:color w:val="auto"/>
          <w:szCs w:val="24"/>
          <w:highlight w:val="none"/>
          <w:lang w:val="en-US" w:eastAsia="zh-CN"/>
        </w:rPr>
        <w:t>竞争性磋商</w:t>
      </w:r>
      <w:r>
        <w:rPr>
          <w:rFonts w:hint="eastAsia" w:cs="Arial"/>
          <w:i w:val="0"/>
          <w:iCs w:val="0"/>
          <w:color w:val="auto"/>
          <w:szCs w:val="24"/>
          <w:highlight w:val="none"/>
        </w:rPr>
        <w:t>文件</w:t>
      </w:r>
      <w:r>
        <w:rPr>
          <w:rFonts w:cs="Arial"/>
          <w:i w:val="0"/>
          <w:iCs w:val="0"/>
          <w:color w:val="auto"/>
          <w:szCs w:val="24"/>
          <w:highlight w:val="none"/>
        </w:rPr>
        <w:t>要求的与其</w:t>
      </w:r>
      <w:r>
        <w:rPr>
          <w:rFonts w:hint="eastAsia" w:cs="Arial"/>
          <w:i w:val="0"/>
          <w:iCs w:val="0"/>
          <w:color w:val="auto"/>
          <w:szCs w:val="24"/>
          <w:highlight w:val="none"/>
          <w:lang w:val="en-US" w:eastAsia="zh-CN"/>
        </w:rPr>
        <w:t>磋商响应</w:t>
      </w:r>
      <w:r>
        <w:rPr>
          <w:rFonts w:cs="Arial"/>
          <w:i w:val="0"/>
          <w:iCs w:val="0"/>
          <w:color w:val="auto"/>
          <w:szCs w:val="24"/>
          <w:highlight w:val="none"/>
        </w:rPr>
        <w:t>有关的一切数据或资料，</w:t>
      </w:r>
      <w:r>
        <w:rPr>
          <w:rFonts w:hint="eastAsia" w:cs="Arial"/>
          <w:i w:val="0"/>
          <w:iCs w:val="0"/>
          <w:color w:val="auto"/>
          <w:szCs w:val="24"/>
          <w:highlight w:val="none"/>
        </w:rPr>
        <w:t>采用综合评分法时，我方</w:t>
      </w:r>
      <w:r>
        <w:rPr>
          <w:rFonts w:cs="Arial"/>
          <w:i w:val="0"/>
          <w:iCs w:val="0"/>
          <w:color w:val="auto"/>
          <w:szCs w:val="24"/>
          <w:highlight w:val="none"/>
        </w:rPr>
        <w:t>完全理解贵方不一定接受最低价的</w:t>
      </w:r>
      <w:r>
        <w:rPr>
          <w:rFonts w:hint="eastAsia" w:cs="Arial"/>
          <w:i w:val="0"/>
          <w:iCs w:val="0"/>
          <w:color w:val="auto"/>
          <w:szCs w:val="24"/>
          <w:highlight w:val="none"/>
          <w:lang w:val="en-US" w:eastAsia="zh-CN"/>
        </w:rPr>
        <w:t>响应</w:t>
      </w:r>
      <w:r>
        <w:rPr>
          <w:rFonts w:cs="Arial"/>
          <w:i w:val="0"/>
          <w:iCs w:val="0"/>
          <w:color w:val="auto"/>
          <w:szCs w:val="24"/>
          <w:highlight w:val="none"/>
        </w:rPr>
        <w:t>。</w:t>
      </w:r>
    </w:p>
    <w:p w14:paraId="73E57738">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6.</w:t>
      </w:r>
      <w:r>
        <w:rPr>
          <w:rFonts w:hint="eastAsia" w:cs="Arial"/>
          <w:i w:val="0"/>
          <w:iCs w:val="0"/>
          <w:color w:val="auto"/>
          <w:szCs w:val="24"/>
          <w:highlight w:val="none"/>
        </w:rPr>
        <w:t>本项目如由</w:t>
      </w:r>
      <w:r>
        <w:rPr>
          <w:rFonts w:hint="eastAsia" w:cs="Arial"/>
          <w:i w:val="0"/>
          <w:iCs w:val="0"/>
          <w:color w:val="auto"/>
          <w:szCs w:val="24"/>
          <w:highlight w:val="none"/>
          <w:lang w:val="en-US" w:eastAsia="zh-CN"/>
        </w:rPr>
        <w:t>成交</w:t>
      </w:r>
      <w:r>
        <w:rPr>
          <w:rFonts w:hint="eastAsia" w:cs="Arial"/>
          <w:i w:val="0"/>
          <w:iCs w:val="0"/>
          <w:color w:val="auto"/>
          <w:szCs w:val="24"/>
          <w:highlight w:val="none"/>
        </w:rPr>
        <w:t>人支付采购代理服务费，我方同意按</w:t>
      </w:r>
      <w:r>
        <w:rPr>
          <w:rFonts w:hint="eastAsia" w:cs="Arial"/>
          <w:i w:val="0"/>
          <w:iCs w:val="0"/>
          <w:color w:val="auto"/>
          <w:szCs w:val="24"/>
          <w:highlight w:val="none"/>
          <w:lang w:val="en-US" w:eastAsia="zh-CN"/>
        </w:rPr>
        <w:t>供应商</w:t>
      </w:r>
      <w:r>
        <w:rPr>
          <w:rFonts w:hint="eastAsia" w:cs="Arial"/>
          <w:i w:val="0"/>
          <w:iCs w:val="0"/>
          <w:color w:val="auto"/>
          <w:szCs w:val="24"/>
          <w:highlight w:val="none"/>
        </w:rPr>
        <w:t>须知前附表中规定向采购代理机构支付采购代理服务费。</w:t>
      </w:r>
    </w:p>
    <w:p w14:paraId="6E385FFA">
      <w:pPr>
        <w:numPr>
          <w:ilvl w:val="0"/>
          <w:numId w:val="0"/>
        </w:numPr>
        <w:snapToGrid w:val="0"/>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7.</w:t>
      </w:r>
      <w:r>
        <w:rPr>
          <w:rFonts w:hint="eastAsia" w:cs="Arial"/>
          <w:i w:val="0"/>
          <w:iCs w:val="0"/>
          <w:color w:val="auto"/>
          <w:szCs w:val="24"/>
          <w:highlight w:val="none"/>
        </w:rPr>
        <w:t>重要声明：</w:t>
      </w:r>
    </w:p>
    <w:p w14:paraId="7A7C941D">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1）与我方单位负责人为同一人的其他单位名称：</w:t>
      </w:r>
    </w:p>
    <w:p w14:paraId="37918306">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无；</w:t>
      </w:r>
      <w:r>
        <w:rPr>
          <w:rFonts w:hint="eastAsia"/>
          <w:i w:val="0"/>
          <w:iCs w:val="0"/>
          <w:color w:val="auto"/>
          <w:szCs w:val="24"/>
          <w:highlight w:val="none"/>
          <w:lang w:eastAsia="zh-CN"/>
        </w:rPr>
        <w:t>□</w:t>
      </w:r>
      <w:r>
        <w:rPr>
          <w:rFonts w:hint="eastAsia"/>
          <w:i w:val="0"/>
          <w:iCs w:val="0"/>
          <w:color w:val="auto"/>
          <w:szCs w:val="24"/>
          <w:highlight w:val="none"/>
        </w:rPr>
        <w:t>有，具体单位名称为：</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74569C55">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2）与我方存在控股、管理关系的其他单位的名称：</w:t>
      </w:r>
    </w:p>
    <w:p w14:paraId="12A32ECD">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无；□有，具体单位名称为： </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17036DCB">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3）参与本项目采购活动前，是否为本项目前期准备提供过整体设计、规范编制或者项目管理、监理、检测等服务：</w:t>
      </w:r>
    </w:p>
    <w:p w14:paraId="4F7161C9">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无；□有，已提供的具体服务内容为： </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4BC3B7DE">
      <w:pPr>
        <w:spacing w:line="324" w:lineRule="auto"/>
        <w:ind w:firstLine="480" w:firstLineChars="200"/>
        <w:rPr>
          <w:i w:val="0"/>
          <w:iCs w:val="0"/>
          <w:color w:val="auto"/>
          <w:szCs w:val="24"/>
          <w:highlight w:val="none"/>
        </w:rPr>
      </w:pPr>
      <w:r>
        <w:rPr>
          <w:rFonts w:hint="eastAsia"/>
          <w:i w:val="0"/>
          <w:iCs w:val="0"/>
          <w:color w:val="auto"/>
          <w:szCs w:val="24"/>
          <w:highlight w:val="none"/>
        </w:rPr>
        <w:t>（备注：以上</w:t>
      </w:r>
      <w:r>
        <w:rPr>
          <w:i w:val="0"/>
          <w:iCs w:val="0"/>
          <w:color w:val="auto"/>
          <w:szCs w:val="24"/>
          <w:highlight w:val="none"/>
        </w:rPr>
        <w:t>3</w:t>
      </w:r>
      <w:r>
        <w:rPr>
          <w:rFonts w:hint="eastAsia"/>
          <w:i w:val="0"/>
          <w:iCs w:val="0"/>
          <w:color w:val="auto"/>
          <w:szCs w:val="24"/>
          <w:highlight w:val="none"/>
        </w:rPr>
        <w:t>项声明，必须如实选择，选中项用</w:t>
      </w:r>
      <w:r>
        <w:rPr>
          <w:rFonts w:hint="eastAsia"/>
          <w:i w:val="0"/>
          <w:iCs w:val="0"/>
          <w:color w:val="auto"/>
          <w:szCs w:val="24"/>
          <w:highlight w:val="none"/>
          <w:lang w:eastAsia="zh-CN"/>
        </w:rPr>
        <w:t>☑</w:t>
      </w:r>
      <w:r>
        <w:rPr>
          <w:rFonts w:hint="eastAsia"/>
          <w:i w:val="0"/>
          <w:iCs w:val="0"/>
          <w:color w:val="auto"/>
          <w:szCs w:val="24"/>
          <w:highlight w:val="none"/>
        </w:rPr>
        <w:t>表示，未选中项用□表示。①“单位负责人”是指单位法定代表人或者法律、行政法规规定代表单位行使职权的主要负责人。②本条所规定的控股、管理关系仅限于直接控股、直接管理关系，不包括间接的控股或管理关系。③供应商如未如实填报，视为提供虚假材料谋取中标，应承担相应法律责任。）</w:t>
      </w:r>
    </w:p>
    <w:p w14:paraId="39FB4D88">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4）我方在本</w:t>
      </w:r>
      <w:r>
        <w:rPr>
          <w:rFonts w:hint="eastAsia"/>
          <w:i w:val="0"/>
          <w:iCs w:val="0"/>
          <w:color w:val="auto"/>
          <w:szCs w:val="24"/>
          <w:highlight w:val="none"/>
          <w:lang w:val="en-US" w:eastAsia="zh-CN"/>
        </w:rPr>
        <w:t>响应</w:t>
      </w:r>
      <w:r>
        <w:rPr>
          <w:rFonts w:hint="eastAsia"/>
          <w:i w:val="0"/>
          <w:iCs w:val="0"/>
          <w:color w:val="auto"/>
          <w:szCs w:val="24"/>
          <w:highlight w:val="none"/>
        </w:rPr>
        <w:t>文件中所提供的全部资料均真实有效，我方承诺对其真实性负责并承担相应后果。</w:t>
      </w:r>
    </w:p>
    <w:p w14:paraId="66BD2669">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5）我方承诺本《</w:t>
      </w:r>
      <w:r>
        <w:rPr>
          <w:rFonts w:hint="eastAsia"/>
          <w:i w:val="0"/>
          <w:iCs w:val="0"/>
          <w:color w:val="auto"/>
          <w:szCs w:val="24"/>
          <w:highlight w:val="none"/>
          <w:lang w:val="en-US" w:eastAsia="zh-CN"/>
        </w:rPr>
        <w:t>响应</w:t>
      </w:r>
      <w:r>
        <w:rPr>
          <w:rFonts w:hint="eastAsia"/>
          <w:i w:val="0"/>
          <w:iCs w:val="0"/>
          <w:color w:val="auto"/>
          <w:szCs w:val="24"/>
          <w:highlight w:val="none"/>
        </w:rPr>
        <w:t>函》的签章对本</w:t>
      </w:r>
      <w:r>
        <w:rPr>
          <w:rFonts w:hint="eastAsia"/>
          <w:i w:val="0"/>
          <w:iCs w:val="0"/>
          <w:color w:val="auto"/>
          <w:szCs w:val="24"/>
          <w:highlight w:val="none"/>
          <w:lang w:val="en-US" w:eastAsia="zh-CN"/>
        </w:rPr>
        <w:t>响应</w:t>
      </w:r>
      <w:r>
        <w:rPr>
          <w:rFonts w:hint="eastAsia"/>
          <w:i w:val="0"/>
          <w:iCs w:val="0"/>
          <w:color w:val="auto"/>
          <w:szCs w:val="24"/>
          <w:highlight w:val="none"/>
        </w:rPr>
        <w:t>文件全部内容具有约束力并承担法律责任。</w:t>
      </w:r>
    </w:p>
    <w:p w14:paraId="69B33D81">
      <w:pPr>
        <w:spacing w:line="300" w:lineRule="auto"/>
        <w:rPr>
          <w:rFonts w:cs="Arial"/>
          <w:i w:val="0"/>
          <w:iCs w:val="0"/>
          <w:color w:val="auto"/>
          <w:szCs w:val="24"/>
          <w:highlight w:val="none"/>
        </w:rPr>
      </w:pPr>
    </w:p>
    <w:p w14:paraId="38DEF31B">
      <w:pPr>
        <w:spacing w:line="300" w:lineRule="auto"/>
        <w:rPr>
          <w:rFonts w:cs="Arial"/>
          <w:i w:val="0"/>
          <w:iCs w:val="0"/>
          <w:color w:val="auto"/>
          <w:szCs w:val="24"/>
          <w:highlight w:val="none"/>
        </w:rPr>
      </w:pPr>
    </w:p>
    <w:p w14:paraId="46ADC740">
      <w:pPr>
        <w:spacing w:line="300" w:lineRule="auto"/>
        <w:rPr>
          <w:rFonts w:cs="Arial"/>
          <w:i w:val="0"/>
          <w:iCs w:val="0"/>
          <w:color w:val="auto"/>
          <w:szCs w:val="24"/>
          <w:highlight w:val="none"/>
        </w:rPr>
      </w:pPr>
    </w:p>
    <w:p w14:paraId="30FDD195">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lang w:val="en-US" w:eastAsia="zh-CN"/>
        </w:rPr>
        <w:t>供应商名称</w:t>
      </w:r>
      <w:r>
        <w:rPr>
          <w:rFonts w:hint="eastAsia" w:cs="宋体"/>
          <w:i w:val="0"/>
          <w:iCs w:val="0"/>
          <w:color w:val="auto"/>
          <w:highlight w:val="none"/>
        </w:rPr>
        <w:t>（公章）：</w:t>
      </w:r>
    </w:p>
    <w:p w14:paraId="69179394">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通  讯  地  址：</w:t>
      </w:r>
    </w:p>
    <w:p w14:paraId="70208DB0">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 xml:space="preserve">传       </w:t>
      </w:r>
      <w:r>
        <w:rPr>
          <w:rFonts w:cs="宋体"/>
          <w:i w:val="0"/>
          <w:iCs w:val="0"/>
          <w:color w:val="auto"/>
          <w:highlight w:val="none"/>
        </w:rPr>
        <w:t xml:space="preserve">   </w:t>
      </w:r>
      <w:r>
        <w:rPr>
          <w:rFonts w:hint="eastAsia" w:cs="宋体"/>
          <w:i w:val="0"/>
          <w:iCs w:val="0"/>
          <w:color w:val="auto"/>
          <w:highlight w:val="none"/>
        </w:rPr>
        <w:t>真：</w:t>
      </w:r>
    </w:p>
    <w:p w14:paraId="370A491E">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电          话：</w:t>
      </w:r>
    </w:p>
    <w:p w14:paraId="6FA71EBC">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 xml:space="preserve">授 </w:t>
      </w:r>
      <w:r>
        <w:rPr>
          <w:rFonts w:cs="宋体"/>
          <w:i w:val="0"/>
          <w:iCs w:val="0"/>
          <w:color w:val="auto"/>
          <w:highlight w:val="none"/>
        </w:rPr>
        <w:t xml:space="preserve"> </w:t>
      </w:r>
      <w:r>
        <w:rPr>
          <w:rFonts w:hint="eastAsia" w:cs="宋体"/>
          <w:i w:val="0"/>
          <w:iCs w:val="0"/>
          <w:color w:val="auto"/>
          <w:highlight w:val="none"/>
        </w:rPr>
        <w:t xml:space="preserve">权 </w:t>
      </w:r>
      <w:r>
        <w:rPr>
          <w:rFonts w:cs="宋体"/>
          <w:i w:val="0"/>
          <w:iCs w:val="0"/>
          <w:color w:val="auto"/>
          <w:highlight w:val="none"/>
        </w:rPr>
        <w:t xml:space="preserve"> </w:t>
      </w:r>
      <w:r>
        <w:rPr>
          <w:rFonts w:hint="eastAsia" w:cs="宋体"/>
          <w:i w:val="0"/>
          <w:iCs w:val="0"/>
          <w:color w:val="auto"/>
          <w:highlight w:val="none"/>
        </w:rPr>
        <w:t xml:space="preserve">代 </w:t>
      </w:r>
      <w:r>
        <w:rPr>
          <w:rFonts w:cs="宋体"/>
          <w:i w:val="0"/>
          <w:iCs w:val="0"/>
          <w:color w:val="auto"/>
          <w:highlight w:val="none"/>
        </w:rPr>
        <w:t xml:space="preserve"> </w:t>
      </w:r>
      <w:r>
        <w:rPr>
          <w:rFonts w:hint="eastAsia" w:cs="宋体"/>
          <w:i w:val="0"/>
          <w:iCs w:val="0"/>
          <w:color w:val="auto"/>
          <w:highlight w:val="none"/>
        </w:rPr>
        <w:t>表：</w:t>
      </w:r>
    </w:p>
    <w:p w14:paraId="740D6B1B">
      <w:pPr>
        <w:ind w:firstLine="480" w:firstLineChars="200"/>
        <w:rPr>
          <w:rFonts w:cs="Arial"/>
          <w:i w:val="0"/>
          <w:iCs w:val="0"/>
          <w:color w:val="auto"/>
          <w:szCs w:val="24"/>
          <w:highlight w:val="none"/>
        </w:rPr>
      </w:pPr>
      <w:r>
        <w:rPr>
          <w:rFonts w:hint="eastAsia" w:cs="宋体"/>
          <w:i w:val="0"/>
          <w:iCs w:val="0"/>
          <w:color w:val="auto"/>
          <w:highlight w:val="none"/>
        </w:rPr>
        <w:t xml:space="preserve">日    </w:t>
      </w:r>
      <w:r>
        <w:rPr>
          <w:rFonts w:cs="宋体"/>
          <w:i w:val="0"/>
          <w:iCs w:val="0"/>
          <w:color w:val="auto"/>
          <w:highlight w:val="none"/>
        </w:rPr>
        <w:t xml:space="preserve">  </w:t>
      </w:r>
      <w:r>
        <w:rPr>
          <w:rFonts w:hint="eastAsia" w:cs="宋体"/>
          <w:i w:val="0"/>
          <w:iCs w:val="0"/>
          <w:color w:val="auto"/>
          <w:highlight w:val="none"/>
        </w:rPr>
        <w:t xml:space="preserve">    期：</w:t>
      </w:r>
    </w:p>
    <w:p w14:paraId="2B128334">
      <w:pPr>
        <w:rPr>
          <w:rFonts w:cs="Arial"/>
          <w:i w:val="0"/>
          <w:iCs w:val="0"/>
          <w:color w:val="auto"/>
          <w:szCs w:val="24"/>
          <w:highlight w:val="none"/>
          <w:u w:val="single"/>
        </w:rPr>
      </w:pPr>
    </w:p>
    <w:p w14:paraId="5874E14C">
      <w:pPr>
        <w:rPr>
          <w:rFonts w:cs="Arial"/>
          <w:i w:val="0"/>
          <w:iCs w:val="0"/>
          <w:color w:val="auto"/>
          <w:szCs w:val="24"/>
          <w:highlight w:val="none"/>
          <w:u w:val="single"/>
        </w:rPr>
      </w:pPr>
      <w:r>
        <w:rPr>
          <w:rFonts w:cs="Arial"/>
          <w:i w:val="0"/>
          <w:iCs w:val="0"/>
          <w:color w:val="auto"/>
          <w:szCs w:val="24"/>
          <w:highlight w:val="none"/>
          <w:u w:val="single"/>
        </w:rPr>
        <w:br w:type="page"/>
      </w:r>
    </w:p>
    <w:p w14:paraId="5381021B">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04" w:name="_Toc2702"/>
      <w:bookmarkStart w:id="705" w:name="_Toc155185924"/>
      <w:r>
        <w:rPr>
          <w:rFonts w:hint="eastAsia" w:cstheme="majorBidi"/>
          <w:b/>
          <w:bCs/>
          <w:i w:val="0"/>
          <w:iCs w:val="0"/>
          <w:color w:val="auto"/>
          <w:kern w:val="2"/>
          <w:sz w:val="32"/>
          <w:szCs w:val="32"/>
          <w:highlight w:val="none"/>
          <w:lang w:val="en-US" w:eastAsia="zh-CN" w:bidi="ar-SA"/>
        </w:rPr>
        <w:t>二</w:t>
      </w:r>
      <w:r>
        <w:rPr>
          <w:rFonts w:hint="eastAsia" w:eastAsia="宋体" w:asciiTheme="majorHAnsi" w:hAnsiTheme="majorHAnsi" w:cstheme="majorBidi"/>
          <w:b/>
          <w:bCs/>
          <w:i w:val="0"/>
          <w:iCs w:val="0"/>
          <w:color w:val="auto"/>
          <w:kern w:val="2"/>
          <w:sz w:val="32"/>
          <w:szCs w:val="32"/>
          <w:highlight w:val="none"/>
          <w:lang w:val="en-US" w:eastAsia="zh-CN" w:bidi="ar-SA"/>
        </w:rPr>
        <w:t>、法定代表人（单位负责人）身份证明</w:t>
      </w:r>
      <w:bookmarkEnd w:id="704"/>
      <w:bookmarkEnd w:id="705"/>
    </w:p>
    <w:p w14:paraId="5000386B">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致：（采购人或采购代理机构） </w:t>
      </w:r>
    </w:p>
    <w:p w14:paraId="6399A3BD">
      <w:pPr>
        <w:spacing w:line="480" w:lineRule="auto"/>
        <w:ind w:firstLine="960" w:firstLineChars="4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兹证明， </w:t>
      </w:r>
    </w:p>
    <w:p w14:paraId="241909DD">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姓名：____性别：____年龄：____职务：____ </w:t>
      </w:r>
    </w:p>
    <w:p w14:paraId="475EA09D">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系 </w:t>
      </w:r>
      <w:r>
        <w:rPr>
          <w:rFonts w:hint="eastAsia" w:cs="仿宋_GB2312"/>
          <w:i w:val="0"/>
          <w:iCs w:val="0"/>
          <w:color w:val="auto"/>
          <w:szCs w:val="24"/>
          <w:highlight w:val="none"/>
          <w:u w:val="single"/>
          <w:lang w:val="en-US" w:eastAsia="zh-CN"/>
        </w:rPr>
        <w:t xml:space="preserve">            </w:t>
      </w:r>
      <w:r>
        <w:rPr>
          <w:rFonts w:hint="eastAsia" w:cs="仿宋_GB2312"/>
          <w:i w:val="0"/>
          <w:iCs w:val="0"/>
          <w:color w:val="auto"/>
          <w:szCs w:val="24"/>
          <w:highlight w:val="none"/>
          <w:lang w:val="en-US" w:eastAsia="zh-CN"/>
        </w:rPr>
        <w:t xml:space="preserve">（供应商名称）的法定代表人（单位负责人）。 </w:t>
      </w:r>
    </w:p>
    <w:p w14:paraId="5C17EB90">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附：法定代表人（单位负责人）身份证、护照等身份证明文件电子件： </w:t>
      </w:r>
    </w:p>
    <w:p w14:paraId="3A210084">
      <w:pPr>
        <w:spacing w:line="480" w:lineRule="auto"/>
        <w:ind w:firstLine="480" w:firstLineChars="200"/>
        <w:rPr>
          <w:rFonts w:cs="仿宋_GB2312"/>
          <w:i w:val="0"/>
          <w:iCs w:val="0"/>
          <w:color w:val="auto"/>
          <w:szCs w:val="24"/>
          <w:highlight w:val="none"/>
        </w:rPr>
      </w:pPr>
    </w:p>
    <w:p w14:paraId="18B700C9">
      <w:pPr>
        <w:rPr>
          <w:rFonts w:cs="Arial"/>
          <w:i w:val="0"/>
          <w:iCs w:val="0"/>
          <w:color w:val="auto"/>
          <w:sz w:val="21"/>
          <w:szCs w:val="21"/>
          <w:highlight w:val="none"/>
        </w:rPr>
      </w:pPr>
    </w:p>
    <w:tbl>
      <w:tblPr>
        <w:tblStyle w:val="32"/>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3A1CF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1" w:hRule="atLeast"/>
        </w:trPr>
        <w:tc>
          <w:tcPr>
            <w:tcW w:w="8527" w:type="dxa"/>
          </w:tcPr>
          <w:p w14:paraId="77A3E3D7">
            <w:pPr>
              <w:rPr>
                <w:rFonts w:cs="Arial"/>
                <w:i w:val="0"/>
                <w:iCs w:val="0"/>
                <w:color w:val="auto"/>
                <w:highlight w:val="none"/>
              </w:rPr>
            </w:pPr>
          </w:p>
        </w:tc>
      </w:tr>
    </w:tbl>
    <w:p w14:paraId="370F0118">
      <w:pPr>
        <w:ind w:firstLine="840" w:firstLineChars="350"/>
        <w:jc w:val="center"/>
        <w:rPr>
          <w:rFonts w:cs="Arial"/>
          <w:i w:val="0"/>
          <w:iCs w:val="0"/>
          <w:color w:val="auto"/>
          <w:highlight w:val="none"/>
        </w:rPr>
      </w:pPr>
    </w:p>
    <w:p w14:paraId="4CE93E41">
      <w:pPr>
        <w:keepNext w:val="0"/>
        <w:keepLines w:val="0"/>
        <w:widowControl/>
        <w:suppressLineNumbers w:val="0"/>
        <w:jc w:val="left"/>
        <w:rPr>
          <w:i w:val="0"/>
          <w:iCs w:val="0"/>
          <w:color w:val="auto"/>
          <w:highlight w:val="none"/>
        </w:rPr>
      </w:pPr>
      <w:r>
        <w:rPr>
          <w:rFonts w:hint="eastAsia" w:cs="宋体"/>
          <w:i w:val="0"/>
          <w:iCs w:val="0"/>
          <w:color w:val="auto"/>
          <w:kern w:val="0"/>
          <w:sz w:val="24"/>
          <w:szCs w:val="24"/>
          <w:highlight w:val="none"/>
          <w:lang w:val="en-US" w:eastAsia="zh-CN" w:bidi="ar"/>
        </w:rPr>
        <w:t>供应商</w:t>
      </w:r>
      <w:r>
        <w:rPr>
          <w:rFonts w:hint="eastAsia" w:ascii="宋体" w:hAnsi="宋体" w:eastAsia="宋体" w:cs="宋体"/>
          <w:i w:val="0"/>
          <w:iCs w:val="0"/>
          <w:color w:val="auto"/>
          <w:kern w:val="0"/>
          <w:sz w:val="24"/>
          <w:szCs w:val="24"/>
          <w:highlight w:val="none"/>
          <w:lang w:val="en-US" w:eastAsia="zh-CN" w:bidi="ar"/>
        </w:rPr>
        <w:t>名称（加盖公章）：</w:t>
      </w:r>
      <w:r>
        <w:rPr>
          <w:rFonts w:ascii="DejaVuSans" w:hAnsi="DejaVuSans" w:eastAsia="DejaVuSans" w:cs="DejaVuSans"/>
          <w:i w:val="0"/>
          <w:iCs w:val="0"/>
          <w:color w:val="auto"/>
          <w:kern w:val="0"/>
          <w:sz w:val="24"/>
          <w:szCs w:val="24"/>
          <w:highlight w:val="none"/>
          <w:lang w:val="en-US" w:eastAsia="zh-CN" w:bidi="ar"/>
        </w:rPr>
        <w:t xml:space="preserve">________________ </w:t>
      </w:r>
    </w:p>
    <w:p w14:paraId="3A2D510E">
      <w:pPr>
        <w:keepNext w:val="0"/>
        <w:keepLines w:val="0"/>
        <w:widowControl/>
        <w:suppressLineNumbers w:val="0"/>
        <w:jc w:val="left"/>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法定代表人（单位负责人）（签字或签章）：</w:t>
      </w:r>
      <w:r>
        <w:rPr>
          <w:rFonts w:hint="default" w:ascii="DejaVuSans" w:hAnsi="DejaVuSans" w:eastAsia="DejaVuSans" w:cs="DejaVuSans"/>
          <w:i w:val="0"/>
          <w:iCs w:val="0"/>
          <w:color w:val="auto"/>
          <w:kern w:val="0"/>
          <w:sz w:val="24"/>
          <w:szCs w:val="24"/>
          <w:highlight w:val="none"/>
          <w:lang w:val="en-US" w:eastAsia="zh-CN" w:bidi="ar"/>
        </w:rPr>
        <w:t xml:space="preserve">_______ </w:t>
      </w:r>
    </w:p>
    <w:p w14:paraId="6CB2105C">
      <w:pPr>
        <w:keepNext w:val="0"/>
        <w:keepLines w:val="0"/>
        <w:widowControl/>
        <w:suppressLineNumbers w:val="0"/>
        <w:jc w:val="left"/>
        <w:rPr>
          <w:rFonts w:hint="eastAsia" w:ascii="宋体" w:hAnsi="宋体" w:eastAsia="宋体" w:cs="宋体"/>
          <w:i w:val="0"/>
          <w:iCs w:val="0"/>
          <w:color w:val="auto"/>
          <w:kern w:val="0"/>
          <w:sz w:val="24"/>
          <w:szCs w:val="24"/>
          <w:highlight w:val="none"/>
          <w:lang w:val="en-US" w:eastAsia="zh-CN" w:bidi="ar"/>
        </w:rPr>
      </w:pPr>
    </w:p>
    <w:p w14:paraId="5509EFD3">
      <w:pPr>
        <w:keepNext w:val="0"/>
        <w:keepLines w:val="0"/>
        <w:widowControl/>
        <w:suppressLineNumbers w:val="0"/>
        <w:jc w:val="left"/>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日期：</w:t>
      </w:r>
      <w:r>
        <w:rPr>
          <w:rFonts w:hint="default" w:ascii="DejaVuSans" w:hAnsi="DejaVuSans" w:eastAsia="DejaVuSans" w:cs="DejaVuSans"/>
          <w:i w:val="0"/>
          <w:iCs w:val="0"/>
          <w:color w:val="auto"/>
          <w:kern w:val="0"/>
          <w:sz w:val="24"/>
          <w:szCs w:val="24"/>
          <w:highlight w:val="none"/>
          <w:lang w:val="en-US" w:eastAsia="zh-CN" w:bidi="ar"/>
        </w:rPr>
        <w:t>_____</w:t>
      </w:r>
      <w:r>
        <w:rPr>
          <w:rFonts w:hint="eastAsia" w:ascii="宋体" w:hAnsi="宋体" w:eastAsia="宋体" w:cs="宋体"/>
          <w:i w:val="0"/>
          <w:iCs w:val="0"/>
          <w:color w:val="auto"/>
          <w:kern w:val="0"/>
          <w:sz w:val="24"/>
          <w:szCs w:val="24"/>
          <w:highlight w:val="none"/>
          <w:lang w:val="en-US" w:eastAsia="zh-CN" w:bidi="ar"/>
        </w:rPr>
        <w:t>年</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月</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日</w:t>
      </w:r>
    </w:p>
    <w:p w14:paraId="654CD640">
      <w:pPr>
        <w:rPr>
          <w:b/>
          <w:i w:val="0"/>
          <w:iCs w:val="0"/>
          <w:color w:val="auto"/>
          <w:sz w:val="28"/>
          <w:szCs w:val="28"/>
          <w:highlight w:val="none"/>
        </w:rPr>
      </w:pPr>
    </w:p>
    <w:p w14:paraId="7AC99E7A">
      <w:pPr>
        <w:rPr>
          <w:b/>
          <w:i w:val="0"/>
          <w:iCs w:val="0"/>
          <w:color w:val="auto"/>
          <w:sz w:val="28"/>
          <w:szCs w:val="28"/>
          <w:highlight w:val="none"/>
        </w:rPr>
      </w:pPr>
      <w:r>
        <w:rPr>
          <w:b/>
          <w:i w:val="0"/>
          <w:iCs w:val="0"/>
          <w:color w:val="auto"/>
          <w:sz w:val="28"/>
          <w:szCs w:val="28"/>
          <w:highlight w:val="none"/>
        </w:rPr>
        <w:br w:type="page"/>
      </w:r>
    </w:p>
    <w:p w14:paraId="2EABAED8">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06" w:name="_Toc155185925"/>
      <w:bookmarkStart w:id="707" w:name="_Toc18159"/>
      <w:r>
        <w:rPr>
          <w:rFonts w:hint="eastAsia" w:cstheme="majorBidi"/>
          <w:b/>
          <w:bCs/>
          <w:i w:val="0"/>
          <w:iCs w:val="0"/>
          <w:color w:val="auto"/>
          <w:kern w:val="2"/>
          <w:sz w:val="32"/>
          <w:szCs w:val="32"/>
          <w:highlight w:val="none"/>
          <w:lang w:val="en-US" w:eastAsia="zh-CN" w:bidi="ar-SA"/>
        </w:rPr>
        <w:t>三</w:t>
      </w:r>
      <w:r>
        <w:rPr>
          <w:rFonts w:hint="eastAsia" w:eastAsia="宋体" w:asciiTheme="majorHAnsi" w:hAnsiTheme="majorHAnsi" w:cstheme="majorBidi"/>
          <w:b/>
          <w:bCs/>
          <w:i w:val="0"/>
          <w:iCs w:val="0"/>
          <w:color w:val="auto"/>
          <w:kern w:val="2"/>
          <w:sz w:val="32"/>
          <w:szCs w:val="32"/>
          <w:highlight w:val="none"/>
          <w:lang w:val="en-US" w:eastAsia="zh-CN" w:bidi="ar-SA"/>
        </w:rPr>
        <w:t>、授权委托书</w:t>
      </w:r>
      <w:bookmarkEnd w:id="706"/>
      <w:bookmarkEnd w:id="707"/>
    </w:p>
    <w:p w14:paraId="00E94C9B">
      <w:pPr>
        <w:ind w:firstLine="480" w:firstLineChars="200"/>
        <w:rPr>
          <w:rFonts w:cs="仿宋_GB2312"/>
          <w:i w:val="0"/>
          <w:iCs w:val="0"/>
          <w:color w:val="auto"/>
          <w:szCs w:val="24"/>
          <w:highlight w:val="none"/>
        </w:rPr>
      </w:pPr>
      <w:r>
        <w:rPr>
          <w:rFonts w:hint="eastAsia" w:cs="仿宋_GB2312"/>
          <w:i w:val="0"/>
          <w:iCs w:val="0"/>
          <w:color w:val="auto"/>
          <w:szCs w:val="24"/>
          <w:highlight w:val="none"/>
        </w:rPr>
        <w:t>本人</w:t>
      </w:r>
      <w:r>
        <w:rPr>
          <w:rFonts w:cs="仿宋_GB2312"/>
          <w:i w:val="0"/>
          <w:iCs w:val="0"/>
          <w:color w:val="auto"/>
          <w:szCs w:val="24"/>
          <w:highlight w:val="none"/>
          <w:u w:val="single"/>
        </w:rPr>
        <w:t xml:space="preserve">     </w:t>
      </w:r>
      <w:r>
        <w:rPr>
          <w:rFonts w:hint="eastAsia" w:cs="仿宋_GB2312"/>
          <w:i w:val="0"/>
          <w:iCs w:val="0"/>
          <w:color w:val="auto"/>
          <w:szCs w:val="24"/>
          <w:highlight w:val="none"/>
          <w:u w:val="none"/>
        </w:rPr>
        <w:t>（姓名）</w:t>
      </w:r>
      <w:r>
        <w:rPr>
          <w:rFonts w:hint="eastAsia" w:cs="仿宋_GB2312"/>
          <w:i w:val="0"/>
          <w:iCs w:val="0"/>
          <w:color w:val="auto"/>
          <w:szCs w:val="24"/>
          <w:highlight w:val="none"/>
        </w:rPr>
        <w:t>系</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u w:val="single"/>
          <w:lang w:val="en-US" w:eastAsia="zh-CN"/>
        </w:rPr>
        <w:t xml:space="preserve">     </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u w:val="none"/>
        </w:rPr>
        <w:t>（</w:t>
      </w:r>
      <w:r>
        <w:rPr>
          <w:rFonts w:hint="eastAsia" w:cs="仿宋_GB2312"/>
          <w:i w:val="0"/>
          <w:iCs w:val="0"/>
          <w:color w:val="auto"/>
          <w:szCs w:val="24"/>
          <w:highlight w:val="none"/>
          <w:u w:val="none"/>
          <w:lang w:val="en-US" w:eastAsia="zh-CN"/>
        </w:rPr>
        <w:t>供应商</w:t>
      </w:r>
      <w:r>
        <w:rPr>
          <w:rFonts w:hint="eastAsia" w:cs="仿宋_GB2312"/>
          <w:i w:val="0"/>
          <w:iCs w:val="0"/>
          <w:color w:val="auto"/>
          <w:szCs w:val="24"/>
          <w:highlight w:val="none"/>
          <w:u w:val="none"/>
        </w:rPr>
        <w:t>名称）</w:t>
      </w:r>
      <w:r>
        <w:rPr>
          <w:rFonts w:hint="eastAsia" w:cs="仿宋_GB2312"/>
          <w:i w:val="0"/>
          <w:iCs w:val="0"/>
          <w:color w:val="auto"/>
          <w:szCs w:val="24"/>
          <w:highlight w:val="none"/>
        </w:rPr>
        <w:t>的法定代表人</w:t>
      </w:r>
      <w:r>
        <w:rPr>
          <w:rFonts w:hint="eastAsia"/>
          <w:i w:val="0"/>
          <w:iCs w:val="0"/>
          <w:color w:val="auto"/>
          <w:highlight w:val="none"/>
        </w:rPr>
        <w:t>（</w:t>
      </w:r>
      <w:r>
        <w:rPr>
          <w:rFonts w:hint="eastAsia"/>
          <w:i w:val="0"/>
          <w:iCs w:val="0"/>
          <w:color w:val="auto"/>
          <w:highlight w:val="none"/>
          <w:lang w:val="en-US" w:eastAsia="zh-CN"/>
        </w:rPr>
        <w:t>单位</w:t>
      </w:r>
      <w:r>
        <w:rPr>
          <w:rFonts w:hint="eastAsia"/>
          <w:i w:val="0"/>
          <w:iCs w:val="0"/>
          <w:color w:val="auto"/>
          <w:highlight w:val="none"/>
        </w:rPr>
        <w:t>负责人）</w:t>
      </w:r>
      <w:r>
        <w:rPr>
          <w:rFonts w:hint="eastAsia" w:cs="仿宋_GB2312"/>
          <w:i w:val="0"/>
          <w:iCs w:val="0"/>
          <w:color w:val="auto"/>
          <w:szCs w:val="24"/>
          <w:highlight w:val="none"/>
        </w:rPr>
        <w:t>，现委托</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rPr>
        <w:t>（姓名）为我方代理人。代理人根据授权，以我方名义签署、澄清</w:t>
      </w:r>
      <w:r>
        <w:rPr>
          <w:rFonts w:hint="eastAsia" w:cs="仿宋_GB2312"/>
          <w:i w:val="0"/>
          <w:iCs w:val="0"/>
          <w:color w:val="auto"/>
          <w:szCs w:val="24"/>
          <w:highlight w:val="none"/>
          <w:lang w:val="en-US" w:eastAsia="zh-CN"/>
        </w:rPr>
        <w:t>确认</w:t>
      </w:r>
      <w:r>
        <w:rPr>
          <w:rFonts w:hint="eastAsia" w:cs="仿宋_GB2312"/>
          <w:i w:val="0"/>
          <w:iCs w:val="0"/>
          <w:color w:val="auto"/>
          <w:szCs w:val="24"/>
          <w:highlight w:val="none"/>
        </w:rPr>
        <w:t>、说明、补正、递交、撤回、修改</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u w:val="single"/>
          <w:lang w:val="en-US" w:eastAsia="zh-CN"/>
        </w:rPr>
        <w:t xml:space="preserve">      </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rPr>
        <w:t>（项目名称）</w:t>
      </w:r>
      <w:r>
        <w:rPr>
          <w:rFonts w:hint="eastAsia" w:cs="仿宋_GB2312"/>
          <w:i w:val="0"/>
          <w:iCs w:val="0"/>
          <w:color w:val="auto"/>
          <w:szCs w:val="24"/>
          <w:highlight w:val="none"/>
          <w:lang w:val="en-US" w:eastAsia="zh-CN"/>
        </w:rPr>
        <w:t>响应</w:t>
      </w:r>
      <w:r>
        <w:rPr>
          <w:rFonts w:hint="eastAsia" w:cs="仿宋_GB2312"/>
          <w:i w:val="0"/>
          <w:iCs w:val="0"/>
          <w:color w:val="auto"/>
          <w:szCs w:val="24"/>
          <w:highlight w:val="none"/>
        </w:rPr>
        <w:t>文件、签订合同和处理有关事宜，其法律后果由我方承担。</w:t>
      </w:r>
    </w:p>
    <w:p w14:paraId="69CD80F9">
      <w:pPr>
        <w:ind w:firstLine="480" w:firstLineChars="200"/>
        <w:rPr>
          <w:rFonts w:hint="eastAsia" w:cs="仿宋_GB2312"/>
          <w:i w:val="0"/>
          <w:iCs w:val="0"/>
          <w:color w:val="auto"/>
          <w:szCs w:val="24"/>
          <w:highlight w:val="none"/>
        </w:rPr>
      </w:pPr>
      <w:r>
        <w:rPr>
          <w:rFonts w:hint="eastAsia" w:cs="仿宋_GB2312"/>
          <w:i w:val="0"/>
          <w:iCs w:val="0"/>
          <w:color w:val="auto"/>
          <w:szCs w:val="24"/>
          <w:highlight w:val="none"/>
        </w:rPr>
        <w:t>委托期限：</w:t>
      </w:r>
      <w:r>
        <w:rPr>
          <w:rFonts w:hint="eastAsia" w:cs="仿宋_GB2312"/>
          <w:i w:val="0"/>
          <w:iCs w:val="0"/>
          <w:color w:val="auto"/>
          <w:szCs w:val="24"/>
          <w:highlight w:val="none"/>
          <w:lang w:val="en-US" w:eastAsia="zh-CN"/>
        </w:rPr>
        <w:t>自本授权委托书签署之日起至响应文件有效期届满之日止。</w:t>
      </w:r>
    </w:p>
    <w:p w14:paraId="4441C912">
      <w:pPr>
        <w:ind w:firstLine="480" w:firstLineChars="200"/>
        <w:rPr>
          <w:rFonts w:cs="仿宋_GB2312"/>
          <w:i w:val="0"/>
          <w:iCs w:val="0"/>
          <w:color w:val="auto"/>
          <w:szCs w:val="24"/>
          <w:highlight w:val="none"/>
        </w:rPr>
      </w:pPr>
      <w:r>
        <w:rPr>
          <w:rFonts w:hint="eastAsia" w:cs="仿宋_GB2312"/>
          <w:i w:val="0"/>
          <w:iCs w:val="0"/>
          <w:color w:val="auto"/>
          <w:szCs w:val="24"/>
          <w:highlight w:val="none"/>
        </w:rPr>
        <w:t>代理人无转委托权。</w:t>
      </w:r>
    </w:p>
    <w:p w14:paraId="7A64AABA">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rFonts w:hint="eastAsia" w:cs="仿宋_GB2312"/>
          <w:i w:val="0"/>
          <w:iCs w:val="0"/>
          <w:color w:val="auto"/>
          <w:szCs w:val="24"/>
          <w:highlight w:val="none"/>
        </w:rPr>
      </w:pPr>
    </w:p>
    <w:p w14:paraId="5E737C31">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cs="宋体"/>
          <w:i w:val="0"/>
          <w:iCs w:val="0"/>
          <w:color w:val="auto"/>
          <w:kern w:val="0"/>
          <w:sz w:val="24"/>
          <w:szCs w:val="24"/>
          <w:highlight w:val="none"/>
          <w:lang w:val="en-US" w:eastAsia="zh-CN" w:bidi="ar"/>
        </w:rPr>
        <w:t>供应商</w:t>
      </w:r>
      <w:r>
        <w:rPr>
          <w:rFonts w:hint="eastAsia" w:ascii="宋体" w:hAnsi="宋体" w:eastAsia="宋体" w:cs="宋体"/>
          <w:i w:val="0"/>
          <w:iCs w:val="0"/>
          <w:color w:val="auto"/>
          <w:kern w:val="0"/>
          <w:sz w:val="24"/>
          <w:szCs w:val="24"/>
          <w:highlight w:val="none"/>
          <w:lang w:val="en-US" w:eastAsia="zh-CN" w:bidi="ar"/>
        </w:rPr>
        <w:t>名称（加盖公章）：</w:t>
      </w:r>
      <w:r>
        <w:rPr>
          <w:rFonts w:ascii="DejaVuSans" w:hAnsi="DejaVuSans" w:eastAsia="DejaVuSans" w:cs="DejaVuSans"/>
          <w:i w:val="0"/>
          <w:iCs w:val="0"/>
          <w:color w:val="auto"/>
          <w:kern w:val="0"/>
          <w:sz w:val="24"/>
          <w:szCs w:val="24"/>
          <w:highlight w:val="none"/>
          <w:lang w:val="en-US" w:eastAsia="zh-CN" w:bidi="ar"/>
        </w:rPr>
        <w:t xml:space="preserve">________________ </w:t>
      </w:r>
    </w:p>
    <w:p w14:paraId="59A493BA">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法定代表人（单位负责人）（签字或签章）：</w:t>
      </w:r>
      <w:r>
        <w:rPr>
          <w:rFonts w:hint="default" w:ascii="DejaVuSans" w:hAnsi="DejaVuSans" w:eastAsia="DejaVuSans" w:cs="DejaVuSans"/>
          <w:i w:val="0"/>
          <w:iCs w:val="0"/>
          <w:color w:val="auto"/>
          <w:kern w:val="0"/>
          <w:sz w:val="24"/>
          <w:szCs w:val="24"/>
          <w:highlight w:val="none"/>
          <w:lang w:val="en-US" w:eastAsia="zh-CN" w:bidi="ar"/>
        </w:rPr>
        <w:t xml:space="preserve">________________ </w:t>
      </w:r>
    </w:p>
    <w:p w14:paraId="0816B75F">
      <w:pPr>
        <w:keepNext w:val="0"/>
        <w:keepLines w:val="0"/>
        <w:pageBreakBefore w:val="0"/>
        <w:widowControl/>
        <w:suppressLineNumbers w:val="0"/>
        <w:kinsoku/>
        <w:wordWrap/>
        <w:overflowPunct/>
        <w:topLinePunct w:val="0"/>
        <w:autoSpaceDE/>
        <w:autoSpaceDN/>
        <w:bidi w:val="0"/>
        <w:adjustRightInd/>
        <w:snapToGrid/>
        <w:jc w:val="left"/>
        <w:textAlignment w:val="auto"/>
        <w:rPr>
          <w:rFonts w:hint="default"/>
          <w:i w:val="0"/>
          <w:iCs w:val="0"/>
          <w:color w:val="auto"/>
          <w:highlight w:val="none"/>
          <w:u w:val="single"/>
          <w:lang w:val="en-US"/>
        </w:rPr>
      </w:pPr>
      <w:r>
        <w:rPr>
          <w:rFonts w:hint="eastAsia" w:ascii="宋体" w:hAnsi="宋体" w:eastAsia="宋体" w:cs="宋体"/>
          <w:i w:val="0"/>
          <w:iCs w:val="0"/>
          <w:color w:val="auto"/>
          <w:kern w:val="0"/>
          <w:sz w:val="24"/>
          <w:szCs w:val="24"/>
          <w:highlight w:val="none"/>
          <w:lang w:val="en-US" w:eastAsia="zh-CN" w:bidi="ar"/>
        </w:rPr>
        <w:t>委托代理人（签字或签章）：</w:t>
      </w:r>
      <w:r>
        <w:rPr>
          <w:rFonts w:hint="default" w:ascii="DejaVuSans" w:hAnsi="DejaVuSans" w:eastAsia="DejaVuSans" w:cs="DejaVuSans"/>
          <w:i w:val="0"/>
          <w:iCs w:val="0"/>
          <w:color w:val="auto"/>
          <w:kern w:val="0"/>
          <w:sz w:val="24"/>
          <w:szCs w:val="24"/>
          <w:highlight w:val="none"/>
          <w:lang w:val="en-US" w:eastAsia="zh-CN" w:bidi="ar"/>
        </w:rPr>
        <w:t xml:space="preserve">________________ </w:t>
      </w:r>
      <w:r>
        <w:rPr>
          <w:rFonts w:hint="eastAsia" w:ascii="DejaVuSans" w:hAnsi="DejaVuSans" w:eastAsia="DejaVuSans" w:cs="DejaVuSans"/>
          <w:i w:val="0"/>
          <w:iCs w:val="0"/>
          <w:color w:val="auto"/>
          <w:kern w:val="0"/>
          <w:sz w:val="24"/>
          <w:szCs w:val="24"/>
          <w:highlight w:val="none"/>
          <w:lang w:val="en-US" w:eastAsia="zh-CN" w:bidi="ar"/>
        </w:rPr>
        <w:t xml:space="preserve">  联系电话：</w:t>
      </w:r>
      <w:r>
        <w:rPr>
          <w:rFonts w:hint="eastAsia" w:ascii="DejaVuSans" w:hAnsi="DejaVuSans" w:eastAsia="DejaVuSans" w:cs="DejaVuSans"/>
          <w:i w:val="0"/>
          <w:iCs w:val="0"/>
          <w:color w:val="auto"/>
          <w:kern w:val="0"/>
          <w:sz w:val="24"/>
          <w:szCs w:val="24"/>
          <w:highlight w:val="none"/>
          <w:u w:val="single"/>
          <w:lang w:val="en-US" w:eastAsia="zh-CN" w:bidi="ar"/>
        </w:rPr>
        <w:t xml:space="preserve">              </w:t>
      </w:r>
    </w:p>
    <w:p w14:paraId="1A840944">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日期：</w:t>
      </w:r>
      <w:r>
        <w:rPr>
          <w:rFonts w:hint="default" w:ascii="DejaVuSans" w:hAnsi="DejaVuSans" w:eastAsia="DejaVuSans" w:cs="DejaVuSans"/>
          <w:i w:val="0"/>
          <w:iCs w:val="0"/>
          <w:color w:val="auto"/>
          <w:kern w:val="0"/>
          <w:sz w:val="24"/>
          <w:szCs w:val="24"/>
          <w:highlight w:val="none"/>
          <w:lang w:val="en-US" w:eastAsia="zh-CN" w:bidi="ar"/>
        </w:rPr>
        <w:t>_____</w:t>
      </w:r>
      <w:r>
        <w:rPr>
          <w:rFonts w:hint="eastAsia" w:ascii="宋体" w:hAnsi="宋体" w:eastAsia="宋体" w:cs="宋体"/>
          <w:i w:val="0"/>
          <w:iCs w:val="0"/>
          <w:color w:val="auto"/>
          <w:kern w:val="0"/>
          <w:sz w:val="24"/>
          <w:szCs w:val="24"/>
          <w:highlight w:val="none"/>
          <w:lang w:val="en-US" w:eastAsia="zh-CN" w:bidi="ar"/>
        </w:rPr>
        <w:t>年</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月</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 xml:space="preserve">日 </w:t>
      </w:r>
    </w:p>
    <w:p w14:paraId="5C520333">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rFonts w:hint="eastAsia" w:cs="仿宋_GB2312"/>
          <w:i w:val="0"/>
          <w:iCs w:val="0"/>
          <w:color w:val="auto"/>
          <w:szCs w:val="24"/>
          <w:highlight w:val="none"/>
          <w:lang w:val="en-US" w:eastAsia="zh-CN"/>
        </w:rPr>
      </w:pPr>
    </w:p>
    <w:p w14:paraId="0A8E92CC">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 xml:space="preserve">附：法定代表人及委托代理人身份证明文件电子件： </w:t>
      </w:r>
    </w:p>
    <w:tbl>
      <w:tblPr>
        <w:tblStyle w:val="32"/>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77292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1" w:hRule="atLeast"/>
        </w:trPr>
        <w:tc>
          <w:tcPr>
            <w:tcW w:w="8527" w:type="dxa"/>
          </w:tcPr>
          <w:p w14:paraId="2E76C34A">
            <w:pPr>
              <w:rPr>
                <w:rFonts w:cs="Arial"/>
                <w:i w:val="0"/>
                <w:iCs w:val="0"/>
                <w:color w:val="auto"/>
                <w:highlight w:val="none"/>
              </w:rPr>
            </w:pPr>
          </w:p>
        </w:tc>
      </w:tr>
    </w:tbl>
    <w:p w14:paraId="22C2EE5E">
      <w:pPr>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说明： </w:t>
      </w:r>
    </w:p>
    <w:p w14:paraId="69057E1F">
      <w:pPr>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1.若供应商为事业单位或其他组织或分支机构，则法定代表人（单位负责人）处的签署人可为单位负责人。 </w:t>
      </w:r>
    </w:p>
    <w:p w14:paraId="0B5E11DA">
      <w:pPr>
        <w:ind w:firstLine="480" w:firstLineChars="200"/>
        <w:rPr>
          <w:rFonts w:hint="eastAsia" w:cs="仿宋_GB2312"/>
          <w:i w:val="0"/>
          <w:iCs w:val="0"/>
          <w:color w:val="auto"/>
          <w:szCs w:val="24"/>
          <w:highlight w:val="none"/>
        </w:rPr>
      </w:pPr>
      <w:r>
        <w:rPr>
          <w:rFonts w:hint="default" w:cs="仿宋_GB2312"/>
          <w:i w:val="0"/>
          <w:iCs w:val="0"/>
          <w:color w:val="auto"/>
          <w:szCs w:val="24"/>
          <w:highlight w:val="none"/>
          <w:lang w:val="en-US" w:eastAsia="zh-CN"/>
        </w:rPr>
        <w:t>2.</w:t>
      </w:r>
      <w:r>
        <w:rPr>
          <w:rFonts w:hint="eastAsia" w:cs="仿宋_GB2312"/>
          <w:i w:val="0"/>
          <w:iCs w:val="0"/>
          <w:color w:val="auto"/>
          <w:szCs w:val="24"/>
          <w:highlight w:val="none"/>
          <w:lang w:val="en-US" w:eastAsia="zh-CN"/>
        </w:rPr>
        <w:t xml:space="preserve">若响应文件中签字之处均为法定代表人（单位负责人）本人签署，则可不提供本《授权委托书》，但须提供《法定代表人（单位负责人）身份证明》。 </w:t>
      </w:r>
    </w:p>
    <w:p w14:paraId="25F560F6">
      <w:pPr>
        <w:ind w:firstLine="480" w:firstLineChars="200"/>
        <w:rPr>
          <w:rFonts w:hint="eastAsia" w:cs="仿宋_GB2312"/>
          <w:i w:val="0"/>
          <w:iCs w:val="0"/>
          <w:color w:val="auto"/>
          <w:szCs w:val="24"/>
          <w:highlight w:val="none"/>
        </w:rPr>
      </w:pPr>
      <w:r>
        <w:rPr>
          <w:rFonts w:hint="default" w:cs="仿宋_GB2312"/>
          <w:i w:val="0"/>
          <w:iCs w:val="0"/>
          <w:color w:val="auto"/>
          <w:szCs w:val="24"/>
          <w:highlight w:val="none"/>
          <w:lang w:val="en-US" w:eastAsia="zh-CN"/>
        </w:rPr>
        <w:t>3.</w:t>
      </w:r>
      <w:r>
        <w:rPr>
          <w:rFonts w:hint="eastAsia" w:cs="仿宋_GB2312"/>
          <w:i w:val="0"/>
          <w:iCs w:val="0"/>
          <w:color w:val="auto"/>
          <w:szCs w:val="24"/>
          <w:highlight w:val="none"/>
          <w:lang w:val="en-US" w:eastAsia="zh-CN"/>
        </w:rPr>
        <w:t xml:space="preserve">供应商为自然人的情形，可不提供本《授权委托书》。 </w:t>
      </w:r>
    </w:p>
    <w:p w14:paraId="48D49CA3">
      <w:pPr>
        <w:ind w:firstLine="480" w:firstLineChars="200"/>
        <w:rPr>
          <w:rFonts w:hint="eastAsia" w:cs="仿宋_GB2312"/>
          <w:i w:val="0"/>
          <w:iCs w:val="0"/>
          <w:color w:val="auto"/>
          <w:szCs w:val="24"/>
          <w:highlight w:val="none"/>
        </w:rPr>
      </w:pPr>
      <w:r>
        <w:rPr>
          <w:rFonts w:hint="default" w:cs="仿宋_GB2312"/>
          <w:i w:val="0"/>
          <w:iCs w:val="0"/>
          <w:color w:val="auto"/>
          <w:szCs w:val="24"/>
          <w:highlight w:val="none"/>
          <w:lang w:val="en-US" w:eastAsia="zh-CN"/>
        </w:rPr>
        <w:t>4.</w:t>
      </w:r>
      <w:r>
        <w:rPr>
          <w:rFonts w:hint="eastAsia" w:cs="仿宋_GB2312"/>
          <w:i w:val="0"/>
          <w:iCs w:val="0"/>
          <w:color w:val="auto"/>
          <w:szCs w:val="24"/>
          <w:highlight w:val="none"/>
          <w:lang w:val="en-US" w:eastAsia="zh-CN"/>
        </w:rPr>
        <w:t>供应商应随本《授权委托书》同时提供法定代表人（单位负责人）及委托代理人的有效的身份证、护照等身份证明文件电子件。提供身份证的，应同时提供身份证</w:t>
      </w:r>
      <w:r>
        <w:rPr>
          <w:rFonts w:hint="eastAsia" w:cs="仿宋_GB2312"/>
          <w:b/>
          <w:bCs/>
          <w:i w:val="0"/>
          <w:iCs w:val="0"/>
          <w:color w:val="auto"/>
          <w:szCs w:val="24"/>
          <w:highlight w:val="none"/>
          <w:lang w:val="en-US" w:eastAsia="zh-CN"/>
        </w:rPr>
        <w:t>双面</w:t>
      </w:r>
      <w:r>
        <w:rPr>
          <w:rFonts w:hint="eastAsia" w:cs="仿宋_GB2312"/>
          <w:i w:val="0"/>
          <w:iCs w:val="0"/>
          <w:color w:val="auto"/>
          <w:szCs w:val="24"/>
          <w:highlight w:val="none"/>
          <w:lang w:val="en-US" w:eastAsia="zh-CN"/>
        </w:rPr>
        <w:t>电子件。</w:t>
      </w:r>
    </w:p>
    <w:p w14:paraId="7A0A1DEA">
      <w:pPr>
        <w:rPr>
          <w:i w:val="0"/>
          <w:iCs w:val="0"/>
          <w:color w:val="auto"/>
          <w:highlight w:val="none"/>
        </w:rPr>
      </w:pPr>
      <w:r>
        <w:rPr>
          <w:i w:val="0"/>
          <w:iCs w:val="0"/>
          <w:color w:val="auto"/>
          <w:highlight w:val="none"/>
        </w:rPr>
        <w:br w:type="page"/>
      </w:r>
    </w:p>
    <w:p w14:paraId="63B1827A">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08" w:name="_Toc155185934"/>
      <w:bookmarkStart w:id="709" w:name="_Toc163492928"/>
      <w:bookmarkStart w:id="710" w:name="_Toc27582"/>
      <w:r>
        <w:rPr>
          <w:rFonts w:hint="eastAsia" w:cstheme="majorBidi"/>
          <w:b/>
          <w:bCs/>
          <w:i w:val="0"/>
          <w:iCs w:val="0"/>
          <w:color w:val="auto"/>
          <w:kern w:val="2"/>
          <w:sz w:val="32"/>
          <w:szCs w:val="32"/>
          <w:highlight w:val="none"/>
          <w:lang w:val="en-US" w:eastAsia="zh-CN" w:bidi="ar-SA"/>
        </w:rPr>
        <w:t>四</w:t>
      </w:r>
      <w:r>
        <w:rPr>
          <w:rFonts w:hint="eastAsia" w:eastAsia="宋体" w:asciiTheme="majorHAnsi" w:hAnsiTheme="majorHAnsi" w:cstheme="majorBidi"/>
          <w:b/>
          <w:bCs/>
          <w:i w:val="0"/>
          <w:iCs w:val="0"/>
          <w:color w:val="auto"/>
          <w:kern w:val="2"/>
          <w:sz w:val="32"/>
          <w:szCs w:val="32"/>
          <w:highlight w:val="none"/>
          <w:lang w:val="en-US" w:eastAsia="zh-CN" w:bidi="ar-SA"/>
        </w:rPr>
        <w:t>、</w:t>
      </w:r>
      <w:bookmarkEnd w:id="708"/>
      <w:bookmarkEnd w:id="709"/>
      <w:r>
        <w:rPr>
          <w:rFonts w:hint="eastAsia" w:eastAsia="宋体" w:asciiTheme="majorHAnsi" w:hAnsiTheme="majorHAnsi" w:cstheme="majorBidi"/>
          <w:b/>
          <w:bCs/>
          <w:i w:val="0"/>
          <w:iCs w:val="0"/>
          <w:color w:val="auto"/>
          <w:kern w:val="2"/>
          <w:sz w:val="32"/>
          <w:szCs w:val="32"/>
          <w:highlight w:val="none"/>
          <w:lang w:val="zh-CN" w:eastAsia="zh-CN" w:bidi="ar-SA"/>
        </w:rPr>
        <w:t>政府采购供应商廉洁自律承诺书</w:t>
      </w:r>
      <w:bookmarkEnd w:id="710"/>
    </w:p>
    <w:p w14:paraId="001E18B2">
      <w:pPr>
        <w:pStyle w:val="11"/>
        <w:rPr>
          <w:i w:val="0"/>
          <w:iCs w:val="0"/>
          <w:color w:val="auto"/>
          <w:highlight w:val="none"/>
        </w:rPr>
      </w:pPr>
    </w:p>
    <w:p w14:paraId="65D786B3">
      <w:pPr>
        <w:snapToGrid w:val="0"/>
        <w:spacing w:line="360" w:lineRule="auto"/>
        <w:rPr>
          <w:rFonts w:ascii="宋体" w:hAnsi="宋体" w:cs="宋体"/>
          <w:i w:val="0"/>
          <w:iCs w:val="0"/>
          <w:color w:val="auto"/>
          <w:kern w:val="0"/>
          <w:sz w:val="24"/>
          <w:szCs w:val="24"/>
          <w:highlight w:val="none"/>
        </w:rPr>
      </w:pPr>
      <w:r>
        <w:rPr>
          <w:rFonts w:hint="eastAsia" w:ascii="宋体" w:hAnsi="宋体" w:cs="宋体"/>
          <w:i w:val="0"/>
          <w:iCs w:val="0"/>
          <w:color w:val="auto"/>
          <w:sz w:val="24"/>
          <w:szCs w:val="24"/>
          <w:highlight w:val="none"/>
        </w:rPr>
        <w:t>（采购人）、（采购代理机构）</w:t>
      </w:r>
      <w:r>
        <w:rPr>
          <w:rFonts w:hint="eastAsia" w:ascii="宋体" w:hAnsi="宋体" w:cs="宋体"/>
          <w:i w:val="0"/>
          <w:iCs w:val="0"/>
          <w:color w:val="auto"/>
          <w:kern w:val="0"/>
          <w:sz w:val="24"/>
          <w:szCs w:val="24"/>
          <w:highlight w:val="none"/>
          <w:lang w:val="zh-CN"/>
        </w:rPr>
        <w:t>：</w:t>
      </w:r>
    </w:p>
    <w:p w14:paraId="372A8422">
      <w:pPr>
        <w:autoSpaceDE w:val="0"/>
        <w:autoSpaceDN w:val="0"/>
        <w:spacing w:line="360" w:lineRule="auto"/>
        <w:ind w:left="2" w:leftChars="1" w:firstLine="480" w:firstLineChars="200"/>
        <w:jc w:val="left"/>
        <w:rPr>
          <w:rFonts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我单位响应你</w:t>
      </w:r>
      <w:r>
        <w:rPr>
          <w:rFonts w:hint="eastAsia" w:ascii="宋体" w:hAnsi="宋体" w:cs="宋体"/>
          <w:i w:val="0"/>
          <w:iCs w:val="0"/>
          <w:color w:val="auto"/>
          <w:sz w:val="24"/>
          <w:szCs w:val="24"/>
          <w:highlight w:val="none"/>
        </w:rPr>
        <w:t>单位</w:t>
      </w:r>
      <w:r>
        <w:rPr>
          <w:rFonts w:hint="eastAsia" w:ascii="宋体" w:hAnsi="宋体" w:cs="宋体"/>
          <w:i w:val="0"/>
          <w:iCs w:val="0"/>
          <w:color w:val="auto"/>
          <w:kern w:val="0"/>
          <w:sz w:val="24"/>
          <w:szCs w:val="24"/>
          <w:highlight w:val="none"/>
          <w:lang w:val="zh-CN"/>
        </w:rPr>
        <w:t>项目</w:t>
      </w:r>
      <w:r>
        <w:rPr>
          <w:rFonts w:hint="eastAsia" w:cs="宋体"/>
          <w:i w:val="0"/>
          <w:iCs w:val="0"/>
          <w:color w:val="auto"/>
          <w:kern w:val="0"/>
          <w:sz w:val="24"/>
          <w:szCs w:val="24"/>
          <w:highlight w:val="none"/>
          <w:lang w:val="en-US" w:eastAsia="zh-CN"/>
        </w:rPr>
        <w:t>竞争性磋商</w:t>
      </w:r>
      <w:r>
        <w:rPr>
          <w:rFonts w:hint="eastAsia" w:ascii="宋体" w:hAnsi="宋体" w:cs="宋体"/>
          <w:i w:val="0"/>
          <w:iCs w:val="0"/>
          <w:color w:val="auto"/>
          <w:kern w:val="0"/>
          <w:sz w:val="24"/>
          <w:szCs w:val="24"/>
          <w:highlight w:val="none"/>
          <w:lang w:val="zh-CN"/>
        </w:rPr>
        <w:t>要求参加</w:t>
      </w:r>
      <w:r>
        <w:rPr>
          <w:rFonts w:hint="eastAsia" w:cs="宋体"/>
          <w:i w:val="0"/>
          <w:iCs w:val="0"/>
          <w:color w:val="auto"/>
          <w:kern w:val="0"/>
          <w:sz w:val="24"/>
          <w:szCs w:val="24"/>
          <w:highlight w:val="none"/>
          <w:lang w:val="en-US" w:eastAsia="zh-CN"/>
        </w:rPr>
        <w:t>磋商响应</w:t>
      </w:r>
      <w:r>
        <w:rPr>
          <w:rFonts w:hint="eastAsia" w:ascii="宋体" w:hAnsi="宋体" w:cs="宋体"/>
          <w:i w:val="0"/>
          <w:iCs w:val="0"/>
          <w:color w:val="auto"/>
          <w:kern w:val="0"/>
          <w:sz w:val="24"/>
          <w:szCs w:val="24"/>
          <w:highlight w:val="none"/>
          <w:lang w:val="zh-CN"/>
        </w:rPr>
        <w:t>。在这次</w:t>
      </w:r>
      <w:r>
        <w:rPr>
          <w:rFonts w:hint="eastAsia" w:cs="宋体"/>
          <w:i w:val="0"/>
          <w:iCs w:val="0"/>
          <w:color w:val="auto"/>
          <w:kern w:val="0"/>
          <w:sz w:val="24"/>
          <w:szCs w:val="24"/>
          <w:highlight w:val="none"/>
          <w:lang w:val="en-US" w:eastAsia="zh-CN"/>
        </w:rPr>
        <w:t>磋商响应</w:t>
      </w:r>
      <w:r>
        <w:rPr>
          <w:rFonts w:hint="eastAsia" w:ascii="宋体" w:hAnsi="宋体" w:cs="宋体"/>
          <w:i w:val="0"/>
          <w:iCs w:val="0"/>
          <w:color w:val="auto"/>
          <w:kern w:val="0"/>
          <w:sz w:val="24"/>
          <w:szCs w:val="24"/>
          <w:highlight w:val="none"/>
          <w:lang w:val="zh-CN"/>
        </w:rPr>
        <w:t>过程中和</w:t>
      </w:r>
      <w:r>
        <w:rPr>
          <w:rFonts w:hint="eastAsia" w:cs="宋体"/>
          <w:i w:val="0"/>
          <w:iCs w:val="0"/>
          <w:color w:val="auto"/>
          <w:kern w:val="0"/>
          <w:sz w:val="24"/>
          <w:szCs w:val="24"/>
          <w:highlight w:val="none"/>
          <w:lang w:val="en-US" w:eastAsia="zh-CN"/>
        </w:rPr>
        <w:t>成交</w:t>
      </w:r>
      <w:r>
        <w:rPr>
          <w:rFonts w:hint="eastAsia" w:ascii="宋体" w:hAnsi="宋体" w:cs="宋体"/>
          <w:i w:val="0"/>
          <w:iCs w:val="0"/>
          <w:color w:val="auto"/>
          <w:kern w:val="0"/>
          <w:sz w:val="24"/>
          <w:szCs w:val="24"/>
          <w:highlight w:val="none"/>
          <w:lang w:val="zh-CN"/>
        </w:rPr>
        <w:t>后，我们将严格遵守国家法律法规要求，并郑重承诺：</w:t>
      </w:r>
    </w:p>
    <w:p w14:paraId="1C068990">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 xml:space="preserve">一、不向项目有关人员及部门赠送礼金礼物、有价证券、回扣以及中介费、介绍费、咨询费等好处费； </w:t>
      </w:r>
    </w:p>
    <w:p w14:paraId="505BA2F4">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 xml:space="preserve">二、不为项目有关人员及部门报销应由你方单位或个人支付的费用； </w:t>
      </w:r>
    </w:p>
    <w:p w14:paraId="70D85F4A">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三、不向项目有关人员及部门提供有可能影响公正的宴请和健身娱乐等活动；</w:t>
      </w:r>
    </w:p>
    <w:p w14:paraId="56951963">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四、不为项目有关人员及部门出国（境）、旅游等提供方便；</w:t>
      </w:r>
    </w:p>
    <w:p w14:paraId="11B5F163">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五、不为项目有关人员个人装修住房、婚丧嫁娶、配偶子女工作安排等提供好处；</w:t>
      </w:r>
    </w:p>
    <w:p w14:paraId="7C64ED4D">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603C7B8C">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如违反上述承诺，你单位有权立即取消我单位</w:t>
      </w:r>
      <w:r>
        <w:rPr>
          <w:rFonts w:hint="eastAsia" w:cs="宋体"/>
          <w:i w:val="0"/>
          <w:iCs w:val="0"/>
          <w:color w:val="auto"/>
          <w:kern w:val="0"/>
          <w:sz w:val="24"/>
          <w:szCs w:val="24"/>
          <w:highlight w:val="none"/>
          <w:lang w:val="en-US" w:eastAsia="zh-CN"/>
        </w:rPr>
        <w:t>磋商响应</w:t>
      </w:r>
      <w:r>
        <w:rPr>
          <w:rFonts w:hint="eastAsia" w:ascii="宋体" w:hAnsi="宋体" w:cs="宋体"/>
          <w:i w:val="0"/>
          <w:iCs w:val="0"/>
          <w:color w:val="auto"/>
          <w:kern w:val="0"/>
          <w:sz w:val="24"/>
          <w:szCs w:val="24"/>
          <w:highlight w:val="none"/>
          <w:lang w:val="zh-CN"/>
        </w:rPr>
        <w:t>、</w:t>
      </w:r>
      <w:r>
        <w:rPr>
          <w:rFonts w:hint="eastAsia" w:cs="宋体"/>
          <w:i w:val="0"/>
          <w:iCs w:val="0"/>
          <w:color w:val="auto"/>
          <w:kern w:val="0"/>
          <w:sz w:val="24"/>
          <w:szCs w:val="24"/>
          <w:highlight w:val="none"/>
          <w:lang w:val="en-US" w:eastAsia="zh-CN"/>
        </w:rPr>
        <w:t>成交</w:t>
      </w:r>
      <w:r>
        <w:rPr>
          <w:rFonts w:hint="eastAsia" w:ascii="宋体" w:hAnsi="宋体" w:cs="宋体"/>
          <w:i w:val="0"/>
          <w:iCs w:val="0"/>
          <w:color w:val="auto"/>
          <w:kern w:val="0"/>
          <w:sz w:val="24"/>
          <w:szCs w:val="24"/>
          <w:highlight w:val="none"/>
          <w:lang w:val="zh-CN"/>
        </w:rPr>
        <w:t>或在建项目的建设资格，有权拒绝我单位在一定时期内进入你单位进行项目建设或其他经营活动，并通报</w:t>
      </w:r>
      <w:r>
        <w:rPr>
          <w:rFonts w:hint="eastAsia" w:cs="宋体"/>
          <w:i w:val="0"/>
          <w:iCs w:val="0"/>
          <w:color w:val="auto"/>
          <w:kern w:val="0"/>
          <w:sz w:val="24"/>
          <w:szCs w:val="24"/>
          <w:highlight w:val="none"/>
          <w:lang w:val="en-US" w:eastAsia="zh-CN"/>
        </w:rPr>
        <w:t>自治区</w:t>
      </w:r>
      <w:r>
        <w:rPr>
          <w:rFonts w:hint="eastAsia" w:ascii="宋体" w:hAnsi="宋体" w:cs="宋体"/>
          <w:i w:val="0"/>
          <w:iCs w:val="0"/>
          <w:color w:val="auto"/>
          <w:kern w:val="0"/>
          <w:sz w:val="24"/>
          <w:szCs w:val="24"/>
          <w:highlight w:val="none"/>
          <w:lang w:val="zh-CN"/>
        </w:rPr>
        <w:t>财政</w:t>
      </w:r>
      <w:r>
        <w:rPr>
          <w:rFonts w:hint="eastAsia" w:cs="宋体"/>
          <w:i w:val="0"/>
          <w:iCs w:val="0"/>
          <w:color w:val="auto"/>
          <w:kern w:val="0"/>
          <w:sz w:val="24"/>
          <w:szCs w:val="24"/>
          <w:highlight w:val="none"/>
          <w:lang w:val="en-US" w:eastAsia="zh-CN"/>
        </w:rPr>
        <w:t>厅</w:t>
      </w:r>
      <w:r>
        <w:rPr>
          <w:rFonts w:hint="eastAsia" w:ascii="宋体" w:hAnsi="宋体" w:cs="宋体"/>
          <w:i w:val="0"/>
          <w:iCs w:val="0"/>
          <w:color w:val="auto"/>
          <w:kern w:val="0"/>
          <w:sz w:val="24"/>
          <w:szCs w:val="24"/>
          <w:highlight w:val="none"/>
          <w:lang w:val="zh-CN"/>
        </w:rPr>
        <w:t>。由此引起的相应损失均由我单位承担。</w:t>
      </w:r>
    </w:p>
    <w:p w14:paraId="59F815F3">
      <w:pPr>
        <w:autoSpaceDE w:val="0"/>
        <w:autoSpaceDN w:val="0"/>
        <w:spacing w:line="360" w:lineRule="auto"/>
        <w:ind w:left="2"/>
        <w:jc w:val="left"/>
        <w:rPr>
          <w:rFonts w:ascii="宋体" w:hAnsi="宋体" w:cs="宋体"/>
          <w:i w:val="0"/>
          <w:iCs w:val="0"/>
          <w:color w:val="auto"/>
          <w:kern w:val="0"/>
          <w:sz w:val="24"/>
          <w:szCs w:val="24"/>
          <w:highlight w:val="none"/>
          <w:lang w:val="zh-CN"/>
        </w:rPr>
      </w:pPr>
    </w:p>
    <w:p w14:paraId="389C1CC1">
      <w:pPr>
        <w:autoSpaceDE w:val="0"/>
        <w:autoSpaceDN w:val="0"/>
        <w:spacing w:line="360" w:lineRule="auto"/>
        <w:ind w:left="2"/>
        <w:jc w:val="left"/>
        <w:rPr>
          <w:rFonts w:ascii="宋体" w:hAnsi="宋体" w:cs="宋体"/>
          <w:i w:val="0"/>
          <w:iCs w:val="0"/>
          <w:color w:val="auto"/>
          <w:kern w:val="0"/>
          <w:sz w:val="24"/>
          <w:szCs w:val="24"/>
          <w:highlight w:val="none"/>
          <w:lang w:val="zh-CN"/>
        </w:rPr>
      </w:pPr>
    </w:p>
    <w:p w14:paraId="6E00DFD3">
      <w:pPr>
        <w:autoSpaceDE w:val="0"/>
        <w:autoSpaceDN w:val="0"/>
        <w:spacing w:line="360" w:lineRule="auto"/>
        <w:ind w:left="2"/>
        <w:jc w:val="left"/>
        <w:rPr>
          <w:rFonts w:ascii="宋体" w:hAnsi="宋体" w:cs="宋体"/>
          <w:i w:val="0"/>
          <w:iCs w:val="0"/>
          <w:color w:val="auto"/>
          <w:kern w:val="0"/>
          <w:sz w:val="24"/>
          <w:szCs w:val="24"/>
          <w:highlight w:val="none"/>
          <w:lang w:val="zh-CN"/>
        </w:rPr>
      </w:pPr>
    </w:p>
    <w:p w14:paraId="2946EFA2">
      <w:pPr>
        <w:autoSpaceDE w:val="0"/>
        <w:autoSpaceDN w:val="0"/>
        <w:spacing w:line="360" w:lineRule="auto"/>
        <w:ind w:left="2" w:leftChars="1" w:right="1120" w:firstLine="4560" w:firstLineChars="1900"/>
        <w:jc w:val="left"/>
        <w:rPr>
          <w:rFonts w:ascii="宋体" w:hAnsi="宋体" w:cs="宋体"/>
          <w:i w:val="0"/>
          <w:iCs w:val="0"/>
          <w:color w:val="auto"/>
          <w:kern w:val="0"/>
          <w:sz w:val="24"/>
          <w:szCs w:val="24"/>
          <w:highlight w:val="none"/>
          <w:lang w:val="zh-CN"/>
        </w:rPr>
      </w:pPr>
      <w:r>
        <w:rPr>
          <w:rFonts w:hint="eastAsia" w:cs="宋体"/>
          <w:i w:val="0"/>
          <w:iCs w:val="0"/>
          <w:color w:val="auto"/>
          <w:kern w:val="0"/>
          <w:sz w:val="24"/>
          <w:szCs w:val="24"/>
          <w:highlight w:val="none"/>
          <w:lang w:val="en-US" w:eastAsia="zh-CN"/>
        </w:rPr>
        <w:t>供应商</w:t>
      </w:r>
      <w:r>
        <w:rPr>
          <w:rFonts w:hint="eastAsia" w:ascii="宋体" w:hAnsi="宋体" w:cs="宋体"/>
          <w:i w:val="0"/>
          <w:iCs w:val="0"/>
          <w:color w:val="auto"/>
          <w:kern w:val="0"/>
          <w:sz w:val="24"/>
          <w:szCs w:val="24"/>
          <w:highlight w:val="none"/>
          <w:lang w:val="zh-CN"/>
        </w:rPr>
        <w:t>名称（</w:t>
      </w:r>
      <w:r>
        <w:rPr>
          <w:rFonts w:hint="eastAsia" w:cs="宋体"/>
          <w:i w:val="0"/>
          <w:iCs w:val="0"/>
          <w:color w:val="auto"/>
          <w:sz w:val="24"/>
          <w:szCs w:val="24"/>
          <w:highlight w:val="none"/>
          <w:lang w:eastAsia="zh-CN"/>
        </w:rPr>
        <w:t>公章</w:t>
      </w:r>
      <w:r>
        <w:rPr>
          <w:rFonts w:hint="eastAsia" w:ascii="宋体" w:hAnsi="宋体" w:cs="宋体"/>
          <w:i w:val="0"/>
          <w:iCs w:val="0"/>
          <w:color w:val="auto"/>
          <w:kern w:val="0"/>
          <w:sz w:val="24"/>
          <w:szCs w:val="24"/>
          <w:highlight w:val="none"/>
          <w:lang w:val="zh-CN"/>
        </w:rPr>
        <w:t xml:space="preserve">）：                                                                                                                                                                                                               </w:t>
      </w:r>
    </w:p>
    <w:p w14:paraId="4A19753C">
      <w:pPr>
        <w:ind w:firstLine="4560" w:firstLineChars="1900"/>
        <w:rPr>
          <w:rFonts w:hint="eastAsia" w:eastAsia="宋体" w:asciiTheme="majorHAnsi" w:hAnsiTheme="majorHAnsi" w:cstheme="majorBidi"/>
          <w:b/>
          <w:bCs/>
          <w:i w:val="0"/>
          <w:i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lang w:val="zh-CN"/>
        </w:rPr>
        <w:t>日期</w:t>
      </w:r>
      <w:r>
        <w:rPr>
          <w:rFonts w:hint="eastAsia" w:ascii="宋体" w:hAnsi="宋体" w:cs="宋体"/>
          <w:i w:val="0"/>
          <w:iCs w:val="0"/>
          <w:color w:val="auto"/>
          <w:kern w:val="0"/>
          <w:sz w:val="24"/>
          <w:szCs w:val="24"/>
          <w:highlight w:val="none"/>
        </w:rPr>
        <w:t>：</w:t>
      </w:r>
      <w:r>
        <w:rPr>
          <w:rFonts w:hint="eastAsia" w:ascii="宋体" w:hAnsi="宋体" w:cs="宋体"/>
          <w:i w:val="0"/>
          <w:iCs w:val="0"/>
          <w:color w:val="auto"/>
          <w:kern w:val="0"/>
          <w:sz w:val="24"/>
          <w:szCs w:val="24"/>
          <w:highlight w:val="none"/>
          <w:lang w:val="zh-CN"/>
        </w:rPr>
        <w:t xml:space="preserve">   年   月   日</w:t>
      </w:r>
    </w:p>
    <w:p w14:paraId="4732684F">
      <w:pPr>
        <w:rPr>
          <w:rFonts w:hint="eastAsia" w:eastAsia="宋体" w:asciiTheme="majorHAnsi" w:hAnsiTheme="majorHAnsi" w:cstheme="majorBidi"/>
          <w:b/>
          <w:bCs/>
          <w:i w:val="0"/>
          <w:iCs w:val="0"/>
          <w:color w:val="auto"/>
          <w:kern w:val="2"/>
          <w:sz w:val="24"/>
          <w:szCs w:val="24"/>
          <w:highlight w:val="none"/>
          <w:lang w:val="en-US" w:eastAsia="zh-CN" w:bidi="ar-SA"/>
        </w:rPr>
      </w:pPr>
    </w:p>
    <w:p w14:paraId="5F530193">
      <w:pPr>
        <w:pStyle w:val="11"/>
        <w:rPr>
          <w:rFonts w:hint="eastAsia" w:eastAsia="宋体" w:asciiTheme="majorHAnsi" w:hAnsiTheme="majorHAnsi" w:cstheme="majorBidi"/>
          <w:b/>
          <w:bCs/>
          <w:i w:val="0"/>
          <w:iCs w:val="0"/>
          <w:color w:val="auto"/>
          <w:kern w:val="2"/>
          <w:sz w:val="24"/>
          <w:szCs w:val="24"/>
          <w:highlight w:val="none"/>
          <w:lang w:val="en-US" w:eastAsia="zh-CN" w:bidi="ar-SA"/>
        </w:rPr>
      </w:pPr>
    </w:p>
    <w:p w14:paraId="45E3F3D2">
      <w:pPr>
        <w:pStyle w:val="11"/>
        <w:rPr>
          <w:rFonts w:hint="eastAsia" w:eastAsia="宋体" w:asciiTheme="majorHAnsi" w:hAnsiTheme="majorHAnsi" w:cstheme="majorBidi"/>
          <w:b/>
          <w:bCs/>
          <w:i w:val="0"/>
          <w:iCs w:val="0"/>
          <w:color w:val="auto"/>
          <w:kern w:val="2"/>
          <w:sz w:val="24"/>
          <w:szCs w:val="24"/>
          <w:highlight w:val="none"/>
          <w:lang w:val="en-US" w:eastAsia="zh-CN" w:bidi="ar-SA"/>
        </w:rPr>
      </w:pPr>
    </w:p>
    <w:p w14:paraId="5CECE128">
      <w:pPr>
        <w:pStyle w:val="11"/>
        <w:rPr>
          <w:rFonts w:hint="eastAsia" w:eastAsia="宋体" w:asciiTheme="majorHAnsi" w:hAnsiTheme="majorHAnsi" w:cstheme="majorBidi"/>
          <w:b/>
          <w:bCs/>
          <w:i w:val="0"/>
          <w:iCs w:val="0"/>
          <w:color w:val="auto"/>
          <w:kern w:val="2"/>
          <w:sz w:val="24"/>
          <w:szCs w:val="24"/>
          <w:highlight w:val="none"/>
          <w:lang w:val="en-US" w:eastAsia="zh-CN" w:bidi="ar-SA"/>
        </w:rPr>
      </w:pPr>
    </w:p>
    <w:p w14:paraId="696ED097">
      <w:pPr>
        <w:pStyle w:val="3"/>
        <w:keepNext/>
        <w:keepLines/>
        <w:pageBreakBefore w:val="0"/>
        <w:widowControl w:val="0"/>
        <w:numPr>
          <w:ilvl w:val="0"/>
          <w:numId w:val="0"/>
        </w:numPr>
        <w:shd w:val="clea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11" w:name="_Toc17519"/>
      <w:r>
        <w:rPr>
          <w:rFonts w:hint="eastAsia" w:eastAsia="宋体" w:asciiTheme="majorHAnsi" w:hAnsiTheme="majorHAnsi" w:cstheme="majorBidi"/>
          <w:b/>
          <w:bCs/>
          <w:i w:val="0"/>
          <w:iCs w:val="0"/>
          <w:color w:val="auto"/>
          <w:kern w:val="2"/>
          <w:sz w:val="32"/>
          <w:szCs w:val="32"/>
          <w:highlight w:val="none"/>
          <w:lang w:val="en-US" w:eastAsia="zh-CN" w:bidi="ar-SA"/>
        </w:rPr>
        <w:t>五、实质性响应一览表</w:t>
      </w:r>
      <w:r>
        <w:rPr>
          <w:rFonts w:hint="eastAsia" w:eastAsia="宋体" w:asciiTheme="majorHAnsi" w:hAnsiTheme="majorHAnsi" w:cstheme="majorBidi"/>
          <w:b/>
          <w:bCs/>
          <w:i w:val="0"/>
          <w:iCs w:val="0"/>
          <w:color w:val="auto"/>
          <w:kern w:val="2"/>
          <w:sz w:val="32"/>
          <w:szCs w:val="32"/>
          <w:highlight w:val="none"/>
          <w:lang w:val="zh-CN" w:eastAsia="zh-CN" w:bidi="ar-SA"/>
        </w:rPr>
        <w:t>【</w:t>
      </w:r>
      <w:r>
        <w:rPr>
          <w:rFonts w:hint="eastAsia" w:eastAsia="宋体" w:asciiTheme="majorHAnsi" w:hAnsiTheme="majorHAnsi" w:cstheme="majorBidi"/>
          <w:b/>
          <w:bCs/>
          <w:i w:val="0"/>
          <w:iCs w:val="0"/>
          <w:color w:val="auto"/>
          <w:kern w:val="2"/>
          <w:sz w:val="32"/>
          <w:szCs w:val="32"/>
          <w:highlight w:val="none"/>
          <w:lang w:val="en-US" w:eastAsia="zh-CN" w:bidi="ar-SA"/>
        </w:rPr>
        <w:t>本表须与第四章的一致】</w:t>
      </w:r>
      <w:bookmarkEnd w:id="711"/>
    </w:p>
    <w:p w14:paraId="44C6BE12">
      <w:pPr>
        <w:shd w:val="clear" w:color="auto"/>
        <w:tabs>
          <w:tab w:val="left" w:pos="3045"/>
        </w:tabs>
        <w:autoSpaceDE w:val="0"/>
        <w:autoSpaceDN w:val="0"/>
        <w:adjustRightInd w:val="0"/>
        <w:snapToGrid w:val="0"/>
        <w:spacing w:line="360" w:lineRule="exact"/>
        <w:jc w:val="center"/>
        <w:rPr>
          <w:rFonts w:hint="eastAsia" w:ascii="宋体" w:hAnsi="宋体" w:cs="宋体"/>
          <w:b/>
          <w:i w:val="0"/>
          <w:iCs w:val="0"/>
          <w:color w:val="auto"/>
          <w:sz w:val="24"/>
          <w:highlight w:val="none"/>
        </w:rPr>
      </w:pPr>
      <w:r>
        <w:rPr>
          <w:rFonts w:hint="eastAsia" w:ascii="宋体" w:hAnsi="宋体" w:cs="宋体"/>
          <w:b w:val="0"/>
          <w:bCs/>
          <w:i w:val="0"/>
          <w:iCs w:val="0"/>
          <w:color w:val="auto"/>
          <w:sz w:val="24"/>
          <w:highlight w:val="none"/>
        </w:rPr>
        <w:t>（供应商须对本附表所有内容逐条响应且无负偏离，否则</w:t>
      </w:r>
      <w:r>
        <w:rPr>
          <w:rFonts w:hint="eastAsia" w:cs="宋体"/>
          <w:b w:val="0"/>
          <w:bCs/>
          <w:i w:val="0"/>
          <w:iCs w:val="0"/>
          <w:color w:val="auto"/>
          <w:sz w:val="24"/>
          <w:highlight w:val="none"/>
          <w:lang w:val="en-US" w:eastAsia="zh-CN"/>
        </w:rPr>
        <w:t>其</w:t>
      </w:r>
      <w:r>
        <w:rPr>
          <w:rFonts w:hint="eastAsia" w:cs="宋体"/>
          <w:b/>
          <w:i w:val="0"/>
          <w:iCs w:val="0"/>
          <w:color w:val="auto"/>
          <w:sz w:val="24"/>
          <w:highlight w:val="none"/>
          <w:lang w:val="en-US" w:eastAsia="zh-CN"/>
        </w:rPr>
        <w:t>响应</w:t>
      </w:r>
      <w:r>
        <w:rPr>
          <w:rFonts w:hint="eastAsia" w:ascii="宋体" w:hAnsi="宋体" w:cs="宋体"/>
          <w:b/>
          <w:i w:val="0"/>
          <w:iCs w:val="0"/>
          <w:color w:val="auto"/>
          <w:sz w:val="24"/>
          <w:highlight w:val="none"/>
        </w:rPr>
        <w:t>无效</w:t>
      </w:r>
      <w:r>
        <w:rPr>
          <w:rFonts w:hint="eastAsia" w:ascii="宋体" w:hAnsi="宋体" w:cs="宋体"/>
          <w:b w:val="0"/>
          <w:bCs/>
          <w:i w:val="0"/>
          <w:iCs w:val="0"/>
          <w:color w:val="auto"/>
          <w:sz w:val="24"/>
          <w:highlight w:val="none"/>
        </w:rPr>
        <w:t>）</w:t>
      </w:r>
    </w:p>
    <w:p w14:paraId="77F3EE72">
      <w:pPr>
        <w:pStyle w:val="24"/>
        <w:shd w:val="clear"/>
        <w:rPr>
          <w:rFonts w:hint="eastAsia" w:ascii="宋体" w:hAnsi="宋体" w:cs="宋体"/>
          <w:i w:val="0"/>
          <w:iCs w:val="0"/>
          <w:color w:val="auto"/>
          <w:highlight w:val="none"/>
        </w:rPr>
      </w:pPr>
    </w:p>
    <w:tbl>
      <w:tblPr>
        <w:tblStyle w:val="32"/>
        <w:tblW w:w="9529" w:type="dxa"/>
        <w:tblInd w:w="-5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2496"/>
        <w:gridCol w:w="3671"/>
        <w:gridCol w:w="1957"/>
        <w:gridCol w:w="732"/>
      </w:tblGrid>
      <w:tr w14:paraId="79880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vMerge w:val="restart"/>
            <w:noWrap w:val="0"/>
            <w:vAlign w:val="center"/>
          </w:tcPr>
          <w:p w14:paraId="618E939E">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ascii="宋体" w:hAnsi="宋体" w:cs="宋体"/>
                <w:i w:val="0"/>
                <w:iCs w:val="0"/>
                <w:color w:val="auto"/>
                <w:sz w:val="24"/>
                <w:highlight w:val="none"/>
              </w:rPr>
              <w:t>序号</w:t>
            </w:r>
          </w:p>
        </w:tc>
        <w:tc>
          <w:tcPr>
            <w:tcW w:w="6167" w:type="dxa"/>
            <w:gridSpan w:val="2"/>
            <w:noWrap w:val="0"/>
            <w:vAlign w:val="center"/>
          </w:tcPr>
          <w:p w14:paraId="031CA0B3">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ascii="宋体" w:hAnsi="宋体" w:cs="宋体"/>
                <w:i w:val="0"/>
                <w:iCs w:val="0"/>
                <w:color w:val="auto"/>
                <w:sz w:val="24"/>
                <w:highlight w:val="none"/>
                <w:lang w:eastAsia="zh-CN"/>
              </w:rPr>
              <w:t>磋商</w:t>
            </w:r>
            <w:r>
              <w:rPr>
                <w:rFonts w:hint="eastAsia" w:ascii="宋体" w:hAnsi="宋体" w:cs="宋体"/>
                <w:i w:val="0"/>
                <w:iCs w:val="0"/>
                <w:color w:val="auto"/>
                <w:sz w:val="24"/>
                <w:highlight w:val="none"/>
              </w:rPr>
              <w:t>文件要求的实质性响应内容</w:t>
            </w:r>
          </w:p>
        </w:tc>
        <w:tc>
          <w:tcPr>
            <w:tcW w:w="1957" w:type="dxa"/>
            <w:vMerge w:val="restart"/>
            <w:noWrap w:val="0"/>
            <w:vAlign w:val="center"/>
          </w:tcPr>
          <w:p w14:paraId="7FAF3AB0">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cs="宋体"/>
                <w:i w:val="0"/>
                <w:iCs w:val="0"/>
                <w:color w:val="auto"/>
                <w:sz w:val="24"/>
                <w:highlight w:val="none"/>
                <w:lang w:eastAsia="zh-CN"/>
              </w:rPr>
              <w:t>响应</w:t>
            </w:r>
            <w:r>
              <w:rPr>
                <w:rFonts w:hint="eastAsia" w:ascii="宋体" w:hAnsi="宋体" w:cs="宋体"/>
                <w:i w:val="0"/>
                <w:iCs w:val="0"/>
                <w:color w:val="auto"/>
                <w:sz w:val="24"/>
                <w:highlight w:val="none"/>
              </w:rPr>
              <w:t>文件具体</w:t>
            </w:r>
            <w:r>
              <w:rPr>
                <w:rFonts w:hint="eastAsia" w:cs="宋体"/>
                <w:i w:val="0"/>
                <w:iCs w:val="0"/>
                <w:color w:val="auto"/>
                <w:sz w:val="24"/>
                <w:highlight w:val="none"/>
                <w:lang w:val="en-US" w:eastAsia="zh-CN"/>
              </w:rPr>
              <w:t>的</w:t>
            </w:r>
            <w:r>
              <w:rPr>
                <w:rFonts w:hint="eastAsia" w:ascii="宋体" w:hAnsi="宋体" w:cs="宋体"/>
                <w:i w:val="0"/>
                <w:iCs w:val="0"/>
                <w:color w:val="auto"/>
                <w:sz w:val="24"/>
                <w:highlight w:val="none"/>
              </w:rPr>
              <w:t>响应内容</w:t>
            </w:r>
          </w:p>
        </w:tc>
        <w:tc>
          <w:tcPr>
            <w:tcW w:w="732" w:type="dxa"/>
            <w:vMerge w:val="restart"/>
            <w:noWrap w:val="0"/>
            <w:vAlign w:val="center"/>
          </w:tcPr>
          <w:p w14:paraId="6AD67C37">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ascii="宋体" w:hAnsi="宋体" w:cs="宋体"/>
                <w:i w:val="0"/>
                <w:iCs w:val="0"/>
                <w:color w:val="auto"/>
                <w:sz w:val="24"/>
                <w:highlight w:val="none"/>
              </w:rPr>
              <w:t>备注</w:t>
            </w:r>
          </w:p>
        </w:tc>
      </w:tr>
      <w:tr w14:paraId="36635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vMerge w:val="continue"/>
            <w:noWrap w:val="0"/>
            <w:vAlign w:val="center"/>
          </w:tcPr>
          <w:p w14:paraId="5494FB7C">
            <w:pPr>
              <w:keepNext w:val="0"/>
              <w:keepLines w:val="0"/>
              <w:pageBreakBefore w:val="0"/>
              <w:widowControl w:val="0"/>
              <w:shd w:val="clear"/>
              <w:kinsoku/>
              <w:wordWrap/>
              <w:overflowPunct/>
              <w:topLinePunct w:val="0"/>
              <w:bidi w:val="0"/>
              <w:adjustRightInd/>
              <w:snapToGrid/>
              <w:spacing w:line="360" w:lineRule="exact"/>
              <w:jc w:val="center"/>
              <w:textAlignment w:val="auto"/>
              <w:rPr>
                <w:i w:val="0"/>
                <w:iCs w:val="0"/>
                <w:color w:val="auto"/>
                <w:highlight w:val="none"/>
              </w:rPr>
            </w:pPr>
          </w:p>
        </w:tc>
        <w:tc>
          <w:tcPr>
            <w:tcW w:w="2496" w:type="dxa"/>
            <w:noWrap w:val="0"/>
            <w:vAlign w:val="center"/>
          </w:tcPr>
          <w:p w14:paraId="7FA1F299">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cs="宋体"/>
                <w:i w:val="0"/>
                <w:iCs w:val="0"/>
                <w:color w:val="auto"/>
                <w:sz w:val="24"/>
                <w:highlight w:val="none"/>
                <w:lang w:val="en-US" w:eastAsia="zh-CN"/>
              </w:rPr>
            </w:pPr>
            <w:r>
              <w:rPr>
                <w:rFonts w:hint="eastAsia" w:cs="宋体"/>
                <w:i w:val="0"/>
                <w:iCs w:val="0"/>
                <w:color w:val="auto"/>
                <w:sz w:val="24"/>
                <w:highlight w:val="none"/>
                <w:lang w:val="en-US" w:eastAsia="zh-CN"/>
              </w:rPr>
              <w:t>实质性要求</w:t>
            </w:r>
          </w:p>
        </w:tc>
        <w:tc>
          <w:tcPr>
            <w:tcW w:w="3671" w:type="dxa"/>
            <w:noWrap w:val="0"/>
            <w:vAlign w:val="center"/>
          </w:tcPr>
          <w:p w14:paraId="5FAE8917">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cs="宋体"/>
                <w:i w:val="0"/>
                <w:iCs w:val="0"/>
                <w:color w:val="auto"/>
                <w:sz w:val="24"/>
                <w:highlight w:val="none"/>
                <w:lang w:val="en-US" w:eastAsia="zh-CN"/>
              </w:rPr>
            </w:pPr>
            <w:r>
              <w:rPr>
                <w:rFonts w:hint="eastAsia" w:cs="宋体"/>
                <w:i w:val="0"/>
                <w:iCs w:val="0"/>
                <w:color w:val="auto"/>
                <w:sz w:val="24"/>
                <w:highlight w:val="none"/>
                <w:lang w:val="en-US" w:eastAsia="zh-CN"/>
              </w:rPr>
              <w:t>磋商文件中的规定</w:t>
            </w:r>
          </w:p>
        </w:tc>
        <w:tc>
          <w:tcPr>
            <w:tcW w:w="1957" w:type="dxa"/>
            <w:vMerge w:val="continue"/>
            <w:noWrap w:val="0"/>
            <w:vAlign w:val="center"/>
          </w:tcPr>
          <w:p w14:paraId="355AFA42">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lang w:eastAsia="zh-CN"/>
              </w:rPr>
            </w:pPr>
          </w:p>
        </w:tc>
        <w:tc>
          <w:tcPr>
            <w:tcW w:w="732" w:type="dxa"/>
            <w:vMerge w:val="continue"/>
            <w:noWrap w:val="0"/>
            <w:vAlign w:val="center"/>
          </w:tcPr>
          <w:p w14:paraId="326D93D4">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lang w:eastAsia="zh-CN"/>
              </w:rPr>
            </w:pPr>
          </w:p>
        </w:tc>
      </w:tr>
      <w:tr w14:paraId="36C53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4B945C2C">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1</w:t>
            </w:r>
          </w:p>
        </w:tc>
        <w:tc>
          <w:tcPr>
            <w:tcW w:w="2496" w:type="dxa"/>
            <w:noWrap w:val="0"/>
            <w:vAlign w:val="center"/>
          </w:tcPr>
          <w:p w14:paraId="04C3FBB6">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671" w:type="dxa"/>
            <w:noWrap w:val="0"/>
            <w:vAlign w:val="center"/>
          </w:tcPr>
          <w:p w14:paraId="5836807F">
            <w:pPr>
              <w:keepNext w:val="0"/>
              <w:keepLines w:val="0"/>
              <w:pageBreakBefore w:val="0"/>
              <w:widowControl w:val="0"/>
              <w:shd w:val="clear" w:color="auto"/>
              <w:kinsoku/>
              <w:wordWrap/>
              <w:overflowPunct/>
              <w:topLinePunct w:val="0"/>
              <w:autoSpaceDE w:val="0"/>
              <w:autoSpaceDN w:val="0"/>
              <w:bidi w:val="0"/>
              <w:adjustRightInd/>
              <w:snapToGrid/>
              <w:spacing w:line="360" w:lineRule="exact"/>
              <w:textAlignment w:val="auto"/>
              <w:rPr>
                <w:rFonts w:hint="eastAsia" w:ascii="宋体" w:hAnsi="宋体" w:cs="宋体"/>
                <w:i w:val="0"/>
                <w:iCs w:val="0"/>
                <w:color w:val="auto"/>
                <w:sz w:val="24"/>
                <w:highlight w:val="none"/>
              </w:rPr>
            </w:pPr>
          </w:p>
        </w:tc>
        <w:tc>
          <w:tcPr>
            <w:tcW w:w="1957" w:type="dxa"/>
            <w:noWrap w:val="0"/>
            <w:vAlign w:val="center"/>
          </w:tcPr>
          <w:p w14:paraId="5FA9DA15">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587B1ABC">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5291A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38" w:hRule="atLeast"/>
        </w:trPr>
        <w:tc>
          <w:tcPr>
            <w:tcW w:w="673" w:type="dxa"/>
            <w:noWrap w:val="0"/>
            <w:vAlign w:val="center"/>
          </w:tcPr>
          <w:p w14:paraId="1A31A820">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2</w:t>
            </w:r>
          </w:p>
        </w:tc>
        <w:tc>
          <w:tcPr>
            <w:tcW w:w="2496" w:type="dxa"/>
            <w:noWrap w:val="0"/>
            <w:vAlign w:val="center"/>
          </w:tcPr>
          <w:p w14:paraId="121A59D4">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671" w:type="dxa"/>
            <w:noWrap w:val="0"/>
            <w:vAlign w:val="center"/>
          </w:tcPr>
          <w:p w14:paraId="1C064253">
            <w:pPr>
              <w:keepNext w:val="0"/>
              <w:keepLines w:val="0"/>
              <w:pageBreakBefore w:val="0"/>
              <w:widowControl w:val="0"/>
              <w:shd w:val="clear" w:color="auto"/>
              <w:kinsoku/>
              <w:wordWrap/>
              <w:overflowPunct/>
              <w:topLinePunct w:val="0"/>
              <w:autoSpaceDE w:val="0"/>
              <w:autoSpaceDN w:val="0"/>
              <w:bidi w:val="0"/>
              <w:adjustRightInd/>
              <w:snapToGrid/>
              <w:spacing w:line="360" w:lineRule="exact"/>
              <w:textAlignment w:val="auto"/>
              <w:rPr>
                <w:rFonts w:hint="eastAsia" w:ascii="宋体" w:hAnsi="宋体" w:eastAsia="宋体" w:cs="宋体"/>
                <w:i w:val="0"/>
                <w:iCs w:val="0"/>
                <w:color w:val="auto"/>
                <w:sz w:val="24"/>
                <w:highlight w:val="none"/>
                <w:lang w:eastAsia="zh-CN"/>
              </w:rPr>
            </w:pPr>
          </w:p>
        </w:tc>
        <w:tc>
          <w:tcPr>
            <w:tcW w:w="1957" w:type="dxa"/>
            <w:noWrap w:val="0"/>
            <w:vAlign w:val="center"/>
          </w:tcPr>
          <w:p w14:paraId="3F31868A">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5B69F070">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65E3C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55CFD93A">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3</w:t>
            </w:r>
          </w:p>
        </w:tc>
        <w:tc>
          <w:tcPr>
            <w:tcW w:w="2496" w:type="dxa"/>
            <w:noWrap w:val="0"/>
            <w:vAlign w:val="center"/>
          </w:tcPr>
          <w:p w14:paraId="60712A5A">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kern w:val="2"/>
                <w:sz w:val="24"/>
                <w:szCs w:val="24"/>
                <w:highlight w:val="none"/>
                <w:lang w:val="en-US" w:eastAsia="zh-CN" w:bidi="ar-SA"/>
              </w:rPr>
            </w:pPr>
          </w:p>
        </w:tc>
        <w:tc>
          <w:tcPr>
            <w:tcW w:w="3671" w:type="dxa"/>
            <w:noWrap w:val="0"/>
            <w:vAlign w:val="center"/>
          </w:tcPr>
          <w:p w14:paraId="21D5229D">
            <w:pPr>
              <w:pStyle w:val="68"/>
              <w:keepNext w:val="0"/>
              <w:keepLines w:val="0"/>
              <w:pageBreakBefore w:val="0"/>
              <w:widowControl w:val="0"/>
              <w:shd w:val="clear" w:color="auto"/>
              <w:kinsoku/>
              <w:wordWrap/>
              <w:overflowPunct/>
              <w:topLinePunct w:val="0"/>
              <w:bidi w:val="0"/>
              <w:adjustRightInd/>
              <w:snapToGrid/>
              <w:spacing w:line="360" w:lineRule="exact"/>
              <w:ind w:firstLine="0" w:firstLineChars="0"/>
              <w:textAlignment w:val="auto"/>
              <w:rPr>
                <w:rFonts w:hint="eastAsia" w:ascii="仿宋_GB2312" w:hAnsi="宋体" w:eastAsia="宋体"/>
                <w:i w:val="0"/>
                <w:iCs w:val="0"/>
                <w:color w:val="auto"/>
                <w:kern w:val="0"/>
                <w:sz w:val="31"/>
                <w:szCs w:val="20"/>
                <w:highlight w:val="none"/>
                <w:lang w:val="en-US" w:eastAsia="zh-CN" w:bidi="ar-SA"/>
              </w:rPr>
            </w:pPr>
          </w:p>
        </w:tc>
        <w:tc>
          <w:tcPr>
            <w:tcW w:w="1957" w:type="dxa"/>
            <w:noWrap w:val="0"/>
            <w:vAlign w:val="center"/>
          </w:tcPr>
          <w:p w14:paraId="02C3CDB0">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40D7FE92">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1BB7E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2702C255">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4</w:t>
            </w:r>
          </w:p>
        </w:tc>
        <w:tc>
          <w:tcPr>
            <w:tcW w:w="2496" w:type="dxa"/>
            <w:noWrap w:val="0"/>
            <w:vAlign w:val="center"/>
          </w:tcPr>
          <w:p w14:paraId="36944851">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kern w:val="2"/>
                <w:sz w:val="24"/>
                <w:szCs w:val="24"/>
                <w:highlight w:val="none"/>
                <w:lang w:val="en-US" w:eastAsia="zh-CN" w:bidi="ar-SA"/>
              </w:rPr>
            </w:pPr>
          </w:p>
        </w:tc>
        <w:tc>
          <w:tcPr>
            <w:tcW w:w="3671" w:type="dxa"/>
            <w:noWrap w:val="0"/>
            <w:vAlign w:val="center"/>
          </w:tcPr>
          <w:p w14:paraId="36B4FB23">
            <w:pPr>
              <w:keepNext w:val="0"/>
              <w:keepLines w:val="0"/>
              <w:pageBreakBefore w:val="0"/>
              <w:widowControl w:val="0"/>
              <w:shd w:val="clear"/>
              <w:kinsoku/>
              <w:wordWrap/>
              <w:overflowPunct/>
              <w:topLinePunct w:val="0"/>
              <w:bidi w:val="0"/>
              <w:adjustRightInd/>
              <w:snapToGrid/>
              <w:spacing w:line="360" w:lineRule="exact"/>
              <w:textAlignment w:val="auto"/>
              <w:rPr>
                <w:rFonts w:hint="default" w:ascii="宋体" w:hAnsi="宋体" w:cs="宋体"/>
                <w:i w:val="0"/>
                <w:iCs w:val="0"/>
                <w:color w:val="auto"/>
                <w:kern w:val="2"/>
                <w:sz w:val="24"/>
                <w:szCs w:val="24"/>
                <w:highlight w:val="none"/>
                <w:lang w:val="en-US" w:eastAsia="zh-CN" w:bidi="ar-SA"/>
              </w:rPr>
            </w:pPr>
          </w:p>
        </w:tc>
        <w:tc>
          <w:tcPr>
            <w:tcW w:w="1957" w:type="dxa"/>
            <w:noWrap w:val="0"/>
            <w:vAlign w:val="center"/>
          </w:tcPr>
          <w:p w14:paraId="49278A92">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701A8FB0">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27C1E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3A6BF21F">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5</w:t>
            </w:r>
          </w:p>
        </w:tc>
        <w:tc>
          <w:tcPr>
            <w:tcW w:w="2496" w:type="dxa"/>
            <w:noWrap w:val="0"/>
            <w:vAlign w:val="center"/>
          </w:tcPr>
          <w:p w14:paraId="4572E1F4">
            <w:pPr>
              <w:pStyle w:val="68"/>
              <w:keepNext w:val="0"/>
              <w:keepLines w:val="0"/>
              <w:pageBreakBefore w:val="0"/>
              <w:widowControl w:val="0"/>
              <w:shd w:val="clear" w:color="auto"/>
              <w:kinsoku/>
              <w:wordWrap/>
              <w:overflowPunct/>
              <w:topLinePunct w:val="0"/>
              <w:bidi w:val="0"/>
              <w:adjustRightInd/>
              <w:snapToGrid/>
              <w:spacing w:line="360" w:lineRule="exact"/>
              <w:ind w:firstLine="0" w:firstLineChars="0"/>
              <w:textAlignment w:val="auto"/>
              <w:rPr>
                <w:rFonts w:hint="eastAsia" w:ascii="宋体" w:eastAsia="宋体" w:cs="宋体"/>
                <w:i w:val="0"/>
                <w:iCs w:val="0"/>
                <w:color w:val="auto"/>
                <w:sz w:val="24"/>
                <w:szCs w:val="24"/>
                <w:highlight w:val="none"/>
                <w:lang w:val="en-US" w:eastAsia="zh-CN"/>
              </w:rPr>
            </w:pPr>
          </w:p>
        </w:tc>
        <w:tc>
          <w:tcPr>
            <w:tcW w:w="3671" w:type="dxa"/>
            <w:noWrap w:val="0"/>
            <w:vAlign w:val="center"/>
          </w:tcPr>
          <w:p w14:paraId="7B7AC935">
            <w:pPr>
              <w:keepNext w:val="0"/>
              <w:keepLines w:val="0"/>
              <w:pageBreakBefore w:val="0"/>
              <w:widowControl w:val="0"/>
              <w:shd w:val="clear" w:color="auto"/>
              <w:kinsoku/>
              <w:wordWrap/>
              <w:overflowPunct/>
              <w:topLinePunct w:val="0"/>
              <w:autoSpaceDE/>
              <w:autoSpaceDN/>
              <w:bidi w:val="0"/>
              <w:adjustRightInd/>
              <w:snapToGrid/>
              <w:spacing w:line="400" w:lineRule="atLeast"/>
              <w:textAlignment w:val="auto"/>
              <w:rPr>
                <w:rFonts w:hint="eastAsia" w:ascii="宋体" w:hAnsi="宋体" w:eastAsia="宋体" w:cs="宋体"/>
                <w:i w:val="0"/>
                <w:iCs w:val="0"/>
                <w:color w:val="auto"/>
                <w:sz w:val="24"/>
                <w:highlight w:val="none"/>
                <w:lang w:val="en-US" w:eastAsia="zh-CN"/>
              </w:rPr>
            </w:pPr>
          </w:p>
        </w:tc>
        <w:tc>
          <w:tcPr>
            <w:tcW w:w="1957" w:type="dxa"/>
            <w:noWrap w:val="0"/>
            <w:vAlign w:val="center"/>
          </w:tcPr>
          <w:p w14:paraId="5179A98C">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2D5194A5">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4D4AD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07D90878">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cs="宋体"/>
                <w:i w:val="0"/>
                <w:iCs w:val="0"/>
                <w:color w:val="auto"/>
                <w:sz w:val="24"/>
                <w:highlight w:val="none"/>
                <w:lang w:val="en-US" w:eastAsia="zh-CN"/>
              </w:rPr>
            </w:pPr>
            <w:r>
              <w:rPr>
                <w:rFonts w:hint="eastAsia" w:cs="宋体"/>
                <w:i w:val="0"/>
                <w:iCs w:val="0"/>
                <w:color w:val="auto"/>
                <w:sz w:val="24"/>
                <w:highlight w:val="none"/>
                <w:lang w:val="en-US" w:eastAsia="zh-CN"/>
              </w:rPr>
              <w:t>6</w:t>
            </w:r>
          </w:p>
        </w:tc>
        <w:tc>
          <w:tcPr>
            <w:tcW w:w="2496" w:type="dxa"/>
            <w:noWrap w:val="0"/>
            <w:vAlign w:val="center"/>
          </w:tcPr>
          <w:p w14:paraId="3C2AA142">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671" w:type="dxa"/>
            <w:noWrap w:val="0"/>
            <w:vAlign w:val="center"/>
          </w:tcPr>
          <w:p w14:paraId="79D6C58D">
            <w:pPr>
              <w:keepNext w:val="0"/>
              <w:keepLines w:val="0"/>
              <w:pageBreakBefore w:val="0"/>
              <w:widowControl w:val="0"/>
              <w:shd w:val="clear" w:color="auto"/>
              <w:kinsoku/>
              <w:wordWrap/>
              <w:overflowPunct/>
              <w:topLinePunct w:val="0"/>
              <w:autoSpaceDE/>
              <w:autoSpaceDN/>
              <w:bidi w:val="0"/>
              <w:adjustRightInd/>
              <w:snapToGrid/>
              <w:spacing w:line="400" w:lineRule="exact"/>
              <w:textAlignment w:val="auto"/>
              <w:rPr>
                <w:rFonts w:hint="eastAsia" w:ascii="宋体" w:hAnsi="宋体" w:cs="宋体"/>
                <w:i w:val="0"/>
                <w:iCs w:val="0"/>
                <w:color w:val="auto"/>
                <w:sz w:val="24"/>
                <w:highlight w:val="none"/>
              </w:rPr>
            </w:pPr>
          </w:p>
        </w:tc>
        <w:tc>
          <w:tcPr>
            <w:tcW w:w="1957" w:type="dxa"/>
            <w:noWrap w:val="0"/>
            <w:vAlign w:val="center"/>
          </w:tcPr>
          <w:p w14:paraId="07430D0C">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3E7C7C40">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1F496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38" w:hRule="atLeast"/>
        </w:trPr>
        <w:tc>
          <w:tcPr>
            <w:tcW w:w="673" w:type="dxa"/>
            <w:noWrap w:val="0"/>
            <w:vAlign w:val="center"/>
          </w:tcPr>
          <w:p w14:paraId="29289FB8">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cs="宋体"/>
                <w:i w:val="0"/>
                <w:iCs w:val="0"/>
                <w:color w:val="auto"/>
                <w:sz w:val="24"/>
                <w:highlight w:val="none"/>
                <w:lang w:val="en-US" w:eastAsia="zh-CN"/>
              </w:rPr>
            </w:pPr>
            <w:r>
              <w:rPr>
                <w:rFonts w:hint="eastAsia" w:cs="宋体"/>
                <w:i w:val="0"/>
                <w:iCs w:val="0"/>
                <w:color w:val="auto"/>
                <w:sz w:val="24"/>
                <w:highlight w:val="none"/>
                <w:lang w:val="en-US" w:eastAsia="zh-CN"/>
              </w:rPr>
              <w:t>7</w:t>
            </w:r>
          </w:p>
        </w:tc>
        <w:tc>
          <w:tcPr>
            <w:tcW w:w="2496" w:type="dxa"/>
            <w:noWrap w:val="0"/>
            <w:vAlign w:val="center"/>
          </w:tcPr>
          <w:p w14:paraId="535D9A2F">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671" w:type="dxa"/>
            <w:noWrap w:val="0"/>
            <w:vAlign w:val="center"/>
          </w:tcPr>
          <w:p w14:paraId="22986C28">
            <w:pPr>
              <w:keepNext w:val="0"/>
              <w:keepLines w:val="0"/>
              <w:pageBreakBefore w:val="0"/>
              <w:widowControl w:val="0"/>
              <w:shd w:val="clear"/>
              <w:kinsoku/>
              <w:wordWrap/>
              <w:overflowPunct/>
              <w:topLinePunct w:val="0"/>
              <w:autoSpaceDE/>
              <w:autoSpaceDN/>
              <w:bidi w:val="0"/>
              <w:adjustRightInd/>
              <w:snapToGrid/>
              <w:spacing w:line="400" w:lineRule="exact"/>
              <w:textAlignment w:val="auto"/>
              <w:rPr>
                <w:rFonts w:hint="eastAsia" w:ascii="宋体" w:hAnsi="宋体" w:cs="宋体"/>
                <w:i w:val="0"/>
                <w:iCs w:val="0"/>
                <w:color w:val="auto"/>
                <w:sz w:val="24"/>
                <w:highlight w:val="none"/>
              </w:rPr>
            </w:pPr>
          </w:p>
        </w:tc>
        <w:tc>
          <w:tcPr>
            <w:tcW w:w="1957" w:type="dxa"/>
            <w:noWrap w:val="0"/>
            <w:vAlign w:val="center"/>
          </w:tcPr>
          <w:p w14:paraId="28E7E420">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3F8515C4">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44D81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3B24A59F">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lang w:val="en-US" w:eastAsia="zh-CN"/>
              </w:rPr>
            </w:pPr>
          </w:p>
        </w:tc>
        <w:tc>
          <w:tcPr>
            <w:tcW w:w="2496" w:type="dxa"/>
            <w:shd w:val="clear" w:color="auto" w:fill="auto"/>
            <w:noWrap w:val="0"/>
            <w:vAlign w:val="center"/>
          </w:tcPr>
          <w:p w14:paraId="19308A5C">
            <w:pPr>
              <w:pStyle w:val="51"/>
              <w:rPr>
                <w:rFonts w:hint="eastAsia" w:ascii="宋体" w:hAnsi="宋体" w:eastAsia="宋体" w:cstheme="minorBidi"/>
                <w:i w:val="0"/>
                <w:iCs w:val="0"/>
                <w:color w:val="auto"/>
                <w:kern w:val="2"/>
                <w:sz w:val="24"/>
                <w:szCs w:val="22"/>
                <w:highlight w:val="none"/>
                <w:lang w:val="zh-CN" w:eastAsia="zh-CN" w:bidi="ar-SA"/>
              </w:rPr>
            </w:pPr>
            <w:r>
              <w:rPr>
                <w:rFonts w:hint="default" w:ascii="Arial" w:hAnsi="Arial" w:cs="Arial"/>
                <w:i w:val="0"/>
                <w:iCs w:val="0"/>
                <w:color w:val="auto"/>
                <w:highlight w:val="none"/>
                <w:lang w:val="zh-CN"/>
              </w:rPr>
              <w:t>……</w:t>
            </w:r>
          </w:p>
        </w:tc>
        <w:tc>
          <w:tcPr>
            <w:tcW w:w="3671" w:type="dxa"/>
            <w:noWrap w:val="0"/>
            <w:vAlign w:val="center"/>
          </w:tcPr>
          <w:p w14:paraId="4E3D7F7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s="宋体"/>
                <w:i w:val="0"/>
                <w:iCs w:val="0"/>
                <w:color w:val="auto"/>
                <w:sz w:val="24"/>
                <w:highlight w:val="none"/>
                <w:lang w:eastAsia="zh-CN"/>
              </w:rPr>
            </w:pPr>
          </w:p>
        </w:tc>
        <w:tc>
          <w:tcPr>
            <w:tcW w:w="1957" w:type="dxa"/>
            <w:noWrap w:val="0"/>
            <w:vAlign w:val="center"/>
          </w:tcPr>
          <w:p w14:paraId="4B5E645C">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6E7CC316">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bl>
    <w:p w14:paraId="6132E663">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p>
    <w:p w14:paraId="53F552D4">
      <w:pPr>
        <w:rPr>
          <w:rFonts w:hint="eastAsia" w:cstheme="majorBidi"/>
          <w:b/>
          <w:bCs/>
          <w:i w:val="0"/>
          <w:iCs w:val="0"/>
          <w:color w:val="auto"/>
          <w:kern w:val="2"/>
          <w:sz w:val="32"/>
          <w:szCs w:val="32"/>
          <w:highlight w:val="none"/>
          <w:lang w:val="en-US" w:eastAsia="zh-CN" w:bidi="ar-SA"/>
        </w:rPr>
      </w:pPr>
    </w:p>
    <w:p w14:paraId="63408CB1">
      <w:pPr>
        <w:rPr>
          <w:rFonts w:hint="eastAsia" w:cstheme="majorBidi"/>
          <w:b/>
          <w:bCs/>
          <w:i w:val="0"/>
          <w:iCs w:val="0"/>
          <w:color w:val="auto"/>
          <w:kern w:val="2"/>
          <w:sz w:val="32"/>
          <w:szCs w:val="32"/>
          <w:highlight w:val="none"/>
          <w:lang w:val="en-US" w:eastAsia="zh-CN" w:bidi="ar-SA"/>
        </w:rPr>
      </w:pPr>
    </w:p>
    <w:p w14:paraId="3876C5D2">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12" w:name="_Toc9777"/>
      <w:r>
        <w:rPr>
          <w:rFonts w:hint="eastAsia" w:cstheme="majorBidi"/>
          <w:b/>
          <w:bCs/>
          <w:i w:val="0"/>
          <w:iCs w:val="0"/>
          <w:color w:val="auto"/>
          <w:kern w:val="2"/>
          <w:sz w:val="32"/>
          <w:szCs w:val="32"/>
          <w:highlight w:val="none"/>
          <w:lang w:val="en-US" w:eastAsia="zh-CN" w:bidi="ar-SA"/>
        </w:rPr>
        <w:t>六</w:t>
      </w:r>
      <w:r>
        <w:rPr>
          <w:rFonts w:hint="eastAsia" w:eastAsia="宋体" w:asciiTheme="majorHAnsi" w:hAnsiTheme="majorHAnsi" w:cstheme="majorBidi"/>
          <w:b/>
          <w:bCs/>
          <w:i w:val="0"/>
          <w:iCs w:val="0"/>
          <w:color w:val="auto"/>
          <w:kern w:val="2"/>
          <w:sz w:val="32"/>
          <w:szCs w:val="32"/>
          <w:highlight w:val="none"/>
          <w:lang w:val="en-US" w:eastAsia="zh-CN" w:bidi="ar-SA"/>
        </w:rPr>
        <w:t>、商务响应偏离表</w:t>
      </w:r>
      <w:bookmarkEnd w:id="712"/>
    </w:p>
    <w:p w14:paraId="1CF8D496">
      <w:pPr>
        <w:rPr>
          <w:rFonts w:cs="仿宋_GB2312"/>
          <w:i w:val="0"/>
          <w:iCs w:val="0"/>
          <w:color w:val="auto"/>
          <w:szCs w:val="24"/>
          <w:highlight w:val="none"/>
        </w:rPr>
      </w:pPr>
      <w:r>
        <w:rPr>
          <w:rFonts w:hint="eastAsia" w:cs="仿宋_GB2312"/>
          <w:i w:val="0"/>
          <w:iCs w:val="0"/>
          <w:color w:val="auto"/>
          <w:szCs w:val="24"/>
          <w:highlight w:val="none"/>
        </w:rPr>
        <w:t xml:space="preserve">项目名称：                                         </w:t>
      </w:r>
    </w:p>
    <w:p w14:paraId="011B4AF8">
      <w:pPr>
        <w:rPr>
          <w:rFonts w:cs="仿宋_GB2312"/>
          <w:i w:val="0"/>
          <w:iCs w:val="0"/>
          <w:color w:val="auto"/>
          <w:szCs w:val="24"/>
          <w:highlight w:val="none"/>
        </w:rPr>
      </w:pPr>
      <w:r>
        <w:rPr>
          <w:rFonts w:hint="eastAsia" w:cs="仿宋_GB2312"/>
          <w:i w:val="0"/>
          <w:iCs w:val="0"/>
          <w:color w:val="auto"/>
          <w:szCs w:val="24"/>
          <w:highlight w:val="none"/>
        </w:rPr>
        <w:t>项目编号</w:t>
      </w:r>
      <w:r>
        <w:rPr>
          <w:rFonts w:hint="eastAsia"/>
          <w:b w:val="0"/>
          <w:bCs/>
          <w:i w:val="0"/>
          <w:iCs w:val="0"/>
          <w:color w:val="auto"/>
          <w:szCs w:val="21"/>
          <w:highlight w:val="none"/>
          <w:lang w:val="en-US" w:eastAsia="zh-CN"/>
        </w:rPr>
        <w:t>/</w:t>
      </w:r>
      <w:r>
        <w:rPr>
          <w:rFonts w:hint="eastAsia"/>
          <w:b w:val="0"/>
          <w:bCs/>
          <w:i w:val="0"/>
          <w:iCs w:val="0"/>
          <w:color w:val="auto"/>
          <w:szCs w:val="21"/>
          <w:highlight w:val="none"/>
          <w:lang w:val="zh-CN"/>
        </w:rPr>
        <w:t>包号</w:t>
      </w:r>
      <w:r>
        <w:rPr>
          <w:rFonts w:hint="eastAsia" w:cs="仿宋_GB2312"/>
          <w:i w:val="0"/>
          <w:iCs w:val="0"/>
          <w:color w:val="auto"/>
          <w:szCs w:val="24"/>
          <w:highlight w:val="none"/>
        </w:rPr>
        <w:t xml:space="preserve">：        </w:t>
      </w:r>
    </w:p>
    <w:tbl>
      <w:tblPr>
        <w:tblStyle w:val="32"/>
        <w:tblW w:w="85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2394"/>
        <w:gridCol w:w="1720"/>
        <w:gridCol w:w="1871"/>
        <w:gridCol w:w="1871"/>
      </w:tblGrid>
      <w:tr w14:paraId="7D0C8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721" w:type="dxa"/>
            <w:vAlign w:val="center"/>
          </w:tcPr>
          <w:p w14:paraId="743C0A7E">
            <w:pPr>
              <w:pStyle w:val="51"/>
              <w:jc w:val="center"/>
              <w:rPr>
                <w:i w:val="0"/>
                <w:iCs w:val="0"/>
                <w:color w:val="auto"/>
                <w:highlight w:val="none"/>
              </w:rPr>
            </w:pPr>
            <w:r>
              <w:rPr>
                <w:rFonts w:hint="eastAsia"/>
                <w:i w:val="0"/>
                <w:iCs w:val="0"/>
                <w:color w:val="auto"/>
                <w:highlight w:val="none"/>
              </w:rPr>
              <w:t>序号</w:t>
            </w:r>
          </w:p>
        </w:tc>
        <w:tc>
          <w:tcPr>
            <w:tcW w:w="2394" w:type="dxa"/>
            <w:vAlign w:val="center"/>
          </w:tcPr>
          <w:p w14:paraId="14C66AAC">
            <w:pPr>
              <w:pStyle w:val="51"/>
              <w:jc w:val="center"/>
              <w:rPr>
                <w:i w:val="0"/>
                <w:iCs w:val="0"/>
                <w:color w:val="auto"/>
                <w:highlight w:val="none"/>
              </w:rPr>
            </w:pPr>
            <w:r>
              <w:rPr>
                <w:rFonts w:hint="eastAsia"/>
                <w:i w:val="0"/>
                <w:iCs w:val="0"/>
                <w:color w:val="auto"/>
                <w:highlight w:val="none"/>
                <w:lang w:val="en-US" w:eastAsia="zh-CN"/>
              </w:rPr>
              <w:t>竞争性磋商</w:t>
            </w:r>
            <w:r>
              <w:rPr>
                <w:rFonts w:hint="eastAsia"/>
                <w:i w:val="0"/>
                <w:iCs w:val="0"/>
                <w:color w:val="auto"/>
                <w:highlight w:val="none"/>
              </w:rPr>
              <w:t>文件的商务条款</w:t>
            </w:r>
          </w:p>
        </w:tc>
        <w:tc>
          <w:tcPr>
            <w:tcW w:w="1720" w:type="dxa"/>
            <w:vAlign w:val="center"/>
          </w:tcPr>
          <w:p w14:paraId="40CD5F9F">
            <w:pPr>
              <w:pStyle w:val="51"/>
              <w:jc w:val="center"/>
              <w:rPr>
                <w:i w:val="0"/>
                <w:iCs w:val="0"/>
                <w:color w:val="auto"/>
                <w:highlight w:val="none"/>
              </w:rPr>
            </w:pPr>
            <w:r>
              <w:rPr>
                <w:rFonts w:hint="eastAsia"/>
                <w:i w:val="0"/>
                <w:iCs w:val="0"/>
                <w:color w:val="auto"/>
                <w:highlight w:val="none"/>
                <w:lang w:val="en-US" w:eastAsia="zh-CN"/>
              </w:rPr>
              <w:t>响应</w:t>
            </w:r>
            <w:r>
              <w:rPr>
                <w:rFonts w:hint="eastAsia"/>
                <w:i w:val="0"/>
                <w:iCs w:val="0"/>
                <w:color w:val="auto"/>
                <w:highlight w:val="none"/>
              </w:rPr>
              <w:t>文件的响应内容</w:t>
            </w:r>
          </w:p>
        </w:tc>
        <w:tc>
          <w:tcPr>
            <w:tcW w:w="1871" w:type="dxa"/>
            <w:vAlign w:val="center"/>
          </w:tcPr>
          <w:p w14:paraId="711A1B78">
            <w:pPr>
              <w:pStyle w:val="51"/>
              <w:jc w:val="center"/>
              <w:rPr>
                <w:i w:val="0"/>
                <w:iCs w:val="0"/>
                <w:color w:val="auto"/>
                <w:highlight w:val="none"/>
              </w:rPr>
            </w:pPr>
            <w:r>
              <w:rPr>
                <w:rFonts w:hint="eastAsia"/>
                <w:i w:val="0"/>
                <w:iCs w:val="0"/>
                <w:color w:val="auto"/>
                <w:highlight w:val="none"/>
              </w:rPr>
              <w:t>响应情况</w:t>
            </w:r>
          </w:p>
        </w:tc>
        <w:tc>
          <w:tcPr>
            <w:tcW w:w="1871" w:type="dxa"/>
            <w:vAlign w:val="center"/>
          </w:tcPr>
          <w:p w14:paraId="3497E3FD">
            <w:pPr>
              <w:pStyle w:val="51"/>
              <w:jc w:val="center"/>
              <w:rPr>
                <w:i w:val="0"/>
                <w:iCs w:val="0"/>
                <w:color w:val="auto"/>
                <w:highlight w:val="none"/>
              </w:rPr>
            </w:pPr>
            <w:r>
              <w:rPr>
                <w:rFonts w:hint="eastAsia"/>
                <w:i w:val="0"/>
                <w:iCs w:val="0"/>
                <w:color w:val="auto"/>
                <w:highlight w:val="none"/>
              </w:rPr>
              <w:t>说明及索引</w:t>
            </w:r>
          </w:p>
        </w:tc>
      </w:tr>
      <w:tr w14:paraId="7D2EE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59E1EC45">
            <w:pPr>
              <w:pStyle w:val="51"/>
              <w:jc w:val="center"/>
              <w:rPr>
                <w:i w:val="0"/>
                <w:iCs w:val="0"/>
                <w:color w:val="auto"/>
                <w:highlight w:val="none"/>
              </w:rPr>
            </w:pPr>
            <w:r>
              <w:rPr>
                <w:rFonts w:hint="eastAsia"/>
                <w:i w:val="0"/>
                <w:iCs w:val="0"/>
                <w:color w:val="auto"/>
                <w:highlight w:val="none"/>
              </w:rPr>
              <w:t>1</w:t>
            </w:r>
          </w:p>
        </w:tc>
        <w:tc>
          <w:tcPr>
            <w:tcW w:w="2394" w:type="dxa"/>
            <w:vAlign w:val="center"/>
          </w:tcPr>
          <w:p w14:paraId="1F858B46">
            <w:pPr>
              <w:pStyle w:val="51"/>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720" w:type="dxa"/>
            <w:vAlign w:val="center"/>
          </w:tcPr>
          <w:p w14:paraId="25C66783">
            <w:pPr>
              <w:pStyle w:val="51"/>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871" w:type="dxa"/>
            <w:vAlign w:val="center"/>
          </w:tcPr>
          <w:p w14:paraId="6A61893C">
            <w:pPr>
              <w:pStyle w:val="51"/>
              <w:jc w:val="center"/>
              <w:rPr>
                <w:i w:val="0"/>
                <w:iCs w:val="0"/>
                <w:color w:val="auto"/>
                <w:highlight w:val="none"/>
              </w:rPr>
            </w:pPr>
            <w:r>
              <w:rPr>
                <w:rFonts w:hint="eastAsia"/>
                <w:i w:val="0"/>
                <w:iCs w:val="0"/>
                <w:color w:val="auto"/>
                <w:highlight w:val="none"/>
              </w:rPr>
              <w:t>响应</w:t>
            </w:r>
            <w:r>
              <w:rPr>
                <w:i w:val="0"/>
                <w:iCs w:val="0"/>
                <w:color w:val="auto"/>
                <w:highlight w:val="none"/>
              </w:rPr>
              <w:t>/偏离</w:t>
            </w:r>
          </w:p>
        </w:tc>
        <w:tc>
          <w:tcPr>
            <w:tcW w:w="1871" w:type="dxa"/>
            <w:vAlign w:val="center"/>
          </w:tcPr>
          <w:p w14:paraId="4F531675">
            <w:pPr>
              <w:pStyle w:val="51"/>
              <w:jc w:val="center"/>
              <w:rPr>
                <w:i w:val="0"/>
                <w:iCs w:val="0"/>
                <w:color w:val="auto"/>
                <w:highlight w:val="none"/>
              </w:rPr>
            </w:pPr>
          </w:p>
        </w:tc>
      </w:tr>
      <w:tr w14:paraId="78536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74CD9672">
            <w:pPr>
              <w:pStyle w:val="51"/>
              <w:jc w:val="center"/>
              <w:rPr>
                <w:i w:val="0"/>
                <w:iCs w:val="0"/>
                <w:color w:val="auto"/>
                <w:highlight w:val="none"/>
              </w:rPr>
            </w:pPr>
            <w:r>
              <w:rPr>
                <w:rFonts w:hint="eastAsia"/>
                <w:i w:val="0"/>
                <w:iCs w:val="0"/>
                <w:color w:val="auto"/>
                <w:highlight w:val="none"/>
              </w:rPr>
              <w:t>2</w:t>
            </w:r>
          </w:p>
        </w:tc>
        <w:tc>
          <w:tcPr>
            <w:tcW w:w="2394" w:type="dxa"/>
            <w:vAlign w:val="center"/>
          </w:tcPr>
          <w:p w14:paraId="25C0A92B">
            <w:pPr>
              <w:pStyle w:val="51"/>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720" w:type="dxa"/>
            <w:vAlign w:val="center"/>
          </w:tcPr>
          <w:p w14:paraId="61DEB9E1">
            <w:pPr>
              <w:pStyle w:val="51"/>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871" w:type="dxa"/>
            <w:vAlign w:val="center"/>
          </w:tcPr>
          <w:p w14:paraId="1F220920">
            <w:pPr>
              <w:pStyle w:val="51"/>
              <w:jc w:val="center"/>
              <w:rPr>
                <w:i w:val="0"/>
                <w:iCs w:val="0"/>
                <w:color w:val="auto"/>
                <w:highlight w:val="none"/>
              </w:rPr>
            </w:pPr>
          </w:p>
        </w:tc>
        <w:tc>
          <w:tcPr>
            <w:tcW w:w="1871" w:type="dxa"/>
            <w:vAlign w:val="center"/>
          </w:tcPr>
          <w:p w14:paraId="2221527C">
            <w:pPr>
              <w:pStyle w:val="51"/>
              <w:jc w:val="center"/>
              <w:rPr>
                <w:i w:val="0"/>
                <w:iCs w:val="0"/>
                <w:color w:val="auto"/>
                <w:highlight w:val="none"/>
              </w:rPr>
            </w:pPr>
          </w:p>
        </w:tc>
      </w:tr>
      <w:tr w14:paraId="3B251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08BA4632">
            <w:pPr>
              <w:pStyle w:val="51"/>
              <w:jc w:val="center"/>
              <w:rPr>
                <w:i w:val="0"/>
                <w:iCs w:val="0"/>
                <w:color w:val="auto"/>
                <w:highlight w:val="none"/>
              </w:rPr>
            </w:pPr>
            <w:r>
              <w:rPr>
                <w:rFonts w:hint="eastAsia"/>
                <w:i w:val="0"/>
                <w:iCs w:val="0"/>
                <w:color w:val="auto"/>
                <w:highlight w:val="none"/>
              </w:rPr>
              <w:t>3</w:t>
            </w:r>
          </w:p>
        </w:tc>
        <w:tc>
          <w:tcPr>
            <w:tcW w:w="2394" w:type="dxa"/>
            <w:vAlign w:val="center"/>
          </w:tcPr>
          <w:p w14:paraId="071C89E9">
            <w:pPr>
              <w:pStyle w:val="51"/>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720" w:type="dxa"/>
            <w:vAlign w:val="center"/>
          </w:tcPr>
          <w:p w14:paraId="55D7DA46">
            <w:pPr>
              <w:pStyle w:val="51"/>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871" w:type="dxa"/>
            <w:vAlign w:val="center"/>
          </w:tcPr>
          <w:p w14:paraId="636AF64D">
            <w:pPr>
              <w:pStyle w:val="51"/>
              <w:jc w:val="center"/>
              <w:rPr>
                <w:i w:val="0"/>
                <w:iCs w:val="0"/>
                <w:color w:val="auto"/>
                <w:highlight w:val="none"/>
              </w:rPr>
            </w:pPr>
          </w:p>
        </w:tc>
        <w:tc>
          <w:tcPr>
            <w:tcW w:w="1871" w:type="dxa"/>
            <w:vAlign w:val="center"/>
          </w:tcPr>
          <w:p w14:paraId="2D6B2489">
            <w:pPr>
              <w:pStyle w:val="51"/>
              <w:jc w:val="center"/>
              <w:rPr>
                <w:i w:val="0"/>
                <w:iCs w:val="0"/>
                <w:color w:val="auto"/>
                <w:highlight w:val="none"/>
              </w:rPr>
            </w:pPr>
          </w:p>
        </w:tc>
      </w:tr>
      <w:tr w14:paraId="210A4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107460C6">
            <w:pPr>
              <w:pStyle w:val="51"/>
              <w:jc w:val="center"/>
              <w:rPr>
                <w:i w:val="0"/>
                <w:iCs w:val="0"/>
                <w:color w:val="auto"/>
                <w:highlight w:val="none"/>
              </w:rPr>
            </w:pPr>
          </w:p>
        </w:tc>
        <w:tc>
          <w:tcPr>
            <w:tcW w:w="2394" w:type="dxa"/>
            <w:vAlign w:val="center"/>
          </w:tcPr>
          <w:p w14:paraId="2EDDB471">
            <w:pPr>
              <w:pStyle w:val="51"/>
              <w:jc w:val="center"/>
              <w:rPr>
                <w:i w:val="0"/>
                <w:iCs w:val="0"/>
                <w:color w:val="auto"/>
                <w:highlight w:val="none"/>
              </w:rPr>
            </w:pPr>
          </w:p>
        </w:tc>
        <w:tc>
          <w:tcPr>
            <w:tcW w:w="1720" w:type="dxa"/>
            <w:vAlign w:val="center"/>
          </w:tcPr>
          <w:p w14:paraId="5B583694">
            <w:pPr>
              <w:pStyle w:val="51"/>
              <w:jc w:val="center"/>
              <w:rPr>
                <w:i w:val="0"/>
                <w:iCs w:val="0"/>
                <w:color w:val="auto"/>
                <w:highlight w:val="none"/>
              </w:rPr>
            </w:pPr>
          </w:p>
        </w:tc>
        <w:tc>
          <w:tcPr>
            <w:tcW w:w="1871" w:type="dxa"/>
            <w:vAlign w:val="center"/>
          </w:tcPr>
          <w:p w14:paraId="5638F257">
            <w:pPr>
              <w:pStyle w:val="51"/>
              <w:jc w:val="center"/>
              <w:rPr>
                <w:i w:val="0"/>
                <w:iCs w:val="0"/>
                <w:color w:val="auto"/>
                <w:highlight w:val="none"/>
              </w:rPr>
            </w:pPr>
          </w:p>
        </w:tc>
        <w:tc>
          <w:tcPr>
            <w:tcW w:w="1871" w:type="dxa"/>
            <w:vAlign w:val="center"/>
          </w:tcPr>
          <w:p w14:paraId="524E6E79">
            <w:pPr>
              <w:pStyle w:val="51"/>
              <w:jc w:val="center"/>
              <w:rPr>
                <w:i w:val="0"/>
                <w:iCs w:val="0"/>
                <w:color w:val="auto"/>
                <w:highlight w:val="none"/>
              </w:rPr>
            </w:pPr>
          </w:p>
        </w:tc>
      </w:tr>
      <w:tr w14:paraId="78689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385D285F">
            <w:pPr>
              <w:pStyle w:val="51"/>
              <w:jc w:val="center"/>
              <w:rPr>
                <w:i w:val="0"/>
                <w:iCs w:val="0"/>
                <w:color w:val="auto"/>
                <w:highlight w:val="none"/>
              </w:rPr>
            </w:pPr>
          </w:p>
        </w:tc>
        <w:tc>
          <w:tcPr>
            <w:tcW w:w="2394" w:type="dxa"/>
            <w:vAlign w:val="center"/>
          </w:tcPr>
          <w:p w14:paraId="541A0609">
            <w:pPr>
              <w:pStyle w:val="51"/>
              <w:jc w:val="center"/>
              <w:rPr>
                <w:i w:val="0"/>
                <w:iCs w:val="0"/>
                <w:color w:val="auto"/>
                <w:highlight w:val="none"/>
              </w:rPr>
            </w:pPr>
          </w:p>
        </w:tc>
        <w:tc>
          <w:tcPr>
            <w:tcW w:w="1720" w:type="dxa"/>
            <w:vAlign w:val="center"/>
          </w:tcPr>
          <w:p w14:paraId="1F853D18">
            <w:pPr>
              <w:pStyle w:val="51"/>
              <w:jc w:val="center"/>
              <w:rPr>
                <w:i w:val="0"/>
                <w:iCs w:val="0"/>
                <w:color w:val="auto"/>
                <w:highlight w:val="none"/>
              </w:rPr>
            </w:pPr>
          </w:p>
        </w:tc>
        <w:tc>
          <w:tcPr>
            <w:tcW w:w="1871" w:type="dxa"/>
            <w:vAlign w:val="center"/>
          </w:tcPr>
          <w:p w14:paraId="45CC80C3">
            <w:pPr>
              <w:pStyle w:val="51"/>
              <w:jc w:val="center"/>
              <w:rPr>
                <w:i w:val="0"/>
                <w:iCs w:val="0"/>
                <w:color w:val="auto"/>
                <w:highlight w:val="none"/>
              </w:rPr>
            </w:pPr>
          </w:p>
        </w:tc>
        <w:tc>
          <w:tcPr>
            <w:tcW w:w="1871" w:type="dxa"/>
            <w:vAlign w:val="center"/>
          </w:tcPr>
          <w:p w14:paraId="5CE753F2">
            <w:pPr>
              <w:pStyle w:val="51"/>
              <w:jc w:val="center"/>
              <w:rPr>
                <w:i w:val="0"/>
                <w:iCs w:val="0"/>
                <w:color w:val="auto"/>
                <w:highlight w:val="none"/>
              </w:rPr>
            </w:pPr>
          </w:p>
        </w:tc>
      </w:tr>
      <w:tr w14:paraId="534FF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2F26ACC7">
            <w:pPr>
              <w:pStyle w:val="51"/>
              <w:jc w:val="center"/>
              <w:rPr>
                <w:i w:val="0"/>
                <w:iCs w:val="0"/>
                <w:color w:val="auto"/>
                <w:highlight w:val="none"/>
              </w:rPr>
            </w:pPr>
          </w:p>
        </w:tc>
        <w:tc>
          <w:tcPr>
            <w:tcW w:w="2394" w:type="dxa"/>
            <w:vAlign w:val="center"/>
          </w:tcPr>
          <w:p w14:paraId="73705044">
            <w:pPr>
              <w:pStyle w:val="51"/>
              <w:jc w:val="center"/>
              <w:rPr>
                <w:i w:val="0"/>
                <w:iCs w:val="0"/>
                <w:color w:val="auto"/>
                <w:highlight w:val="none"/>
              </w:rPr>
            </w:pPr>
          </w:p>
        </w:tc>
        <w:tc>
          <w:tcPr>
            <w:tcW w:w="1720" w:type="dxa"/>
            <w:vAlign w:val="center"/>
          </w:tcPr>
          <w:p w14:paraId="33796807">
            <w:pPr>
              <w:pStyle w:val="51"/>
              <w:jc w:val="center"/>
              <w:rPr>
                <w:i w:val="0"/>
                <w:iCs w:val="0"/>
                <w:color w:val="auto"/>
                <w:highlight w:val="none"/>
              </w:rPr>
            </w:pPr>
          </w:p>
        </w:tc>
        <w:tc>
          <w:tcPr>
            <w:tcW w:w="1871" w:type="dxa"/>
            <w:vAlign w:val="center"/>
          </w:tcPr>
          <w:p w14:paraId="432C1872">
            <w:pPr>
              <w:pStyle w:val="51"/>
              <w:jc w:val="center"/>
              <w:rPr>
                <w:i w:val="0"/>
                <w:iCs w:val="0"/>
                <w:color w:val="auto"/>
                <w:highlight w:val="none"/>
              </w:rPr>
            </w:pPr>
          </w:p>
        </w:tc>
        <w:tc>
          <w:tcPr>
            <w:tcW w:w="1871" w:type="dxa"/>
            <w:vAlign w:val="center"/>
          </w:tcPr>
          <w:p w14:paraId="14A20B66">
            <w:pPr>
              <w:pStyle w:val="51"/>
              <w:jc w:val="center"/>
              <w:rPr>
                <w:i w:val="0"/>
                <w:iCs w:val="0"/>
                <w:color w:val="auto"/>
                <w:highlight w:val="none"/>
              </w:rPr>
            </w:pPr>
          </w:p>
        </w:tc>
      </w:tr>
      <w:tr w14:paraId="52C51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75A481A3">
            <w:pPr>
              <w:pStyle w:val="51"/>
              <w:jc w:val="center"/>
              <w:rPr>
                <w:i w:val="0"/>
                <w:iCs w:val="0"/>
                <w:color w:val="auto"/>
                <w:highlight w:val="none"/>
              </w:rPr>
            </w:pPr>
          </w:p>
        </w:tc>
        <w:tc>
          <w:tcPr>
            <w:tcW w:w="2394" w:type="dxa"/>
            <w:vAlign w:val="center"/>
          </w:tcPr>
          <w:p w14:paraId="6294986C">
            <w:pPr>
              <w:pStyle w:val="51"/>
              <w:jc w:val="center"/>
              <w:rPr>
                <w:i w:val="0"/>
                <w:iCs w:val="0"/>
                <w:color w:val="auto"/>
                <w:highlight w:val="none"/>
              </w:rPr>
            </w:pPr>
          </w:p>
        </w:tc>
        <w:tc>
          <w:tcPr>
            <w:tcW w:w="1720" w:type="dxa"/>
            <w:vAlign w:val="center"/>
          </w:tcPr>
          <w:p w14:paraId="2ACA7865">
            <w:pPr>
              <w:pStyle w:val="51"/>
              <w:jc w:val="center"/>
              <w:rPr>
                <w:i w:val="0"/>
                <w:iCs w:val="0"/>
                <w:color w:val="auto"/>
                <w:highlight w:val="none"/>
              </w:rPr>
            </w:pPr>
          </w:p>
        </w:tc>
        <w:tc>
          <w:tcPr>
            <w:tcW w:w="1871" w:type="dxa"/>
            <w:vAlign w:val="center"/>
          </w:tcPr>
          <w:p w14:paraId="2AFA0934">
            <w:pPr>
              <w:pStyle w:val="51"/>
              <w:jc w:val="center"/>
              <w:rPr>
                <w:i w:val="0"/>
                <w:iCs w:val="0"/>
                <w:color w:val="auto"/>
                <w:highlight w:val="none"/>
              </w:rPr>
            </w:pPr>
          </w:p>
        </w:tc>
        <w:tc>
          <w:tcPr>
            <w:tcW w:w="1871" w:type="dxa"/>
            <w:vAlign w:val="center"/>
          </w:tcPr>
          <w:p w14:paraId="0DD17C75">
            <w:pPr>
              <w:pStyle w:val="51"/>
              <w:jc w:val="center"/>
              <w:rPr>
                <w:i w:val="0"/>
                <w:iCs w:val="0"/>
                <w:color w:val="auto"/>
                <w:highlight w:val="none"/>
              </w:rPr>
            </w:pPr>
          </w:p>
        </w:tc>
      </w:tr>
      <w:tr w14:paraId="11449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314018E2">
            <w:pPr>
              <w:pStyle w:val="51"/>
              <w:jc w:val="center"/>
              <w:rPr>
                <w:i w:val="0"/>
                <w:iCs w:val="0"/>
                <w:color w:val="auto"/>
                <w:highlight w:val="none"/>
              </w:rPr>
            </w:pPr>
          </w:p>
        </w:tc>
        <w:tc>
          <w:tcPr>
            <w:tcW w:w="2394" w:type="dxa"/>
            <w:vAlign w:val="center"/>
          </w:tcPr>
          <w:p w14:paraId="2E8B696F">
            <w:pPr>
              <w:pStyle w:val="51"/>
              <w:jc w:val="center"/>
              <w:rPr>
                <w:i w:val="0"/>
                <w:iCs w:val="0"/>
                <w:color w:val="auto"/>
                <w:highlight w:val="none"/>
              </w:rPr>
            </w:pPr>
          </w:p>
        </w:tc>
        <w:tc>
          <w:tcPr>
            <w:tcW w:w="1720" w:type="dxa"/>
            <w:vAlign w:val="center"/>
          </w:tcPr>
          <w:p w14:paraId="7063364F">
            <w:pPr>
              <w:pStyle w:val="51"/>
              <w:jc w:val="center"/>
              <w:rPr>
                <w:i w:val="0"/>
                <w:iCs w:val="0"/>
                <w:color w:val="auto"/>
                <w:highlight w:val="none"/>
              </w:rPr>
            </w:pPr>
          </w:p>
        </w:tc>
        <w:tc>
          <w:tcPr>
            <w:tcW w:w="1871" w:type="dxa"/>
            <w:vAlign w:val="center"/>
          </w:tcPr>
          <w:p w14:paraId="37BCA2D5">
            <w:pPr>
              <w:pStyle w:val="51"/>
              <w:jc w:val="center"/>
              <w:rPr>
                <w:i w:val="0"/>
                <w:iCs w:val="0"/>
                <w:color w:val="auto"/>
                <w:highlight w:val="none"/>
              </w:rPr>
            </w:pPr>
          </w:p>
        </w:tc>
        <w:tc>
          <w:tcPr>
            <w:tcW w:w="1871" w:type="dxa"/>
            <w:vAlign w:val="center"/>
          </w:tcPr>
          <w:p w14:paraId="73F0557C">
            <w:pPr>
              <w:pStyle w:val="51"/>
              <w:jc w:val="center"/>
              <w:rPr>
                <w:i w:val="0"/>
                <w:iCs w:val="0"/>
                <w:color w:val="auto"/>
                <w:highlight w:val="none"/>
              </w:rPr>
            </w:pPr>
          </w:p>
        </w:tc>
      </w:tr>
      <w:tr w14:paraId="0D323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18DC15BE">
            <w:pPr>
              <w:pStyle w:val="51"/>
              <w:jc w:val="center"/>
              <w:rPr>
                <w:i w:val="0"/>
                <w:iCs w:val="0"/>
                <w:color w:val="auto"/>
                <w:highlight w:val="none"/>
              </w:rPr>
            </w:pPr>
          </w:p>
        </w:tc>
        <w:tc>
          <w:tcPr>
            <w:tcW w:w="2394" w:type="dxa"/>
            <w:vAlign w:val="center"/>
          </w:tcPr>
          <w:p w14:paraId="6EE46AA5">
            <w:pPr>
              <w:pStyle w:val="51"/>
              <w:jc w:val="center"/>
              <w:rPr>
                <w:i w:val="0"/>
                <w:iCs w:val="0"/>
                <w:color w:val="auto"/>
                <w:highlight w:val="none"/>
              </w:rPr>
            </w:pPr>
          </w:p>
        </w:tc>
        <w:tc>
          <w:tcPr>
            <w:tcW w:w="1720" w:type="dxa"/>
            <w:vAlign w:val="center"/>
          </w:tcPr>
          <w:p w14:paraId="1A0155E0">
            <w:pPr>
              <w:pStyle w:val="51"/>
              <w:jc w:val="center"/>
              <w:rPr>
                <w:i w:val="0"/>
                <w:iCs w:val="0"/>
                <w:color w:val="auto"/>
                <w:highlight w:val="none"/>
              </w:rPr>
            </w:pPr>
          </w:p>
        </w:tc>
        <w:tc>
          <w:tcPr>
            <w:tcW w:w="1871" w:type="dxa"/>
            <w:vAlign w:val="center"/>
          </w:tcPr>
          <w:p w14:paraId="3A40976A">
            <w:pPr>
              <w:pStyle w:val="51"/>
              <w:jc w:val="center"/>
              <w:rPr>
                <w:i w:val="0"/>
                <w:iCs w:val="0"/>
                <w:color w:val="auto"/>
                <w:highlight w:val="none"/>
              </w:rPr>
            </w:pPr>
          </w:p>
        </w:tc>
        <w:tc>
          <w:tcPr>
            <w:tcW w:w="1871" w:type="dxa"/>
            <w:vAlign w:val="center"/>
          </w:tcPr>
          <w:p w14:paraId="41B1F525">
            <w:pPr>
              <w:pStyle w:val="51"/>
              <w:jc w:val="center"/>
              <w:rPr>
                <w:i w:val="0"/>
                <w:iCs w:val="0"/>
                <w:color w:val="auto"/>
                <w:highlight w:val="none"/>
              </w:rPr>
            </w:pPr>
          </w:p>
        </w:tc>
      </w:tr>
      <w:tr w14:paraId="12B92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51FA4616">
            <w:pPr>
              <w:pStyle w:val="51"/>
              <w:jc w:val="center"/>
              <w:rPr>
                <w:i w:val="0"/>
                <w:iCs w:val="0"/>
                <w:color w:val="auto"/>
                <w:highlight w:val="none"/>
              </w:rPr>
            </w:pPr>
          </w:p>
        </w:tc>
        <w:tc>
          <w:tcPr>
            <w:tcW w:w="2394" w:type="dxa"/>
            <w:vAlign w:val="center"/>
          </w:tcPr>
          <w:p w14:paraId="27912C1A">
            <w:pPr>
              <w:pStyle w:val="51"/>
              <w:jc w:val="center"/>
              <w:rPr>
                <w:i w:val="0"/>
                <w:iCs w:val="0"/>
                <w:color w:val="auto"/>
                <w:highlight w:val="none"/>
              </w:rPr>
            </w:pPr>
          </w:p>
        </w:tc>
        <w:tc>
          <w:tcPr>
            <w:tcW w:w="1720" w:type="dxa"/>
            <w:vAlign w:val="center"/>
          </w:tcPr>
          <w:p w14:paraId="3B33654B">
            <w:pPr>
              <w:pStyle w:val="51"/>
              <w:jc w:val="center"/>
              <w:rPr>
                <w:i w:val="0"/>
                <w:iCs w:val="0"/>
                <w:color w:val="auto"/>
                <w:highlight w:val="none"/>
              </w:rPr>
            </w:pPr>
          </w:p>
        </w:tc>
        <w:tc>
          <w:tcPr>
            <w:tcW w:w="1871" w:type="dxa"/>
            <w:vAlign w:val="center"/>
          </w:tcPr>
          <w:p w14:paraId="2A0D903A">
            <w:pPr>
              <w:pStyle w:val="51"/>
              <w:jc w:val="center"/>
              <w:rPr>
                <w:i w:val="0"/>
                <w:iCs w:val="0"/>
                <w:color w:val="auto"/>
                <w:highlight w:val="none"/>
              </w:rPr>
            </w:pPr>
          </w:p>
        </w:tc>
        <w:tc>
          <w:tcPr>
            <w:tcW w:w="1871" w:type="dxa"/>
            <w:vAlign w:val="center"/>
          </w:tcPr>
          <w:p w14:paraId="7648EB12">
            <w:pPr>
              <w:pStyle w:val="51"/>
              <w:jc w:val="center"/>
              <w:rPr>
                <w:i w:val="0"/>
                <w:iCs w:val="0"/>
                <w:color w:val="auto"/>
                <w:highlight w:val="none"/>
              </w:rPr>
            </w:pPr>
          </w:p>
        </w:tc>
      </w:tr>
      <w:tr w14:paraId="32C7F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7A973E68">
            <w:pPr>
              <w:pStyle w:val="51"/>
              <w:jc w:val="center"/>
              <w:rPr>
                <w:i w:val="0"/>
                <w:iCs w:val="0"/>
                <w:color w:val="auto"/>
                <w:highlight w:val="none"/>
              </w:rPr>
            </w:pPr>
          </w:p>
        </w:tc>
        <w:tc>
          <w:tcPr>
            <w:tcW w:w="2394" w:type="dxa"/>
            <w:vAlign w:val="center"/>
          </w:tcPr>
          <w:p w14:paraId="609A2E00">
            <w:pPr>
              <w:pStyle w:val="51"/>
              <w:jc w:val="center"/>
              <w:rPr>
                <w:i w:val="0"/>
                <w:iCs w:val="0"/>
                <w:color w:val="auto"/>
                <w:highlight w:val="none"/>
              </w:rPr>
            </w:pPr>
          </w:p>
        </w:tc>
        <w:tc>
          <w:tcPr>
            <w:tcW w:w="1720" w:type="dxa"/>
            <w:vAlign w:val="center"/>
          </w:tcPr>
          <w:p w14:paraId="08C1E722">
            <w:pPr>
              <w:pStyle w:val="51"/>
              <w:jc w:val="center"/>
              <w:rPr>
                <w:i w:val="0"/>
                <w:iCs w:val="0"/>
                <w:color w:val="auto"/>
                <w:highlight w:val="none"/>
              </w:rPr>
            </w:pPr>
          </w:p>
        </w:tc>
        <w:tc>
          <w:tcPr>
            <w:tcW w:w="1871" w:type="dxa"/>
            <w:vAlign w:val="center"/>
          </w:tcPr>
          <w:p w14:paraId="5592BE9E">
            <w:pPr>
              <w:pStyle w:val="51"/>
              <w:jc w:val="center"/>
              <w:rPr>
                <w:i w:val="0"/>
                <w:iCs w:val="0"/>
                <w:color w:val="auto"/>
                <w:highlight w:val="none"/>
              </w:rPr>
            </w:pPr>
          </w:p>
        </w:tc>
        <w:tc>
          <w:tcPr>
            <w:tcW w:w="1871" w:type="dxa"/>
            <w:vAlign w:val="center"/>
          </w:tcPr>
          <w:p w14:paraId="7F282243">
            <w:pPr>
              <w:pStyle w:val="51"/>
              <w:jc w:val="center"/>
              <w:rPr>
                <w:i w:val="0"/>
                <w:iCs w:val="0"/>
                <w:color w:val="auto"/>
                <w:highlight w:val="none"/>
              </w:rPr>
            </w:pPr>
          </w:p>
        </w:tc>
      </w:tr>
      <w:tr w14:paraId="7BBA8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1398F0BA">
            <w:pPr>
              <w:pStyle w:val="51"/>
              <w:jc w:val="center"/>
              <w:rPr>
                <w:i w:val="0"/>
                <w:iCs w:val="0"/>
                <w:color w:val="auto"/>
                <w:highlight w:val="none"/>
              </w:rPr>
            </w:pPr>
          </w:p>
        </w:tc>
        <w:tc>
          <w:tcPr>
            <w:tcW w:w="2394" w:type="dxa"/>
            <w:vAlign w:val="center"/>
          </w:tcPr>
          <w:p w14:paraId="2CC0D975">
            <w:pPr>
              <w:pStyle w:val="51"/>
              <w:jc w:val="center"/>
              <w:rPr>
                <w:i w:val="0"/>
                <w:iCs w:val="0"/>
                <w:color w:val="auto"/>
                <w:highlight w:val="none"/>
              </w:rPr>
            </w:pPr>
          </w:p>
        </w:tc>
        <w:tc>
          <w:tcPr>
            <w:tcW w:w="1720" w:type="dxa"/>
            <w:vAlign w:val="center"/>
          </w:tcPr>
          <w:p w14:paraId="39F76E22">
            <w:pPr>
              <w:pStyle w:val="51"/>
              <w:jc w:val="center"/>
              <w:rPr>
                <w:i w:val="0"/>
                <w:iCs w:val="0"/>
                <w:color w:val="auto"/>
                <w:highlight w:val="none"/>
              </w:rPr>
            </w:pPr>
          </w:p>
        </w:tc>
        <w:tc>
          <w:tcPr>
            <w:tcW w:w="1871" w:type="dxa"/>
            <w:vAlign w:val="center"/>
          </w:tcPr>
          <w:p w14:paraId="1EFD9976">
            <w:pPr>
              <w:pStyle w:val="51"/>
              <w:jc w:val="center"/>
              <w:rPr>
                <w:i w:val="0"/>
                <w:iCs w:val="0"/>
                <w:color w:val="auto"/>
                <w:highlight w:val="none"/>
              </w:rPr>
            </w:pPr>
          </w:p>
        </w:tc>
        <w:tc>
          <w:tcPr>
            <w:tcW w:w="1871" w:type="dxa"/>
            <w:vAlign w:val="center"/>
          </w:tcPr>
          <w:p w14:paraId="0D41B6EE">
            <w:pPr>
              <w:pStyle w:val="51"/>
              <w:jc w:val="center"/>
              <w:rPr>
                <w:i w:val="0"/>
                <w:iCs w:val="0"/>
                <w:color w:val="auto"/>
                <w:highlight w:val="none"/>
              </w:rPr>
            </w:pPr>
          </w:p>
        </w:tc>
      </w:tr>
      <w:tr w14:paraId="7F2EF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40219C2F">
            <w:pPr>
              <w:pStyle w:val="51"/>
              <w:jc w:val="center"/>
              <w:rPr>
                <w:i w:val="0"/>
                <w:iCs w:val="0"/>
                <w:color w:val="auto"/>
                <w:highlight w:val="none"/>
              </w:rPr>
            </w:pPr>
          </w:p>
        </w:tc>
        <w:tc>
          <w:tcPr>
            <w:tcW w:w="2394" w:type="dxa"/>
            <w:vAlign w:val="center"/>
          </w:tcPr>
          <w:p w14:paraId="2855EEA2">
            <w:pPr>
              <w:pStyle w:val="51"/>
              <w:jc w:val="center"/>
              <w:rPr>
                <w:i w:val="0"/>
                <w:iCs w:val="0"/>
                <w:color w:val="auto"/>
                <w:highlight w:val="none"/>
              </w:rPr>
            </w:pPr>
          </w:p>
        </w:tc>
        <w:tc>
          <w:tcPr>
            <w:tcW w:w="1720" w:type="dxa"/>
            <w:vAlign w:val="center"/>
          </w:tcPr>
          <w:p w14:paraId="333C7B6B">
            <w:pPr>
              <w:pStyle w:val="51"/>
              <w:jc w:val="center"/>
              <w:rPr>
                <w:i w:val="0"/>
                <w:iCs w:val="0"/>
                <w:color w:val="auto"/>
                <w:highlight w:val="none"/>
              </w:rPr>
            </w:pPr>
          </w:p>
        </w:tc>
        <w:tc>
          <w:tcPr>
            <w:tcW w:w="1871" w:type="dxa"/>
            <w:vAlign w:val="center"/>
          </w:tcPr>
          <w:p w14:paraId="76C561EE">
            <w:pPr>
              <w:pStyle w:val="51"/>
              <w:jc w:val="center"/>
              <w:rPr>
                <w:i w:val="0"/>
                <w:iCs w:val="0"/>
                <w:color w:val="auto"/>
                <w:highlight w:val="none"/>
              </w:rPr>
            </w:pPr>
          </w:p>
        </w:tc>
        <w:tc>
          <w:tcPr>
            <w:tcW w:w="1871" w:type="dxa"/>
            <w:vAlign w:val="center"/>
          </w:tcPr>
          <w:p w14:paraId="3E0C8EEC">
            <w:pPr>
              <w:pStyle w:val="51"/>
              <w:jc w:val="center"/>
              <w:rPr>
                <w:i w:val="0"/>
                <w:iCs w:val="0"/>
                <w:color w:val="auto"/>
                <w:highlight w:val="none"/>
              </w:rPr>
            </w:pPr>
          </w:p>
        </w:tc>
      </w:tr>
      <w:tr w14:paraId="54267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1" w:type="dxa"/>
            <w:vAlign w:val="center"/>
          </w:tcPr>
          <w:p w14:paraId="2EDE10B4">
            <w:pPr>
              <w:pStyle w:val="51"/>
              <w:jc w:val="center"/>
              <w:rPr>
                <w:i w:val="0"/>
                <w:iCs w:val="0"/>
                <w:color w:val="auto"/>
                <w:highlight w:val="none"/>
              </w:rPr>
            </w:pPr>
            <w:r>
              <w:rPr>
                <w:rFonts w:hint="eastAsia"/>
                <w:i w:val="0"/>
                <w:iCs w:val="0"/>
                <w:color w:val="auto"/>
                <w:highlight w:val="none"/>
              </w:rPr>
              <w:t>……</w:t>
            </w:r>
          </w:p>
        </w:tc>
        <w:tc>
          <w:tcPr>
            <w:tcW w:w="2394" w:type="dxa"/>
            <w:vAlign w:val="center"/>
          </w:tcPr>
          <w:p w14:paraId="3C05F2DD">
            <w:pPr>
              <w:pStyle w:val="51"/>
              <w:jc w:val="center"/>
              <w:rPr>
                <w:i w:val="0"/>
                <w:iCs w:val="0"/>
                <w:color w:val="auto"/>
                <w:highlight w:val="none"/>
              </w:rPr>
            </w:pPr>
            <w:r>
              <w:rPr>
                <w:rFonts w:hint="eastAsia"/>
                <w:i w:val="0"/>
                <w:iCs w:val="0"/>
                <w:color w:val="auto"/>
                <w:highlight w:val="none"/>
              </w:rPr>
              <w:t>…………</w:t>
            </w:r>
          </w:p>
        </w:tc>
        <w:tc>
          <w:tcPr>
            <w:tcW w:w="1720" w:type="dxa"/>
            <w:vAlign w:val="center"/>
          </w:tcPr>
          <w:p w14:paraId="0A418180">
            <w:pPr>
              <w:pStyle w:val="51"/>
              <w:jc w:val="center"/>
              <w:rPr>
                <w:i w:val="0"/>
                <w:iCs w:val="0"/>
                <w:color w:val="auto"/>
                <w:highlight w:val="none"/>
              </w:rPr>
            </w:pPr>
            <w:r>
              <w:rPr>
                <w:rFonts w:hint="eastAsia"/>
                <w:i w:val="0"/>
                <w:iCs w:val="0"/>
                <w:color w:val="auto"/>
                <w:highlight w:val="none"/>
              </w:rPr>
              <w:t>…………</w:t>
            </w:r>
          </w:p>
        </w:tc>
        <w:tc>
          <w:tcPr>
            <w:tcW w:w="1871" w:type="dxa"/>
            <w:vAlign w:val="center"/>
          </w:tcPr>
          <w:p w14:paraId="3B190BF2">
            <w:pPr>
              <w:pStyle w:val="51"/>
              <w:jc w:val="center"/>
              <w:rPr>
                <w:i w:val="0"/>
                <w:iCs w:val="0"/>
                <w:color w:val="auto"/>
                <w:highlight w:val="none"/>
              </w:rPr>
            </w:pPr>
            <w:r>
              <w:rPr>
                <w:rFonts w:hint="eastAsia"/>
                <w:i w:val="0"/>
                <w:iCs w:val="0"/>
                <w:color w:val="auto"/>
                <w:highlight w:val="none"/>
              </w:rPr>
              <w:t>……</w:t>
            </w:r>
          </w:p>
        </w:tc>
        <w:tc>
          <w:tcPr>
            <w:tcW w:w="1871" w:type="dxa"/>
            <w:vAlign w:val="center"/>
          </w:tcPr>
          <w:p w14:paraId="15B6059A">
            <w:pPr>
              <w:pStyle w:val="51"/>
              <w:jc w:val="center"/>
              <w:rPr>
                <w:i w:val="0"/>
                <w:iCs w:val="0"/>
                <w:color w:val="auto"/>
                <w:highlight w:val="none"/>
              </w:rPr>
            </w:pPr>
          </w:p>
        </w:tc>
      </w:tr>
    </w:tbl>
    <w:p w14:paraId="7A1AE4DA">
      <w:pPr>
        <w:ind w:firstLine="480" w:firstLineChars="200"/>
        <w:rPr>
          <w:rFonts w:hint="eastAsia" w:cs="仿宋_GB2312"/>
          <w:i w:val="0"/>
          <w:iCs w:val="0"/>
          <w:color w:val="auto"/>
          <w:szCs w:val="24"/>
          <w:highlight w:val="none"/>
        </w:rPr>
      </w:pPr>
    </w:p>
    <w:p w14:paraId="2BB1414E">
      <w:pPr>
        <w:ind w:firstLine="420" w:firstLineChars="200"/>
        <w:rPr>
          <w:rFonts w:cs="仿宋_GB2312"/>
          <w:i w:val="0"/>
          <w:iCs w:val="0"/>
          <w:color w:val="auto"/>
          <w:sz w:val="21"/>
          <w:szCs w:val="21"/>
          <w:highlight w:val="none"/>
        </w:rPr>
      </w:pPr>
      <w:r>
        <w:rPr>
          <w:rFonts w:hint="eastAsia" w:cs="仿宋_GB2312"/>
          <w:i w:val="0"/>
          <w:iCs w:val="0"/>
          <w:color w:val="auto"/>
          <w:sz w:val="21"/>
          <w:szCs w:val="21"/>
          <w:highlight w:val="none"/>
        </w:rPr>
        <w:t>注：</w:t>
      </w:r>
      <w:r>
        <w:rPr>
          <w:rFonts w:hint="eastAsia" w:cs="仿宋_GB2312"/>
          <w:i w:val="0"/>
          <w:iCs w:val="0"/>
          <w:color w:val="auto"/>
          <w:sz w:val="21"/>
          <w:szCs w:val="21"/>
          <w:highlight w:val="none"/>
          <w:lang w:val="en-US" w:eastAsia="zh-CN"/>
        </w:rPr>
        <w:t>供应商</w:t>
      </w:r>
      <w:r>
        <w:rPr>
          <w:rFonts w:hint="eastAsia" w:cs="仿宋_GB2312"/>
          <w:i w:val="0"/>
          <w:iCs w:val="0"/>
          <w:color w:val="auto"/>
          <w:sz w:val="21"/>
          <w:szCs w:val="21"/>
          <w:highlight w:val="none"/>
        </w:rPr>
        <w:t>应按照</w:t>
      </w:r>
      <w:r>
        <w:rPr>
          <w:rFonts w:hint="eastAsia" w:cs="仿宋_GB2312"/>
          <w:i w:val="0"/>
          <w:iCs w:val="0"/>
          <w:color w:val="auto"/>
          <w:sz w:val="21"/>
          <w:szCs w:val="21"/>
          <w:highlight w:val="none"/>
          <w:lang w:val="en-US" w:eastAsia="zh-CN"/>
        </w:rPr>
        <w:t>竞争性磋商</w:t>
      </w:r>
      <w:r>
        <w:rPr>
          <w:rFonts w:hint="eastAsia" w:cs="仿宋_GB2312"/>
          <w:i w:val="0"/>
          <w:iCs w:val="0"/>
          <w:color w:val="auto"/>
          <w:sz w:val="21"/>
          <w:szCs w:val="21"/>
          <w:highlight w:val="none"/>
        </w:rPr>
        <w:t>文件</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rPr>
        <w:t xml:space="preserve">第三章 </w:t>
      </w:r>
      <w:r>
        <w:rPr>
          <w:rFonts w:hint="eastAsia" w:cs="仿宋_GB2312"/>
          <w:i w:val="0"/>
          <w:iCs w:val="0"/>
          <w:color w:val="auto"/>
          <w:sz w:val="21"/>
          <w:szCs w:val="21"/>
          <w:highlight w:val="none"/>
          <w:lang w:val="en-US" w:eastAsia="zh-CN"/>
        </w:rPr>
        <w:t>项目</w:t>
      </w:r>
      <w:r>
        <w:rPr>
          <w:rFonts w:hint="eastAsia" w:cs="仿宋_GB2312"/>
          <w:i w:val="0"/>
          <w:iCs w:val="0"/>
          <w:color w:val="auto"/>
          <w:sz w:val="21"/>
          <w:szCs w:val="21"/>
          <w:highlight w:val="none"/>
        </w:rPr>
        <w:t>采购需求</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中的商务要求</w:t>
      </w:r>
      <w:r>
        <w:rPr>
          <w:rFonts w:hint="eastAsia" w:cs="仿宋_GB2312"/>
          <w:i w:val="0"/>
          <w:iCs w:val="0"/>
          <w:color w:val="auto"/>
          <w:sz w:val="21"/>
          <w:szCs w:val="21"/>
          <w:highlight w:val="none"/>
        </w:rPr>
        <w:t>填写</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“响应/偏离”应据实填写“响应”、“正偏离”或“负偏离”</w:t>
      </w:r>
      <w:r>
        <w:rPr>
          <w:rFonts w:hint="eastAsia" w:cs="仿宋_GB2312"/>
          <w:i w:val="0"/>
          <w:iCs w:val="0"/>
          <w:color w:val="auto"/>
          <w:sz w:val="21"/>
          <w:szCs w:val="21"/>
          <w:highlight w:val="none"/>
        </w:rPr>
        <w:t>。</w:t>
      </w:r>
    </w:p>
    <w:p w14:paraId="50637629">
      <w:pPr>
        <w:rPr>
          <w:rFonts w:cs="仿宋_GB2312"/>
          <w:i w:val="0"/>
          <w:iCs w:val="0"/>
          <w:color w:val="auto"/>
          <w:szCs w:val="24"/>
          <w:highlight w:val="none"/>
        </w:rPr>
      </w:pPr>
    </w:p>
    <w:p w14:paraId="64520258">
      <w:pPr>
        <w:ind w:firstLine="480" w:firstLineChars="200"/>
        <w:rPr>
          <w:rFonts w:cs="仿宋_GB2312"/>
          <w:i w:val="0"/>
          <w:iCs w:val="0"/>
          <w:color w:val="auto"/>
          <w:szCs w:val="24"/>
          <w:highlight w:val="none"/>
        </w:rPr>
      </w:pPr>
    </w:p>
    <w:p w14:paraId="5FFEA5A0">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59924378">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64704939">
      <w:pPr>
        <w:ind w:firstLine="420"/>
        <w:rPr>
          <w:rFonts w:cs="仿宋_GB2312"/>
          <w:i w:val="0"/>
          <w:iCs w:val="0"/>
          <w:color w:val="auto"/>
          <w:szCs w:val="24"/>
          <w:highlight w:val="none"/>
        </w:rPr>
      </w:pPr>
      <w:r>
        <w:rPr>
          <w:rFonts w:cs="仿宋_GB2312"/>
          <w:i w:val="0"/>
          <w:iCs w:val="0"/>
          <w:color w:val="auto"/>
          <w:szCs w:val="24"/>
          <w:highlight w:val="none"/>
        </w:rPr>
        <w:br w:type="page"/>
      </w:r>
    </w:p>
    <w:p w14:paraId="1632F207">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13" w:name="_Toc14814"/>
      <w:r>
        <w:rPr>
          <w:rFonts w:hint="eastAsia" w:cstheme="majorBidi"/>
          <w:b/>
          <w:bCs/>
          <w:i w:val="0"/>
          <w:iCs w:val="0"/>
          <w:color w:val="auto"/>
          <w:kern w:val="2"/>
          <w:sz w:val="32"/>
          <w:szCs w:val="32"/>
          <w:highlight w:val="none"/>
          <w:lang w:val="en-US" w:eastAsia="zh-CN" w:bidi="ar-SA"/>
        </w:rPr>
        <w:t>七</w:t>
      </w:r>
      <w:r>
        <w:rPr>
          <w:rFonts w:hint="eastAsia" w:eastAsia="宋体" w:asciiTheme="majorHAnsi" w:hAnsiTheme="majorHAnsi" w:cstheme="majorBidi"/>
          <w:b/>
          <w:bCs/>
          <w:i w:val="0"/>
          <w:iCs w:val="0"/>
          <w:color w:val="auto"/>
          <w:kern w:val="2"/>
          <w:sz w:val="32"/>
          <w:szCs w:val="32"/>
          <w:highlight w:val="none"/>
          <w:lang w:val="en-US" w:eastAsia="zh-CN" w:bidi="ar-SA"/>
        </w:rPr>
        <w:t>、业绩证明文件</w:t>
      </w:r>
      <w:bookmarkEnd w:id="713"/>
    </w:p>
    <w:p w14:paraId="0CFFE431">
      <w:pPr>
        <w:rPr>
          <w:rFonts w:cs="仿宋_GB2312"/>
          <w:i w:val="0"/>
          <w:iCs w:val="0"/>
          <w:color w:val="auto"/>
          <w:szCs w:val="24"/>
          <w:highlight w:val="none"/>
        </w:rPr>
      </w:pPr>
      <w:r>
        <w:rPr>
          <w:rFonts w:cs="Arial"/>
          <w:bCs/>
          <w:i w:val="0"/>
          <w:iCs w:val="0"/>
          <w:color w:val="auto"/>
          <w:szCs w:val="21"/>
          <w:highlight w:val="none"/>
        </w:rPr>
        <w:fldChar w:fldCharType="begin"/>
      </w:r>
      <w:r>
        <w:rPr>
          <w:rFonts w:cs="Arial"/>
          <w:bCs/>
          <w:i w:val="0"/>
          <w:iCs w:val="0"/>
          <w:color w:val="auto"/>
          <w:szCs w:val="21"/>
          <w:highlight w:val="none"/>
        </w:rPr>
        <w:instrText xml:space="preserve"> LINK Word.Document.8 "D:\\音乐厅\\4通用设备\\招标文件\\音乐厅空调设备招标文件v1.0.doc" "OLE_LINK8" \r  \* MERGEFORMAT </w:instrText>
      </w:r>
      <w:r>
        <w:rPr>
          <w:rFonts w:cs="Arial"/>
          <w:bCs/>
          <w:i w:val="0"/>
          <w:iCs w:val="0"/>
          <w:color w:val="auto"/>
          <w:szCs w:val="21"/>
          <w:highlight w:val="none"/>
        </w:rPr>
        <w:fldChar w:fldCharType="separate"/>
      </w:r>
      <w:r>
        <w:rPr>
          <w:rFonts w:hint="eastAsia" w:cs="仿宋_GB2312"/>
          <w:i w:val="0"/>
          <w:iCs w:val="0"/>
          <w:color w:val="auto"/>
          <w:szCs w:val="24"/>
          <w:highlight w:val="none"/>
        </w:rPr>
        <w:t xml:space="preserve">项目名称：                                         </w:t>
      </w:r>
    </w:p>
    <w:p w14:paraId="2D51EB84">
      <w:pPr>
        <w:rPr>
          <w:rFonts w:cs="Arial"/>
          <w:bCs/>
          <w:i w:val="0"/>
          <w:iCs w:val="0"/>
          <w:color w:val="auto"/>
          <w:szCs w:val="21"/>
          <w:highlight w:val="none"/>
        </w:rPr>
      </w:pPr>
      <w:r>
        <w:rPr>
          <w:rFonts w:hint="eastAsia" w:cs="仿宋_GB2312"/>
          <w:i w:val="0"/>
          <w:iCs w:val="0"/>
          <w:color w:val="auto"/>
          <w:szCs w:val="24"/>
          <w:highlight w:val="none"/>
        </w:rPr>
        <w:t>项目编号</w:t>
      </w:r>
      <w:r>
        <w:rPr>
          <w:rFonts w:hint="eastAsia" w:cs="仿宋_GB2312"/>
          <w:i w:val="0"/>
          <w:iCs w:val="0"/>
          <w:color w:val="auto"/>
          <w:szCs w:val="24"/>
          <w:highlight w:val="none"/>
          <w:lang w:val="en-US" w:eastAsia="zh-CN"/>
        </w:rPr>
        <w:t>/包号</w:t>
      </w:r>
      <w:r>
        <w:rPr>
          <w:rFonts w:hint="eastAsia" w:cs="仿宋_GB2312"/>
          <w:i w:val="0"/>
          <w:iCs w:val="0"/>
          <w:color w:val="auto"/>
          <w:szCs w:val="24"/>
          <w:highlight w:val="none"/>
        </w:rPr>
        <w:t xml:space="preserve">：      </w:t>
      </w:r>
      <w:r>
        <w:rPr>
          <w:rFonts w:cs="Arial"/>
          <w:bCs/>
          <w:i w:val="0"/>
          <w:iCs w:val="0"/>
          <w:color w:val="auto"/>
          <w:szCs w:val="21"/>
          <w:highlight w:val="none"/>
        </w:rPr>
        <w:fldChar w:fldCharType="end"/>
      </w:r>
    </w:p>
    <w:tbl>
      <w:tblPr>
        <w:tblStyle w:val="32"/>
        <w:tblW w:w="9615" w:type="dxa"/>
        <w:tblInd w:w="-3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233"/>
        <w:gridCol w:w="1272"/>
        <w:gridCol w:w="1188"/>
        <w:gridCol w:w="1487"/>
        <w:gridCol w:w="1477"/>
        <w:gridCol w:w="984"/>
        <w:gridCol w:w="1191"/>
      </w:tblGrid>
      <w:tr w14:paraId="63D03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135CD872">
            <w:pPr>
              <w:jc w:val="center"/>
              <w:rPr>
                <w:rFonts w:cs="仿宋_GB2312"/>
                <w:i w:val="0"/>
                <w:iCs w:val="0"/>
                <w:color w:val="auto"/>
                <w:sz w:val="24"/>
                <w:szCs w:val="24"/>
                <w:highlight w:val="none"/>
              </w:rPr>
            </w:pPr>
            <w:bookmarkStart w:id="714" w:name="_Hlk46779239"/>
            <w:r>
              <w:rPr>
                <w:rFonts w:hint="eastAsia" w:cs="仿宋_GB2312"/>
                <w:i w:val="0"/>
                <w:iCs w:val="0"/>
                <w:color w:val="auto"/>
                <w:sz w:val="24"/>
                <w:szCs w:val="24"/>
                <w:highlight w:val="none"/>
              </w:rPr>
              <w:t>序号</w:t>
            </w:r>
          </w:p>
        </w:tc>
        <w:tc>
          <w:tcPr>
            <w:tcW w:w="1233" w:type="dxa"/>
            <w:vAlign w:val="center"/>
          </w:tcPr>
          <w:p w14:paraId="27E53D95">
            <w:pPr>
              <w:rPr>
                <w:rFonts w:cs="仿宋_GB2312"/>
                <w:i w:val="0"/>
                <w:iCs w:val="0"/>
                <w:color w:val="auto"/>
                <w:sz w:val="24"/>
                <w:szCs w:val="24"/>
                <w:highlight w:val="none"/>
              </w:rPr>
            </w:pPr>
            <w:r>
              <w:rPr>
                <w:rFonts w:hint="eastAsia" w:cs="仿宋_GB2312"/>
                <w:i w:val="0"/>
                <w:iCs w:val="0"/>
                <w:color w:val="auto"/>
                <w:sz w:val="24"/>
                <w:szCs w:val="24"/>
                <w:highlight w:val="none"/>
              </w:rPr>
              <w:t>完成时间</w:t>
            </w:r>
          </w:p>
        </w:tc>
        <w:tc>
          <w:tcPr>
            <w:tcW w:w="1272" w:type="dxa"/>
            <w:vAlign w:val="center"/>
          </w:tcPr>
          <w:p w14:paraId="0FB19046">
            <w:pPr>
              <w:jc w:val="center"/>
              <w:rPr>
                <w:rFonts w:cs="仿宋_GB2312"/>
                <w:i w:val="0"/>
                <w:iCs w:val="0"/>
                <w:color w:val="auto"/>
                <w:sz w:val="24"/>
                <w:szCs w:val="24"/>
                <w:highlight w:val="none"/>
              </w:rPr>
            </w:pPr>
            <w:r>
              <w:rPr>
                <w:rFonts w:hint="eastAsia" w:cs="仿宋_GB2312"/>
                <w:i w:val="0"/>
                <w:iCs w:val="0"/>
                <w:color w:val="auto"/>
                <w:sz w:val="24"/>
                <w:szCs w:val="24"/>
                <w:highlight w:val="none"/>
              </w:rPr>
              <w:t>项目名称</w:t>
            </w:r>
          </w:p>
        </w:tc>
        <w:tc>
          <w:tcPr>
            <w:tcW w:w="1188" w:type="dxa"/>
            <w:vAlign w:val="center"/>
          </w:tcPr>
          <w:p w14:paraId="196F96CC">
            <w:pPr>
              <w:jc w:val="center"/>
              <w:rPr>
                <w:rFonts w:cs="仿宋_GB2312"/>
                <w:i w:val="0"/>
                <w:iCs w:val="0"/>
                <w:color w:val="auto"/>
                <w:sz w:val="24"/>
                <w:szCs w:val="24"/>
                <w:highlight w:val="none"/>
              </w:rPr>
            </w:pPr>
            <w:r>
              <w:rPr>
                <w:rFonts w:hint="eastAsia" w:cs="仿宋_GB2312"/>
                <w:i w:val="0"/>
                <w:iCs w:val="0"/>
                <w:color w:val="auto"/>
                <w:sz w:val="24"/>
                <w:szCs w:val="24"/>
                <w:highlight w:val="none"/>
                <w:lang w:val="en-US" w:eastAsia="zh-CN"/>
              </w:rPr>
              <w:t>标的</w:t>
            </w:r>
            <w:r>
              <w:rPr>
                <w:rFonts w:hint="eastAsia" w:cs="仿宋_GB2312"/>
                <w:i w:val="0"/>
                <w:iCs w:val="0"/>
                <w:color w:val="auto"/>
                <w:sz w:val="24"/>
                <w:szCs w:val="24"/>
                <w:highlight w:val="none"/>
              </w:rPr>
              <w:t>内容</w:t>
            </w:r>
          </w:p>
        </w:tc>
        <w:tc>
          <w:tcPr>
            <w:tcW w:w="1487" w:type="dxa"/>
            <w:vAlign w:val="center"/>
          </w:tcPr>
          <w:p w14:paraId="4D8583D4">
            <w:pPr>
              <w:jc w:val="center"/>
              <w:rPr>
                <w:rFonts w:cs="仿宋_GB2312"/>
                <w:i w:val="0"/>
                <w:iCs w:val="0"/>
                <w:color w:val="auto"/>
                <w:sz w:val="24"/>
                <w:szCs w:val="24"/>
                <w:highlight w:val="none"/>
              </w:rPr>
            </w:pPr>
            <w:r>
              <w:rPr>
                <w:rFonts w:hint="eastAsia" w:cs="仿宋_GB2312"/>
                <w:i w:val="0"/>
                <w:iCs w:val="0"/>
                <w:color w:val="auto"/>
                <w:sz w:val="24"/>
                <w:szCs w:val="24"/>
                <w:highlight w:val="none"/>
                <w:lang w:val="en-US" w:eastAsia="zh-CN"/>
              </w:rPr>
              <w:t>采购人</w:t>
            </w:r>
            <w:r>
              <w:rPr>
                <w:rFonts w:hint="eastAsia" w:cs="仿宋_GB2312"/>
                <w:i w:val="0"/>
                <w:iCs w:val="0"/>
                <w:color w:val="auto"/>
                <w:sz w:val="24"/>
                <w:szCs w:val="24"/>
                <w:highlight w:val="none"/>
              </w:rPr>
              <w:t>名称</w:t>
            </w:r>
          </w:p>
        </w:tc>
        <w:tc>
          <w:tcPr>
            <w:tcW w:w="1477" w:type="dxa"/>
            <w:vAlign w:val="center"/>
          </w:tcPr>
          <w:p w14:paraId="1F319836">
            <w:pPr>
              <w:jc w:val="center"/>
              <w:rPr>
                <w:rFonts w:hint="eastAsia" w:cs="仿宋_GB2312"/>
                <w:i w:val="0"/>
                <w:iCs w:val="0"/>
                <w:color w:val="auto"/>
                <w:sz w:val="24"/>
                <w:szCs w:val="24"/>
                <w:highlight w:val="none"/>
              </w:rPr>
            </w:pPr>
            <w:r>
              <w:rPr>
                <w:rFonts w:hint="eastAsia" w:cs="仿宋_GB2312"/>
                <w:i w:val="0"/>
                <w:iCs w:val="0"/>
                <w:color w:val="auto"/>
                <w:sz w:val="24"/>
                <w:szCs w:val="24"/>
                <w:highlight w:val="none"/>
                <w:lang w:val="en-US" w:eastAsia="zh-CN"/>
              </w:rPr>
              <w:t>中标（成交）金额</w:t>
            </w:r>
          </w:p>
        </w:tc>
        <w:tc>
          <w:tcPr>
            <w:tcW w:w="984" w:type="dxa"/>
            <w:vAlign w:val="center"/>
          </w:tcPr>
          <w:p w14:paraId="3A30E02F">
            <w:pPr>
              <w:jc w:val="center"/>
              <w:rPr>
                <w:rFonts w:cs="仿宋_GB2312"/>
                <w:i w:val="0"/>
                <w:iCs w:val="0"/>
                <w:color w:val="auto"/>
                <w:sz w:val="24"/>
                <w:szCs w:val="24"/>
                <w:highlight w:val="none"/>
              </w:rPr>
            </w:pPr>
            <w:r>
              <w:rPr>
                <w:rFonts w:hint="eastAsia" w:cs="仿宋_GB2312"/>
                <w:i w:val="0"/>
                <w:iCs w:val="0"/>
                <w:color w:val="auto"/>
                <w:sz w:val="24"/>
                <w:szCs w:val="24"/>
                <w:highlight w:val="none"/>
              </w:rPr>
              <w:t>联系人</w:t>
            </w:r>
          </w:p>
        </w:tc>
        <w:tc>
          <w:tcPr>
            <w:tcW w:w="1191" w:type="dxa"/>
            <w:vAlign w:val="center"/>
          </w:tcPr>
          <w:p w14:paraId="225BE274">
            <w:pPr>
              <w:jc w:val="center"/>
              <w:rPr>
                <w:rFonts w:cs="仿宋_GB2312"/>
                <w:i w:val="0"/>
                <w:iCs w:val="0"/>
                <w:color w:val="auto"/>
                <w:sz w:val="24"/>
                <w:szCs w:val="24"/>
                <w:highlight w:val="none"/>
              </w:rPr>
            </w:pPr>
            <w:r>
              <w:rPr>
                <w:rFonts w:hint="eastAsia" w:cs="仿宋_GB2312"/>
                <w:i w:val="0"/>
                <w:iCs w:val="0"/>
                <w:color w:val="auto"/>
                <w:sz w:val="24"/>
                <w:szCs w:val="24"/>
                <w:highlight w:val="none"/>
              </w:rPr>
              <w:t>联系电话</w:t>
            </w:r>
          </w:p>
        </w:tc>
      </w:tr>
      <w:tr w14:paraId="35A30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5DE80A6D">
            <w:pPr>
              <w:jc w:val="center"/>
              <w:rPr>
                <w:rFonts w:cs="仿宋_GB2312"/>
                <w:i w:val="0"/>
                <w:iCs w:val="0"/>
                <w:color w:val="auto"/>
                <w:sz w:val="24"/>
                <w:szCs w:val="24"/>
                <w:highlight w:val="none"/>
              </w:rPr>
            </w:pPr>
            <w:r>
              <w:rPr>
                <w:rFonts w:hint="eastAsia" w:cs="仿宋_GB2312"/>
                <w:i w:val="0"/>
                <w:iCs w:val="0"/>
                <w:color w:val="auto"/>
                <w:sz w:val="24"/>
                <w:szCs w:val="24"/>
                <w:highlight w:val="none"/>
              </w:rPr>
              <w:t>1</w:t>
            </w:r>
          </w:p>
        </w:tc>
        <w:tc>
          <w:tcPr>
            <w:tcW w:w="1233" w:type="dxa"/>
            <w:vAlign w:val="center"/>
          </w:tcPr>
          <w:p w14:paraId="15F5FB03">
            <w:pPr>
              <w:rPr>
                <w:rFonts w:cs="仿宋_GB2312"/>
                <w:i w:val="0"/>
                <w:iCs w:val="0"/>
                <w:color w:val="auto"/>
                <w:sz w:val="24"/>
                <w:szCs w:val="24"/>
                <w:highlight w:val="none"/>
              </w:rPr>
            </w:pPr>
          </w:p>
        </w:tc>
        <w:tc>
          <w:tcPr>
            <w:tcW w:w="1272" w:type="dxa"/>
            <w:vAlign w:val="center"/>
          </w:tcPr>
          <w:p w14:paraId="15CBC7B2">
            <w:pPr>
              <w:rPr>
                <w:rFonts w:cs="仿宋_GB2312"/>
                <w:i w:val="0"/>
                <w:iCs w:val="0"/>
                <w:color w:val="auto"/>
                <w:sz w:val="24"/>
                <w:szCs w:val="24"/>
                <w:highlight w:val="none"/>
              </w:rPr>
            </w:pPr>
          </w:p>
        </w:tc>
        <w:tc>
          <w:tcPr>
            <w:tcW w:w="1188" w:type="dxa"/>
            <w:vAlign w:val="center"/>
          </w:tcPr>
          <w:p w14:paraId="775C2926">
            <w:pPr>
              <w:rPr>
                <w:rFonts w:cs="仿宋_GB2312"/>
                <w:i w:val="0"/>
                <w:iCs w:val="0"/>
                <w:color w:val="auto"/>
                <w:sz w:val="24"/>
                <w:szCs w:val="24"/>
                <w:highlight w:val="none"/>
              </w:rPr>
            </w:pPr>
          </w:p>
        </w:tc>
        <w:tc>
          <w:tcPr>
            <w:tcW w:w="1487" w:type="dxa"/>
            <w:vAlign w:val="center"/>
          </w:tcPr>
          <w:p w14:paraId="176238AB">
            <w:pPr>
              <w:rPr>
                <w:rFonts w:cs="仿宋_GB2312"/>
                <w:i w:val="0"/>
                <w:iCs w:val="0"/>
                <w:color w:val="auto"/>
                <w:sz w:val="24"/>
                <w:szCs w:val="24"/>
                <w:highlight w:val="none"/>
              </w:rPr>
            </w:pPr>
          </w:p>
        </w:tc>
        <w:tc>
          <w:tcPr>
            <w:tcW w:w="1477" w:type="dxa"/>
            <w:vAlign w:val="center"/>
          </w:tcPr>
          <w:p w14:paraId="018D0A01">
            <w:pPr>
              <w:rPr>
                <w:rFonts w:cs="仿宋_GB2312"/>
                <w:i w:val="0"/>
                <w:iCs w:val="0"/>
                <w:color w:val="auto"/>
                <w:sz w:val="24"/>
                <w:szCs w:val="24"/>
                <w:highlight w:val="none"/>
              </w:rPr>
            </w:pPr>
          </w:p>
        </w:tc>
        <w:tc>
          <w:tcPr>
            <w:tcW w:w="984" w:type="dxa"/>
            <w:vAlign w:val="center"/>
          </w:tcPr>
          <w:p w14:paraId="06DCB3E6">
            <w:pPr>
              <w:rPr>
                <w:rFonts w:cs="仿宋_GB2312"/>
                <w:i w:val="0"/>
                <w:iCs w:val="0"/>
                <w:color w:val="auto"/>
                <w:sz w:val="24"/>
                <w:szCs w:val="24"/>
                <w:highlight w:val="none"/>
              </w:rPr>
            </w:pPr>
          </w:p>
        </w:tc>
        <w:tc>
          <w:tcPr>
            <w:tcW w:w="1191" w:type="dxa"/>
            <w:vAlign w:val="center"/>
          </w:tcPr>
          <w:p w14:paraId="0C175147">
            <w:pPr>
              <w:rPr>
                <w:rFonts w:cs="仿宋_GB2312"/>
                <w:i w:val="0"/>
                <w:iCs w:val="0"/>
                <w:color w:val="auto"/>
                <w:sz w:val="24"/>
                <w:szCs w:val="24"/>
                <w:highlight w:val="none"/>
              </w:rPr>
            </w:pPr>
          </w:p>
        </w:tc>
      </w:tr>
      <w:tr w14:paraId="278F0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18737183">
            <w:pPr>
              <w:jc w:val="center"/>
              <w:rPr>
                <w:rFonts w:cs="仿宋_GB2312"/>
                <w:i w:val="0"/>
                <w:iCs w:val="0"/>
                <w:color w:val="auto"/>
                <w:sz w:val="24"/>
                <w:szCs w:val="24"/>
                <w:highlight w:val="none"/>
              </w:rPr>
            </w:pPr>
            <w:r>
              <w:rPr>
                <w:rFonts w:hint="eastAsia" w:cs="仿宋_GB2312"/>
                <w:i w:val="0"/>
                <w:iCs w:val="0"/>
                <w:color w:val="auto"/>
                <w:sz w:val="24"/>
                <w:szCs w:val="24"/>
                <w:highlight w:val="none"/>
              </w:rPr>
              <w:t>2</w:t>
            </w:r>
          </w:p>
        </w:tc>
        <w:tc>
          <w:tcPr>
            <w:tcW w:w="1233" w:type="dxa"/>
            <w:vAlign w:val="center"/>
          </w:tcPr>
          <w:p w14:paraId="2854A21F">
            <w:pPr>
              <w:rPr>
                <w:rFonts w:cs="仿宋_GB2312"/>
                <w:i w:val="0"/>
                <w:iCs w:val="0"/>
                <w:color w:val="auto"/>
                <w:sz w:val="24"/>
                <w:szCs w:val="24"/>
                <w:highlight w:val="none"/>
              </w:rPr>
            </w:pPr>
          </w:p>
        </w:tc>
        <w:tc>
          <w:tcPr>
            <w:tcW w:w="1272" w:type="dxa"/>
            <w:vAlign w:val="center"/>
          </w:tcPr>
          <w:p w14:paraId="467F70D4">
            <w:pPr>
              <w:rPr>
                <w:rFonts w:cs="仿宋_GB2312"/>
                <w:i w:val="0"/>
                <w:iCs w:val="0"/>
                <w:color w:val="auto"/>
                <w:sz w:val="24"/>
                <w:szCs w:val="24"/>
                <w:highlight w:val="none"/>
              </w:rPr>
            </w:pPr>
          </w:p>
        </w:tc>
        <w:tc>
          <w:tcPr>
            <w:tcW w:w="1188" w:type="dxa"/>
            <w:vAlign w:val="center"/>
          </w:tcPr>
          <w:p w14:paraId="4B3C097F">
            <w:pPr>
              <w:rPr>
                <w:rFonts w:cs="仿宋_GB2312"/>
                <w:i w:val="0"/>
                <w:iCs w:val="0"/>
                <w:color w:val="auto"/>
                <w:sz w:val="24"/>
                <w:szCs w:val="24"/>
                <w:highlight w:val="none"/>
              </w:rPr>
            </w:pPr>
          </w:p>
        </w:tc>
        <w:tc>
          <w:tcPr>
            <w:tcW w:w="1487" w:type="dxa"/>
            <w:vAlign w:val="center"/>
          </w:tcPr>
          <w:p w14:paraId="7066AA91">
            <w:pPr>
              <w:rPr>
                <w:rFonts w:cs="仿宋_GB2312"/>
                <w:i w:val="0"/>
                <w:iCs w:val="0"/>
                <w:color w:val="auto"/>
                <w:sz w:val="24"/>
                <w:szCs w:val="24"/>
                <w:highlight w:val="none"/>
              </w:rPr>
            </w:pPr>
          </w:p>
        </w:tc>
        <w:tc>
          <w:tcPr>
            <w:tcW w:w="1477" w:type="dxa"/>
            <w:vAlign w:val="center"/>
          </w:tcPr>
          <w:p w14:paraId="4B5DD339">
            <w:pPr>
              <w:rPr>
                <w:rFonts w:cs="仿宋_GB2312"/>
                <w:i w:val="0"/>
                <w:iCs w:val="0"/>
                <w:color w:val="auto"/>
                <w:sz w:val="24"/>
                <w:szCs w:val="24"/>
                <w:highlight w:val="none"/>
              </w:rPr>
            </w:pPr>
          </w:p>
        </w:tc>
        <w:tc>
          <w:tcPr>
            <w:tcW w:w="984" w:type="dxa"/>
            <w:vAlign w:val="center"/>
          </w:tcPr>
          <w:p w14:paraId="02D68F3A">
            <w:pPr>
              <w:rPr>
                <w:rFonts w:cs="仿宋_GB2312"/>
                <w:i w:val="0"/>
                <w:iCs w:val="0"/>
                <w:color w:val="auto"/>
                <w:sz w:val="24"/>
                <w:szCs w:val="24"/>
                <w:highlight w:val="none"/>
              </w:rPr>
            </w:pPr>
          </w:p>
        </w:tc>
        <w:tc>
          <w:tcPr>
            <w:tcW w:w="1191" w:type="dxa"/>
            <w:vAlign w:val="center"/>
          </w:tcPr>
          <w:p w14:paraId="4A7853AB">
            <w:pPr>
              <w:rPr>
                <w:rFonts w:cs="仿宋_GB2312"/>
                <w:i w:val="0"/>
                <w:iCs w:val="0"/>
                <w:color w:val="auto"/>
                <w:sz w:val="24"/>
                <w:szCs w:val="24"/>
                <w:highlight w:val="none"/>
              </w:rPr>
            </w:pPr>
          </w:p>
        </w:tc>
      </w:tr>
      <w:tr w14:paraId="6D221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76DB975A">
            <w:pPr>
              <w:jc w:val="center"/>
              <w:rPr>
                <w:rFonts w:cs="仿宋_GB2312"/>
                <w:i w:val="0"/>
                <w:iCs w:val="0"/>
                <w:color w:val="auto"/>
                <w:sz w:val="24"/>
                <w:szCs w:val="24"/>
                <w:highlight w:val="none"/>
              </w:rPr>
            </w:pPr>
            <w:r>
              <w:rPr>
                <w:rFonts w:hint="eastAsia" w:cs="仿宋_GB2312"/>
                <w:i w:val="0"/>
                <w:iCs w:val="0"/>
                <w:color w:val="auto"/>
                <w:sz w:val="24"/>
                <w:szCs w:val="24"/>
                <w:highlight w:val="none"/>
              </w:rPr>
              <w:t>3</w:t>
            </w:r>
          </w:p>
        </w:tc>
        <w:tc>
          <w:tcPr>
            <w:tcW w:w="1233" w:type="dxa"/>
            <w:vAlign w:val="center"/>
          </w:tcPr>
          <w:p w14:paraId="417E7844">
            <w:pPr>
              <w:rPr>
                <w:rFonts w:cs="仿宋_GB2312"/>
                <w:i w:val="0"/>
                <w:iCs w:val="0"/>
                <w:color w:val="auto"/>
                <w:sz w:val="24"/>
                <w:szCs w:val="24"/>
                <w:highlight w:val="none"/>
              </w:rPr>
            </w:pPr>
          </w:p>
        </w:tc>
        <w:tc>
          <w:tcPr>
            <w:tcW w:w="1272" w:type="dxa"/>
            <w:vAlign w:val="center"/>
          </w:tcPr>
          <w:p w14:paraId="1E82EF64">
            <w:pPr>
              <w:rPr>
                <w:rFonts w:cs="仿宋_GB2312"/>
                <w:i w:val="0"/>
                <w:iCs w:val="0"/>
                <w:color w:val="auto"/>
                <w:sz w:val="24"/>
                <w:szCs w:val="24"/>
                <w:highlight w:val="none"/>
              </w:rPr>
            </w:pPr>
          </w:p>
        </w:tc>
        <w:tc>
          <w:tcPr>
            <w:tcW w:w="1188" w:type="dxa"/>
            <w:vAlign w:val="center"/>
          </w:tcPr>
          <w:p w14:paraId="0E7AD7FC">
            <w:pPr>
              <w:rPr>
                <w:rFonts w:cs="仿宋_GB2312"/>
                <w:i w:val="0"/>
                <w:iCs w:val="0"/>
                <w:color w:val="auto"/>
                <w:sz w:val="24"/>
                <w:szCs w:val="24"/>
                <w:highlight w:val="none"/>
              </w:rPr>
            </w:pPr>
          </w:p>
        </w:tc>
        <w:tc>
          <w:tcPr>
            <w:tcW w:w="1487" w:type="dxa"/>
            <w:vAlign w:val="center"/>
          </w:tcPr>
          <w:p w14:paraId="773D8167">
            <w:pPr>
              <w:rPr>
                <w:rFonts w:cs="仿宋_GB2312"/>
                <w:i w:val="0"/>
                <w:iCs w:val="0"/>
                <w:color w:val="auto"/>
                <w:sz w:val="24"/>
                <w:szCs w:val="24"/>
                <w:highlight w:val="none"/>
              </w:rPr>
            </w:pPr>
          </w:p>
        </w:tc>
        <w:tc>
          <w:tcPr>
            <w:tcW w:w="1477" w:type="dxa"/>
            <w:vAlign w:val="center"/>
          </w:tcPr>
          <w:p w14:paraId="30B40C8A">
            <w:pPr>
              <w:rPr>
                <w:rFonts w:cs="仿宋_GB2312"/>
                <w:i w:val="0"/>
                <w:iCs w:val="0"/>
                <w:color w:val="auto"/>
                <w:sz w:val="24"/>
                <w:szCs w:val="24"/>
                <w:highlight w:val="none"/>
              </w:rPr>
            </w:pPr>
          </w:p>
        </w:tc>
        <w:tc>
          <w:tcPr>
            <w:tcW w:w="984" w:type="dxa"/>
            <w:vAlign w:val="center"/>
          </w:tcPr>
          <w:p w14:paraId="5B25A1A7">
            <w:pPr>
              <w:rPr>
                <w:rFonts w:cs="仿宋_GB2312"/>
                <w:i w:val="0"/>
                <w:iCs w:val="0"/>
                <w:color w:val="auto"/>
                <w:sz w:val="24"/>
                <w:szCs w:val="24"/>
                <w:highlight w:val="none"/>
              </w:rPr>
            </w:pPr>
          </w:p>
        </w:tc>
        <w:tc>
          <w:tcPr>
            <w:tcW w:w="1191" w:type="dxa"/>
            <w:vAlign w:val="center"/>
          </w:tcPr>
          <w:p w14:paraId="6896940E">
            <w:pPr>
              <w:rPr>
                <w:rFonts w:cs="仿宋_GB2312"/>
                <w:i w:val="0"/>
                <w:iCs w:val="0"/>
                <w:color w:val="auto"/>
                <w:sz w:val="24"/>
                <w:szCs w:val="24"/>
                <w:highlight w:val="none"/>
              </w:rPr>
            </w:pPr>
          </w:p>
        </w:tc>
      </w:tr>
      <w:tr w14:paraId="650F0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783" w:type="dxa"/>
            <w:vAlign w:val="center"/>
          </w:tcPr>
          <w:p w14:paraId="606FD409">
            <w:pPr>
              <w:jc w:val="center"/>
              <w:rPr>
                <w:rFonts w:cs="仿宋_GB2312"/>
                <w:i w:val="0"/>
                <w:iCs w:val="0"/>
                <w:color w:val="auto"/>
                <w:sz w:val="24"/>
                <w:szCs w:val="24"/>
                <w:highlight w:val="none"/>
              </w:rPr>
            </w:pPr>
            <w:r>
              <w:rPr>
                <w:rFonts w:hint="eastAsia" w:cs="仿宋_GB2312"/>
                <w:i w:val="0"/>
                <w:iCs w:val="0"/>
                <w:color w:val="auto"/>
                <w:sz w:val="24"/>
                <w:szCs w:val="24"/>
                <w:highlight w:val="none"/>
              </w:rPr>
              <w:t>…</w:t>
            </w:r>
          </w:p>
        </w:tc>
        <w:tc>
          <w:tcPr>
            <w:tcW w:w="1233" w:type="dxa"/>
            <w:vAlign w:val="center"/>
          </w:tcPr>
          <w:p w14:paraId="490B256B">
            <w:pPr>
              <w:rPr>
                <w:rFonts w:cs="仿宋_GB2312"/>
                <w:i w:val="0"/>
                <w:iCs w:val="0"/>
                <w:color w:val="auto"/>
                <w:sz w:val="24"/>
                <w:szCs w:val="24"/>
                <w:highlight w:val="none"/>
              </w:rPr>
            </w:pPr>
          </w:p>
        </w:tc>
        <w:tc>
          <w:tcPr>
            <w:tcW w:w="1272" w:type="dxa"/>
            <w:vAlign w:val="center"/>
          </w:tcPr>
          <w:p w14:paraId="17421914">
            <w:pPr>
              <w:rPr>
                <w:rFonts w:cs="仿宋_GB2312"/>
                <w:i w:val="0"/>
                <w:iCs w:val="0"/>
                <w:color w:val="auto"/>
                <w:sz w:val="24"/>
                <w:szCs w:val="24"/>
                <w:highlight w:val="none"/>
              </w:rPr>
            </w:pPr>
          </w:p>
        </w:tc>
        <w:tc>
          <w:tcPr>
            <w:tcW w:w="1188" w:type="dxa"/>
            <w:vAlign w:val="center"/>
          </w:tcPr>
          <w:p w14:paraId="5A933FDF">
            <w:pPr>
              <w:rPr>
                <w:rFonts w:cs="仿宋_GB2312"/>
                <w:i w:val="0"/>
                <w:iCs w:val="0"/>
                <w:color w:val="auto"/>
                <w:sz w:val="24"/>
                <w:szCs w:val="24"/>
                <w:highlight w:val="none"/>
              </w:rPr>
            </w:pPr>
          </w:p>
        </w:tc>
        <w:tc>
          <w:tcPr>
            <w:tcW w:w="1487" w:type="dxa"/>
            <w:vAlign w:val="center"/>
          </w:tcPr>
          <w:p w14:paraId="36B6529D">
            <w:pPr>
              <w:rPr>
                <w:rFonts w:cs="仿宋_GB2312"/>
                <w:i w:val="0"/>
                <w:iCs w:val="0"/>
                <w:color w:val="auto"/>
                <w:sz w:val="24"/>
                <w:szCs w:val="24"/>
                <w:highlight w:val="none"/>
              </w:rPr>
            </w:pPr>
          </w:p>
        </w:tc>
        <w:tc>
          <w:tcPr>
            <w:tcW w:w="1477" w:type="dxa"/>
            <w:vAlign w:val="center"/>
          </w:tcPr>
          <w:p w14:paraId="6348A611">
            <w:pPr>
              <w:rPr>
                <w:rFonts w:cs="仿宋_GB2312"/>
                <w:i w:val="0"/>
                <w:iCs w:val="0"/>
                <w:color w:val="auto"/>
                <w:sz w:val="24"/>
                <w:szCs w:val="24"/>
                <w:highlight w:val="none"/>
              </w:rPr>
            </w:pPr>
          </w:p>
        </w:tc>
        <w:tc>
          <w:tcPr>
            <w:tcW w:w="984" w:type="dxa"/>
            <w:vAlign w:val="center"/>
          </w:tcPr>
          <w:p w14:paraId="6A9A13D4">
            <w:pPr>
              <w:rPr>
                <w:rFonts w:cs="仿宋_GB2312"/>
                <w:i w:val="0"/>
                <w:iCs w:val="0"/>
                <w:color w:val="auto"/>
                <w:sz w:val="24"/>
                <w:szCs w:val="24"/>
                <w:highlight w:val="none"/>
              </w:rPr>
            </w:pPr>
          </w:p>
        </w:tc>
        <w:tc>
          <w:tcPr>
            <w:tcW w:w="1191" w:type="dxa"/>
            <w:vAlign w:val="center"/>
          </w:tcPr>
          <w:p w14:paraId="4EEE6C19">
            <w:pPr>
              <w:rPr>
                <w:rFonts w:cs="仿宋_GB2312"/>
                <w:i w:val="0"/>
                <w:iCs w:val="0"/>
                <w:color w:val="auto"/>
                <w:sz w:val="24"/>
                <w:szCs w:val="24"/>
                <w:highlight w:val="none"/>
              </w:rPr>
            </w:pPr>
          </w:p>
        </w:tc>
      </w:tr>
      <w:bookmarkEnd w:id="714"/>
    </w:tbl>
    <w:p w14:paraId="3C8FBB22">
      <w:pPr>
        <w:rPr>
          <w:rFonts w:hint="eastAsia" w:cs="仿宋_GB2312"/>
          <w:i w:val="0"/>
          <w:iCs w:val="0"/>
          <w:color w:val="auto"/>
          <w:sz w:val="24"/>
          <w:szCs w:val="24"/>
          <w:highlight w:val="none"/>
        </w:rPr>
      </w:pPr>
    </w:p>
    <w:p w14:paraId="01929BE8">
      <w:pPr>
        <w:rPr>
          <w:rFonts w:cs="仿宋_GB2312"/>
          <w:i w:val="0"/>
          <w:iCs w:val="0"/>
          <w:color w:val="auto"/>
          <w:sz w:val="24"/>
          <w:szCs w:val="24"/>
          <w:highlight w:val="none"/>
        </w:rPr>
      </w:pPr>
      <w:r>
        <w:rPr>
          <w:rFonts w:hint="eastAsia" w:cs="仿宋_GB2312"/>
          <w:i w:val="0"/>
          <w:iCs w:val="0"/>
          <w:color w:val="auto"/>
          <w:sz w:val="24"/>
          <w:szCs w:val="24"/>
          <w:highlight w:val="none"/>
        </w:rPr>
        <w:t>注：</w:t>
      </w:r>
      <w:r>
        <w:rPr>
          <w:rFonts w:hint="eastAsia" w:cs="仿宋_GB2312"/>
          <w:i w:val="0"/>
          <w:iCs w:val="0"/>
          <w:color w:val="auto"/>
          <w:sz w:val="24"/>
          <w:szCs w:val="24"/>
          <w:highlight w:val="none"/>
          <w:lang w:val="en-US" w:eastAsia="zh-CN"/>
        </w:rPr>
        <w:t>供应商</w:t>
      </w:r>
      <w:r>
        <w:rPr>
          <w:rFonts w:hint="eastAsia" w:cs="仿宋_GB2312"/>
          <w:i w:val="0"/>
          <w:iCs w:val="0"/>
          <w:color w:val="auto"/>
          <w:sz w:val="24"/>
          <w:szCs w:val="24"/>
          <w:highlight w:val="none"/>
        </w:rPr>
        <w:t>须按上表提供相应的业绩证明资料。</w:t>
      </w:r>
    </w:p>
    <w:p w14:paraId="1429F18C">
      <w:pPr>
        <w:widowControl/>
        <w:spacing w:before="100" w:beforeAutospacing="1" w:after="100" w:afterAutospacing="1"/>
        <w:rPr>
          <w:rFonts w:cs="Arial"/>
          <w:i w:val="0"/>
          <w:iCs w:val="0"/>
          <w:color w:val="auto"/>
          <w:szCs w:val="21"/>
          <w:highlight w:val="none"/>
        </w:rPr>
      </w:pPr>
    </w:p>
    <w:p w14:paraId="073C8D2B">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50EEF8FB">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6839E755">
      <w:pPr>
        <w:ind w:firstLine="420"/>
        <w:rPr>
          <w:rFonts w:cs="仿宋_GB2312"/>
          <w:i w:val="0"/>
          <w:iCs w:val="0"/>
          <w:color w:val="auto"/>
          <w:szCs w:val="24"/>
          <w:highlight w:val="none"/>
        </w:rPr>
      </w:pPr>
      <w:r>
        <w:rPr>
          <w:rFonts w:cs="仿宋_GB2312"/>
          <w:i w:val="0"/>
          <w:iCs w:val="0"/>
          <w:color w:val="auto"/>
          <w:szCs w:val="24"/>
          <w:highlight w:val="none"/>
        </w:rPr>
        <w:br w:type="page"/>
      </w:r>
    </w:p>
    <w:p w14:paraId="67E46576">
      <w:pPr>
        <w:pStyle w:val="3"/>
        <w:keepNext/>
        <w:keepLines/>
        <w:pageBreakBefore w:val="0"/>
        <w:widowControl w:val="0"/>
        <w:numPr>
          <w:ilvl w:val="0"/>
          <w:numId w:val="9"/>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15" w:name="_Toc7854"/>
      <w:r>
        <w:rPr>
          <w:rFonts w:hint="eastAsia" w:eastAsia="宋体" w:asciiTheme="majorHAnsi" w:hAnsiTheme="majorHAnsi" w:cstheme="majorBidi"/>
          <w:b/>
          <w:bCs/>
          <w:i w:val="0"/>
          <w:iCs w:val="0"/>
          <w:color w:val="auto"/>
          <w:kern w:val="2"/>
          <w:sz w:val="32"/>
          <w:szCs w:val="32"/>
          <w:highlight w:val="none"/>
          <w:lang w:val="en-US" w:eastAsia="zh-CN" w:bidi="ar-SA"/>
        </w:rPr>
        <w:t>拟派项目团队</w:t>
      </w:r>
      <w:bookmarkEnd w:id="715"/>
    </w:p>
    <w:p w14:paraId="289C8804">
      <w:pPr>
        <w:pStyle w:val="84"/>
        <w:numPr>
          <w:ilvl w:val="0"/>
          <w:numId w:val="10"/>
        </w:numPr>
        <w:spacing w:line="500" w:lineRule="exact"/>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项目负责人简历表</w:t>
      </w:r>
    </w:p>
    <w:p w14:paraId="4C2DAD00">
      <w:pPr>
        <w:pStyle w:val="84"/>
        <w:widowControl w:val="0"/>
        <w:numPr>
          <w:ilvl w:val="0"/>
          <w:numId w:val="0"/>
        </w:numPr>
        <w:spacing w:line="500" w:lineRule="exact"/>
        <w:jc w:val="both"/>
        <w:rPr>
          <w:rFonts w:hint="eastAsia" w:ascii="宋体" w:hAnsi="宋体" w:eastAsia="宋体" w:cs="宋体"/>
          <w:b/>
          <w:bCs/>
          <w:color w:val="000000"/>
          <w:sz w:val="24"/>
          <w:szCs w:val="24"/>
          <w:highlight w:val="none"/>
          <w:lang w:val="en-US" w:eastAsia="zh-CN"/>
        </w:rPr>
      </w:pP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0"/>
        <w:gridCol w:w="1420"/>
        <w:gridCol w:w="5"/>
        <w:gridCol w:w="1415"/>
        <w:gridCol w:w="1420"/>
        <w:gridCol w:w="1421"/>
        <w:gridCol w:w="1421"/>
      </w:tblGrid>
      <w:tr w14:paraId="6F5E5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621D548E">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姓名</w:t>
            </w:r>
          </w:p>
        </w:tc>
        <w:tc>
          <w:tcPr>
            <w:tcW w:w="1426" w:type="dxa"/>
            <w:gridSpan w:val="2"/>
            <w:vAlign w:val="center"/>
          </w:tcPr>
          <w:p w14:paraId="39C3C8E7">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16" w:type="dxa"/>
            <w:vAlign w:val="center"/>
          </w:tcPr>
          <w:p w14:paraId="3E8176AD">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年龄</w:t>
            </w:r>
          </w:p>
        </w:tc>
        <w:tc>
          <w:tcPr>
            <w:tcW w:w="1421" w:type="dxa"/>
            <w:vAlign w:val="center"/>
          </w:tcPr>
          <w:p w14:paraId="71F6A621">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251E2C34">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身份证号码</w:t>
            </w:r>
          </w:p>
        </w:tc>
        <w:tc>
          <w:tcPr>
            <w:tcW w:w="1422" w:type="dxa"/>
            <w:vAlign w:val="center"/>
          </w:tcPr>
          <w:p w14:paraId="7C9A719F">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6726E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43AD0E66">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vertAlign w:val="baseline"/>
              </w:rPr>
              <w:t>毕业学校</w:t>
            </w:r>
          </w:p>
        </w:tc>
        <w:tc>
          <w:tcPr>
            <w:tcW w:w="4263" w:type="dxa"/>
            <w:gridSpan w:val="4"/>
            <w:vAlign w:val="center"/>
          </w:tcPr>
          <w:p w14:paraId="07502CCB">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113BCA32">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专业</w:t>
            </w:r>
          </w:p>
        </w:tc>
        <w:tc>
          <w:tcPr>
            <w:tcW w:w="1422" w:type="dxa"/>
            <w:vAlign w:val="center"/>
          </w:tcPr>
          <w:p w14:paraId="5D7774C8">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3BDDD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51CB2629">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学位</w:t>
            </w:r>
          </w:p>
        </w:tc>
        <w:tc>
          <w:tcPr>
            <w:tcW w:w="1421" w:type="dxa"/>
            <w:vAlign w:val="center"/>
          </w:tcPr>
          <w:p w14:paraId="074A314C">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gridSpan w:val="2"/>
            <w:vAlign w:val="center"/>
          </w:tcPr>
          <w:p w14:paraId="5EB2B7B6">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职称</w:t>
            </w:r>
          </w:p>
        </w:tc>
        <w:tc>
          <w:tcPr>
            <w:tcW w:w="1421" w:type="dxa"/>
            <w:vAlign w:val="center"/>
          </w:tcPr>
          <w:p w14:paraId="38164C25">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453EC009">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职务</w:t>
            </w:r>
          </w:p>
        </w:tc>
        <w:tc>
          <w:tcPr>
            <w:tcW w:w="1422" w:type="dxa"/>
            <w:vAlign w:val="center"/>
          </w:tcPr>
          <w:p w14:paraId="4990FDD2">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077A8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713E3BE4">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现所在机 构或部门</w:t>
            </w:r>
          </w:p>
        </w:tc>
        <w:tc>
          <w:tcPr>
            <w:tcW w:w="4263" w:type="dxa"/>
            <w:gridSpan w:val="4"/>
            <w:vAlign w:val="center"/>
          </w:tcPr>
          <w:p w14:paraId="1C16D4FB">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0463A523">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服务时间</w:t>
            </w:r>
          </w:p>
        </w:tc>
        <w:tc>
          <w:tcPr>
            <w:tcW w:w="1422" w:type="dxa"/>
            <w:vAlign w:val="center"/>
          </w:tcPr>
          <w:p w14:paraId="0C35812E">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5FFA8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1421" w:type="dxa"/>
            <w:vAlign w:val="center"/>
          </w:tcPr>
          <w:p w14:paraId="43D5FBD4">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主要经历</w:t>
            </w:r>
          </w:p>
        </w:tc>
        <w:tc>
          <w:tcPr>
            <w:tcW w:w="7107" w:type="dxa"/>
            <w:gridSpan w:val="6"/>
            <w:vAlign w:val="center"/>
          </w:tcPr>
          <w:p w14:paraId="617DD18D">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3F7F9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497DB02D">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日期</w:t>
            </w:r>
          </w:p>
        </w:tc>
        <w:tc>
          <w:tcPr>
            <w:tcW w:w="2842" w:type="dxa"/>
            <w:gridSpan w:val="3"/>
            <w:vAlign w:val="center"/>
          </w:tcPr>
          <w:p w14:paraId="1D0B39D3">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参加过的项目名称</w:t>
            </w:r>
          </w:p>
        </w:tc>
        <w:tc>
          <w:tcPr>
            <w:tcW w:w="2843" w:type="dxa"/>
            <w:gridSpan w:val="2"/>
            <w:vAlign w:val="center"/>
          </w:tcPr>
          <w:p w14:paraId="561CF964">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担任何职务</w:t>
            </w:r>
          </w:p>
        </w:tc>
        <w:tc>
          <w:tcPr>
            <w:tcW w:w="1422" w:type="dxa"/>
            <w:vAlign w:val="center"/>
          </w:tcPr>
          <w:p w14:paraId="6F3E1A20">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备注</w:t>
            </w:r>
          </w:p>
        </w:tc>
      </w:tr>
      <w:tr w14:paraId="2602C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6CDBFE88">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50DC6481">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gridSpan w:val="2"/>
            <w:vAlign w:val="center"/>
          </w:tcPr>
          <w:p w14:paraId="2FB6CBD8">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6CF3C27D">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43DDFA75">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672511A3">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050B5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1970CB67">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60B9201E">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gridSpan w:val="2"/>
            <w:vAlign w:val="center"/>
          </w:tcPr>
          <w:p w14:paraId="64443F8D">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2FF25CA3">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60F6886F">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356C26A1">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797BB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6819FF95">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1BC4DDD5">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gridSpan w:val="2"/>
            <w:vAlign w:val="center"/>
          </w:tcPr>
          <w:p w14:paraId="7CA53EE7">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6CF0C68C">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1D317B41">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5C9E5B60">
            <w:pPr>
              <w:pStyle w:val="8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bl>
    <w:p w14:paraId="154A7042">
      <w:pPr>
        <w:pStyle w:val="84"/>
        <w:widowControl w:val="0"/>
        <w:numPr>
          <w:ilvl w:val="0"/>
          <w:numId w:val="0"/>
        </w:numPr>
        <w:spacing w:line="500" w:lineRule="exact"/>
        <w:jc w:val="both"/>
        <w:rPr>
          <w:rFonts w:hint="eastAsia" w:ascii="宋体" w:hAnsi="宋体" w:eastAsia="宋体" w:cs="宋体"/>
          <w:b/>
          <w:bCs/>
          <w:color w:val="000000"/>
          <w:sz w:val="24"/>
          <w:szCs w:val="24"/>
          <w:highlight w:val="none"/>
          <w:lang w:val="en-US" w:eastAsia="zh-CN"/>
        </w:rPr>
      </w:pPr>
    </w:p>
    <w:p w14:paraId="2C548B88">
      <w:pPr>
        <w:pStyle w:val="84"/>
        <w:widowControl w:val="0"/>
        <w:numPr>
          <w:ilvl w:val="0"/>
          <w:numId w:val="0"/>
        </w:numPr>
        <w:spacing w:line="500" w:lineRule="exact"/>
        <w:jc w:val="both"/>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提供项目负责人1人，需具备国家注册造价工程师（原注册造价师），在本单位注册，且在有效期内（需提供开标前近三个月社保证明或劳动合同，以及中国建设工程造价管理协会网站查询结果打印件加盖公章）</w:t>
      </w:r>
    </w:p>
    <w:p w14:paraId="2F998E68">
      <w:pPr>
        <w:pStyle w:val="84"/>
        <w:widowControl w:val="0"/>
        <w:numPr>
          <w:ilvl w:val="0"/>
          <w:numId w:val="0"/>
        </w:numPr>
        <w:spacing w:line="500" w:lineRule="exact"/>
        <w:jc w:val="both"/>
        <w:rPr>
          <w:rFonts w:hint="eastAsia" w:ascii="宋体" w:hAnsi="宋体" w:eastAsia="宋体" w:cs="宋体"/>
          <w:b/>
          <w:bCs/>
          <w:color w:val="000000"/>
          <w:sz w:val="24"/>
          <w:szCs w:val="24"/>
          <w:highlight w:val="none"/>
          <w:lang w:val="en-US" w:eastAsia="zh-CN"/>
        </w:rPr>
      </w:pPr>
    </w:p>
    <w:p w14:paraId="5C97E259">
      <w:pPr>
        <w:pStyle w:val="84"/>
        <w:numPr>
          <w:ilvl w:val="0"/>
          <w:numId w:val="10"/>
        </w:numPr>
        <w:spacing w:line="500" w:lineRule="exact"/>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拟投入本项目的主要成员表</w:t>
      </w:r>
    </w:p>
    <w:p w14:paraId="2AF252B6">
      <w:pPr>
        <w:numPr>
          <w:ilvl w:val="0"/>
          <w:numId w:val="0"/>
        </w:numPr>
        <w:rPr>
          <w:rFonts w:hint="eastAsia"/>
          <w:lang w:val="en-US" w:eastAsia="zh-CN"/>
        </w:rPr>
      </w:pPr>
    </w:p>
    <w:tbl>
      <w:tblPr>
        <w:tblStyle w:val="32"/>
        <w:tblW w:w="9162" w:type="dxa"/>
        <w:tblInd w:w="-3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143"/>
        <w:gridCol w:w="1334"/>
        <w:gridCol w:w="1188"/>
        <w:gridCol w:w="816"/>
        <w:gridCol w:w="1815"/>
        <w:gridCol w:w="1277"/>
        <w:gridCol w:w="816"/>
      </w:tblGrid>
      <w:tr w14:paraId="603DD6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4" w:hRule="atLeast"/>
        </w:trPr>
        <w:tc>
          <w:tcPr>
            <w:tcW w:w="773" w:type="dxa"/>
            <w:vAlign w:val="center"/>
          </w:tcPr>
          <w:p w14:paraId="57783F26">
            <w:pPr>
              <w:pStyle w:val="51"/>
              <w:jc w:val="center"/>
              <w:rPr>
                <w:i w:val="0"/>
                <w:iCs w:val="0"/>
                <w:color w:val="auto"/>
                <w:highlight w:val="none"/>
              </w:rPr>
            </w:pPr>
            <w:r>
              <w:rPr>
                <w:rFonts w:hint="eastAsia"/>
                <w:i w:val="0"/>
                <w:iCs w:val="0"/>
                <w:color w:val="auto"/>
                <w:highlight w:val="none"/>
              </w:rPr>
              <w:t>序号</w:t>
            </w:r>
          </w:p>
        </w:tc>
        <w:tc>
          <w:tcPr>
            <w:tcW w:w="1143" w:type="dxa"/>
            <w:vAlign w:val="center"/>
          </w:tcPr>
          <w:p w14:paraId="3C30FE0A">
            <w:pPr>
              <w:pStyle w:val="51"/>
              <w:jc w:val="center"/>
              <w:rPr>
                <w:i w:val="0"/>
                <w:iCs w:val="0"/>
                <w:color w:val="auto"/>
                <w:highlight w:val="none"/>
              </w:rPr>
            </w:pPr>
            <w:r>
              <w:rPr>
                <w:rFonts w:hint="eastAsia"/>
                <w:i w:val="0"/>
                <w:iCs w:val="0"/>
                <w:color w:val="auto"/>
                <w:highlight w:val="none"/>
                <w:lang w:val="en-US" w:eastAsia="zh-CN"/>
              </w:rPr>
              <w:t>团队成员</w:t>
            </w:r>
          </w:p>
          <w:p w14:paraId="35D4E432">
            <w:pPr>
              <w:pStyle w:val="51"/>
              <w:jc w:val="center"/>
              <w:rPr>
                <w:i w:val="0"/>
                <w:iCs w:val="0"/>
                <w:color w:val="auto"/>
                <w:highlight w:val="none"/>
              </w:rPr>
            </w:pPr>
            <w:r>
              <w:rPr>
                <w:rFonts w:hint="eastAsia"/>
                <w:i w:val="0"/>
                <w:iCs w:val="0"/>
                <w:color w:val="auto"/>
                <w:highlight w:val="none"/>
              </w:rPr>
              <w:t>姓名</w:t>
            </w:r>
          </w:p>
        </w:tc>
        <w:tc>
          <w:tcPr>
            <w:tcW w:w="1334" w:type="dxa"/>
            <w:tcBorders>
              <w:right w:val="single" w:color="auto" w:sz="4" w:space="0"/>
            </w:tcBorders>
            <w:vAlign w:val="center"/>
          </w:tcPr>
          <w:p w14:paraId="7325FC02">
            <w:pPr>
              <w:pStyle w:val="51"/>
              <w:jc w:val="center"/>
              <w:rPr>
                <w:i w:val="0"/>
                <w:iCs w:val="0"/>
                <w:color w:val="auto"/>
                <w:highlight w:val="none"/>
              </w:rPr>
            </w:pPr>
            <w:r>
              <w:rPr>
                <w:rFonts w:hint="eastAsia"/>
                <w:i w:val="0"/>
                <w:iCs w:val="0"/>
                <w:color w:val="auto"/>
                <w:highlight w:val="none"/>
              </w:rPr>
              <w:t>工作单位</w:t>
            </w:r>
          </w:p>
        </w:tc>
        <w:tc>
          <w:tcPr>
            <w:tcW w:w="1188" w:type="dxa"/>
            <w:tcBorders>
              <w:left w:val="single" w:color="auto" w:sz="4" w:space="0"/>
            </w:tcBorders>
            <w:vAlign w:val="center"/>
          </w:tcPr>
          <w:p w14:paraId="3F70C1C6">
            <w:pPr>
              <w:pStyle w:val="51"/>
              <w:jc w:val="center"/>
              <w:rPr>
                <w:i w:val="0"/>
                <w:iCs w:val="0"/>
                <w:color w:val="auto"/>
                <w:highlight w:val="none"/>
              </w:rPr>
            </w:pPr>
            <w:r>
              <w:rPr>
                <w:rFonts w:hint="eastAsia"/>
                <w:i w:val="0"/>
                <w:iCs w:val="0"/>
                <w:color w:val="auto"/>
                <w:highlight w:val="none"/>
              </w:rPr>
              <w:t>身份证号</w:t>
            </w:r>
          </w:p>
        </w:tc>
        <w:tc>
          <w:tcPr>
            <w:tcW w:w="816" w:type="dxa"/>
            <w:tcBorders>
              <w:left w:val="single" w:color="auto" w:sz="4" w:space="0"/>
            </w:tcBorders>
            <w:vAlign w:val="center"/>
          </w:tcPr>
          <w:p w14:paraId="6E7E97C6">
            <w:pPr>
              <w:pStyle w:val="51"/>
              <w:jc w:val="center"/>
              <w:rPr>
                <w:i w:val="0"/>
                <w:iCs w:val="0"/>
                <w:color w:val="auto"/>
                <w:highlight w:val="none"/>
              </w:rPr>
            </w:pPr>
            <w:r>
              <w:rPr>
                <w:rFonts w:hint="eastAsia"/>
                <w:i w:val="0"/>
                <w:iCs w:val="0"/>
                <w:color w:val="auto"/>
                <w:highlight w:val="none"/>
              </w:rPr>
              <w:t>职称</w:t>
            </w:r>
          </w:p>
        </w:tc>
        <w:tc>
          <w:tcPr>
            <w:tcW w:w="1815" w:type="dxa"/>
            <w:vAlign w:val="center"/>
          </w:tcPr>
          <w:p w14:paraId="39BC0556">
            <w:pPr>
              <w:pStyle w:val="51"/>
              <w:jc w:val="center"/>
              <w:rPr>
                <w:rFonts w:hint="default" w:eastAsia="宋体"/>
                <w:i w:val="0"/>
                <w:iCs w:val="0"/>
                <w:color w:val="auto"/>
                <w:highlight w:val="none"/>
                <w:lang w:val="en-US" w:eastAsia="zh-CN"/>
              </w:rPr>
            </w:pPr>
            <w:r>
              <w:rPr>
                <w:rFonts w:hint="eastAsia"/>
                <w:i w:val="0"/>
                <w:iCs w:val="0"/>
                <w:color w:val="auto"/>
                <w:highlight w:val="none"/>
                <w:lang w:val="en-US" w:eastAsia="zh-CN"/>
              </w:rPr>
              <w:t>注册证书（岗位证书）名称及编号</w:t>
            </w:r>
          </w:p>
        </w:tc>
        <w:tc>
          <w:tcPr>
            <w:tcW w:w="1277" w:type="dxa"/>
            <w:vAlign w:val="center"/>
          </w:tcPr>
          <w:p w14:paraId="3BED7572">
            <w:pPr>
              <w:pStyle w:val="51"/>
              <w:jc w:val="center"/>
              <w:rPr>
                <w:i w:val="0"/>
                <w:iCs w:val="0"/>
                <w:color w:val="auto"/>
                <w:highlight w:val="none"/>
              </w:rPr>
            </w:pPr>
            <w:r>
              <w:rPr>
                <w:rFonts w:hint="eastAsia" w:eastAsia="宋体"/>
                <w:i w:val="0"/>
                <w:iCs w:val="0"/>
                <w:color w:val="auto"/>
                <w:highlight w:val="none"/>
                <w:lang w:val="en-US" w:eastAsia="zh-CN"/>
              </w:rPr>
              <w:t>在团队中职务（岗位）</w:t>
            </w:r>
          </w:p>
        </w:tc>
        <w:tc>
          <w:tcPr>
            <w:tcW w:w="816" w:type="dxa"/>
            <w:vAlign w:val="center"/>
          </w:tcPr>
          <w:p w14:paraId="4767E19D">
            <w:pPr>
              <w:pStyle w:val="51"/>
              <w:jc w:val="center"/>
              <w:rPr>
                <w:i w:val="0"/>
                <w:iCs w:val="0"/>
                <w:color w:val="auto"/>
                <w:highlight w:val="none"/>
              </w:rPr>
            </w:pPr>
            <w:r>
              <w:rPr>
                <w:rFonts w:hint="eastAsia"/>
                <w:i w:val="0"/>
                <w:iCs w:val="0"/>
                <w:color w:val="auto"/>
                <w:highlight w:val="none"/>
              </w:rPr>
              <w:t>自有</w:t>
            </w:r>
            <w:r>
              <w:rPr>
                <w:i w:val="0"/>
                <w:iCs w:val="0"/>
                <w:color w:val="auto"/>
                <w:highlight w:val="none"/>
              </w:rPr>
              <w:t>/外聘</w:t>
            </w:r>
          </w:p>
        </w:tc>
      </w:tr>
      <w:tr w14:paraId="5B9C63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BADE648">
            <w:pPr>
              <w:pStyle w:val="51"/>
              <w:jc w:val="center"/>
              <w:rPr>
                <w:i w:val="0"/>
                <w:iCs w:val="0"/>
                <w:color w:val="auto"/>
                <w:highlight w:val="none"/>
              </w:rPr>
            </w:pPr>
            <w:bookmarkStart w:id="716" w:name="_Toc100090784"/>
            <w:bookmarkStart w:id="717" w:name="_Toc99533292"/>
            <w:r>
              <w:rPr>
                <w:rFonts w:hint="eastAsia"/>
                <w:i w:val="0"/>
                <w:iCs w:val="0"/>
                <w:color w:val="auto"/>
                <w:highlight w:val="none"/>
              </w:rPr>
              <w:t>1</w:t>
            </w:r>
            <w:bookmarkEnd w:id="716"/>
            <w:bookmarkEnd w:id="717"/>
          </w:p>
        </w:tc>
        <w:tc>
          <w:tcPr>
            <w:tcW w:w="1143" w:type="dxa"/>
            <w:vAlign w:val="center"/>
          </w:tcPr>
          <w:p w14:paraId="62830C6C">
            <w:pPr>
              <w:pStyle w:val="51"/>
              <w:jc w:val="center"/>
              <w:rPr>
                <w:i w:val="0"/>
                <w:iCs w:val="0"/>
                <w:color w:val="auto"/>
                <w:highlight w:val="none"/>
              </w:rPr>
            </w:pPr>
          </w:p>
        </w:tc>
        <w:tc>
          <w:tcPr>
            <w:tcW w:w="1334" w:type="dxa"/>
            <w:tcBorders>
              <w:right w:val="single" w:color="auto" w:sz="4" w:space="0"/>
            </w:tcBorders>
            <w:vAlign w:val="center"/>
          </w:tcPr>
          <w:p w14:paraId="1530AA88">
            <w:pPr>
              <w:pStyle w:val="51"/>
              <w:jc w:val="center"/>
              <w:rPr>
                <w:i w:val="0"/>
                <w:iCs w:val="0"/>
                <w:color w:val="auto"/>
                <w:highlight w:val="none"/>
              </w:rPr>
            </w:pPr>
          </w:p>
        </w:tc>
        <w:tc>
          <w:tcPr>
            <w:tcW w:w="1188" w:type="dxa"/>
            <w:tcBorders>
              <w:left w:val="single" w:color="auto" w:sz="4" w:space="0"/>
            </w:tcBorders>
            <w:vAlign w:val="center"/>
          </w:tcPr>
          <w:p w14:paraId="102F202E">
            <w:pPr>
              <w:pStyle w:val="51"/>
              <w:jc w:val="center"/>
              <w:rPr>
                <w:i w:val="0"/>
                <w:iCs w:val="0"/>
                <w:color w:val="auto"/>
                <w:highlight w:val="none"/>
              </w:rPr>
            </w:pPr>
          </w:p>
        </w:tc>
        <w:tc>
          <w:tcPr>
            <w:tcW w:w="816" w:type="dxa"/>
            <w:tcBorders>
              <w:left w:val="single" w:color="auto" w:sz="4" w:space="0"/>
            </w:tcBorders>
            <w:vAlign w:val="center"/>
          </w:tcPr>
          <w:p w14:paraId="5C4C4FAF">
            <w:pPr>
              <w:pStyle w:val="51"/>
              <w:jc w:val="center"/>
              <w:rPr>
                <w:i w:val="0"/>
                <w:iCs w:val="0"/>
                <w:color w:val="auto"/>
                <w:highlight w:val="none"/>
              </w:rPr>
            </w:pPr>
          </w:p>
        </w:tc>
        <w:tc>
          <w:tcPr>
            <w:tcW w:w="1815" w:type="dxa"/>
            <w:vAlign w:val="center"/>
          </w:tcPr>
          <w:p w14:paraId="0D11BEEF">
            <w:pPr>
              <w:pStyle w:val="51"/>
              <w:jc w:val="center"/>
              <w:rPr>
                <w:i w:val="0"/>
                <w:iCs w:val="0"/>
                <w:color w:val="auto"/>
                <w:highlight w:val="none"/>
              </w:rPr>
            </w:pPr>
          </w:p>
        </w:tc>
        <w:tc>
          <w:tcPr>
            <w:tcW w:w="1277" w:type="dxa"/>
            <w:vAlign w:val="center"/>
          </w:tcPr>
          <w:p w14:paraId="6AF6A60F">
            <w:pPr>
              <w:pStyle w:val="51"/>
              <w:jc w:val="center"/>
              <w:rPr>
                <w:i w:val="0"/>
                <w:iCs w:val="0"/>
                <w:color w:val="auto"/>
                <w:highlight w:val="none"/>
              </w:rPr>
            </w:pPr>
          </w:p>
        </w:tc>
        <w:tc>
          <w:tcPr>
            <w:tcW w:w="816" w:type="dxa"/>
            <w:vAlign w:val="center"/>
          </w:tcPr>
          <w:p w14:paraId="799CC033">
            <w:pPr>
              <w:pStyle w:val="51"/>
              <w:jc w:val="center"/>
              <w:rPr>
                <w:i w:val="0"/>
                <w:iCs w:val="0"/>
                <w:color w:val="auto"/>
                <w:highlight w:val="none"/>
              </w:rPr>
            </w:pPr>
          </w:p>
        </w:tc>
      </w:tr>
      <w:tr w14:paraId="3D3B15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7D5C8D0B">
            <w:pPr>
              <w:pStyle w:val="51"/>
              <w:jc w:val="center"/>
              <w:rPr>
                <w:i w:val="0"/>
                <w:iCs w:val="0"/>
                <w:color w:val="auto"/>
                <w:highlight w:val="none"/>
              </w:rPr>
            </w:pPr>
            <w:bookmarkStart w:id="718" w:name="_Toc99533293"/>
            <w:bookmarkStart w:id="719" w:name="_Toc100090785"/>
            <w:r>
              <w:rPr>
                <w:rFonts w:hint="eastAsia"/>
                <w:i w:val="0"/>
                <w:iCs w:val="0"/>
                <w:color w:val="auto"/>
                <w:highlight w:val="none"/>
              </w:rPr>
              <w:t>2</w:t>
            </w:r>
            <w:bookmarkEnd w:id="718"/>
            <w:bookmarkEnd w:id="719"/>
          </w:p>
        </w:tc>
        <w:tc>
          <w:tcPr>
            <w:tcW w:w="1143" w:type="dxa"/>
            <w:vAlign w:val="center"/>
          </w:tcPr>
          <w:p w14:paraId="1BFF9DCF">
            <w:pPr>
              <w:pStyle w:val="51"/>
              <w:jc w:val="center"/>
              <w:rPr>
                <w:i w:val="0"/>
                <w:iCs w:val="0"/>
                <w:color w:val="auto"/>
                <w:highlight w:val="none"/>
              </w:rPr>
            </w:pPr>
          </w:p>
        </w:tc>
        <w:tc>
          <w:tcPr>
            <w:tcW w:w="1334" w:type="dxa"/>
            <w:tcBorders>
              <w:right w:val="single" w:color="auto" w:sz="4" w:space="0"/>
            </w:tcBorders>
            <w:vAlign w:val="center"/>
          </w:tcPr>
          <w:p w14:paraId="7BA441ED">
            <w:pPr>
              <w:pStyle w:val="51"/>
              <w:jc w:val="center"/>
              <w:rPr>
                <w:i w:val="0"/>
                <w:iCs w:val="0"/>
                <w:color w:val="auto"/>
                <w:highlight w:val="none"/>
              </w:rPr>
            </w:pPr>
          </w:p>
        </w:tc>
        <w:tc>
          <w:tcPr>
            <w:tcW w:w="1188" w:type="dxa"/>
            <w:tcBorders>
              <w:left w:val="single" w:color="auto" w:sz="4" w:space="0"/>
            </w:tcBorders>
            <w:vAlign w:val="center"/>
          </w:tcPr>
          <w:p w14:paraId="0492353E">
            <w:pPr>
              <w:pStyle w:val="51"/>
              <w:jc w:val="center"/>
              <w:rPr>
                <w:i w:val="0"/>
                <w:iCs w:val="0"/>
                <w:color w:val="auto"/>
                <w:highlight w:val="none"/>
              </w:rPr>
            </w:pPr>
          </w:p>
        </w:tc>
        <w:tc>
          <w:tcPr>
            <w:tcW w:w="816" w:type="dxa"/>
            <w:tcBorders>
              <w:left w:val="single" w:color="auto" w:sz="4" w:space="0"/>
            </w:tcBorders>
            <w:vAlign w:val="center"/>
          </w:tcPr>
          <w:p w14:paraId="6ADF642E">
            <w:pPr>
              <w:pStyle w:val="51"/>
              <w:jc w:val="center"/>
              <w:rPr>
                <w:i w:val="0"/>
                <w:iCs w:val="0"/>
                <w:color w:val="auto"/>
                <w:highlight w:val="none"/>
              </w:rPr>
            </w:pPr>
          </w:p>
        </w:tc>
        <w:tc>
          <w:tcPr>
            <w:tcW w:w="1815" w:type="dxa"/>
            <w:vAlign w:val="center"/>
          </w:tcPr>
          <w:p w14:paraId="35982E38">
            <w:pPr>
              <w:pStyle w:val="51"/>
              <w:jc w:val="center"/>
              <w:rPr>
                <w:i w:val="0"/>
                <w:iCs w:val="0"/>
                <w:color w:val="auto"/>
                <w:highlight w:val="none"/>
              </w:rPr>
            </w:pPr>
          </w:p>
        </w:tc>
        <w:tc>
          <w:tcPr>
            <w:tcW w:w="1277" w:type="dxa"/>
            <w:vAlign w:val="center"/>
          </w:tcPr>
          <w:p w14:paraId="6A591D9B">
            <w:pPr>
              <w:pStyle w:val="51"/>
              <w:jc w:val="center"/>
              <w:rPr>
                <w:i w:val="0"/>
                <w:iCs w:val="0"/>
                <w:color w:val="auto"/>
                <w:highlight w:val="none"/>
              </w:rPr>
            </w:pPr>
          </w:p>
        </w:tc>
        <w:tc>
          <w:tcPr>
            <w:tcW w:w="816" w:type="dxa"/>
            <w:vAlign w:val="center"/>
          </w:tcPr>
          <w:p w14:paraId="66D1F48B">
            <w:pPr>
              <w:pStyle w:val="51"/>
              <w:jc w:val="center"/>
              <w:rPr>
                <w:i w:val="0"/>
                <w:iCs w:val="0"/>
                <w:color w:val="auto"/>
                <w:highlight w:val="none"/>
              </w:rPr>
            </w:pPr>
          </w:p>
        </w:tc>
      </w:tr>
      <w:tr w14:paraId="2C94B0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3B53D17A">
            <w:pPr>
              <w:pStyle w:val="51"/>
              <w:jc w:val="center"/>
              <w:rPr>
                <w:i w:val="0"/>
                <w:iCs w:val="0"/>
                <w:color w:val="auto"/>
                <w:highlight w:val="none"/>
              </w:rPr>
            </w:pPr>
            <w:bookmarkStart w:id="720" w:name="_Toc99533294"/>
            <w:bookmarkStart w:id="721" w:name="_Toc100090786"/>
            <w:r>
              <w:rPr>
                <w:rFonts w:hint="eastAsia"/>
                <w:i w:val="0"/>
                <w:iCs w:val="0"/>
                <w:color w:val="auto"/>
                <w:highlight w:val="none"/>
              </w:rPr>
              <w:t>3</w:t>
            </w:r>
            <w:bookmarkEnd w:id="720"/>
            <w:bookmarkEnd w:id="721"/>
          </w:p>
        </w:tc>
        <w:tc>
          <w:tcPr>
            <w:tcW w:w="1143" w:type="dxa"/>
            <w:vAlign w:val="center"/>
          </w:tcPr>
          <w:p w14:paraId="610B241B">
            <w:pPr>
              <w:pStyle w:val="51"/>
              <w:jc w:val="center"/>
              <w:rPr>
                <w:i w:val="0"/>
                <w:iCs w:val="0"/>
                <w:color w:val="auto"/>
                <w:highlight w:val="none"/>
              </w:rPr>
            </w:pPr>
          </w:p>
        </w:tc>
        <w:tc>
          <w:tcPr>
            <w:tcW w:w="1334" w:type="dxa"/>
            <w:tcBorders>
              <w:right w:val="single" w:color="auto" w:sz="4" w:space="0"/>
            </w:tcBorders>
            <w:vAlign w:val="center"/>
          </w:tcPr>
          <w:p w14:paraId="3166EE6A">
            <w:pPr>
              <w:pStyle w:val="51"/>
              <w:jc w:val="center"/>
              <w:rPr>
                <w:i w:val="0"/>
                <w:iCs w:val="0"/>
                <w:color w:val="auto"/>
                <w:highlight w:val="none"/>
              </w:rPr>
            </w:pPr>
          </w:p>
        </w:tc>
        <w:tc>
          <w:tcPr>
            <w:tcW w:w="1188" w:type="dxa"/>
            <w:tcBorders>
              <w:left w:val="single" w:color="auto" w:sz="4" w:space="0"/>
            </w:tcBorders>
            <w:vAlign w:val="center"/>
          </w:tcPr>
          <w:p w14:paraId="5F9AD42D">
            <w:pPr>
              <w:pStyle w:val="51"/>
              <w:jc w:val="center"/>
              <w:rPr>
                <w:i w:val="0"/>
                <w:iCs w:val="0"/>
                <w:color w:val="auto"/>
                <w:highlight w:val="none"/>
              </w:rPr>
            </w:pPr>
          </w:p>
        </w:tc>
        <w:tc>
          <w:tcPr>
            <w:tcW w:w="816" w:type="dxa"/>
            <w:tcBorders>
              <w:left w:val="single" w:color="auto" w:sz="4" w:space="0"/>
            </w:tcBorders>
            <w:vAlign w:val="center"/>
          </w:tcPr>
          <w:p w14:paraId="229AAE81">
            <w:pPr>
              <w:pStyle w:val="51"/>
              <w:jc w:val="center"/>
              <w:rPr>
                <w:i w:val="0"/>
                <w:iCs w:val="0"/>
                <w:color w:val="auto"/>
                <w:highlight w:val="none"/>
              </w:rPr>
            </w:pPr>
          </w:p>
        </w:tc>
        <w:tc>
          <w:tcPr>
            <w:tcW w:w="1815" w:type="dxa"/>
            <w:vAlign w:val="center"/>
          </w:tcPr>
          <w:p w14:paraId="6A76F294">
            <w:pPr>
              <w:pStyle w:val="51"/>
              <w:jc w:val="center"/>
              <w:rPr>
                <w:i w:val="0"/>
                <w:iCs w:val="0"/>
                <w:color w:val="auto"/>
                <w:highlight w:val="none"/>
              </w:rPr>
            </w:pPr>
          </w:p>
        </w:tc>
        <w:tc>
          <w:tcPr>
            <w:tcW w:w="1277" w:type="dxa"/>
            <w:vAlign w:val="center"/>
          </w:tcPr>
          <w:p w14:paraId="1CFFCFE7">
            <w:pPr>
              <w:pStyle w:val="51"/>
              <w:jc w:val="center"/>
              <w:rPr>
                <w:i w:val="0"/>
                <w:iCs w:val="0"/>
                <w:color w:val="auto"/>
                <w:highlight w:val="none"/>
              </w:rPr>
            </w:pPr>
          </w:p>
        </w:tc>
        <w:tc>
          <w:tcPr>
            <w:tcW w:w="816" w:type="dxa"/>
            <w:vAlign w:val="center"/>
          </w:tcPr>
          <w:p w14:paraId="30EF6C50">
            <w:pPr>
              <w:pStyle w:val="51"/>
              <w:jc w:val="center"/>
              <w:rPr>
                <w:i w:val="0"/>
                <w:iCs w:val="0"/>
                <w:color w:val="auto"/>
                <w:highlight w:val="none"/>
              </w:rPr>
            </w:pPr>
          </w:p>
        </w:tc>
      </w:tr>
      <w:tr w14:paraId="03EDAF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0A1B5F51">
            <w:pPr>
              <w:pStyle w:val="51"/>
              <w:jc w:val="center"/>
              <w:rPr>
                <w:i w:val="0"/>
                <w:iCs w:val="0"/>
                <w:color w:val="auto"/>
                <w:highlight w:val="none"/>
              </w:rPr>
            </w:pPr>
            <w:bookmarkStart w:id="722" w:name="_Toc100090787"/>
            <w:bookmarkStart w:id="723" w:name="_Toc99533295"/>
            <w:r>
              <w:rPr>
                <w:rFonts w:hint="eastAsia"/>
                <w:i w:val="0"/>
                <w:iCs w:val="0"/>
                <w:color w:val="auto"/>
                <w:highlight w:val="none"/>
              </w:rPr>
              <w:t>4</w:t>
            </w:r>
            <w:bookmarkEnd w:id="722"/>
            <w:bookmarkEnd w:id="723"/>
          </w:p>
        </w:tc>
        <w:tc>
          <w:tcPr>
            <w:tcW w:w="1143" w:type="dxa"/>
            <w:vAlign w:val="center"/>
          </w:tcPr>
          <w:p w14:paraId="4DFBE562">
            <w:pPr>
              <w:pStyle w:val="51"/>
              <w:jc w:val="center"/>
              <w:rPr>
                <w:i w:val="0"/>
                <w:iCs w:val="0"/>
                <w:color w:val="auto"/>
                <w:highlight w:val="none"/>
              </w:rPr>
            </w:pPr>
          </w:p>
        </w:tc>
        <w:tc>
          <w:tcPr>
            <w:tcW w:w="1334" w:type="dxa"/>
            <w:tcBorders>
              <w:right w:val="single" w:color="auto" w:sz="4" w:space="0"/>
            </w:tcBorders>
            <w:vAlign w:val="center"/>
          </w:tcPr>
          <w:p w14:paraId="7052CE22">
            <w:pPr>
              <w:pStyle w:val="51"/>
              <w:jc w:val="center"/>
              <w:rPr>
                <w:i w:val="0"/>
                <w:iCs w:val="0"/>
                <w:color w:val="auto"/>
                <w:highlight w:val="none"/>
              </w:rPr>
            </w:pPr>
          </w:p>
        </w:tc>
        <w:tc>
          <w:tcPr>
            <w:tcW w:w="1188" w:type="dxa"/>
            <w:tcBorders>
              <w:left w:val="single" w:color="auto" w:sz="4" w:space="0"/>
            </w:tcBorders>
            <w:vAlign w:val="center"/>
          </w:tcPr>
          <w:p w14:paraId="005548A3">
            <w:pPr>
              <w:pStyle w:val="51"/>
              <w:jc w:val="center"/>
              <w:rPr>
                <w:i w:val="0"/>
                <w:iCs w:val="0"/>
                <w:color w:val="auto"/>
                <w:highlight w:val="none"/>
              </w:rPr>
            </w:pPr>
          </w:p>
        </w:tc>
        <w:tc>
          <w:tcPr>
            <w:tcW w:w="816" w:type="dxa"/>
            <w:tcBorders>
              <w:left w:val="single" w:color="auto" w:sz="4" w:space="0"/>
            </w:tcBorders>
            <w:vAlign w:val="center"/>
          </w:tcPr>
          <w:p w14:paraId="2EAB985A">
            <w:pPr>
              <w:pStyle w:val="51"/>
              <w:jc w:val="center"/>
              <w:rPr>
                <w:i w:val="0"/>
                <w:iCs w:val="0"/>
                <w:color w:val="auto"/>
                <w:highlight w:val="none"/>
              </w:rPr>
            </w:pPr>
          </w:p>
        </w:tc>
        <w:tc>
          <w:tcPr>
            <w:tcW w:w="1815" w:type="dxa"/>
            <w:vAlign w:val="center"/>
          </w:tcPr>
          <w:p w14:paraId="018C8175">
            <w:pPr>
              <w:pStyle w:val="51"/>
              <w:jc w:val="center"/>
              <w:rPr>
                <w:i w:val="0"/>
                <w:iCs w:val="0"/>
                <w:color w:val="auto"/>
                <w:highlight w:val="none"/>
              </w:rPr>
            </w:pPr>
          </w:p>
        </w:tc>
        <w:tc>
          <w:tcPr>
            <w:tcW w:w="1277" w:type="dxa"/>
            <w:vAlign w:val="center"/>
          </w:tcPr>
          <w:p w14:paraId="7DF10F1E">
            <w:pPr>
              <w:pStyle w:val="51"/>
              <w:jc w:val="center"/>
              <w:rPr>
                <w:i w:val="0"/>
                <w:iCs w:val="0"/>
                <w:color w:val="auto"/>
                <w:highlight w:val="none"/>
              </w:rPr>
            </w:pPr>
          </w:p>
        </w:tc>
        <w:tc>
          <w:tcPr>
            <w:tcW w:w="816" w:type="dxa"/>
            <w:vAlign w:val="center"/>
          </w:tcPr>
          <w:p w14:paraId="0956E352">
            <w:pPr>
              <w:pStyle w:val="51"/>
              <w:jc w:val="center"/>
              <w:rPr>
                <w:i w:val="0"/>
                <w:iCs w:val="0"/>
                <w:color w:val="auto"/>
                <w:highlight w:val="none"/>
              </w:rPr>
            </w:pPr>
          </w:p>
        </w:tc>
      </w:tr>
      <w:tr w14:paraId="7AB52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3C3B7F6F">
            <w:pPr>
              <w:pStyle w:val="51"/>
              <w:jc w:val="center"/>
              <w:rPr>
                <w:i w:val="0"/>
                <w:iCs w:val="0"/>
                <w:color w:val="auto"/>
                <w:highlight w:val="none"/>
              </w:rPr>
            </w:pPr>
            <w:bookmarkStart w:id="724" w:name="_Toc100090788"/>
            <w:bookmarkStart w:id="725" w:name="_Toc99533296"/>
            <w:r>
              <w:rPr>
                <w:rFonts w:hint="eastAsia"/>
                <w:i w:val="0"/>
                <w:iCs w:val="0"/>
                <w:color w:val="auto"/>
                <w:highlight w:val="none"/>
              </w:rPr>
              <w:t>5</w:t>
            </w:r>
            <w:bookmarkEnd w:id="724"/>
            <w:bookmarkEnd w:id="725"/>
          </w:p>
        </w:tc>
        <w:tc>
          <w:tcPr>
            <w:tcW w:w="1143" w:type="dxa"/>
            <w:vAlign w:val="center"/>
          </w:tcPr>
          <w:p w14:paraId="29059747">
            <w:pPr>
              <w:pStyle w:val="51"/>
              <w:jc w:val="center"/>
              <w:rPr>
                <w:i w:val="0"/>
                <w:iCs w:val="0"/>
                <w:color w:val="auto"/>
                <w:highlight w:val="none"/>
              </w:rPr>
            </w:pPr>
          </w:p>
        </w:tc>
        <w:tc>
          <w:tcPr>
            <w:tcW w:w="1334" w:type="dxa"/>
            <w:tcBorders>
              <w:right w:val="single" w:color="auto" w:sz="4" w:space="0"/>
            </w:tcBorders>
            <w:vAlign w:val="center"/>
          </w:tcPr>
          <w:p w14:paraId="6BC9C9E7">
            <w:pPr>
              <w:pStyle w:val="51"/>
              <w:jc w:val="center"/>
              <w:rPr>
                <w:i w:val="0"/>
                <w:iCs w:val="0"/>
                <w:color w:val="auto"/>
                <w:highlight w:val="none"/>
              </w:rPr>
            </w:pPr>
          </w:p>
        </w:tc>
        <w:tc>
          <w:tcPr>
            <w:tcW w:w="1188" w:type="dxa"/>
            <w:tcBorders>
              <w:left w:val="single" w:color="auto" w:sz="4" w:space="0"/>
            </w:tcBorders>
            <w:vAlign w:val="center"/>
          </w:tcPr>
          <w:p w14:paraId="74E5624D">
            <w:pPr>
              <w:pStyle w:val="51"/>
              <w:jc w:val="center"/>
              <w:rPr>
                <w:i w:val="0"/>
                <w:iCs w:val="0"/>
                <w:color w:val="auto"/>
                <w:highlight w:val="none"/>
              </w:rPr>
            </w:pPr>
          </w:p>
        </w:tc>
        <w:tc>
          <w:tcPr>
            <w:tcW w:w="816" w:type="dxa"/>
            <w:tcBorders>
              <w:left w:val="single" w:color="auto" w:sz="4" w:space="0"/>
            </w:tcBorders>
            <w:vAlign w:val="center"/>
          </w:tcPr>
          <w:p w14:paraId="2FDC2702">
            <w:pPr>
              <w:pStyle w:val="51"/>
              <w:jc w:val="center"/>
              <w:rPr>
                <w:i w:val="0"/>
                <w:iCs w:val="0"/>
                <w:color w:val="auto"/>
                <w:highlight w:val="none"/>
              </w:rPr>
            </w:pPr>
          </w:p>
        </w:tc>
        <w:tc>
          <w:tcPr>
            <w:tcW w:w="1815" w:type="dxa"/>
            <w:vAlign w:val="center"/>
          </w:tcPr>
          <w:p w14:paraId="51ECB11F">
            <w:pPr>
              <w:pStyle w:val="51"/>
              <w:jc w:val="center"/>
              <w:rPr>
                <w:i w:val="0"/>
                <w:iCs w:val="0"/>
                <w:color w:val="auto"/>
                <w:highlight w:val="none"/>
              </w:rPr>
            </w:pPr>
          </w:p>
        </w:tc>
        <w:tc>
          <w:tcPr>
            <w:tcW w:w="1277" w:type="dxa"/>
            <w:vAlign w:val="center"/>
          </w:tcPr>
          <w:p w14:paraId="459F67D6">
            <w:pPr>
              <w:pStyle w:val="51"/>
              <w:jc w:val="center"/>
              <w:rPr>
                <w:i w:val="0"/>
                <w:iCs w:val="0"/>
                <w:color w:val="auto"/>
                <w:highlight w:val="none"/>
              </w:rPr>
            </w:pPr>
          </w:p>
        </w:tc>
        <w:tc>
          <w:tcPr>
            <w:tcW w:w="816" w:type="dxa"/>
            <w:vAlign w:val="center"/>
          </w:tcPr>
          <w:p w14:paraId="48537BEA">
            <w:pPr>
              <w:pStyle w:val="51"/>
              <w:jc w:val="center"/>
              <w:rPr>
                <w:i w:val="0"/>
                <w:iCs w:val="0"/>
                <w:color w:val="auto"/>
                <w:highlight w:val="none"/>
              </w:rPr>
            </w:pPr>
          </w:p>
        </w:tc>
      </w:tr>
      <w:tr w14:paraId="1FF307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5C78A226">
            <w:pPr>
              <w:pStyle w:val="51"/>
              <w:jc w:val="center"/>
              <w:rPr>
                <w:rFonts w:hint="eastAsia" w:eastAsia="宋体"/>
                <w:i w:val="0"/>
                <w:iCs w:val="0"/>
                <w:color w:val="auto"/>
                <w:highlight w:val="none"/>
                <w:lang w:eastAsia="zh-CN"/>
              </w:rPr>
            </w:pPr>
            <w:r>
              <w:rPr>
                <w:rFonts w:hint="eastAsia"/>
                <w:i w:val="0"/>
                <w:iCs w:val="0"/>
                <w:color w:val="auto"/>
                <w:highlight w:val="none"/>
                <w:lang w:eastAsia="zh-CN"/>
              </w:rPr>
              <w:t>……</w:t>
            </w:r>
          </w:p>
        </w:tc>
        <w:tc>
          <w:tcPr>
            <w:tcW w:w="1143" w:type="dxa"/>
            <w:vAlign w:val="center"/>
          </w:tcPr>
          <w:p w14:paraId="54F62CF9">
            <w:pPr>
              <w:pStyle w:val="51"/>
              <w:jc w:val="center"/>
              <w:rPr>
                <w:i w:val="0"/>
                <w:iCs w:val="0"/>
                <w:color w:val="auto"/>
                <w:highlight w:val="none"/>
              </w:rPr>
            </w:pPr>
          </w:p>
        </w:tc>
        <w:tc>
          <w:tcPr>
            <w:tcW w:w="1334" w:type="dxa"/>
            <w:tcBorders>
              <w:right w:val="single" w:color="auto" w:sz="4" w:space="0"/>
            </w:tcBorders>
            <w:vAlign w:val="center"/>
          </w:tcPr>
          <w:p w14:paraId="5C0BDDDC">
            <w:pPr>
              <w:pStyle w:val="51"/>
              <w:jc w:val="center"/>
              <w:rPr>
                <w:i w:val="0"/>
                <w:iCs w:val="0"/>
                <w:color w:val="auto"/>
                <w:highlight w:val="none"/>
              </w:rPr>
            </w:pPr>
          </w:p>
        </w:tc>
        <w:tc>
          <w:tcPr>
            <w:tcW w:w="1188" w:type="dxa"/>
            <w:tcBorders>
              <w:left w:val="single" w:color="auto" w:sz="4" w:space="0"/>
            </w:tcBorders>
            <w:vAlign w:val="center"/>
          </w:tcPr>
          <w:p w14:paraId="7C7A1767">
            <w:pPr>
              <w:pStyle w:val="51"/>
              <w:jc w:val="center"/>
              <w:rPr>
                <w:i w:val="0"/>
                <w:iCs w:val="0"/>
                <w:color w:val="auto"/>
                <w:highlight w:val="none"/>
              </w:rPr>
            </w:pPr>
          </w:p>
        </w:tc>
        <w:tc>
          <w:tcPr>
            <w:tcW w:w="816" w:type="dxa"/>
            <w:tcBorders>
              <w:left w:val="single" w:color="auto" w:sz="4" w:space="0"/>
            </w:tcBorders>
            <w:vAlign w:val="center"/>
          </w:tcPr>
          <w:p w14:paraId="41ED24B4">
            <w:pPr>
              <w:pStyle w:val="51"/>
              <w:jc w:val="center"/>
              <w:rPr>
                <w:i w:val="0"/>
                <w:iCs w:val="0"/>
                <w:color w:val="auto"/>
                <w:highlight w:val="none"/>
              </w:rPr>
            </w:pPr>
          </w:p>
        </w:tc>
        <w:tc>
          <w:tcPr>
            <w:tcW w:w="1815" w:type="dxa"/>
            <w:vAlign w:val="center"/>
          </w:tcPr>
          <w:p w14:paraId="1A6143F1">
            <w:pPr>
              <w:pStyle w:val="51"/>
              <w:jc w:val="center"/>
              <w:rPr>
                <w:i w:val="0"/>
                <w:iCs w:val="0"/>
                <w:color w:val="auto"/>
                <w:highlight w:val="none"/>
              </w:rPr>
            </w:pPr>
          </w:p>
        </w:tc>
        <w:tc>
          <w:tcPr>
            <w:tcW w:w="1277" w:type="dxa"/>
            <w:vAlign w:val="center"/>
          </w:tcPr>
          <w:p w14:paraId="7E9A518A">
            <w:pPr>
              <w:pStyle w:val="51"/>
              <w:jc w:val="center"/>
              <w:rPr>
                <w:i w:val="0"/>
                <w:iCs w:val="0"/>
                <w:color w:val="auto"/>
                <w:highlight w:val="none"/>
              </w:rPr>
            </w:pPr>
          </w:p>
        </w:tc>
        <w:tc>
          <w:tcPr>
            <w:tcW w:w="816" w:type="dxa"/>
            <w:vAlign w:val="center"/>
          </w:tcPr>
          <w:p w14:paraId="3FEC54EF">
            <w:pPr>
              <w:pStyle w:val="51"/>
              <w:jc w:val="center"/>
              <w:rPr>
                <w:i w:val="0"/>
                <w:iCs w:val="0"/>
                <w:color w:val="auto"/>
                <w:highlight w:val="none"/>
              </w:rPr>
            </w:pPr>
          </w:p>
        </w:tc>
      </w:tr>
    </w:tbl>
    <w:p w14:paraId="6C484420">
      <w:pPr>
        <w:pStyle w:val="84"/>
        <w:spacing w:line="500" w:lineRule="exact"/>
        <w:rPr>
          <w:rFonts w:hint="eastAsia" w:ascii="宋体" w:hAnsi="宋体" w:eastAsia="宋体" w:cs="宋体"/>
          <w:color w:val="auto"/>
          <w:highlight w:val="none"/>
        </w:rPr>
      </w:pPr>
    </w:p>
    <w:p w14:paraId="7538DF6F">
      <w:pPr>
        <w:pStyle w:val="84"/>
        <w:spacing w:line="500" w:lineRule="exact"/>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附</w:t>
      </w:r>
      <w:r>
        <w:rPr>
          <w:rFonts w:hint="eastAsia" w:ascii="宋体" w:hAnsi="宋体" w:eastAsia="宋体" w:cs="宋体"/>
          <w:color w:val="auto"/>
          <w:highlight w:val="none"/>
        </w:rPr>
        <w:t>人员基本信息、资质证书、人员业绩等内容</w:t>
      </w:r>
      <w:r>
        <w:rPr>
          <w:rFonts w:hint="eastAsia" w:ascii="宋体" w:hAnsi="宋体" w:cs="宋体"/>
          <w:color w:val="auto"/>
          <w:highlight w:val="none"/>
          <w:lang w:eastAsia="zh-CN"/>
        </w:rPr>
        <w:t>。</w:t>
      </w:r>
    </w:p>
    <w:p w14:paraId="6F33D307">
      <w:pPr>
        <w:pStyle w:val="84"/>
        <w:spacing w:line="500" w:lineRule="exact"/>
        <w:rPr>
          <w:rFonts w:hint="eastAsia" w:ascii="宋体" w:hAnsi="宋体" w:eastAsia="宋体" w:cs="宋体"/>
          <w:color w:val="auto"/>
          <w:highlight w:val="none"/>
        </w:rPr>
      </w:pPr>
      <w:r>
        <w:rPr>
          <w:rFonts w:hint="eastAsia" w:ascii="宋体" w:hAnsi="宋体" w:eastAsia="宋体" w:cs="宋体"/>
          <w:color w:val="auto"/>
          <w:highlight w:val="none"/>
        </w:rPr>
        <w:t>（建议按照评审标准提供相应资料）。</w:t>
      </w:r>
    </w:p>
    <w:p w14:paraId="6A640F8A">
      <w:pPr>
        <w:rPr>
          <w:i w:val="0"/>
          <w:iCs w:val="0"/>
          <w:color w:val="auto"/>
          <w:highlight w:val="none"/>
        </w:rPr>
      </w:pPr>
      <w:r>
        <w:rPr>
          <w:i w:val="0"/>
          <w:iCs w:val="0"/>
          <w:color w:val="auto"/>
          <w:highlight w:val="none"/>
        </w:rPr>
        <w:br w:type="page"/>
      </w:r>
    </w:p>
    <w:p w14:paraId="38D4A85C">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26" w:name="_Toc28841"/>
      <w:r>
        <w:rPr>
          <w:rFonts w:hint="eastAsia" w:cstheme="majorBidi"/>
          <w:b/>
          <w:bCs/>
          <w:i w:val="0"/>
          <w:iCs w:val="0"/>
          <w:color w:val="auto"/>
          <w:kern w:val="2"/>
          <w:sz w:val="32"/>
          <w:szCs w:val="32"/>
          <w:highlight w:val="none"/>
          <w:lang w:val="en-US" w:eastAsia="zh-CN" w:bidi="ar-SA"/>
        </w:rPr>
        <w:t>九</w:t>
      </w:r>
      <w:r>
        <w:rPr>
          <w:rFonts w:hint="eastAsia" w:eastAsia="宋体" w:asciiTheme="majorHAnsi" w:hAnsiTheme="majorHAnsi" w:cstheme="majorBidi"/>
          <w:b/>
          <w:bCs/>
          <w:i w:val="0"/>
          <w:iCs w:val="0"/>
          <w:color w:val="auto"/>
          <w:kern w:val="2"/>
          <w:sz w:val="32"/>
          <w:szCs w:val="32"/>
          <w:highlight w:val="none"/>
          <w:lang w:val="en-US" w:eastAsia="zh-CN" w:bidi="ar-SA"/>
        </w:rPr>
        <w:t>、技术响应偏离表</w:t>
      </w:r>
      <w:bookmarkEnd w:id="726"/>
    </w:p>
    <w:p w14:paraId="2CFF44DB">
      <w:pPr>
        <w:rPr>
          <w:rFonts w:cs="仿宋_GB2312"/>
          <w:i w:val="0"/>
          <w:iCs w:val="0"/>
          <w:color w:val="auto"/>
          <w:szCs w:val="24"/>
          <w:highlight w:val="none"/>
        </w:rPr>
      </w:pPr>
      <w:r>
        <w:rPr>
          <w:rFonts w:hint="eastAsia" w:cs="仿宋_GB2312"/>
          <w:i w:val="0"/>
          <w:iCs w:val="0"/>
          <w:color w:val="auto"/>
          <w:szCs w:val="24"/>
          <w:highlight w:val="none"/>
        </w:rPr>
        <w:t xml:space="preserve">项目名称：                                         </w:t>
      </w:r>
    </w:p>
    <w:p w14:paraId="5F600426">
      <w:pPr>
        <w:rPr>
          <w:rFonts w:cs="仿宋_GB2312"/>
          <w:i w:val="0"/>
          <w:iCs w:val="0"/>
          <w:color w:val="auto"/>
          <w:szCs w:val="24"/>
          <w:highlight w:val="none"/>
        </w:rPr>
      </w:pPr>
      <w:r>
        <w:rPr>
          <w:rFonts w:hint="eastAsia" w:cs="仿宋_GB2312"/>
          <w:i w:val="0"/>
          <w:iCs w:val="0"/>
          <w:color w:val="auto"/>
          <w:szCs w:val="24"/>
          <w:highlight w:val="none"/>
        </w:rPr>
        <w:t>项目编号</w:t>
      </w:r>
      <w:r>
        <w:rPr>
          <w:rFonts w:hint="eastAsia" w:cs="仿宋_GB2312"/>
          <w:i w:val="0"/>
          <w:iCs w:val="0"/>
          <w:color w:val="auto"/>
          <w:szCs w:val="24"/>
          <w:highlight w:val="none"/>
          <w:lang w:val="en-US" w:eastAsia="zh-CN"/>
        </w:rPr>
        <w:t>/</w:t>
      </w:r>
      <w:r>
        <w:rPr>
          <w:rFonts w:hint="eastAsia" w:cs="仿宋_GB2312"/>
          <w:i w:val="0"/>
          <w:iCs w:val="0"/>
          <w:color w:val="auto"/>
          <w:szCs w:val="24"/>
          <w:highlight w:val="none"/>
          <w:lang w:val="zh-CN"/>
        </w:rPr>
        <w:t>包号</w:t>
      </w:r>
      <w:r>
        <w:rPr>
          <w:rFonts w:hint="eastAsia" w:cs="仿宋_GB2312"/>
          <w:i w:val="0"/>
          <w:iCs w:val="0"/>
          <w:color w:val="auto"/>
          <w:szCs w:val="24"/>
          <w:highlight w:val="none"/>
        </w:rPr>
        <w:t xml:space="preserve">：         </w:t>
      </w:r>
    </w:p>
    <w:tbl>
      <w:tblPr>
        <w:tblStyle w:val="32"/>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4"/>
        <w:gridCol w:w="2177"/>
        <w:gridCol w:w="1556"/>
        <w:gridCol w:w="2046"/>
        <w:gridCol w:w="2046"/>
      </w:tblGrid>
      <w:tr w14:paraId="69CE6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694" w:type="dxa"/>
            <w:vAlign w:val="center"/>
          </w:tcPr>
          <w:p w14:paraId="63C55A8F">
            <w:pPr>
              <w:pStyle w:val="51"/>
              <w:jc w:val="center"/>
              <w:rPr>
                <w:i w:val="0"/>
                <w:iCs w:val="0"/>
                <w:color w:val="auto"/>
                <w:highlight w:val="none"/>
              </w:rPr>
            </w:pPr>
            <w:r>
              <w:rPr>
                <w:rFonts w:hint="eastAsia"/>
                <w:i w:val="0"/>
                <w:iCs w:val="0"/>
                <w:color w:val="auto"/>
                <w:highlight w:val="none"/>
              </w:rPr>
              <w:t>序号</w:t>
            </w:r>
          </w:p>
        </w:tc>
        <w:tc>
          <w:tcPr>
            <w:tcW w:w="2177" w:type="dxa"/>
            <w:vAlign w:val="center"/>
          </w:tcPr>
          <w:p w14:paraId="79B33EF9">
            <w:pPr>
              <w:pStyle w:val="51"/>
              <w:jc w:val="center"/>
              <w:rPr>
                <w:i w:val="0"/>
                <w:iCs w:val="0"/>
                <w:color w:val="auto"/>
                <w:highlight w:val="none"/>
              </w:rPr>
            </w:pPr>
            <w:r>
              <w:rPr>
                <w:rFonts w:hint="eastAsia"/>
                <w:i w:val="0"/>
                <w:iCs w:val="0"/>
                <w:color w:val="auto"/>
                <w:highlight w:val="none"/>
                <w:lang w:val="en-US" w:eastAsia="zh-CN"/>
              </w:rPr>
              <w:t>竞争性磋商</w:t>
            </w:r>
            <w:r>
              <w:rPr>
                <w:rFonts w:hint="eastAsia"/>
                <w:i w:val="0"/>
                <w:iCs w:val="0"/>
                <w:color w:val="auto"/>
                <w:highlight w:val="none"/>
              </w:rPr>
              <w:t>文件技术要求条款</w:t>
            </w:r>
          </w:p>
        </w:tc>
        <w:tc>
          <w:tcPr>
            <w:tcW w:w="1556" w:type="dxa"/>
            <w:vAlign w:val="center"/>
          </w:tcPr>
          <w:p w14:paraId="0C633C79">
            <w:pPr>
              <w:pStyle w:val="51"/>
              <w:jc w:val="center"/>
              <w:rPr>
                <w:i w:val="0"/>
                <w:iCs w:val="0"/>
                <w:color w:val="auto"/>
                <w:highlight w:val="none"/>
              </w:rPr>
            </w:pPr>
            <w:r>
              <w:rPr>
                <w:rFonts w:hint="eastAsia"/>
                <w:i w:val="0"/>
                <w:iCs w:val="0"/>
                <w:color w:val="auto"/>
                <w:highlight w:val="none"/>
                <w:lang w:val="en-US" w:eastAsia="zh-CN"/>
              </w:rPr>
              <w:t>响应</w:t>
            </w:r>
            <w:r>
              <w:rPr>
                <w:rFonts w:hint="eastAsia"/>
                <w:i w:val="0"/>
                <w:iCs w:val="0"/>
                <w:color w:val="auto"/>
                <w:highlight w:val="none"/>
              </w:rPr>
              <w:t>文件内容</w:t>
            </w:r>
          </w:p>
          <w:p w14:paraId="3916B372">
            <w:pPr>
              <w:pStyle w:val="51"/>
              <w:jc w:val="center"/>
              <w:rPr>
                <w:i w:val="0"/>
                <w:iCs w:val="0"/>
                <w:color w:val="auto"/>
                <w:highlight w:val="none"/>
              </w:rPr>
            </w:pPr>
            <w:r>
              <w:rPr>
                <w:rFonts w:hint="eastAsia"/>
                <w:i w:val="0"/>
                <w:iCs w:val="0"/>
                <w:color w:val="auto"/>
                <w:highlight w:val="none"/>
              </w:rPr>
              <w:t>对应简述</w:t>
            </w:r>
          </w:p>
        </w:tc>
        <w:tc>
          <w:tcPr>
            <w:tcW w:w="2046" w:type="dxa"/>
            <w:vAlign w:val="center"/>
          </w:tcPr>
          <w:p w14:paraId="37381852">
            <w:pPr>
              <w:pStyle w:val="51"/>
              <w:jc w:val="center"/>
              <w:rPr>
                <w:i w:val="0"/>
                <w:iCs w:val="0"/>
                <w:color w:val="auto"/>
                <w:highlight w:val="none"/>
              </w:rPr>
            </w:pPr>
            <w:r>
              <w:rPr>
                <w:rFonts w:hint="eastAsia"/>
                <w:i w:val="0"/>
                <w:iCs w:val="0"/>
                <w:color w:val="auto"/>
                <w:highlight w:val="none"/>
              </w:rPr>
              <w:t>响应情况</w:t>
            </w:r>
          </w:p>
        </w:tc>
        <w:tc>
          <w:tcPr>
            <w:tcW w:w="2046" w:type="dxa"/>
            <w:vAlign w:val="center"/>
          </w:tcPr>
          <w:p w14:paraId="34457960">
            <w:pPr>
              <w:pStyle w:val="51"/>
              <w:jc w:val="center"/>
              <w:rPr>
                <w:i w:val="0"/>
                <w:iCs w:val="0"/>
                <w:color w:val="auto"/>
                <w:highlight w:val="none"/>
              </w:rPr>
            </w:pPr>
            <w:r>
              <w:rPr>
                <w:rFonts w:hint="eastAsia"/>
                <w:i w:val="0"/>
                <w:iCs w:val="0"/>
                <w:color w:val="auto"/>
                <w:highlight w:val="none"/>
              </w:rPr>
              <w:t>说明及索引</w:t>
            </w:r>
          </w:p>
        </w:tc>
      </w:tr>
      <w:tr w14:paraId="43CF6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694" w:type="dxa"/>
            <w:vAlign w:val="center"/>
          </w:tcPr>
          <w:p w14:paraId="167972F7">
            <w:pPr>
              <w:pStyle w:val="51"/>
              <w:jc w:val="center"/>
              <w:rPr>
                <w:i w:val="0"/>
                <w:iCs w:val="0"/>
                <w:color w:val="auto"/>
                <w:highlight w:val="none"/>
              </w:rPr>
            </w:pPr>
            <w:r>
              <w:rPr>
                <w:rFonts w:hint="eastAsia"/>
                <w:i w:val="0"/>
                <w:iCs w:val="0"/>
                <w:color w:val="auto"/>
                <w:highlight w:val="none"/>
              </w:rPr>
              <w:t>1</w:t>
            </w:r>
          </w:p>
        </w:tc>
        <w:tc>
          <w:tcPr>
            <w:tcW w:w="2177" w:type="dxa"/>
            <w:vAlign w:val="center"/>
          </w:tcPr>
          <w:p w14:paraId="724DB945">
            <w:pPr>
              <w:pStyle w:val="51"/>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556" w:type="dxa"/>
            <w:vAlign w:val="center"/>
          </w:tcPr>
          <w:p w14:paraId="391052E1">
            <w:pPr>
              <w:pStyle w:val="51"/>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2046" w:type="dxa"/>
            <w:vAlign w:val="center"/>
          </w:tcPr>
          <w:p w14:paraId="0E84D92F">
            <w:pPr>
              <w:pStyle w:val="51"/>
              <w:jc w:val="center"/>
              <w:rPr>
                <w:i w:val="0"/>
                <w:iCs w:val="0"/>
                <w:color w:val="auto"/>
                <w:highlight w:val="none"/>
              </w:rPr>
            </w:pPr>
            <w:r>
              <w:rPr>
                <w:rFonts w:hint="eastAsia"/>
                <w:i w:val="0"/>
                <w:iCs w:val="0"/>
                <w:color w:val="auto"/>
                <w:highlight w:val="none"/>
              </w:rPr>
              <w:t>响应/正偏离/负偏离</w:t>
            </w:r>
          </w:p>
        </w:tc>
        <w:tc>
          <w:tcPr>
            <w:tcW w:w="2046" w:type="dxa"/>
            <w:vAlign w:val="center"/>
          </w:tcPr>
          <w:p w14:paraId="6C85BA38">
            <w:pPr>
              <w:pStyle w:val="51"/>
              <w:jc w:val="center"/>
              <w:rPr>
                <w:i w:val="0"/>
                <w:iCs w:val="0"/>
                <w:color w:val="auto"/>
                <w:highlight w:val="none"/>
              </w:rPr>
            </w:pPr>
          </w:p>
        </w:tc>
      </w:tr>
      <w:tr w14:paraId="6AF1A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694" w:type="dxa"/>
            <w:vAlign w:val="center"/>
          </w:tcPr>
          <w:p w14:paraId="05065EDA">
            <w:pPr>
              <w:pStyle w:val="51"/>
              <w:jc w:val="center"/>
              <w:rPr>
                <w:i w:val="0"/>
                <w:iCs w:val="0"/>
                <w:color w:val="auto"/>
                <w:highlight w:val="none"/>
              </w:rPr>
            </w:pPr>
            <w:r>
              <w:rPr>
                <w:rFonts w:hint="eastAsia"/>
                <w:i w:val="0"/>
                <w:iCs w:val="0"/>
                <w:color w:val="auto"/>
                <w:highlight w:val="none"/>
              </w:rPr>
              <w:t>2</w:t>
            </w:r>
          </w:p>
        </w:tc>
        <w:tc>
          <w:tcPr>
            <w:tcW w:w="2177" w:type="dxa"/>
            <w:vAlign w:val="center"/>
          </w:tcPr>
          <w:p w14:paraId="595D5646">
            <w:pPr>
              <w:pStyle w:val="51"/>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556" w:type="dxa"/>
            <w:vAlign w:val="center"/>
          </w:tcPr>
          <w:p w14:paraId="77B7522C">
            <w:pPr>
              <w:pStyle w:val="51"/>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2046" w:type="dxa"/>
            <w:vAlign w:val="center"/>
          </w:tcPr>
          <w:p w14:paraId="564961C3">
            <w:pPr>
              <w:pStyle w:val="51"/>
              <w:jc w:val="center"/>
              <w:rPr>
                <w:i w:val="0"/>
                <w:iCs w:val="0"/>
                <w:color w:val="auto"/>
                <w:highlight w:val="none"/>
              </w:rPr>
            </w:pPr>
            <w:r>
              <w:rPr>
                <w:rFonts w:hint="eastAsia"/>
                <w:i w:val="0"/>
                <w:iCs w:val="0"/>
                <w:color w:val="auto"/>
                <w:highlight w:val="none"/>
              </w:rPr>
              <w:t>响应/正偏离/负偏离</w:t>
            </w:r>
          </w:p>
        </w:tc>
        <w:tc>
          <w:tcPr>
            <w:tcW w:w="2046" w:type="dxa"/>
            <w:vAlign w:val="center"/>
          </w:tcPr>
          <w:p w14:paraId="329B96FE">
            <w:pPr>
              <w:pStyle w:val="51"/>
              <w:jc w:val="center"/>
              <w:rPr>
                <w:i w:val="0"/>
                <w:iCs w:val="0"/>
                <w:color w:val="auto"/>
                <w:highlight w:val="none"/>
              </w:rPr>
            </w:pPr>
          </w:p>
        </w:tc>
      </w:tr>
      <w:tr w14:paraId="00520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5B3C1240">
            <w:pPr>
              <w:pStyle w:val="51"/>
              <w:jc w:val="center"/>
              <w:rPr>
                <w:i w:val="0"/>
                <w:iCs w:val="0"/>
                <w:color w:val="auto"/>
                <w:highlight w:val="none"/>
              </w:rPr>
            </w:pPr>
          </w:p>
        </w:tc>
        <w:tc>
          <w:tcPr>
            <w:tcW w:w="2177" w:type="dxa"/>
            <w:vAlign w:val="center"/>
          </w:tcPr>
          <w:p w14:paraId="42D7D63B">
            <w:pPr>
              <w:pStyle w:val="51"/>
              <w:jc w:val="center"/>
              <w:rPr>
                <w:i w:val="0"/>
                <w:iCs w:val="0"/>
                <w:color w:val="auto"/>
                <w:highlight w:val="none"/>
              </w:rPr>
            </w:pPr>
          </w:p>
        </w:tc>
        <w:tc>
          <w:tcPr>
            <w:tcW w:w="1556" w:type="dxa"/>
            <w:vAlign w:val="center"/>
          </w:tcPr>
          <w:p w14:paraId="28E8187F">
            <w:pPr>
              <w:pStyle w:val="51"/>
              <w:jc w:val="center"/>
              <w:rPr>
                <w:i w:val="0"/>
                <w:iCs w:val="0"/>
                <w:color w:val="auto"/>
                <w:highlight w:val="none"/>
              </w:rPr>
            </w:pPr>
          </w:p>
        </w:tc>
        <w:tc>
          <w:tcPr>
            <w:tcW w:w="2046" w:type="dxa"/>
            <w:vAlign w:val="center"/>
          </w:tcPr>
          <w:p w14:paraId="34E6CA49">
            <w:pPr>
              <w:pStyle w:val="51"/>
              <w:jc w:val="center"/>
              <w:rPr>
                <w:i w:val="0"/>
                <w:iCs w:val="0"/>
                <w:color w:val="auto"/>
                <w:highlight w:val="none"/>
              </w:rPr>
            </w:pPr>
          </w:p>
        </w:tc>
        <w:tc>
          <w:tcPr>
            <w:tcW w:w="2046" w:type="dxa"/>
            <w:vAlign w:val="center"/>
          </w:tcPr>
          <w:p w14:paraId="1ED6FFF2">
            <w:pPr>
              <w:pStyle w:val="51"/>
              <w:jc w:val="center"/>
              <w:rPr>
                <w:i w:val="0"/>
                <w:iCs w:val="0"/>
                <w:color w:val="auto"/>
                <w:highlight w:val="none"/>
              </w:rPr>
            </w:pPr>
          </w:p>
        </w:tc>
      </w:tr>
      <w:tr w14:paraId="71939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5836AAB2">
            <w:pPr>
              <w:pStyle w:val="51"/>
              <w:jc w:val="center"/>
              <w:rPr>
                <w:i w:val="0"/>
                <w:iCs w:val="0"/>
                <w:color w:val="auto"/>
                <w:highlight w:val="none"/>
              </w:rPr>
            </w:pPr>
          </w:p>
        </w:tc>
        <w:tc>
          <w:tcPr>
            <w:tcW w:w="2177" w:type="dxa"/>
            <w:vAlign w:val="center"/>
          </w:tcPr>
          <w:p w14:paraId="4F7D2A7F">
            <w:pPr>
              <w:pStyle w:val="51"/>
              <w:jc w:val="center"/>
              <w:rPr>
                <w:i w:val="0"/>
                <w:iCs w:val="0"/>
                <w:color w:val="auto"/>
                <w:highlight w:val="none"/>
              </w:rPr>
            </w:pPr>
          </w:p>
        </w:tc>
        <w:tc>
          <w:tcPr>
            <w:tcW w:w="1556" w:type="dxa"/>
            <w:vAlign w:val="center"/>
          </w:tcPr>
          <w:p w14:paraId="641F0086">
            <w:pPr>
              <w:pStyle w:val="51"/>
              <w:jc w:val="center"/>
              <w:rPr>
                <w:i w:val="0"/>
                <w:iCs w:val="0"/>
                <w:color w:val="auto"/>
                <w:highlight w:val="none"/>
              </w:rPr>
            </w:pPr>
          </w:p>
        </w:tc>
        <w:tc>
          <w:tcPr>
            <w:tcW w:w="2046" w:type="dxa"/>
            <w:vAlign w:val="center"/>
          </w:tcPr>
          <w:p w14:paraId="64D940A4">
            <w:pPr>
              <w:pStyle w:val="51"/>
              <w:jc w:val="center"/>
              <w:rPr>
                <w:i w:val="0"/>
                <w:iCs w:val="0"/>
                <w:color w:val="auto"/>
                <w:highlight w:val="none"/>
              </w:rPr>
            </w:pPr>
          </w:p>
        </w:tc>
        <w:tc>
          <w:tcPr>
            <w:tcW w:w="2046" w:type="dxa"/>
            <w:vAlign w:val="center"/>
          </w:tcPr>
          <w:p w14:paraId="4FA11D83">
            <w:pPr>
              <w:pStyle w:val="51"/>
              <w:jc w:val="center"/>
              <w:rPr>
                <w:i w:val="0"/>
                <w:iCs w:val="0"/>
                <w:color w:val="auto"/>
                <w:highlight w:val="none"/>
              </w:rPr>
            </w:pPr>
          </w:p>
        </w:tc>
      </w:tr>
      <w:tr w14:paraId="7CD69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0164284A">
            <w:pPr>
              <w:pStyle w:val="51"/>
              <w:jc w:val="center"/>
              <w:rPr>
                <w:i w:val="0"/>
                <w:iCs w:val="0"/>
                <w:color w:val="auto"/>
                <w:highlight w:val="none"/>
              </w:rPr>
            </w:pPr>
          </w:p>
        </w:tc>
        <w:tc>
          <w:tcPr>
            <w:tcW w:w="2177" w:type="dxa"/>
            <w:vAlign w:val="center"/>
          </w:tcPr>
          <w:p w14:paraId="55705C5D">
            <w:pPr>
              <w:pStyle w:val="51"/>
              <w:jc w:val="center"/>
              <w:rPr>
                <w:i w:val="0"/>
                <w:iCs w:val="0"/>
                <w:color w:val="auto"/>
                <w:highlight w:val="none"/>
              </w:rPr>
            </w:pPr>
          </w:p>
        </w:tc>
        <w:tc>
          <w:tcPr>
            <w:tcW w:w="1556" w:type="dxa"/>
            <w:vAlign w:val="center"/>
          </w:tcPr>
          <w:p w14:paraId="3ECA70A1">
            <w:pPr>
              <w:pStyle w:val="51"/>
              <w:jc w:val="center"/>
              <w:rPr>
                <w:i w:val="0"/>
                <w:iCs w:val="0"/>
                <w:color w:val="auto"/>
                <w:highlight w:val="none"/>
              </w:rPr>
            </w:pPr>
          </w:p>
        </w:tc>
        <w:tc>
          <w:tcPr>
            <w:tcW w:w="2046" w:type="dxa"/>
            <w:vAlign w:val="center"/>
          </w:tcPr>
          <w:p w14:paraId="0286DBA2">
            <w:pPr>
              <w:pStyle w:val="51"/>
              <w:jc w:val="center"/>
              <w:rPr>
                <w:i w:val="0"/>
                <w:iCs w:val="0"/>
                <w:color w:val="auto"/>
                <w:highlight w:val="none"/>
              </w:rPr>
            </w:pPr>
          </w:p>
        </w:tc>
        <w:tc>
          <w:tcPr>
            <w:tcW w:w="2046" w:type="dxa"/>
            <w:vAlign w:val="center"/>
          </w:tcPr>
          <w:p w14:paraId="6DA05001">
            <w:pPr>
              <w:pStyle w:val="51"/>
              <w:jc w:val="center"/>
              <w:rPr>
                <w:i w:val="0"/>
                <w:iCs w:val="0"/>
                <w:color w:val="auto"/>
                <w:highlight w:val="none"/>
              </w:rPr>
            </w:pPr>
          </w:p>
        </w:tc>
      </w:tr>
      <w:tr w14:paraId="3F887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42F392D7">
            <w:pPr>
              <w:pStyle w:val="51"/>
              <w:jc w:val="center"/>
              <w:rPr>
                <w:i w:val="0"/>
                <w:iCs w:val="0"/>
                <w:color w:val="auto"/>
                <w:highlight w:val="none"/>
              </w:rPr>
            </w:pPr>
          </w:p>
        </w:tc>
        <w:tc>
          <w:tcPr>
            <w:tcW w:w="2177" w:type="dxa"/>
            <w:vAlign w:val="center"/>
          </w:tcPr>
          <w:p w14:paraId="5BEB5641">
            <w:pPr>
              <w:pStyle w:val="51"/>
              <w:jc w:val="center"/>
              <w:rPr>
                <w:i w:val="0"/>
                <w:iCs w:val="0"/>
                <w:color w:val="auto"/>
                <w:highlight w:val="none"/>
              </w:rPr>
            </w:pPr>
          </w:p>
        </w:tc>
        <w:tc>
          <w:tcPr>
            <w:tcW w:w="1556" w:type="dxa"/>
            <w:vAlign w:val="center"/>
          </w:tcPr>
          <w:p w14:paraId="7F43C6F5">
            <w:pPr>
              <w:pStyle w:val="51"/>
              <w:jc w:val="center"/>
              <w:rPr>
                <w:i w:val="0"/>
                <w:iCs w:val="0"/>
                <w:color w:val="auto"/>
                <w:highlight w:val="none"/>
              </w:rPr>
            </w:pPr>
          </w:p>
        </w:tc>
        <w:tc>
          <w:tcPr>
            <w:tcW w:w="2046" w:type="dxa"/>
            <w:vAlign w:val="center"/>
          </w:tcPr>
          <w:p w14:paraId="64F17022">
            <w:pPr>
              <w:pStyle w:val="51"/>
              <w:jc w:val="center"/>
              <w:rPr>
                <w:i w:val="0"/>
                <w:iCs w:val="0"/>
                <w:color w:val="auto"/>
                <w:highlight w:val="none"/>
              </w:rPr>
            </w:pPr>
          </w:p>
        </w:tc>
        <w:tc>
          <w:tcPr>
            <w:tcW w:w="2046" w:type="dxa"/>
            <w:vAlign w:val="center"/>
          </w:tcPr>
          <w:p w14:paraId="22A65DA9">
            <w:pPr>
              <w:pStyle w:val="51"/>
              <w:jc w:val="center"/>
              <w:rPr>
                <w:i w:val="0"/>
                <w:iCs w:val="0"/>
                <w:color w:val="auto"/>
                <w:highlight w:val="none"/>
              </w:rPr>
            </w:pPr>
          </w:p>
        </w:tc>
      </w:tr>
      <w:tr w14:paraId="4D2F5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2D7F2A4F">
            <w:pPr>
              <w:pStyle w:val="51"/>
              <w:jc w:val="center"/>
              <w:rPr>
                <w:i w:val="0"/>
                <w:iCs w:val="0"/>
                <w:color w:val="auto"/>
                <w:highlight w:val="none"/>
              </w:rPr>
            </w:pPr>
          </w:p>
        </w:tc>
        <w:tc>
          <w:tcPr>
            <w:tcW w:w="2177" w:type="dxa"/>
            <w:vAlign w:val="center"/>
          </w:tcPr>
          <w:p w14:paraId="6A688081">
            <w:pPr>
              <w:pStyle w:val="51"/>
              <w:jc w:val="center"/>
              <w:rPr>
                <w:i w:val="0"/>
                <w:iCs w:val="0"/>
                <w:color w:val="auto"/>
                <w:highlight w:val="none"/>
              </w:rPr>
            </w:pPr>
          </w:p>
        </w:tc>
        <w:tc>
          <w:tcPr>
            <w:tcW w:w="1556" w:type="dxa"/>
            <w:vAlign w:val="center"/>
          </w:tcPr>
          <w:p w14:paraId="6915FF5F">
            <w:pPr>
              <w:pStyle w:val="51"/>
              <w:jc w:val="center"/>
              <w:rPr>
                <w:i w:val="0"/>
                <w:iCs w:val="0"/>
                <w:color w:val="auto"/>
                <w:highlight w:val="none"/>
              </w:rPr>
            </w:pPr>
          </w:p>
        </w:tc>
        <w:tc>
          <w:tcPr>
            <w:tcW w:w="2046" w:type="dxa"/>
            <w:vAlign w:val="center"/>
          </w:tcPr>
          <w:p w14:paraId="3FB47269">
            <w:pPr>
              <w:pStyle w:val="51"/>
              <w:jc w:val="center"/>
              <w:rPr>
                <w:i w:val="0"/>
                <w:iCs w:val="0"/>
                <w:color w:val="auto"/>
                <w:highlight w:val="none"/>
              </w:rPr>
            </w:pPr>
          </w:p>
        </w:tc>
        <w:tc>
          <w:tcPr>
            <w:tcW w:w="2046" w:type="dxa"/>
            <w:vAlign w:val="center"/>
          </w:tcPr>
          <w:p w14:paraId="091B9058">
            <w:pPr>
              <w:pStyle w:val="51"/>
              <w:jc w:val="center"/>
              <w:rPr>
                <w:i w:val="0"/>
                <w:iCs w:val="0"/>
                <w:color w:val="auto"/>
                <w:highlight w:val="none"/>
              </w:rPr>
            </w:pPr>
          </w:p>
        </w:tc>
      </w:tr>
      <w:tr w14:paraId="6734F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18F41B99">
            <w:pPr>
              <w:pStyle w:val="51"/>
              <w:jc w:val="center"/>
              <w:rPr>
                <w:i w:val="0"/>
                <w:iCs w:val="0"/>
                <w:color w:val="auto"/>
                <w:highlight w:val="none"/>
              </w:rPr>
            </w:pPr>
          </w:p>
        </w:tc>
        <w:tc>
          <w:tcPr>
            <w:tcW w:w="2177" w:type="dxa"/>
            <w:vAlign w:val="center"/>
          </w:tcPr>
          <w:p w14:paraId="7AC29D17">
            <w:pPr>
              <w:pStyle w:val="51"/>
              <w:jc w:val="center"/>
              <w:rPr>
                <w:i w:val="0"/>
                <w:iCs w:val="0"/>
                <w:color w:val="auto"/>
                <w:highlight w:val="none"/>
              </w:rPr>
            </w:pPr>
          </w:p>
        </w:tc>
        <w:tc>
          <w:tcPr>
            <w:tcW w:w="1556" w:type="dxa"/>
            <w:vAlign w:val="center"/>
          </w:tcPr>
          <w:p w14:paraId="68F1C71E">
            <w:pPr>
              <w:pStyle w:val="51"/>
              <w:jc w:val="center"/>
              <w:rPr>
                <w:i w:val="0"/>
                <w:iCs w:val="0"/>
                <w:color w:val="auto"/>
                <w:highlight w:val="none"/>
              </w:rPr>
            </w:pPr>
          </w:p>
        </w:tc>
        <w:tc>
          <w:tcPr>
            <w:tcW w:w="2046" w:type="dxa"/>
            <w:vAlign w:val="center"/>
          </w:tcPr>
          <w:p w14:paraId="3A99CE6D">
            <w:pPr>
              <w:pStyle w:val="51"/>
              <w:jc w:val="center"/>
              <w:rPr>
                <w:i w:val="0"/>
                <w:iCs w:val="0"/>
                <w:color w:val="auto"/>
                <w:highlight w:val="none"/>
              </w:rPr>
            </w:pPr>
          </w:p>
        </w:tc>
        <w:tc>
          <w:tcPr>
            <w:tcW w:w="2046" w:type="dxa"/>
            <w:vAlign w:val="center"/>
          </w:tcPr>
          <w:p w14:paraId="13FCDBCE">
            <w:pPr>
              <w:pStyle w:val="51"/>
              <w:jc w:val="center"/>
              <w:rPr>
                <w:i w:val="0"/>
                <w:iCs w:val="0"/>
                <w:color w:val="auto"/>
                <w:highlight w:val="none"/>
              </w:rPr>
            </w:pPr>
          </w:p>
        </w:tc>
      </w:tr>
      <w:tr w14:paraId="22952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1E8B17C6">
            <w:pPr>
              <w:pStyle w:val="51"/>
              <w:jc w:val="center"/>
              <w:rPr>
                <w:i w:val="0"/>
                <w:iCs w:val="0"/>
                <w:color w:val="auto"/>
                <w:highlight w:val="none"/>
              </w:rPr>
            </w:pPr>
          </w:p>
        </w:tc>
        <w:tc>
          <w:tcPr>
            <w:tcW w:w="2177" w:type="dxa"/>
            <w:vAlign w:val="center"/>
          </w:tcPr>
          <w:p w14:paraId="43A7BA7E">
            <w:pPr>
              <w:pStyle w:val="51"/>
              <w:jc w:val="center"/>
              <w:rPr>
                <w:i w:val="0"/>
                <w:iCs w:val="0"/>
                <w:color w:val="auto"/>
                <w:highlight w:val="none"/>
              </w:rPr>
            </w:pPr>
          </w:p>
        </w:tc>
        <w:tc>
          <w:tcPr>
            <w:tcW w:w="1556" w:type="dxa"/>
            <w:vAlign w:val="center"/>
          </w:tcPr>
          <w:p w14:paraId="05DC0613">
            <w:pPr>
              <w:pStyle w:val="51"/>
              <w:jc w:val="center"/>
              <w:rPr>
                <w:i w:val="0"/>
                <w:iCs w:val="0"/>
                <w:color w:val="auto"/>
                <w:highlight w:val="none"/>
              </w:rPr>
            </w:pPr>
          </w:p>
        </w:tc>
        <w:tc>
          <w:tcPr>
            <w:tcW w:w="2046" w:type="dxa"/>
            <w:vAlign w:val="center"/>
          </w:tcPr>
          <w:p w14:paraId="260AB19F">
            <w:pPr>
              <w:pStyle w:val="51"/>
              <w:jc w:val="center"/>
              <w:rPr>
                <w:i w:val="0"/>
                <w:iCs w:val="0"/>
                <w:color w:val="auto"/>
                <w:highlight w:val="none"/>
              </w:rPr>
            </w:pPr>
          </w:p>
        </w:tc>
        <w:tc>
          <w:tcPr>
            <w:tcW w:w="2046" w:type="dxa"/>
            <w:vAlign w:val="center"/>
          </w:tcPr>
          <w:p w14:paraId="1930DE7C">
            <w:pPr>
              <w:pStyle w:val="51"/>
              <w:jc w:val="center"/>
              <w:rPr>
                <w:i w:val="0"/>
                <w:iCs w:val="0"/>
                <w:color w:val="auto"/>
                <w:highlight w:val="none"/>
              </w:rPr>
            </w:pPr>
          </w:p>
        </w:tc>
      </w:tr>
      <w:tr w14:paraId="61C67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2EA6B160">
            <w:pPr>
              <w:pStyle w:val="51"/>
              <w:jc w:val="center"/>
              <w:rPr>
                <w:i w:val="0"/>
                <w:iCs w:val="0"/>
                <w:color w:val="auto"/>
                <w:highlight w:val="none"/>
              </w:rPr>
            </w:pPr>
          </w:p>
        </w:tc>
        <w:tc>
          <w:tcPr>
            <w:tcW w:w="2177" w:type="dxa"/>
            <w:vAlign w:val="center"/>
          </w:tcPr>
          <w:p w14:paraId="377957C5">
            <w:pPr>
              <w:pStyle w:val="51"/>
              <w:jc w:val="center"/>
              <w:rPr>
                <w:i w:val="0"/>
                <w:iCs w:val="0"/>
                <w:color w:val="auto"/>
                <w:highlight w:val="none"/>
              </w:rPr>
            </w:pPr>
          </w:p>
        </w:tc>
        <w:tc>
          <w:tcPr>
            <w:tcW w:w="1556" w:type="dxa"/>
            <w:vAlign w:val="center"/>
          </w:tcPr>
          <w:p w14:paraId="3C017468">
            <w:pPr>
              <w:pStyle w:val="51"/>
              <w:jc w:val="center"/>
              <w:rPr>
                <w:i w:val="0"/>
                <w:iCs w:val="0"/>
                <w:color w:val="auto"/>
                <w:highlight w:val="none"/>
              </w:rPr>
            </w:pPr>
          </w:p>
        </w:tc>
        <w:tc>
          <w:tcPr>
            <w:tcW w:w="2046" w:type="dxa"/>
            <w:vAlign w:val="center"/>
          </w:tcPr>
          <w:p w14:paraId="771571B5">
            <w:pPr>
              <w:pStyle w:val="51"/>
              <w:jc w:val="center"/>
              <w:rPr>
                <w:i w:val="0"/>
                <w:iCs w:val="0"/>
                <w:color w:val="auto"/>
                <w:highlight w:val="none"/>
              </w:rPr>
            </w:pPr>
          </w:p>
        </w:tc>
        <w:tc>
          <w:tcPr>
            <w:tcW w:w="2046" w:type="dxa"/>
            <w:vAlign w:val="center"/>
          </w:tcPr>
          <w:p w14:paraId="660625F0">
            <w:pPr>
              <w:pStyle w:val="51"/>
              <w:jc w:val="center"/>
              <w:rPr>
                <w:i w:val="0"/>
                <w:iCs w:val="0"/>
                <w:color w:val="auto"/>
                <w:highlight w:val="none"/>
              </w:rPr>
            </w:pPr>
          </w:p>
        </w:tc>
      </w:tr>
      <w:tr w14:paraId="0A8EF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94" w:type="dxa"/>
            <w:vAlign w:val="center"/>
          </w:tcPr>
          <w:p w14:paraId="2DD2C7C9">
            <w:pPr>
              <w:pStyle w:val="51"/>
              <w:jc w:val="center"/>
              <w:rPr>
                <w:i w:val="0"/>
                <w:iCs w:val="0"/>
                <w:color w:val="auto"/>
                <w:highlight w:val="none"/>
              </w:rPr>
            </w:pPr>
            <w:r>
              <w:rPr>
                <w:rFonts w:hint="eastAsia"/>
                <w:i w:val="0"/>
                <w:iCs w:val="0"/>
                <w:color w:val="auto"/>
                <w:highlight w:val="none"/>
              </w:rPr>
              <w:t>……</w:t>
            </w:r>
          </w:p>
        </w:tc>
        <w:tc>
          <w:tcPr>
            <w:tcW w:w="2177" w:type="dxa"/>
            <w:vAlign w:val="center"/>
          </w:tcPr>
          <w:p w14:paraId="29F0135A">
            <w:pPr>
              <w:pStyle w:val="51"/>
              <w:jc w:val="center"/>
              <w:rPr>
                <w:i w:val="0"/>
                <w:iCs w:val="0"/>
                <w:color w:val="auto"/>
                <w:highlight w:val="none"/>
              </w:rPr>
            </w:pPr>
            <w:r>
              <w:rPr>
                <w:rFonts w:hint="eastAsia"/>
                <w:i w:val="0"/>
                <w:iCs w:val="0"/>
                <w:color w:val="auto"/>
                <w:highlight w:val="none"/>
              </w:rPr>
              <w:t>…………</w:t>
            </w:r>
          </w:p>
        </w:tc>
        <w:tc>
          <w:tcPr>
            <w:tcW w:w="1556" w:type="dxa"/>
            <w:vAlign w:val="center"/>
          </w:tcPr>
          <w:p w14:paraId="50F79AEC">
            <w:pPr>
              <w:pStyle w:val="51"/>
              <w:jc w:val="center"/>
              <w:rPr>
                <w:i w:val="0"/>
                <w:iCs w:val="0"/>
                <w:color w:val="auto"/>
                <w:highlight w:val="none"/>
              </w:rPr>
            </w:pPr>
            <w:r>
              <w:rPr>
                <w:rFonts w:hint="eastAsia"/>
                <w:i w:val="0"/>
                <w:iCs w:val="0"/>
                <w:color w:val="auto"/>
                <w:highlight w:val="none"/>
              </w:rPr>
              <w:t>………………</w:t>
            </w:r>
          </w:p>
        </w:tc>
        <w:tc>
          <w:tcPr>
            <w:tcW w:w="2046" w:type="dxa"/>
            <w:vAlign w:val="center"/>
          </w:tcPr>
          <w:p w14:paraId="400A4920">
            <w:pPr>
              <w:pStyle w:val="51"/>
              <w:jc w:val="center"/>
              <w:rPr>
                <w:i w:val="0"/>
                <w:iCs w:val="0"/>
                <w:color w:val="auto"/>
                <w:highlight w:val="none"/>
              </w:rPr>
            </w:pPr>
            <w:r>
              <w:rPr>
                <w:rFonts w:hint="eastAsia"/>
                <w:i w:val="0"/>
                <w:iCs w:val="0"/>
                <w:color w:val="auto"/>
                <w:highlight w:val="none"/>
              </w:rPr>
              <w:t>…………</w:t>
            </w:r>
          </w:p>
        </w:tc>
        <w:tc>
          <w:tcPr>
            <w:tcW w:w="2046" w:type="dxa"/>
            <w:vAlign w:val="center"/>
          </w:tcPr>
          <w:p w14:paraId="31BCF4CE">
            <w:pPr>
              <w:pStyle w:val="51"/>
              <w:jc w:val="center"/>
              <w:rPr>
                <w:i w:val="0"/>
                <w:iCs w:val="0"/>
                <w:color w:val="auto"/>
                <w:highlight w:val="none"/>
              </w:rPr>
            </w:pPr>
          </w:p>
        </w:tc>
      </w:tr>
    </w:tbl>
    <w:p w14:paraId="3794FBEA">
      <w:pPr>
        <w:ind w:firstLine="420" w:firstLineChars="200"/>
        <w:rPr>
          <w:rFonts w:hint="eastAsia" w:cs="仿宋_GB2312"/>
          <w:i w:val="0"/>
          <w:iCs w:val="0"/>
          <w:color w:val="auto"/>
          <w:sz w:val="21"/>
          <w:szCs w:val="21"/>
          <w:highlight w:val="none"/>
        </w:rPr>
      </w:pPr>
    </w:p>
    <w:p w14:paraId="12D94A5A">
      <w:pPr>
        <w:ind w:firstLine="420" w:firstLineChars="200"/>
        <w:rPr>
          <w:rFonts w:cs="仿宋_GB2312"/>
          <w:i w:val="0"/>
          <w:iCs w:val="0"/>
          <w:color w:val="auto"/>
          <w:sz w:val="21"/>
          <w:szCs w:val="21"/>
          <w:highlight w:val="none"/>
        </w:rPr>
      </w:pPr>
      <w:r>
        <w:rPr>
          <w:rFonts w:hint="eastAsia" w:cs="仿宋_GB2312"/>
          <w:i w:val="0"/>
          <w:iCs w:val="0"/>
          <w:color w:val="auto"/>
          <w:sz w:val="21"/>
          <w:szCs w:val="21"/>
          <w:highlight w:val="none"/>
        </w:rPr>
        <w:t>说明：</w:t>
      </w:r>
      <w:r>
        <w:rPr>
          <w:rFonts w:hint="eastAsia" w:cs="仿宋_GB2312"/>
          <w:i w:val="0"/>
          <w:iCs w:val="0"/>
          <w:color w:val="auto"/>
          <w:sz w:val="21"/>
          <w:szCs w:val="21"/>
          <w:highlight w:val="none"/>
          <w:lang w:val="en-US" w:eastAsia="zh-CN"/>
        </w:rPr>
        <w:t>供应商</w:t>
      </w:r>
      <w:r>
        <w:rPr>
          <w:rFonts w:hint="eastAsia" w:cs="仿宋_GB2312"/>
          <w:i w:val="0"/>
          <w:iCs w:val="0"/>
          <w:color w:val="auto"/>
          <w:sz w:val="21"/>
          <w:szCs w:val="21"/>
          <w:highlight w:val="none"/>
        </w:rPr>
        <w:t>应按照</w:t>
      </w:r>
      <w:r>
        <w:rPr>
          <w:rFonts w:hint="eastAsia"/>
          <w:i w:val="0"/>
          <w:iCs w:val="0"/>
          <w:color w:val="auto"/>
          <w:sz w:val="21"/>
          <w:szCs w:val="21"/>
          <w:highlight w:val="none"/>
          <w:lang w:val="en-US" w:eastAsia="zh-CN"/>
        </w:rPr>
        <w:t>竞争性磋商</w:t>
      </w:r>
      <w:r>
        <w:rPr>
          <w:rFonts w:hint="eastAsia" w:cs="仿宋_GB2312"/>
          <w:i w:val="0"/>
          <w:iCs w:val="0"/>
          <w:color w:val="auto"/>
          <w:sz w:val="21"/>
          <w:szCs w:val="21"/>
          <w:highlight w:val="none"/>
        </w:rPr>
        <w:t xml:space="preserve">文件“第三章 </w:t>
      </w:r>
      <w:r>
        <w:rPr>
          <w:rFonts w:hint="eastAsia" w:cs="仿宋_GB2312"/>
          <w:i w:val="0"/>
          <w:iCs w:val="0"/>
          <w:color w:val="auto"/>
          <w:sz w:val="21"/>
          <w:szCs w:val="21"/>
          <w:highlight w:val="none"/>
          <w:lang w:val="en-US" w:eastAsia="zh-CN"/>
        </w:rPr>
        <w:t>项目</w:t>
      </w:r>
      <w:r>
        <w:rPr>
          <w:rFonts w:hint="eastAsia" w:cs="仿宋_GB2312"/>
          <w:i w:val="0"/>
          <w:iCs w:val="0"/>
          <w:color w:val="auto"/>
          <w:sz w:val="21"/>
          <w:szCs w:val="21"/>
          <w:highlight w:val="none"/>
        </w:rPr>
        <w:t>采购需求</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中的</w:t>
      </w:r>
      <w:r>
        <w:rPr>
          <w:rFonts w:hint="eastAsia" w:cs="仿宋_GB2312"/>
          <w:i w:val="0"/>
          <w:iCs w:val="0"/>
          <w:color w:val="auto"/>
          <w:sz w:val="21"/>
          <w:szCs w:val="21"/>
          <w:highlight w:val="none"/>
        </w:rPr>
        <w:t>技术要求填写</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“响应/正偏离/负偏离”应据实填写“响应”、“正偏离”或“负偏离”</w:t>
      </w:r>
      <w:r>
        <w:rPr>
          <w:rFonts w:hint="eastAsia" w:cs="仿宋_GB2312"/>
          <w:i w:val="0"/>
          <w:iCs w:val="0"/>
          <w:color w:val="auto"/>
          <w:sz w:val="21"/>
          <w:szCs w:val="21"/>
          <w:highlight w:val="none"/>
        </w:rPr>
        <w:t>。</w:t>
      </w:r>
    </w:p>
    <w:p w14:paraId="5570E0A3">
      <w:pPr>
        <w:ind w:firstLine="480" w:firstLineChars="200"/>
        <w:rPr>
          <w:rFonts w:cs="仿宋_GB2312"/>
          <w:i w:val="0"/>
          <w:iCs w:val="0"/>
          <w:color w:val="auto"/>
          <w:szCs w:val="24"/>
          <w:highlight w:val="none"/>
        </w:rPr>
      </w:pPr>
    </w:p>
    <w:p w14:paraId="4BD3E5A1">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7D3932D3">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2D8A915">
      <w:pPr>
        <w:ind w:firstLine="420"/>
        <w:rPr>
          <w:rFonts w:hint="eastAsia" w:cs="仿宋_GB2312"/>
          <w:i w:val="0"/>
          <w:iCs w:val="0"/>
          <w:color w:val="auto"/>
          <w:szCs w:val="24"/>
          <w:highlight w:val="none"/>
          <w:lang w:val="en-US" w:eastAsia="zh-CN"/>
        </w:rPr>
      </w:pPr>
    </w:p>
    <w:p w14:paraId="0B629CB4">
      <w:pPr>
        <w:ind w:firstLine="420"/>
        <w:rPr>
          <w:rFonts w:cs="仿宋_GB2312"/>
          <w:i w:val="0"/>
          <w:iCs w:val="0"/>
          <w:color w:val="auto"/>
          <w:sz w:val="21"/>
          <w:szCs w:val="21"/>
          <w:highlight w:val="none"/>
        </w:rPr>
      </w:pPr>
      <w:r>
        <w:rPr>
          <w:rFonts w:hint="eastAsia" w:cs="仿宋_GB2312"/>
          <w:i w:val="0"/>
          <w:iCs w:val="0"/>
          <w:color w:val="auto"/>
          <w:sz w:val="21"/>
          <w:szCs w:val="21"/>
          <w:highlight w:val="none"/>
          <w:lang w:val="en-US" w:eastAsia="zh-CN"/>
        </w:rPr>
        <w:t>备注：供应商在本表中须标注产品实际参数数值，照搬照抄采购文件参数、不注明实际数值者</w:t>
      </w:r>
      <w:r>
        <w:rPr>
          <w:rFonts w:hint="eastAsia" w:cs="仿宋_GB2312"/>
          <w:b/>
          <w:bCs/>
          <w:i w:val="0"/>
          <w:iCs w:val="0"/>
          <w:color w:val="auto"/>
          <w:sz w:val="21"/>
          <w:szCs w:val="21"/>
          <w:highlight w:val="none"/>
          <w:lang w:val="en-US" w:eastAsia="zh-CN"/>
        </w:rPr>
        <w:t>视为未响应</w:t>
      </w:r>
      <w:r>
        <w:rPr>
          <w:rFonts w:hint="eastAsia" w:cs="仿宋_GB2312"/>
          <w:i w:val="0"/>
          <w:iCs w:val="0"/>
          <w:color w:val="auto"/>
          <w:sz w:val="21"/>
          <w:szCs w:val="21"/>
          <w:highlight w:val="none"/>
          <w:lang w:val="en-US" w:eastAsia="zh-CN"/>
        </w:rPr>
        <w:t>。</w:t>
      </w:r>
      <w:r>
        <w:rPr>
          <w:rFonts w:cs="仿宋_GB2312"/>
          <w:i w:val="0"/>
          <w:iCs w:val="0"/>
          <w:color w:val="auto"/>
          <w:sz w:val="21"/>
          <w:szCs w:val="21"/>
          <w:highlight w:val="none"/>
        </w:rPr>
        <w:br w:type="page"/>
      </w:r>
    </w:p>
    <w:p w14:paraId="6E26B7AD">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27" w:name="_Toc6568"/>
      <w:r>
        <w:rPr>
          <w:rFonts w:hint="eastAsia" w:cstheme="majorBidi"/>
          <w:b/>
          <w:bCs/>
          <w:i w:val="0"/>
          <w:iCs w:val="0"/>
          <w:color w:val="auto"/>
          <w:kern w:val="2"/>
          <w:sz w:val="32"/>
          <w:szCs w:val="32"/>
          <w:highlight w:val="none"/>
          <w:lang w:val="en-US" w:eastAsia="zh-CN" w:bidi="ar-SA"/>
        </w:rPr>
        <w:t>十</w:t>
      </w:r>
      <w:r>
        <w:rPr>
          <w:rFonts w:hint="eastAsia" w:eastAsia="宋体" w:asciiTheme="majorHAnsi" w:hAnsiTheme="majorHAnsi" w:cstheme="majorBidi"/>
          <w:b/>
          <w:bCs/>
          <w:i w:val="0"/>
          <w:iCs w:val="0"/>
          <w:color w:val="auto"/>
          <w:kern w:val="2"/>
          <w:sz w:val="32"/>
          <w:szCs w:val="32"/>
          <w:highlight w:val="none"/>
          <w:lang w:val="en-US" w:eastAsia="zh-CN" w:bidi="ar-SA"/>
        </w:rPr>
        <w:t>、技术方案</w:t>
      </w:r>
      <w:bookmarkEnd w:id="727"/>
    </w:p>
    <w:p w14:paraId="71F31F89">
      <w:pPr>
        <w:pStyle w:val="40"/>
        <w:rPr>
          <w:rFonts w:hint="eastAsia" w:ascii="宋体" w:hAnsi="宋体" w:eastAsia="宋体" w:cs="宋体"/>
          <w:bCs/>
          <w:color w:val="auto"/>
          <w:sz w:val="24"/>
          <w:highlight w:val="none"/>
        </w:rPr>
      </w:pPr>
      <w:r>
        <w:rPr>
          <w:rFonts w:hint="eastAsia"/>
          <w:i w:val="0"/>
          <w:iCs w:val="0"/>
          <w:color w:val="auto"/>
          <w:highlight w:val="none"/>
          <w:lang w:val="en-US" w:eastAsia="zh-CN"/>
        </w:rPr>
        <w:t>供应商</w:t>
      </w:r>
      <w:r>
        <w:rPr>
          <w:rFonts w:hint="eastAsia"/>
          <w:i w:val="0"/>
          <w:iCs w:val="0"/>
          <w:color w:val="auto"/>
          <w:highlight w:val="none"/>
        </w:rPr>
        <w:t>应按照</w:t>
      </w:r>
      <w:r>
        <w:rPr>
          <w:rFonts w:hint="eastAsia"/>
          <w:i w:val="0"/>
          <w:iCs w:val="0"/>
          <w:color w:val="auto"/>
          <w:highlight w:val="none"/>
          <w:lang w:val="en-US" w:eastAsia="zh-CN"/>
        </w:rPr>
        <w:t>竞争性磋商</w:t>
      </w:r>
      <w:r>
        <w:rPr>
          <w:rFonts w:hint="eastAsia"/>
          <w:i w:val="0"/>
          <w:iCs w:val="0"/>
          <w:color w:val="auto"/>
          <w:highlight w:val="none"/>
        </w:rPr>
        <w:t>文件的要求，提供详细的服务方案，包括文字描述或图表显示。</w:t>
      </w:r>
      <w:r>
        <w:rPr>
          <w:rFonts w:hint="eastAsia" w:ascii="宋体" w:hAnsi="宋体" w:eastAsia="宋体" w:cs="宋体"/>
          <w:bCs/>
          <w:color w:val="auto"/>
          <w:sz w:val="24"/>
          <w:highlight w:val="none"/>
        </w:rPr>
        <w:t>包括但不限于以下内容、</w:t>
      </w:r>
      <w:r>
        <w:rPr>
          <w:rFonts w:hint="eastAsia" w:ascii="宋体" w:hAnsi="宋体" w:eastAsia="宋体" w:cs="宋体"/>
          <w:b/>
          <w:color w:val="auto"/>
          <w:sz w:val="24"/>
          <w:highlight w:val="none"/>
          <w:u w:val="single"/>
        </w:rPr>
        <w:t>建议按照评审标准提供相应资料</w:t>
      </w:r>
    </w:p>
    <w:p w14:paraId="6D3A3A88">
      <w:pPr>
        <w:pStyle w:val="86"/>
        <w:spacing w:line="360" w:lineRule="auto"/>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1、总体构思：</w:t>
      </w:r>
    </w:p>
    <w:p w14:paraId="1CC307B7">
      <w:pPr>
        <w:pStyle w:val="86"/>
        <w:spacing w:line="360" w:lineRule="auto"/>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①指导思想</w:t>
      </w:r>
      <w:r>
        <w:rPr>
          <w:rFonts w:hint="eastAsia" w:ascii="宋体" w:hAnsi="宋体" w:cs="宋体"/>
          <w:bCs/>
          <w:color w:val="auto"/>
          <w:sz w:val="24"/>
          <w:highlight w:val="none"/>
          <w:lang w:val="en-US" w:eastAsia="zh-CN"/>
        </w:rPr>
        <w:t>；</w:t>
      </w:r>
      <w:r>
        <w:rPr>
          <w:rFonts w:hint="eastAsia" w:ascii="宋体" w:hAnsi="宋体" w:eastAsia="宋体" w:cs="宋体"/>
          <w:bCs/>
          <w:color w:val="auto"/>
          <w:sz w:val="24"/>
          <w:highlight w:val="none"/>
          <w:lang w:val="en-US" w:eastAsia="zh-CN"/>
        </w:rPr>
        <w:t>②造价管理工作目标</w:t>
      </w:r>
    </w:p>
    <w:p w14:paraId="0212C8A2">
      <w:pPr>
        <w:pStyle w:val="86"/>
        <w:spacing w:line="360" w:lineRule="auto"/>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2、造价咨询服务方案</w:t>
      </w:r>
    </w:p>
    <w:p w14:paraId="3CA02850">
      <w:pPr>
        <w:pStyle w:val="86"/>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①造价管理工作范围和任务</w:t>
      </w:r>
      <w:r>
        <w:rPr>
          <w:rFonts w:hint="eastAsia" w:ascii="宋体" w:hAnsi="宋体" w:cs="宋体"/>
          <w:bCs/>
          <w:color w:val="auto"/>
          <w:sz w:val="24"/>
          <w:highlight w:val="none"/>
          <w:lang w:val="en-US" w:eastAsia="zh-CN"/>
        </w:rPr>
        <w:t>；</w:t>
      </w:r>
      <w:r>
        <w:rPr>
          <w:rFonts w:hint="default" w:ascii="宋体" w:hAnsi="宋体" w:cs="宋体"/>
          <w:bCs/>
          <w:color w:val="auto"/>
          <w:sz w:val="24"/>
          <w:highlight w:val="none"/>
          <w:lang w:val="en-US" w:eastAsia="zh-CN"/>
        </w:rPr>
        <w:t>②造价管理依据</w:t>
      </w:r>
      <w:r>
        <w:rPr>
          <w:rFonts w:hint="eastAsia" w:ascii="宋体" w:hAnsi="宋体" w:cs="宋体"/>
          <w:bCs/>
          <w:color w:val="auto"/>
          <w:sz w:val="24"/>
          <w:highlight w:val="none"/>
          <w:lang w:val="en-US" w:eastAsia="zh-CN"/>
        </w:rPr>
        <w:t>；</w:t>
      </w:r>
      <w:r>
        <w:rPr>
          <w:rFonts w:hint="default" w:ascii="宋体" w:hAnsi="宋体" w:cs="宋体"/>
          <w:bCs/>
          <w:color w:val="auto"/>
          <w:sz w:val="24"/>
          <w:highlight w:val="none"/>
          <w:lang w:val="en-US" w:eastAsia="zh-CN"/>
        </w:rPr>
        <w:t>③造价管理工作程序</w:t>
      </w:r>
      <w:r>
        <w:rPr>
          <w:rFonts w:hint="eastAsia" w:ascii="宋体" w:hAnsi="宋体" w:cs="宋体"/>
          <w:bCs/>
          <w:color w:val="auto"/>
          <w:sz w:val="24"/>
          <w:highlight w:val="none"/>
          <w:lang w:val="en-US" w:eastAsia="zh-CN"/>
        </w:rPr>
        <w:t>；</w:t>
      </w:r>
      <w:r>
        <w:rPr>
          <w:rFonts w:hint="default" w:ascii="宋体" w:hAnsi="宋体" w:cs="宋体"/>
          <w:bCs/>
          <w:color w:val="auto"/>
          <w:sz w:val="24"/>
          <w:highlight w:val="none"/>
          <w:lang w:val="en-US" w:eastAsia="zh-CN"/>
        </w:rPr>
        <w:t>④造价管理方案</w:t>
      </w:r>
      <w:r>
        <w:rPr>
          <w:rFonts w:hint="eastAsia" w:ascii="宋体" w:hAnsi="宋体" w:cs="宋体"/>
          <w:bCs/>
          <w:color w:val="auto"/>
          <w:sz w:val="24"/>
          <w:highlight w:val="none"/>
          <w:lang w:val="en-US" w:eastAsia="zh-CN"/>
        </w:rPr>
        <w:t>；</w:t>
      </w:r>
      <w:r>
        <w:rPr>
          <w:rFonts w:hint="default" w:ascii="宋体" w:hAnsi="宋体" w:cs="宋体"/>
          <w:bCs/>
          <w:color w:val="auto"/>
          <w:sz w:val="24"/>
          <w:highlight w:val="none"/>
          <w:lang w:val="en-US" w:eastAsia="zh-CN"/>
        </w:rPr>
        <w:t>⑤投资控制方法</w:t>
      </w:r>
      <w:r>
        <w:rPr>
          <w:rFonts w:hint="eastAsia" w:ascii="宋体" w:hAnsi="宋体" w:cs="宋体"/>
          <w:bCs/>
          <w:color w:val="auto"/>
          <w:sz w:val="24"/>
          <w:highlight w:val="none"/>
          <w:lang w:val="en-US" w:eastAsia="zh-CN"/>
        </w:rPr>
        <w:t>；</w:t>
      </w:r>
      <w:r>
        <w:rPr>
          <w:rFonts w:hint="default" w:ascii="宋体" w:hAnsi="宋体" w:cs="宋体"/>
          <w:bCs/>
          <w:color w:val="auto"/>
          <w:sz w:val="24"/>
          <w:highlight w:val="none"/>
          <w:lang w:val="en-US" w:eastAsia="zh-CN"/>
        </w:rPr>
        <w:t>⑥合同管理及协调</w:t>
      </w:r>
      <w:r>
        <w:rPr>
          <w:rFonts w:hint="eastAsia" w:ascii="宋体" w:hAnsi="宋体" w:cs="宋体"/>
          <w:bCs/>
          <w:color w:val="auto"/>
          <w:sz w:val="24"/>
          <w:highlight w:val="none"/>
          <w:lang w:val="en-US" w:eastAsia="zh-CN"/>
        </w:rPr>
        <w:t>；</w:t>
      </w:r>
      <w:r>
        <w:rPr>
          <w:rFonts w:hint="default" w:ascii="宋体" w:hAnsi="宋体" w:cs="宋体"/>
          <w:bCs/>
          <w:color w:val="auto"/>
          <w:sz w:val="24"/>
          <w:highlight w:val="none"/>
          <w:lang w:val="en-US" w:eastAsia="zh-CN"/>
        </w:rPr>
        <w:t>⑦现场管理及协调</w:t>
      </w:r>
    </w:p>
    <w:p w14:paraId="5102E60F">
      <w:pPr>
        <w:pStyle w:val="86"/>
        <w:spacing w:line="360" w:lineRule="auto"/>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3、服务进度管理及成果质量控制措施</w:t>
      </w:r>
    </w:p>
    <w:p w14:paraId="47188769">
      <w:pPr>
        <w:pStyle w:val="86"/>
        <w:spacing w:line="360" w:lineRule="auto"/>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①服务进度满足服务期限；②满足总进度计划的要求；③成果质量控制服务的过程中有关键节点质量把控方案；④成果报告文件能够提供完整；⑤文档的质量控制明确</w:t>
      </w:r>
    </w:p>
    <w:p w14:paraId="6A94547B">
      <w:pPr>
        <w:pStyle w:val="86"/>
        <w:spacing w:line="360" w:lineRule="auto"/>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4、管理制度</w:t>
      </w:r>
    </w:p>
    <w:p w14:paraId="4C1083A8">
      <w:pPr>
        <w:pStyle w:val="86"/>
        <w:spacing w:line="360" w:lineRule="auto"/>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①人员考核制度</w:t>
      </w:r>
      <w:r>
        <w:rPr>
          <w:rFonts w:hint="eastAsia" w:ascii="宋体" w:hAnsi="宋体" w:cs="宋体"/>
          <w:bCs/>
          <w:color w:val="auto"/>
          <w:sz w:val="24"/>
          <w:highlight w:val="none"/>
          <w:lang w:val="en-US" w:eastAsia="zh-CN"/>
        </w:rPr>
        <w:t>；</w:t>
      </w:r>
      <w:r>
        <w:rPr>
          <w:rFonts w:hint="eastAsia" w:ascii="宋体" w:hAnsi="宋体" w:eastAsia="宋体" w:cs="宋体"/>
          <w:bCs/>
          <w:color w:val="auto"/>
          <w:sz w:val="24"/>
          <w:highlight w:val="none"/>
          <w:lang w:val="en-US" w:eastAsia="zh-CN"/>
        </w:rPr>
        <w:t>②业务操作规程</w:t>
      </w:r>
      <w:r>
        <w:rPr>
          <w:rFonts w:hint="eastAsia" w:ascii="宋体" w:hAnsi="宋体" w:cs="宋体"/>
          <w:bCs/>
          <w:color w:val="auto"/>
          <w:sz w:val="24"/>
          <w:highlight w:val="none"/>
          <w:lang w:val="en-US" w:eastAsia="zh-CN"/>
        </w:rPr>
        <w:t>；</w:t>
      </w:r>
      <w:r>
        <w:rPr>
          <w:rFonts w:hint="eastAsia" w:ascii="宋体" w:hAnsi="宋体" w:eastAsia="宋体" w:cs="宋体"/>
          <w:bCs/>
          <w:color w:val="auto"/>
          <w:sz w:val="24"/>
          <w:highlight w:val="none"/>
          <w:lang w:val="en-US" w:eastAsia="zh-CN"/>
        </w:rPr>
        <w:t>③签字盖章规范,逐级审核要求，工作底稿质量要求制度</w:t>
      </w:r>
      <w:r>
        <w:rPr>
          <w:rFonts w:hint="eastAsia" w:ascii="宋体" w:hAnsi="宋体" w:cs="宋体"/>
          <w:bCs/>
          <w:color w:val="auto"/>
          <w:sz w:val="24"/>
          <w:highlight w:val="none"/>
          <w:lang w:val="en-US" w:eastAsia="zh-CN"/>
        </w:rPr>
        <w:t>；</w:t>
      </w:r>
      <w:r>
        <w:rPr>
          <w:rFonts w:hint="eastAsia" w:ascii="宋体" w:hAnsi="宋体" w:eastAsia="宋体" w:cs="宋体"/>
          <w:bCs/>
          <w:color w:val="auto"/>
          <w:sz w:val="24"/>
          <w:highlight w:val="none"/>
          <w:lang w:val="en-US" w:eastAsia="zh-CN"/>
        </w:rPr>
        <w:t>④档案管理制度</w:t>
      </w:r>
    </w:p>
    <w:p w14:paraId="3F8948DA">
      <w:pPr>
        <w:pStyle w:val="86"/>
        <w:spacing w:line="360" w:lineRule="auto"/>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5、服务承诺保证</w:t>
      </w:r>
    </w:p>
    <w:p w14:paraId="399B7D73">
      <w:pPr>
        <w:pStyle w:val="86"/>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保密承诺、质量承诺、廉政承诺、履约承诺</w:t>
      </w:r>
    </w:p>
    <w:p w14:paraId="77A84C6B">
      <w:pPr>
        <w:pStyle w:val="86"/>
        <w:spacing w:line="360" w:lineRule="auto"/>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6、优惠条件</w:t>
      </w:r>
    </w:p>
    <w:p w14:paraId="5381F169">
      <w:pPr>
        <w:pStyle w:val="40"/>
        <w:rPr>
          <w:rFonts w:hint="eastAsia"/>
          <w:i w:val="0"/>
          <w:iCs w:val="0"/>
          <w:color w:val="auto"/>
          <w:highlight w:val="none"/>
        </w:rPr>
      </w:pPr>
    </w:p>
    <w:p w14:paraId="189FD898">
      <w:pPr>
        <w:pStyle w:val="40"/>
        <w:rPr>
          <w:rFonts w:hint="eastAsia"/>
          <w:i w:val="0"/>
          <w:iCs w:val="0"/>
          <w:color w:val="auto"/>
          <w:highlight w:val="none"/>
        </w:rPr>
      </w:pPr>
    </w:p>
    <w:p w14:paraId="5938EA11">
      <w:pPr>
        <w:pStyle w:val="40"/>
        <w:rPr>
          <w:i w:val="0"/>
          <w:iCs w:val="0"/>
          <w:color w:val="auto"/>
          <w:highlight w:val="none"/>
        </w:rPr>
      </w:pPr>
      <w:r>
        <w:rPr>
          <w:rFonts w:hint="eastAsia"/>
          <w:i w:val="0"/>
          <w:iCs w:val="0"/>
          <w:color w:val="auto"/>
          <w:highlight w:val="none"/>
        </w:rPr>
        <w:t>格式自拟。</w:t>
      </w:r>
    </w:p>
    <w:p w14:paraId="66999100">
      <w:pPr>
        <w:pStyle w:val="40"/>
        <w:rPr>
          <w:i w:val="0"/>
          <w:iCs w:val="0"/>
          <w:color w:val="auto"/>
          <w:highlight w:val="none"/>
        </w:rPr>
      </w:pPr>
      <w:r>
        <w:rPr>
          <w:i w:val="0"/>
          <w:iCs w:val="0"/>
          <w:color w:val="auto"/>
          <w:highlight w:val="none"/>
        </w:rPr>
        <w:br w:type="page"/>
      </w:r>
    </w:p>
    <w:p w14:paraId="1C96E166">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28" w:name="_Toc8520"/>
      <w:r>
        <w:rPr>
          <w:rFonts w:hint="eastAsia" w:eastAsia="宋体" w:asciiTheme="majorHAnsi" w:hAnsiTheme="majorHAnsi" w:cstheme="majorBidi"/>
          <w:b/>
          <w:bCs/>
          <w:i w:val="0"/>
          <w:iCs w:val="0"/>
          <w:color w:val="auto"/>
          <w:kern w:val="2"/>
          <w:sz w:val="32"/>
          <w:szCs w:val="32"/>
          <w:highlight w:val="none"/>
          <w:lang w:val="en-US" w:eastAsia="zh-CN" w:bidi="ar-SA"/>
        </w:rPr>
        <w:t>十</w:t>
      </w:r>
      <w:r>
        <w:rPr>
          <w:rFonts w:hint="eastAsia" w:cstheme="majorBidi"/>
          <w:b/>
          <w:bCs/>
          <w:i w:val="0"/>
          <w:iCs w:val="0"/>
          <w:color w:val="auto"/>
          <w:kern w:val="2"/>
          <w:sz w:val="32"/>
          <w:szCs w:val="32"/>
          <w:highlight w:val="none"/>
          <w:lang w:val="en-US" w:eastAsia="zh-CN" w:bidi="ar-SA"/>
        </w:rPr>
        <w:t>一</w:t>
      </w:r>
      <w:r>
        <w:rPr>
          <w:rFonts w:hint="eastAsia" w:eastAsia="宋体" w:asciiTheme="majorHAnsi" w:hAnsiTheme="majorHAnsi" w:cstheme="majorBidi"/>
          <w:b/>
          <w:bCs/>
          <w:i w:val="0"/>
          <w:iCs w:val="0"/>
          <w:color w:val="auto"/>
          <w:kern w:val="2"/>
          <w:sz w:val="32"/>
          <w:szCs w:val="32"/>
          <w:highlight w:val="none"/>
          <w:lang w:val="en-US" w:eastAsia="zh-CN" w:bidi="ar-SA"/>
        </w:rPr>
        <w:t>、其他文件</w:t>
      </w:r>
      <w:bookmarkEnd w:id="728"/>
    </w:p>
    <w:p w14:paraId="13FFE2A3">
      <w:pPr>
        <w:pStyle w:val="40"/>
        <w:ind w:left="0" w:leftChars="0" w:firstLine="0" w:firstLineChars="0"/>
        <w:rPr>
          <w:rFonts w:hint="eastAsia"/>
          <w:b/>
          <w:bCs/>
          <w:i w:val="0"/>
          <w:iCs w:val="0"/>
          <w:color w:val="auto"/>
          <w:sz w:val="24"/>
          <w:szCs w:val="24"/>
          <w:highlight w:val="none"/>
          <w:shd w:val="clear" w:color="auto" w:fill="FFFFFF" w:themeFill="background1"/>
          <w:lang w:val="zh-CN" w:eastAsia="zh-CN"/>
        </w:rPr>
      </w:pPr>
      <w:r>
        <w:rPr>
          <w:rFonts w:hint="eastAsia"/>
          <w:b/>
          <w:bCs/>
          <w:i w:val="0"/>
          <w:iCs w:val="0"/>
          <w:color w:val="auto"/>
          <w:sz w:val="24"/>
          <w:szCs w:val="24"/>
          <w:highlight w:val="none"/>
          <w:shd w:val="clear" w:color="auto" w:fill="FFFFFF" w:themeFill="background1"/>
          <w:lang w:val="en-US" w:eastAsia="zh-CN"/>
        </w:rPr>
        <w:t>（一）竞争性磋商</w:t>
      </w:r>
      <w:r>
        <w:rPr>
          <w:rFonts w:hint="eastAsia"/>
          <w:b/>
          <w:bCs/>
          <w:i w:val="0"/>
          <w:iCs w:val="0"/>
          <w:color w:val="auto"/>
          <w:sz w:val="24"/>
          <w:szCs w:val="24"/>
          <w:highlight w:val="none"/>
          <w:shd w:val="clear" w:color="auto" w:fill="FFFFFF" w:themeFill="background1"/>
          <w:lang w:val="zh-CN" w:eastAsia="zh-CN"/>
        </w:rPr>
        <w:t>文件要求提供的其它商务、技术资料和证明材料；</w:t>
      </w:r>
    </w:p>
    <w:p w14:paraId="51D75C8A">
      <w:pPr>
        <w:pStyle w:val="40"/>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1.1供应商信息采集表</w:t>
      </w:r>
    </w:p>
    <w:tbl>
      <w:tblPr>
        <w:tblStyle w:val="33"/>
        <w:tblW w:w="8292" w:type="dxa"/>
        <w:tblInd w:w="1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8"/>
        <w:gridCol w:w="2841"/>
        <w:gridCol w:w="2743"/>
      </w:tblGrid>
      <w:tr w14:paraId="68B3A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2708" w:type="dxa"/>
            <w:vAlign w:val="center"/>
          </w:tcPr>
          <w:p w14:paraId="05C9E605">
            <w:pPr>
              <w:keepNext w:val="0"/>
              <w:keepLines w:val="0"/>
              <w:widowControl/>
              <w:suppressLineNumbers w:val="0"/>
              <w:jc w:val="center"/>
              <w:rPr>
                <w:rFonts w:hint="eastAsia" w:ascii="宋体" w:hAnsi="宋体" w:eastAsia="宋体" w:cs="宋体"/>
                <w:i w:val="0"/>
                <w:iCs w:val="0"/>
                <w:color w:val="auto"/>
                <w:sz w:val="24"/>
                <w:szCs w:val="24"/>
                <w:highlight w:val="none"/>
                <w:vertAlign w:val="baseline"/>
                <w:lang w:val="en-US" w:eastAsia="zh-CN"/>
              </w:rPr>
            </w:pPr>
            <w:r>
              <w:rPr>
                <w:rFonts w:hint="eastAsia" w:ascii="宋体" w:hAnsi="宋体" w:eastAsia="宋体" w:cs="宋体"/>
                <w:i w:val="0"/>
                <w:iCs w:val="0"/>
                <w:color w:val="auto"/>
                <w:kern w:val="0"/>
                <w:sz w:val="24"/>
                <w:szCs w:val="24"/>
                <w:highlight w:val="none"/>
                <w:lang w:val="en-US" w:eastAsia="zh-CN" w:bidi="ar"/>
              </w:rPr>
              <w:t>供应商名称</w:t>
            </w:r>
          </w:p>
        </w:tc>
        <w:tc>
          <w:tcPr>
            <w:tcW w:w="2841" w:type="dxa"/>
            <w:vAlign w:val="center"/>
          </w:tcPr>
          <w:p w14:paraId="5EE6863F">
            <w:pPr>
              <w:keepNext w:val="0"/>
              <w:keepLines w:val="0"/>
              <w:widowControl/>
              <w:suppressLineNumbers w:val="0"/>
              <w:jc w:val="center"/>
              <w:rPr>
                <w:rFonts w:hint="eastAsia" w:ascii="宋体" w:hAnsi="宋体" w:eastAsia="宋体" w:cs="宋体"/>
                <w:i w:val="0"/>
                <w:iCs w:val="0"/>
                <w:color w:val="auto"/>
                <w:sz w:val="24"/>
                <w:szCs w:val="24"/>
                <w:highlight w:val="none"/>
                <w:vertAlign w:val="baseline"/>
                <w:lang w:val="en-US" w:eastAsia="zh-CN"/>
              </w:rPr>
            </w:pPr>
            <w:r>
              <w:rPr>
                <w:rFonts w:hint="eastAsia" w:ascii="宋体" w:hAnsi="宋体" w:eastAsia="宋体" w:cs="宋体"/>
                <w:i w:val="0"/>
                <w:iCs w:val="0"/>
                <w:color w:val="auto"/>
                <w:kern w:val="0"/>
                <w:sz w:val="24"/>
                <w:szCs w:val="24"/>
                <w:highlight w:val="none"/>
                <w:lang w:val="en-US" w:eastAsia="zh-CN" w:bidi="ar"/>
              </w:rPr>
              <w:t>供应商实际控制人性别</w:t>
            </w:r>
          </w:p>
        </w:tc>
        <w:tc>
          <w:tcPr>
            <w:tcW w:w="2743" w:type="dxa"/>
            <w:vAlign w:val="center"/>
          </w:tcPr>
          <w:p w14:paraId="2E0F6547">
            <w:pPr>
              <w:keepNext w:val="0"/>
              <w:keepLines w:val="0"/>
              <w:widowControl/>
              <w:suppressLineNumbers w:val="0"/>
              <w:jc w:val="center"/>
              <w:rPr>
                <w:rFonts w:hint="eastAsia" w:ascii="宋体" w:hAnsi="宋体" w:eastAsia="宋体" w:cs="宋体"/>
                <w:i w:val="0"/>
                <w:iCs w:val="0"/>
                <w:color w:val="auto"/>
                <w:sz w:val="24"/>
                <w:szCs w:val="24"/>
                <w:highlight w:val="none"/>
                <w:vertAlign w:val="baseline"/>
                <w:lang w:val="en-US" w:eastAsia="zh-CN"/>
              </w:rPr>
            </w:pPr>
            <w:r>
              <w:rPr>
                <w:rFonts w:hint="eastAsia" w:ascii="宋体" w:hAnsi="宋体" w:eastAsia="宋体" w:cs="宋体"/>
                <w:i w:val="0"/>
                <w:iCs w:val="0"/>
                <w:color w:val="auto"/>
                <w:kern w:val="0"/>
                <w:sz w:val="24"/>
                <w:szCs w:val="24"/>
                <w:highlight w:val="none"/>
                <w:lang w:val="en-US" w:eastAsia="zh-CN" w:bidi="ar"/>
              </w:rPr>
              <w:t>外商投资类型</w:t>
            </w:r>
          </w:p>
        </w:tc>
      </w:tr>
      <w:tr w14:paraId="7EC4B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6D6B185C">
            <w:pPr>
              <w:pStyle w:val="40"/>
              <w:rPr>
                <w:rFonts w:hint="eastAsia" w:ascii="宋体" w:hAnsi="宋体" w:eastAsia="宋体" w:cs="宋体"/>
                <w:i w:val="0"/>
                <w:iCs w:val="0"/>
                <w:color w:val="auto"/>
                <w:sz w:val="24"/>
                <w:szCs w:val="24"/>
                <w:highlight w:val="none"/>
                <w:vertAlign w:val="baseline"/>
                <w:lang w:val="en-US" w:eastAsia="zh-CN"/>
              </w:rPr>
            </w:pPr>
          </w:p>
        </w:tc>
        <w:tc>
          <w:tcPr>
            <w:tcW w:w="2841" w:type="dxa"/>
          </w:tcPr>
          <w:p w14:paraId="3BFEDA4E">
            <w:pPr>
              <w:pStyle w:val="40"/>
              <w:rPr>
                <w:rFonts w:hint="eastAsia" w:ascii="宋体" w:hAnsi="宋体" w:eastAsia="宋体" w:cs="宋体"/>
                <w:i w:val="0"/>
                <w:iCs w:val="0"/>
                <w:color w:val="auto"/>
                <w:sz w:val="24"/>
                <w:szCs w:val="24"/>
                <w:highlight w:val="none"/>
                <w:vertAlign w:val="baseline"/>
                <w:lang w:val="en-US" w:eastAsia="zh-CN"/>
              </w:rPr>
            </w:pPr>
          </w:p>
        </w:tc>
        <w:tc>
          <w:tcPr>
            <w:tcW w:w="2743" w:type="dxa"/>
          </w:tcPr>
          <w:p w14:paraId="5E712EC6">
            <w:pPr>
              <w:pStyle w:val="40"/>
              <w:rPr>
                <w:rFonts w:hint="eastAsia" w:ascii="宋体" w:hAnsi="宋体" w:eastAsia="宋体" w:cs="宋体"/>
                <w:i w:val="0"/>
                <w:iCs w:val="0"/>
                <w:color w:val="auto"/>
                <w:sz w:val="24"/>
                <w:szCs w:val="24"/>
                <w:highlight w:val="none"/>
                <w:vertAlign w:val="baseline"/>
                <w:lang w:val="en-US" w:eastAsia="zh-CN"/>
              </w:rPr>
            </w:pPr>
          </w:p>
        </w:tc>
      </w:tr>
      <w:tr w14:paraId="7F72B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35470705">
            <w:pPr>
              <w:pStyle w:val="40"/>
              <w:rPr>
                <w:rFonts w:hint="eastAsia" w:ascii="宋体" w:hAnsi="宋体" w:eastAsia="宋体" w:cs="宋体"/>
                <w:i w:val="0"/>
                <w:iCs w:val="0"/>
                <w:color w:val="auto"/>
                <w:sz w:val="24"/>
                <w:szCs w:val="24"/>
                <w:highlight w:val="none"/>
                <w:vertAlign w:val="baseline"/>
                <w:lang w:val="en-US" w:eastAsia="zh-CN"/>
              </w:rPr>
            </w:pPr>
          </w:p>
        </w:tc>
        <w:tc>
          <w:tcPr>
            <w:tcW w:w="2841" w:type="dxa"/>
          </w:tcPr>
          <w:p w14:paraId="120FC0DB">
            <w:pPr>
              <w:pStyle w:val="40"/>
              <w:rPr>
                <w:rFonts w:hint="eastAsia" w:ascii="宋体" w:hAnsi="宋体" w:eastAsia="宋体" w:cs="宋体"/>
                <w:i w:val="0"/>
                <w:iCs w:val="0"/>
                <w:color w:val="auto"/>
                <w:sz w:val="24"/>
                <w:szCs w:val="24"/>
                <w:highlight w:val="none"/>
                <w:vertAlign w:val="baseline"/>
                <w:lang w:val="en-US" w:eastAsia="zh-CN"/>
              </w:rPr>
            </w:pPr>
          </w:p>
        </w:tc>
        <w:tc>
          <w:tcPr>
            <w:tcW w:w="2743" w:type="dxa"/>
          </w:tcPr>
          <w:p w14:paraId="4D10BBA5">
            <w:pPr>
              <w:pStyle w:val="40"/>
              <w:rPr>
                <w:rFonts w:hint="eastAsia" w:ascii="宋体" w:hAnsi="宋体" w:eastAsia="宋体" w:cs="宋体"/>
                <w:i w:val="0"/>
                <w:iCs w:val="0"/>
                <w:color w:val="auto"/>
                <w:sz w:val="24"/>
                <w:szCs w:val="24"/>
                <w:highlight w:val="none"/>
                <w:vertAlign w:val="baseline"/>
                <w:lang w:val="en-US" w:eastAsia="zh-CN"/>
              </w:rPr>
            </w:pPr>
          </w:p>
        </w:tc>
      </w:tr>
      <w:tr w14:paraId="0E3ED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4CB37099">
            <w:pPr>
              <w:pStyle w:val="40"/>
              <w:rPr>
                <w:rFonts w:hint="eastAsia" w:ascii="宋体" w:hAnsi="宋体" w:eastAsia="宋体" w:cs="宋体"/>
                <w:i w:val="0"/>
                <w:iCs w:val="0"/>
                <w:color w:val="auto"/>
                <w:sz w:val="24"/>
                <w:szCs w:val="24"/>
                <w:highlight w:val="none"/>
                <w:vertAlign w:val="baseline"/>
                <w:lang w:val="en-US" w:eastAsia="zh-CN"/>
              </w:rPr>
            </w:pPr>
          </w:p>
        </w:tc>
        <w:tc>
          <w:tcPr>
            <w:tcW w:w="2841" w:type="dxa"/>
          </w:tcPr>
          <w:p w14:paraId="122977F8">
            <w:pPr>
              <w:pStyle w:val="40"/>
              <w:rPr>
                <w:rFonts w:hint="eastAsia" w:ascii="宋体" w:hAnsi="宋体" w:eastAsia="宋体" w:cs="宋体"/>
                <w:i w:val="0"/>
                <w:iCs w:val="0"/>
                <w:color w:val="auto"/>
                <w:sz w:val="24"/>
                <w:szCs w:val="24"/>
                <w:highlight w:val="none"/>
                <w:vertAlign w:val="baseline"/>
                <w:lang w:val="en-US" w:eastAsia="zh-CN"/>
              </w:rPr>
            </w:pPr>
          </w:p>
        </w:tc>
        <w:tc>
          <w:tcPr>
            <w:tcW w:w="2743" w:type="dxa"/>
          </w:tcPr>
          <w:p w14:paraId="4A463F62">
            <w:pPr>
              <w:pStyle w:val="40"/>
              <w:rPr>
                <w:rFonts w:hint="eastAsia" w:ascii="宋体" w:hAnsi="宋体" w:eastAsia="宋体" w:cs="宋体"/>
                <w:i w:val="0"/>
                <w:iCs w:val="0"/>
                <w:color w:val="auto"/>
                <w:sz w:val="24"/>
                <w:szCs w:val="24"/>
                <w:highlight w:val="none"/>
                <w:vertAlign w:val="baseline"/>
                <w:lang w:val="en-US" w:eastAsia="zh-CN"/>
              </w:rPr>
            </w:pPr>
          </w:p>
        </w:tc>
      </w:tr>
      <w:tr w14:paraId="15E4C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3339F9A1">
            <w:pPr>
              <w:pStyle w:val="40"/>
              <w:rPr>
                <w:rFonts w:hint="eastAsia" w:ascii="宋体" w:hAnsi="宋体" w:eastAsia="宋体" w:cs="宋体"/>
                <w:i w:val="0"/>
                <w:iCs w:val="0"/>
                <w:color w:val="auto"/>
                <w:sz w:val="24"/>
                <w:szCs w:val="24"/>
                <w:highlight w:val="none"/>
                <w:vertAlign w:val="baseline"/>
                <w:lang w:val="en-US" w:eastAsia="zh-CN"/>
              </w:rPr>
            </w:pPr>
          </w:p>
        </w:tc>
        <w:tc>
          <w:tcPr>
            <w:tcW w:w="2841" w:type="dxa"/>
          </w:tcPr>
          <w:p w14:paraId="3D02B7CB">
            <w:pPr>
              <w:pStyle w:val="40"/>
              <w:rPr>
                <w:rFonts w:hint="eastAsia" w:ascii="宋体" w:hAnsi="宋体" w:eastAsia="宋体" w:cs="宋体"/>
                <w:i w:val="0"/>
                <w:iCs w:val="0"/>
                <w:color w:val="auto"/>
                <w:sz w:val="24"/>
                <w:szCs w:val="24"/>
                <w:highlight w:val="none"/>
                <w:vertAlign w:val="baseline"/>
                <w:lang w:val="en-US" w:eastAsia="zh-CN"/>
              </w:rPr>
            </w:pPr>
          </w:p>
        </w:tc>
        <w:tc>
          <w:tcPr>
            <w:tcW w:w="2743" w:type="dxa"/>
          </w:tcPr>
          <w:p w14:paraId="3E40E83D">
            <w:pPr>
              <w:pStyle w:val="40"/>
              <w:rPr>
                <w:rFonts w:hint="eastAsia" w:ascii="宋体" w:hAnsi="宋体" w:eastAsia="宋体" w:cs="宋体"/>
                <w:i w:val="0"/>
                <w:iCs w:val="0"/>
                <w:color w:val="auto"/>
                <w:sz w:val="24"/>
                <w:szCs w:val="24"/>
                <w:highlight w:val="none"/>
                <w:vertAlign w:val="baseline"/>
                <w:lang w:val="en-US" w:eastAsia="zh-CN"/>
              </w:rPr>
            </w:pPr>
          </w:p>
        </w:tc>
      </w:tr>
    </w:tbl>
    <w:p w14:paraId="205510C6">
      <w:pPr>
        <w:keepNext w:val="0"/>
        <w:keepLines w:val="0"/>
        <w:widowControl/>
        <w:suppressLineNumbers w:val="0"/>
        <w:jc w:val="left"/>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val="en-US" w:eastAsia="zh-CN" w:bidi="ar"/>
        </w:rPr>
        <w:t xml:space="preserve">注：1.供应商如为联合体，则应填写联合体各成员信息。 </w:t>
      </w:r>
    </w:p>
    <w:p w14:paraId="5ABE6F97">
      <w:pPr>
        <w:keepNext w:val="0"/>
        <w:keepLines w:val="0"/>
        <w:widowControl/>
        <w:suppressLineNumbers w:val="0"/>
        <w:ind w:firstLine="420" w:firstLineChars="200"/>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2.“供应商实际控制人性别”按供应商实际控制人性别划分请填写“男”或“女”，指拥有供应商 51%以上绝对所有权的性；绝对所有权拥有者可以是一个人，也可以是多人合计计算。</w:t>
      </w:r>
    </w:p>
    <w:p w14:paraId="66716827">
      <w:pPr>
        <w:pStyle w:val="40"/>
        <w:ind w:left="0" w:leftChars="0" w:firstLine="420" w:firstLineChars="200"/>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kern w:val="0"/>
          <w:sz w:val="21"/>
          <w:szCs w:val="21"/>
          <w:highlight w:val="none"/>
          <w:lang w:val="en-US" w:eastAsia="zh-CN" w:bidi="ar"/>
        </w:rPr>
        <w:t>3.“外商投资类型”请填写“外商单独投资”、“外商部分投资”或“内资”。</w:t>
      </w:r>
    </w:p>
    <w:p w14:paraId="3E006082">
      <w:pPr>
        <w:pStyle w:val="40"/>
        <w:rPr>
          <w:rFonts w:hint="eastAsia" w:ascii="宋体" w:hAnsi="宋体" w:eastAsia="宋体" w:cs="宋体"/>
          <w:i w:val="0"/>
          <w:iCs w:val="0"/>
          <w:color w:val="auto"/>
          <w:sz w:val="24"/>
          <w:szCs w:val="24"/>
          <w:highlight w:val="none"/>
          <w:lang w:val="en-US" w:eastAsia="zh-CN"/>
        </w:rPr>
      </w:pPr>
    </w:p>
    <w:p w14:paraId="4D904C25">
      <w:p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br w:type="page"/>
      </w:r>
    </w:p>
    <w:p w14:paraId="27C91FEA">
      <w:pPr>
        <w:pStyle w:val="40"/>
        <w:rPr>
          <w:rFonts w:hint="eastAsia" w:cs="宋体"/>
          <w:b/>
          <w:bCs/>
          <w:i w:val="0"/>
          <w:iCs w:val="0"/>
          <w:color w:val="auto"/>
          <w:sz w:val="24"/>
          <w:szCs w:val="24"/>
          <w:highlight w:val="none"/>
          <w:lang w:val="en-US" w:eastAsia="zh-CN"/>
        </w:rPr>
      </w:pPr>
      <w:r>
        <w:rPr>
          <w:rFonts w:hint="eastAsia" w:cs="宋体"/>
          <w:b/>
          <w:bCs/>
          <w:i w:val="0"/>
          <w:iCs w:val="0"/>
          <w:color w:val="auto"/>
          <w:sz w:val="24"/>
          <w:szCs w:val="24"/>
          <w:highlight w:val="none"/>
          <w:lang w:val="en-US" w:eastAsia="zh-CN"/>
        </w:rPr>
        <w:t>1.2供应商诚信承诺书</w:t>
      </w:r>
    </w:p>
    <w:p w14:paraId="48A48D0C">
      <w:pPr>
        <w:autoSpaceDE w:val="0"/>
        <w:autoSpaceDN w:val="0"/>
        <w:adjustRightInd w:val="0"/>
        <w:spacing w:line="36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供应商诚信承诺书</w:t>
      </w:r>
    </w:p>
    <w:p w14:paraId="43A60F09">
      <w:pPr>
        <w:autoSpaceDE w:val="0"/>
        <w:autoSpaceDN w:val="0"/>
        <w:adjustRightInd w:val="0"/>
        <w:spacing w:line="360" w:lineRule="auto"/>
        <w:ind w:firstLine="480"/>
        <w:rPr>
          <w:rFonts w:hint="eastAsia" w:ascii="宋体" w:hAnsi="宋体" w:eastAsia="宋体" w:cs="宋体"/>
          <w:kern w:val="0"/>
          <w:sz w:val="24"/>
          <w:szCs w:val="24"/>
          <w:lang w:val="zh-CN"/>
        </w:rPr>
      </w:pPr>
      <w:bookmarkStart w:id="729" w:name="_Hlk182910040"/>
      <w:r>
        <w:rPr>
          <w:rFonts w:hint="eastAsia" w:ascii="宋体" w:hAnsi="宋体" w:eastAsia="宋体" w:cs="宋体"/>
          <w:kern w:val="0"/>
          <w:sz w:val="24"/>
          <w:szCs w:val="24"/>
          <w:lang w:val="zh-CN"/>
        </w:rPr>
        <w:t>为了诚实、客观、有序地参与</w:t>
      </w:r>
      <w:r>
        <w:rPr>
          <w:rFonts w:hint="eastAsia" w:ascii="宋体" w:hAnsi="宋体" w:eastAsia="宋体" w:cs="宋体"/>
          <w:sz w:val="24"/>
          <w:szCs w:val="24"/>
          <w:u w:val="single"/>
        </w:rPr>
        <w:t xml:space="preserve">                       </w:t>
      </w:r>
      <w:r>
        <w:rPr>
          <w:rFonts w:hint="eastAsia" w:ascii="宋体" w:hAnsi="宋体" w:eastAsia="宋体" w:cs="宋体"/>
          <w:sz w:val="24"/>
          <w:szCs w:val="24"/>
        </w:rPr>
        <w:t>项目</w:t>
      </w:r>
      <w:r>
        <w:rPr>
          <w:rFonts w:hint="eastAsia" w:ascii="宋体" w:hAnsi="宋体" w:eastAsia="宋体" w:cs="宋体"/>
          <w:kern w:val="0"/>
          <w:sz w:val="24"/>
          <w:szCs w:val="24"/>
          <w:lang w:val="zh-CN"/>
        </w:rPr>
        <w:t>采购活动，愿就以下内容作出承诺：</w:t>
      </w:r>
    </w:p>
    <w:bookmarkEnd w:id="729"/>
    <w:p w14:paraId="6EE92DB9">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一、自觉遵守各项法律、法规、规章、制度以及社会公德，维护廉洁环境，与同场竞争的供应商平等参加招采购活动。</w:t>
      </w:r>
    </w:p>
    <w:p w14:paraId="29C3164B">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二、参加采购代理机构组织的采购活动时，严格按照</w:t>
      </w:r>
      <w:r>
        <w:rPr>
          <w:rFonts w:hint="eastAsia" w:ascii="宋体" w:hAnsi="宋体" w:eastAsia="宋体" w:cs="宋体"/>
          <w:kern w:val="0"/>
          <w:sz w:val="24"/>
          <w:szCs w:val="24"/>
        </w:rPr>
        <w:t>招标</w:t>
      </w:r>
      <w:r>
        <w:rPr>
          <w:rFonts w:hint="eastAsia" w:ascii="宋体" w:hAnsi="宋体" w:eastAsia="宋体" w:cs="宋体"/>
          <w:kern w:val="0"/>
          <w:sz w:val="24"/>
          <w:szCs w:val="24"/>
          <w:lang w:val="zh-CN"/>
        </w:rPr>
        <w:t>文件的规定和要求提供所需的相关材料，并对所提供的各类资料的真实性负责，不虚假应标，不虚列业绩；不以他人名义投标或者以其他方式弄虚作假，骗取中标。</w:t>
      </w:r>
    </w:p>
    <w:p w14:paraId="1CF33483">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三、尊重参与采购活动各相关方的合法行为，接受采购活动依法形成的意见、结果。</w:t>
      </w:r>
    </w:p>
    <w:p w14:paraId="3EC454A9">
      <w:pPr>
        <w:autoSpaceDE w:val="0"/>
        <w:autoSpaceDN w:val="0"/>
        <w:adjustRightInd w:val="0"/>
        <w:spacing w:line="360" w:lineRule="auto"/>
        <w:ind w:firstLine="480"/>
        <w:rPr>
          <w:rFonts w:hint="eastAsia" w:ascii="宋体" w:hAnsi="宋体" w:eastAsia="宋体" w:cs="宋体"/>
          <w:kern w:val="0"/>
          <w:sz w:val="24"/>
          <w:szCs w:val="24"/>
          <w:lang w:val="zh-CN"/>
        </w:rPr>
      </w:pPr>
      <w:bookmarkStart w:id="730" w:name="_Hlk182909516"/>
      <w:r>
        <w:rPr>
          <w:rFonts w:hint="eastAsia" w:ascii="宋体" w:hAnsi="宋体" w:eastAsia="宋体" w:cs="宋体"/>
          <w:kern w:val="0"/>
          <w:sz w:val="24"/>
          <w:szCs w:val="24"/>
          <w:lang w:val="zh-CN"/>
        </w:rPr>
        <w:t>四、依法参加采购活动，不与其他供应商互相串通投标，不排挤其他供应商的公平竞争，不损害招标人的合法权益；不与招标人或者招标代理机构串通投标，损害国家利益、社会公共利益或者他人的合法权益；不向招标人或者评标委员会成员行贿以牟取中标。维护市场秩序，不提供“三无”产品、以次充好。</w:t>
      </w:r>
    </w:p>
    <w:bookmarkEnd w:id="730"/>
    <w:p w14:paraId="19C00019">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五、严格按照招标文件的规定和要求提供所需的相关材料，并对所提供的各类资料的真实性负责。如有违反按照自治区财政厅下发的《关于开展政府采购领域“四类”违法违规行为专项整治工作的通知》精神，自愿接受检验检测报告的问题；不存在提供虚假的合同业绩及学历证书等证明材料的问题；处罚。供应商对所投标（响应）文件的真实性负责，绝不存在提供虚假的认证证书、不存在提供虚假的《中小企业声明函》的问题；不存在其他提供虚假材料的问题。</w:t>
      </w:r>
    </w:p>
    <w:p w14:paraId="037F69A7">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六、积极推动采购活动健康开展，对采购活动有疑问、异议时，按法律规定的程序实名（加盖单位章和法定代表人签名）反映情况，不恶意中伤、无事生非，以和谐、平等的心态参加采购活动。</w:t>
      </w:r>
    </w:p>
    <w:p w14:paraId="402BFD8C">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七、认真履行成交人应承担的责任和义务，全面执行采购合同规定的各项内容，保质保量地按时提供采购物品。</w:t>
      </w:r>
    </w:p>
    <w:p w14:paraId="21784999">
      <w:pPr>
        <w:autoSpaceDE w:val="0"/>
        <w:autoSpaceDN w:val="0"/>
        <w:adjustRightInd w:val="0"/>
        <w:spacing w:line="360" w:lineRule="auto"/>
        <w:ind w:firstLine="480" w:firstLineChars="20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若本企业（单位）发生有悖于上述承诺的行为或形成恶意投诉，我们自愿接受《政府采购法》等有关法律法规中对供应商的相关处理：</w:t>
      </w:r>
      <w:bookmarkStart w:id="731" w:name="_Hlk182910718"/>
      <w:r>
        <w:rPr>
          <w:rFonts w:hint="eastAsia" w:ascii="宋体" w:hAnsi="宋体" w:eastAsia="宋体" w:cs="宋体"/>
          <w:kern w:val="0"/>
          <w:sz w:val="24"/>
          <w:szCs w:val="24"/>
          <w:lang w:val="zh-CN"/>
        </w:rPr>
        <w:t>自愿放弃中标资格、限制以后投标、记入不良信用档案、没收本次投标保证金，并愿意承担由此引起的其他法律责任。</w:t>
      </w:r>
      <w:bookmarkEnd w:id="731"/>
    </w:p>
    <w:p w14:paraId="5D8C3111">
      <w:pPr>
        <w:autoSpaceDE w:val="0"/>
        <w:autoSpaceDN w:val="0"/>
        <w:adjustRightInd w:val="0"/>
        <w:spacing w:line="360" w:lineRule="auto"/>
        <w:ind w:firstLine="4435" w:firstLineChars="1848"/>
        <w:rPr>
          <w:rFonts w:hint="eastAsia" w:ascii="宋体" w:hAnsi="宋体" w:eastAsia="宋体" w:cs="宋体"/>
          <w:bCs/>
          <w:kern w:val="0"/>
          <w:sz w:val="24"/>
          <w:szCs w:val="24"/>
          <w:lang w:val="zh-CN"/>
        </w:rPr>
      </w:pPr>
      <w:bookmarkStart w:id="732" w:name="_Hlk182910783"/>
      <w:r>
        <w:rPr>
          <w:rFonts w:hint="eastAsia" w:ascii="宋体" w:hAnsi="宋体" w:eastAsia="宋体" w:cs="宋体"/>
          <w:bCs/>
          <w:kern w:val="0"/>
          <w:sz w:val="24"/>
          <w:szCs w:val="24"/>
          <w:lang w:val="zh-CN"/>
        </w:rPr>
        <w:t>供应商：             （公章）</w:t>
      </w:r>
    </w:p>
    <w:p w14:paraId="6CD88646">
      <w:pPr>
        <w:autoSpaceDE w:val="0"/>
        <w:autoSpaceDN w:val="0"/>
        <w:adjustRightInd w:val="0"/>
        <w:spacing w:line="360" w:lineRule="auto"/>
        <w:rPr>
          <w:rFonts w:hint="eastAsia" w:ascii="宋体" w:hAnsi="宋体" w:eastAsia="宋体" w:cs="宋体"/>
          <w:bCs/>
          <w:kern w:val="0"/>
          <w:sz w:val="24"/>
          <w:szCs w:val="24"/>
          <w:lang w:val="zh-CN"/>
        </w:rPr>
      </w:pPr>
      <w:r>
        <w:rPr>
          <w:rFonts w:hint="eastAsia" w:ascii="宋体" w:hAnsi="宋体" w:eastAsia="宋体" w:cs="宋体"/>
          <w:bCs/>
          <w:kern w:val="0"/>
          <w:sz w:val="24"/>
          <w:szCs w:val="24"/>
          <w:lang w:val="zh-CN"/>
        </w:rPr>
        <w:t xml:space="preserve">                     法定代表人或委托代理人：             （签字）</w:t>
      </w:r>
    </w:p>
    <w:p w14:paraId="66AFCE18">
      <w:pPr>
        <w:spacing w:line="360" w:lineRule="auto"/>
        <w:rPr>
          <w:rFonts w:hint="eastAsia" w:ascii="宋体" w:hAnsi="宋体" w:eastAsia="宋体" w:cs="宋体"/>
          <w:sz w:val="24"/>
          <w:szCs w:val="24"/>
        </w:rPr>
      </w:pPr>
      <w:r>
        <w:rPr>
          <w:rFonts w:hint="eastAsia" w:ascii="宋体" w:hAnsi="宋体" w:eastAsia="宋体" w:cs="宋体"/>
          <w:bCs/>
          <w:kern w:val="0"/>
          <w:sz w:val="24"/>
          <w:szCs w:val="24"/>
          <w:lang w:val="zh-CN"/>
        </w:rPr>
        <w:t xml:space="preserve">                                         年   月   日</w:t>
      </w:r>
      <w:bookmarkEnd w:id="732"/>
    </w:p>
    <w:p w14:paraId="22EB252B">
      <w:pPr>
        <w:pStyle w:val="40"/>
        <w:rPr>
          <w:rFonts w:hint="eastAsia" w:ascii="宋体" w:hAnsi="宋体" w:eastAsia="宋体" w:cs="宋体"/>
          <w:i w:val="0"/>
          <w:iCs w:val="0"/>
          <w:color w:val="auto"/>
          <w:sz w:val="24"/>
          <w:szCs w:val="24"/>
          <w:highlight w:val="none"/>
          <w:lang w:val="en-US" w:eastAsia="zh-CN"/>
        </w:rPr>
      </w:pPr>
    </w:p>
    <w:p w14:paraId="3E268B04">
      <w:pPr>
        <w:pStyle w:val="40"/>
        <w:rPr>
          <w:rFonts w:hint="eastAsia" w:ascii="宋体" w:hAnsi="宋体" w:eastAsia="宋体" w:cs="宋体"/>
          <w:i w:val="0"/>
          <w:iCs w:val="0"/>
          <w:color w:val="auto"/>
          <w:sz w:val="24"/>
          <w:szCs w:val="24"/>
          <w:highlight w:val="none"/>
          <w:lang w:val="en-US" w:eastAsia="zh-CN"/>
        </w:rPr>
      </w:pPr>
    </w:p>
    <w:p w14:paraId="75A357CC">
      <w:pPr>
        <w:pStyle w:val="40"/>
        <w:rPr>
          <w:rFonts w:hint="eastAsia" w:ascii="宋体" w:hAnsi="宋体" w:eastAsia="宋体" w:cs="宋体"/>
          <w:i w:val="0"/>
          <w:iCs w:val="0"/>
          <w:color w:val="auto"/>
          <w:sz w:val="24"/>
          <w:szCs w:val="24"/>
          <w:highlight w:val="none"/>
          <w:lang w:val="en-US" w:eastAsia="zh-CN"/>
        </w:rPr>
      </w:pPr>
    </w:p>
    <w:p w14:paraId="2B5ECE66">
      <w:pPr>
        <w:pStyle w:val="40"/>
        <w:rPr>
          <w:rFonts w:hint="eastAsia" w:ascii="宋体" w:hAnsi="宋体" w:eastAsia="宋体" w:cs="宋体"/>
          <w:i w:val="0"/>
          <w:iCs w:val="0"/>
          <w:color w:val="auto"/>
          <w:sz w:val="24"/>
          <w:szCs w:val="24"/>
          <w:highlight w:val="none"/>
          <w:lang w:val="en-US" w:eastAsia="zh-CN"/>
        </w:rPr>
      </w:pPr>
    </w:p>
    <w:p w14:paraId="4F7D1AC6">
      <w:p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br w:type="page"/>
      </w:r>
    </w:p>
    <w:p w14:paraId="2E05EA3C">
      <w:pPr>
        <w:pStyle w:val="40"/>
        <w:rPr>
          <w:rFonts w:hint="eastAsia" w:cs="宋体"/>
          <w:b/>
          <w:bCs/>
          <w:i w:val="0"/>
          <w:iCs w:val="0"/>
          <w:color w:val="auto"/>
          <w:sz w:val="24"/>
          <w:szCs w:val="24"/>
          <w:highlight w:val="none"/>
          <w:lang w:val="en-US" w:eastAsia="zh-CN"/>
        </w:rPr>
      </w:pPr>
      <w:r>
        <w:rPr>
          <w:rFonts w:hint="eastAsia" w:cs="宋体"/>
          <w:b/>
          <w:bCs/>
          <w:i w:val="0"/>
          <w:iCs w:val="0"/>
          <w:color w:val="auto"/>
          <w:sz w:val="24"/>
          <w:szCs w:val="24"/>
          <w:highlight w:val="none"/>
          <w:lang w:val="en-US" w:eastAsia="zh-CN"/>
        </w:rPr>
        <w:t>1.3磋商保证金</w:t>
      </w:r>
    </w:p>
    <w:p w14:paraId="7C28B190">
      <w:pPr>
        <w:pStyle w:val="87"/>
        <w:spacing w:line="360" w:lineRule="auto"/>
        <w:rPr>
          <w:rFonts w:hint="eastAsia" w:ascii="宋体" w:hAnsi="宋体" w:eastAsia="宋体" w:cs="宋体"/>
          <w:color w:val="auto"/>
          <w:highlight w:val="none"/>
        </w:rPr>
      </w:pPr>
    </w:p>
    <w:p w14:paraId="5693D063">
      <w:pPr>
        <w:pStyle w:val="40"/>
        <w:rPr>
          <w:rFonts w:hint="eastAsia" w:cs="宋体"/>
          <w:i w:val="0"/>
          <w:iCs w:val="0"/>
          <w:color w:val="auto"/>
          <w:sz w:val="24"/>
          <w:szCs w:val="24"/>
          <w:highlight w:val="none"/>
          <w:lang w:val="en-US" w:eastAsia="zh-CN"/>
        </w:rPr>
      </w:pPr>
      <w:r>
        <w:rPr>
          <w:rFonts w:hint="eastAsia" w:ascii="宋体" w:hAnsi="宋体" w:eastAsia="宋体" w:cs="宋体"/>
          <w:b w:val="0"/>
          <w:color w:val="auto"/>
          <w:spacing w:val="6"/>
          <w:sz w:val="24"/>
          <w:highlight w:val="none"/>
        </w:rPr>
        <w:t>说明：</w:t>
      </w:r>
      <w:r>
        <w:rPr>
          <w:rFonts w:hint="eastAsia" w:ascii="宋体" w:hAnsi="宋体" w:eastAsia="宋体" w:cs="宋体"/>
          <w:b w:val="0"/>
          <w:color w:val="auto"/>
          <w:spacing w:val="6"/>
          <w:sz w:val="24"/>
          <w:highlight w:val="none"/>
          <w:lang w:val="en-US" w:eastAsia="zh-CN"/>
        </w:rPr>
        <w:t>①电汇、转账形式，附投标保证金汇款底单复印件（要求复印件内容清晰，能看清采购代理机构、响应人的名称、账号、金额等）②支票、汇票、本票、保函等非现金形式提供对应的资料（如保函可提供保单）</w:t>
      </w:r>
    </w:p>
    <w:p w14:paraId="1ACE08B8">
      <w:pPr>
        <w:pStyle w:val="40"/>
        <w:rPr>
          <w:rFonts w:hint="eastAsia" w:cs="宋体"/>
          <w:i w:val="0"/>
          <w:iCs w:val="0"/>
          <w:color w:val="auto"/>
          <w:sz w:val="24"/>
          <w:szCs w:val="24"/>
          <w:highlight w:val="none"/>
          <w:lang w:val="en-US" w:eastAsia="zh-CN"/>
        </w:rPr>
      </w:pPr>
    </w:p>
    <w:p w14:paraId="25820B91">
      <w:pPr>
        <w:pStyle w:val="40"/>
        <w:rPr>
          <w:rFonts w:hint="default" w:cs="宋体"/>
          <w:i w:val="0"/>
          <w:iCs w:val="0"/>
          <w:color w:val="auto"/>
          <w:sz w:val="24"/>
          <w:szCs w:val="24"/>
          <w:highlight w:val="none"/>
          <w:lang w:val="en-US" w:eastAsia="zh-CN"/>
        </w:rPr>
      </w:pPr>
    </w:p>
    <w:p w14:paraId="2B035F0A">
      <w:pPr>
        <w:pStyle w:val="40"/>
        <w:rPr>
          <w:rFonts w:hint="eastAsia" w:ascii="宋体" w:hAnsi="宋体" w:eastAsia="宋体" w:cs="宋体"/>
          <w:i w:val="0"/>
          <w:iCs w:val="0"/>
          <w:color w:val="auto"/>
          <w:sz w:val="24"/>
          <w:szCs w:val="24"/>
          <w:highlight w:val="none"/>
          <w:lang w:val="en-US" w:eastAsia="zh-CN"/>
        </w:rPr>
      </w:pPr>
    </w:p>
    <w:p w14:paraId="45C5BE88">
      <w:pPr>
        <w:pStyle w:val="40"/>
        <w:rPr>
          <w:rFonts w:hint="eastAsia" w:ascii="宋体" w:hAnsi="宋体" w:eastAsia="宋体" w:cs="宋体"/>
          <w:i w:val="0"/>
          <w:iCs w:val="0"/>
          <w:color w:val="auto"/>
          <w:sz w:val="24"/>
          <w:szCs w:val="24"/>
          <w:highlight w:val="none"/>
          <w:lang w:val="en-US" w:eastAsia="zh-CN"/>
        </w:rPr>
      </w:pPr>
    </w:p>
    <w:p w14:paraId="0E58FAE7">
      <w:pPr>
        <w:pStyle w:val="40"/>
        <w:rPr>
          <w:rFonts w:hint="eastAsia" w:ascii="宋体" w:hAnsi="宋体" w:eastAsia="宋体" w:cs="宋体"/>
          <w:i w:val="0"/>
          <w:iCs w:val="0"/>
          <w:color w:val="auto"/>
          <w:sz w:val="24"/>
          <w:szCs w:val="24"/>
          <w:highlight w:val="none"/>
          <w:lang w:val="en-US" w:eastAsia="zh-CN"/>
        </w:rPr>
      </w:pPr>
    </w:p>
    <w:p w14:paraId="74744AB7">
      <w:pPr>
        <w:pStyle w:val="40"/>
        <w:rPr>
          <w:rFonts w:hint="eastAsia" w:ascii="宋体" w:hAnsi="宋体" w:eastAsia="宋体" w:cs="宋体"/>
          <w:i w:val="0"/>
          <w:iCs w:val="0"/>
          <w:color w:val="auto"/>
          <w:sz w:val="24"/>
          <w:szCs w:val="24"/>
          <w:highlight w:val="none"/>
          <w:lang w:val="en-US" w:eastAsia="zh-CN"/>
        </w:rPr>
      </w:pPr>
    </w:p>
    <w:p w14:paraId="4C62BA71">
      <w:pPr>
        <w:pStyle w:val="40"/>
        <w:rPr>
          <w:rFonts w:hint="eastAsia" w:ascii="宋体" w:hAnsi="宋体" w:eastAsia="宋体" w:cs="宋体"/>
          <w:i w:val="0"/>
          <w:iCs w:val="0"/>
          <w:color w:val="auto"/>
          <w:sz w:val="24"/>
          <w:szCs w:val="24"/>
          <w:highlight w:val="none"/>
          <w:lang w:val="en-US" w:eastAsia="zh-CN"/>
        </w:rPr>
      </w:pPr>
    </w:p>
    <w:p w14:paraId="3CFEE115">
      <w:pPr>
        <w:pStyle w:val="40"/>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1.</w:t>
      </w:r>
      <w:r>
        <w:rPr>
          <w:rFonts w:hint="eastAsia" w:cs="宋体"/>
          <w:b/>
          <w:bCs/>
          <w:i w:val="0"/>
          <w:iCs w:val="0"/>
          <w:color w:val="auto"/>
          <w:sz w:val="24"/>
          <w:szCs w:val="24"/>
          <w:highlight w:val="none"/>
          <w:lang w:val="en-US" w:eastAsia="zh-CN"/>
        </w:rPr>
        <w:t>4</w:t>
      </w:r>
      <w:r>
        <w:rPr>
          <w:rFonts w:hint="eastAsia" w:ascii="宋体" w:hAnsi="宋体" w:eastAsia="宋体" w:cs="宋体"/>
          <w:b/>
          <w:bCs/>
          <w:i w:val="0"/>
          <w:iCs w:val="0"/>
          <w:color w:val="auto"/>
          <w:sz w:val="24"/>
          <w:szCs w:val="24"/>
          <w:highlight w:val="none"/>
          <w:lang w:val="en-US" w:eastAsia="zh-CN"/>
        </w:rPr>
        <w:t>其它商务、技术资料和证明材料</w:t>
      </w:r>
    </w:p>
    <w:p w14:paraId="03EBC6BE">
      <w:pPr>
        <w:rPr>
          <w:rFonts w:hint="default"/>
          <w:i w:val="0"/>
          <w:iCs w:val="0"/>
          <w:color w:val="auto"/>
          <w:sz w:val="28"/>
          <w:szCs w:val="28"/>
          <w:highlight w:val="none"/>
          <w:lang w:val="en-US" w:eastAsia="zh-CN"/>
        </w:rPr>
      </w:pPr>
      <w:r>
        <w:rPr>
          <w:rFonts w:hint="default"/>
          <w:i w:val="0"/>
          <w:iCs w:val="0"/>
          <w:color w:val="auto"/>
          <w:sz w:val="28"/>
          <w:szCs w:val="28"/>
          <w:highlight w:val="none"/>
          <w:lang w:val="en-US" w:eastAsia="zh-CN"/>
        </w:rPr>
        <w:br w:type="page"/>
      </w:r>
    </w:p>
    <w:p w14:paraId="613A10CE">
      <w:pPr>
        <w:pStyle w:val="40"/>
        <w:ind w:left="0" w:leftChars="0" w:firstLine="0" w:firstLineChars="0"/>
        <w:rPr>
          <w:rFonts w:hint="eastAsia"/>
          <w:i w:val="0"/>
          <w:iCs w:val="0"/>
          <w:color w:val="auto"/>
          <w:highlight w:val="none"/>
        </w:rPr>
      </w:pPr>
      <w:r>
        <w:rPr>
          <w:rFonts w:hint="eastAsia"/>
          <w:b/>
          <w:bCs/>
          <w:i w:val="0"/>
          <w:iCs w:val="0"/>
          <w:color w:val="auto"/>
          <w:sz w:val="24"/>
          <w:szCs w:val="24"/>
          <w:highlight w:val="none"/>
          <w:shd w:val="clear" w:color="auto" w:fill="FFFFFF" w:themeFill="background1"/>
          <w:lang w:val="en-US" w:eastAsia="zh-CN"/>
        </w:rPr>
        <w:t>（二）供应商认为需要提供的其它商务、技术资料和说明。</w:t>
      </w:r>
    </w:p>
    <w:p w14:paraId="38C35C86">
      <w:pPr>
        <w:pStyle w:val="40"/>
        <w:rPr>
          <w:rFonts w:hint="eastAsia"/>
          <w:i w:val="0"/>
          <w:iCs w:val="0"/>
          <w:color w:val="auto"/>
          <w:highlight w:val="none"/>
        </w:rPr>
      </w:pPr>
    </w:p>
    <w:p w14:paraId="771D5E8B">
      <w:pPr>
        <w:pStyle w:val="40"/>
        <w:rPr>
          <w:rFonts w:hint="eastAsia"/>
          <w:i w:val="0"/>
          <w:iCs w:val="0"/>
          <w:color w:val="auto"/>
          <w:highlight w:val="none"/>
        </w:rPr>
      </w:pPr>
    </w:p>
    <w:bookmarkEnd w:id="649"/>
    <w:p w14:paraId="600AF2DA">
      <w:pPr>
        <w:rPr>
          <w:i w:val="0"/>
          <w:iCs w:val="0"/>
          <w:color w:val="auto"/>
          <w:highlight w:val="none"/>
        </w:rPr>
      </w:pPr>
    </w:p>
    <w:sectPr>
      <w:pgSz w:w="11906" w:h="16838"/>
      <w:pgMar w:top="1440" w:right="1800" w:bottom="1440" w:left="180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08C6D40-97C2-4D09-A244-72D51117BE13}"/>
  </w:font>
  <w:font w:name="Arial">
    <w:panose1 w:val="020B0604020202020204"/>
    <w:charset w:val="01"/>
    <w:family w:val="swiss"/>
    <w:pitch w:val="default"/>
    <w:sig w:usb0="E0002EFF" w:usb1="C000785B" w:usb2="00000009" w:usb3="00000000" w:csb0="400001FF" w:csb1="FFFF0000"/>
    <w:embedRegular r:id="rId2" w:fontKey="{E3D335B3-6BF5-49E4-935C-6B04C22760E1}"/>
  </w:font>
  <w:font w:name="黑体">
    <w:panose1 w:val="02010609060101010101"/>
    <w:charset w:val="86"/>
    <w:family w:val="auto"/>
    <w:pitch w:val="default"/>
    <w:sig w:usb0="800002BF" w:usb1="38CF7CFA" w:usb2="00000016" w:usb3="00000000" w:csb0="00040001" w:csb1="00000000"/>
    <w:embedRegular r:id="rId3" w:fontKey="{BB33E711-EEAA-4E45-A1B3-62963E757058}"/>
  </w:font>
  <w:font w:name="Courier New">
    <w:panose1 w:val="02070309020205020404"/>
    <w:charset w:val="01"/>
    <w:family w:val="modern"/>
    <w:pitch w:val="default"/>
    <w:sig w:usb0="E0002EFF" w:usb1="C0007843" w:usb2="00000009" w:usb3="00000000" w:csb0="400001FF" w:csb1="FFFF0000"/>
    <w:embedRegular r:id="rId4" w:fontKey="{99722458-E0E2-4445-B955-4A64B9BF4BE8}"/>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5" w:fontKey="{B7EACECA-ABA8-4B3F-B612-F4B6EAF0E5D9}"/>
  </w:font>
  <w:font w:name="等线 Light">
    <w:panose1 w:val="02010600030101010101"/>
    <w:charset w:val="86"/>
    <w:family w:val="auto"/>
    <w:pitch w:val="default"/>
    <w:sig w:usb0="A00002BF" w:usb1="38CF7CFA" w:usb2="00000016" w:usb3="00000000" w:csb0="0004000F" w:csb1="00000000"/>
    <w:embedRegular r:id="rId6" w:fontKey="{BB9F1BC2-3584-46DD-8675-5A1819529721}"/>
  </w:font>
  <w:font w:name="等线">
    <w:panose1 w:val="02010600030101010101"/>
    <w:charset w:val="86"/>
    <w:family w:val="auto"/>
    <w:pitch w:val="default"/>
    <w:sig w:usb0="A00002BF" w:usb1="38CF7CFA" w:usb2="00000016" w:usb3="00000000" w:csb0="0004000F" w:csb1="00000000"/>
    <w:embedRegular r:id="rId7" w:fontKey="{ED16ACDD-69FA-4972-ACD5-5474E4A3DF51}"/>
  </w:font>
  <w:font w:name="仿宋_GB2312">
    <w:panose1 w:val="02010609030101010101"/>
    <w:charset w:val="86"/>
    <w:family w:val="modern"/>
    <w:pitch w:val="default"/>
    <w:sig w:usb0="00000001" w:usb1="080E0000" w:usb2="00000000" w:usb3="00000000" w:csb0="00040000" w:csb1="00000000"/>
    <w:embedRegular r:id="rId8" w:fontKey="{DE3692EB-D6EC-4F06-A2FF-07819ADA2DF7}"/>
  </w:font>
  <w:font w:name="Calibri Light">
    <w:panose1 w:val="020F0302020204030204"/>
    <w:charset w:val="00"/>
    <w:family w:val="swiss"/>
    <w:pitch w:val="default"/>
    <w:sig w:usb0="E4002EFF" w:usb1="C200247B" w:usb2="00000009" w:usb3="00000000" w:csb0="200001FF" w:csb1="00000000"/>
    <w:embedRegular r:id="rId9" w:fontKey="{EFA74453-93D4-498D-B325-08472666A221}"/>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
    <w:altName w:val="宋体"/>
    <w:panose1 w:val="00000000000000000000"/>
    <w:charset w:val="86"/>
    <w:family w:val="auto"/>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Helvetica Neue">
    <w:altName w:val="Times New Roman"/>
    <w:panose1 w:val="02000503000000020004"/>
    <w:charset w:val="00"/>
    <w:family w:val="auto"/>
    <w:pitch w:val="default"/>
    <w:sig w:usb0="00000000" w:usb1="00000000" w:usb2="00000010" w:usb3="00000000" w:csb0="00000000" w:csb1="00000000"/>
  </w:font>
  <w:font w:name="微软雅黑">
    <w:panose1 w:val="020B0503020204020204"/>
    <w:charset w:val="86"/>
    <w:family w:val="auto"/>
    <w:pitch w:val="default"/>
    <w:sig w:usb0="80000287" w:usb1="2ACF3C50" w:usb2="00000016" w:usb3="00000000" w:csb0="0004001F" w:csb1="00000000"/>
  </w:font>
  <w:font w:name="宋体;SimSun">
    <w:altName w:val="宋体"/>
    <w:panose1 w:val="00000000000000000000"/>
    <w:charset w:val="86"/>
    <w:family w:val="roma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embedRegular r:id="rId10" w:fontKey="{01B3CD73-573F-4DD5-B3AF-D96C30253DFF}"/>
  </w:font>
  <w:font w:name="Helvetica">
    <w:panose1 w:val="020B0604020202020204"/>
    <w:charset w:val="00"/>
    <w:family w:val="swiss"/>
    <w:pitch w:val="default"/>
    <w:sig w:usb0="00000000" w:usb1="00000000" w:usb2="00000000" w:usb3="00000000" w:csb0="00000000" w:csb1="00000000"/>
    <w:embedRegular r:id="rId11" w:fontKey="{4942F276-317A-4B2B-9E6D-934CD61858C9}"/>
  </w:font>
  <w:font w:name="仿宋">
    <w:panose1 w:val="02010609060101010101"/>
    <w:charset w:val="86"/>
    <w:family w:val="modern"/>
    <w:pitch w:val="default"/>
    <w:sig w:usb0="800002BF" w:usb1="38CF7CFA" w:usb2="00000016" w:usb3="00000000" w:csb0="00040001" w:csb1="00000000"/>
    <w:embedRegular r:id="rId12" w:fontKey="{269200A4-DC14-4973-91BE-FE86F9A92BD5}"/>
  </w:font>
  <w:font w:name="方正小标宋_GBK">
    <w:panose1 w:val="02000000000000000000"/>
    <w:charset w:val="86"/>
    <w:family w:val="auto"/>
    <w:pitch w:val="default"/>
    <w:sig w:usb0="A00002BF" w:usb1="38CF7CFA" w:usb2="00082016" w:usb3="00000000" w:csb0="00040001" w:csb1="00000000"/>
    <w:embedRegular r:id="rId13" w:fontKey="{6F94EE46-602E-4286-872E-FA572A905DBA}"/>
  </w:font>
  <w:font w:name="DejaVuSans">
    <w:altName w:val="Segoe Print"/>
    <w:panose1 w:val="00000000000000000000"/>
    <w:charset w:val="00"/>
    <w:family w:val="auto"/>
    <w:pitch w:val="default"/>
    <w:sig w:usb0="00000000" w:usb1="00000000" w:usb2="00000000" w:usb3="00000000" w:csb0="00000000" w:csb1="00000000"/>
    <w:embedRegular r:id="rId14" w:fontKey="{AAD4120B-C8FF-4D1C-B34A-1A613BC0E559}"/>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98215F">
    <w:pPr>
      <w:pStyle w:val="18"/>
      <w:jc w:val="center"/>
    </w:pPr>
    <w:r>
      <w:fldChar w:fldCharType="begin"/>
    </w:r>
    <w:r>
      <w:instrText xml:space="preserve">PAGE   \* MERGEFORMAT</w:instrText>
    </w:r>
    <w:r>
      <w:fldChar w:fldCharType="separate"/>
    </w:r>
    <w:r>
      <w:rPr>
        <w:lang w:val="zh-CN"/>
      </w:rPr>
      <w:t>71</w:t>
    </w:r>
    <w:r>
      <w:rPr>
        <w:lang w:val="zh-CN"/>
      </w:rPr>
      <w:fldChar w:fldCharType="end"/>
    </w:r>
  </w:p>
  <w:p w14:paraId="2A46A671">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217F1">
    <w:pPr>
      <w:pStyle w:val="18"/>
      <w:jc w:val="cente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67024"/>
                          </w:sdtPr>
                          <w:sdtContent>
                            <w:p w14:paraId="2EF8B7E4">
                              <w:pPr>
                                <w:pStyle w:val="18"/>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w:t>
                              </w:r>
                              <w:r>
                                <w:rPr>
                                  <w:sz w:val="21"/>
                                  <w:szCs w:val="21"/>
                                </w:rPr>
                                <w:t xml:space="preserve"> 3 -</w:t>
                              </w:r>
                              <w:r>
                                <w:rPr>
                                  <w:sz w:val="21"/>
                                  <w:szCs w:val="21"/>
                                </w:rPr>
                                <w:fldChar w:fldCharType="end"/>
                              </w:r>
                            </w:p>
                          </w:sdtContent>
                        </w:sdt>
                        <w:p w14:paraId="3AA5294A"/>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sdt>
                    <w:sdtPr>
                      <w:id w:val="147467024"/>
                    </w:sdtPr>
                    <w:sdtContent>
                      <w:p w14:paraId="2EF8B7E4">
                        <w:pPr>
                          <w:pStyle w:val="18"/>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w:t>
                        </w:r>
                        <w:r>
                          <w:rPr>
                            <w:sz w:val="21"/>
                            <w:szCs w:val="21"/>
                          </w:rPr>
                          <w:t xml:space="preserve"> 3 -</w:t>
                        </w:r>
                        <w:r>
                          <w:rPr>
                            <w:sz w:val="21"/>
                            <w:szCs w:val="21"/>
                          </w:rPr>
                          <w:fldChar w:fldCharType="end"/>
                        </w:r>
                      </w:p>
                    </w:sdtContent>
                  </w:sdt>
                  <w:p w14:paraId="3AA5294A"/>
                </w:txbxContent>
              </v:textbox>
            </v:shape>
          </w:pict>
        </mc:Fallback>
      </mc:AlternateContent>
    </w:r>
  </w:p>
  <w:p w14:paraId="0C708CAB">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0C76C">
    <w:pPr>
      <w:pStyle w:val="18"/>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5753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55753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68609"/>
                            <w:docPartObj>
                              <w:docPartGallery w:val="autotext"/>
                            </w:docPartObj>
                          </w:sdtPr>
                          <w:sdtContent>
                            <w:p w14:paraId="6C6BE7E7">
                              <w:pPr>
                                <w:pStyle w:val="18"/>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1B114C7A"/>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43.9pt;mso-position-horizontal:center;mso-position-horizontal-relative:margin;z-index:251661312;mso-width-relative:page;mso-height-relative:page;" filled="f" stroked="f" coordsize="21600,21600" o:gfxdata="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f/Soy0wAAAAQBAAAPAAAAAAAAAAEAIAAAACIAAABkcnMvZG93bnJldi54&#10;bWxQSwECFAAUAAAACACHTuJASWkpcjgCAABiBAAADgAAAAAAAAABACAAAAAiAQAAZHJzL2Uyb0Rv&#10;Yy54bWxQSwUGAAAAAAYABgBZAQAAzAUAAAAA&#10;">
              <v:fill on="f" focussize="0,0"/>
              <v:stroke on="f" weight="0.5pt"/>
              <v:imagedata o:title=""/>
              <o:lock v:ext="edit" aspectratio="f"/>
              <v:textbox inset="0mm,0mm,0mm,0mm" style="mso-fit-shape-to-text:t;">
                <w:txbxContent>
                  <w:sdt>
                    <w:sdtPr>
                      <w:id w:val="147468609"/>
                      <w:docPartObj>
                        <w:docPartGallery w:val="autotext"/>
                      </w:docPartObj>
                    </w:sdtPr>
                    <w:sdtContent>
                      <w:p w14:paraId="6C6BE7E7">
                        <w:pPr>
                          <w:pStyle w:val="18"/>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1B114C7A"/>
                </w:txbxContent>
              </v:textbox>
            </v:shape>
          </w:pict>
        </mc:Fallback>
      </mc:AlternateContent>
    </w:r>
  </w:p>
  <w:p w14:paraId="371D3BBD">
    <w:pPr>
      <w:pStyle w:val="1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95A8F">
    <w:pPr>
      <w:pStyle w:val="18"/>
      <w:jc w:val="center"/>
      <w:rPr>
        <w:rFonts w:ascii="Times New Roman" w:hAnsi="Times New Roman" w:eastAsia="仿宋_GB2312"/>
        <w:sz w:val="24"/>
      </w:rPr>
    </w:pPr>
    <w:r>
      <w:rPr>
        <w:sz w:val="24"/>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293185">
                          <w:pPr>
                            <w:pStyle w:val="18"/>
                            <w:jc w:val="center"/>
                          </w:pPr>
                          <w:r>
                            <w:rPr>
                              <w:rFonts w:ascii="Times New Roman" w:hAnsi="Times New Roman" w:eastAsia="仿宋_GB2312"/>
                              <w:sz w:val="24"/>
                            </w:rPr>
                            <w:fldChar w:fldCharType="begin"/>
                          </w:r>
                          <w:r>
                            <w:rPr>
                              <w:rFonts w:ascii="Times New Roman" w:hAnsi="Times New Roman" w:eastAsia="仿宋_GB2312"/>
                              <w:sz w:val="24"/>
                            </w:rPr>
                            <w:instrText xml:space="preserve"> PAGE  \* MERGEFORMAT </w:instrText>
                          </w:r>
                          <w:r>
                            <w:rPr>
                              <w:rFonts w:ascii="Times New Roman" w:hAnsi="Times New Roman" w:eastAsia="仿宋_GB2312"/>
                              <w:sz w:val="24"/>
                            </w:rPr>
                            <w:fldChar w:fldCharType="separate"/>
                          </w:r>
                          <w:r>
                            <w:rPr>
                              <w:rFonts w:ascii="Calibri" w:hAnsi="Calibri"/>
                            </w:rPr>
                            <w:t>1</w:t>
                          </w:r>
                          <w:r>
                            <w:rPr>
                              <w:rFonts w:ascii="Times New Roman" w:hAnsi="Times New Roman" w:eastAsia="仿宋_GB2312"/>
                              <w:sz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5293185">
                    <w:pPr>
                      <w:pStyle w:val="18"/>
                      <w:jc w:val="center"/>
                    </w:pPr>
                    <w:r>
                      <w:rPr>
                        <w:rFonts w:ascii="Times New Roman" w:hAnsi="Times New Roman" w:eastAsia="仿宋_GB2312"/>
                        <w:sz w:val="24"/>
                      </w:rPr>
                      <w:fldChar w:fldCharType="begin"/>
                    </w:r>
                    <w:r>
                      <w:rPr>
                        <w:rFonts w:ascii="Times New Roman" w:hAnsi="Times New Roman" w:eastAsia="仿宋_GB2312"/>
                        <w:sz w:val="24"/>
                      </w:rPr>
                      <w:instrText xml:space="preserve"> PAGE  \* MERGEFORMAT </w:instrText>
                    </w:r>
                    <w:r>
                      <w:rPr>
                        <w:rFonts w:ascii="Times New Roman" w:hAnsi="Times New Roman" w:eastAsia="仿宋_GB2312"/>
                        <w:sz w:val="24"/>
                      </w:rPr>
                      <w:fldChar w:fldCharType="separate"/>
                    </w:r>
                    <w:r>
                      <w:rPr>
                        <w:rFonts w:ascii="Calibri" w:hAnsi="Calibri"/>
                      </w:rPr>
                      <w:t>1</w:t>
                    </w:r>
                    <w:r>
                      <w:rPr>
                        <w:rFonts w:ascii="Times New Roman" w:hAnsi="Times New Roman" w:eastAsia="仿宋_GB2312"/>
                        <w:sz w:val="24"/>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6C7CE">
    <w:pPr>
      <w:pStyle w:val="18"/>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72085" cy="147955"/>
              <wp:effectExtent l="0" t="0" r="0" b="0"/>
              <wp:wrapNone/>
              <wp:docPr id="8" name="文本框 8"/>
              <wp:cNvGraphicFramePr/>
              <a:graphic xmlns:a="http://schemas.openxmlformats.org/drawingml/2006/main">
                <a:graphicData uri="http://schemas.microsoft.com/office/word/2010/wordprocessingShape">
                  <wps:wsp>
                    <wps:cNvSpPr txBox="1"/>
                    <wps:spPr>
                      <a:xfrm>
                        <a:off x="0" y="0"/>
                        <a:ext cx="172085" cy="147955"/>
                      </a:xfrm>
                      <a:prstGeom prst="rect">
                        <a:avLst/>
                      </a:prstGeom>
                      <a:noFill/>
                      <a:ln>
                        <a:noFill/>
                      </a:ln>
                    </wps:spPr>
                    <wps:txbx>
                      <w:txbxContent>
                        <w:p w14:paraId="0C9E39BD">
                          <w:pPr>
                            <w:snapToGrid w:val="0"/>
                            <w:rPr>
                              <w:rFonts w:hint="eastAsia"/>
                              <w:sz w:val="18"/>
                            </w:rPr>
                          </w:pPr>
                          <w:r>
                            <w:rPr>
                              <w:rFonts w:hint="eastAsia"/>
                              <w:sz w:val="18"/>
                            </w:rPr>
                            <w:t>-</w:t>
                          </w: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23</w:t>
                          </w:r>
                          <w:r>
                            <w:rPr>
                              <w:rFonts w:hint="eastAsia"/>
                              <w:sz w:val="18"/>
                            </w:rPr>
                            <w:fldChar w:fldCharType="end"/>
                          </w:r>
                          <w:r>
                            <w:rPr>
                              <w:rFonts w:hint="eastAsia"/>
                              <w:sz w:val="18"/>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1.65pt;width:13.55pt;mso-position-horizontal:center;mso-position-horizontal-relative:margin;mso-wrap-style:none;z-index:251665408;mso-width-relative:page;mso-height-relative:page;" filled="f" stroked="f" coordsize="21600,21600" o:gfxdata="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LzVEaPRAAAAAwEAAA8AAAAAAAAAAQAgAAAAIgAAAGRycy9kb3du&#10;cmV2LnhtbFBLAQIUABQAAAAIAIdO4kAYd9tVzQEAAJcDAAAOAAAAAAAAAAEAIAAAACABAABkcnMv&#10;ZTJvRG9jLnhtbFBLBQYAAAAABgAGAFkBAABfBQAAAAA=&#10;">
              <v:fill on="f" focussize="0,0"/>
              <v:stroke on="f"/>
              <v:imagedata o:title=""/>
              <o:lock v:ext="edit" aspectratio="f"/>
              <v:textbox inset="0mm,0mm,0mm,0mm" style="mso-fit-shape-to-text:t;">
                <w:txbxContent>
                  <w:p w14:paraId="0C9E39BD">
                    <w:pPr>
                      <w:snapToGrid w:val="0"/>
                      <w:rPr>
                        <w:rFonts w:hint="eastAsia"/>
                        <w:sz w:val="18"/>
                      </w:rPr>
                    </w:pPr>
                    <w:r>
                      <w:rPr>
                        <w:rFonts w:hint="eastAsia"/>
                        <w:sz w:val="18"/>
                      </w:rPr>
                      <w:t>-</w:t>
                    </w: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23</w:t>
                    </w:r>
                    <w:r>
                      <w:rPr>
                        <w:rFonts w:hint="eastAsia"/>
                        <w:sz w:val="18"/>
                      </w:rPr>
                      <w:fldChar w:fldCharType="end"/>
                    </w:r>
                    <w:r>
                      <w:rPr>
                        <w:rFonts w:hint="eastAsia"/>
                        <w:sz w:val="18"/>
                      </w:rPr>
                      <w:t>-</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5C324">
    <w:pPr>
      <w:pStyle w:val="1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9182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59182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51D1A1">
                          <w:pPr>
                            <w:pStyle w:val="18"/>
                            <w:keepNext w:val="0"/>
                            <w:keepLines w:val="0"/>
                            <w:pageBreakBefore w:val="0"/>
                            <w:widowControl w:val="0"/>
                            <w:kinsoku/>
                            <w:wordWrap/>
                            <w:overflowPunct/>
                            <w:topLinePunct w:val="0"/>
                            <w:bidi w:val="0"/>
                            <w:adjustRightInd/>
                            <w:snapToGrid w:val="0"/>
                            <w:spacing w:line="240" w:lineRule="auto"/>
                            <w:jc w:val="center"/>
                            <w:textAlignment w:val="auto"/>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67</w:t>
                          </w:r>
                          <w:r>
                            <w:rPr>
                              <w:sz w:val="21"/>
                              <w:szCs w:val="21"/>
                            </w:rPr>
                            <w:fldChar w:fldCharType="end"/>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46.6pt;mso-position-horizontal:center;mso-position-horizontal-relative:margin;z-index:251659264;mso-width-relative:page;mso-height-relative:page;" filled="f" stroked="f" coordsize="21600,21600" o:gfxdata="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UbuBX1AAAAAQBAAAPAAAAAAAAAAEAIAAAACIAAABkcnMvZG93bnJldi54&#10;bWxQSwECFAAUAAAACACHTuJAfXmvVzcCAABiBAAADgAAAAAAAAABACAAAAAjAQAAZHJzL2Uyb0Rv&#10;Yy54bWxQSwUGAAAAAAYABgBZAQAAzAUAAAAA&#10;">
              <v:fill on="f" focussize="0,0"/>
              <v:stroke on="f" weight="0.5pt"/>
              <v:imagedata o:title=""/>
              <o:lock v:ext="edit" aspectratio="f"/>
              <v:textbox inset="0mm,0mm,0mm,0mm" style="mso-fit-shape-to-text:t;">
                <w:txbxContent>
                  <w:p w14:paraId="7551D1A1">
                    <w:pPr>
                      <w:pStyle w:val="18"/>
                      <w:keepNext w:val="0"/>
                      <w:keepLines w:val="0"/>
                      <w:pageBreakBefore w:val="0"/>
                      <w:widowControl w:val="0"/>
                      <w:kinsoku/>
                      <w:wordWrap/>
                      <w:overflowPunct/>
                      <w:topLinePunct w:val="0"/>
                      <w:bidi w:val="0"/>
                      <w:adjustRightInd/>
                      <w:snapToGrid w:val="0"/>
                      <w:spacing w:line="240" w:lineRule="auto"/>
                      <w:jc w:val="center"/>
                      <w:textAlignment w:val="auto"/>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67</w:t>
                    </w:r>
                    <w:r>
                      <w:rPr>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84774">
    <w:pPr>
      <w:pStyle w:val="19"/>
      <w:pBdr>
        <w:bottom w:val="none" w:color="auto" w:sz="0" w:space="1"/>
      </w:pBdr>
      <w:tabs>
        <w:tab w:val="left" w:pos="3120"/>
      </w:tabs>
      <w:spacing w:line="240" w:lineRule="auto"/>
      <w:jc w:val="right"/>
      <w:rPr>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121B7">
    <w:pPr>
      <w:pStyle w:val="1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5E671">
    <w:pPr>
      <w:pStyle w:val="19"/>
      <w:pBdr>
        <w:bottom w:val="none" w:color="auto" w:sz="0" w:space="1"/>
      </w:pBdr>
      <w:spacing w:line="240" w:lineRule="auto"/>
    </w:pPr>
    <w:r>
      <w:rPr>
        <w:rFonts w:hint="eastAsia"/>
        <w:sz w:val="24"/>
        <w:szCs w:val="24"/>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CCA23C"/>
    <w:multiLevelType w:val="singleLevel"/>
    <w:tmpl w:val="8BCCA23C"/>
    <w:lvl w:ilvl="0" w:tentative="0">
      <w:start w:val="1"/>
      <w:numFmt w:val="decimal"/>
      <w:suff w:val="nothing"/>
      <w:lvlText w:val="%1、"/>
      <w:lvlJc w:val="left"/>
    </w:lvl>
  </w:abstractNum>
  <w:abstractNum w:abstractNumId="1">
    <w:nsid w:val="922440E5"/>
    <w:multiLevelType w:val="singleLevel"/>
    <w:tmpl w:val="922440E5"/>
    <w:lvl w:ilvl="0" w:tentative="0">
      <w:start w:val="1"/>
      <w:numFmt w:val="chineseCounting"/>
      <w:suff w:val="nothing"/>
      <w:lvlText w:val="（%1）"/>
      <w:lvlJc w:val="left"/>
      <w:pPr>
        <w:ind w:left="0" w:firstLine="420"/>
      </w:pPr>
      <w:rPr>
        <w:rFonts w:hint="eastAsia"/>
      </w:rPr>
    </w:lvl>
  </w:abstractNum>
  <w:abstractNum w:abstractNumId="2">
    <w:nsid w:val="94EC6482"/>
    <w:multiLevelType w:val="singleLevel"/>
    <w:tmpl w:val="94EC6482"/>
    <w:lvl w:ilvl="0" w:tentative="0">
      <w:start w:val="1"/>
      <w:numFmt w:val="decimal"/>
      <w:pStyle w:val="23"/>
      <w:lvlText w:val="%1."/>
      <w:lvlJc w:val="left"/>
      <w:pPr>
        <w:tabs>
          <w:tab w:val="left" w:pos="2040"/>
        </w:tabs>
        <w:ind w:left="2040" w:hanging="360"/>
      </w:pPr>
    </w:lvl>
  </w:abstractNum>
  <w:abstractNum w:abstractNumId="3">
    <w:nsid w:val="C8212091"/>
    <w:multiLevelType w:val="singleLevel"/>
    <w:tmpl w:val="C8212091"/>
    <w:lvl w:ilvl="0" w:tentative="0">
      <w:start w:val="1"/>
      <w:numFmt w:val="chineseCounting"/>
      <w:suff w:val="nothing"/>
      <w:lvlText w:val="（%1）"/>
      <w:lvlJc w:val="left"/>
      <w:rPr>
        <w:rFonts w:hint="eastAsia"/>
      </w:rPr>
    </w:lvl>
  </w:abstractNum>
  <w:abstractNum w:abstractNumId="4">
    <w:nsid w:val="E0E1B6B4"/>
    <w:multiLevelType w:val="singleLevel"/>
    <w:tmpl w:val="E0E1B6B4"/>
    <w:lvl w:ilvl="0" w:tentative="0">
      <w:start w:val="2"/>
      <w:numFmt w:val="chineseCounting"/>
      <w:suff w:val="nothing"/>
      <w:lvlText w:val="%1、"/>
      <w:lvlJc w:val="left"/>
      <w:rPr>
        <w:rFonts w:hint="eastAsia"/>
      </w:rPr>
    </w:lvl>
  </w:abstractNum>
  <w:abstractNum w:abstractNumId="5">
    <w:nsid w:val="134DF73B"/>
    <w:multiLevelType w:val="singleLevel"/>
    <w:tmpl w:val="134DF73B"/>
    <w:lvl w:ilvl="0" w:tentative="0">
      <w:start w:val="2"/>
      <w:numFmt w:val="decimal"/>
      <w:suff w:val="nothing"/>
      <w:lvlText w:val="%1、"/>
      <w:lvlJc w:val="left"/>
    </w:lvl>
  </w:abstractNum>
  <w:abstractNum w:abstractNumId="6">
    <w:nsid w:val="1C761375"/>
    <w:multiLevelType w:val="multilevel"/>
    <w:tmpl w:val="1C761375"/>
    <w:lvl w:ilvl="0" w:tentative="0">
      <w:start w:val="1"/>
      <w:numFmt w:val="decimal"/>
      <w:suff w:val="nothing"/>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3F02C8C4"/>
    <w:multiLevelType w:val="singleLevel"/>
    <w:tmpl w:val="3F02C8C4"/>
    <w:lvl w:ilvl="0" w:tentative="0">
      <w:start w:val="3"/>
      <w:numFmt w:val="chineseCounting"/>
      <w:suff w:val="nothing"/>
      <w:lvlText w:val="（%1）"/>
      <w:lvlJc w:val="left"/>
      <w:rPr>
        <w:rFonts w:hint="eastAsia"/>
      </w:rPr>
    </w:lvl>
  </w:abstractNum>
  <w:abstractNum w:abstractNumId="8">
    <w:nsid w:val="461E129B"/>
    <w:multiLevelType w:val="singleLevel"/>
    <w:tmpl w:val="461E129B"/>
    <w:lvl w:ilvl="0" w:tentative="0">
      <w:start w:val="8"/>
      <w:numFmt w:val="chineseCounting"/>
      <w:suff w:val="nothing"/>
      <w:lvlText w:val="%1、"/>
      <w:lvlJc w:val="left"/>
      <w:rPr>
        <w:rFonts w:hint="eastAsia"/>
      </w:rPr>
    </w:lvl>
  </w:abstractNum>
  <w:abstractNum w:abstractNumId="9">
    <w:nsid w:val="75504026"/>
    <w:multiLevelType w:val="multilevel"/>
    <w:tmpl w:val="75504026"/>
    <w:lvl w:ilvl="0" w:tentative="0">
      <w:start w:val="1"/>
      <w:numFmt w:val="decimal"/>
      <w:suff w:val="nothing"/>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0"/>
  </w:num>
  <w:num w:numId="3">
    <w:abstractNumId w:val="4"/>
  </w:num>
  <w:num w:numId="4">
    <w:abstractNumId w:val="1"/>
  </w:num>
  <w:num w:numId="5">
    <w:abstractNumId w:val="7"/>
  </w:num>
  <w:num w:numId="6">
    <w:abstractNumId w:val="6"/>
  </w:num>
  <w:num w:numId="7">
    <w:abstractNumId w:val="9"/>
  </w:num>
  <w:num w:numId="8">
    <w:abstractNumId w:val="5"/>
  </w:num>
  <w:num w:numId="9">
    <w:abstractNumId w:val="8"/>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9"/>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JkNTg1OTJkZTA1ZDVhNGYzMmVkNzJiZGI5ZmNhNzAifQ=="/>
  </w:docVars>
  <w:rsids>
    <w:rsidRoot w:val="00DA2E46"/>
    <w:rsid w:val="00010DF5"/>
    <w:rsid w:val="0002050C"/>
    <w:rsid w:val="00031D74"/>
    <w:rsid w:val="00031EDA"/>
    <w:rsid w:val="00035FD6"/>
    <w:rsid w:val="00041275"/>
    <w:rsid w:val="00041E23"/>
    <w:rsid w:val="00057979"/>
    <w:rsid w:val="00062839"/>
    <w:rsid w:val="000640B1"/>
    <w:rsid w:val="0006527E"/>
    <w:rsid w:val="000716F8"/>
    <w:rsid w:val="000725C9"/>
    <w:rsid w:val="000751D5"/>
    <w:rsid w:val="00076791"/>
    <w:rsid w:val="00077F3F"/>
    <w:rsid w:val="00080BBF"/>
    <w:rsid w:val="00094137"/>
    <w:rsid w:val="000A301B"/>
    <w:rsid w:val="000A519B"/>
    <w:rsid w:val="000A7A3F"/>
    <w:rsid w:val="000B0E52"/>
    <w:rsid w:val="000B7490"/>
    <w:rsid w:val="000D18E4"/>
    <w:rsid w:val="000D1DA9"/>
    <w:rsid w:val="000D2926"/>
    <w:rsid w:val="000D48B5"/>
    <w:rsid w:val="0011305B"/>
    <w:rsid w:val="00115707"/>
    <w:rsid w:val="0012011D"/>
    <w:rsid w:val="0012733E"/>
    <w:rsid w:val="00127F58"/>
    <w:rsid w:val="00131A1C"/>
    <w:rsid w:val="001361D8"/>
    <w:rsid w:val="00140C6C"/>
    <w:rsid w:val="00144643"/>
    <w:rsid w:val="00160D0D"/>
    <w:rsid w:val="0016196A"/>
    <w:rsid w:val="00161FD2"/>
    <w:rsid w:val="00167161"/>
    <w:rsid w:val="0019372B"/>
    <w:rsid w:val="00197CB9"/>
    <w:rsid w:val="001D1DC9"/>
    <w:rsid w:val="001E2156"/>
    <w:rsid w:val="001F00D7"/>
    <w:rsid w:val="001F0B83"/>
    <w:rsid w:val="00214A21"/>
    <w:rsid w:val="002232D4"/>
    <w:rsid w:val="00230459"/>
    <w:rsid w:val="002416CF"/>
    <w:rsid w:val="00247842"/>
    <w:rsid w:val="002554AB"/>
    <w:rsid w:val="002629DD"/>
    <w:rsid w:val="00262A33"/>
    <w:rsid w:val="00264A6E"/>
    <w:rsid w:val="00266970"/>
    <w:rsid w:val="002746A9"/>
    <w:rsid w:val="00285085"/>
    <w:rsid w:val="00290F66"/>
    <w:rsid w:val="0029432F"/>
    <w:rsid w:val="002A1AEC"/>
    <w:rsid w:val="002A1FBA"/>
    <w:rsid w:val="002A5F16"/>
    <w:rsid w:val="002A6FAF"/>
    <w:rsid w:val="002B0E82"/>
    <w:rsid w:val="002C4B74"/>
    <w:rsid w:val="002C7C83"/>
    <w:rsid w:val="002D34F4"/>
    <w:rsid w:val="002D3A54"/>
    <w:rsid w:val="002D518A"/>
    <w:rsid w:val="002E0B52"/>
    <w:rsid w:val="002E34F0"/>
    <w:rsid w:val="002E6413"/>
    <w:rsid w:val="002E7870"/>
    <w:rsid w:val="002F0DD6"/>
    <w:rsid w:val="002F3C1F"/>
    <w:rsid w:val="003025BA"/>
    <w:rsid w:val="0030326B"/>
    <w:rsid w:val="00303828"/>
    <w:rsid w:val="00321CAC"/>
    <w:rsid w:val="00325002"/>
    <w:rsid w:val="003259BD"/>
    <w:rsid w:val="003327F2"/>
    <w:rsid w:val="00333AF9"/>
    <w:rsid w:val="0033438F"/>
    <w:rsid w:val="00343177"/>
    <w:rsid w:val="00343F73"/>
    <w:rsid w:val="00345C72"/>
    <w:rsid w:val="00345DEA"/>
    <w:rsid w:val="00346801"/>
    <w:rsid w:val="00346FB8"/>
    <w:rsid w:val="0034739D"/>
    <w:rsid w:val="00350BD8"/>
    <w:rsid w:val="00365E80"/>
    <w:rsid w:val="00381A77"/>
    <w:rsid w:val="00384C92"/>
    <w:rsid w:val="0038618F"/>
    <w:rsid w:val="003A07A4"/>
    <w:rsid w:val="003A4878"/>
    <w:rsid w:val="003B1785"/>
    <w:rsid w:val="003C4B9C"/>
    <w:rsid w:val="003C68DF"/>
    <w:rsid w:val="003E0B9F"/>
    <w:rsid w:val="003E2527"/>
    <w:rsid w:val="004017D6"/>
    <w:rsid w:val="0040190B"/>
    <w:rsid w:val="00411AB3"/>
    <w:rsid w:val="00411C17"/>
    <w:rsid w:val="00420DD8"/>
    <w:rsid w:val="00423A88"/>
    <w:rsid w:val="00425B35"/>
    <w:rsid w:val="0042756D"/>
    <w:rsid w:val="00427D0A"/>
    <w:rsid w:val="00437213"/>
    <w:rsid w:val="00443B3B"/>
    <w:rsid w:val="0044711D"/>
    <w:rsid w:val="00462EBD"/>
    <w:rsid w:val="0047182E"/>
    <w:rsid w:val="0048656E"/>
    <w:rsid w:val="00490932"/>
    <w:rsid w:val="00492077"/>
    <w:rsid w:val="00492402"/>
    <w:rsid w:val="004A5602"/>
    <w:rsid w:val="004B29A0"/>
    <w:rsid w:val="004C31F0"/>
    <w:rsid w:val="004D65D4"/>
    <w:rsid w:val="004E09FC"/>
    <w:rsid w:val="004E0CE0"/>
    <w:rsid w:val="004E5531"/>
    <w:rsid w:val="004E5E3E"/>
    <w:rsid w:val="005001D8"/>
    <w:rsid w:val="00512CBB"/>
    <w:rsid w:val="00523D61"/>
    <w:rsid w:val="00535A35"/>
    <w:rsid w:val="00543B0C"/>
    <w:rsid w:val="00552FD8"/>
    <w:rsid w:val="00555F96"/>
    <w:rsid w:val="0055725A"/>
    <w:rsid w:val="00557310"/>
    <w:rsid w:val="00561A07"/>
    <w:rsid w:val="00562895"/>
    <w:rsid w:val="00574A51"/>
    <w:rsid w:val="00582A20"/>
    <w:rsid w:val="00590283"/>
    <w:rsid w:val="00594A14"/>
    <w:rsid w:val="005A3570"/>
    <w:rsid w:val="005A7750"/>
    <w:rsid w:val="005B55AC"/>
    <w:rsid w:val="005C18C8"/>
    <w:rsid w:val="005C30DA"/>
    <w:rsid w:val="005C3DD9"/>
    <w:rsid w:val="005C7693"/>
    <w:rsid w:val="005C77AF"/>
    <w:rsid w:val="005D689D"/>
    <w:rsid w:val="005E12E8"/>
    <w:rsid w:val="005E483B"/>
    <w:rsid w:val="005E4988"/>
    <w:rsid w:val="005E77BD"/>
    <w:rsid w:val="005F5FDD"/>
    <w:rsid w:val="00601022"/>
    <w:rsid w:val="0060162F"/>
    <w:rsid w:val="00602CF4"/>
    <w:rsid w:val="0060487D"/>
    <w:rsid w:val="00615D07"/>
    <w:rsid w:val="00623DA8"/>
    <w:rsid w:val="00626D3F"/>
    <w:rsid w:val="00630151"/>
    <w:rsid w:val="0064251F"/>
    <w:rsid w:val="00643F74"/>
    <w:rsid w:val="00662692"/>
    <w:rsid w:val="006664E4"/>
    <w:rsid w:val="00666E2F"/>
    <w:rsid w:val="00675096"/>
    <w:rsid w:val="006849F1"/>
    <w:rsid w:val="00687D2D"/>
    <w:rsid w:val="00691A5B"/>
    <w:rsid w:val="006926FF"/>
    <w:rsid w:val="006A28D1"/>
    <w:rsid w:val="006C0E57"/>
    <w:rsid w:val="006C30ED"/>
    <w:rsid w:val="006D2DE3"/>
    <w:rsid w:val="006D333D"/>
    <w:rsid w:val="006D6279"/>
    <w:rsid w:val="006E05F6"/>
    <w:rsid w:val="006E6126"/>
    <w:rsid w:val="006E7A70"/>
    <w:rsid w:val="006E7AAC"/>
    <w:rsid w:val="006F0A97"/>
    <w:rsid w:val="006F1007"/>
    <w:rsid w:val="006F1D7F"/>
    <w:rsid w:val="006F37E1"/>
    <w:rsid w:val="006F5BD9"/>
    <w:rsid w:val="00702588"/>
    <w:rsid w:val="00710747"/>
    <w:rsid w:val="00711E45"/>
    <w:rsid w:val="00712591"/>
    <w:rsid w:val="00714959"/>
    <w:rsid w:val="00720085"/>
    <w:rsid w:val="0072447B"/>
    <w:rsid w:val="007308A0"/>
    <w:rsid w:val="00733184"/>
    <w:rsid w:val="00735F23"/>
    <w:rsid w:val="00742B38"/>
    <w:rsid w:val="007439AE"/>
    <w:rsid w:val="00744ABD"/>
    <w:rsid w:val="00752609"/>
    <w:rsid w:val="0075271A"/>
    <w:rsid w:val="007625D0"/>
    <w:rsid w:val="0078326D"/>
    <w:rsid w:val="007840EB"/>
    <w:rsid w:val="007953A3"/>
    <w:rsid w:val="007953FA"/>
    <w:rsid w:val="007A3868"/>
    <w:rsid w:val="007B0927"/>
    <w:rsid w:val="007B31D2"/>
    <w:rsid w:val="007C1714"/>
    <w:rsid w:val="007C25B6"/>
    <w:rsid w:val="007C69D0"/>
    <w:rsid w:val="007C7E56"/>
    <w:rsid w:val="007D2501"/>
    <w:rsid w:val="007D3FAB"/>
    <w:rsid w:val="007E1B6D"/>
    <w:rsid w:val="007E1F79"/>
    <w:rsid w:val="007E27BF"/>
    <w:rsid w:val="007F2F74"/>
    <w:rsid w:val="007F7C6A"/>
    <w:rsid w:val="00805604"/>
    <w:rsid w:val="00814B4D"/>
    <w:rsid w:val="008155C5"/>
    <w:rsid w:val="00816516"/>
    <w:rsid w:val="00816A64"/>
    <w:rsid w:val="0083010B"/>
    <w:rsid w:val="0083496F"/>
    <w:rsid w:val="00836A98"/>
    <w:rsid w:val="00836FF3"/>
    <w:rsid w:val="00837654"/>
    <w:rsid w:val="0083775E"/>
    <w:rsid w:val="00837818"/>
    <w:rsid w:val="00846033"/>
    <w:rsid w:val="00861791"/>
    <w:rsid w:val="00866CA2"/>
    <w:rsid w:val="0086739C"/>
    <w:rsid w:val="0087004C"/>
    <w:rsid w:val="008700B2"/>
    <w:rsid w:val="00870A31"/>
    <w:rsid w:val="008744F5"/>
    <w:rsid w:val="00875ABA"/>
    <w:rsid w:val="00875E7B"/>
    <w:rsid w:val="008849F0"/>
    <w:rsid w:val="00884D19"/>
    <w:rsid w:val="0088780F"/>
    <w:rsid w:val="00893784"/>
    <w:rsid w:val="00896666"/>
    <w:rsid w:val="008A0CEF"/>
    <w:rsid w:val="008B0233"/>
    <w:rsid w:val="008B0B41"/>
    <w:rsid w:val="008B31A7"/>
    <w:rsid w:val="008D0B3B"/>
    <w:rsid w:val="008D33D3"/>
    <w:rsid w:val="008D5158"/>
    <w:rsid w:val="008D5F39"/>
    <w:rsid w:val="008D7F29"/>
    <w:rsid w:val="008E1419"/>
    <w:rsid w:val="008F3D10"/>
    <w:rsid w:val="008F4F88"/>
    <w:rsid w:val="009166DF"/>
    <w:rsid w:val="009312E6"/>
    <w:rsid w:val="0093260C"/>
    <w:rsid w:val="00937503"/>
    <w:rsid w:val="00942B9F"/>
    <w:rsid w:val="00943319"/>
    <w:rsid w:val="0094346F"/>
    <w:rsid w:val="00947447"/>
    <w:rsid w:val="009613A1"/>
    <w:rsid w:val="0097494E"/>
    <w:rsid w:val="00976A8C"/>
    <w:rsid w:val="00977FF3"/>
    <w:rsid w:val="0098091D"/>
    <w:rsid w:val="00980D3C"/>
    <w:rsid w:val="00984CC9"/>
    <w:rsid w:val="009941A6"/>
    <w:rsid w:val="0099510C"/>
    <w:rsid w:val="009A27AF"/>
    <w:rsid w:val="009A4A48"/>
    <w:rsid w:val="009A6DC0"/>
    <w:rsid w:val="009B74C7"/>
    <w:rsid w:val="009C06EE"/>
    <w:rsid w:val="009C4C40"/>
    <w:rsid w:val="009C5078"/>
    <w:rsid w:val="009F0E95"/>
    <w:rsid w:val="009F620C"/>
    <w:rsid w:val="00A00250"/>
    <w:rsid w:val="00A009BC"/>
    <w:rsid w:val="00A03C8F"/>
    <w:rsid w:val="00A208D0"/>
    <w:rsid w:val="00A2153A"/>
    <w:rsid w:val="00A3620F"/>
    <w:rsid w:val="00A36D87"/>
    <w:rsid w:val="00A42BA3"/>
    <w:rsid w:val="00A5026C"/>
    <w:rsid w:val="00A566D5"/>
    <w:rsid w:val="00A61ADA"/>
    <w:rsid w:val="00A67B9F"/>
    <w:rsid w:val="00A80437"/>
    <w:rsid w:val="00AA0034"/>
    <w:rsid w:val="00AA4E14"/>
    <w:rsid w:val="00AC1AE7"/>
    <w:rsid w:val="00AC7E4E"/>
    <w:rsid w:val="00B03E70"/>
    <w:rsid w:val="00B0667D"/>
    <w:rsid w:val="00B075F8"/>
    <w:rsid w:val="00B10CBD"/>
    <w:rsid w:val="00B15249"/>
    <w:rsid w:val="00B22126"/>
    <w:rsid w:val="00B23B20"/>
    <w:rsid w:val="00B24932"/>
    <w:rsid w:val="00B30024"/>
    <w:rsid w:val="00B35E10"/>
    <w:rsid w:val="00B67AB7"/>
    <w:rsid w:val="00B76EBE"/>
    <w:rsid w:val="00B807B2"/>
    <w:rsid w:val="00B81261"/>
    <w:rsid w:val="00B831FD"/>
    <w:rsid w:val="00B93E93"/>
    <w:rsid w:val="00BA0002"/>
    <w:rsid w:val="00BA7887"/>
    <w:rsid w:val="00BB0695"/>
    <w:rsid w:val="00BB0AA9"/>
    <w:rsid w:val="00BB389C"/>
    <w:rsid w:val="00BB5E22"/>
    <w:rsid w:val="00BC1538"/>
    <w:rsid w:val="00BC1927"/>
    <w:rsid w:val="00BC3D6E"/>
    <w:rsid w:val="00BC43BB"/>
    <w:rsid w:val="00BD0190"/>
    <w:rsid w:val="00BD36BD"/>
    <w:rsid w:val="00BD49FC"/>
    <w:rsid w:val="00BE027C"/>
    <w:rsid w:val="00BE229C"/>
    <w:rsid w:val="00BE2BE6"/>
    <w:rsid w:val="00BE359F"/>
    <w:rsid w:val="00BE6FC4"/>
    <w:rsid w:val="00BF2390"/>
    <w:rsid w:val="00BF2E8C"/>
    <w:rsid w:val="00BF513D"/>
    <w:rsid w:val="00BF52B9"/>
    <w:rsid w:val="00C2211B"/>
    <w:rsid w:val="00C24E2A"/>
    <w:rsid w:val="00C32FB4"/>
    <w:rsid w:val="00C34601"/>
    <w:rsid w:val="00C415A9"/>
    <w:rsid w:val="00C45CBF"/>
    <w:rsid w:val="00C47234"/>
    <w:rsid w:val="00C5578E"/>
    <w:rsid w:val="00C56F38"/>
    <w:rsid w:val="00C57229"/>
    <w:rsid w:val="00C57A04"/>
    <w:rsid w:val="00C74942"/>
    <w:rsid w:val="00C808EB"/>
    <w:rsid w:val="00C8512E"/>
    <w:rsid w:val="00C87E32"/>
    <w:rsid w:val="00C9657E"/>
    <w:rsid w:val="00CA1AB8"/>
    <w:rsid w:val="00CA3606"/>
    <w:rsid w:val="00CA5E59"/>
    <w:rsid w:val="00CB4EE6"/>
    <w:rsid w:val="00CB6539"/>
    <w:rsid w:val="00CC25B9"/>
    <w:rsid w:val="00CD5867"/>
    <w:rsid w:val="00CD6536"/>
    <w:rsid w:val="00CD674A"/>
    <w:rsid w:val="00CD73E5"/>
    <w:rsid w:val="00CE2D16"/>
    <w:rsid w:val="00CE2E34"/>
    <w:rsid w:val="00CE3408"/>
    <w:rsid w:val="00CE6C2F"/>
    <w:rsid w:val="00CE6E51"/>
    <w:rsid w:val="00CF3BE6"/>
    <w:rsid w:val="00D0326E"/>
    <w:rsid w:val="00D039E3"/>
    <w:rsid w:val="00D04025"/>
    <w:rsid w:val="00D11BF3"/>
    <w:rsid w:val="00D15C83"/>
    <w:rsid w:val="00D22E42"/>
    <w:rsid w:val="00D32675"/>
    <w:rsid w:val="00D337FF"/>
    <w:rsid w:val="00D36F93"/>
    <w:rsid w:val="00D43106"/>
    <w:rsid w:val="00D43B65"/>
    <w:rsid w:val="00D4715E"/>
    <w:rsid w:val="00D50483"/>
    <w:rsid w:val="00D50FA2"/>
    <w:rsid w:val="00D51CA5"/>
    <w:rsid w:val="00D605D6"/>
    <w:rsid w:val="00D91B19"/>
    <w:rsid w:val="00D93134"/>
    <w:rsid w:val="00D95972"/>
    <w:rsid w:val="00DA19EF"/>
    <w:rsid w:val="00DA2E46"/>
    <w:rsid w:val="00DA3EA5"/>
    <w:rsid w:val="00DA4062"/>
    <w:rsid w:val="00DB07DE"/>
    <w:rsid w:val="00DB6470"/>
    <w:rsid w:val="00DB648D"/>
    <w:rsid w:val="00DD2AE9"/>
    <w:rsid w:val="00DE21E8"/>
    <w:rsid w:val="00DE279C"/>
    <w:rsid w:val="00E131D1"/>
    <w:rsid w:val="00E22CBF"/>
    <w:rsid w:val="00E24A49"/>
    <w:rsid w:val="00E3190C"/>
    <w:rsid w:val="00E33B4C"/>
    <w:rsid w:val="00E346C5"/>
    <w:rsid w:val="00E40218"/>
    <w:rsid w:val="00E44C93"/>
    <w:rsid w:val="00E6060C"/>
    <w:rsid w:val="00E637A9"/>
    <w:rsid w:val="00E67DF9"/>
    <w:rsid w:val="00E71A4E"/>
    <w:rsid w:val="00E92BA7"/>
    <w:rsid w:val="00E957E7"/>
    <w:rsid w:val="00EB4AEC"/>
    <w:rsid w:val="00ED4D5F"/>
    <w:rsid w:val="00ED6D28"/>
    <w:rsid w:val="00ED72DC"/>
    <w:rsid w:val="00EE1389"/>
    <w:rsid w:val="00EE3D1C"/>
    <w:rsid w:val="00EE3FF1"/>
    <w:rsid w:val="00EE6A89"/>
    <w:rsid w:val="00EF2CF1"/>
    <w:rsid w:val="00F02A03"/>
    <w:rsid w:val="00F16856"/>
    <w:rsid w:val="00F23C03"/>
    <w:rsid w:val="00F43B46"/>
    <w:rsid w:val="00F46C50"/>
    <w:rsid w:val="00F50DD6"/>
    <w:rsid w:val="00F517BA"/>
    <w:rsid w:val="00F538E2"/>
    <w:rsid w:val="00F76A89"/>
    <w:rsid w:val="00F8151A"/>
    <w:rsid w:val="00F822CF"/>
    <w:rsid w:val="00F93C6F"/>
    <w:rsid w:val="00F9418D"/>
    <w:rsid w:val="00F94BDC"/>
    <w:rsid w:val="00FA29A1"/>
    <w:rsid w:val="00FA7B4A"/>
    <w:rsid w:val="00FB50E5"/>
    <w:rsid w:val="00FB6912"/>
    <w:rsid w:val="00FC12AF"/>
    <w:rsid w:val="00FC1536"/>
    <w:rsid w:val="00FC2785"/>
    <w:rsid w:val="00FC4922"/>
    <w:rsid w:val="00FD19D9"/>
    <w:rsid w:val="00FD51C3"/>
    <w:rsid w:val="00FE4777"/>
    <w:rsid w:val="00FE4FF0"/>
    <w:rsid w:val="00FE551A"/>
    <w:rsid w:val="00FE60DA"/>
    <w:rsid w:val="00FE6DDE"/>
    <w:rsid w:val="00FF415F"/>
    <w:rsid w:val="00FF74A7"/>
    <w:rsid w:val="00FF75EA"/>
    <w:rsid w:val="01011432"/>
    <w:rsid w:val="01113D6B"/>
    <w:rsid w:val="011A5E25"/>
    <w:rsid w:val="012A118F"/>
    <w:rsid w:val="013C5158"/>
    <w:rsid w:val="0146637B"/>
    <w:rsid w:val="014F6641"/>
    <w:rsid w:val="01521C8D"/>
    <w:rsid w:val="015E36D9"/>
    <w:rsid w:val="01633E9B"/>
    <w:rsid w:val="0168325F"/>
    <w:rsid w:val="01763805"/>
    <w:rsid w:val="01A544B3"/>
    <w:rsid w:val="01AE3368"/>
    <w:rsid w:val="01D17056"/>
    <w:rsid w:val="021D673F"/>
    <w:rsid w:val="02557C87"/>
    <w:rsid w:val="02690376"/>
    <w:rsid w:val="02827BD0"/>
    <w:rsid w:val="028642E4"/>
    <w:rsid w:val="02B01361"/>
    <w:rsid w:val="02C72207"/>
    <w:rsid w:val="03096D43"/>
    <w:rsid w:val="0317318F"/>
    <w:rsid w:val="03305FFE"/>
    <w:rsid w:val="033923C2"/>
    <w:rsid w:val="033C49A3"/>
    <w:rsid w:val="035937A7"/>
    <w:rsid w:val="03693FA8"/>
    <w:rsid w:val="0387014A"/>
    <w:rsid w:val="03C54999"/>
    <w:rsid w:val="03FA75D8"/>
    <w:rsid w:val="03FC180C"/>
    <w:rsid w:val="041B0A5C"/>
    <w:rsid w:val="04243DB5"/>
    <w:rsid w:val="047C774D"/>
    <w:rsid w:val="04842AA6"/>
    <w:rsid w:val="049802FF"/>
    <w:rsid w:val="04B0389B"/>
    <w:rsid w:val="04D56E5D"/>
    <w:rsid w:val="04DA4474"/>
    <w:rsid w:val="051849A5"/>
    <w:rsid w:val="05191440"/>
    <w:rsid w:val="05214D81"/>
    <w:rsid w:val="053022E6"/>
    <w:rsid w:val="053B7608"/>
    <w:rsid w:val="056F2E0E"/>
    <w:rsid w:val="05816FE5"/>
    <w:rsid w:val="05834B0B"/>
    <w:rsid w:val="05A056BD"/>
    <w:rsid w:val="05B44CC5"/>
    <w:rsid w:val="05C07B0D"/>
    <w:rsid w:val="05C80770"/>
    <w:rsid w:val="05DB04A3"/>
    <w:rsid w:val="05E530D0"/>
    <w:rsid w:val="06355613"/>
    <w:rsid w:val="065B3392"/>
    <w:rsid w:val="067B6D0F"/>
    <w:rsid w:val="067E2CDC"/>
    <w:rsid w:val="06874187"/>
    <w:rsid w:val="069C40D7"/>
    <w:rsid w:val="06A20FC1"/>
    <w:rsid w:val="06A411DD"/>
    <w:rsid w:val="06C07699"/>
    <w:rsid w:val="070E75E1"/>
    <w:rsid w:val="07577FFE"/>
    <w:rsid w:val="076B1CFB"/>
    <w:rsid w:val="076F23B6"/>
    <w:rsid w:val="07737AC6"/>
    <w:rsid w:val="07B0770E"/>
    <w:rsid w:val="07B436A2"/>
    <w:rsid w:val="07C47C51"/>
    <w:rsid w:val="07C531B9"/>
    <w:rsid w:val="07CA07CF"/>
    <w:rsid w:val="07CB4548"/>
    <w:rsid w:val="08027530"/>
    <w:rsid w:val="080D4B60"/>
    <w:rsid w:val="081952B3"/>
    <w:rsid w:val="082425D6"/>
    <w:rsid w:val="083C3D2C"/>
    <w:rsid w:val="08510EF1"/>
    <w:rsid w:val="086230FE"/>
    <w:rsid w:val="0865499C"/>
    <w:rsid w:val="08716E9D"/>
    <w:rsid w:val="08766BA9"/>
    <w:rsid w:val="088272FC"/>
    <w:rsid w:val="088C3CD7"/>
    <w:rsid w:val="08BA08C0"/>
    <w:rsid w:val="08BB45BC"/>
    <w:rsid w:val="08D51B22"/>
    <w:rsid w:val="08E81CF0"/>
    <w:rsid w:val="08FA6E92"/>
    <w:rsid w:val="08FD4BD5"/>
    <w:rsid w:val="091058D9"/>
    <w:rsid w:val="092403B3"/>
    <w:rsid w:val="092C1016"/>
    <w:rsid w:val="09492F0D"/>
    <w:rsid w:val="094C3466"/>
    <w:rsid w:val="095567BF"/>
    <w:rsid w:val="09613E33"/>
    <w:rsid w:val="09926D3D"/>
    <w:rsid w:val="09A82D92"/>
    <w:rsid w:val="09B07E99"/>
    <w:rsid w:val="09CD45A7"/>
    <w:rsid w:val="09D122E9"/>
    <w:rsid w:val="09FC4E8C"/>
    <w:rsid w:val="0A73514E"/>
    <w:rsid w:val="0A7F7F97"/>
    <w:rsid w:val="0A912C71"/>
    <w:rsid w:val="0A9E7CF1"/>
    <w:rsid w:val="0AA479FE"/>
    <w:rsid w:val="0AC0235E"/>
    <w:rsid w:val="0ACC485F"/>
    <w:rsid w:val="0ADA3F4C"/>
    <w:rsid w:val="0ADF27E4"/>
    <w:rsid w:val="0AF82734"/>
    <w:rsid w:val="0B0E131B"/>
    <w:rsid w:val="0B116715"/>
    <w:rsid w:val="0B2B5A29"/>
    <w:rsid w:val="0B48482D"/>
    <w:rsid w:val="0B5A00BC"/>
    <w:rsid w:val="0B5C3E34"/>
    <w:rsid w:val="0B9C6927"/>
    <w:rsid w:val="0BBF61BC"/>
    <w:rsid w:val="0BCB5C52"/>
    <w:rsid w:val="0BD460C1"/>
    <w:rsid w:val="0BE300B2"/>
    <w:rsid w:val="0BE856C8"/>
    <w:rsid w:val="0C01370B"/>
    <w:rsid w:val="0C01678A"/>
    <w:rsid w:val="0C085D6A"/>
    <w:rsid w:val="0C193AD3"/>
    <w:rsid w:val="0C483CD8"/>
    <w:rsid w:val="0C7B29E0"/>
    <w:rsid w:val="0C7D22B4"/>
    <w:rsid w:val="0C807FF6"/>
    <w:rsid w:val="0C9D4705"/>
    <w:rsid w:val="0CA912FB"/>
    <w:rsid w:val="0CD45BD6"/>
    <w:rsid w:val="0D166CFD"/>
    <w:rsid w:val="0D1F6EE5"/>
    <w:rsid w:val="0D2C7836"/>
    <w:rsid w:val="0D896A37"/>
    <w:rsid w:val="0D8C18C1"/>
    <w:rsid w:val="0DA85BF2"/>
    <w:rsid w:val="0DB00467"/>
    <w:rsid w:val="0DDA3736"/>
    <w:rsid w:val="0DF42353"/>
    <w:rsid w:val="0E0013EF"/>
    <w:rsid w:val="0E012A71"/>
    <w:rsid w:val="0E063117"/>
    <w:rsid w:val="0E1C3D4F"/>
    <w:rsid w:val="0E2B3F92"/>
    <w:rsid w:val="0E4532A6"/>
    <w:rsid w:val="0E8B67DF"/>
    <w:rsid w:val="0EB74549"/>
    <w:rsid w:val="0EC37B54"/>
    <w:rsid w:val="0EDB32C2"/>
    <w:rsid w:val="0EDB7766"/>
    <w:rsid w:val="0EE773CD"/>
    <w:rsid w:val="0EEF3211"/>
    <w:rsid w:val="0EF3685E"/>
    <w:rsid w:val="0EFB1BB6"/>
    <w:rsid w:val="0F1C6324"/>
    <w:rsid w:val="0F29227F"/>
    <w:rsid w:val="0F3B0205"/>
    <w:rsid w:val="0F4F5A5E"/>
    <w:rsid w:val="0F6634D4"/>
    <w:rsid w:val="0F7200CA"/>
    <w:rsid w:val="0F7F4595"/>
    <w:rsid w:val="0FB35FED"/>
    <w:rsid w:val="0FC401FA"/>
    <w:rsid w:val="0FE12B5A"/>
    <w:rsid w:val="102869DB"/>
    <w:rsid w:val="104F3F68"/>
    <w:rsid w:val="10520096"/>
    <w:rsid w:val="10637A13"/>
    <w:rsid w:val="10861954"/>
    <w:rsid w:val="10A36062"/>
    <w:rsid w:val="10A5627E"/>
    <w:rsid w:val="10BD35C7"/>
    <w:rsid w:val="10C54730"/>
    <w:rsid w:val="115D26B4"/>
    <w:rsid w:val="11691059"/>
    <w:rsid w:val="117B0D8C"/>
    <w:rsid w:val="11A6405B"/>
    <w:rsid w:val="11C04A7F"/>
    <w:rsid w:val="11D5049D"/>
    <w:rsid w:val="11E626AA"/>
    <w:rsid w:val="1218364A"/>
    <w:rsid w:val="12241424"/>
    <w:rsid w:val="122F22A3"/>
    <w:rsid w:val="124A70DD"/>
    <w:rsid w:val="12505D75"/>
    <w:rsid w:val="12AA36D7"/>
    <w:rsid w:val="12BB58E4"/>
    <w:rsid w:val="12C0739F"/>
    <w:rsid w:val="12F9465F"/>
    <w:rsid w:val="12FC7CAB"/>
    <w:rsid w:val="13623FB2"/>
    <w:rsid w:val="13931986"/>
    <w:rsid w:val="139A7BF0"/>
    <w:rsid w:val="13A73607"/>
    <w:rsid w:val="13F54E26"/>
    <w:rsid w:val="13FB7F63"/>
    <w:rsid w:val="14045069"/>
    <w:rsid w:val="14264FE0"/>
    <w:rsid w:val="14506500"/>
    <w:rsid w:val="14520465"/>
    <w:rsid w:val="1457163D"/>
    <w:rsid w:val="14733F9D"/>
    <w:rsid w:val="147C10A3"/>
    <w:rsid w:val="14B940A6"/>
    <w:rsid w:val="14C447F8"/>
    <w:rsid w:val="15115C90"/>
    <w:rsid w:val="151B4D60"/>
    <w:rsid w:val="153B2982"/>
    <w:rsid w:val="153E1881"/>
    <w:rsid w:val="155F2CB0"/>
    <w:rsid w:val="15604521"/>
    <w:rsid w:val="15932B49"/>
    <w:rsid w:val="15A52A02"/>
    <w:rsid w:val="15A9411A"/>
    <w:rsid w:val="15AF7257"/>
    <w:rsid w:val="15DF48F1"/>
    <w:rsid w:val="15E52C78"/>
    <w:rsid w:val="1606331B"/>
    <w:rsid w:val="161A0F05"/>
    <w:rsid w:val="163D4862"/>
    <w:rsid w:val="164E4CC1"/>
    <w:rsid w:val="165247B2"/>
    <w:rsid w:val="16556050"/>
    <w:rsid w:val="165A41B2"/>
    <w:rsid w:val="168164BC"/>
    <w:rsid w:val="169923E1"/>
    <w:rsid w:val="16994D22"/>
    <w:rsid w:val="169B3FD3"/>
    <w:rsid w:val="169D3553"/>
    <w:rsid w:val="16AC04CA"/>
    <w:rsid w:val="16B56AEF"/>
    <w:rsid w:val="16B84207"/>
    <w:rsid w:val="16BC7E7D"/>
    <w:rsid w:val="16EB2510"/>
    <w:rsid w:val="17081314"/>
    <w:rsid w:val="17163A31"/>
    <w:rsid w:val="172D3363"/>
    <w:rsid w:val="17326391"/>
    <w:rsid w:val="1736143B"/>
    <w:rsid w:val="174165D4"/>
    <w:rsid w:val="175956CC"/>
    <w:rsid w:val="175C6F6A"/>
    <w:rsid w:val="17800EAB"/>
    <w:rsid w:val="17A54DB5"/>
    <w:rsid w:val="17AF1790"/>
    <w:rsid w:val="17D02CF0"/>
    <w:rsid w:val="17F83137"/>
    <w:rsid w:val="180F0345"/>
    <w:rsid w:val="181810E3"/>
    <w:rsid w:val="183F0D66"/>
    <w:rsid w:val="18414ADE"/>
    <w:rsid w:val="186407CC"/>
    <w:rsid w:val="18934C0E"/>
    <w:rsid w:val="189B3AC2"/>
    <w:rsid w:val="18AE7C99"/>
    <w:rsid w:val="18D70F9E"/>
    <w:rsid w:val="18E831AB"/>
    <w:rsid w:val="19151AC7"/>
    <w:rsid w:val="191775ED"/>
    <w:rsid w:val="19406B43"/>
    <w:rsid w:val="194523AC"/>
    <w:rsid w:val="194F4FBD"/>
    <w:rsid w:val="196934AD"/>
    <w:rsid w:val="196C5B8A"/>
    <w:rsid w:val="197E58BE"/>
    <w:rsid w:val="199D21E8"/>
    <w:rsid w:val="19A277FE"/>
    <w:rsid w:val="19B80DD0"/>
    <w:rsid w:val="19E45129"/>
    <w:rsid w:val="1A240213"/>
    <w:rsid w:val="1A2E5016"/>
    <w:rsid w:val="1A2F0966"/>
    <w:rsid w:val="1A5B175B"/>
    <w:rsid w:val="1A5F124B"/>
    <w:rsid w:val="1A6920CA"/>
    <w:rsid w:val="1A705206"/>
    <w:rsid w:val="1A8D2B13"/>
    <w:rsid w:val="1AC92B69"/>
    <w:rsid w:val="1ACA63E0"/>
    <w:rsid w:val="1ADF238C"/>
    <w:rsid w:val="1AE71241"/>
    <w:rsid w:val="1AF92BB3"/>
    <w:rsid w:val="1B3A3A66"/>
    <w:rsid w:val="1B3C158C"/>
    <w:rsid w:val="1B4548E5"/>
    <w:rsid w:val="1B684130"/>
    <w:rsid w:val="1B950C9D"/>
    <w:rsid w:val="1BAE1B3B"/>
    <w:rsid w:val="1BC7354C"/>
    <w:rsid w:val="1BCA303C"/>
    <w:rsid w:val="1BFB6D69"/>
    <w:rsid w:val="1C033E58"/>
    <w:rsid w:val="1C071B9A"/>
    <w:rsid w:val="1C0C0F5F"/>
    <w:rsid w:val="1C0F6CA1"/>
    <w:rsid w:val="1C15161F"/>
    <w:rsid w:val="1C4C3A51"/>
    <w:rsid w:val="1C766D20"/>
    <w:rsid w:val="1C80194D"/>
    <w:rsid w:val="1CA76EDA"/>
    <w:rsid w:val="1CB33AD0"/>
    <w:rsid w:val="1CEE68B6"/>
    <w:rsid w:val="1CF71C0F"/>
    <w:rsid w:val="1D320E99"/>
    <w:rsid w:val="1D491D3F"/>
    <w:rsid w:val="1DA578BD"/>
    <w:rsid w:val="1DAB47A7"/>
    <w:rsid w:val="1DB96EC4"/>
    <w:rsid w:val="1DBE44DB"/>
    <w:rsid w:val="1DCA4976"/>
    <w:rsid w:val="1DD1334D"/>
    <w:rsid w:val="1DD67A76"/>
    <w:rsid w:val="1DDC5D1E"/>
    <w:rsid w:val="1DE869C3"/>
    <w:rsid w:val="1E0C793C"/>
    <w:rsid w:val="1E252D30"/>
    <w:rsid w:val="1E293FBC"/>
    <w:rsid w:val="1E2A6014"/>
    <w:rsid w:val="1E3D3153"/>
    <w:rsid w:val="1E5E7A6C"/>
    <w:rsid w:val="1E6E4153"/>
    <w:rsid w:val="1EE77A61"/>
    <w:rsid w:val="1EEE7042"/>
    <w:rsid w:val="1EFC175F"/>
    <w:rsid w:val="1F130856"/>
    <w:rsid w:val="1F413615"/>
    <w:rsid w:val="1F4C5B16"/>
    <w:rsid w:val="1FA63478"/>
    <w:rsid w:val="1FBF278C"/>
    <w:rsid w:val="1FD71884"/>
    <w:rsid w:val="1FEA5A5B"/>
    <w:rsid w:val="1FEF4E1F"/>
    <w:rsid w:val="200563F1"/>
    <w:rsid w:val="20126D60"/>
    <w:rsid w:val="201422ED"/>
    <w:rsid w:val="2032080A"/>
    <w:rsid w:val="20362A4E"/>
    <w:rsid w:val="205E01F7"/>
    <w:rsid w:val="20657A7F"/>
    <w:rsid w:val="209B0B03"/>
    <w:rsid w:val="20A35C0A"/>
    <w:rsid w:val="20C04A0E"/>
    <w:rsid w:val="20D02EA3"/>
    <w:rsid w:val="211014F1"/>
    <w:rsid w:val="21254871"/>
    <w:rsid w:val="212C5BFF"/>
    <w:rsid w:val="214C2544"/>
    <w:rsid w:val="215A09BE"/>
    <w:rsid w:val="215A276C"/>
    <w:rsid w:val="215D400B"/>
    <w:rsid w:val="216B497A"/>
    <w:rsid w:val="21937A2C"/>
    <w:rsid w:val="21A8155E"/>
    <w:rsid w:val="21C85928"/>
    <w:rsid w:val="21E604A4"/>
    <w:rsid w:val="21F93CE9"/>
    <w:rsid w:val="220426D8"/>
    <w:rsid w:val="22124DF5"/>
    <w:rsid w:val="224F1BA5"/>
    <w:rsid w:val="22623FCE"/>
    <w:rsid w:val="22631AF5"/>
    <w:rsid w:val="228A7081"/>
    <w:rsid w:val="228D6B72"/>
    <w:rsid w:val="22A04AF7"/>
    <w:rsid w:val="22BD2FB3"/>
    <w:rsid w:val="22C00CF5"/>
    <w:rsid w:val="22C04851"/>
    <w:rsid w:val="22CE1AC1"/>
    <w:rsid w:val="230E1A60"/>
    <w:rsid w:val="232474D6"/>
    <w:rsid w:val="23377209"/>
    <w:rsid w:val="23775858"/>
    <w:rsid w:val="239F090A"/>
    <w:rsid w:val="23B56380"/>
    <w:rsid w:val="23C72304"/>
    <w:rsid w:val="23F46EA8"/>
    <w:rsid w:val="241F37F9"/>
    <w:rsid w:val="243279D1"/>
    <w:rsid w:val="24653902"/>
    <w:rsid w:val="24AA3A0B"/>
    <w:rsid w:val="24AF254A"/>
    <w:rsid w:val="24AF7273"/>
    <w:rsid w:val="24BA420C"/>
    <w:rsid w:val="24C525F3"/>
    <w:rsid w:val="24CA19B7"/>
    <w:rsid w:val="24EC5B15"/>
    <w:rsid w:val="24FA6740"/>
    <w:rsid w:val="25096983"/>
    <w:rsid w:val="25270BB7"/>
    <w:rsid w:val="2564005E"/>
    <w:rsid w:val="257858B7"/>
    <w:rsid w:val="25853B30"/>
    <w:rsid w:val="25950217"/>
    <w:rsid w:val="25A20B86"/>
    <w:rsid w:val="25A62A02"/>
    <w:rsid w:val="25BD32CA"/>
    <w:rsid w:val="25C40AFC"/>
    <w:rsid w:val="25CE197B"/>
    <w:rsid w:val="25D93869"/>
    <w:rsid w:val="25E7114A"/>
    <w:rsid w:val="25EE7927"/>
    <w:rsid w:val="2628108B"/>
    <w:rsid w:val="26490DAB"/>
    <w:rsid w:val="265C0D35"/>
    <w:rsid w:val="26667E05"/>
    <w:rsid w:val="26771661"/>
    <w:rsid w:val="26865A28"/>
    <w:rsid w:val="26881050"/>
    <w:rsid w:val="26976211"/>
    <w:rsid w:val="26A30712"/>
    <w:rsid w:val="26B3496F"/>
    <w:rsid w:val="26F64CE5"/>
    <w:rsid w:val="271B0BF0"/>
    <w:rsid w:val="271C2272"/>
    <w:rsid w:val="272F1FA5"/>
    <w:rsid w:val="2767173F"/>
    <w:rsid w:val="276E2ACE"/>
    <w:rsid w:val="279D1605"/>
    <w:rsid w:val="27AE55C0"/>
    <w:rsid w:val="27B54BA0"/>
    <w:rsid w:val="27B801ED"/>
    <w:rsid w:val="27C13D12"/>
    <w:rsid w:val="27EB6814"/>
    <w:rsid w:val="28177609"/>
    <w:rsid w:val="281A4A03"/>
    <w:rsid w:val="281C2BC6"/>
    <w:rsid w:val="281C4C20"/>
    <w:rsid w:val="28235FAE"/>
    <w:rsid w:val="283261F1"/>
    <w:rsid w:val="28327F9F"/>
    <w:rsid w:val="285F4B0C"/>
    <w:rsid w:val="28757E8C"/>
    <w:rsid w:val="28AD1D1C"/>
    <w:rsid w:val="28B22E8E"/>
    <w:rsid w:val="28D41056"/>
    <w:rsid w:val="28D9666D"/>
    <w:rsid w:val="28DC7F0B"/>
    <w:rsid w:val="28E91021"/>
    <w:rsid w:val="28F416F8"/>
    <w:rsid w:val="28F811E9"/>
    <w:rsid w:val="28F9286B"/>
    <w:rsid w:val="29001E4B"/>
    <w:rsid w:val="2920429C"/>
    <w:rsid w:val="29332221"/>
    <w:rsid w:val="293D63C7"/>
    <w:rsid w:val="294F692F"/>
    <w:rsid w:val="29707641"/>
    <w:rsid w:val="298F1421"/>
    <w:rsid w:val="299B1B74"/>
    <w:rsid w:val="29BA46F0"/>
    <w:rsid w:val="29C91AA7"/>
    <w:rsid w:val="29D62BAC"/>
    <w:rsid w:val="2A133E00"/>
    <w:rsid w:val="2A32072A"/>
    <w:rsid w:val="2A391AB9"/>
    <w:rsid w:val="2A4B359A"/>
    <w:rsid w:val="2A53244F"/>
    <w:rsid w:val="2AB729DE"/>
    <w:rsid w:val="2AD71AB6"/>
    <w:rsid w:val="2ADE440E"/>
    <w:rsid w:val="2AE51113"/>
    <w:rsid w:val="2AE5579D"/>
    <w:rsid w:val="2AEB08D9"/>
    <w:rsid w:val="2B147E30"/>
    <w:rsid w:val="2B397C23"/>
    <w:rsid w:val="2B3B360F"/>
    <w:rsid w:val="2B591CE7"/>
    <w:rsid w:val="2B684AE1"/>
    <w:rsid w:val="2B786611"/>
    <w:rsid w:val="2BAE3DE1"/>
    <w:rsid w:val="2BCC24B9"/>
    <w:rsid w:val="2BD25682"/>
    <w:rsid w:val="2BE27F2E"/>
    <w:rsid w:val="2BFF463C"/>
    <w:rsid w:val="2C0E487F"/>
    <w:rsid w:val="2C414C55"/>
    <w:rsid w:val="2C475FE3"/>
    <w:rsid w:val="2C646B95"/>
    <w:rsid w:val="2CC633AC"/>
    <w:rsid w:val="2CDD374A"/>
    <w:rsid w:val="2CDE6947"/>
    <w:rsid w:val="2CEB503C"/>
    <w:rsid w:val="2CEF7A50"/>
    <w:rsid w:val="2CF16D8F"/>
    <w:rsid w:val="2D3227EF"/>
    <w:rsid w:val="2D3E2F42"/>
    <w:rsid w:val="2D6D3F12"/>
    <w:rsid w:val="2DB7418D"/>
    <w:rsid w:val="2DC773DC"/>
    <w:rsid w:val="2DD03D81"/>
    <w:rsid w:val="2E310CF9"/>
    <w:rsid w:val="2E3F6F72"/>
    <w:rsid w:val="2E497DF1"/>
    <w:rsid w:val="2E544F2A"/>
    <w:rsid w:val="2E71691D"/>
    <w:rsid w:val="2EB536D8"/>
    <w:rsid w:val="2ECD316E"/>
    <w:rsid w:val="2EDA313F"/>
    <w:rsid w:val="2EEE0998"/>
    <w:rsid w:val="2F0F7C3C"/>
    <w:rsid w:val="2F1C6FCF"/>
    <w:rsid w:val="2F5C7FF7"/>
    <w:rsid w:val="2F5E167A"/>
    <w:rsid w:val="2F880DEC"/>
    <w:rsid w:val="3034062C"/>
    <w:rsid w:val="3040584C"/>
    <w:rsid w:val="30536D05"/>
    <w:rsid w:val="305F1B4D"/>
    <w:rsid w:val="305F7D9F"/>
    <w:rsid w:val="30705B08"/>
    <w:rsid w:val="30766E97"/>
    <w:rsid w:val="307A6987"/>
    <w:rsid w:val="30C220DC"/>
    <w:rsid w:val="30C82535"/>
    <w:rsid w:val="30CB71E3"/>
    <w:rsid w:val="30E56588"/>
    <w:rsid w:val="30E91417"/>
    <w:rsid w:val="31101099"/>
    <w:rsid w:val="31293F09"/>
    <w:rsid w:val="314F3970"/>
    <w:rsid w:val="3159659D"/>
    <w:rsid w:val="31B41A25"/>
    <w:rsid w:val="31CD0D39"/>
    <w:rsid w:val="31D2634F"/>
    <w:rsid w:val="31DB16A7"/>
    <w:rsid w:val="320504D2"/>
    <w:rsid w:val="32094BE7"/>
    <w:rsid w:val="321B7CF6"/>
    <w:rsid w:val="323963CE"/>
    <w:rsid w:val="32513718"/>
    <w:rsid w:val="32690A61"/>
    <w:rsid w:val="326A47D9"/>
    <w:rsid w:val="32B1065A"/>
    <w:rsid w:val="32D54B9D"/>
    <w:rsid w:val="32E4458C"/>
    <w:rsid w:val="32E77BD8"/>
    <w:rsid w:val="332D26D2"/>
    <w:rsid w:val="33443C83"/>
    <w:rsid w:val="3378107E"/>
    <w:rsid w:val="337F6063"/>
    <w:rsid w:val="338F44F8"/>
    <w:rsid w:val="33997124"/>
    <w:rsid w:val="339C2C4F"/>
    <w:rsid w:val="33A0753A"/>
    <w:rsid w:val="33BC1065"/>
    <w:rsid w:val="33D95773"/>
    <w:rsid w:val="34256C0A"/>
    <w:rsid w:val="34326E31"/>
    <w:rsid w:val="344D7F0F"/>
    <w:rsid w:val="34621C0C"/>
    <w:rsid w:val="34FA3BF3"/>
    <w:rsid w:val="35213875"/>
    <w:rsid w:val="353B5F42"/>
    <w:rsid w:val="3566572C"/>
    <w:rsid w:val="356E1305"/>
    <w:rsid w:val="3571636E"/>
    <w:rsid w:val="358362DE"/>
    <w:rsid w:val="358F4AB7"/>
    <w:rsid w:val="35990AF0"/>
    <w:rsid w:val="35A63D7A"/>
    <w:rsid w:val="35C506A4"/>
    <w:rsid w:val="35C8047F"/>
    <w:rsid w:val="35D208A2"/>
    <w:rsid w:val="35FB2318"/>
    <w:rsid w:val="36021D61"/>
    <w:rsid w:val="360F7B72"/>
    <w:rsid w:val="36213401"/>
    <w:rsid w:val="36237179"/>
    <w:rsid w:val="36392E40"/>
    <w:rsid w:val="365F72F7"/>
    <w:rsid w:val="36794FEB"/>
    <w:rsid w:val="3687595A"/>
    <w:rsid w:val="368816D2"/>
    <w:rsid w:val="36A857D4"/>
    <w:rsid w:val="36AC716F"/>
    <w:rsid w:val="36B424C7"/>
    <w:rsid w:val="36D87F64"/>
    <w:rsid w:val="36F32FEF"/>
    <w:rsid w:val="371A057C"/>
    <w:rsid w:val="371B42F4"/>
    <w:rsid w:val="373A720A"/>
    <w:rsid w:val="373B6744"/>
    <w:rsid w:val="37490E61"/>
    <w:rsid w:val="3767086F"/>
    <w:rsid w:val="376822C7"/>
    <w:rsid w:val="37695060"/>
    <w:rsid w:val="376D0FF4"/>
    <w:rsid w:val="377D0B0B"/>
    <w:rsid w:val="37A662B4"/>
    <w:rsid w:val="37A97B52"/>
    <w:rsid w:val="37B207B5"/>
    <w:rsid w:val="37BE35FD"/>
    <w:rsid w:val="37C33F60"/>
    <w:rsid w:val="37D72911"/>
    <w:rsid w:val="37DF17C6"/>
    <w:rsid w:val="37EE25DC"/>
    <w:rsid w:val="3801173C"/>
    <w:rsid w:val="381E22EE"/>
    <w:rsid w:val="387E0FDF"/>
    <w:rsid w:val="388760E5"/>
    <w:rsid w:val="38C5276A"/>
    <w:rsid w:val="38DE382B"/>
    <w:rsid w:val="38F35529"/>
    <w:rsid w:val="392C27E9"/>
    <w:rsid w:val="392C2F5A"/>
    <w:rsid w:val="393B79AD"/>
    <w:rsid w:val="393D2C48"/>
    <w:rsid w:val="39D37108"/>
    <w:rsid w:val="3A15327D"/>
    <w:rsid w:val="3A1C0AAF"/>
    <w:rsid w:val="3A1D02E4"/>
    <w:rsid w:val="3A35391F"/>
    <w:rsid w:val="3A64183E"/>
    <w:rsid w:val="3A661D2A"/>
    <w:rsid w:val="3AA36ADA"/>
    <w:rsid w:val="3AAC0EF8"/>
    <w:rsid w:val="3AAE3D38"/>
    <w:rsid w:val="3AB17449"/>
    <w:rsid w:val="3AC64CBD"/>
    <w:rsid w:val="3AD76784"/>
    <w:rsid w:val="3B08242C"/>
    <w:rsid w:val="3B0F23C2"/>
    <w:rsid w:val="3B246A26"/>
    <w:rsid w:val="3B471B5C"/>
    <w:rsid w:val="3B60677A"/>
    <w:rsid w:val="3B732951"/>
    <w:rsid w:val="3B862684"/>
    <w:rsid w:val="3B8A37F6"/>
    <w:rsid w:val="3B9A1C8B"/>
    <w:rsid w:val="3BD11425"/>
    <w:rsid w:val="3BD72191"/>
    <w:rsid w:val="3BDD7DCA"/>
    <w:rsid w:val="3BE92C13"/>
    <w:rsid w:val="3BEB698B"/>
    <w:rsid w:val="3BFF33E6"/>
    <w:rsid w:val="3C005B13"/>
    <w:rsid w:val="3C033CD5"/>
    <w:rsid w:val="3C17152E"/>
    <w:rsid w:val="3C5A58BF"/>
    <w:rsid w:val="3C5E715D"/>
    <w:rsid w:val="3CA8662A"/>
    <w:rsid w:val="3CAA23A2"/>
    <w:rsid w:val="3CB72D11"/>
    <w:rsid w:val="3CBA010B"/>
    <w:rsid w:val="3CEF6007"/>
    <w:rsid w:val="3D0870C9"/>
    <w:rsid w:val="3D1141CF"/>
    <w:rsid w:val="3D2959BD"/>
    <w:rsid w:val="3D4A5E08"/>
    <w:rsid w:val="3D5B019B"/>
    <w:rsid w:val="3D69400B"/>
    <w:rsid w:val="3D7724B9"/>
    <w:rsid w:val="3D8C7CFA"/>
    <w:rsid w:val="3DAA0180"/>
    <w:rsid w:val="3DC56D68"/>
    <w:rsid w:val="3E10092B"/>
    <w:rsid w:val="3E18333B"/>
    <w:rsid w:val="3E3E7246"/>
    <w:rsid w:val="3E4B1963"/>
    <w:rsid w:val="3E6F29AC"/>
    <w:rsid w:val="3E75253C"/>
    <w:rsid w:val="3E774506"/>
    <w:rsid w:val="3E7C7D6E"/>
    <w:rsid w:val="3E8135D7"/>
    <w:rsid w:val="3E8978EB"/>
    <w:rsid w:val="3EA73776"/>
    <w:rsid w:val="3EB94B1E"/>
    <w:rsid w:val="3EC84D62"/>
    <w:rsid w:val="3EED2A1A"/>
    <w:rsid w:val="3F2D3727"/>
    <w:rsid w:val="3F9133A5"/>
    <w:rsid w:val="3F9D61EE"/>
    <w:rsid w:val="3FA806EF"/>
    <w:rsid w:val="3FB11C9A"/>
    <w:rsid w:val="3FCE0156"/>
    <w:rsid w:val="401B1A9A"/>
    <w:rsid w:val="40580367"/>
    <w:rsid w:val="406B009A"/>
    <w:rsid w:val="40833636"/>
    <w:rsid w:val="408D0011"/>
    <w:rsid w:val="40D43E92"/>
    <w:rsid w:val="412820C7"/>
    <w:rsid w:val="41286D07"/>
    <w:rsid w:val="412A5860"/>
    <w:rsid w:val="41456B3D"/>
    <w:rsid w:val="41766CF7"/>
    <w:rsid w:val="417B6906"/>
    <w:rsid w:val="41837E56"/>
    <w:rsid w:val="41886A2A"/>
    <w:rsid w:val="418F600A"/>
    <w:rsid w:val="41911D83"/>
    <w:rsid w:val="41AA4BF2"/>
    <w:rsid w:val="41C21F3C"/>
    <w:rsid w:val="41CA2B9F"/>
    <w:rsid w:val="41D60B78"/>
    <w:rsid w:val="41E00614"/>
    <w:rsid w:val="41EA1493"/>
    <w:rsid w:val="41FF6CEC"/>
    <w:rsid w:val="421018B7"/>
    <w:rsid w:val="421D7172"/>
    <w:rsid w:val="422B7AE1"/>
    <w:rsid w:val="42786A9F"/>
    <w:rsid w:val="427C033D"/>
    <w:rsid w:val="4286740D"/>
    <w:rsid w:val="428B4A24"/>
    <w:rsid w:val="42A87384"/>
    <w:rsid w:val="42C121F4"/>
    <w:rsid w:val="42C35F6C"/>
    <w:rsid w:val="42C66C58"/>
    <w:rsid w:val="42CF2B62"/>
    <w:rsid w:val="42E06BC9"/>
    <w:rsid w:val="42E3216A"/>
    <w:rsid w:val="42E63A08"/>
    <w:rsid w:val="431762B8"/>
    <w:rsid w:val="431C38CE"/>
    <w:rsid w:val="432A5FEB"/>
    <w:rsid w:val="43340C18"/>
    <w:rsid w:val="43544E16"/>
    <w:rsid w:val="43654948"/>
    <w:rsid w:val="43866F99"/>
    <w:rsid w:val="43B27D8E"/>
    <w:rsid w:val="43DD4E0B"/>
    <w:rsid w:val="43EA577A"/>
    <w:rsid w:val="43EC32A0"/>
    <w:rsid w:val="43FF1225"/>
    <w:rsid w:val="443133A9"/>
    <w:rsid w:val="44427364"/>
    <w:rsid w:val="444C01E3"/>
    <w:rsid w:val="447137A5"/>
    <w:rsid w:val="448C6831"/>
    <w:rsid w:val="449000D0"/>
    <w:rsid w:val="449D27EC"/>
    <w:rsid w:val="44C24001"/>
    <w:rsid w:val="44CC6C2E"/>
    <w:rsid w:val="44CD26BA"/>
    <w:rsid w:val="44CD5C33"/>
    <w:rsid w:val="44DA57EF"/>
    <w:rsid w:val="44DC50C3"/>
    <w:rsid w:val="4508235C"/>
    <w:rsid w:val="450D7972"/>
    <w:rsid w:val="45126D36"/>
    <w:rsid w:val="45140D01"/>
    <w:rsid w:val="452623BD"/>
    <w:rsid w:val="452B4BB5"/>
    <w:rsid w:val="452B604A"/>
    <w:rsid w:val="456926CF"/>
    <w:rsid w:val="457B0D80"/>
    <w:rsid w:val="45C2075D"/>
    <w:rsid w:val="45C5024D"/>
    <w:rsid w:val="46144D30"/>
    <w:rsid w:val="46477F15"/>
    <w:rsid w:val="464A2BEB"/>
    <w:rsid w:val="46511AE0"/>
    <w:rsid w:val="46752AE1"/>
    <w:rsid w:val="46DB0610"/>
    <w:rsid w:val="46E91D19"/>
    <w:rsid w:val="47164C30"/>
    <w:rsid w:val="47280A93"/>
    <w:rsid w:val="47460F19"/>
    <w:rsid w:val="474D04FA"/>
    <w:rsid w:val="47632D59"/>
    <w:rsid w:val="47637D1D"/>
    <w:rsid w:val="47854AC2"/>
    <w:rsid w:val="47857C94"/>
    <w:rsid w:val="478B4B7E"/>
    <w:rsid w:val="47A45121"/>
    <w:rsid w:val="47B73BC5"/>
    <w:rsid w:val="47B752C9"/>
    <w:rsid w:val="47BA2EFA"/>
    <w:rsid w:val="47C97977"/>
    <w:rsid w:val="47FE35A2"/>
    <w:rsid w:val="480C5CBF"/>
    <w:rsid w:val="48396CD0"/>
    <w:rsid w:val="483E7E42"/>
    <w:rsid w:val="4840005F"/>
    <w:rsid w:val="48537D92"/>
    <w:rsid w:val="48660E58"/>
    <w:rsid w:val="488241D3"/>
    <w:rsid w:val="48961A2D"/>
    <w:rsid w:val="489839F7"/>
    <w:rsid w:val="48AE321A"/>
    <w:rsid w:val="48B51737"/>
    <w:rsid w:val="48B85E47"/>
    <w:rsid w:val="48C540C0"/>
    <w:rsid w:val="48CC18F2"/>
    <w:rsid w:val="48D6451F"/>
    <w:rsid w:val="48DC4552"/>
    <w:rsid w:val="48E50503"/>
    <w:rsid w:val="48EE2BC9"/>
    <w:rsid w:val="49115557"/>
    <w:rsid w:val="4913307D"/>
    <w:rsid w:val="49325BF9"/>
    <w:rsid w:val="4933371F"/>
    <w:rsid w:val="49B06B1E"/>
    <w:rsid w:val="49B72A97"/>
    <w:rsid w:val="49C1138B"/>
    <w:rsid w:val="49C16F7D"/>
    <w:rsid w:val="49D04350"/>
    <w:rsid w:val="49E54A1A"/>
    <w:rsid w:val="49E8275C"/>
    <w:rsid w:val="4A001853"/>
    <w:rsid w:val="4A05330E"/>
    <w:rsid w:val="4A0B36CD"/>
    <w:rsid w:val="4A1E1CDA"/>
    <w:rsid w:val="4A265380"/>
    <w:rsid w:val="4A2A68D0"/>
    <w:rsid w:val="4A331C29"/>
    <w:rsid w:val="4A45195C"/>
    <w:rsid w:val="4A510301"/>
    <w:rsid w:val="4A630034"/>
    <w:rsid w:val="4A69564B"/>
    <w:rsid w:val="4A7638C4"/>
    <w:rsid w:val="4A897A9B"/>
    <w:rsid w:val="4A902707"/>
    <w:rsid w:val="4AA05F21"/>
    <w:rsid w:val="4AA30431"/>
    <w:rsid w:val="4AAA5C63"/>
    <w:rsid w:val="4ABB39CC"/>
    <w:rsid w:val="4ADD7DE7"/>
    <w:rsid w:val="4B3A7B4E"/>
    <w:rsid w:val="4B4614E8"/>
    <w:rsid w:val="4B490FD8"/>
    <w:rsid w:val="4B52185E"/>
    <w:rsid w:val="4B555BCF"/>
    <w:rsid w:val="4B614574"/>
    <w:rsid w:val="4B62129D"/>
    <w:rsid w:val="4B771FE9"/>
    <w:rsid w:val="4B840262"/>
    <w:rsid w:val="4BCE772F"/>
    <w:rsid w:val="4C2832E3"/>
    <w:rsid w:val="4C8A5D4C"/>
    <w:rsid w:val="4C8F3363"/>
    <w:rsid w:val="4C9170DB"/>
    <w:rsid w:val="4C9A3AC9"/>
    <w:rsid w:val="4CA54934"/>
    <w:rsid w:val="4CB44B77"/>
    <w:rsid w:val="4CD6689C"/>
    <w:rsid w:val="4CFB4554"/>
    <w:rsid w:val="4D343C52"/>
    <w:rsid w:val="4D3A5B11"/>
    <w:rsid w:val="4D3C7046"/>
    <w:rsid w:val="4D3D691B"/>
    <w:rsid w:val="4D5C1497"/>
    <w:rsid w:val="4D6D5452"/>
    <w:rsid w:val="4DB165AE"/>
    <w:rsid w:val="4DB56DF9"/>
    <w:rsid w:val="4DB90697"/>
    <w:rsid w:val="4DD74FC1"/>
    <w:rsid w:val="4DDA685F"/>
    <w:rsid w:val="4DF72F08"/>
    <w:rsid w:val="4DFC0584"/>
    <w:rsid w:val="4E0631B0"/>
    <w:rsid w:val="4E0B07C7"/>
    <w:rsid w:val="4E2A50F1"/>
    <w:rsid w:val="4E342F84"/>
    <w:rsid w:val="4E4461D7"/>
    <w:rsid w:val="4E451263"/>
    <w:rsid w:val="4E4F7A0A"/>
    <w:rsid w:val="4E5B1854"/>
    <w:rsid w:val="4E656129"/>
    <w:rsid w:val="4E8A5B90"/>
    <w:rsid w:val="4EA76741"/>
    <w:rsid w:val="4ECB3430"/>
    <w:rsid w:val="4ED92673"/>
    <w:rsid w:val="4F391364"/>
    <w:rsid w:val="4F7F321A"/>
    <w:rsid w:val="4F895E47"/>
    <w:rsid w:val="4F90367A"/>
    <w:rsid w:val="4F9D5D96"/>
    <w:rsid w:val="4FC24FED"/>
    <w:rsid w:val="4FF9121F"/>
    <w:rsid w:val="50033E4B"/>
    <w:rsid w:val="50062B38"/>
    <w:rsid w:val="501222E0"/>
    <w:rsid w:val="502F2E92"/>
    <w:rsid w:val="503415A0"/>
    <w:rsid w:val="5060304C"/>
    <w:rsid w:val="50621774"/>
    <w:rsid w:val="506568B4"/>
    <w:rsid w:val="507C775A"/>
    <w:rsid w:val="50A53155"/>
    <w:rsid w:val="50B52C6C"/>
    <w:rsid w:val="50BB64D4"/>
    <w:rsid w:val="50BD049E"/>
    <w:rsid w:val="50DE6667"/>
    <w:rsid w:val="50EE68AA"/>
    <w:rsid w:val="511C43E3"/>
    <w:rsid w:val="512322CB"/>
    <w:rsid w:val="5139564B"/>
    <w:rsid w:val="515F1555"/>
    <w:rsid w:val="51894824"/>
    <w:rsid w:val="51A54A35"/>
    <w:rsid w:val="51E657D3"/>
    <w:rsid w:val="51EB4B97"/>
    <w:rsid w:val="5248023B"/>
    <w:rsid w:val="524F5CF2"/>
    <w:rsid w:val="52775DEE"/>
    <w:rsid w:val="528327E1"/>
    <w:rsid w:val="5290573F"/>
    <w:rsid w:val="52D65847"/>
    <w:rsid w:val="52D95337"/>
    <w:rsid w:val="52DD4E28"/>
    <w:rsid w:val="52E166C3"/>
    <w:rsid w:val="531620E8"/>
    <w:rsid w:val="53226CDE"/>
    <w:rsid w:val="53285977"/>
    <w:rsid w:val="532E5683"/>
    <w:rsid w:val="538C23AA"/>
    <w:rsid w:val="5396550D"/>
    <w:rsid w:val="53A304DF"/>
    <w:rsid w:val="53AB6CD4"/>
    <w:rsid w:val="53B17155"/>
    <w:rsid w:val="53B61F77"/>
    <w:rsid w:val="53E46B80"/>
    <w:rsid w:val="53E775E0"/>
    <w:rsid w:val="53EE2FD4"/>
    <w:rsid w:val="54422A68"/>
    <w:rsid w:val="544D38E7"/>
    <w:rsid w:val="544E11C2"/>
    <w:rsid w:val="5463310B"/>
    <w:rsid w:val="5472334E"/>
    <w:rsid w:val="547C241E"/>
    <w:rsid w:val="548A2B09"/>
    <w:rsid w:val="54977CE1"/>
    <w:rsid w:val="54A51975"/>
    <w:rsid w:val="54B75204"/>
    <w:rsid w:val="54F71AA5"/>
    <w:rsid w:val="55051A8B"/>
    <w:rsid w:val="55091EC3"/>
    <w:rsid w:val="551E7032"/>
    <w:rsid w:val="552C5BF2"/>
    <w:rsid w:val="5536081F"/>
    <w:rsid w:val="555E38D2"/>
    <w:rsid w:val="55603AEE"/>
    <w:rsid w:val="55613AAD"/>
    <w:rsid w:val="55AE2AAB"/>
    <w:rsid w:val="55CA0F67"/>
    <w:rsid w:val="55EB160A"/>
    <w:rsid w:val="55F935FB"/>
    <w:rsid w:val="563805C7"/>
    <w:rsid w:val="563E0439"/>
    <w:rsid w:val="56717635"/>
    <w:rsid w:val="56BD287A"/>
    <w:rsid w:val="56D57BC4"/>
    <w:rsid w:val="56DB78D0"/>
    <w:rsid w:val="56E47D90"/>
    <w:rsid w:val="56ED7603"/>
    <w:rsid w:val="56EF512A"/>
    <w:rsid w:val="56F3629C"/>
    <w:rsid w:val="56F72230"/>
    <w:rsid w:val="56F97D56"/>
    <w:rsid w:val="56FC7846"/>
    <w:rsid w:val="575E6AC3"/>
    <w:rsid w:val="57776ECD"/>
    <w:rsid w:val="57790E97"/>
    <w:rsid w:val="577C2024"/>
    <w:rsid w:val="5794182D"/>
    <w:rsid w:val="57B343A9"/>
    <w:rsid w:val="57C57C38"/>
    <w:rsid w:val="57CC7219"/>
    <w:rsid w:val="57D1482F"/>
    <w:rsid w:val="57D53A6E"/>
    <w:rsid w:val="57D63BF4"/>
    <w:rsid w:val="582B2191"/>
    <w:rsid w:val="583C7C96"/>
    <w:rsid w:val="585A65D3"/>
    <w:rsid w:val="5875340D"/>
    <w:rsid w:val="587A0A23"/>
    <w:rsid w:val="588C69A8"/>
    <w:rsid w:val="58A27B6E"/>
    <w:rsid w:val="58A77FDA"/>
    <w:rsid w:val="58B57CAD"/>
    <w:rsid w:val="58BA19B2"/>
    <w:rsid w:val="58CD149A"/>
    <w:rsid w:val="58CD4FF7"/>
    <w:rsid w:val="58F00CE5"/>
    <w:rsid w:val="58F72073"/>
    <w:rsid w:val="58FC3B2E"/>
    <w:rsid w:val="590D1897"/>
    <w:rsid w:val="593432C8"/>
    <w:rsid w:val="593B28A8"/>
    <w:rsid w:val="593E7CA2"/>
    <w:rsid w:val="5943175D"/>
    <w:rsid w:val="594D25DB"/>
    <w:rsid w:val="594E4DC3"/>
    <w:rsid w:val="59561490"/>
    <w:rsid w:val="59641C04"/>
    <w:rsid w:val="59667728"/>
    <w:rsid w:val="59705BA9"/>
    <w:rsid w:val="598B6C60"/>
    <w:rsid w:val="598F04FE"/>
    <w:rsid w:val="599B50C6"/>
    <w:rsid w:val="59B91A1F"/>
    <w:rsid w:val="59D16D68"/>
    <w:rsid w:val="5A105AE3"/>
    <w:rsid w:val="5A2A0227"/>
    <w:rsid w:val="5A382944"/>
    <w:rsid w:val="5A3B4BCC"/>
    <w:rsid w:val="5A53777D"/>
    <w:rsid w:val="5A584D94"/>
    <w:rsid w:val="5A7659B1"/>
    <w:rsid w:val="5A985916"/>
    <w:rsid w:val="5AB3021C"/>
    <w:rsid w:val="5AB9459A"/>
    <w:rsid w:val="5ABA3CA0"/>
    <w:rsid w:val="5ABC17C7"/>
    <w:rsid w:val="5AC16DDD"/>
    <w:rsid w:val="5AD36B10"/>
    <w:rsid w:val="5AEB20AC"/>
    <w:rsid w:val="5B2353A2"/>
    <w:rsid w:val="5B263672"/>
    <w:rsid w:val="5B2829B8"/>
    <w:rsid w:val="5B500161"/>
    <w:rsid w:val="5B9242D5"/>
    <w:rsid w:val="5B9938B6"/>
    <w:rsid w:val="5B9B5880"/>
    <w:rsid w:val="5BA248BB"/>
    <w:rsid w:val="5BA67D81"/>
    <w:rsid w:val="5BC32A68"/>
    <w:rsid w:val="5BED775E"/>
    <w:rsid w:val="5BF907F8"/>
    <w:rsid w:val="5BFE4D83"/>
    <w:rsid w:val="5C3F26AF"/>
    <w:rsid w:val="5C464A56"/>
    <w:rsid w:val="5C563555"/>
    <w:rsid w:val="5C6A7000"/>
    <w:rsid w:val="5C920267"/>
    <w:rsid w:val="5C9E7928"/>
    <w:rsid w:val="5CB85FBE"/>
    <w:rsid w:val="5CBA3AE4"/>
    <w:rsid w:val="5CCC1A69"/>
    <w:rsid w:val="5CF74D38"/>
    <w:rsid w:val="5D5201C0"/>
    <w:rsid w:val="5D975E94"/>
    <w:rsid w:val="5DD10903"/>
    <w:rsid w:val="5DF254FF"/>
    <w:rsid w:val="5E0E058B"/>
    <w:rsid w:val="5E135D11"/>
    <w:rsid w:val="5E4C2B6B"/>
    <w:rsid w:val="5E5107C2"/>
    <w:rsid w:val="5E8A398A"/>
    <w:rsid w:val="5E954808"/>
    <w:rsid w:val="5E9B59CB"/>
    <w:rsid w:val="5EB10F16"/>
    <w:rsid w:val="5EEE3F19"/>
    <w:rsid w:val="5F0279C4"/>
    <w:rsid w:val="5F0C439F"/>
    <w:rsid w:val="5F313E05"/>
    <w:rsid w:val="5F645F89"/>
    <w:rsid w:val="5F8D1984"/>
    <w:rsid w:val="5F961333"/>
    <w:rsid w:val="5FC058B5"/>
    <w:rsid w:val="5FC30F01"/>
    <w:rsid w:val="602B6AA7"/>
    <w:rsid w:val="60433DF0"/>
    <w:rsid w:val="604C539B"/>
    <w:rsid w:val="6065645C"/>
    <w:rsid w:val="60681AA9"/>
    <w:rsid w:val="609F196E"/>
    <w:rsid w:val="60A26D69"/>
    <w:rsid w:val="60AA3E6F"/>
    <w:rsid w:val="60B62814"/>
    <w:rsid w:val="60DD4245"/>
    <w:rsid w:val="610C4B2A"/>
    <w:rsid w:val="616E30EF"/>
    <w:rsid w:val="6171498D"/>
    <w:rsid w:val="61736957"/>
    <w:rsid w:val="61811074"/>
    <w:rsid w:val="619012B7"/>
    <w:rsid w:val="619A2136"/>
    <w:rsid w:val="61A75566"/>
    <w:rsid w:val="61B64F19"/>
    <w:rsid w:val="61CD7F83"/>
    <w:rsid w:val="61D7354F"/>
    <w:rsid w:val="61ED495B"/>
    <w:rsid w:val="61EE5FDE"/>
    <w:rsid w:val="61FA0313"/>
    <w:rsid w:val="62516C98"/>
    <w:rsid w:val="626F5370"/>
    <w:rsid w:val="627B5AC3"/>
    <w:rsid w:val="62A74B0A"/>
    <w:rsid w:val="62B249B4"/>
    <w:rsid w:val="62D2118D"/>
    <w:rsid w:val="62E53885"/>
    <w:rsid w:val="630A6E47"/>
    <w:rsid w:val="632A1297"/>
    <w:rsid w:val="633F11E7"/>
    <w:rsid w:val="634B514E"/>
    <w:rsid w:val="6356208C"/>
    <w:rsid w:val="635F7193"/>
    <w:rsid w:val="63732C3E"/>
    <w:rsid w:val="63A6062F"/>
    <w:rsid w:val="63C11BFC"/>
    <w:rsid w:val="63C17E4E"/>
    <w:rsid w:val="63C94F54"/>
    <w:rsid w:val="63DE27AE"/>
    <w:rsid w:val="63F41FD1"/>
    <w:rsid w:val="640D6BEF"/>
    <w:rsid w:val="640F3F59"/>
    <w:rsid w:val="64170648"/>
    <w:rsid w:val="64356146"/>
    <w:rsid w:val="646D1D84"/>
    <w:rsid w:val="647A41FA"/>
    <w:rsid w:val="64A01811"/>
    <w:rsid w:val="64A62BA0"/>
    <w:rsid w:val="64B41760"/>
    <w:rsid w:val="652341F0"/>
    <w:rsid w:val="654E5711"/>
    <w:rsid w:val="6554084E"/>
    <w:rsid w:val="65554CF2"/>
    <w:rsid w:val="65672E18"/>
    <w:rsid w:val="657333CA"/>
    <w:rsid w:val="65907AD8"/>
    <w:rsid w:val="65984BDE"/>
    <w:rsid w:val="65B23EF2"/>
    <w:rsid w:val="65B35574"/>
    <w:rsid w:val="65B676EF"/>
    <w:rsid w:val="65C77271"/>
    <w:rsid w:val="65C854C3"/>
    <w:rsid w:val="65F91B21"/>
    <w:rsid w:val="66012783"/>
    <w:rsid w:val="660E3AE9"/>
    <w:rsid w:val="6618187B"/>
    <w:rsid w:val="662A7F2C"/>
    <w:rsid w:val="662D17CA"/>
    <w:rsid w:val="664B39FF"/>
    <w:rsid w:val="6659611C"/>
    <w:rsid w:val="66686F1D"/>
    <w:rsid w:val="667E2026"/>
    <w:rsid w:val="66C37A39"/>
    <w:rsid w:val="66CF2882"/>
    <w:rsid w:val="671958AB"/>
    <w:rsid w:val="67332E10"/>
    <w:rsid w:val="67515045"/>
    <w:rsid w:val="6759039D"/>
    <w:rsid w:val="67742766"/>
    <w:rsid w:val="67BF46A4"/>
    <w:rsid w:val="67C56744"/>
    <w:rsid w:val="67EE0614"/>
    <w:rsid w:val="6804655B"/>
    <w:rsid w:val="683E2528"/>
    <w:rsid w:val="68525518"/>
    <w:rsid w:val="686D2352"/>
    <w:rsid w:val="688A2F04"/>
    <w:rsid w:val="68907DEF"/>
    <w:rsid w:val="68B8160D"/>
    <w:rsid w:val="68CA50AF"/>
    <w:rsid w:val="69004F74"/>
    <w:rsid w:val="69005532"/>
    <w:rsid w:val="69112CDD"/>
    <w:rsid w:val="69194288"/>
    <w:rsid w:val="691F185D"/>
    <w:rsid w:val="69354EFB"/>
    <w:rsid w:val="6937396B"/>
    <w:rsid w:val="697119CE"/>
    <w:rsid w:val="699A7177"/>
    <w:rsid w:val="69BD0841"/>
    <w:rsid w:val="69C75B99"/>
    <w:rsid w:val="69D16911"/>
    <w:rsid w:val="69DC0174"/>
    <w:rsid w:val="69F30635"/>
    <w:rsid w:val="6A211646"/>
    <w:rsid w:val="6A3550F2"/>
    <w:rsid w:val="6A570BC4"/>
    <w:rsid w:val="6A61050B"/>
    <w:rsid w:val="6A627569"/>
    <w:rsid w:val="6A77553B"/>
    <w:rsid w:val="6A841BD5"/>
    <w:rsid w:val="6A9516EC"/>
    <w:rsid w:val="6AB53B3C"/>
    <w:rsid w:val="6AD466B8"/>
    <w:rsid w:val="6AD548E7"/>
    <w:rsid w:val="6ADB7A47"/>
    <w:rsid w:val="6AEB3A02"/>
    <w:rsid w:val="6AF24D91"/>
    <w:rsid w:val="6AF373CF"/>
    <w:rsid w:val="6B036F9E"/>
    <w:rsid w:val="6B1B6095"/>
    <w:rsid w:val="6B301415"/>
    <w:rsid w:val="6B321631"/>
    <w:rsid w:val="6B562347"/>
    <w:rsid w:val="6B631AD5"/>
    <w:rsid w:val="6B824366"/>
    <w:rsid w:val="6B882FFF"/>
    <w:rsid w:val="6B897B45"/>
    <w:rsid w:val="6BA5135B"/>
    <w:rsid w:val="6BCA3618"/>
    <w:rsid w:val="6BD526E8"/>
    <w:rsid w:val="6BD6020E"/>
    <w:rsid w:val="6BD66460"/>
    <w:rsid w:val="6BEF307E"/>
    <w:rsid w:val="6BF15048"/>
    <w:rsid w:val="6C3F4006"/>
    <w:rsid w:val="6C4E4249"/>
    <w:rsid w:val="6C5E0930"/>
    <w:rsid w:val="6C756915"/>
    <w:rsid w:val="6C841DBF"/>
    <w:rsid w:val="6C8C6B1F"/>
    <w:rsid w:val="6CA83959"/>
    <w:rsid w:val="6CB00A5F"/>
    <w:rsid w:val="6D0668D1"/>
    <w:rsid w:val="6D1C52DE"/>
    <w:rsid w:val="6D21195D"/>
    <w:rsid w:val="6D2C27DC"/>
    <w:rsid w:val="6D2F7BD6"/>
    <w:rsid w:val="6D501E74"/>
    <w:rsid w:val="6D527D69"/>
    <w:rsid w:val="6D6C0E2A"/>
    <w:rsid w:val="6D785A21"/>
    <w:rsid w:val="6D8C327A"/>
    <w:rsid w:val="6DA93E2C"/>
    <w:rsid w:val="6DAF51BB"/>
    <w:rsid w:val="6DB85E1E"/>
    <w:rsid w:val="6DCC7B1B"/>
    <w:rsid w:val="6DD8026E"/>
    <w:rsid w:val="6DDB7D5E"/>
    <w:rsid w:val="6DDD7632"/>
    <w:rsid w:val="6DFC6CEF"/>
    <w:rsid w:val="6E1F649C"/>
    <w:rsid w:val="6E245261"/>
    <w:rsid w:val="6E313E22"/>
    <w:rsid w:val="6E4C47B8"/>
    <w:rsid w:val="6E71421E"/>
    <w:rsid w:val="6E9668CB"/>
    <w:rsid w:val="6E9E6EEB"/>
    <w:rsid w:val="6EA6036C"/>
    <w:rsid w:val="6EA939B8"/>
    <w:rsid w:val="6EAC12BE"/>
    <w:rsid w:val="6EBF2F12"/>
    <w:rsid w:val="6EC30F1E"/>
    <w:rsid w:val="6EF015E7"/>
    <w:rsid w:val="6F0F4163"/>
    <w:rsid w:val="6F2A4AF9"/>
    <w:rsid w:val="6F4162E7"/>
    <w:rsid w:val="6F58426D"/>
    <w:rsid w:val="6F795A80"/>
    <w:rsid w:val="6F863CF9"/>
    <w:rsid w:val="6F9208F0"/>
    <w:rsid w:val="6F944668"/>
    <w:rsid w:val="6FB940CF"/>
    <w:rsid w:val="6FC52A74"/>
    <w:rsid w:val="6FE54EC4"/>
    <w:rsid w:val="6FE70FA6"/>
    <w:rsid w:val="6FE729EA"/>
    <w:rsid w:val="700A349F"/>
    <w:rsid w:val="7012394F"/>
    <w:rsid w:val="7020414E"/>
    <w:rsid w:val="70457711"/>
    <w:rsid w:val="70785D38"/>
    <w:rsid w:val="70A73F27"/>
    <w:rsid w:val="70BA245B"/>
    <w:rsid w:val="70BB28C7"/>
    <w:rsid w:val="70BD374B"/>
    <w:rsid w:val="70CB230C"/>
    <w:rsid w:val="711D41EA"/>
    <w:rsid w:val="71306613"/>
    <w:rsid w:val="713559D7"/>
    <w:rsid w:val="713C14E7"/>
    <w:rsid w:val="714F4CEB"/>
    <w:rsid w:val="71526589"/>
    <w:rsid w:val="715B3690"/>
    <w:rsid w:val="715E4F2E"/>
    <w:rsid w:val="71630796"/>
    <w:rsid w:val="716D6F1F"/>
    <w:rsid w:val="71B44B4E"/>
    <w:rsid w:val="71B763EC"/>
    <w:rsid w:val="71C254BD"/>
    <w:rsid w:val="71C50B09"/>
    <w:rsid w:val="71D13952"/>
    <w:rsid w:val="71D90A58"/>
    <w:rsid w:val="72087019"/>
    <w:rsid w:val="723E2669"/>
    <w:rsid w:val="72404633"/>
    <w:rsid w:val="72424C43"/>
    <w:rsid w:val="727367B7"/>
    <w:rsid w:val="727918F3"/>
    <w:rsid w:val="72C11AE7"/>
    <w:rsid w:val="72C9533D"/>
    <w:rsid w:val="72D54D7C"/>
    <w:rsid w:val="72D57472"/>
    <w:rsid w:val="72FD42D3"/>
    <w:rsid w:val="72FF629D"/>
    <w:rsid w:val="73104006"/>
    <w:rsid w:val="73261A7B"/>
    <w:rsid w:val="733107D8"/>
    <w:rsid w:val="73586098"/>
    <w:rsid w:val="735C724B"/>
    <w:rsid w:val="737C169B"/>
    <w:rsid w:val="739F7299"/>
    <w:rsid w:val="73FE47A6"/>
    <w:rsid w:val="740F4638"/>
    <w:rsid w:val="742B698B"/>
    <w:rsid w:val="74367A9C"/>
    <w:rsid w:val="74450227"/>
    <w:rsid w:val="745C084D"/>
    <w:rsid w:val="745D6531"/>
    <w:rsid w:val="74600FBD"/>
    <w:rsid w:val="74744A68"/>
    <w:rsid w:val="749426E4"/>
    <w:rsid w:val="749A44CF"/>
    <w:rsid w:val="74AE3AD6"/>
    <w:rsid w:val="74CC6652"/>
    <w:rsid w:val="74DA2B1D"/>
    <w:rsid w:val="74DD362F"/>
    <w:rsid w:val="750E6C6B"/>
    <w:rsid w:val="7516167C"/>
    <w:rsid w:val="75287D2D"/>
    <w:rsid w:val="755A7479"/>
    <w:rsid w:val="75787E04"/>
    <w:rsid w:val="757A4300"/>
    <w:rsid w:val="75C30533"/>
    <w:rsid w:val="75D91027"/>
    <w:rsid w:val="760342F6"/>
    <w:rsid w:val="760D2A7F"/>
    <w:rsid w:val="761E2EDE"/>
    <w:rsid w:val="762A7AD4"/>
    <w:rsid w:val="763A4BFC"/>
    <w:rsid w:val="76437692"/>
    <w:rsid w:val="76AC673B"/>
    <w:rsid w:val="76B13B28"/>
    <w:rsid w:val="76CC0B8C"/>
    <w:rsid w:val="76FA1255"/>
    <w:rsid w:val="76FB321F"/>
    <w:rsid w:val="772067E2"/>
    <w:rsid w:val="77342D4E"/>
    <w:rsid w:val="775A6197"/>
    <w:rsid w:val="776112D4"/>
    <w:rsid w:val="77664B3C"/>
    <w:rsid w:val="77764653"/>
    <w:rsid w:val="777C4360"/>
    <w:rsid w:val="77882D05"/>
    <w:rsid w:val="77C22BE0"/>
    <w:rsid w:val="77D45F4A"/>
    <w:rsid w:val="77D8642D"/>
    <w:rsid w:val="77E37F3B"/>
    <w:rsid w:val="77EF4B32"/>
    <w:rsid w:val="77F06F99"/>
    <w:rsid w:val="77FA7033"/>
    <w:rsid w:val="77FC06C8"/>
    <w:rsid w:val="7819395D"/>
    <w:rsid w:val="78250553"/>
    <w:rsid w:val="785C1A9B"/>
    <w:rsid w:val="78746DE5"/>
    <w:rsid w:val="787853A5"/>
    <w:rsid w:val="78A21BA4"/>
    <w:rsid w:val="78A376CA"/>
    <w:rsid w:val="78C556E9"/>
    <w:rsid w:val="78C7160B"/>
    <w:rsid w:val="78D930EC"/>
    <w:rsid w:val="78EA5EF2"/>
    <w:rsid w:val="790E3573"/>
    <w:rsid w:val="791A5BDE"/>
    <w:rsid w:val="791B3704"/>
    <w:rsid w:val="7924080B"/>
    <w:rsid w:val="792F71B0"/>
    <w:rsid w:val="794A172E"/>
    <w:rsid w:val="795A422D"/>
    <w:rsid w:val="795F5CE7"/>
    <w:rsid w:val="79823784"/>
    <w:rsid w:val="799314ED"/>
    <w:rsid w:val="79BA191D"/>
    <w:rsid w:val="79C1605A"/>
    <w:rsid w:val="79C77685"/>
    <w:rsid w:val="79D12015"/>
    <w:rsid w:val="79E306C6"/>
    <w:rsid w:val="79F3642F"/>
    <w:rsid w:val="79F857F4"/>
    <w:rsid w:val="7A1C14E2"/>
    <w:rsid w:val="7A270B71"/>
    <w:rsid w:val="7A275176"/>
    <w:rsid w:val="7A320D06"/>
    <w:rsid w:val="7A61783D"/>
    <w:rsid w:val="7A6548DF"/>
    <w:rsid w:val="7A772BBC"/>
    <w:rsid w:val="7A805F15"/>
    <w:rsid w:val="7AA64929"/>
    <w:rsid w:val="7AAA4D40"/>
    <w:rsid w:val="7AAF7244"/>
    <w:rsid w:val="7ABC197E"/>
    <w:rsid w:val="7ACF29F8"/>
    <w:rsid w:val="7AD149C3"/>
    <w:rsid w:val="7B0459CB"/>
    <w:rsid w:val="7B0A68E9"/>
    <w:rsid w:val="7B0B7991"/>
    <w:rsid w:val="7B227779"/>
    <w:rsid w:val="7B3B1E3C"/>
    <w:rsid w:val="7B5771E6"/>
    <w:rsid w:val="7B727E9F"/>
    <w:rsid w:val="7B89704B"/>
    <w:rsid w:val="7BAF7740"/>
    <w:rsid w:val="7C0C5586"/>
    <w:rsid w:val="7C240B22"/>
    <w:rsid w:val="7C286864"/>
    <w:rsid w:val="7C4E50B3"/>
    <w:rsid w:val="7C605FFE"/>
    <w:rsid w:val="7C694787"/>
    <w:rsid w:val="7C8415C1"/>
    <w:rsid w:val="7CAB4D9F"/>
    <w:rsid w:val="7CBE4AD3"/>
    <w:rsid w:val="7CC55E61"/>
    <w:rsid w:val="7CD460A4"/>
    <w:rsid w:val="7D0E5A5A"/>
    <w:rsid w:val="7D2B02D8"/>
    <w:rsid w:val="7D366D5F"/>
    <w:rsid w:val="7D393486"/>
    <w:rsid w:val="7D397EFB"/>
    <w:rsid w:val="7D586CD5"/>
    <w:rsid w:val="7D6722A4"/>
    <w:rsid w:val="7D735482"/>
    <w:rsid w:val="7D8555F0"/>
    <w:rsid w:val="7DA4016C"/>
    <w:rsid w:val="7DB61C4E"/>
    <w:rsid w:val="7DB879A9"/>
    <w:rsid w:val="7DE40569"/>
    <w:rsid w:val="7E114D79"/>
    <w:rsid w:val="7E1F3C97"/>
    <w:rsid w:val="7E2B6198"/>
    <w:rsid w:val="7E350DC4"/>
    <w:rsid w:val="7E590F57"/>
    <w:rsid w:val="7E65740D"/>
    <w:rsid w:val="7E7A2C7B"/>
    <w:rsid w:val="7E90249F"/>
    <w:rsid w:val="7E92445B"/>
    <w:rsid w:val="7EBC14E6"/>
    <w:rsid w:val="7EED306E"/>
    <w:rsid w:val="7F032C71"/>
    <w:rsid w:val="7F0D7F93"/>
    <w:rsid w:val="7F1B445E"/>
    <w:rsid w:val="7F21759B"/>
    <w:rsid w:val="7F2B657D"/>
    <w:rsid w:val="7F511C2E"/>
    <w:rsid w:val="7F8567C3"/>
    <w:rsid w:val="7F86582B"/>
    <w:rsid w:val="7F8D4BB9"/>
    <w:rsid w:val="7F9B559F"/>
    <w:rsid w:val="7FA77AA0"/>
    <w:rsid w:val="7FDC1B3C"/>
    <w:rsid w:val="7FE72592"/>
    <w:rsid w:val="7FF25FE5"/>
    <w:rsid w:val="7FF645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iPriority="99"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qFormat="1"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qFormat="1" w:uiPriority="99" w:name="Body Text 3"/>
    <w:lsdException w:uiPriority="99" w:name="Body Text Indent 2"/>
    <w:lsdException w:qFormat="1" w:unhideWhenUsed="0" w:uiPriority="0" w:semiHidden="0"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pPr>
    <w:rPr>
      <w:rFonts w:ascii="宋体" w:hAnsi="宋体" w:eastAsia="宋体" w:cstheme="minorBidi"/>
      <w:kern w:val="2"/>
      <w:sz w:val="24"/>
      <w:szCs w:val="22"/>
      <w:lang w:val="en-US" w:eastAsia="zh-CN" w:bidi="ar-SA"/>
    </w:rPr>
  </w:style>
  <w:style w:type="paragraph" w:styleId="2">
    <w:name w:val="heading 1"/>
    <w:basedOn w:val="1"/>
    <w:next w:val="1"/>
    <w:link w:val="43"/>
    <w:qFormat/>
    <w:uiPriority w:val="9"/>
    <w:pPr>
      <w:keepNext/>
      <w:keepLines/>
      <w:spacing w:before="340" w:after="330" w:line="578" w:lineRule="auto"/>
      <w:jc w:val="center"/>
      <w:outlineLvl w:val="0"/>
    </w:pPr>
    <w:rPr>
      <w:rFonts w:eastAsia="黑体"/>
      <w:b/>
      <w:bCs/>
      <w:kern w:val="44"/>
      <w:sz w:val="44"/>
      <w:szCs w:val="44"/>
    </w:rPr>
  </w:style>
  <w:style w:type="paragraph" w:styleId="3">
    <w:name w:val="heading 2"/>
    <w:basedOn w:val="1"/>
    <w:next w:val="1"/>
    <w:link w:val="45"/>
    <w:unhideWhenUsed/>
    <w:qFormat/>
    <w:uiPriority w:val="9"/>
    <w:pPr>
      <w:keepNext/>
      <w:keepLines/>
      <w:spacing w:before="260" w:after="260" w:line="416" w:lineRule="auto"/>
      <w:outlineLvl w:val="1"/>
    </w:pPr>
    <w:rPr>
      <w:rFonts w:asciiTheme="majorHAnsi" w:hAnsiTheme="majorHAnsi" w:cstheme="majorBidi"/>
      <w:b/>
      <w:bCs/>
      <w:sz w:val="32"/>
      <w:szCs w:val="32"/>
    </w:rPr>
  </w:style>
  <w:style w:type="paragraph" w:styleId="4">
    <w:name w:val="heading 3"/>
    <w:basedOn w:val="1"/>
    <w:next w:val="1"/>
    <w:link w:val="54"/>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55"/>
    <w:unhideWhenUsed/>
    <w:qFormat/>
    <w:uiPriority w:val="9"/>
    <w:pPr>
      <w:keepNext/>
      <w:keepLines/>
      <w:spacing w:before="280" w:after="290" w:line="376" w:lineRule="auto"/>
      <w:outlineLvl w:val="3"/>
    </w:pPr>
    <w:rPr>
      <w:rFonts w:asciiTheme="majorHAnsi" w:hAnsiTheme="majorHAnsi" w:cstheme="majorBidi"/>
      <w:b/>
      <w:bCs/>
      <w:sz w:val="28"/>
      <w:szCs w:val="28"/>
    </w:rPr>
  </w:style>
  <w:style w:type="character" w:default="1" w:styleId="34">
    <w:name w:val="Default Paragraph Font"/>
    <w:semiHidden/>
    <w:unhideWhenUsed/>
    <w:qFormat/>
    <w:uiPriority w:val="1"/>
  </w:style>
  <w:style w:type="table" w:default="1" w:styleId="32">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unhideWhenUsed/>
    <w:qFormat/>
    <w:uiPriority w:val="39"/>
    <w:pPr>
      <w:ind w:left="1440"/>
    </w:pPr>
    <w:rPr>
      <w:rFonts w:asciiTheme="minorHAnsi" w:eastAsiaTheme="minorHAnsi"/>
      <w:sz w:val="18"/>
      <w:szCs w:val="18"/>
    </w:rPr>
  </w:style>
  <w:style w:type="paragraph" w:styleId="7">
    <w:name w:val="Normal Indent"/>
    <w:basedOn w:val="1"/>
    <w:next w:val="1"/>
    <w:unhideWhenUsed/>
    <w:qFormat/>
    <w:uiPriority w:val="0"/>
    <w:pPr>
      <w:ind w:firstLine="420" w:firstLineChars="200"/>
    </w:pPr>
    <w:rPr>
      <w:rFonts w:ascii="Calibri" w:hAnsi="Calibri"/>
      <w:szCs w:val="22"/>
    </w:rPr>
  </w:style>
  <w:style w:type="paragraph" w:styleId="8">
    <w:name w:val="List Bullet"/>
    <w:basedOn w:val="1"/>
    <w:unhideWhenUsed/>
    <w:qFormat/>
    <w:uiPriority w:val="99"/>
    <w:pPr>
      <w:tabs>
        <w:tab w:val="left" w:pos="360"/>
        <w:tab w:val="left" w:pos="1134"/>
      </w:tabs>
      <w:spacing w:line="240" w:lineRule="auto"/>
      <w:ind w:left="1134" w:hanging="1134"/>
      <w:contextualSpacing/>
      <w:jc w:val="both"/>
    </w:pPr>
    <w:rPr>
      <w:rFonts w:ascii="Times New Roman" w:hAnsi="Times New Roman" w:cs="Times New Roman"/>
      <w:kern w:val="0"/>
      <w:sz w:val="20"/>
      <w:szCs w:val="20"/>
    </w:rPr>
  </w:style>
  <w:style w:type="paragraph" w:styleId="9">
    <w:name w:val="annotation text"/>
    <w:basedOn w:val="1"/>
    <w:link w:val="52"/>
    <w:qFormat/>
    <w:uiPriority w:val="0"/>
    <w:pPr>
      <w:spacing w:line="240" w:lineRule="auto"/>
    </w:pPr>
    <w:rPr>
      <w:rFonts w:asciiTheme="minorHAnsi" w:hAnsiTheme="minorHAnsi" w:eastAsiaTheme="minorEastAsia"/>
      <w:sz w:val="21"/>
      <w:szCs w:val="24"/>
    </w:rPr>
  </w:style>
  <w:style w:type="paragraph" w:styleId="10">
    <w:name w:val="Body Text 3"/>
    <w:basedOn w:val="1"/>
    <w:link w:val="48"/>
    <w:semiHidden/>
    <w:unhideWhenUsed/>
    <w:qFormat/>
    <w:uiPriority w:val="99"/>
    <w:pPr>
      <w:spacing w:after="120"/>
    </w:pPr>
    <w:rPr>
      <w:sz w:val="16"/>
      <w:szCs w:val="16"/>
    </w:rPr>
  </w:style>
  <w:style w:type="paragraph" w:styleId="11">
    <w:name w:val="Body Text"/>
    <w:basedOn w:val="1"/>
    <w:next w:val="12"/>
    <w:link w:val="47"/>
    <w:unhideWhenUsed/>
    <w:qFormat/>
    <w:uiPriority w:val="99"/>
    <w:pPr>
      <w:spacing w:after="120" w:line="240" w:lineRule="auto"/>
      <w:jc w:val="both"/>
    </w:pPr>
    <w:rPr>
      <w:rFonts w:ascii="Times New Roman" w:hAnsi="Times New Roman" w:cs="Times New Roman"/>
      <w:kern w:val="0"/>
      <w:sz w:val="20"/>
      <w:szCs w:val="20"/>
    </w:rPr>
  </w:style>
  <w:style w:type="paragraph" w:styleId="12">
    <w:name w:val="Date"/>
    <w:basedOn w:val="1"/>
    <w:next w:val="1"/>
    <w:qFormat/>
    <w:uiPriority w:val="0"/>
    <w:pPr>
      <w:ind w:left="100" w:leftChars="2500"/>
    </w:pPr>
  </w:style>
  <w:style w:type="paragraph" w:styleId="13">
    <w:name w:val="Body Text Indent"/>
    <w:basedOn w:val="1"/>
    <w:next w:val="1"/>
    <w:unhideWhenUsed/>
    <w:qFormat/>
    <w:uiPriority w:val="0"/>
    <w:pPr>
      <w:ind w:firstLine="630"/>
    </w:pPr>
    <w:rPr>
      <w:rFonts w:eastAsia="仿宋_GB2312"/>
      <w:kern w:val="0"/>
      <w:sz w:val="32"/>
      <w:szCs w:val="20"/>
    </w:rPr>
  </w:style>
  <w:style w:type="paragraph" w:styleId="14">
    <w:name w:val="toc 5"/>
    <w:basedOn w:val="1"/>
    <w:next w:val="1"/>
    <w:unhideWhenUsed/>
    <w:qFormat/>
    <w:uiPriority w:val="39"/>
    <w:pPr>
      <w:ind w:left="960"/>
    </w:pPr>
    <w:rPr>
      <w:rFonts w:asciiTheme="minorHAnsi" w:eastAsiaTheme="minorHAnsi"/>
      <w:sz w:val="18"/>
      <w:szCs w:val="18"/>
    </w:rPr>
  </w:style>
  <w:style w:type="paragraph" w:styleId="15">
    <w:name w:val="toc 3"/>
    <w:basedOn w:val="1"/>
    <w:next w:val="1"/>
    <w:unhideWhenUsed/>
    <w:qFormat/>
    <w:uiPriority w:val="39"/>
    <w:pPr>
      <w:ind w:left="480"/>
    </w:pPr>
    <w:rPr>
      <w:rFonts w:asciiTheme="minorHAnsi" w:eastAsiaTheme="minorHAnsi"/>
      <w:i/>
      <w:iCs/>
      <w:sz w:val="20"/>
      <w:szCs w:val="20"/>
    </w:rPr>
  </w:style>
  <w:style w:type="paragraph" w:styleId="16">
    <w:name w:val="Plain Text"/>
    <w:basedOn w:val="1"/>
    <w:unhideWhenUsed/>
    <w:qFormat/>
    <w:uiPriority w:val="0"/>
    <w:rPr>
      <w:rFonts w:ascii="宋体" w:hAnsi="Courier New"/>
      <w:kern w:val="0"/>
      <w:sz w:val="20"/>
      <w:szCs w:val="20"/>
    </w:rPr>
  </w:style>
  <w:style w:type="paragraph" w:styleId="17">
    <w:name w:val="toc 8"/>
    <w:basedOn w:val="1"/>
    <w:next w:val="1"/>
    <w:unhideWhenUsed/>
    <w:qFormat/>
    <w:uiPriority w:val="39"/>
    <w:pPr>
      <w:ind w:left="1680"/>
    </w:pPr>
    <w:rPr>
      <w:rFonts w:asciiTheme="minorHAnsi" w:eastAsiaTheme="minorHAnsi"/>
      <w:sz w:val="18"/>
      <w:szCs w:val="18"/>
    </w:rPr>
  </w:style>
  <w:style w:type="paragraph" w:styleId="18">
    <w:name w:val="footer"/>
    <w:basedOn w:val="1"/>
    <w:link w:val="42"/>
    <w:unhideWhenUsed/>
    <w:qFormat/>
    <w:uiPriority w:val="99"/>
    <w:pPr>
      <w:tabs>
        <w:tab w:val="center" w:pos="4153"/>
        <w:tab w:val="right" w:pos="8306"/>
      </w:tabs>
      <w:snapToGrid w:val="0"/>
    </w:pPr>
    <w:rPr>
      <w:sz w:val="18"/>
      <w:szCs w:val="18"/>
    </w:rPr>
  </w:style>
  <w:style w:type="paragraph" w:styleId="19">
    <w:name w:val="header"/>
    <w:basedOn w:val="1"/>
    <w:link w:val="41"/>
    <w:unhideWhenUsed/>
    <w:qFormat/>
    <w:uiPriority w:val="99"/>
    <w:pPr>
      <w:pBdr>
        <w:bottom w:val="single" w:color="auto" w:sz="6" w:space="1"/>
      </w:pBdr>
      <w:tabs>
        <w:tab w:val="center" w:pos="4153"/>
        <w:tab w:val="right" w:pos="8306"/>
      </w:tabs>
      <w:snapToGrid w:val="0"/>
      <w:jc w:val="center"/>
    </w:pPr>
    <w:rPr>
      <w:sz w:val="18"/>
      <w:szCs w:val="18"/>
    </w:rPr>
  </w:style>
  <w:style w:type="paragraph" w:styleId="20">
    <w:name w:val="toc 1"/>
    <w:basedOn w:val="1"/>
    <w:next w:val="1"/>
    <w:unhideWhenUsed/>
    <w:qFormat/>
    <w:uiPriority w:val="39"/>
    <w:pPr>
      <w:spacing w:before="120" w:after="120"/>
    </w:pPr>
    <w:rPr>
      <w:rFonts w:asciiTheme="minorHAnsi" w:eastAsiaTheme="minorHAnsi"/>
      <w:b/>
      <w:bCs/>
      <w:caps/>
      <w:sz w:val="20"/>
      <w:szCs w:val="20"/>
    </w:rPr>
  </w:style>
  <w:style w:type="paragraph" w:styleId="21">
    <w:name w:val="toc 4"/>
    <w:basedOn w:val="1"/>
    <w:next w:val="1"/>
    <w:unhideWhenUsed/>
    <w:qFormat/>
    <w:uiPriority w:val="39"/>
    <w:pPr>
      <w:ind w:left="720"/>
    </w:pPr>
    <w:rPr>
      <w:rFonts w:asciiTheme="minorHAnsi" w:eastAsiaTheme="minorHAnsi"/>
      <w:sz w:val="18"/>
      <w:szCs w:val="18"/>
    </w:rPr>
  </w:style>
  <w:style w:type="paragraph" w:styleId="22">
    <w:name w:val="Subtitle"/>
    <w:basedOn w:val="1"/>
    <w:next w:val="1"/>
    <w:link w:val="94"/>
    <w:qFormat/>
    <w:uiPriority w:val="11"/>
    <w:pPr>
      <w:spacing w:before="240" w:after="60" w:line="312" w:lineRule="auto"/>
      <w:jc w:val="center"/>
      <w:outlineLvl w:val="1"/>
    </w:pPr>
    <w:rPr>
      <w:rFonts w:ascii="Calibri Light" w:hAnsi="Calibri Light" w:cs="Times New Roman"/>
      <w:b/>
      <w:bCs/>
      <w:kern w:val="28"/>
      <w:sz w:val="32"/>
      <w:szCs w:val="32"/>
    </w:rPr>
  </w:style>
  <w:style w:type="paragraph" w:styleId="23">
    <w:name w:val="List Number 5"/>
    <w:basedOn w:val="1"/>
    <w:semiHidden/>
    <w:unhideWhenUsed/>
    <w:qFormat/>
    <w:uiPriority w:val="99"/>
    <w:pPr>
      <w:numPr>
        <w:ilvl w:val="0"/>
        <w:numId w:val="1"/>
      </w:numPr>
    </w:pPr>
  </w:style>
  <w:style w:type="paragraph" w:styleId="24">
    <w:name w:val="footnote text"/>
    <w:basedOn w:val="1"/>
    <w:qFormat/>
    <w:uiPriority w:val="0"/>
    <w:pPr>
      <w:widowControl/>
      <w:jc w:val="left"/>
    </w:pPr>
    <w:rPr>
      <w:kern w:val="0"/>
      <w:sz w:val="20"/>
      <w:szCs w:val="20"/>
      <w:lang w:val="de-DE"/>
    </w:rPr>
  </w:style>
  <w:style w:type="paragraph" w:styleId="25">
    <w:name w:val="toc 6"/>
    <w:basedOn w:val="1"/>
    <w:next w:val="1"/>
    <w:unhideWhenUsed/>
    <w:qFormat/>
    <w:uiPriority w:val="39"/>
    <w:pPr>
      <w:ind w:left="1200"/>
    </w:pPr>
    <w:rPr>
      <w:rFonts w:asciiTheme="minorHAnsi" w:eastAsiaTheme="minorHAnsi"/>
      <w:sz w:val="18"/>
      <w:szCs w:val="18"/>
    </w:rPr>
  </w:style>
  <w:style w:type="paragraph" w:styleId="26">
    <w:name w:val="Body Text Indent 3"/>
    <w:basedOn w:val="1"/>
    <w:qFormat/>
    <w:uiPriority w:val="0"/>
    <w:pPr>
      <w:ind w:firstLine="858" w:firstLineChars="268"/>
    </w:pPr>
    <w:rPr>
      <w:rFonts w:eastAsia="楷体_GB2312"/>
      <w:sz w:val="32"/>
      <w:szCs w:val="24"/>
    </w:rPr>
  </w:style>
  <w:style w:type="paragraph" w:styleId="27">
    <w:name w:val="toc 2"/>
    <w:basedOn w:val="1"/>
    <w:next w:val="1"/>
    <w:unhideWhenUsed/>
    <w:qFormat/>
    <w:uiPriority w:val="39"/>
    <w:pPr>
      <w:ind w:left="240"/>
    </w:pPr>
    <w:rPr>
      <w:rFonts w:asciiTheme="minorHAnsi" w:eastAsiaTheme="minorHAnsi"/>
      <w:smallCaps/>
      <w:sz w:val="20"/>
      <w:szCs w:val="20"/>
    </w:rPr>
  </w:style>
  <w:style w:type="paragraph" w:styleId="28">
    <w:name w:val="toc 9"/>
    <w:basedOn w:val="1"/>
    <w:next w:val="1"/>
    <w:unhideWhenUsed/>
    <w:qFormat/>
    <w:uiPriority w:val="39"/>
    <w:pPr>
      <w:ind w:left="1920"/>
    </w:pPr>
    <w:rPr>
      <w:rFonts w:asciiTheme="minorHAnsi" w:eastAsiaTheme="minorHAnsi"/>
      <w:sz w:val="18"/>
      <w:szCs w:val="18"/>
    </w:rPr>
  </w:style>
  <w:style w:type="paragraph" w:styleId="29">
    <w:name w:val="Normal (Web)"/>
    <w:basedOn w:val="1"/>
    <w:qFormat/>
    <w:uiPriority w:val="0"/>
    <w:pPr>
      <w:widowControl/>
      <w:spacing w:before="100" w:beforeAutospacing="1" w:after="100" w:afterAutospacing="1" w:line="240" w:lineRule="auto"/>
    </w:pPr>
    <w:rPr>
      <w:rFonts w:cs="宋体"/>
      <w:kern w:val="0"/>
      <w:szCs w:val="20"/>
    </w:rPr>
  </w:style>
  <w:style w:type="paragraph" w:styleId="30">
    <w:name w:val="Title"/>
    <w:basedOn w:val="1"/>
    <w:next w:val="1"/>
    <w:link w:val="93"/>
    <w:qFormat/>
    <w:uiPriority w:val="10"/>
    <w:pPr>
      <w:spacing w:before="60" w:after="60"/>
      <w:jc w:val="center"/>
      <w:outlineLvl w:val="0"/>
    </w:pPr>
    <w:rPr>
      <w:rFonts w:ascii="Cambria" w:hAnsi="Cambria" w:cs="Times New Roman"/>
      <w:b/>
      <w:bCs/>
      <w:szCs w:val="32"/>
    </w:rPr>
  </w:style>
  <w:style w:type="paragraph" w:styleId="31">
    <w:name w:val="annotation subject"/>
    <w:basedOn w:val="9"/>
    <w:next w:val="9"/>
    <w:link w:val="57"/>
    <w:semiHidden/>
    <w:unhideWhenUsed/>
    <w:qFormat/>
    <w:uiPriority w:val="99"/>
    <w:pPr>
      <w:spacing w:line="360" w:lineRule="auto"/>
    </w:pPr>
    <w:rPr>
      <w:rFonts w:ascii="宋体" w:hAnsi="宋体" w:eastAsia="宋体"/>
      <w:b/>
      <w:bCs/>
      <w:sz w:val="24"/>
      <w:szCs w:val="22"/>
    </w:rPr>
  </w:style>
  <w:style w:type="table" w:styleId="33">
    <w:name w:val="Table Grid"/>
    <w:basedOn w:val="3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5">
    <w:name w:val="Strong"/>
    <w:qFormat/>
    <w:uiPriority w:val="0"/>
    <w:rPr>
      <w:b/>
      <w:bCs/>
    </w:rPr>
  </w:style>
  <w:style w:type="character" w:styleId="36">
    <w:name w:val="Hyperlink"/>
    <w:basedOn w:val="34"/>
    <w:unhideWhenUsed/>
    <w:qFormat/>
    <w:uiPriority w:val="99"/>
    <w:rPr>
      <w:color w:val="0563C1" w:themeColor="hyperlink"/>
      <w:u w:val="single"/>
      <w14:textFill>
        <w14:solidFill>
          <w14:schemeClr w14:val="hlink"/>
        </w14:solidFill>
      </w14:textFill>
    </w:rPr>
  </w:style>
  <w:style w:type="character" w:styleId="37">
    <w:name w:val="annotation reference"/>
    <w:basedOn w:val="34"/>
    <w:semiHidden/>
    <w:unhideWhenUsed/>
    <w:qFormat/>
    <w:uiPriority w:val="99"/>
    <w:rPr>
      <w:sz w:val="21"/>
      <w:szCs w:val="21"/>
    </w:rPr>
  </w:style>
  <w:style w:type="paragraph" w:customStyle="1" w:styleId="38">
    <w:name w:val="正文首行缩进 21"/>
    <w:basedOn w:val="13"/>
    <w:next w:val="16"/>
    <w:unhideWhenUsed/>
    <w:qFormat/>
    <w:uiPriority w:val="99"/>
    <w:pPr>
      <w:ind w:firstLine="420" w:firstLineChars="200"/>
    </w:pPr>
  </w:style>
  <w:style w:type="paragraph" w:customStyle="1" w:styleId="39">
    <w:name w:val="样式 10 磅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正文缩进2"/>
    <w:basedOn w:val="1"/>
    <w:qFormat/>
    <w:uiPriority w:val="0"/>
    <w:pPr>
      <w:wordWrap w:val="0"/>
      <w:ind w:firstLine="200" w:firstLineChars="200"/>
    </w:pPr>
  </w:style>
  <w:style w:type="character" w:customStyle="1" w:styleId="41">
    <w:name w:val="页眉 字符"/>
    <w:basedOn w:val="34"/>
    <w:link w:val="19"/>
    <w:qFormat/>
    <w:uiPriority w:val="99"/>
    <w:rPr>
      <w:rFonts w:eastAsia="宋体"/>
      <w:sz w:val="18"/>
      <w:szCs w:val="18"/>
    </w:rPr>
  </w:style>
  <w:style w:type="character" w:customStyle="1" w:styleId="42">
    <w:name w:val="页脚 字符"/>
    <w:basedOn w:val="34"/>
    <w:link w:val="18"/>
    <w:qFormat/>
    <w:uiPriority w:val="99"/>
    <w:rPr>
      <w:rFonts w:eastAsia="宋体"/>
      <w:sz w:val="18"/>
      <w:szCs w:val="18"/>
    </w:rPr>
  </w:style>
  <w:style w:type="character" w:customStyle="1" w:styleId="43">
    <w:name w:val="标题 1 字符"/>
    <w:basedOn w:val="34"/>
    <w:link w:val="2"/>
    <w:qFormat/>
    <w:uiPriority w:val="9"/>
    <w:rPr>
      <w:rFonts w:ascii="宋体" w:hAnsi="宋体" w:eastAsia="黑体"/>
      <w:b/>
      <w:bCs/>
      <w:kern w:val="44"/>
      <w:sz w:val="44"/>
      <w:szCs w:val="44"/>
    </w:rPr>
  </w:style>
  <w:style w:type="paragraph" w:styleId="44">
    <w:name w:val="List Paragraph"/>
    <w:basedOn w:val="1"/>
    <w:link w:val="53"/>
    <w:qFormat/>
    <w:uiPriority w:val="34"/>
    <w:pPr>
      <w:ind w:firstLine="420" w:firstLineChars="200"/>
    </w:pPr>
  </w:style>
  <w:style w:type="character" w:customStyle="1" w:styleId="45">
    <w:name w:val="标题 2 字符"/>
    <w:basedOn w:val="34"/>
    <w:link w:val="3"/>
    <w:qFormat/>
    <w:uiPriority w:val="9"/>
    <w:rPr>
      <w:rFonts w:eastAsia="宋体" w:asciiTheme="majorHAnsi" w:hAnsiTheme="majorHAnsi" w:cstheme="majorBidi"/>
      <w:b/>
      <w:bCs/>
      <w:sz w:val="32"/>
      <w:szCs w:val="32"/>
    </w:rPr>
  </w:style>
  <w:style w:type="character" w:customStyle="1" w:styleId="46">
    <w:name w:val="未处理的提及1"/>
    <w:basedOn w:val="34"/>
    <w:semiHidden/>
    <w:unhideWhenUsed/>
    <w:qFormat/>
    <w:uiPriority w:val="99"/>
    <w:rPr>
      <w:color w:val="605E5C"/>
      <w:shd w:val="clear" w:color="auto" w:fill="E1DFDD"/>
    </w:rPr>
  </w:style>
  <w:style w:type="character" w:customStyle="1" w:styleId="47">
    <w:name w:val="正文文本 字符"/>
    <w:basedOn w:val="34"/>
    <w:link w:val="11"/>
    <w:qFormat/>
    <w:uiPriority w:val="99"/>
    <w:rPr>
      <w:rFonts w:ascii="Times New Roman" w:hAnsi="Times New Roman" w:eastAsia="宋体" w:cs="Times New Roman"/>
      <w:kern w:val="0"/>
      <w:sz w:val="20"/>
      <w:szCs w:val="20"/>
    </w:rPr>
  </w:style>
  <w:style w:type="character" w:customStyle="1" w:styleId="48">
    <w:name w:val="正文文本 3 字符"/>
    <w:basedOn w:val="34"/>
    <w:link w:val="10"/>
    <w:semiHidden/>
    <w:qFormat/>
    <w:uiPriority w:val="99"/>
    <w:rPr>
      <w:rFonts w:ascii="宋体" w:hAnsi="宋体" w:eastAsia="宋体"/>
      <w:sz w:val="16"/>
      <w:szCs w:val="16"/>
    </w:rPr>
  </w:style>
  <w:style w:type="paragraph" w:customStyle="1" w:styleId="49">
    <w:name w:val="Default"/>
    <w:link w:val="50"/>
    <w:qFormat/>
    <w:uiPriority w:val="0"/>
    <w:pPr>
      <w:widowControl w:val="0"/>
      <w:autoSpaceDE w:val="0"/>
      <w:autoSpaceDN w:val="0"/>
      <w:adjustRightInd w:val="0"/>
    </w:pPr>
    <w:rPr>
      <w:rFonts w:ascii=".." w:hAnsi="Times New Roman" w:eastAsia=".." w:cs="Times New Roman"/>
      <w:color w:val="000000"/>
      <w:sz w:val="24"/>
      <w:szCs w:val="24"/>
      <w:lang w:val="en-US" w:eastAsia="zh-CN" w:bidi="ar-SA"/>
    </w:rPr>
  </w:style>
  <w:style w:type="character" w:customStyle="1" w:styleId="50">
    <w:name w:val="Default Char Char"/>
    <w:link w:val="49"/>
    <w:qFormat/>
    <w:uiPriority w:val="0"/>
    <w:rPr>
      <w:rFonts w:ascii=".." w:hAnsi="Times New Roman" w:eastAsia=".." w:cs="Times New Roman"/>
      <w:color w:val="000000"/>
      <w:kern w:val="0"/>
      <w:sz w:val="24"/>
      <w:szCs w:val="24"/>
    </w:rPr>
  </w:style>
  <w:style w:type="paragraph" w:styleId="51">
    <w:name w:val="No Spacing"/>
    <w:link w:val="56"/>
    <w:qFormat/>
    <w:uiPriority w:val="1"/>
    <w:pPr>
      <w:widowControl w:val="0"/>
    </w:pPr>
    <w:rPr>
      <w:rFonts w:ascii="宋体" w:hAnsi="宋体" w:eastAsia="宋体" w:cstheme="minorBidi"/>
      <w:kern w:val="2"/>
      <w:sz w:val="21"/>
      <w:szCs w:val="22"/>
      <w:lang w:val="en-US" w:eastAsia="zh-CN" w:bidi="ar-SA"/>
    </w:rPr>
  </w:style>
  <w:style w:type="character" w:customStyle="1" w:styleId="52">
    <w:name w:val="批注文字 字符"/>
    <w:basedOn w:val="34"/>
    <w:link w:val="9"/>
    <w:qFormat/>
    <w:uiPriority w:val="0"/>
    <w:rPr>
      <w:szCs w:val="24"/>
    </w:rPr>
  </w:style>
  <w:style w:type="character" w:customStyle="1" w:styleId="53">
    <w:name w:val="列表段落 字符"/>
    <w:link w:val="44"/>
    <w:qFormat/>
    <w:uiPriority w:val="34"/>
    <w:rPr>
      <w:rFonts w:ascii="宋体" w:hAnsi="宋体" w:eastAsia="宋体"/>
      <w:sz w:val="24"/>
    </w:rPr>
  </w:style>
  <w:style w:type="character" w:customStyle="1" w:styleId="54">
    <w:name w:val="标题 3 字符"/>
    <w:basedOn w:val="34"/>
    <w:link w:val="4"/>
    <w:qFormat/>
    <w:uiPriority w:val="9"/>
    <w:rPr>
      <w:rFonts w:ascii="宋体" w:hAnsi="宋体" w:eastAsia="宋体"/>
      <w:b/>
      <w:bCs/>
      <w:sz w:val="32"/>
      <w:szCs w:val="32"/>
    </w:rPr>
  </w:style>
  <w:style w:type="character" w:customStyle="1" w:styleId="55">
    <w:name w:val="标题 4 字符"/>
    <w:basedOn w:val="34"/>
    <w:link w:val="5"/>
    <w:qFormat/>
    <w:uiPriority w:val="9"/>
    <w:rPr>
      <w:rFonts w:eastAsia="宋体" w:asciiTheme="majorHAnsi" w:hAnsiTheme="majorHAnsi" w:cstheme="majorBidi"/>
      <w:b/>
      <w:bCs/>
      <w:sz w:val="28"/>
      <w:szCs w:val="28"/>
    </w:rPr>
  </w:style>
  <w:style w:type="character" w:customStyle="1" w:styleId="56">
    <w:name w:val="无间隔 字符"/>
    <w:link w:val="51"/>
    <w:qFormat/>
    <w:uiPriority w:val="1"/>
    <w:rPr>
      <w:rFonts w:ascii="宋体" w:hAnsi="宋体" w:eastAsia="宋体"/>
    </w:rPr>
  </w:style>
  <w:style w:type="character" w:customStyle="1" w:styleId="57">
    <w:name w:val="批注主题 字符"/>
    <w:basedOn w:val="52"/>
    <w:link w:val="31"/>
    <w:semiHidden/>
    <w:qFormat/>
    <w:uiPriority w:val="99"/>
    <w:rPr>
      <w:rFonts w:ascii="宋体" w:hAnsi="宋体" w:eastAsia="宋体"/>
      <w:b/>
      <w:bCs/>
      <w:kern w:val="2"/>
      <w:sz w:val="24"/>
      <w:szCs w:val="22"/>
    </w:rPr>
  </w:style>
  <w:style w:type="paragraph" w:customStyle="1" w:styleId="58">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9">
    <w:name w:val="正文_1_1"/>
    <w:qFormat/>
    <w:uiPriority w:val="99"/>
    <w:pPr>
      <w:widowControl w:val="0"/>
      <w:jc w:val="both"/>
    </w:pPr>
    <w:rPr>
      <w:rFonts w:ascii="Calibri" w:hAnsi="Calibri" w:eastAsia="宋体" w:cs="Times New Roman"/>
      <w:kern w:val="2"/>
      <w:sz w:val="21"/>
      <w:szCs w:val="24"/>
      <w:lang w:val="en-US" w:eastAsia="zh-CN" w:bidi="ar-SA"/>
    </w:rPr>
  </w:style>
  <w:style w:type="paragraph" w:customStyle="1" w:styleId="60">
    <w:name w:val="正文1"/>
    <w:qFormat/>
    <w:uiPriority w:val="0"/>
    <w:pPr>
      <w:widowControl w:val="0"/>
      <w:jc w:val="both"/>
    </w:pPr>
    <w:rPr>
      <w:rFonts w:ascii="Calibri" w:hAnsi="Calibri" w:eastAsia="宋体" w:cs="Times New Roman"/>
      <w:lang w:val="en-US" w:eastAsia="zh-CN" w:bidi="ar-SA"/>
    </w:rPr>
  </w:style>
  <w:style w:type="paragraph" w:customStyle="1" w:styleId="61">
    <w:name w:val="正文_2"/>
    <w:qFormat/>
    <w:uiPriority w:val="0"/>
    <w:pPr>
      <w:widowControl w:val="0"/>
      <w:jc w:val="both"/>
    </w:pPr>
    <w:rPr>
      <w:rFonts w:ascii="Calibri" w:hAnsi="Calibri" w:eastAsia="宋体" w:cs="Times New Roman"/>
      <w:lang w:val="en-US" w:eastAsia="zh-CN" w:bidi="ar-SA"/>
    </w:rPr>
  </w:style>
  <w:style w:type="paragraph" w:customStyle="1" w:styleId="62">
    <w:name w:val="Normal"/>
    <w:qFormat/>
    <w:uiPriority w:val="0"/>
    <w:pPr>
      <w:widowControl w:val="0"/>
      <w:jc w:val="both"/>
    </w:pPr>
    <w:rPr>
      <w:rFonts w:ascii="Times New Roman" w:hAnsi="Times New Roman" w:eastAsia="Times New Roman" w:cs="Times New Roman"/>
      <w:lang w:val="en-US" w:eastAsia="zh-CN" w:bidi="ar-SA"/>
    </w:rPr>
  </w:style>
  <w:style w:type="paragraph" w:customStyle="1" w:styleId="63">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4">
    <w:name w:val="xl31"/>
    <w:basedOn w:val="1"/>
    <w:qFormat/>
    <w:uiPriority w:val="0"/>
    <w:pPr>
      <w:widowControl/>
      <w:spacing w:before="100" w:beforeAutospacing="1" w:after="100" w:afterAutospacing="1"/>
      <w:jc w:val="center"/>
    </w:pPr>
    <w:rPr>
      <w:b/>
      <w:bCs/>
      <w:kern w:val="0"/>
      <w:sz w:val="28"/>
      <w:szCs w:val="28"/>
    </w:rPr>
  </w:style>
  <w:style w:type="paragraph" w:customStyle="1" w:styleId="65">
    <w:name w:val="列出段落1"/>
    <w:basedOn w:val="1"/>
    <w:qFormat/>
    <w:uiPriority w:val="0"/>
    <w:pPr>
      <w:ind w:firstLine="420" w:firstLineChars="200"/>
    </w:pPr>
    <w:rPr>
      <w:szCs w:val="21"/>
    </w:rPr>
  </w:style>
  <w:style w:type="paragraph" w:customStyle="1" w:styleId="66">
    <w:name w:val="Normal_22"/>
    <w:qFormat/>
    <w:uiPriority w:val="0"/>
    <w:rPr>
      <w:rFonts w:ascii="Times New Roman" w:hAnsi="Times New Roman" w:eastAsia="Times New Roman" w:cs="Times New Roman"/>
      <w:sz w:val="24"/>
      <w:szCs w:val="24"/>
      <w:lang w:bidi="ar-SA"/>
    </w:rPr>
  </w:style>
  <w:style w:type="paragraph" w:customStyle="1" w:styleId="67">
    <w:name w:val="Char Char Char Char Char Char Char1 Char"/>
    <w:basedOn w:val="1"/>
    <w:qFormat/>
    <w:uiPriority w:val="0"/>
    <w:rPr>
      <w:rFonts w:ascii="Arial" w:hAnsi="Arial" w:eastAsia="宋体" w:cs="Arial"/>
      <w:sz w:val="24"/>
    </w:rPr>
  </w:style>
  <w:style w:type="paragraph" w:customStyle="1" w:styleId="68">
    <w:name w:val="正文缩进2格"/>
    <w:basedOn w:val="1"/>
    <w:qFormat/>
    <w:uiPriority w:val="0"/>
    <w:pPr>
      <w:spacing w:line="600" w:lineRule="exact"/>
      <w:ind w:firstLine="639" w:firstLineChars="206"/>
    </w:pPr>
    <w:rPr>
      <w:rFonts w:ascii="仿宋_GB2312" w:hAnsi="宋体" w:eastAsia="仿宋_GB2312"/>
      <w:kern w:val="0"/>
      <w:sz w:val="31"/>
      <w:szCs w:val="20"/>
    </w:rPr>
  </w:style>
  <w:style w:type="paragraph" w:customStyle="1" w:styleId="69">
    <w:name w:val="正"/>
    <w:basedOn w:val="63"/>
    <w:qFormat/>
    <w:uiPriority w:val="0"/>
    <w:pPr>
      <w:tabs>
        <w:tab w:val="left" w:pos="-120"/>
      </w:tabs>
      <w:spacing w:line="560" w:lineRule="exact"/>
      <w:ind w:firstLine="600"/>
      <w:textAlignment w:val="baseline"/>
    </w:pPr>
    <w:rPr>
      <w:rFonts w:ascii="仿宋_GB2312" w:hAnsi="仿宋_GB2312" w:eastAsia="仿宋_GB2312" w:cs="仿宋_GB2312"/>
      <w:color w:val="000000"/>
      <w:spacing w:val="20"/>
      <w:kern w:val="0"/>
    </w:rPr>
  </w:style>
  <w:style w:type="paragraph" w:customStyle="1" w:styleId="70">
    <w:name w:val="默认"/>
    <w:qFormat/>
    <w:uiPriority w:val="0"/>
    <w:pPr>
      <w:framePr w:wrap="around" w:vAnchor="margin" w:hAnchor="text" w:yAlign="top"/>
    </w:pPr>
    <w:rPr>
      <w:rFonts w:hint="eastAsia" w:ascii="Arial Unicode MS" w:hAnsi="Arial Unicode MS" w:eastAsia="Helvetica Neue" w:cs="Arial Unicode MS"/>
      <w:color w:val="000000"/>
      <w:kern w:val="0"/>
      <w:sz w:val="22"/>
      <w:szCs w:val="22"/>
      <w:lang w:val="zh-TW" w:eastAsia="zh-TW" w:bidi="ar-SA"/>
    </w:rPr>
  </w:style>
  <w:style w:type="paragraph" w:customStyle="1" w:styleId="71">
    <w:name w:val="Normal_1"/>
    <w:qFormat/>
    <w:uiPriority w:val="0"/>
    <w:rPr>
      <w:rFonts w:ascii="黑体" w:hAnsi="黑体" w:eastAsia="黑体" w:cs="Times New Roman"/>
      <w:b/>
      <w:sz w:val="32"/>
      <w:szCs w:val="24"/>
      <w:lang w:val="en-US" w:eastAsia="zh-CN" w:bidi="ar-SA"/>
    </w:rPr>
  </w:style>
  <w:style w:type="character" w:customStyle="1" w:styleId="72">
    <w:name w:val="font11"/>
    <w:basedOn w:val="34"/>
    <w:qFormat/>
    <w:uiPriority w:val="0"/>
    <w:rPr>
      <w:rFonts w:hint="eastAsia" w:ascii="宋体" w:hAnsi="宋体" w:eastAsia="宋体" w:cs="宋体"/>
      <w:color w:val="000000"/>
      <w:sz w:val="22"/>
      <w:szCs w:val="22"/>
      <w:u w:val="none"/>
    </w:rPr>
  </w:style>
  <w:style w:type="paragraph" w:customStyle="1" w:styleId="73">
    <w:name w:val="Normal_3"/>
    <w:qFormat/>
    <w:uiPriority w:val="0"/>
    <w:rPr>
      <w:rFonts w:ascii="黑体" w:hAnsi="黑体" w:eastAsia="黑体" w:cs="Times New Roman"/>
      <w:b/>
      <w:sz w:val="32"/>
      <w:szCs w:val="24"/>
      <w:lang w:val="en-US" w:eastAsia="zh-CN" w:bidi="ar-SA"/>
    </w:rPr>
  </w:style>
  <w:style w:type="paragraph" w:customStyle="1" w:styleId="74">
    <w:name w:val="正文_0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5">
    <w:name w:val="正文_0_0_1"/>
    <w:qFormat/>
    <w:uiPriority w:val="0"/>
    <w:pPr>
      <w:widowControl w:val="0"/>
      <w:jc w:val="both"/>
    </w:pPr>
    <w:rPr>
      <w:rFonts w:ascii="Calibri" w:hAnsi="Calibri" w:eastAsia="宋体" w:cs="Times New Roman"/>
      <w:kern w:val="2"/>
      <w:sz w:val="28"/>
      <w:szCs w:val="22"/>
      <w:lang w:val="en-US" w:eastAsia="zh-CN" w:bidi="ar-SA"/>
    </w:rPr>
  </w:style>
  <w:style w:type="paragraph" w:customStyle="1" w:styleId="76">
    <w:name w:val="正文_1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7">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78">
    <w:name w:val="LO-Normal"/>
    <w:qFormat/>
    <w:uiPriority w:val="0"/>
    <w:pPr>
      <w:suppressAutoHyphens/>
    </w:pPr>
    <w:rPr>
      <w:rFonts w:ascii="Times New Roman" w:hAnsi="Times New Roman" w:eastAsia="宋体" w:cs="Times New Roman"/>
      <w:sz w:val="24"/>
      <w:szCs w:val="24"/>
      <w:lang w:val="en-US" w:eastAsia="zh-CN" w:bidi="ar-SA"/>
    </w:rPr>
  </w:style>
  <w:style w:type="paragraph" w:customStyle="1" w:styleId="79">
    <w:name w:val="石墨文档正文"/>
    <w:qFormat/>
    <w:uiPriority w:val="0"/>
    <w:rPr>
      <w:rFonts w:ascii="微软雅黑" w:hAnsi="微软雅黑" w:eastAsia="微软雅黑" w:cs="微软雅黑"/>
      <w:sz w:val="22"/>
      <w:szCs w:val="22"/>
      <w:lang w:val="en-US" w:eastAsia="zh-CN" w:bidi="ar-SA"/>
    </w:rPr>
  </w:style>
  <w:style w:type="paragraph" w:customStyle="1" w:styleId="80">
    <w:name w:val="FootnoteText"/>
    <w:basedOn w:val="1"/>
    <w:autoRedefine/>
    <w:qFormat/>
    <w:uiPriority w:val="0"/>
    <w:pPr>
      <w:snapToGrid w:val="0"/>
      <w:jc w:val="left"/>
    </w:pPr>
    <w:rPr>
      <w:sz w:val="18"/>
    </w:rPr>
  </w:style>
  <w:style w:type="paragraph" w:customStyle="1" w:styleId="81">
    <w:name w:val="Default Text"/>
    <w:qFormat/>
    <w:uiPriority w:val="0"/>
    <w:pPr>
      <w:widowControl w:val="0"/>
      <w:suppressAutoHyphens/>
      <w:autoSpaceDE w:val="0"/>
    </w:pPr>
    <w:rPr>
      <w:rFonts w:ascii="Times New Roman" w:hAnsi="Times New Roman" w:eastAsia="宋体;SimSun" w:cs="Times New Roman"/>
      <w:color w:val="000000"/>
      <w:sz w:val="24"/>
      <w:szCs w:val="24"/>
      <w:lang w:val="en-US" w:eastAsia="zh-CN" w:bidi="ar-SA"/>
    </w:rPr>
  </w:style>
  <w:style w:type="paragraph" w:customStyle="1" w:styleId="82">
    <w:name w:val="_Style 98"/>
    <w:basedOn w:val="1"/>
    <w:next w:val="44"/>
    <w:qFormat/>
    <w:uiPriority w:val="34"/>
    <w:pPr>
      <w:ind w:firstLine="420" w:firstLineChars="200"/>
    </w:pPr>
    <w:rPr>
      <w:rFonts w:ascii="Calibri" w:hAnsi="Calibri"/>
      <w:szCs w:val="22"/>
    </w:rPr>
  </w:style>
  <w:style w:type="paragraph" w:customStyle="1" w:styleId="83">
    <w:name w:val="正文_4_0"/>
    <w:qFormat/>
    <w:uiPriority w:val="0"/>
    <w:pPr>
      <w:widowControl w:val="0"/>
      <w:suppressAutoHyphens/>
      <w:jc w:val="both"/>
    </w:pPr>
    <w:rPr>
      <w:rFonts w:ascii="Calibri" w:hAnsi="Calibri" w:eastAsia="宋体;SimSun" w:cs="Calibri"/>
      <w:kern w:val="2"/>
      <w:sz w:val="21"/>
      <w:szCs w:val="21"/>
      <w:lang w:val="en-US" w:eastAsia="zh-CN" w:bidi="ar-SA"/>
    </w:rPr>
  </w:style>
  <w:style w:type="paragraph" w:customStyle="1" w:styleId="84">
    <w:name w:val="正文_0_0_2"/>
    <w:qFormat/>
    <w:uiPriority w:val="0"/>
    <w:pPr>
      <w:widowControl w:val="0"/>
      <w:jc w:val="both"/>
    </w:pPr>
    <w:rPr>
      <w:rFonts w:ascii="Calibri" w:hAnsi="Calibri" w:eastAsia="宋体" w:cs="Times New Roman"/>
      <w:kern w:val="2"/>
      <w:sz w:val="28"/>
      <w:szCs w:val="22"/>
      <w:lang w:val="en-US" w:eastAsia="zh-CN" w:bidi="ar-SA"/>
    </w:rPr>
  </w:style>
  <w:style w:type="paragraph" w:customStyle="1" w:styleId="85">
    <w:name w:val="Normal_16"/>
    <w:autoRedefine/>
    <w:qFormat/>
    <w:uiPriority w:val="0"/>
    <w:rPr>
      <w:rFonts w:ascii="黑体" w:hAnsi="黑体" w:eastAsia="黑体" w:cs="Times New Roman"/>
      <w:b/>
      <w:sz w:val="32"/>
      <w:szCs w:val="24"/>
      <w:lang w:val="en-US" w:eastAsia="zh-CN" w:bidi="ar-SA"/>
    </w:rPr>
  </w:style>
  <w:style w:type="paragraph" w:customStyle="1" w:styleId="86">
    <w:name w:val="正文_10"/>
    <w:qFormat/>
    <w:uiPriority w:val="0"/>
    <w:pPr>
      <w:widowControl w:val="0"/>
      <w:jc w:val="both"/>
    </w:pPr>
    <w:rPr>
      <w:rFonts w:ascii="Calibri" w:hAnsi="Calibri" w:eastAsia="宋体" w:cs="Times New Roman"/>
      <w:kern w:val="2"/>
      <w:sz w:val="21"/>
      <w:szCs w:val="22"/>
      <w:lang w:val="en-US" w:eastAsia="zh-CN" w:bidi="ar-SA"/>
    </w:rPr>
  </w:style>
  <w:style w:type="paragraph" w:customStyle="1" w:styleId="87">
    <w:name w:val="Normal_4"/>
    <w:qFormat/>
    <w:uiPriority w:val="0"/>
    <w:rPr>
      <w:rFonts w:ascii="黑体" w:hAnsi="黑体" w:eastAsia="黑体" w:cs="Times New Roman"/>
      <w:b/>
      <w:sz w:val="32"/>
      <w:szCs w:val="24"/>
      <w:lang w:val="en-US" w:eastAsia="zh-CN" w:bidi="ar-SA"/>
    </w:rPr>
  </w:style>
  <w:style w:type="paragraph" w:customStyle="1" w:styleId="88">
    <w:name w:val="Normal_5"/>
    <w:qFormat/>
    <w:uiPriority w:val="0"/>
    <w:rPr>
      <w:rFonts w:ascii="黑体" w:hAnsi="黑体" w:eastAsia="黑体" w:cs="Times New Roman"/>
      <w:b/>
      <w:sz w:val="32"/>
      <w:szCs w:val="24"/>
      <w:lang w:val="en-US" w:eastAsia="zh-CN" w:bidi="ar-SA"/>
    </w:rPr>
  </w:style>
  <w:style w:type="paragraph" w:customStyle="1" w:styleId="89">
    <w:name w:val="zhang"/>
    <w:basedOn w:val="1"/>
    <w:qFormat/>
    <w:uiPriority w:val="0"/>
    <w:pPr>
      <w:spacing w:before="100" w:beforeLines="0" w:beforeAutospacing="1" w:after="100" w:afterLines="0" w:afterAutospacing="1"/>
    </w:pPr>
    <w:rPr>
      <w:b/>
      <w:bCs/>
      <w:smallCaps/>
      <w:color w:val="000000"/>
      <w:sz w:val="20"/>
      <w:szCs w:val="20"/>
    </w:rPr>
  </w:style>
  <w:style w:type="paragraph" w:customStyle="1" w:styleId="90">
    <w:name w:val="_Style 4"/>
    <w:basedOn w:val="2"/>
    <w:next w:val="1"/>
    <w:qFormat/>
    <w:uiPriority w:val="0"/>
    <w:pPr>
      <w:widowControl w:val="0"/>
      <w:spacing w:line="576" w:lineRule="auto"/>
      <w:jc w:val="both"/>
      <w:outlineLvl w:val="9"/>
    </w:pPr>
    <w:rPr>
      <w:rFonts w:ascii="Calibri" w:hAnsi="Calibri" w:cs="Times New Roman"/>
    </w:rPr>
  </w:style>
  <w:style w:type="paragraph" w:customStyle="1" w:styleId="91">
    <w:name w:val="p0"/>
    <w:basedOn w:val="1"/>
    <w:qFormat/>
    <w:uiPriority w:val="0"/>
    <w:pPr>
      <w:jc w:val="both"/>
    </w:pPr>
    <w:rPr>
      <w:rFonts w:ascii="Times New Roman" w:hAnsi="Times New Roman" w:cs="Times New Roman"/>
      <w:sz w:val="21"/>
      <w:szCs w:val="21"/>
    </w:rPr>
  </w:style>
  <w:style w:type="character" w:customStyle="1" w:styleId="92">
    <w:name w:val="15"/>
    <w:qFormat/>
    <w:uiPriority w:val="0"/>
    <w:rPr>
      <w:rFonts w:hint="default" w:ascii="Times New Roman" w:hAnsi="Times New Roman" w:cs="Times New Roman"/>
      <w:color w:val="464445"/>
      <w:u w:val="none"/>
    </w:rPr>
  </w:style>
  <w:style w:type="character" w:customStyle="1" w:styleId="93">
    <w:name w:val="标题 字符"/>
    <w:link w:val="30"/>
    <w:qFormat/>
    <w:uiPriority w:val="10"/>
    <w:rPr>
      <w:rFonts w:ascii="Cambria" w:hAnsi="Cambria" w:cs="Times New Roman"/>
      <w:b/>
      <w:bCs/>
      <w:szCs w:val="32"/>
    </w:rPr>
  </w:style>
  <w:style w:type="character" w:customStyle="1" w:styleId="94">
    <w:name w:val="副标题 字符"/>
    <w:link w:val="22"/>
    <w:qFormat/>
    <w:uiPriority w:val="11"/>
    <w:rPr>
      <w:rFonts w:ascii="Calibri Light" w:hAnsi="Calibri Light" w:cs="Times New Roman"/>
      <w:b/>
      <w:bCs/>
      <w:kern w:val="28"/>
      <w:sz w:val="32"/>
      <w:szCs w:val="32"/>
    </w:rPr>
  </w:style>
  <w:style w:type="paragraph" w:customStyle="1" w:styleId="95">
    <w:name w:val="Table Paragraph"/>
    <w:basedOn w:val="1"/>
    <w:qFormat/>
    <w:uiPriority w:val="1"/>
  </w:style>
  <w:style w:type="paragraph" w:customStyle="1" w:styleId="96">
    <w:name w:val="5）标书正文 首行缩进2字符"/>
    <w:basedOn w:val="1"/>
    <w:qFormat/>
    <w:uiPriority w:val="0"/>
    <w:pPr>
      <w:spacing w:line="480" w:lineRule="exact"/>
      <w:ind w:firstLine="200" w:firstLineChars="200"/>
    </w:pPr>
    <w:rPr>
      <w:rFonts w:ascii="仿宋_GB2312" w:eastAsia="仿宋_GB2312"/>
      <w:sz w:val="28"/>
      <w:szCs w:val="20"/>
    </w:rPr>
  </w:style>
  <w:style w:type="paragraph" w:customStyle="1" w:styleId="97">
    <w:name w:val="_Style 20"/>
    <w:basedOn w:val="1"/>
    <w:qFormat/>
    <w:uiPriority w:val="0"/>
    <w:rPr>
      <w:rFonts w:ascii="Tahoma" w:hAnsi="Tahoma"/>
      <w:sz w:val="24"/>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jpeg"/><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136</Pages>
  <Words>32137</Words>
  <Characters>34451</Characters>
  <Lines>294</Lines>
  <Paragraphs>82</Paragraphs>
  <TotalTime>0</TotalTime>
  <ScaleCrop>false</ScaleCrop>
  <LinksUpToDate>false</LinksUpToDate>
  <CharactersWithSpaces>35233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2024-02-04T06:30:00Z</dcterms:created>
  <dc:creator>admin</dc:creator>
  <cp:lastModifiedBy>罗燕</cp:lastModifiedBy>
  <cp:lastPrinted>2024-12-28T09:35:00Z</cp:lastPrinted>
  <dcterms:modified xsi:type="dcterms:W3CDTF">2025-03-31T16:51:57Z</dcterms:modified>
  <cp:revision>397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AD9C311945D542ABB04323B908BADD12_13</vt:lpwstr>
  </property>
  <property fmtid="{D5CDD505-2E9C-101B-9397-08002B2CF9AE}" pid="4" name="KSOTemplateDocerSaveRecord">
    <vt:lpwstr>eyJoZGlkIjoiNmRhZTlhY2RjYjVlMjgwMDc4MWNkZmMzZDdkZDQxNWIiLCJ1c2VySWQiOiIxMjEwMzYzMDIzIn0=</vt:lpwstr>
  </property>
</Properties>
</file>