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345F7">
      <w:pPr>
        <w:jc w:val="center"/>
        <w:rPr>
          <w:rFonts w:hint="eastAsia" w:ascii="宋体" w:hAnsi="宋体" w:cs="宋体"/>
          <w:bCs/>
          <w:kern w:val="0"/>
          <w:sz w:val="30"/>
          <w:szCs w:val="30"/>
        </w:rPr>
      </w:pPr>
      <w:r>
        <w:rPr>
          <w:rFonts w:hint="eastAsia" w:ascii="宋体" w:hAnsi="宋体" w:cs="宋体"/>
          <w:b/>
          <w:bCs/>
          <w:sz w:val="72"/>
          <w:szCs w:val="72"/>
        </w:rPr>
        <w:t>竞争性磋商文件</w:t>
      </w:r>
    </w:p>
    <w:p w14:paraId="0760E2C3">
      <w:pPr>
        <w:spacing w:after="240" w:line="360" w:lineRule="auto"/>
        <w:jc w:val="center"/>
        <w:rPr>
          <w:rFonts w:hint="eastAsia" w:ascii="宋体" w:hAnsi="宋体" w:cs="宋体"/>
          <w:bCs/>
          <w:kern w:val="0"/>
          <w:sz w:val="30"/>
          <w:szCs w:val="30"/>
        </w:rPr>
      </w:pPr>
    </w:p>
    <w:p w14:paraId="42887FC6">
      <w:pPr>
        <w:pStyle w:val="18"/>
        <w:widowControl/>
        <w:spacing w:line="460" w:lineRule="exact"/>
        <w:jc w:val="center"/>
        <w:rPr>
          <w:rFonts w:hint="default" w:ascii="宋体" w:hAnsi="宋体" w:cs="宋体"/>
          <w:bCs/>
          <w:color w:val="auto"/>
          <w:sz w:val="30"/>
          <w:szCs w:val="30"/>
          <w:lang w:val="en-US" w:eastAsia="zh-CN"/>
        </w:rPr>
      </w:pPr>
      <w:r>
        <w:rPr>
          <w:rFonts w:hint="eastAsia" w:ascii="宋体" w:hAnsi="宋体" w:cs="宋体"/>
          <w:bCs/>
          <w:color w:val="auto"/>
          <w:sz w:val="30"/>
          <w:szCs w:val="30"/>
        </w:rPr>
        <w:t>项目编号：</w:t>
      </w:r>
      <w:r>
        <w:rPr>
          <w:rFonts w:hint="eastAsia" w:ascii="宋体" w:hAnsi="宋体" w:cs="宋体"/>
          <w:bCs/>
          <w:color w:val="auto"/>
          <w:sz w:val="30"/>
          <w:szCs w:val="30"/>
          <w:highlight w:val="none"/>
          <w:lang w:val="en-US" w:eastAsia="zh-CN"/>
        </w:rPr>
        <w:fldChar w:fldCharType="begin"/>
      </w:r>
      <w:r>
        <w:rPr>
          <w:rFonts w:hint="eastAsia" w:ascii="宋体" w:hAnsi="宋体" w:cs="宋体"/>
          <w:bCs/>
          <w:color w:val="auto"/>
          <w:sz w:val="30"/>
          <w:szCs w:val="30"/>
          <w:highlight w:val="none"/>
          <w:lang w:val="en-US" w:eastAsia="zh-CN"/>
        </w:rPr>
        <w:instrText xml:space="preserve"> HYPERLINK "https://www.zcygov.cn/gaea/api/project/flow/redirect?projectId=7282678999809785884&amp;newUrl=https://www.zcygov.cn/flow-project-center/_procurement_/blank/project-flow?_flow_type_=agency&amp;_flow_projectId_=7282678999809785884&amp;oldUrl=https://www.zcygov.cn/project-center/_procurement_/project-result-detail/7282678999809785884&amp;utm=web-project-center-front.42c12ca3.0.0.593df8d09b4f11efa1d5c747b1c66b1e" \t "https://www.zcygov.cn/project-center/_procurement_/self-project/_blank" </w:instrText>
      </w:r>
      <w:r>
        <w:rPr>
          <w:rFonts w:hint="eastAsia" w:ascii="宋体" w:hAnsi="宋体" w:cs="宋体"/>
          <w:bCs/>
          <w:color w:val="auto"/>
          <w:sz w:val="30"/>
          <w:szCs w:val="30"/>
          <w:highlight w:val="none"/>
          <w:lang w:val="en-US" w:eastAsia="zh-CN"/>
        </w:rPr>
        <w:fldChar w:fldCharType="separate"/>
      </w:r>
      <w:r>
        <w:rPr>
          <w:rFonts w:hint="eastAsia" w:cs="宋体"/>
          <w:bCs/>
          <w:color w:val="auto"/>
          <w:sz w:val="30"/>
          <w:szCs w:val="30"/>
          <w:highlight w:val="none"/>
          <w:lang w:val="en-US" w:eastAsia="zh-CN"/>
        </w:rPr>
        <w:t>HYZB2025-(Z)0</w:t>
      </w:r>
      <w:r>
        <w:rPr>
          <w:rFonts w:hint="eastAsia" w:ascii="宋体" w:hAnsi="宋体" w:cs="宋体"/>
          <w:bCs/>
          <w:color w:val="auto"/>
          <w:sz w:val="30"/>
          <w:szCs w:val="30"/>
          <w:highlight w:val="none"/>
          <w:lang w:val="en-US" w:eastAsia="zh-CN"/>
        </w:rPr>
        <w:fldChar w:fldCharType="end"/>
      </w:r>
      <w:r>
        <w:rPr>
          <w:rFonts w:hint="eastAsia" w:cs="宋体"/>
          <w:bCs/>
          <w:color w:val="auto"/>
          <w:sz w:val="30"/>
          <w:szCs w:val="30"/>
          <w:highlight w:val="none"/>
          <w:lang w:val="en-US" w:eastAsia="zh-CN"/>
        </w:rPr>
        <w:t>6</w:t>
      </w:r>
    </w:p>
    <w:p w14:paraId="0ED9D151">
      <w:pPr>
        <w:spacing w:after="240" w:line="360" w:lineRule="auto"/>
        <w:jc w:val="center"/>
        <w:rPr>
          <w:rFonts w:hint="eastAsia" w:ascii="宋体" w:hAnsi="宋体" w:cs="宋体"/>
          <w:bCs/>
          <w:kern w:val="0"/>
          <w:sz w:val="30"/>
          <w:szCs w:val="30"/>
        </w:rPr>
      </w:pPr>
    </w:p>
    <w:p w14:paraId="1FC5326B">
      <w:pPr>
        <w:pStyle w:val="6"/>
        <w:spacing w:line="460" w:lineRule="exact"/>
        <w:rPr>
          <w:rFonts w:hint="eastAsia"/>
        </w:rPr>
      </w:pPr>
    </w:p>
    <w:p w14:paraId="25311835">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602" w:firstLineChars="200"/>
        <w:jc w:val="both"/>
        <w:textAlignment w:val="auto"/>
        <w:rPr>
          <w:rFonts w:hint="eastAsia" w:ascii="宋体" w:hAnsi="宋体" w:eastAsia="宋体" w:cs="宋体"/>
          <w:b w:val="0"/>
          <w:bCs w:val="0"/>
          <w:kern w:val="0"/>
          <w:sz w:val="30"/>
          <w:szCs w:val="30"/>
          <w:lang w:val="en-US" w:eastAsia="zh-CN" w:bidi="zh-CN"/>
        </w:rPr>
      </w:pPr>
      <w:r>
        <w:rPr>
          <w:rFonts w:hint="eastAsia" w:ascii="宋体" w:hAnsi="宋体" w:eastAsia="宋体" w:cs="宋体"/>
          <w:b/>
          <w:bCs/>
          <w:kern w:val="0"/>
          <w:sz w:val="30"/>
          <w:szCs w:val="30"/>
        </w:rPr>
        <w:t>项目名称：</w:t>
      </w:r>
      <w:r>
        <w:rPr>
          <w:rFonts w:hint="eastAsia" w:ascii="宋体" w:hAnsi="宋体" w:eastAsia="宋体" w:cs="宋体"/>
          <w:b w:val="0"/>
          <w:bCs w:val="0"/>
          <w:color w:val="auto"/>
          <w:kern w:val="0"/>
          <w:sz w:val="30"/>
          <w:szCs w:val="30"/>
          <w:lang w:val="en-US" w:eastAsia="zh-CN" w:bidi="zh-CN"/>
        </w:rPr>
        <w:t>吐峪沟乡泽日甫坎儿孜村沥青道路建设项目</w:t>
      </w:r>
    </w:p>
    <w:p w14:paraId="3FC39733">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600" w:firstLineChars="200"/>
        <w:jc w:val="both"/>
        <w:textAlignment w:val="auto"/>
        <w:rPr>
          <w:rFonts w:hint="eastAsia" w:ascii="宋体" w:hAnsi="宋体" w:eastAsia="宋体" w:cs="宋体"/>
          <w:color w:val="auto"/>
          <w:kern w:val="2"/>
          <w:sz w:val="30"/>
          <w:szCs w:val="30"/>
          <w:highlight w:val="none"/>
          <w:lang w:val="en-US" w:eastAsia="zh-CN" w:bidi="ar-SA"/>
        </w:rPr>
      </w:pPr>
    </w:p>
    <w:p w14:paraId="7C315D70">
      <w:pPr>
        <w:keepNext w:val="0"/>
        <w:keepLines w:val="0"/>
        <w:pageBreakBefore w:val="0"/>
        <w:widowControl w:val="0"/>
        <w:kinsoku/>
        <w:wordWrap/>
        <w:overflowPunct/>
        <w:topLinePunct w:val="0"/>
        <w:autoSpaceDE w:val="0"/>
        <w:autoSpaceDN w:val="0"/>
        <w:bidi w:val="0"/>
        <w:adjustRightInd/>
        <w:snapToGrid/>
        <w:spacing w:line="240" w:lineRule="auto"/>
        <w:ind w:firstLine="602" w:firstLineChars="200"/>
        <w:textAlignment w:val="auto"/>
        <w:rPr>
          <w:rFonts w:hint="eastAsia" w:ascii="宋体" w:hAnsi="宋体" w:eastAsia="宋体" w:cs="宋体"/>
          <w:b w:val="0"/>
          <w:bCs w:val="0"/>
          <w:color w:val="auto"/>
          <w:kern w:val="0"/>
          <w:sz w:val="30"/>
          <w:szCs w:val="30"/>
          <w:lang w:val="en-US" w:eastAsia="zh-CN"/>
        </w:rPr>
      </w:pPr>
      <w:r>
        <w:rPr>
          <w:rFonts w:hint="eastAsia" w:ascii="宋体" w:hAnsi="宋体" w:eastAsia="宋体" w:cs="宋体"/>
          <w:b/>
          <w:bCs/>
          <w:kern w:val="0"/>
          <w:sz w:val="30"/>
          <w:szCs w:val="30"/>
        </w:rPr>
        <w:t>采 购人</w:t>
      </w:r>
      <w:r>
        <w:rPr>
          <w:rFonts w:hint="eastAsia" w:ascii="宋体" w:hAnsi="宋体" w:eastAsia="宋体" w:cs="宋体"/>
          <w:color w:val="auto"/>
          <w:kern w:val="0"/>
          <w:sz w:val="30"/>
          <w:szCs w:val="30"/>
        </w:rPr>
        <w:t>（盖章</w:t>
      </w:r>
      <w:r>
        <w:rPr>
          <w:rFonts w:hint="eastAsia" w:ascii="宋体" w:hAnsi="宋体" w:eastAsia="宋体" w:cs="宋体"/>
          <w:b w:val="0"/>
          <w:bCs w:val="0"/>
          <w:color w:val="auto"/>
          <w:kern w:val="0"/>
          <w:sz w:val="30"/>
          <w:szCs w:val="30"/>
          <w:lang w:val="en-US" w:eastAsia="zh-CN" w:bidi="zh-CN"/>
        </w:rPr>
        <w:t>）</w:t>
      </w:r>
      <w:r>
        <w:rPr>
          <w:rFonts w:hint="eastAsia" w:ascii="宋体" w:hAnsi="宋体" w:eastAsia="宋体" w:cs="宋体"/>
          <w:b/>
          <w:bCs/>
          <w:color w:val="auto"/>
          <w:kern w:val="0"/>
          <w:sz w:val="30"/>
          <w:szCs w:val="30"/>
          <w:lang w:val="en-US" w:eastAsia="zh-CN"/>
        </w:rPr>
        <w:t>：</w:t>
      </w:r>
      <w:r>
        <w:rPr>
          <w:rFonts w:hint="eastAsia" w:ascii="宋体" w:hAnsi="宋体" w:eastAsia="宋体" w:cs="宋体"/>
          <w:b w:val="0"/>
          <w:bCs w:val="0"/>
          <w:color w:val="auto"/>
          <w:kern w:val="0"/>
          <w:sz w:val="30"/>
          <w:szCs w:val="30"/>
          <w:lang w:val="en-US" w:eastAsia="zh-CN"/>
        </w:rPr>
        <w:t>鄯善县吐峪沟乡人民政府</w:t>
      </w:r>
    </w:p>
    <w:p w14:paraId="61B6B8E1">
      <w:pPr>
        <w:pStyle w:val="38"/>
        <w:keepNext w:val="0"/>
        <w:keepLines w:val="0"/>
        <w:pageBreakBefore w:val="0"/>
        <w:widowControl w:val="0"/>
        <w:kinsoku/>
        <w:wordWrap/>
        <w:overflowPunct/>
        <w:topLinePunct w:val="0"/>
        <w:autoSpaceDE w:val="0"/>
        <w:autoSpaceDN w:val="0"/>
        <w:bidi w:val="0"/>
        <w:adjustRightInd/>
        <w:snapToGrid/>
        <w:spacing w:before="120" w:after="120" w:line="300" w:lineRule="exact"/>
        <w:ind w:firstLine="0" w:firstLineChars="0"/>
        <w:textAlignment w:val="auto"/>
        <w:rPr>
          <w:rFonts w:hint="eastAsia" w:ascii="宋体" w:hAnsi="宋体" w:eastAsia="宋体" w:cs="宋体"/>
          <w:color w:val="auto"/>
          <w:sz w:val="30"/>
          <w:szCs w:val="30"/>
        </w:rPr>
      </w:pPr>
    </w:p>
    <w:p w14:paraId="5D2A9630">
      <w:pPr>
        <w:keepNext w:val="0"/>
        <w:keepLines w:val="0"/>
        <w:pageBreakBefore w:val="0"/>
        <w:widowControl w:val="0"/>
        <w:kinsoku/>
        <w:wordWrap/>
        <w:overflowPunct/>
        <w:topLinePunct w:val="0"/>
        <w:autoSpaceDE w:val="0"/>
        <w:autoSpaceDN w:val="0"/>
        <w:bidi w:val="0"/>
        <w:adjustRightInd/>
        <w:snapToGrid/>
        <w:spacing w:line="240" w:lineRule="auto"/>
        <w:ind w:firstLine="602" w:firstLineChars="200"/>
        <w:textAlignment w:val="auto"/>
        <w:rPr>
          <w:rFonts w:hint="eastAsia" w:ascii="宋体" w:hAnsi="宋体" w:eastAsia="宋体" w:cs="宋体"/>
          <w:b w:val="0"/>
          <w:bCs w:val="0"/>
          <w:color w:val="auto"/>
          <w:kern w:val="0"/>
          <w:sz w:val="30"/>
          <w:szCs w:val="30"/>
          <w:lang w:val="en-US" w:eastAsia="zh-CN" w:bidi="zh-CN"/>
        </w:rPr>
      </w:pPr>
      <w:r>
        <w:rPr>
          <w:rFonts w:hint="eastAsia" w:ascii="宋体" w:hAnsi="宋体" w:eastAsia="宋体" w:cs="宋体"/>
          <w:b/>
          <w:bCs/>
          <w:color w:val="auto"/>
          <w:kern w:val="0"/>
          <w:sz w:val="30"/>
          <w:szCs w:val="30"/>
        </w:rPr>
        <w:t>联系人：</w:t>
      </w:r>
      <w:r>
        <w:rPr>
          <w:rFonts w:hint="eastAsia" w:ascii="宋体" w:hAnsi="宋体" w:eastAsia="宋体" w:cs="宋体"/>
          <w:b w:val="0"/>
          <w:bCs w:val="0"/>
          <w:kern w:val="0"/>
          <w:sz w:val="30"/>
          <w:szCs w:val="30"/>
          <w:lang w:val="en-US" w:eastAsia="zh-CN"/>
        </w:rPr>
        <w:t>曹宽</w:t>
      </w:r>
    </w:p>
    <w:p w14:paraId="3BC1366C">
      <w:pPr>
        <w:pStyle w:val="8"/>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b w:val="0"/>
          <w:bCs w:val="0"/>
          <w:kern w:val="0"/>
          <w:sz w:val="30"/>
          <w:szCs w:val="30"/>
          <w:lang w:val="en-US" w:eastAsia="zh-CN" w:bidi="zh-CN"/>
        </w:rPr>
      </w:pPr>
    </w:p>
    <w:p w14:paraId="532A6201">
      <w:pPr>
        <w:keepNext w:val="0"/>
        <w:keepLines w:val="0"/>
        <w:pageBreakBefore w:val="0"/>
        <w:widowControl w:val="0"/>
        <w:kinsoku/>
        <w:wordWrap/>
        <w:overflowPunct/>
        <w:topLinePunct w:val="0"/>
        <w:autoSpaceDE w:val="0"/>
        <w:autoSpaceDN w:val="0"/>
        <w:bidi w:val="0"/>
        <w:adjustRightInd/>
        <w:snapToGrid/>
        <w:spacing w:line="240" w:lineRule="auto"/>
        <w:ind w:firstLine="602" w:firstLineChars="200"/>
        <w:textAlignment w:val="auto"/>
        <w:rPr>
          <w:rFonts w:hint="eastAsia" w:ascii="宋体" w:hAnsi="宋体" w:eastAsia="宋体" w:cs="宋体"/>
          <w:b w:val="0"/>
          <w:bCs w:val="0"/>
          <w:color w:val="auto"/>
          <w:kern w:val="0"/>
          <w:sz w:val="30"/>
          <w:szCs w:val="30"/>
          <w:lang w:val="en-US" w:eastAsia="zh-CN"/>
        </w:rPr>
      </w:pPr>
      <w:r>
        <w:rPr>
          <w:rFonts w:hint="eastAsia" w:ascii="宋体" w:hAnsi="宋体" w:eastAsia="宋体" w:cs="宋体"/>
          <w:b/>
          <w:bCs/>
          <w:color w:val="auto"/>
          <w:kern w:val="0"/>
          <w:sz w:val="30"/>
          <w:szCs w:val="30"/>
        </w:rPr>
        <w:t>电  话：</w:t>
      </w:r>
      <w:r>
        <w:rPr>
          <w:rFonts w:hint="eastAsia" w:ascii="宋体" w:hAnsi="宋体" w:eastAsia="宋体" w:cs="宋体"/>
          <w:b w:val="0"/>
          <w:bCs w:val="0"/>
          <w:kern w:val="0"/>
          <w:sz w:val="30"/>
          <w:szCs w:val="30"/>
          <w:lang w:val="en-US" w:eastAsia="zh-CN"/>
        </w:rPr>
        <w:t>15509956321</w:t>
      </w:r>
    </w:p>
    <w:p w14:paraId="74C979D8">
      <w:pPr>
        <w:keepNext w:val="0"/>
        <w:keepLines w:val="0"/>
        <w:pageBreakBefore w:val="0"/>
        <w:widowControl w:val="0"/>
        <w:kinsoku/>
        <w:wordWrap/>
        <w:overflowPunct/>
        <w:topLinePunct w:val="0"/>
        <w:autoSpaceDE w:val="0"/>
        <w:autoSpaceDN w:val="0"/>
        <w:bidi w:val="0"/>
        <w:adjustRightInd/>
        <w:snapToGrid/>
        <w:spacing w:line="240" w:lineRule="auto"/>
        <w:ind w:firstLine="600" w:firstLineChars="200"/>
        <w:textAlignment w:val="auto"/>
        <w:rPr>
          <w:rFonts w:hint="eastAsia" w:ascii="宋体" w:hAnsi="宋体" w:eastAsia="宋体" w:cs="宋体"/>
          <w:color w:val="auto"/>
          <w:sz w:val="30"/>
          <w:szCs w:val="30"/>
        </w:rPr>
      </w:pPr>
    </w:p>
    <w:p w14:paraId="7152DEC8">
      <w:pPr>
        <w:keepNext w:val="0"/>
        <w:keepLines w:val="0"/>
        <w:pageBreakBefore w:val="0"/>
        <w:widowControl w:val="0"/>
        <w:kinsoku/>
        <w:wordWrap/>
        <w:overflowPunct/>
        <w:topLinePunct w:val="0"/>
        <w:autoSpaceDE w:val="0"/>
        <w:autoSpaceDN w:val="0"/>
        <w:bidi w:val="0"/>
        <w:adjustRightInd/>
        <w:snapToGrid/>
        <w:spacing w:line="240" w:lineRule="auto"/>
        <w:ind w:firstLine="602" w:firstLineChars="200"/>
        <w:textAlignment w:val="auto"/>
        <w:rPr>
          <w:rFonts w:hint="eastAsia" w:ascii="宋体" w:hAnsi="宋体" w:eastAsia="宋体" w:cs="宋体"/>
          <w:b w:val="0"/>
          <w:bCs w:val="0"/>
          <w:kern w:val="0"/>
          <w:sz w:val="30"/>
          <w:szCs w:val="30"/>
          <w:lang w:val="en-US" w:eastAsia="zh-CN"/>
        </w:rPr>
      </w:pPr>
      <w:r>
        <w:rPr>
          <w:rFonts w:hint="eastAsia" w:ascii="宋体" w:hAnsi="宋体" w:eastAsia="宋体" w:cs="宋体"/>
          <w:b/>
          <w:bCs/>
          <w:color w:val="auto"/>
          <w:kern w:val="0"/>
          <w:sz w:val="30"/>
          <w:szCs w:val="30"/>
        </w:rPr>
        <w:t>地  址：</w:t>
      </w:r>
      <w:r>
        <w:rPr>
          <w:rFonts w:hint="eastAsia" w:ascii="宋体" w:hAnsi="宋体" w:eastAsia="宋体" w:cs="宋体"/>
          <w:b w:val="0"/>
          <w:bCs w:val="0"/>
          <w:kern w:val="0"/>
          <w:sz w:val="30"/>
          <w:szCs w:val="30"/>
          <w:lang w:val="en-US" w:eastAsia="zh-CN"/>
        </w:rPr>
        <w:t>鄯善县吐峪沟乡</w:t>
      </w:r>
    </w:p>
    <w:p w14:paraId="109F9172">
      <w:pPr>
        <w:pStyle w:val="8"/>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sz w:val="30"/>
          <w:szCs w:val="30"/>
        </w:rPr>
      </w:pPr>
    </w:p>
    <w:p w14:paraId="43F55050">
      <w:pPr>
        <w:keepNext w:val="0"/>
        <w:keepLines w:val="0"/>
        <w:pageBreakBefore w:val="0"/>
        <w:widowControl w:val="0"/>
        <w:kinsoku/>
        <w:wordWrap/>
        <w:overflowPunct/>
        <w:topLinePunct w:val="0"/>
        <w:autoSpaceDE w:val="0"/>
        <w:autoSpaceDN w:val="0"/>
        <w:bidi w:val="0"/>
        <w:adjustRightInd/>
        <w:snapToGrid/>
        <w:spacing w:line="240" w:lineRule="auto"/>
        <w:ind w:firstLine="602" w:firstLineChars="200"/>
        <w:textAlignment w:val="auto"/>
        <w:rPr>
          <w:rFonts w:hint="eastAsia" w:ascii="宋体" w:hAnsi="宋体" w:eastAsia="宋体" w:cs="宋体"/>
          <w:bCs/>
          <w:w w:val="96"/>
          <w:kern w:val="0"/>
          <w:sz w:val="30"/>
          <w:szCs w:val="30"/>
        </w:rPr>
      </w:pPr>
      <w:r>
        <w:rPr>
          <w:rFonts w:hint="eastAsia" w:ascii="宋体" w:hAnsi="宋体" w:eastAsia="宋体" w:cs="宋体"/>
          <w:b/>
          <w:bCs/>
          <w:kern w:val="0"/>
          <w:sz w:val="30"/>
          <w:szCs w:val="30"/>
        </w:rPr>
        <w:t>采购代理机构</w:t>
      </w:r>
      <w:r>
        <w:rPr>
          <w:rFonts w:hint="eastAsia" w:ascii="宋体" w:hAnsi="宋体" w:eastAsia="宋体" w:cs="宋体"/>
          <w:kern w:val="0"/>
          <w:sz w:val="30"/>
          <w:szCs w:val="30"/>
        </w:rPr>
        <w:t>（盖章）</w:t>
      </w:r>
      <w:r>
        <w:rPr>
          <w:rFonts w:hint="eastAsia" w:cs="宋体"/>
          <w:b/>
          <w:bCs/>
          <w:kern w:val="0"/>
          <w:sz w:val="30"/>
          <w:szCs w:val="30"/>
          <w:lang w:eastAsia="zh-CN"/>
        </w:rPr>
        <w:t>：</w:t>
      </w:r>
      <w:r>
        <w:rPr>
          <w:rFonts w:hint="eastAsia" w:ascii="宋体" w:hAnsi="宋体" w:eastAsia="宋体" w:cs="宋体"/>
          <w:b w:val="0"/>
          <w:bCs w:val="0"/>
          <w:kern w:val="0"/>
          <w:sz w:val="30"/>
          <w:szCs w:val="30"/>
          <w:lang w:val="en-US" w:eastAsia="zh-CN"/>
        </w:rPr>
        <w:t>新疆华域天恒工程管理有限公司</w:t>
      </w:r>
    </w:p>
    <w:p w14:paraId="38225E52">
      <w:pPr>
        <w:pStyle w:val="38"/>
        <w:keepNext w:val="0"/>
        <w:keepLines w:val="0"/>
        <w:pageBreakBefore w:val="0"/>
        <w:widowControl w:val="0"/>
        <w:kinsoku/>
        <w:wordWrap/>
        <w:overflowPunct/>
        <w:topLinePunct w:val="0"/>
        <w:autoSpaceDE w:val="0"/>
        <w:autoSpaceDN w:val="0"/>
        <w:bidi w:val="0"/>
        <w:adjustRightInd/>
        <w:snapToGrid/>
        <w:spacing w:before="120" w:after="120" w:line="300" w:lineRule="exact"/>
        <w:ind w:firstLine="480"/>
        <w:textAlignment w:val="auto"/>
        <w:rPr>
          <w:rFonts w:hint="eastAsia" w:ascii="宋体" w:hAnsi="宋体" w:eastAsia="宋体" w:cs="宋体"/>
          <w:sz w:val="30"/>
          <w:szCs w:val="30"/>
        </w:rPr>
      </w:pPr>
    </w:p>
    <w:p w14:paraId="1F6A1C7F">
      <w:pPr>
        <w:keepNext w:val="0"/>
        <w:keepLines w:val="0"/>
        <w:pageBreakBefore w:val="0"/>
        <w:widowControl w:val="0"/>
        <w:kinsoku/>
        <w:wordWrap/>
        <w:overflowPunct/>
        <w:topLinePunct w:val="0"/>
        <w:autoSpaceDE w:val="0"/>
        <w:autoSpaceDN w:val="0"/>
        <w:bidi w:val="0"/>
        <w:adjustRightInd/>
        <w:snapToGrid/>
        <w:spacing w:line="240" w:lineRule="auto"/>
        <w:ind w:firstLine="602" w:firstLineChars="200"/>
        <w:textAlignment w:val="auto"/>
        <w:rPr>
          <w:rFonts w:hint="eastAsia" w:ascii="宋体" w:hAnsi="宋体" w:eastAsia="宋体" w:cs="宋体"/>
          <w:bCs/>
          <w:sz w:val="30"/>
          <w:szCs w:val="30"/>
          <w:lang w:eastAsia="zh-CN"/>
        </w:rPr>
      </w:pPr>
      <w:r>
        <w:rPr>
          <w:rFonts w:hint="eastAsia" w:ascii="宋体" w:hAnsi="宋体" w:eastAsia="宋体" w:cs="宋体"/>
          <w:b/>
          <w:bCs/>
          <w:kern w:val="0"/>
          <w:sz w:val="30"/>
          <w:szCs w:val="30"/>
        </w:rPr>
        <w:t>联系人</w:t>
      </w:r>
      <w:r>
        <w:rPr>
          <w:rFonts w:hint="eastAsia" w:ascii="宋体" w:hAnsi="宋体" w:eastAsia="宋体" w:cs="宋体"/>
          <w:b/>
          <w:bCs/>
          <w:sz w:val="30"/>
          <w:szCs w:val="30"/>
        </w:rPr>
        <w:t>：</w:t>
      </w:r>
      <w:r>
        <w:rPr>
          <w:rFonts w:hint="eastAsia" w:ascii="宋体" w:hAnsi="宋体" w:eastAsia="宋体" w:cs="宋体"/>
          <w:bCs/>
          <w:sz w:val="30"/>
          <w:szCs w:val="30"/>
          <w:lang w:val="en-US" w:eastAsia="zh-CN"/>
        </w:rPr>
        <w:t>常瑞琪</w:t>
      </w:r>
    </w:p>
    <w:p w14:paraId="07E464D5">
      <w:pPr>
        <w:pStyle w:val="38"/>
        <w:keepNext w:val="0"/>
        <w:keepLines w:val="0"/>
        <w:pageBreakBefore w:val="0"/>
        <w:widowControl w:val="0"/>
        <w:kinsoku/>
        <w:wordWrap/>
        <w:overflowPunct/>
        <w:topLinePunct w:val="0"/>
        <w:autoSpaceDE w:val="0"/>
        <w:autoSpaceDN w:val="0"/>
        <w:bidi w:val="0"/>
        <w:adjustRightInd/>
        <w:snapToGrid/>
        <w:spacing w:before="120" w:after="120" w:line="300" w:lineRule="exact"/>
        <w:ind w:firstLine="480"/>
        <w:textAlignment w:val="auto"/>
        <w:rPr>
          <w:rFonts w:hint="eastAsia" w:ascii="宋体" w:hAnsi="宋体" w:eastAsia="宋体" w:cs="宋体"/>
          <w:sz w:val="30"/>
          <w:szCs w:val="30"/>
        </w:rPr>
      </w:pPr>
    </w:p>
    <w:p w14:paraId="73A5EFEF">
      <w:pPr>
        <w:keepNext w:val="0"/>
        <w:keepLines w:val="0"/>
        <w:pageBreakBefore w:val="0"/>
        <w:widowControl w:val="0"/>
        <w:kinsoku/>
        <w:wordWrap/>
        <w:overflowPunct/>
        <w:topLinePunct w:val="0"/>
        <w:autoSpaceDE w:val="0"/>
        <w:autoSpaceDN w:val="0"/>
        <w:bidi w:val="0"/>
        <w:adjustRightInd/>
        <w:snapToGrid/>
        <w:spacing w:line="240" w:lineRule="auto"/>
        <w:ind w:firstLine="602" w:firstLineChars="200"/>
        <w:textAlignment w:val="auto"/>
        <w:rPr>
          <w:rFonts w:hint="eastAsia" w:ascii="宋体" w:hAnsi="宋体" w:eastAsia="宋体" w:cs="宋体"/>
          <w:bCs/>
          <w:kern w:val="0"/>
          <w:sz w:val="30"/>
          <w:szCs w:val="30"/>
          <w:lang w:val="en-US" w:eastAsia="zh-CN"/>
        </w:rPr>
      </w:pPr>
      <w:r>
        <w:rPr>
          <w:rFonts w:hint="eastAsia" w:ascii="宋体" w:hAnsi="宋体" w:eastAsia="宋体" w:cs="宋体"/>
          <w:b/>
          <w:bCs/>
          <w:kern w:val="0"/>
          <w:sz w:val="30"/>
          <w:szCs w:val="30"/>
        </w:rPr>
        <w:t>电  话</w:t>
      </w:r>
      <w:r>
        <w:rPr>
          <w:rFonts w:hint="eastAsia" w:ascii="宋体" w:hAnsi="宋体" w:eastAsia="宋体" w:cs="宋体"/>
          <w:b/>
          <w:bCs/>
          <w:sz w:val="30"/>
          <w:szCs w:val="30"/>
        </w:rPr>
        <w:t>：</w:t>
      </w:r>
      <w:r>
        <w:rPr>
          <w:rFonts w:hint="eastAsia" w:ascii="宋体" w:hAnsi="宋体" w:eastAsia="宋体" w:cs="宋体"/>
          <w:color w:val="151515"/>
          <w:kern w:val="2"/>
          <w:sz w:val="30"/>
          <w:szCs w:val="30"/>
          <w:shd w:val="clear" w:color="auto" w:fill="FFFFFF"/>
          <w:lang w:val="en-US" w:eastAsia="zh-CN" w:bidi="ar-SA"/>
        </w:rPr>
        <w:t>18590559920</w:t>
      </w:r>
    </w:p>
    <w:p w14:paraId="0E604C81">
      <w:pPr>
        <w:pStyle w:val="38"/>
        <w:keepNext w:val="0"/>
        <w:keepLines w:val="0"/>
        <w:pageBreakBefore w:val="0"/>
        <w:widowControl w:val="0"/>
        <w:kinsoku/>
        <w:wordWrap/>
        <w:overflowPunct/>
        <w:topLinePunct w:val="0"/>
        <w:autoSpaceDE w:val="0"/>
        <w:autoSpaceDN w:val="0"/>
        <w:bidi w:val="0"/>
        <w:adjustRightInd/>
        <w:snapToGrid/>
        <w:spacing w:before="120" w:after="120" w:line="300" w:lineRule="exact"/>
        <w:ind w:firstLine="480"/>
        <w:textAlignment w:val="auto"/>
        <w:rPr>
          <w:rFonts w:hint="eastAsia" w:ascii="宋体" w:hAnsi="宋体" w:eastAsia="宋体" w:cs="宋体"/>
          <w:sz w:val="30"/>
          <w:szCs w:val="30"/>
        </w:rPr>
      </w:pPr>
    </w:p>
    <w:p w14:paraId="7EFD4BDC">
      <w:pPr>
        <w:keepNext w:val="0"/>
        <w:keepLines w:val="0"/>
        <w:pageBreakBefore w:val="0"/>
        <w:widowControl w:val="0"/>
        <w:kinsoku/>
        <w:wordWrap/>
        <w:overflowPunct/>
        <w:topLinePunct w:val="0"/>
        <w:autoSpaceDE w:val="0"/>
        <w:autoSpaceDN w:val="0"/>
        <w:bidi w:val="0"/>
        <w:adjustRightInd/>
        <w:snapToGrid/>
        <w:spacing w:line="240" w:lineRule="auto"/>
        <w:ind w:firstLine="602" w:firstLineChars="200"/>
        <w:textAlignment w:val="auto"/>
        <w:rPr>
          <w:rFonts w:hint="eastAsia" w:ascii="宋体" w:hAnsi="宋体" w:eastAsia="宋体" w:cs="宋体"/>
          <w:b w:val="0"/>
          <w:bCs w:val="0"/>
          <w:kern w:val="0"/>
          <w:sz w:val="30"/>
          <w:szCs w:val="30"/>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026" w:right="1474" w:bottom="1531" w:left="1474" w:header="851" w:footer="794" w:gutter="0"/>
          <w:pgNumType w:fmt="decimal" w:start="1"/>
          <w:cols w:space="720" w:num="1"/>
          <w:titlePg/>
          <w:docGrid w:linePitch="312" w:charSpace="0"/>
        </w:sectPr>
      </w:pPr>
      <w:r>
        <w:rPr>
          <w:rFonts w:hint="eastAsia" w:ascii="宋体" w:hAnsi="宋体" w:eastAsia="宋体" w:cs="宋体"/>
          <w:b/>
          <w:bCs/>
          <w:kern w:val="0"/>
          <w:sz w:val="30"/>
          <w:szCs w:val="30"/>
        </w:rPr>
        <w:t>地  址：</w:t>
      </w:r>
      <w:r>
        <w:rPr>
          <w:rFonts w:hint="eastAsia" w:ascii="宋体" w:hAnsi="宋体" w:eastAsia="宋体" w:cs="宋体"/>
          <w:b w:val="0"/>
          <w:bCs w:val="0"/>
          <w:kern w:val="0"/>
          <w:sz w:val="30"/>
          <w:szCs w:val="30"/>
          <w:lang w:val="en-US" w:eastAsia="zh-CN"/>
        </w:rPr>
        <w:t>吐鲁番市高昌区示范区和平街11幢2层201号</w:t>
      </w:r>
    </w:p>
    <w:p w14:paraId="4AB8B26A">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jc w:val="center"/>
        <w:textAlignment w:val="auto"/>
        <w:rPr>
          <w:rFonts w:hint="eastAsia" w:ascii="微软雅黑" w:hAnsi="微软雅黑" w:eastAsia="微软雅黑" w:cs="微软雅黑"/>
          <w:b/>
          <w:bCs/>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 xml:space="preserve"> </w:t>
      </w:r>
      <w:bookmarkStart w:id="0" w:name="_Toc27580_WPSOffice_Level1"/>
    </w:p>
    <w:p w14:paraId="0AE93170">
      <w:pPr>
        <w:spacing w:before="0" w:beforeLines="0" w:after="0" w:afterLines="0" w:line="240" w:lineRule="auto"/>
        <w:ind w:left="0" w:leftChars="0" w:right="0" w:rightChars="0" w:firstLine="0" w:firstLineChars="0"/>
        <w:jc w:val="center"/>
        <w:rPr>
          <w:color w:val="auto"/>
          <w:highlight w:val="none"/>
        </w:rPr>
      </w:pPr>
      <w:bookmarkStart w:id="1" w:name="_Toc13968_WPSOffice_Type1"/>
      <w:r>
        <w:rPr>
          <w:rFonts w:ascii="宋体" w:hAnsi="宋体" w:eastAsia="宋体"/>
          <w:b/>
          <w:bCs/>
          <w:color w:val="auto"/>
          <w:sz w:val="40"/>
          <w:szCs w:val="44"/>
          <w:highlight w:val="none"/>
        </w:rPr>
        <w:t>目录</w:t>
      </w:r>
    </w:p>
    <w:p w14:paraId="225CB40A">
      <w:pPr>
        <w:pStyle w:val="37"/>
        <w:tabs>
          <w:tab w:val="right" w:leader="dot" w:pos="8848"/>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_Toc3822_WPSOffice_Level1 </w:instrText>
      </w:r>
      <w:r>
        <w:rPr>
          <w:color w:val="auto"/>
          <w:sz w:val="24"/>
          <w:szCs w:val="24"/>
          <w:highlight w:val="none"/>
        </w:rPr>
        <w:fldChar w:fldCharType="separate"/>
      </w:r>
      <w:r>
        <w:rPr>
          <w:rFonts w:hint="eastAsia" w:ascii="微软雅黑" w:hAnsi="微软雅黑" w:eastAsia="微软雅黑" w:cs="微软雅黑"/>
          <w:color w:val="auto"/>
          <w:sz w:val="24"/>
          <w:szCs w:val="24"/>
          <w:highlight w:val="none"/>
        </w:rPr>
        <w:t>第一部分 磋商</w:t>
      </w:r>
      <w:r>
        <w:rPr>
          <w:rFonts w:hint="eastAsia" w:ascii="微软雅黑" w:hAnsi="微软雅黑" w:eastAsia="微软雅黑" w:cs="微软雅黑"/>
          <w:color w:val="auto"/>
          <w:sz w:val="24"/>
          <w:szCs w:val="24"/>
          <w:highlight w:val="none"/>
          <w:lang w:val="en-US" w:eastAsia="zh-CN"/>
        </w:rPr>
        <w:t>公告</w:t>
      </w:r>
      <w:r>
        <w:rPr>
          <w:color w:val="auto"/>
          <w:sz w:val="24"/>
          <w:szCs w:val="24"/>
          <w:highlight w:val="none"/>
        </w:rPr>
        <w:tab/>
      </w:r>
      <w:r>
        <w:rPr>
          <w:rFonts w:hint="eastAsia"/>
          <w:color w:val="auto"/>
          <w:sz w:val="24"/>
          <w:szCs w:val="24"/>
          <w:highlight w:val="none"/>
          <w:lang w:val="en-US" w:eastAsia="zh-CN"/>
        </w:rPr>
        <w:t>3</w:t>
      </w:r>
      <w:r>
        <w:rPr>
          <w:color w:val="auto"/>
          <w:sz w:val="24"/>
          <w:szCs w:val="24"/>
          <w:highlight w:val="none"/>
        </w:rPr>
        <w:fldChar w:fldCharType="end"/>
      </w:r>
    </w:p>
    <w:p w14:paraId="42835902">
      <w:pPr>
        <w:pStyle w:val="37"/>
        <w:tabs>
          <w:tab w:val="right" w:leader="dot" w:pos="8848"/>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_Toc27580_WPSOffice_Level1 </w:instrText>
      </w:r>
      <w:r>
        <w:rPr>
          <w:color w:val="auto"/>
          <w:sz w:val="24"/>
          <w:szCs w:val="24"/>
          <w:highlight w:val="none"/>
        </w:rPr>
        <w:fldChar w:fldCharType="separate"/>
      </w:r>
      <w:r>
        <w:rPr>
          <w:rFonts w:hint="eastAsia" w:ascii="微软雅黑" w:hAnsi="微软雅黑" w:eastAsia="微软雅黑" w:cs="微软雅黑"/>
          <w:color w:val="auto"/>
          <w:sz w:val="24"/>
          <w:szCs w:val="24"/>
          <w:highlight w:val="none"/>
        </w:rPr>
        <w:t>第二部分 磋商须知</w:t>
      </w:r>
      <w:r>
        <w:rPr>
          <w:color w:val="auto"/>
          <w:sz w:val="24"/>
          <w:szCs w:val="24"/>
          <w:highlight w:val="none"/>
        </w:rPr>
        <w:tab/>
      </w:r>
      <w:r>
        <w:rPr>
          <w:rFonts w:hint="eastAsia"/>
          <w:color w:val="auto"/>
          <w:sz w:val="24"/>
          <w:szCs w:val="24"/>
          <w:highlight w:val="none"/>
          <w:lang w:val="en-US" w:eastAsia="zh-CN"/>
        </w:rPr>
        <w:t>7</w:t>
      </w:r>
      <w:r>
        <w:rPr>
          <w:color w:val="auto"/>
          <w:sz w:val="24"/>
          <w:szCs w:val="24"/>
          <w:highlight w:val="none"/>
        </w:rPr>
        <w:fldChar w:fldCharType="end"/>
      </w:r>
    </w:p>
    <w:p w14:paraId="5959EC9D">
      <w:pPr>
        <w:pStyle w:val="37"/>
        <w:tabs>
          <w:tab w:val="right" w:leader="dot" w:pos="8848"/>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_Toc26743_WPSOffice_Level1 </w:instrText>
      </w:r>
      <w:r>
        <w:rPr>
          <w:color w:val="auto"/>
          <w:sz w:val="24"/>
          <w:szCs w:val="24"/>
          <w:highlight w:val="none"/>
        </w:rPr>
        <w:fldChar w:fldCharType="separate"/>
      </w:r>
      <w:r>
        <w:rPr>
          <w:rFonts w:hint="eastAsia" w:ascii="微软雅黑" w:hAnsi="微软雅黑" w:eastAsia="微软雅黑" w:cs="微软雅黑"/>
          <w:color w:val="auto"/>
          <w:sz w:val="24"/>
          <w:szCs w:val="24"/>
          <w:highlight w:val="none"/>
        </w:rPr>
        <w:t>第三部分 采购项目需求</w:t>
      </w:r>
      <w:r>
        <w:rPr>
          <w:color w:val="auto"/>
          <w:sz w:val="24"/>
          <w:szCs w:val="24"/>
          <w:highlight w:val="none"/>
        </w:rPr>
        <w:tab/>
      </w:r>
      <w:bookmarkStart w:id="2" w:name="_Toc26743_WPSOffice_Level1Page"/>
      <w:r>
        <w:rPr>
          <w:color w:val="auto"/>
          <w:sz w:val="24"/>
          <w:szCs w:val="24"/>
          <w:highlight w:val="none"/>
        </w:rPr>
        <w:t>3</w:t>
      </w:r>
      <w:bookmarkEnd w:id="2"/>
      <w:r>
        <w:rPr>
          <w:rFonts w:hint="eastAsia"/>
          <w:color w:val="auto"/>
          <w:sz w:val="24"/>
          <w:szCs w:val="24"/>
          <w:highlight w:val="none"/>
          <w:lang w:val="en-US" w:eastAsia="zh-CN"/>
        </w:rPr>
        <w:t>3</w:t>
      </w:r>
      <w:r>
        <w:rPr>
          <w:color w:val="auto"/>
          <w:sz w:val="24"/>
          <w:szCs w:val="24"/>
          <w:highlight w:val="none"/>
        </w:rPr>
        <w:fldChar w:fldCharType="end"/>
      </w:r>
    </w:p>
    <w:p w14:paraId="04A2504E">
      <w:pPr>
        <w:pStyle w:val="37"/>
        <w:tabs>
          <w:tab w:val="right" w:leader="dot" w:pos="8848"/>
        </w:tabs>
        <w:rPr>
          <w:rFonts w:hint="default" w:eastAsia="宋体"/>
          <w:color w:val="auto"/>
          <w:sz w:val="24"/>
          <w:szCs w:val="24"/>
          <w:highlight w:val="none"/>
          <w:lang w:val="en-US" w:eastAsia="zh-CN"/>
        </w:rPr>
      </w:pPr>
      <w:r>
        <w:rPr>
          <w:color w:val="auto"/>
          <w:sz w:val="24"/>
          <w:szCs w:val="24"/>
          <w:highlight w:val="none"/>
        </w:rPr>
        <w:fldChar w:fldCharType="begin"/>
      </w:r>
      <w:r>
        <w:rPr>
          <w:color w:val="auto"/>
          <w:sz w:val="24"/>
          <w:szCs w:val="24"/>
          <w:highlight w:val="none"/>
        </w:rPr>
        <w:instrText xml:space="preserve"> HYPERLINK \l _Toc2627_WPSOffice_Level1 </w:instrText>
      </w:r>
      <w:r>
        <w:rPr>
          <w:color w:val="auto"/>
          <w:sz w:val="24"/>
          <w:szCs w:val="24"/>
          <w:highlight w:val="none"/>
        </w:rPr>
        <w:fldChar w:fldCharType="separate"/>
      </w:r>
      <w:r>
        <w:rPr>
          <w:rFonts w:hint="eastAsia" w:ascii="微软雅黑" w:hAnsi="微软雅黑" w:eastAsia="微软雅黑" w:cs="微软雅黑"/>
          <w:color w:val="auto"/>
          <w:sz w:val="24"/>
          <w:szCs w:val="24"/>
          <w:highlight w:val="none"/>
        </w:rPr>
        <w:t>第四部分 合同格式</w:t>
      </w:r>
      <w:r>
        <w:rPr>
          <w:color w:val="auto"/>
          <w:sz w:val="24"/>
          <w:szCs w:val="24"/>
          <w:highlight w:val="none"/>
        </w:rPr>
        <w:tab/>
      </w:r>
      <w:r>
        <w:rPr>
          <w:color w:val="auto"/>
          <w:sz w:val="24"/>
          <w:szCs w:val="24"/>
          <w:highlight w:val="none"/>
        </w:rPr>
        <w:fldChar w:fldCharType="end"/>
      </w:r>
      <w:r>
        <w:rPr>
          <w:rFonts w:hint="eastAsia"/>
          <w:color w:val="auto"/>
          <w:sz w:val="24"/>
          <w:szCs w:val="24"/>
          <w:highlight w:val="none"/>
          <w:lang w:val="en-US" w:eastAsia="zh-CN"/>
        </w:rPr>
        <w:t>37</w:t>
      </w:r>
    </w:p>
    <w:p w14:paraId="529D7CBC">
      <w:pPr>
        <w:pStyle w:val="37"/>
        <w:tabs>
          <w:tab w:val="right" w:leader="dot" w:pos="8848"/>
        </w:tabs>
        <w:rPr>
          <w:color w:val="auto"/>
          <w:highlight w:val="none"/>
        </w:rPr>
      </w:pPr>
      <w:r>
        <w:rPr>
          <w:color w:val="auto"/>
          <w:sz w:val="24"/>
          <w:szCs w:val="24"/>
          <w:highlight w:val="none"/>
        </w:rPr>
        <w:fldChar w:fldCharType="begin"/>
      </w:r>
      <w:r>
        <w:rPr>
          <w:color w:val="auto"/>
          <w:sz w:val="24"/>
          <w:szCs w:val="24"/>
          <w:highlight w:val="none"/>
        </w:rPr>
        <w:instrText xml:space="preserve"> HYPERLINK \l _Toc10386_WPSOffice_Level1 </w:instrText>
      </w:r>
      <w:r>
        <w:rPr>
          <w:color w:val="auto"/>
          <w:sz w:val="24"/>
          <w:szCs w:val="24"/>
          <w:highlight w:val="none"/>
        </w:rPr>
        <w:fldChar w:fldCharType="separate"/>
      </w:r>
      <w:r>
        <w:rPr>
          <w:rFonts w:hint="eastAsia" w:ascii="微软雅黑" w:hAnsi="微软雅黑" w:eastAsia="微软雅黑" w:cs="微软雅黑"/>
          <w:color w:val="auto"/>
          <w:sz w:val="24"/>
          <w:szCs w:val="24"/>
          <w:highlight w:val="none"/>
        </w:rPr>
        <w:t>第五部分 响应文件格式</w:t>
      </w:r>
      <w:r>
        <w:rPr>
          <w:color w:val="auto"/>
          <w:sz w:val="24"/>
          <w:szCs w:val="24"/>
          <w:highlight w:val="none"/>
        </w:rPr>
        <w:tab/>
      </w:r>
      <w:bookmarkStart w:id="3" w:name="_Toc10386_WPSOffice_Level1Page"/>
      <w:r>
        <w:rPr>
          <w:color w:val="auto"/>
          <w:sz w:val="24"/>
          <w:szCs w:val="24"/>
          <w:highlight w:val="none"/>
        </w:rPr>
        <w:t>5</w:t>
      </w:r>
      <w:bookmarkEnd w:id="3"/>
      <w:r>
        <w:rPr>
          <w:rFonts w:hint="eastAsia"/>
          <w:color w:val="auto"/>
          <w:sz w:val="24"/>
          <w:szCs w:val="24"/>
          <w:highlight w:val="none"/>
          <w:lang w:val="en-US" w:eastAsia="zh-CN"/>
        </w:rPr>
        <w:t>2</w:t>
      </w:r>
      <w:r>
        <w:rPr>
          <w:color w:val="auto"/>
          <w:sz w:val="24"/>
          <w:szCs w:val="24"/>
          <w:highlight w:val="none"/>
        </w:rPr>
        <w:fldChar w:fldCharType="end"/>
      </w:r>
    </w:p>
    <w:bookmarkEnd w:id="1"/>
    <w:p w14:paraId="19E32BD4">
      <w:pPr>
        <w:keepNext w:val="0"/>
        <w:keepLines w:val="0"/>
        <w:pageBreakBefore w:val="0"/>
        <w:widowControl w:val="0"/>
        <w:kinsoku/>
        <w:wordWrap/>
        <w:overflowPunct/>
        <w:topLinePunct w:val="0"/>
        <w:autoSpaceDE w:val="0"/>
        <w:autoSpaceDN w:val="0"/>
        <w:bidi w:val="0"/>
        <w:adjustRightInd/>
        <w:snapToGrid/>
        <w:spacing w:line="440" w:lineRule="exact"/>
        <w:ind w:firstLine="420" w:firstLineChars="200"/>
        <w:textAlignment w:val="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w:t>
      </w:r>
    </w:p>
    <w:p w14:paraId="59E803F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sectPr>
          <w:headerReference r:id="rId11" w:type="default"/>
          <w:footerReference r:id="rId12" w:type="default"/>
          <w:pgSz w:w="11910" w:h="16840"/>
          <w:pgMar w:top="1984" w:right="1531" w:bottom="2098" w:left="1531" w:header="670" w:footer="1041" w:gutter="0"/>
          <w:pgNumType w:fmt="decimal"/>
          <w:cols w:space="720" w:num="1"/>
          <w:rtlGutter w:val="0"/>
          <w:docGrid w:linePitch="1" w:charSpace="0"/>
        </w:sectPr>
      </w:pPr>
    </w:p>
    <w:p w14:paraId="68215562">
      <w:pPr>
        <w:pStyle w:val="18"/>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jc w:val="center"/>
        <w:textAlignment w:val="auto"/>
        <w:rPr>
          <w:rFonts w:hint="eastAsia" w:ascii="仿宋" w:hAnsi="仿宋" w:eastAsia="仿宋"/>
          <w:b/>
          <w:color w:val="000000"/>
          <w:sz w:val="32"/>
          <w:szCs w:val="32"/>
          <w:highlight w:val="none"/>
        </w:rPr>
      </w:pPr>
      <w:r>
        <w:rPr>
          <w:rFonts w:hint="eastAsia" w:ascii="仿宋" w:hAnsi="仿宋" w:eastAsia="仿宋"/>
          <w:b/>
          <w:color w:val="000000"/>
          <w:sz w:val="32"/>
          <w:szCs w:val="32"/>
          <w:highlight w:val="none"/>
          <w:lang w:val="en-US" w:eastAsia="zh-CN"/>
        </w:rPr>
        <w:t>磋商</w:t>
      </w:r>
      <w:r>
        <w:rPr>
          <w:rFonts w:hint="eastAsia" w:ascii="仿宋" w:hAnsi="仿宋" w:eastAsia="仿宋"/>
          <w:b/>
          <w:color w:val="000000"/>
          <w:sz w:val="32"/>
          <w:szCs w:val="32"/>
          <w:highlight w:val="none"/>
        </w:rPr>
        <w:t>公告</w:t>
      </w:r>
    </w:p>
    <w:p w14:paraId="25597301">
      <w:pPr>
        <w:keepNext w:val="0"/>
        <w:keepLines w:val="0"/>
        <w:widowControl/>
        <w:suppressLineNumbers w:val="0"/>
        <w:pBdr>
          <w:bottom w:val="none" w:color="auto" w:sz="0" w:space="0"/>
        </w:pBdr>
        <w:spacing w:line="450" w:lineRule="atLeast"/>
        <w:jc w:val="center"/>
        <w:rPr>
          <w:rFonts w:ascii="宋体" w:hAnsi="宋体" w:eastAsia="宋体" w:cs="宋体"/>
          <w:b/>
          <w:bCs/>
          <w:kern w:val="0"/>
          <w:sz w:val="36"/>
          <w:szCs w:val="36"/>
          <w:lang w:val="en-US" w:eastAsia="zh-CN" w:bidi="ar"/>
        </w:rPr>
      </w:pPr>
      <w:r>
        <w:rPr>
          <w:rFonts w:hint="eastAsia" w:cs="宋体"/>
          <w:b/>
          <w:bCs/>
          <w:kern w:val="0"/>
          <w:sz w:val="36"/>
          <w:szCs w:val="36"/>
          <w:lang w:val="en-US" w:eastAsia="zh-CN" w:bidi="ar"/>
        </w:rPr>
        <w:t>吐峪沟乡泽日甫坎儿孜村沥青道路建设项目</w:t>
      </w:r>
      <w:r>
        <w:rPr>
          <w:rFonts w:ascii="宋体" w:hAnsi="宋体" w:eastAsia="宋体" w:cs="宋体"/>
          <w:b/>
          <w:bCs/>
          <w:kern w:val="0"/>
          <w:sz w:val="36"/>
          <w:szCs w:val="36"/>
          <w:lang w:val="en-US" w:eastAsia="zh-CN" w:bidi="ar"/>
        </w:rPr>
        <w:t>竞争性</w:t>
      </w:r>
      <w:r>
        <w:rPr>
          <w:rFonts w:hint="eastAsia" w:ascii="宋体" w:hAnsi="宋体" w:eastAsia="宋体" w:cs="宋体"/>
          <w:b/>
          <w:bCs/>
          <w:kern w:val="0"/>
          <w:sz w:val="36"/>
          <w:szCs w:val="36"/>
          <w:lang w:val="en-US" w:eastAsia="zh-CN" w:bidi="ar"/>
        </w:rPr>
        <w:t>磋商</w:t>
      </w:r>
      <w:r>
        <w:rPr>
          <w:rFonts w:ascii="宋体" w:hAnsi="宋体" w:eastAsia="宋体" w:cs="宋体"/>
          <w:b/>
          <w:bCs/>
          <w:kern w:val="0"/>
          <w:sz w:val="36"/>
          <w:szCs w:val="36"/>
          <w:lang w:val="en-US" w:eastAsia="zh-CN" w:bidi="ar"/>
        </w:rPr>
        <w:t>公告</w:t>
      </w:r>
    </w:p>
    <w:p w14:paraId="69C68478">
      <w:pPr>
        <w:keepNext w:val="0"/>
        <w:keepLines w:val="0"/>
        <w:widowControl/>
        <w:suppressLineNumbers w:val="0"/>
        <w:pBdr>
          <w:bottom w:val="none" w:color="auto" w:sz="0" w:space="0"/>
        </w:pBdr>
        <w:spacing w:line="450" w:lineRule="atLeast"/>
        <w:jc w:val="center"/>
        <w:rPr>
          <w:rFonts w:ascii="宋体" w:hAnsi="宋体" w:eastAsia="宋体" w:cs="宋体"/>
          <w:b/>
          <w:bCs/>
          <w:kern w:val="0"/>
          <w:sz w:val="36"/>
          <w:szCs w:val="36"/>
          <w:lang w:val="en-US" w:eastAsia="zh-CN" w:bidi="ar"/>
        </w:rPr>
      </w:pPr>
    </w:p>
    <w:p w14:paraId="630F4EFA">
      <w:pPr>
        <w:pStyle w:val="18"/>
        <w:keepNext w:val="0"/>
        <w:keepLines w:val="0"/>
        <w:pageBreakBefore w:val="0"/>
        <w:widowControl/>
        <w:suppressLineNumbers w:val="0"/>
        <w:kinsoku/>
        <w:wordWrap/>
        <w:overflowPunct/>
        <w:topLinePunct w:val="0"/>
        <w:autoSpaceDE/>
        <w:autoSpaceDN/>
        <w:bidi w:val="0"/>
        <w:adjustRightInd/>
        <w:snapToGrid/>
        <w:spacing w:line="400" w:lineRule="exact"/>
        <w:textAlignment w:val="auto"/>
        <w:rPr>
          <w:sz w:val="28"/>
          <w:szCs w:val="28"/>
        </w:rPr>
      </w:pPr>
      <w:r>
        <w:rPr>
          <w:rFonts w:ascii="仿宋" w:hAnsi="仿宋" w:eastAsia="仿宋" w:cs="仿宋"/>
          <w:sz w:val="27"/>
          <w:szCs w:val="27"/>
        </w:rPr>
        <w:t xml:space="preserve">  </w:t>
      </w:r>
      <w:r>
        <w:rPr>
          <w:rFonts w:ascii="仿宋" w:hAnsi="仿宋" w:eastAsia="仿宋" w:cs="仿宋"/>
          <w:i w:val="0"/>
          <w:iCs w:val="0"/>
          <w:caps w:val="0"/>
          <w:color w:val="000000"/>
          <w:spacing w:val="0"/>
          <w:sz w:val="28"/>
          <w:szCs w:val="28"/>
        </w:rPr>
        <w:t>项目概况</w:t>
      </w:r>
    </w:p>
    <w:p w14:paraId="339ECC61">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吐峪沟乡泽日甫坎儿孜村沥青道路建设项目的潜在投标人应在政采云平台线上获取招标文件，并于</w:t>
      </w:r>
      <w:r>
        <w:rPr>
          <w:rFonts w:hint="eastAsia" w:ascii="仿宋" w:hAnsi="仿宋" w:eastAsia="仿宋" w:cs="仿宋"/>
          <w:i w:val="0"/>
          <w:iCs w:val="0"/>
          <w:caps w:val="0"/>
          <w:color w:val="auto"/>
          <w:spacing w:val="0"/>
          <w:sz w:val="28"/>
          <w:szCs w:val="28"/>
        </w:rPr>
        <w:t>202</w:t>
      </w:r>
      <w:r>
        <w:rPr>
          <w:rFonts w:hint="eastAsia" w:ascii="仿宋" w:hAnsi="仿宋" w:eastAsia="仿宋" w:cs="仿宋"/>
          <w:i w:val="0"/>
          <w:iCs w:val="0"/>
          <w:caps w:val="0"/>
          <w:color w:val="auto"/>
          <w:spacing w:val="0"/>
          <w:sz w:val="28"/>
          <w:szCs w:val="28"/>
          <w:lang w:val="en-US" w:eastAsia="zh-CN"/>
        </w:rPr>
        <w:t>5</w:t>
      </w:r>
      <w:r>
        <w:rPr>
          <w:rFonts w:hint="eastAsia" w:ascii="仿宋" w:hAnsi="仿宋" w:eastAsia="仿宋" w:cs="仿宋"/>
          <w:i w:val="0"/>
          <w:iCs w:val="0"/>
          <w:caps w:val="0"/>
          <w:color w:val="auto"/>
          <w:spacing w:val="0"/>
          <w:sz w:val="28"/>
          <w:szCs w:val="28"/>
        </w:rPr>
        <w:t>年</w:t>
      </w:r>
      <w:r>
        <w:rPr>
          <w:rFonts w:hint="eastAsia" w:ascii="仿宋" w:hAnsi="仿宋" w:eastAsia="仿宋" w:cs="仿宋"/>
          <w:i w:val="0"/>
          <w:iCs w:val="0"/>
          <w:caps w:val="0"/>
          <w:color w:val="auto"/>
          <w:spacing w:val="0"/>
          <w:sz w:val="28"/>
          <w:szCs w:val="28"/>
          <w:lang w:val="en-US" w:eastAsia="zh-CN"/>
        </w:rPr>
        <w:t>03</w:t>
      </w:r>
      <w:r>
        <w:rPr>
          <w:rFonts w:hint="eastAsia" w:ascii="仿宋" w:hAnsi="仿宋" w:eastAsia="仿宋" w:cs="仿宋"/>
          <w:i w:val="0"/>
          <w:iCs w:val="0"/>
          <w:caps w:val="0"/>
          <w:color w:val="auto"/>
          <w:spacing w:val="0"/>
          <w:sz w:val="28"/>
          <w:szCs w:val="28"/>
        </w:rPr>
        <w:t>月</w:t>
      </w:r>
      <w:r>
        <w:rPr>
          <w:rFonts w:hint="eastAsia" w:ascii="仿宋" w:hAnsi="仿宋" w:eastAsia="仿宋" w:cs="仿宋"/>
          <w:i w:val="0"/>
          <w:iCs w:val="0"/>
          <w:caps w:val="0"/>
          <w:color w:val="auto"/>
          <w:spacing w:val="0"/>
          <w:sz w:val="28"/>
          <w:szCs w:val="28"/>
          <w:lang w:val="en-US" w:eastAsia="zh-CN"/>
        </w:rPr>
        <w:t>11</w:t>
      </w:r>
      <w:r>
        <w:rPr>
          <w:rFonts w:hint="eastAsia" w:ascii="仿宋" w:hAnsi="仿宋" w:eastAsia="仿宋" w:cs="仿宋"/>
          <w:i w:val="0"/>
          <w:iCs w:val="0"/>
          <w:caps w:val="0"/>
          <w:color w:val="auto"/>
          <w:spacing w:val="0"/>
          <w:sz w:val="28"/>
          <w:szCs w:val="28"/>
        </w:rPr>
        <w:t>日</w:t>
      </w:r>
      <w:r>
        <w:rPr>
          <w:rFonts w:hint="eastAsia" w:ascii="仿宋" w:hAnsi="仿宋" w:eastAsia="仿宋" w:cs="仿宋"/>
          <w:i w:val="0"/>
          <w:iCs w:val="0"/>
          <w:caps w:val="0"/>
          <w:color w:val="auto"/>
          <w:spacing w:val="0"/>
          <w:sz w:val="28"/>
          <w:szCs w:val="28"/>
          <w:lang w:val="en-US" w:eastAsia="zh-CN"/>
        </w:rPr>
        <w:t>11:00</w:t>
      </w:r>
      <w:r>
        <w:rPr>
          <w:rFonts w:hint="eastAsia" w:ascii="仿宋" w:hAnsi="仿宋" w:eastAsia="仿宋" w:cs="仿宋"/>
          <w:i w:val="0"/>
          <w:iCs w:val="0"/>
          <w:caps w:val="0"/>
          <w:color w:val="000000"/>
          <w:spacing w:val="0"/>
          <w:sz w:val="28"/>
          <w:szCs w:val="28"/>
          <w:lang w:val="en-US" w:eastAsia="zh-CN"/>
        </w:rPr>
        <w:t>（北京时间）前递交投标文件。</w:t>
      </w:r>
    </w:p>
    <w:p w14:paraId="7FAC9779">
      <w:pPr>
        <w:pStyle w:val="18"/>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firstLine="0"/>
        <w:jc w:val="both"/>
        <w:textAlignment w:val="auto"/>
        <w:rPr>
          <w:rFonts w:ascii="黑体" w:hAnsi="宋体" w:eastAsia="黑体" w:cs="黑体"/>
          <w:i w:val="0"/>
          <w:iCs w:val="0"/>
          <w:caps w:val="0"/>
          <w:color w:val="000000"/>
          <w:spacing w:val="0"/>
          <w:sz w:val="28"/>
          <w:szCs w:val="28"/>
        </w:rPr>
      </w:pPr>
      <w:r>
        <w:rPr>
          <w:rStyle w:val="23"/>
          <w:rFonts w:ascii="黑体" w:hAnsi="宋体" w:eastAsia="黑体" w:cs="黑体"/>
          <w:i w:val="0"/>
          <w:iCs w:val="0"/>
          <w:caps w:val="0"/>
          <w:color w:val="000000"/>
          <w:spacing w:val="0"/>
          <w:sz w:val="28"/>
          <w:szCs w:val="28"/>
        </w:rPr>
        <w:t>一、项目基本情况</w:t>
      </w:r>
    </w:p>
    <w:p w14:paraId="396DFCC1">
      <w:pPr>
        <w:pStyle w:val="18"/>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default" w:ascii="仿宋" w:hAnsi="仿宋" w:eastAsia="仿宋" w:cs="仿宋"/>
          <w:i w:val="0"/>
          <w:iCs w:val="0"/>
          <w:caps w:val="0"/>
          <w:color w:val="auto"/>
          <w:spacing w:val="0"/>
          <w:kern w:val="2"/>
          <w:sz w:val="28"/>
          <w:szCs w:val="28"/>
          <w:lang w:val="en-US" w:eastAsia="zh-CN" w:bidi="ar-SA"/>
        </w:rPr>
      </w:pPr>
      <w:r>
        <w:rPr>
          <w:rFonts w:hint="eastAsia" w:ascii="仿宋" w:hAnsi="仿宋" w:eastAsia="仿宋" w:cs="仿宋"/>
          <w:i w:val="0"/>
          <w:iCs w:val="0"/>
          <w:caps w:val="0"/>
          <w:color w:val="auto"/>
          <w:spacing w:val="0"/>
          <w:sz w:val="28"/>
          <w:szCs w:val="28"/>
        </w:rPr>
        <w:t>项目编号</w:t>
      </w:r>
      <w:r>
        <w:rPr>
          <w:rFonts w:hint="eastAsia" w:ascii="仿宋" w:hAnsi="仿宋" w:eastAsia="仿宋" w:cs="仿宋"/>
          <w:i w:val="0"/>
          <w:iCs w:val="0"/>
          <w:caps w:val="0"/>
          <w:color w:val="auto"/>
          <w:spacing w:val="0"/>
          <w:kern w:val="2"/>
          <w:sz w:val="28"/>
          <w:szCs w:val="28"/>
          <w:lang w:val="en-US" w:eastAsia="zh-CN" w:bidi="ar-SA"/>
        </w:rPr>
        <w:t>：</w:t>
      </w:r>
      <w:r>
        <w:rPr>
          <w:rFonts w:hint="eastAsia" w:ascii="仿宋" w:hAnsi="仿宋" w:eastAsia="仿宋" w:cs="仿宋"/>
          <w:i w:val="0"/>
          <w:iCs w:val="0"/>
          <w:caps w:val="0"/>
          <w:color w:val="auto"/>
          <w:spacing w:val="0"/>
          <w:kern w:val="2"/>
          <w:sz w:val="28"/>
          <w:szCs w:val="28"/>
          <w:lang w:val="en-US" w:eastAsia="zh-CN" w:bidi="ar-SA"/>
        </w:rPr>
        <w:fldChar w:fldCharType="begin"/>
      </w:r>
      <w:r>
        <w:rPr>
          <w:rFonts w:hint="eastAsia" w:ascii="仿宋" w:hAnsi="仿宋" w:eastAsia="仿宋" w:cs="仿宋"/>
          <w:i w:val="0"/>
          <w:iCs w:val="0"/>
          <w:caps w:val="0"/>
          <w:color w:val="auto"/>
          <w:spacing w:val="0"/>
          <w:kern w:val="2"/>
          <w:sz w:val="28"/>
          <w:szCs w:val="28"/>
          <w:lang w:val="en-US" w:eastAsia="zh-CN" w:bidi="ar-SA"/>
        </w:rPr>
        <w:instrText xml:space="preserve"> HYPERLINK "https://www.zcygov.cn/gaea/api/project/flow/redirect?projectId=7282678999809785884&amp;newUrl=https://www.zcygov.cn/flow-project-center/_procurement_/blank/project-flow?_flow_type_=agency&amp;_flow_projectId_=7282678999809785884&amp;oldUrl=https://www.zcygov.cn/project-center/_procurement_/project-result-detail/7282678999809785884&amp;utm=web-project-center-front.42c12ca3.0.0.593df8d09b4f11efa1d5c747b1c66b1e" \t "https://www.zcygov.cn/project-center/_procurement_/self-project/_blank" </w:instrText>
      </w:r>
      <w:r>
        <w:rPr>
          <w:rFonts w:hint="eastAsia" w:ascii="仿宋" w:hAnsi="仿宋" w:eastAsia="仿宋" w:cs="仿宋"/>
          <w:i w:val="0"/>
          <w:iCs w:val="0"/>
          <w:caps w:val="0"/>
          <w:color w:val="auto"/>
          <w:spacing w:val="0"/>
          <w:kern w:val="2"/>
          <w:sz w:val="28"/>
          <w:szCs w:val="28"/>
          <w:lang w:val="en-US" w:eastAsia="zh-CN" w:bidi="ar-SA"/>
        </w:rPr>
        <w:fldChar w:fldCharType="separate"/>
      </w:r>
      <w:r>
        <w:rPr>
          <w:rFonts w:hint="eastAsia" w:ascii="仿宋" w:hAnsi="仿宋" w:eastAsia="仿宋" w:cs="仿宋"/>
          <w:i w:val="0"/>
          <w:iCs w:val="0"/>
          <w:caps w:val="0"/>
          <w:color w:val="auto"/>
          <w:spacing w:val="0"/>
          <w:kern w:val="2"/>
          <w:sz w:val="28"/>
          <w:szCs w:val="28"/>
          <w:lang w:val="en-US" w:eastAsia="zh-CN" w:bidi="ar-SA"/>
        </w:rPr>
        <w:t>HYZB2025-(Z)0</w:t>
      </w:r>
      <w:r>
        <w:rPr>
          <w:rFonts w:hint="eastAsia" w:ascii="仿宋" w:hAnsi="仿宋" w:eastAsia="仿宋" w:cs="仿宋"/>
          <w:i w:val="0"/>
          <w:iCs w:val="0"/>
          <w:caps w:val="0"/>
          <w:color w:val="auto"/>
          <w:spacing w:val="0"/>
          <w:kern w:val="2"/>
          <w:sz w:val="28"/>
          <w:szCs w:val="28"/>
          <w:lang w:val="en-US" w:eastAsia="zh-CN" w:bidi="ar-SA"/>
        </w:rPr>
        <w:fldChar w:fldCharType="end"/>
      </w:r>
      <w:r>
        <w:rPr>
          <w:rFonts w:hint="eastAsia" w:ascii="仿宋" w:hAnsi="仿宋" w:eastAsia="仿宋" w:cs="仿宋"/>
          <w:i w:val="0"/>
          <w:iCs w:val="0"/>
          <w:caps w:val="0"/>
          <w:color w:val="auto"/>
          <w:spacing w:val="0"/>
          <w:kern w:val="2"/>
          <w:sz w:val="28"/>
          <w:szCs w:val="28"/>
          <w:lang w:val="en-US" w:eastAsia="zh-CN" w:bidi="ar-SA"/>
        </w:rPr>
        <w:t>6</w:t>
      </w:r>
    </w:p>
    <w:p w14:paraId="3C6E5E15">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仿宋"/>
          <w:i w:val="0"/>
          <w:iCs w:val="0"/>
          <w:caps w:val="0"/>
          <w:color w:val="000000" w:themeColor="text1"/>
          <w:spacing w:val="0"/>
          <w:kern w:val="2"/>
          <w:sz w:val="28"/>
          <w:szCs w:val="28"/>
          <w:lang w:val="en-US" w:eastAsia="zh-CN" w:bidi="ar-SA"/>
          <w14:textFill>
            <w14:solidFill>
              <w14:schemeClr w14:val="tx1"/>
            </w14:solidFill>
          </w14:textFill>
        </w:rPr>
      </w:pPr>
      <w:r>
        <w:rPr>
          <w:rFonts w:hint="eastAsia" w:ascii="仿宋" w:hAnsi="仿宋" w:eastAsia="仿宋" w:cs="仿宋"/>
          <w:i w:val="0"/>
          <w:iCs w:val="0"/>
          <w:caps w:val="0"/>
          <w:color w:val="000000"/>
          <w:spacing w:val="0"/>
          <w:sz w:val="28"/>
          <w:szCs w:val="28"/>
        </w:rPr>
        <w:t>项目</w:t>
      </w:r>
      <w:r>
        <w:rPr>
          <w:rFonts w:hint="eastAsia" w:ascii="仿宋" w:hAnsi="仿宋" w:eastAsia="仿宋" w:cs="仿宋"/>
          <w:i w:val="0"/>
          <w:iCs w:val="0"/>
          <w:caps w:val="0"/>
          <w:color w:val="000000"/>
          <w:spacing w:val="0"/>
          <w:kern w:val="0"/>
          <w:sz w:val="28"/>
          <w:szCs w:val="28"/>
          <w:lang w:val="en-US" w:eastAsia="zh-CN" w:bidi="ar"/>
        </w:rPr>
        <w:t>名称</w:t>
      </w:r>
      <w:r>
        <w:rPr>
          <w:rFonts w:hint="eastAsia" w:ascii="仿宋" w:hAnsi="仿宋" w:eastAsia="仿宋" w:cs="仿宋"/>
          <w:i w:val="0"/>
          <w:iCs w:val="0"/>
          <w:caps w:val="0"/>
          <w:color w:val="auto"/>
          <w:spacing w:val="0"/>
          <w:kern w:val="2"/>
          <w:sz w:val="28"/>
          <w:szCs w:val="28"/>
          <w:lang w:val="en-US" w:eastAsia="zh-CN" w:bidi="ar-SA"/>
        </w:rPr>
        <w:t>：</w:t>
      </w:r>
      <w:r>
        <w:rPr>
          <w:rFonts w:hint="eastAsia" w:ascii="仿宋" w:hAnsi="仿宋" w:eastAsia="仿宋" w:cs="仿宋"/>
          <w:i w:val="0"/>
          <w:iCs w:val="0"/>
          <w:caps w:val="0"/>
          <w:color w:val="000000" w:themeColor="text1"/>
          <w:spacing w:val="0"/>
          <w:kern w:val="2"/>
          <w:sz w:val="28"/>
          <w:szCs w:val="28"/>
          <w:lang w:val="en-US" w:eastAsia="zh-CN" w:bidi="ar-SA"/>
          <w14:textFill>
            <w14:solidFill>
              <w14:schemeClr w14:val="tx1"/>
            </w14:solidFill>
          </w14:textFill>
        </w:rPr>
        <w:t>吐峪沟乡泽日甫坎儿孜村沥青道路建设项目</w:t>
      </w:r>
    </w:p>
    <w:p w14:paraId="40F0A6B5">
      <w:pPr>
        <w:pStyle w:val="18"/>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default" w:ascii="仿宋" w:hAnsi="仿宋" w:eastAsia="仿宋" w:cs="仿宋"/>
          <w:i w:val="0"/>
          <w:iCs w:val="0"/>
          <w:caps w:val="0"/>
          <w:color w:val="000000" w:themeColor="text1"/>
          <w:spacing w:val="0"/>
          <w:kern w:val="2"/>
          <w:sz w:val="28"/>
          <w:szCs w:val="28"/>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28"/>
          <w:szCs w:val="28"/>
          <w:lang w:val="en-US" w:eastAsia="zh-CN" w:bidi="ar-SA"/>
          <w14:textFill>
            <w14:solidFill>
              <w14:schemeClr w14:val="tx1"/>
            </w14:solidFill>
          </w14:textFill>
        </w:rPr>
        <w:t>采购方式：竞争性磋商</w:t>
      </w:r>
    </w:p>
    <w:p w14:paraId="3D0048A7">
      <w:pPr>
        <w:keepNext w:val="0"/>
        <w:keepLines w:val="0"/>
        <w:pageBreakBefore w:val="0"/>
        <w:widowControl/>
        <w:suppressLineNumbers w:val="0"/>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t>预算金额（元）：171</w:t>
      </w:r>
      <w:r>
        <w:rPr>
          <w:rFonts w:hint="eastAsia" w:ascii="仿宋" w:hAnsi="仿宋" w:eastAsia="仿宋" w:cs="仿宋"/>
          <w:i w:val="0"/>
          <w:iCs w:val="0"/>
          <w:caps w:val="0"/>
          <w:color w:val="000000" w:themeColor="text1"/>
          <w:spacing w:val="0"/>
          <w:sz w:val="28"/>
          <w:szCs w:val="28"/>
          <w:lang w:val="en-US" w:eastAsia="zh-CN"/>
          <w14:textFill>
            <w14:solidFill>
              <w14:schemeClr w14:val="tx1"/>
            </w14:solidFill>
          </w14:textFill>
        </w:rPr>
        <w:t>0000</w:t>
      </w:r>
    </w:p>
    <w:p w14:paraId="69150C2E">
      <w:pPr>
        <w:pStyle w:val="18"/>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default" w:ascii="仿宋" w:hAnsi="仿宋" w:eastAsia="仿宋" w:cs="仿宋"/>
          <w:i w:val="0"/>
          <w:iCs w:val="0"/>
          <w:caps w:val="0"/>
          <w:color w:val="auto"/>
          <w:spacing w:val="0"/>
          <w:kern w:val="0"/>
          <w:sz w:val="28"/>
          <w:szCs w:val="28"/>
          <w:highlight w:val="none"/>
          <w:lang w:val="en-US" w:eastAsia="zh-CN" w:bidi="ar"/>
        </w:rPr>
      </w:pPr>
      <w:r>
        <w:rPr>
          <w:rFonts w:hint="eastAsia" w:ascii="仿宋" w:hAnsi="仿宋" w:eastAsia="仿宋" w:cs="仿宋"/>
          <w:i w:val="0"/>
          <w:iCs w:val="0"/>
          <w:caps w:val="0"/>
          <w:color w:val="auto"/>
          <w:spacing w:val="0"/>
          <w:kern w:val="0"/>
          <w:sz w:val="28"/>
          <w:szCs w:val="28"/>
          <w:highlight w:val="none"/>
          <w:lang w:val="en-US" w:eastAsia="zh-CN" w:bidi="ar"/>
        </w:rPr>
        <w:t>最高限价（元）：1573470.67</w:t>
      </w:r>
    </w:p>
    <w:p w14:paraId="1B0C0D6B">
      <w:pPr>
        <w:pStyle w:val="18"/>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t>采购需求：</w:t>
      </w:r>
    </w:p>
    <w:p w14:paraId="4E91ECA4">
      <w:pPr>
        <w:pStyle w:val="18"/>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t>   标项名称:吐峪沟乡泽日甫坎儿孜村沥青道路建设项目</w:t>
      </w:r>
    </w:p>
    <w:p w14:paraId="5B83DA0A">
      <w:pPr>
        <w:pStyle w:val="18"/>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t>   数量:1</w:t>
      </w:r>
    </w:p>
    <w:p w14:paraId="001EBD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t>   预算金额（元）</w:t>
      </w:r>
      <w:r>
        <w:rPr>
          <w:rFonts w:hint="eastAsia" w:ascii="仿宋" w:hAnsi="仿宋" w:eastAsia="仿宋" w:cs="仿宋"/>
          <w:i w:val="0"/>
          <w:iCs w:val="0"/>
          <w:caps w:val="0"/>
          <w:color w:val="auto"/>
          <w:spacing w:val="0"/>
          <w:kern w:val="0"/>
          <w:sz w:val="28"/>
          <w:szCs w:val="28"/>
          <w:lang w:val="en-US" w:eastAsia="zh-CN" w:bidi="ar"/>
        </w:rPr>
        <w:t>:171</w:t>
      </w:r>
      <w:r>
        <w:rPr>
          <w:rFonts w:hint="eastAsia" w:ascii="仿宋" w:hAnsi="仿宋" w:eastAsia="仿宋" w:cs="仿宋"/>
          <w:i w:val="0"/>
          <w:iCs w:val="0"/>
          <w:caps w:val="0"/>
          <w:color w:val="auto"/>
          <w:spacing w:val="0"/>
          <w:sz w:val="28"/>
          <w:szCs w:val="28"/>
          <w:lang w:val="en-US" w:eastAsia="zh-CN"/>
        </w:rPr>
        <w:t>0000</w:t>
      </w:r>
    </w:p>
    <w:p w14:paraId="32A68A9C">
      <w:pPr>
        <w:pStyle w:val="18"/>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default"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28"/>
          <w:szCs w:val="28"/>
          <w:lang w:val="en-US" w:eastAsia="zh-CN" w:bidi="ar"/>
          <w14:textFill>
            <w14:solidFill>
              <w14:schemeClr w14:val="tx1"/>
            </w14:solidFill>
          </w14:textFill>
        </w:rPr>
        <w:t>单位：项</w:t>
      </w:r>
    </w:p>
    <w:p w14:paraId="0CF1F0A8">
      <w:pPr>
        <w:pStyle w:val="11"/>
        <w:keepNext w:val="0"/>
        <w:keepLines w:val="0"/>
        <w:pageBreakBefore w:val="0"/>
        <w:shd w:val="clear" w:color="auto" w:fill="FFFFFF"/>
        <w:kinsoku/>
        <w:wordWrap/>
        <w:overflowPunct/>
        <w:autoSpaceDE w:val="0"/>
        <w:autoSpaceDN/>
        <w:bidi w:val="0"/>
        <w:adjustRightInd w:val="0"/>
        <w:snapToGrid w:val="0"/>
        <w:spacing w:line="400" w:lineRule="exact"/>
        <w:ind w:left="0" w:leftChars="0" w:right="0" w:firstLine="560" w:firstLineChars="200"/>
        <w:textAlignment w:val="auto"/>
        <w:rPr>
          <w:rFonts w:hint="default" w:ascii="仿宋" w:hAnsi="仿宋" w:eastAsia="仿宋" w:cs="仿宋"/>
          <w:i w:val="0"/>
          <w:iCs w:val="0"/>
          <w:caps w:val="0"/>
          <w:color w:val="auto"/>
          <w:spacing w:val="0"/>
          <w:sz w:val="28"/>
          <w:szCs w:val="28"/>
          <w:lang w:val="en-US" w:eastAsia="zh-CN"/>
        </w:rPr>
      </w:pPr>
      <w:r>
        <w:rPr>
          <w:rFonts w:hint="eastAsia" w:ascii="仿宋" w:hAnsi="仿宋" w:eastAsia="仿宋" w:cs="仿宋"/>
          <w:i w:val="0"/>
          <w:iCs w:val="0"/>
          <w:caps w:val="0"/>
          <w:color w:val="auto"/>
          <w:spacing w:val="0"/>
          <w:kern w:val="0"/>
          <w:sz w:val="28"/>
          <w:szCs w:val="28"/>
          <w:lang w:val="en-US" w:eastAsia="zh-CN" w:bidi="ar"/>
        </w:rPr>
        <w:t>简要规格描</w:t>
      </w:r>
      <w:r>
        <w:rPr>
          <w:rFonts w:hint="eastAsia" w:ascii="仿宋" w:hAnsi="仿宋" w:eastAsia="仿宋" w:cs="仿宋"/>
          <w:i w:val="0"/>
          <w:iCs w:val="0"/>
          <w:caps w:val="0"/>
          <w:color w:val="000000"/>
          <w:spacing w:val="0"/>
          <w:kern w:val="0"/>
          <w:sz w:val="28"/>
          <w:szCs w:val="28"/>
          <w:lang w:val="en-US" w:eastAsia="zh-CN" w:bidi="ar"/>
        </w:rPr>
        <w:t>述或</w:t>
      </w:r>
      <w:r>
        <w:rPr>
          <w:rFonts w:hint="eastAsia" w:ascii="仿宋" w:hAnsi="仿宋" w:eastAsia="仿宋" w:cs="仿宋"/>
          <w:i w:val="0"/>
          <w:iCs w:val="0"/>
          <w:caps w:val="0"/>
          <w:color w:val="auto"/>
          <w:spacing w:val="0"/>
          <w:kern w:val="0"/>
          <w:sz w:val="28"/>
          <w:szCs w:val="28"/>
          <w:lang w:val="en-US" w:eastAsia="zh-CN" w:bidi="ar"/>
        </w:rPr>
        <w:t>项目基本概况介绍、用途：</w:t>
      </w:r>
      <w:r>
        <w:rPr>
          <w:rFonts w:hint="eastAsia" w:ascii="仿宋" w:hAnsi="仿宋" w:eastAsia="仿宋" w:cs="仿宋"/>
          <w:i w:val="0"/>
          <w:iCs w:val="0"/>
          <w:caps w:val="0"/>
          <w:color w:val="auto"/>
          <w:spacing w:val="0"/>
          <w:sz w:val="28"/>
          <w:szCs w:val="28"/>
          <w:lang w:val="en-US" w:eastAsia="zh-CN"/>
        </w:rPr>
        <w:t>新建沥青道路3公里，路面宽5米。（详见工程量清单）</w:t>
      </w:r>
    </w:p>
    <w:p w14:paraId="14476CB0">
      <w:pPr>
        <w:pStyle w:val="18"/>
        <w:keepNext w:val="0"/>
        <w:keepLines w:val="0"/>
        <w:pageBreakBefore w:val="0"/>
        <w:widowControl/>
        <w:suppressLineNumbers w:val="0"/>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i w:val="0"/>
          <w:iCs w:val="0"/>
          <w:caps w:val="0"/>
          <w:color w:val="auto"/>
          <w:spacing w:val="0"/>
          <w:kern w:val="0"/>
          <w:sz w:val="28"/>
          <w:szCs w:val="28"/>
          <w:lang w:val="en-US" w:eastAsia="zh-CN" w:bidi="ar"/>
        </w:rPr>
      </w:pPr>
      <w:r>
        <w:rPr>
          <w:rFonts w:hint="eastAsia" w:ascii="仿宋" w:hAnsi="仿宋" w:eastAsia="仿宋" w:cs="仿宋"/>
          <w:i w:val="0"/>
          <w:iCs w:val="0"/>
          <w:caps w:val="0"/>
          <w:color w:val="auto"/>
          <w:spacing w:val="0"/>
          <w:kern w:val="0"/>
          <w:sz w:val="28"/>
          <w:szCs w:val="28"/>
          <w:lang w:val="en-US" w:eastAsia="zh-CN" w:bidi="ar"/>
        </w:rPr>
        <w:t>备注：</w:t>
      </w:r>
    </w:p>
    <w:p w14:paraId="2598E35A">
      <w:pPr>
        <w:pStyle w:val="18"/>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default" w:ascii="仿宋" w:hAnsi="仿宋" w:eastAsia="仿宋" w:cs="仿宋"/>
          <w:i w:val="0"/>
          <w:iCs w:val="0"/>
          <w:caps w:val="0"/>
          <w:color w:val="000000"/>
          <w:spacing w:val="0"/>
          <w:sz w:val="28"/>
          <w:szCs w:val="28"/>
          <w:lang w:val="en-US"/>
        </w:rPr>
      </w:pPr>
      <w:r>
        <w:rPr>
          <w:rFonts w:hint="eastAsia" w:ascii="仿宋" w:hAnsi="仿宋" w:eastAsia="仿宋" w:cs="仿宋"/>
          <w:i w:val="0"/>
          <w:iCs w:val="0"/>
          <w:caps w:val="0"/>
          <w:color w:val="000000"/>
          <w:spacing w:val="0"/>
          <w:sz w:val="28"/>
          <w:szCs w:val="28"/>
        </w:rPr>
        <w:t>合同履约期限：</w:t>
      </w:r>
      <w:r>
        <w:rPr>
          <w:rFonts w:hint="eastAsia" w:ascii="仿宋" w:hAnsi="仿宋" w:eastAsia="仿宋" w:cs="仿宋"/>
          <w:i w:val="0"/>
          <w:iCs w:val="0"/>
          <w:caps w:val="0"/>
          <w:color w:val="auto"/>
          <w:spacing w:val="0"/>
          <w:sz w:val="28"/>
          <w:szCs w:val="28"/>
          <w:lang w:val="en-US" w:eastAsia="zh-CN"/>
        </w:rPr>
        <w:t>合同签订后90日历天</w:t>
      </w:r>
    </w:p>
    <w:p w14:paraId="670E4707">
      <w:pPr>
        <w:pStyle w:val="18"/>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color w:val="auto"/>
          <w:sz w:val="28"/>
          <w:szCs w:val="28"/>
        </w:rPr>
      </w:pPr>
      <w:r>
        <w:rPr>
          <w:rFonts w:hint="eastAsia" w:ascii="仿宋" w:hAnsi="仿宋" w:eastAsia="仿宋" w:cs="仿宋"/>
          <w:i w:val="0"/>
          <w:iCs w:val="0"/>
          <w:caps w:val="0"/>
          <w:color w:val="auto"/>
          <w:spacing w:val="0"/>
          <w:sz w:val="28"/>
          <w:szCs w:val="28"/>
        </w:rPr>
        <w:t>本项目（否）接受联合体投标。</w:t>
      </w:r>
    </w:p>
    <w:p w14:paraId="42A26E3D">
      <w:pPr>
        <w:pStyle w:val="18"/>
        <w:keepNext w:val="0"/>
        <w:keepLines w:val="0"/>
        <w:pageBreakBefore w:val="0"/>
        <w:widowControl/>
        <w:suppressLineNumbers w:val="0"/>
        <w:kinsoku/>
        <w:wordWrap/>
        <w:overflowPunct/>
        <w:topLinePunct w:val="0"/>
        <w:autoSpaceDE/>
        <w:autoSpaceDN/>
        <w:bidi w:val="0"/>
        <w:adjustRightInd/>
        <w:snapToGrid/>
        <w:spacing w:line="400" w:lineRule="exact"/>
        <w:textAlignment w:val="auto"/>
        <w:rPr>
          <w:color w:val="000000"/>
          <w:sz w:val="28"/>
          <w:szCs w:val="28"/>
        </w:rPr>
      </w:pPr>
      <w:r>
        <w:rPr>
          <w:rStyle w:val="23"/>
          <w:rFonts w:ascii="黑体" w:hAnsi="宋体" w:eastAsia="黑体" w:cs="黑体"/>
          <w:i w:val="0"/>
          <w:iCs w:val="0"/>
          <w:caps w:val="0"/>
          <w:color w:val="000000"/>
          <w:spacing w:val="0"/>
          <w:sz w:val="28"/>
          <w:szCs w:val="28"/>
        </w:rPr>
        <w:t>二、申请人的资格要求：</w:t>
      </w:r>
    </w:p>
    <w:p w14:paraId="715900B1">
      <w:pPr>
        <w:pStyle w:val="18"/>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color w:val="000000"/>
          <w:sz w:val="28"/>
          <w:szCs w:val="28"/>
        </w:rPr>
      </w:pPr>
      <w:r>
        <w:rPr>
          <w:rFonts w:hint="eastAsia" w:ascii="仿宋" w:hAnsi="仿宋" w:eastAsia="仿宋" w:cs="仿宋"/>
          <w:i w:val="0"/>
          <w:iCs w:val="0"/>
          <w:caps w:val="0"/>
          <w:color w:val="000000"/>
          <w:spacing w:val="0"/>
          <w:sz w:val="28"/>
          <w:szCs w:val="28"/>
        </w:rPr>
        <w:t>1.满足《中华人民共和国政府采购法》第二十二条规定；</w:t>
      </w:r>
    </w:p>
    <w:p w14:paraId="502B3A2B">
      <w:pPr>
        <w:pStyle w:val="18"/>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eastAsia" w:eastAsia="仿宋"/>
          <w:color w:val="000000"/>
          <w:sz w:val="28"/>
          <w:szCs w:val="28"/>
          <w:lang w:eastAsia="zh-CN"/>
        </w:rPr>
      </w:pPr>
      <w:r>
        <w:rPr>
          <w:rFonts w:hint="eastAsia" w:ascii="仿宋" w:hAnsi="仿宋" w:eastAsia="仿宋" w:cs="仿宋"/>
          <w:i w:val="0"/>
          <w:iCs w:val="0"/>
          <w:caps w:val="0"/>
          <w:color w:val="000000"/>
          <w:spacing w:val="0"/>
          <w:sz w:val="28"/>
          <w:szCs w:val="28"/>
        </w:rPr>
        <w:t>2.落实政府采购政策需满足的资格要求：</w:t>
      </w:r>
      <w:r>
        <w:rPr>
          <w:rFonts w:hint="eastAsia" w:ascii="仿宋" w:hAnsi="仿宋" w:eastAsia="仿宋" w:cs="仿宋"/>
          <w:i w:val="0"/>
          <w:iCs w:val="0"/>
          <w:caps w:val="0"/>
          <w:color w:val="000000"/>
          <w:spacing w:val="0"/>
          <w:sz w:val="28"/>
          <w:szCs w:val="28"/>
          <w:lang w:val="en-US" w:eastAsia="zh-CN"/>
        </w:rPr>
        <w:t>专门面向中</w:t>
      </w:r>
      <w:r>
        <w:rPr>
          <w:rFonts w:hint="eastAsia" w:ascii="仿宋" w:hAnsi="仿宋" w:eastAsia="仿宋" w:cs="仿宋"/>
          <w:i w:val="0"/>
          <w:iCs w:val="0"/>
          <w:caps w:val="0"/>
          <w:color w:val="000000"/>
          <w:spacing w:val="0"/>
          <w:sz w:val="28"/>
          <w:szCs w:val="28"/>
        </w:rPr>
        <w:t>小企业</w:t>
      </w:r>
      <w:r>
        <w:rPr>
          <w:rFonts w:hint="eastAsia" w:ascii="仿宋" w:hAnsi="仿宋" w:eastAsia="仿宋" w:cs="仿宋"/>
          <w:i w:val="0"/>
          <w:iCs w:val="0"/>
          <w:caps w:val="0"/>
          <w:color w:val="000000"/>
          <w:spacing w:val="0"/>
          <w:sz w:val="28"/>
          <w:szCs w:val="28"/>
          <w:lang w:eastAsia="zh-CN"/>
        </w:rPr>
        <w:t>；</w:t>
      </w:r>
    </w:p>
    <w:p w14:paraId="631F9873">
      <w:pPr>
        <w:pStyle w:val="18"/>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3.本项目的特定资格要求：</w:t>
      </w:r>
    </w:p>
    <w:p w14:paraId="41BF503F">
      <w:pPr>
        <w:pStyle w:val="18"/>
        <w:keepNext w:val="0"/>
        <w:keepLines w:val="0"/>
        <w:pageBreakBefore w:val="0"/>
        <w:widowControl/>
        <w:suppressLineNumbers w:val="0"/>
        <w:kinsoku/>
        <w:wordWrap w:val="0"/>
        <w:overflowPunct/>
        <w:topLinePunct w:val="0"/>
        <w:autoSpaceDE/>
        <w:autoSpaceDN/>
        <w:bidi w:val="0"/>
        <w:adjustRightInd/>
        <w:snapToGrid/>
        <w:spacing w:line="400" w:lineRule="exact"/>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(1)具备有效的公路工程施工总承包三级（含）以上资质，公路工程专业二级(含)以上注册建造师执业资格及安全生产考核合格证书；</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2）</w:t>
      </w:r>
      <w:r>
        <w:rPr>
          <w:rFonts w:hint="eastAsia" w:ascii="仿宋" w:hAnsi="仿宋" w:eastAsia="仿宋" w:cs="仿宋"/>
          <w:i w:val="0"/>
          <w:iCs w:val="0"/>
          <w:caps w:val="0"/>
          <w:color w:val="000000"/>
          <w:spacing w:val="0"/>
          <w:sz w:val="28"/>
          <w:szCs w:val="28"/>
        </w:rPr>
        <w:t>投标人在人员、设备、资金等方面具有相应的施工能力，</w:t>
      </w:r>
      <w:r>
        <w:rPr>
          <w:rFonts w:hint="eastAsia" w:ascii="仿宋" w:hAnsi="仿宋" w:eastAsia="仿宋" w:cs="仿宋"/>
          <w:i w:val="0"/>
          <w:iCs w:val="0"/>
          <w:caps w:val="0"/>
          <w:color w:val="000000"/>
          <w:spacing w:val="0"/>
          <w:sz w:val="28"/>
          <w:szCs w:val="28"/>
          <w:lang w:val="en-US" w:eastAsia="zh-CN"/>
        </w:rPr>
        <w:t>有效的</w:t>
      </w:r>
      <w:r>
        <w:rPr>
          <w:rFonts w:hint="eastAsia" w:ascii="仿宋" w:hAnsi="仿宋" w:eastAsia="仿宋" w:cs="仿宋"/>
          <w:i w:val="0"/>
          <w:iCs w:val="0"/>
          <w:caps w:val="0"/>
          <w:color w:val="000000"/>
          <w:spacing w:val="0"/>
          <w:sz w:val="28"/>
          <w:szCs w:val="28"/>
        </w:rPr>
        <w:t>安全生产许可证，区外进疆建筑企业办理信息报送册。建造师、技术负责人及五大员不得担任其他在建工程项目；（</w:t>
      </w:r>
      <w:r>
        <w:rPr>
          <w:rFonts w:hint="eastAsia" w:ascii="仿宋" w:hAnsi="仿宋" w:eastAsia="仿宋" w:cs="仿宋"/>
          <w:i w:val="0"/>
          <w:iCs w:val="0"/>
          <w:caps w:val="0"/>
          <w:color w:val="000000"/>
          <w:spacing w:val="0"/>
          <w:sz w:val="28"/>
          <w:szCs w:val="28"/>
          <w:lang w:val="en-US" w:eastAsia="zh-CN"/>
        </w:rPr>
        <w:t>3</w:t>
      </w:r>
      <w:r>
        <w:rPr>
          <w:rFonts w:hint="eastAsia" w:ascii="仿宋" w:hAnsi="仿宋" w:eastAsia="仿宋" w:cs="仿宋"/>
          <w:i w:val="0"/>
          <w:iCs w:val="0"/>
          <w:caps w:val="0"/>
          <w:color w:val="000000"/>
          <w:spacing w:val="0"/>
          <w:sz w:val="28"/>
          <w:szCs w:val="28"/>
        </w:rPr>
        <w:t>）具有良好的商业信誉和健全的财务会计制度；（</w:t>
      </w:r>
      <w:r>
        <w:rPr>
          <w:rFonts w:hint="eastAsia" w:ascii="仿宋" w:hAnsi="仿宋" w:eastAsia="仿宋" w:cs="仿宋"/>
          <w:i w:val="0"/>
          <w:iCs w:val="0"/>
          <w:caps w:val="0"/>
          <w:color w:val="000000"/>
          <w:spacing w:val="0"/>
          <w:sz w:val="28"/>
          <w:szCs w:val="28"/>
          <w:lang w:val="en-US" w:eastAsia="zh-CN"/>
        </w:rPr>
        <w:t>4</w:t>
      </w:r>
      <w:r>
        <w:rPr>
          <w:rFonts w:hint="eastAsia" w:ascii="仿宋" w:hAnsi="仿宋" w:eastAsia="仿宋" w:cs="仿宋"/>
          <w:i w:val="0"/>
          <w:iCs w:val="0"/>
          <w:caps w:val="0"/>
          <w:color w:val="000000"/>
          <w:spacing w:val="0"/>
          <w:sz w:val="28"/>
          <w:szCs w:val="28"/>
        </w:rPr>
        <w:t>）参加本次采购活动前三年（202</w:t>
      </w:r>
      <w:r>
        <w:rPr>
          <w:rFonts w:hint="eastAsia" w:ascii="仿宋" w:hAnsi="仿宋" w:eastAsia="仿宋" w:cs="仿宋"/>
          <w:i w:val="0"/>
          <w:iCs w:val="0"/>
          <w:caps w:val="0"/>
          <w:color w:val="000000"/>
          <w:spacing w:val="0"/>
          <w:sz w:val="28"/>
          <w:szCs w:val="28"/>
          <w:lang w:val="en-US" w:eastAsia="zh-CN"/>
        </w:rPr>
        <w:t>2</w:t>
      </w:r>
      <w:r>
        <w:rPr>
          <w:rFonts w:hint="eastAsia" w:ascii="仿宋" w:hAnsi="仿宋" w:eastAsia="仿宋" w:cs="仿宋"/>
          <w:i w:val="0"/>
          <w:iCs w:val="0"/>
          <w:caps w:val="0"/>
          <w:color w:val="000000"/>
          <w:spacing w:val="0"/>
          <w:sz w:val="28"/>
          <w:szCs w:val="28"/>
        </w:rPr>
        <w:t>年1月至今），在经营活动中没有重大违法记录。（重大违法记录，是指供应商因违法经营受到刑事处罚或者责令停产停业、吊销许可证或者执照、较大数额罚款等行政处罚、刑事处罚）；</w:t>
      </w:r>
      <w:r>
        <w:rPr>
          <w:rFonts w:hint="eastAsia" w:ascii="仿宋" w:hAnsi="仿宋" w:eastAsia="仿宋" w:cs="仿宋"/>
          <w:i w:val="0"/>
          <w:iCs w:val="0"/>
          <w:caps w:val="0"/>
          <w:color w:val="000000"/>
          <w:spacing w:val="0"/>
          <w:sz w:val="28"/>
          <w:szCs w:val="28"/>
          <w:lang w:val="en-US" w:eastAsia="zh-CN"/>
        </w:rPr>
        <w:t>投标人</w:t>
      </w:r>
      <w:r>
        <w:rPr>
          <w:rFonts w:hint="eastAsia" w:ascii="仿宋" w:hAnsi="仿宋" w:eastAsia="仿宋" w:cs="仿宋"/>
          <w:i w:val="0"/>
          <w:iCs w:val="0"/>
          <w:caps w:val="0"/>
          <w:color w:val="000000"/>
          <w:spacing w:val="0"/>
          <w:sz w:val="28"/>
          <w:szCs w:val="28"/>
        </w:rPr>
        <w:t>未被列入“信用中国”网站“记录失信被执行人或重大税收违法案件当事人名单或政府采购严重违法失信行为”记录名单；不处于中国政府采购网“政府采购严重违法失信行为信息记录”中的禁止参加政府采购活动期间；未列入国家企业信用信息公示系统严重违法失信名单及其他不符合规定条件；（</w:t>
      </w:r>
      <w:r>
        <w:rPr>
          <w:rFonts w:hint="eastAsia" w:ascii="仿宋" w:hAnsi="仿宋" w:eastAsia="仿宋" w:cs="仿宋"/>
          <w:i w:val="0"/>
          <w:iCs w:val="0"/>
          <w:caps w:val="0"/>
          <w:color w:val="000000"/>
          <w:spacing w:val="0"/>
          <w:sz w:val="28"/>
          <w:szCs w:val="28"/>
          <w:lang w:val="en-US" w:eastAsia="zh-CN"/>
        </w:rPr>
        <w:t>5</w:t>
      </w:r>
      <w:r>
        <w:rPr>
          <w:rFonts w:hint="eastAsia" w:ascii="仿宋" w:hAnsi="仿宋" w:eastAsia="仿宋" w:cs="仿宋"/>
          <w:i w:val="0"/>
          <w:iCs w:val="0"/>
          <w:caps w:val="0"/>
          <w:color w:val="000000"/>
          <w:spacing w:val="0"/>
          <w:sz w:val="28"/>
          <w:szCs w:val="28"/>
        </w:rPr>
        <w:t>）单位负责人为同一人或者存在直接控股、管理关系的不同供应商，不得参加同一合同项下的政府采购活动。</w:t>
      </w:r>
      <w:r>
        <w:rPr>
          <w:rFonts w:hint="eastAsia" w:ascii="仿宋" w:hAnsi="仿宋" w:eastAsia="仿宋" w:cs="仿宋"/>
          <w:i w:val="0"/>
          <w:iCs w:val="0"/>
          <w:caps w:val="0"/>
          <w:color w:val="000000"/>
          <w:spacing w:val="0"/>
          <w:sz w:val="28"/>
          <w:szCs w:val="28"/>
          <w:lang w:eastAsia="zh-CN"/>
        </w:rPr>
        <w:t> </w:t>
      </w:r>
    </w:p>
    <w:p w14:paraId="1AE05131">
      <w:pPr>
        <w:pStyle w:val="18"/>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firstLine="0"/>
        <w:jc w:val="both"/>
        <w:textAlignment w:val="auto"/>
        <w:rPr>
          <w:rFonts w:ascii="黑体" w:hAnsi="宋体" w:eastAsia="黑体" w:cs="黑体"/>
          <w:i w:val="0"/>
          <w:iCs w:val="0"/>
          <w:caps w:val="0"/>
          <w:color w:val="000000"/>
          <w:spacing w:val="0"/>
          <w:sz w:val="28"/>
          <w:szCs w:val="28"/>
        </w:rPr>
      </w:pPr>
      <w:r>
        <w:rPr>
          <w:rStyle w:val="23"/>
          <w:rFonts w:ascii="黑体" w:hAnsi="宋体" w:eastAsia="黑体" w:cs="黑体"/>
          <w:i w:val="0"/>
          <w:iCs w:val="0"/>
          <w:caps w:val="0"/>
          <w:color w:val="000000"/>
          <w:spacing w:val="0"/>
          <w:sz w:val="28"/>
          <w:szCs w:val="28"/>
        </w:rPr>
        <w:t>三、获取</w:t>
      </w:r>
      <w:r>
        <w:rPr>
          <w:rStyle w:val="23"/>
          <w:rFonts w:hint="eastAsia" w:ascii="黑体" w:eastAsia="黑体" w:cs="黑体"/>
          <w:i w:val="0"/>
          <w:iCs w:val="0"/>
          <w:caps w:val="0"/>
          <w:color w:val="000000"/>
          <w:spacing w:val="0"/>
          <w:sz w:val="28"/>
          <w:szCs w:val="28"/>
          <w:lang w:val="en-US" w:eastAsia="zh-CN"/>
        </w:rPr>
        <w:t>采购</w:t>
      </w:r>
      <w:r>
        <w:rPr>
          <w:rStyle w:val="23"/>
          <w:rFonts w:ascii="黑体" w:hAnsi="宋体" w:eastAsia="黑体" w:cs="黑体"/>
          <w:i w:val="0"/>
          <w:iCs w:val="0"/>
          <w:caps w:val="0"/>
          <w:color w:val="000000"/>
          <w:spacing w:val="0"/>
          <w:sz w:val="28"/>
          <w:szCs w:val="28"/>
        </w:rPr>
        <w:t>文件</w:t>
      </w:r>
    </w:p>
    <w:p w14:paraId="1EA23848">
      <w:pPr>
        <w:pStyle w:val="18"/>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color w:val="000000"/>
          <w:sz w:val="28"/>
          <w:szCs w:val="28"/>
        </w:rPr>
      </w:pPr>
      <w:r>
        <w:rPr>
          <w:rFonts w:hint="eastAsia" w:ascii="仿宋" w:hAnsi="仿宋" w:eastAsia="仿宋" w:cs="仿宋"/>
          <w:i w:val="0"/>
          <w:iCs w:val="0"/>
          <w:caps w:val="0"/>
          <w:color w:val="000000"/>
          <w:spacing w:val="0"/>
          <w:sz w:val="28"/>
          <w:szCs w:val="28"/>
        </w:rPr>
        <w:t>时间：</w:t>
      </w:r>
      <w:r>
        <w:rPr>
          <w:rFonts w:hint="eastAsia" w:ascii="仿宋" w:hAnsi="仿宋" w:eastAsia="仿宋" w:cs="仿宋"/>
          <w:i w:val="0"/>
          <w:iCs w:val="0"/>
          <w:caps w:val="0"/>
          <w:color w:val="auto"/>
          <w:spacing w:val="0"/>
          <w:sz w:val="28"/>
          <w:szCs w:val="28"/>
          <w:lang w:val="en-US" w:eastAsia="zh-CN"/>
        </w:rPr>
        <w:t xml:space="preserve"> </w:t>
      </w:r>
      <w:r>
        <w:rPr>
          <w:rFonts w:hint="eastAsia" w:ascii="仿宋" w:hAnsi="仿宋" w:eastAsia="仿宋" w:cs="仿宋"/>
          <w:i w:val="0"/>
          <w:iCs w:val="0"/>
          <w:caps w:val="0"/>
          <w:color w:val="auto"/>
          <w:spacing w:val="0"/>
          <w:sz w:val="28"/>
          <w:szCs w:val="28"/>
        </w:rPr>
        <w:t>202</w:t>
      </w:r>
      <w:r>
        <w:rPr>
          <w:rFonts w:hint="eastAsia" w:ascii="仿宋" w:hAnsi="仿宋" w:eastAsia="仿宋" w:cs="仿宋"/>
          <w:i w:val="0"/>
          <w:iCs w:val="0"/>
          <w:caps w:val="0"/>
          <w:color w:val="auto"/>
          <w:spacing w:val="0"/>
          <w:sz w:val="28"/>
          <w:szCs w:val="28"/>
          <w:lang w:val="en-US" w:eastAsia="zh-CN"/>
        </w:rPr>
        <w:t>5</w:t>
      </w:r>
      <w:r>
        <w:rPr>
          <w:rFonts w:hint="eastAsia" w:ascii="仿宋" w:hAnsi="仿宋" w:eastAsia="仿宋" w:cs="仿宋"/>
          <w:i w:val="0"/>
          <w:iCs w:val="0"/>
          <w:caps w:val="0"/>
          <w:color w:val="auto"/>
          <w:spacing w:val="0"/>
          <w:sz w:val="28"/>
          <w:szCs w:val="28"/>
        </w:rPr>
        <w:t>年</w:t>
      </w:r>
      <w:r>
        <w:rPr>
          <w:rFonts w:hint="eastAsia" w:ascii="仿宋" w:hAnsi="仿宋" w:eastAsia="仿宋" w:cs="仿宋"/>
          <w:i w:val="0"/>
          <w:iCs w:val="0"/>
          <w:caps w:val="0"/>
          <w:color w:val="auto"/>
          <w:spacing w:val="0"/>
          <w:sz w:val="28"/>
          <w:szCs w:val="28"/>
          <w:lang w:val="en-US" w:eastAsia="zh-CN"/>
        </w:rPr>
        <w:t>03</w:t>
      </w:r>
      <w:r>
        <w:rPr>
          <w:rFonts w:hint="eastAsia" w:ascii="仿宋" w:hAnsi="仿宋" w:eastAsia="仿宋" w:cs="仿宋"/>
          <w:i w:val="0"/>
          <w:iCs w:val="0"/>
          <w:caps w:val="0"/>
          <w:color w:val="auto"/>
          <w:spacing w:val="0"/>
          <w:sz w:val="28"/>
          <w:szCs w:val="28"/>
        </w:rPr>
        <w:t>月</w:t>
      </w:r>
      <w:r>
        <w:rPr>
          <w:rFonts w:hint="eastAsia" w:ascii="仿宋" w:hAnsi="仿宋" w:eastAsia="仿宋" w:cs="仿宋"/>
          <w:i w:val="0"/>
          <w:iCs w:val="0"/>
          <w:caps w:val="0"/>
          <w:color w:val="auto"/>
          <w:spacing w:val="0"/>
          <w:sz w:val="28"/>
          <w:szCs w:val="28"/>
          <w:lang w:val="en-US" w:eastAsia="zh-CN"/>
        </w:rPr>
        <w:t>01</w:t>
      </w:r>
      <w:r>
        <w:rPr>
          <w:rFonts w:hint="eastAsia" w:ascii="仿宋" w:hAnsi="仿宋" w:eastAsia="仿宋" w:cs="仿宋"/>
          <w:i w:val="0"/>
          <w:iCs w:val="0"/>
          <w:caps w:val="0"/>
          <w:color w:val="auto"/>
          <w:spacing w:val="0"/>
          <w:sz w:val="28"/>
          <w:szCs w:val="28"/>
        </w:rPr>
        <w:t>日至202</w:t>
      </w:r>
      <w:r>
        <w:rPr>
          <w:rFonts w:hint="eastAsia" w:ascii="仿宋" w:hAnsi="仿宋" w:eastAsia="仿宋" w:cs="仿宋"/>
          <w:i w:val="0"/>
          <w:iCs w:val="0"/>
          <w:caps w:val="0"/>
          <w:color w:val="auto"/>
          <w:spacing w:val="0"/>
          <w:sz w:val="28"/>
          <w:szCs w:val="28"/>
          <w:lang w:val="en-US" w:eastAsia="zh-CN"/>
        </w:rPr>
        <w:t>5</w:t>
      </w:r>
      <w:r>
        <w:rPr>
          <w:rFonts w:hint="eastAsia" w:ascii="仿宋" w:hAnsi="仿宋" w:eastAsia="仿宋" w:cs="仿宋"/>
          <w:i w:val="0"/>
          <w:iCs w:val="0"/>
          <w:caps w:val="0"/>
          <w:color w:val="auto"/>
          <w:spacing w:val="0"/>
          <w:sz w:val="28"/>
          <w:szCs w:val="28"/>
        </w:rPr>
        <w:t>年</w:t>
      </w:r>
      <w:r>
        <w:rPr>
          <w:rFonts w:hint="eastAsia" w:ascii="仿宋" w:hAnsi="仿宋" w:eastAsia="仿宋" w:cs="仿宋"/>
          <w:i w:val="0"/>
          <w:iCs w:val="0"/>
          <w:caps w:val="0"/>
          <w:color w:val="auto"/>
          <w:spacing w:val="0"/>
          <w:sz w:val="28"/>
          <w:szCs w:val="28"/>
          <w:lang w:val="en-US" w:eastAsia="zh-CN"/>
        </w:rPr>
        <w:t>03</w:t>
      </w:r>
      <w:r>
        <w:rPr>
          <w:rFonts w:hint="eastAsia" w:ascii="仿宋" w:hAnsi="仿宋" w:eastAsia="仿宋" w:cs="仿宋"/>
          <w:i w:val="0"/>
          <w:iCs w:val="0"/>
          <w:caps w:val="0"/>
          <w:color w:val="auto"/>
          <w:spacing w:val="0"/>
          <w:sz w:val="28"/>
          <w:szCs w:val="28"/>
        </w:rPr>
        <w:t>月</w:t>
      </w:r>
      <w:r>
        <w:rPr>
          <w:rFonts w:hint="eastAsia" w:ascii="仿宋" w:hAnsi="仿宋" w:eastAsia="仿宋" w:cs="仿宋"/>
          <w:i w:val="0"/>
          <w:iCs w:val="0"/>
          <w:caps w:val="0"/>
          <w:color w:val="auto"/>
          <w:spacing w:val="0"/>
          <w:sz w:val="28"/>
          <w:szCs w:val="28"/>
          <w:lang w:val="en-US" w:eastAsia="zh-CN"/>
        </w:rPr>
        <w:t>07</w:t>
      </w:r>
      <w:r>
        <w:rPr>
          <w:rFonts w:hint="eastAsia" w:ascii="仿宋" w:hAnsi="仿宋" w:eastAsia="仿宋" w:cs="仿宋"/>
          <w:i w:val="0"/>
          <w:iCs w:val="0"/>
          <w:caps w:val="0"/>
          <w:color w:val="auto"/>
          <w:spacing w:val="0"/>
          <w:sz w:val="28"/>
          <w:szCs w:val="28"/>
        </w:rPr>
        <w:t>日</w:t>
      </w:r>
      <w:r>
        <w:rPr>
          <w:rFonts w:hint="eastAsia" w:ascii="仿宋" w:hAnsi="仿宋" w:eastAsia="仿宋" w:cs="仿宋"/>
          <w:i w:val="0"/>
          <w:iCs w:val="0"/>
          <w:caps w:val="0"/>
          <w:color w:val="000000" w:themeColor="text1"/>
          <w:spacing w:val="0"/>
          <w:sz w:val="28"/>
          <w:szCs w:val="28"/>
          <w14:textFill>
            <w14:solidFill>
              <w14:schemeClr w14:val="tx1"/>
            </w14:solidFill>
          </w14:textFill>
        </w:rPr>
        <w:t>，每天上</w:t>
      </w:r>
      <w:r>
        <w:rPr>
          <w:rFonts w:hint="eastAsia" w:ascii="仿宋" w:hAnsi="仿宋" w:eastAsia="仿宋" w:cs="仿宋"/>
          <w:i w:val="0"/>
          <w:iCs w:val="0"/>
          <w:caps w:val="0"/>
          <w:color w:val="000000"/>
          <w:spacing w:val="0"/>
          <w:sz w:val="28"/>
          <w:szCs w:val="28"/>
        </w:rPr>
        <w:t>午</w:t>
      </w:r>
      <w:r>
        <w:rPr>
          <w:rFonts w:hint="eastAsia" w:ascii="仿宋" w:hAnsi="仿宋" w:eastAsia="仿宋" w:cs="仿宋"/>
          <w:i w:val="0"/>
          <w:iCs w:val="0"/>
          <w:caps w:val="0"/>
          <w:color w:val="000000"/>
          <w:spacing w:val="0"/>
          <w:sz w:val="28"/>
          <w:szCs w:val="28"/>
          <w:lang w:val="en-US" w:eastAsia="zh-CN"/>
        </w:rPr>
        <w:t>10</w:t>
      </w: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val="en-US" w:eastAsia="zh-CN"/>
        </w:rPr>
        <w:t>0</w:t>
      </w:r>
      <w:r>
        <w:rPr>
          <w:rFonts w:hint="eastAsia" w:ascii="仿宋" w:hAnsi="仿宋" w:eastAsia="仿宋" w:cs="仿宋"/>
          <w:i w:val="0"/>
          <w:iCs w:val="0"/>
          <w:caps w:val="0"/>
          <w:color w:val="000000"/>
          <w:spacing w:val="0"/>
          <w:sz w:val="28"/>
          <w:szCs w:val="28"/>
        </w:rPr>
        <w:t>0至13:30，下午1</w:t>
      </w:r>
      <w:r>
        <w:rPr>
          <w:rFonts w:hint="eastAsia" w:ascii="仿宋" w:hAnsi="仿宋" w:eastAsia="仿宋" w:cs="仿宋"/>
          <w:i w:val="0"/>
          <w:iCs w:val="0"/>
          <w:caps w:val="0"/>
          <w:color w:val="000000"/>
          <w:spacing w:val="0"/>
          <w:sz w:val="28"/>
          <w:szCs w:val="28"/>
          <w:lang w:val="en-US" w:eastAsia="zh-CN"/>
        </w:rPr>
        <w:t>5</w:t>
      </w:r>
      <w:r>
        <w:rPr>
          <w:rFonts w:hint="eastAsia" w:ascii="仿宋" w:hAnsi="仿宋" w:eastAsia="仿宋" w:cs="仿宋"/>
          <w:i w:val="0"/>
          <w:iCs w:val="0"/>
          <w:caps w:val="0"/>
          <w:color w:val="000000"/>
          <w:spacing w:val="0"/>
          <w:sz w:val="28"/>
          <w:szCs w:val="28"/>
        </w:rPr>
        <w:t>:30至</w:t>
      </w:r>
      <w:r>
        <w:rPr>
          <w:rFonts w:hint="eastAsia" w:ascii="仿宋" w:hAnsi="仿宋" w:eastAsia="仿宋" w:cs="仿宋"/>
          <w:i w:val="0"/>
          <w:iCs w:val="0"/>
          <w:caps w:val="0"/>
          <w:color w:val="000000"/>
          <w:spacing w:val="0"/>
          <w:sz w:val="28"/>
          <w:szCs w:val="28"/>
          <w:lang w:val="en-US" w:eastAsia="zh-CN"/>
        </w:rPr>
        <w:t>19</w:t>
      </w: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val="en-US" w:eastAsia="zh-CN"/>
        </w:rPr>
        <w:t>3</w:t>
      </w:r>
      <w:r>
        <w:rPr>
          <w:rFonts w:hint="eastAsia" w:ascii="仿宋" w:hAnsi="仿宋" w:eastAsia="仿宋" w:cs="仿宋"/>
          <w:i w:val="0"/>
          <w:iCs w:val="0"/>
          <w:caps w:val="0"/>
          <w:color w:val="000000"/>
          <w:spacing w:val="0"/>
          <w:sz w:val="28"/>
          <w:szCs w:val="28"/>
        </w:rPr>
        <w:t>0（北京时间，法定节假日除外）</w:t>
      </w:r>
    </w:p>
    <w:p w14:paraId="0F65AEB8">
      <w:pPr>
        <w:pStyle w:val="18"/>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eastAsia" w:eastAsia="仿宋"/>
          <w:color w:val="000000"/>
          <w:sz w:val="28"/>
          <w:szCs w:val="28"/>
          <w:lang w:val="en-US" w:eastAsia="zh-CN"/>
        </w:rPr>
      </w:pPr>
      <w:r>
        <w:rPr>
          <w:rFonts w:hint="eastAsia" w:ascii="仿宋" w:hAnsi="仿宋" w:eastAsia="仿宋" w:cs="仿宋"/>
          <w:i w:val="0"/>
          <w:iCs w:val="0"/>
          <w:caps w:val="0"/>
          <w:color w:val="000000"/>
          <w:spacing w:val="0"/>
          <w:sz w:val="28"/>
          <w:szCs w:val="28"/>
        </w:rPr>
        <w:t>地点：政采云平台线上</w:t>
      </w:r>
      <w:r>
        <w:rPr>
          <w:rFonts w:hint="eastAsia" w:ascii="仿宋" w:hAnsi="仿宋" w:eastAsia="仿宋" w:cs="仿宋"/>
          <w:i w:val="0"/>
          <w:iCs w:val="0"/>
          <w:caps w:val="0"/>
          <w:color w:val="000000"/>
          <w:spacing w:val="0"/>
          <w:sz w:val="28"/>
          <w:szCs w:val="28"/>
          <w:lang w:val="en-US" w:eastAsia="zh-CN"/>
        </w:rPr>
        <w:t>获取</w:t>
      </w:r>
    </w:p>
    <w:p w14:paraId="343BD73E">
      <w:pPr>
        <w:pStyle w:val="18"/>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18E45359">
      <w:pPr>
        <w:pStyle w:val="18"/>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color w:val="000000"/>
          <w:sz w:val="28"/>
          <w:szCs w:val="28"/>
        </w:rPr>
      </w:pPr>
      <w:r>
        <w:rPr>
          <w:rFonts w:hint="eastAsia" w:ascii="仿宋" w:hAnsi="仿宋" w:eastAsia="仿宋" w:cs="仿宋"/>
          <w:i w:val="0"/>
          <w:iCs w:val="0"/>
          <w:caps w:val="0"/>
          <w:color w:val="000000"/>
          <w:spacing w:val="0"/>
          <w:sz w:val="28"/>
          <w:szCs w:val="28"/>
        </w:rPr>
        <w:t>售价（元）：0</w:t>
      </w:r>
    </w:p>
    <w:p w14:paraId="492D7E9E">
      <w:pPr>
        <w:pStyle w:val="18"/>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firstLine="0"/>
        <w:jc w:val="both"/>
        <w:textAlignment w:val="auto"/>
        <w:rPr>
          <w:rFonts w:hint="eastAsia" w:ascii="黑体" w:hAnsi="宋体" w:eastAsia="黑体" w:cs="黑体"/>
          <w:i w:val="0"/>
          <w:iCs w:val="0"/>
          <w:caps w:val="0"/>
          <w:color w:val="000000"/>
          <w:spacing w:val="0"/>
          <w:sz w:val="28"/>
          <w:szCs w:val="28"/>
          <w:lang w:eastAsia="zh-CN"/>
        </w:rPr>
      </w:pPr>
      <w:r>
        <w:rPr>
          <w:rStyle w:val="23"/>
          <w:rFonts w:ascii="黑体" w:hAnsi="宋体" w:eastAsia="黑体" w:cs="黑体"/>
          <w:i w:val="0"/>
          <w:iCs w:val="0"/>
          <w:caps w:val="0"/>
          <w:color w:val="000000"/>
          <w:spacing w:val="0"/>
          <w:sz w:val="28"/>
          <w:szCs w:val="28"/>
        </w:rPr>
        <w:t>四、</w:t>
      </w:r>
      <w:r>
        <w:rPr>
          <w:rStyle w:val="23"/>
          <w:rFonts w:hint="eastAsia" w:ascii="黑体" w:eastAsia="黑体" w:cs="黑体"/>
          <w:i w:val="0"/>
          <w:iCs w:val="0"/>
          <w:caps w:val="0"/>
          <w:color w:val="000000"/>
          <w:spacing w:val="0"/>
          <w:sz w:val="28"/>
          <w:szCs w:val="28"/>
          <w:lang w:val="en-US" w:eastAsia="zh-CN"/>
        </w:rPr>
        <w:t>响应文件提交</w:t>
      </w:r>
    </w:p>
    <w:p w14:paraId="5835A723">
      <w:pPr>
        <w:pStyle w:val="18"/>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color w:val="000000"/>
          <w:sz w:val="28"/>
          <w:szCs w:val="28"/>
        </w:rPr>
      </w:pPr>
      <w:r>
        <w:rPr>
          <w:rFonts w:hint="eastAsia" w:ascii="仿宋" w:hAnsi="仿宋" w:eastAsia="仿宋" w:cs="仿宋"/>
          <w:i w:val="0"/>
          <w:iCs w:val="0"/>
          <w:caps w:val="0"/>
          <w:color w:val="000000"/>
          <w:spacing w:val="0"/>
          <w:sz w:val="28"/>
          <w:szCs w:val="28"/>
        </w:rPr>
        <w:t>提交投标文件截止时间：</w:t>
      </w:r>
      <w:r>
        <w:rPr>
          <w:rFonts w:hint="eastAsia" w:ascii="仿宋" w:hAnsi="仿宋" w:eastAsia="仿宋" w:cs="仿宋"/>
          <w:i w:val="0"/>
          <w:iCs w:val="0"/>
          <w:caps w:val="0"/>
          <w:color w:val="auto"/>
          <w:spacing w:val="0"/>
          <w:sz w:val="28"/>
          <w:szCs w:val="28"/>
        </w:rPr>
        <w:t>202</w:t>
      </w:r>
      <w:r>
        <w:rPr>
          <w:rFonts w:hint="eastAsia" w:ascii="仿宋" w:hAnsi="仿宋" w:eastAsia="仿宋" w:cs="仿宋"/>
          <w:i w:val="0"/>
          <w:iCs w:val="0"/>
          <w:caps w:val="0"/>
          <w:color w:val="auto"/>
          <w:spacing w:val="0"/>
          <w:sz w:val="28"/>
          <w:szCs w:val="28"/>
          <w:lang w:val="en-US" w:eastAsia="zh-CN"/>
        </w:rPr>
        <w:t>5</w:t>
      </w:r>
      <w:r>
        <w:rPr>
          <w:rFonts w:hint="eastAsia" w:ascii="仿宋" w:hAnsi="仿宋" w:eastAsia="仿宋" w:cs="仿宋"/>
          <w:i w:val="0"/>
          <w:iCs w:val="0"/>
          <w:caps w:val="0"/>
          <w:color w:val="auto"/>
          <w:spacing w:val="0"/>
          <w:sz w:val="28"/>
          <w:szCs w:val="28"/>
        </w:rPr>
        <w:t>年</w:t>
      </w:r>
      <w:r>
        <w:rPr>
          <w:rFonts w:hint="eastAsia" w:ascii="仿宋" w:hAnsi="仿宋" w:eastAsia="仿宋" w:cs="仿宋"/>
          <w:i w:val="0"/>
          <w:iCs w:val="0"/>
          <w:caps w:val="0"/>
          <w:color w:val="auto"/>
          <w:spacing w:val="0"/>
          <w:sz w:val="28"/>
          <w:szCs w:val="28"/>
          <w:lang w:val="en-US" w:eastAsia="zh-CN"/>
        </w:rPr>
        <w:t>03</w:t>
      </w:r>
      <w:r>
        <w:rPr>
          <w:rFonts w:hint="eastAsia" w:ascii="仿宋" w:hAnsi="仿宋" w:eastAsia="仿宋" w:cs="仿宋"/>
          <w:i w:val="0"/>
          <w:iCs w:val="0"/>
          <w:caps w:val="0"/>
          <w:color w:val="auto"/>
          <w:spacing w:val="0"/>
          <w:sz w:val="28"/>
          <w:szCs w:val="28"/>
        </w:rPr>
        <w:t>月</w:t>
      </w:r>
      <w:r>
        <w:rPr>
          <w:rFonts w:hint="eastAsia" w:ascii="仿宋" w:hAnsi="仿宋" w:eastAsia="仿宋" w:cs="仿宋"/>
          <w:i w:val="0"/>
          <w:iCs w:val="0"/>
          <w:caps w:val="0"/>
          <w:color w:val="auto"/>
          <w:spacing w:val="0"/>
          <w:sz w:val="28"/>
          <w:szCs w:val="28"/>
          <w:lang w:val="en-US" w:eastAsia="zh-CN"/>
        </w:rPr>
        <w:t>11</w:t>
      </w:r>
      <w:r>
        <w:rPr>
          <w:rFonts w:hint="eastAsia" w:ascii="仿宋" w:hAnsi="仿宋" w:eastAsia="仿宋" w:cs="仿宋"/>
          <w:i w:val="0"/>
          <w:iCs w:val="0"/>
          <w:caps w:val="0"/>
          <w:color w:val="auto"/>
          <w:spacing w:val="0"/>
          <w:sz w:val="28"/>
          <w:szCs w:val="28"/>
        </w:rPr>
        <w:t>日</w:t>
      </w:r>
      <w:r>
        <w:rPr>
          <w:rFonts w:hint="eastAsia" w:ascii="仿宋" w:hAnsi="仿宋" w:eastAsia="仿宋" w:cs="仿宋"/>
          <w:i w:val="0"/>
          <w:iCs w:val="0"/>
          <w:caps w:val="0"/>
          <w:color w:val="000000"/>
          <w:spacing w:val="0"/>
          <w:sz w:val="28"/>
          <w:szCs w:val="28"/>
          <w:lang w:val="en-US" w:eastAsia="zh-CN"/>
        </w:rPr>
        <w:t>11:00</w:t>
      </w:r>
      <w:r>
        <w:rPr>
          <w:rFonts w:hint="eastAsia" w:ascii="仿宋" w:hAnsi="仿宋" w:eastAsia="仿宋" w:cs="仿宋"/>
          <w:i w:val="0"/>
          <w:iCs w:val="0"/>
          <w:caps w:val="0"/>
          <w:color w:val="000000"/>
          <w:spacing w:val="0"/>
          <w:sz w:val="28"/>
          <w:szCs w:val="28"/>
        </w:rPr>
        <w:t>（北京时间）</w:t>
      </w:r>
    </w:p>
    <w:p w14:paraId="0A799347">
      <w:pPr>
        <w:pStyle w:val="18"/>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投标地点：将响应文件上传至政采云平台https://www.zcygov.cn/对应位置（逾期未上传的或不符合规定的响应文件将被拒绝接收）。 </w:t>
      </w:r>
    </w:p>
    <w:p w14:paraId="59555490">
      <w:pPr>
        <w:pStyle w:val="18"/>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right="0" w:firstLine="0"/>
        <w:jc w:val="both"/>
        <w:textAlignment w:val="auto"/>
        <w:rPr>
          <w:rFonts w:ascii="黑体" w:hAnsi="宋体" w:eastAsia="黑体" w:cs="黑体"/>
          <w:i w:val="0"/>
          <w:iCs w:val="0"/>
          <w:caps w:val="0"/>
          <w:color w:val="000000"/>
          <w:spacing w:val="0"/>
          <w:sz w:val="28"/>
          <w:szCs w:val="28"/>
        </w:rPr>
      </w:pPr>
      <w:r>
        <w:rPr>
          <w:rStyle w:val="23"/>
          <w:rFonts w:ascii="黑体" w:hAnsi="宋体" w:eastAsia="黑体" w:cs="黑体"/>
          <w:i w:val="0"/>
          <w:iCs w:val="0"/>
          <w:caps w:val="0"/>
          <w:color w:val="000000"/>
          <w:spacing w:val="0"/>
          <w:sz w:val="28"/>
          <w:szCs w:val="28"/>
        </w:rPr>
        <w:t>五、响应文件开启</w:t>
      </w:r>
      <w:r>
        <w:rPr>
          <w:rFonts w:ascii="黑体" w:hAnsi="宋体" w:eastAsia="黑体" w:cs="黑体"/>
          <w:i w:val="0"/>
          <w:iCs w:val="0"/>
          <w:caps w:val="0"/>
          <w:color w:val="000000"/>
          <w:spacing w:val="0"/>
          <w:sz w:val="28"/>
          <w:szCs w:val="28"/>
        </w:rPr>
        <w:t> </w:t>
      </w:r>
    </w:p>
    <w:p w14:paraId="0CAAF239">
      <w:pPr>
        <w:pStyle w:val="18"/>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eastAsia" w:ascii="仿宋" w:hAnsi="仿宋" w:eastAsia="仿宋" w:cs="仿宋"/>
          <w:i w:val="0"/>
          <w:iCs w:val="0"/>
          <w:caps w:val="0"/>
          <w:color w:val="000000"/>
          <w:spacing w:val="0"/>
          <w:sz w:val="28"/>
          <w:szCs w:val="28"/>
        </w:rPr>
      </w:pPr>
      <w:r>
        <w:rPr>
          <w:rFonts w:ascii="仿宋" w:hAnsi="仿宋" w:eastAsia="仿宋" w:cs="仿宋"/>
          <w:i w:val="0"/>
          <w:iCs w:val="0"/>
          <w:caps w:val="0"/>
          <w:color w:val="000000"/>
          <w:spacing w:val="0"/>
          <w:sz w:val="28"/>
          <w:szCs w:val="28"/>
        </w:rPr>
        <w:t> </w:t>
      </w:r>
      <w:r>
        <w:rPr>
          <w:rFonts w:hint="eastAsia" w:ascii="仿宋" w:hAnsi="仿宋" w:eastAsia="仿宋" w:cs="仿宋"/>
          <w:i w:val="0"/>
          <w:iCs w:val="0"/>
          <w:caps w:val="0"/>
          <w:color w:val="000000"/>
          <w:spacing w:val="0"/>
          <w:sz w:val="28"/>
          <w:szCs w:val="28"/>
        </w:rPr>
        <w:t>开启时间：</w:t>
      </w:r>
      <w:r>
        <w:rPr>
          <w:rFonts w:hint="eastAsia" w:ascii="仿宋" w:hAnsi="仿宋" w:eastAsia="仿宋" w:cs="仿宋"/>
          <w:i w:val="0"/>
          <w:iCs w:val="0"/>
          <w:caps w:val="0"/>
          <w:color w:val="auto"/>
          <w:spacing w:val="0"/>
          <w:sz w:val="28"/>
          <w:szCs w:val="28"/>
        </w:rPr>
        <w:t>202</w:t>
      </w:r>
      <w:r>
        <w:rPr>
          <w:rFonts w:hint="eastAsia" w:ascii="仿宋" w:hAnsi="仿宋" w:eastAsia="仿宋" w:cs="仿宋"/>
          <w:i w:val="0"/>
          <w:iCs w:val="0"/>
          <w:caps w:val="0"/>
          <w:color w:val="auto"/>
          <w:spacing w:val="0"/>
          <w:sz w:val="28"/>
          <w:szCs w:val="28"/>
          <w:lang w:val="en-US" w:eastAsia="zh-CN"/>
        </w:rPr>
        <w:t>5</w:t>
      </w:r>
      <w:r>
        <w:rPr>
          <w:rFonts w:hint="eastAsia" w:ascii="仿宋" w:hAnsi="仿宋" w:eastAsia="仿宋" w:cs="仿宋"/>
          <w:i w:val="0"/>
          <w:iCs w:val="0"/>
          <w:caps w:val="0"/>
          <w:color w:val="auto"/>
          <w:spacing w:val="0"/>
          <w:sz w:val="28"/>
          <w:szCs w:val="28"/>
        </w:rPr>
        <w:t>年</w:t>
      </w:r>
      <w:r>
        <w:rPr>
          <w:rFonts w:hint="eastAsia" w:ascii="仿宋" w:hAnsi="仿宋" w:eastAsia="仿宋" w:cs="仿宋"/>
          <w:i w:val="0"/>
          <w:iCs w:val="0"/>
          <w:caps w:val="0"/>
          <w:color w:val="auto"/>
          <w:spacing w:val="0"/>
          <w:sz w:val="28"/>
          <w:szCs w:val="28"/>
          <w:lang w:val="en-US" w:eastAsia="zh-CN"/>
        </w:rPr>
        <w:t>03</w:t>
      </w:r>
      <w:r>
        <w:rPr>
          <w:rFonts w:hint="eastAsia" w:ascii="仿宋" w:hAnsi="仿宋" w:eastAsia="仿宋" w:cs="仿宋"/>
          <w:i w:val="0"/>
          <w:iCs w:val="0"/>
          <w:caps w:val="0"/>
          <w:color w:val="auto"/>
          <w:spacing w:val="0"/>
          <w:sz w:val="28"/>
          <w:szCs w:val="28"/>
        </w:rPr>
        <w:t>月</w:t>
      </w:r>
      <w:r>
        <w:rPr>
          <w:rFonts w:hint="eastAsia" w:ascii="仿宋" w:hAnsi="仿宋" w:eastAsia="仿宋" w:cs="仿宋"/>
          <w:i w:val="0"/>
          <w:iCs w:val="0"/>
          <w:caps w:val="0"/>
          <w:color w:val="auto"/>
          <w:spacing w:val="0"/>
          <w:sz w:val="28"/>
          <w:szCs w:val="28"/>
          <w:lang w:val="en-US" w:eastAsia="zh-CN"/>
        </w:rPr>
        <w:t>11</w:t>
      </w:r>
      <w:r>
        <w:rPr>
          <w:rFonts w:hint="eastAsia" w:ascii="仿宋" w:hAnsi="仿宋" w:eastAsia="仿宋" w:cs="仿宋"/>
          <w:i w:val="0"/>
          <w:iCs w:val="0"/>
          <w:caps w:val="0"/>
          <w:color w:val="auto"/>
          <w:spacing w:val="0"/>
          <w:sz w:val="28"/>
          <w:szCs w:val="28"/>
        </w:rPr>
        <w:t>日</w:t>
      </w:r>
      <w:r>
        <w:rPr>
          <w:rFonts w:hint="eastAsia" w:ascii="仿宋" w:hAnsi="仿宋" w:eastAsia="仿宋" w:cs="仿宋"/>
          <w:i w:val="0"/>
          <w:iCs w:val="0"/>
          <w:caps w:val="0"/>
          <w:color w:val="auto"/>
          <w:spacing w:val="0"/>
          <w:sz w:val="28"/>
          <w:szCs w:val="28"/>
          <w:lang w:val="en-US" w:eastAsia="zh-CN"/>
        </w:rPr>
        <w:t>11:00</w:t>
      </w:r>
      <w:r>
        <w:rPr>
          <w:rFonts w:hint="eastAsia" w:ascii="仿宋" w:hAnsi="仿宋" w:eastAsia="仿宋" w:cs="仿宋"/>
          <w:i w:val="0"/>
          <w:iCs w:val="0"/>
          <w:caps w:val="0"/>
          <w:color w:val="000000"/>
          <w:spacing w:val="0"/>
          <w:sz w:val="28"/>
          <w:szCs w:val="28"/>
        </w:rPr>
        <w:t>（北京时间）</w:t>
      </w:r>
    </w:p>
    <w:p w14:paraId="4BEA7D02">
      <w:pPr>
        <w:pStyle w:val="18"/>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 地点：政采云网上不见面开标系统。 </w:t>
      </w:r>
    </w:p>
    <w:p w14:paraId="51577466">
      <w:pPr>
        <w:pStyle w:val="18"/>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firstLine="0"/>
        <w:jc w:val="both"/>
        <w:textAlignment w:val="auto"/>
        <w:rPr>
          <w:rFonts w:ascii="黑体" w:hAnsi="宋体" w:eastAsia="黑体" w:cs="黑体"/>
          <w:i w:val="0"/>
          <w:iCs w:val="0"/>
          <w:caps w:val="0"/>
          <w:color w:val="000000"/>
          <w:spacing w:val="0"/>
          <w:sz w:val="28"/>
          <w:szCs w:val="28"/>
        </w:rPr>
      </w:pPr>
      <w:r>
        <w:rPr>
          <w:rStyle w:val="23"/>
          <w:rFonts w:hint="eastAsia" w:ascii="黑体" w:eastAsia="黑体" w:cs="黑体"/>
          <w:i w:val="0"/>
          <w:iCs w:val="0"/>
          <w:caps w:val="0"/>
          <w:color w:val="000000"/>
          <w:spacing w:val="0"/>
          <w:sz w:val="28"/>
          <w:szCs w:val="28"/>
          <w:lang w:val="en-US" w:eastAsia="zh-CN"/>
        </w:rPr>
        <w:t>六</w:t>
      </w:r>
      <w:r>
        <w:rPr>
          <w:rStyle w:val="23"/>
          <w:rFonts w:ascii="黑体" w:hAnsi="宋体" w:eastAsia="黑体" w:cs="黑体"/>
          <w:i w:val="0"/>
          <w:iCs w:val="0"/>
          <w:caps w:val="0"/>
          <w:color w:val="000000"/>
          <w:spacing w:val="0"/>
          <w:sz w:val="28"/>
          <w:szCs w:val="28"/>
        </w:rPr>
        <w:t>、公告期限</w:t>
      </w:r>
    </w:p>
    <w:p w14:paraId="4B740827">
      <w:pPr>
        <w:pStyle w:val="18"/>
        <w:keepNext w:val="0"/>
        <w:keepLines w:val="0"/>
        <w:pageBreakBefore w:val="0"/>
        <w:widowControl/>
        <w:suppressLineNumbers w:val="0"/>
        <w:kinsoku/>
        <w:wordWrap/>
        <w:overflowPunct/>
        <w:topLinePunct w:val="0"/>
        <w:autoSpaceDE/>
        <w:autoSpaceDN/>
        <w:bidi w:val="0"/>
        <w:adjustRightInd/>
        <w:snapToGrid/>
        <w:spacing w:line="400" w:lineRule="exact"/>
        <w:ind w:left="0" w:firstLine="420"/>
        <w:textAlignment w:val="auto"/>
        <w:rPr>
          <w:rFonts w:ascii="微软雅黑" w:hAnsi="微软雅黑" w:eastAsia="微软雅黑" w:cs="微软雅黑"/>
          <w:i w:val="0"/>
          <w:iCs w:val="0"/>
          <w:caps w:val="0"/>
          <w:color w:val="000000"/>
          <w:spacing w:val="0"/>
          <w:sz w:val="28"/>
          <w:szCs w:val="28"/>
        </w:rPr>
      </w:pPr>
      <w:r>
        <w:rPr>
          <w:rFonts w:hint="eastAsia" w:ascii="仿宋" w:hAnsi="仿宋" w:eastAsia="仿宋" w:cs="仿宋"/>
          <w:i w:val="0"/>
          <w:iCs w:val="0"/>
          <w:caps w:val="0"/>
          <w:color w:val="000000"/>
          <w:spacing w:val="0"/>
          <w:sz w:val="28"/>
          <w:szCs w:val="28"/>
        </w:rPr>
        <w:t>自本公告发布之日起</w:t>
      </w:r>
      <w:r>
        <w:rPr>
          <w:rFonts w:hint="eastAsia" w:ascii="仿宋" w:hAnsi="仿宋" w:eastAsia="仿宋" w:cs="仿宋"/>
          <w:i w:val="0"/>
          <w:iCs w:val="0"/>
          <w:caps w:val="0"/>
          <w:color w:val="000000"/>
          <w:spacing w:val="0"/>
          <w:sz w:val="28"/>
          <w:szCs w:val="28"/>
          <w:lang w:val="en-US" w:eastAsia="zh-CN"/>
        </w:rPr>
        <w:t>3</w:t>
      </w:r>
      <w:r>
        <w:rPr>
          <w:rFonts w:hint="eastAsia" w:ascii="仿宋" w:hAnsi="仿宋" w:eastAsia="仿宋" w:cs="仿宋"/>
          <w:i w:val="0"/>
          <w:iCs w:val="0"/>
          <w:caps w:val="0"/>
          <w:color w:val="000000"/>
          <w:spacing w:val="0"/>
          <w:sz w:val="28"/>
          <w:szCs w:val="28"/>
        </w:rPr>
        <w:t>个工作日。</w:t>
      </w:r>
    </w:p>
    <w:p w14:paraId="52415EB7">
      <w:pPr>
        <w:pStyle w:val="18"/>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400" w:lineRule="exact"/>
        <w:ind w:left="0" w:firstLine="0"/>
        <w:jc w:val="both"/>
        <w:textAlignment w:val="auto"/>
        <w:rPr>
          <w:rFonts w:ascii="黑体" w:hAnsi="宋体" w:eastAsia="黑体" w:cs="黑体"/>
          <w:i w:val="0"/>
          <w:iCs w:val="0"/>
          <w:caps w:val="0"/>
          <w:color w:val="000000"/>
          <w:spacing w:val="0"/>
          <w:sz w:val="28"/>
          <w:szCs w:val="28"/>
        </w:rPr>
      </w:pPr>
      <w:r>
        <w:rPr>
          <w:rStyle w:val="23"/>
          <w:rFonts w:hint="eastAsia" w:ascii="黑体" w:eastAsia="黑体" w:cs="黑体"/>
          <w:i w:val="0"/>
          <w:iCs w:val="0"/>
          <w:caps w:val="0"/>
          <w:color w:val="000000"/>
          <w:spacing w:val="0"/>
          <w:sz w:val="28"/>
          <w:szCs w:val="28"/>
          <w:lang w:val="en-US" w:eastAsia="zh-CN"/>
        </w:rPr>
        <w:t>七</w:t>
      </w:r>
      <w:r>
        <w:rPr>
          <w:rStyle w:val="23"/>
          <w:rFonts w:ascii="黑体" w:hAnsi="宋体" w:eastAsia="黑体" w:cs="黑体"/>
          <w:i w:val="0"/>
          <w:iCs w:val="0"/>
          <w:caps w:val="0"/>
          <w:color w:val="000000"/>
          <w:spacing w:val="0"/>
          <w:sz w:val="28"/>
          <w:szCs w:val="28"/>
        </w:rPr>
        <w:t>、其他补充事宜</w:t>
      </w:r>
    </w:p>
    <w:p w14:paraId="253BD030">
      <w:pPr>
        <w:pStyle w:val="18"/>
        <w:keepNext w:val="0"/>
        <w:keepLines w:val="0"/>
        <w:widowControl/>
        <w:suppressLineNumbers w:val="0"/>
        <w:spacing w:before="75" w:beforeAutospacing="0" w:after="75" w:afterAutospacing="0" w:line="315" w:lineRule="atLeast"/>
        <w:ind w:left="0" w:right="0" w:firstLine="270" w:firstLineChars="100"/>
        <w:rPr>
          <w:rFonts w:ascii="微软雅黑" w:hAnsi="微软雅黑" w:eastAsia="微软雅黑" w:cs="微软雅黑"/>
          <w:i w:val="0"/>
          <w:iCs w:val="0"/>
          <w:caps w:val="0"/>
          <w:color w:val="000000"/>
          <w:spacing w:val="0"/>
          <w:sz w:val="27"/>
          <w:szCs w:val="27"/>
        </w:rPr>
      </w:pPr>
      <w:r>
        <w:rPr>
          <w:rFonts w:ascii="仿宋" w:hAnsi="仿宋" w:eastAsia="仿宋" w:cs="仿宋"/>
          <w:i w:val="0"/>
          <w:iCs w:val="0"/>
          <w:caps w:val="0"/>
          <w:color w:val="000000"/>
          <w:spacing w:val="0"/>
          <w:sz w:val="27"/>
          <w:szCs w:val="27"/>
        </w:rPr>
        <w:t>1、本项目实行网上投标，采用电子投标文件。</w:t>
      </w:r>
    </w:p>
    <w:p w14:paraId="22468383">
      <w:pPr>
        <w:pStyle w:val="18"/>
        <w:keepNext w:val="0"/>
        <w:keepLines w:val="0"/>
        <w:widowControl/>
        <w:suppressLineNumbers w:val="0"/>
        <w:spacing w:before="75" w:beforeAutospacing="0" w:after="75"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27"/>
          <w:szCs w:val="27"/>
        </w:rPr>
        <w:t>    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00EC71CE">
      <w:pPr>
        <w:pStyle w:val="18"/>
        <w:keepNext w:val="0"/>
        <w:keepLines w:val="0"/>
        <w:widowControl/>
        <w:suppressLineNumbers w:val="0"/>
        <w:spacing w:before="75" w:beforeAutospacing="0" w:after="75" w:afterAutospacing="0"/>
        <w:ind w:left="0" w:right="0" w:firstLine="0"/>
        <w:rPr>
          <w:rFonts w:hint="eastAsia" w:ascii="微软雅黑" w:hAnsi="微软雅黑" w:eastAsia="仿宋" w:cs="微软雅黑"/>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    3、供应商将政采云电子交易客户端下载、安装完成后，可通过账号密码或CA登录客户端进行投标文件的制作。在使用政采云投标客户端时，建议使用WIN7及以上操作系统。</w:t>
      </w:r>
    </w:p>
    <w:p w14:paraId="41FC1759">
      <w:pPr>
        <w:pStyle w:val="18"/>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80" w:lineRule="exact"/>
        <w:ind w:left="0" w:firstLine="0"/>
        <w:jc w:val="both"/>
        <w:textAlignment w:val="auto"/>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特别提示：</w:t>
      </w: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1、采购限额标准以上，200万元以下的货物和服务采购项目、400万元以下的工程采购项目，适宜由中小企业提供的，采购人应当专门面向中小企业采购。</w:t>
      </w: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2、超过200万元的货物和服务采购项目、超过400万元的工程采购项目中适宜由中小企业提供的，预留该部分采购项目预算总额的30%以上专门面向中小企业采购，其中预留给小微企业的比例不低于60%。</w:t>
      </w: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微软雅黑" w:hAnsi="微软雅黑" w:eastAsia="微软雅黑" w:cs="微软雅黑"/>
          <w:i w:val="0"/>
          <w:iCs w:val="0"/>
          <w:caps w:val="0"/>
          <w:color w:val="000000"/>
          <w:spacing w:val="0"/>
          <w:sz w:val="21"/>
          <w:szCs w:val="21"/>
        </w:rPr>
        <w:br w:type="textWrapping"/>
      </w:r>
      <w:r>
        <w:rPr>
          <w:rFonts w:hint="eastAsia" w:ascii="微软雅黑" w:hAnsi="微软雅黑" w:eastAsia="微软雅黑" w:cs="微软雅黑"/>
          <w:i w:val="0"/>
          <w:iCs w:val="0"/>
          <w:caps w:val="0"/>
          <w:color w:val="000000"/>
          <w:spacing w:val="0"/>
          <w:sz w:val="21"/>
          <w:szCs w:val="21"/>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6DE5BFA">
      <w:pPr>
        <w:pStyle w:val="18"/>
        <w:keepNext w:val="0"/>
        <w:keepLines w:val="0"/>
        <w:pageBreakBefore w:val="0"/>
        <w:widowControl/>
        <w:suppressLineNumbers w:val="0"/>
        <w:kinsoku/>
        <w:wordWrap/>
        <w:overflowPunct/>
        <w:topLinePunct w:val="0"/>
        <w:autoSpaceDE/>
        <w:autoSpaceDN/>
        <w:bidi w:val="0"/>
        <w:adjustRightInd/>
        <w:snapToGrid/>
        <w:spacing w:before="255" w:beforeAutospacing="0" w:after="255" w:afterAutospacing="0" w:line="280" w:lineRule="exact"/>
        <w:ind w:left="0" w:firstLine="0"/>
        <w:jc w:val="both"/>
        <w:textAlignment w:val="auto"/>
        <w:rPr>
          <w:rFonts w:ascii="黑体" w:hAnsi="宋体" w:eastAsia="黑体" w:cs="黑体"/>
          <w:i w:val="0"/>
          <w:iCs w:val="0"/>
          <w:caps w:val="0"/>
          <w:color w:val="000000"/>
          <w:spacing w:val="0"/>
          <w:sz w:val="28"/>
          <w:szCs w:val="28"/>
        </w:rPr>
      </w:pPr>
      <w:r>
        <w:rPr>
          <w:rStyle w:val="23"/>
          <w:rFonts w:ascii="黑体" w:hAnsi="宋体" w:eastAsia="黑体" w:cs="黑体"/>
          <w:i w:val="0"/>
          <w:iCs w:val="0"/>
          <w:caps w:val="0"/>
          <w:color w:val="000000"/>
          <w:spacing w:val="0"/>
          <w:sz w:val="28"/>
          <w:szCs w:val="28"/>
        </w:rPr>
        <w:t>七、对本次采购提出询问，请按以下方式联系</w:t>
      </w:r>
    </w:p>
    <w:p w14:paraId="207C808F">
      <w:pPr>
        <w:pStyle w:val="18"/>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1.采购人信息</w:t>
      </w:r>
    </w:p>
    <w:p w14:paraId="6C2EC9A3">
      <w:pPr>
        <w:pStyle w:val="18"/>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名 称</w:t>
      </w:r>
      <w:r>
        <w:rPr>
          <w:rFonts w:hint="eastAsia" w:ascii="仿宋" w:hAnsi="仿宋" w:eastAsia="仿宋" w:cs="仿宋"/>
          <w:i w:val="0"/>
          <w:iCs w:val="0"/>
          <w:caps w:val="0"/>
          <w:color w:val="000000"/>
          <w:spacing w:val="0"/>
          <w:sz w:val="28"/>
          <w:szCs w:val="28"/>
          <w:lang w:val="en-US" w:eastAsia="zh-CN"/>
        </w:rPr>
        <w:t>：</w:t>
      </w:r>
      <w:r>
        <w:rPr>
          <w:rFonts w:hint="eastAsia" w:ascii="仿宋" w:hAnsi="仿宋" w:eastAsia="仿宋" w:cs="仿宋"/>
          <w:i w:val="0"/>
          <w:iCs w:val="0"/>
          <w:caps w:val="0"/>
          <w:color w:val="000000"/>
          <w:spacing w:val="0"/>
          <w:sz w:val="28"/>
          <w:szCs w:val="28"/>
          <w:lang w:eastAsia="zh-CN"/>
        </w:rPr>
        <w:t>鄯善县吐峪沟乡人民政府</w:t>
      </w:r>
    </w:p>
    <w:p w14:paraId="2B1DA9D9">
      <w:pPr>
        <w:pStyle w:val="18"/>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 xml:space="preserve">地 </w:t>
      </w:r>
      <w:r>
        <w:rPr>
          <w:rFonts w:hint="eastAsia" w:ascii="仿宋" w:hAnsi="仿宋" w:eastAsia="仿宋" w:cs="仿宋"/>
          <w:i w:val="0"/>
          <w:iCs w:val="0"/>
          <w:caps w:val="0"/>
          <w:color w:val="000000"/>
          <w:spacing w:val="0"/>
          <w:sz w:val="28"/>
          <w:szCs w:val="28"/>
          <w:lang w:val="en-US" w:eastAsia="zh-CN"/>
        </w:rPr>
        <w:t>址：鄯善县吐峪沟乡</w:t>
      </w:r>
    </w:p>
    <w:p w14:paraId="652FCBE3">
      <w:pPr>
        <w:pStyle w:val="18"/>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default"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联系方式</w:t>
      </w:r>
      <w:r>
        <w:rPr>
          <w:rFonts w:hint="eastAsia" w:ascii="仿宋" w:hAnsi="仿宋" w:eastAsia="仿宋" w:cs="仿宋"/>
          <w:i w:val="0"/>
          <w:iCs w:val="0"/>
          <w:caps w:val="0"/>
          <w:color w:val="000000"/>
          <w:spacing w:val="0"/>
          <w:sz w:val="28"/>
          <w:szCs w:val="28"/>
          <w:lang w:val="en-US" w:eastAsia="zh-CN"/>
        </w:rPr>
        <w:t>：15509956321</w:t>
      </w:r>
    </w:p>
    <w:p w14:paraId="2626D615">
      <w:pPr>
        <w:pStyle w:val="18"/>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2.采购代理机构信息</w:t>
      </w:r>
    </w:p>
    <w:p w14:paraId="379E06B2">
      <w:pPr>
        <w:pStyle w:val="18"/>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名 称：</w:t>
      </w:r>
      <w:r>
        <w:rPr>
          <w:rFonts w:hint="eastAsia" w:ascii="仿宋" w:hAnsi="仿宋" w:eastAsia="仿宋" w:cs="仿宋"/>
          <w:i w:val="0"/>
          <w:iCs w:val="0"/>
          <w:caps w:val="0"/>
          <w:color w:val="000000"/>
          <w:spacing w:val="0"/>
          <w:sz w:val="28"/>
          <w:szCs w:val="28"/>
          <w:lang w:val="en-US" w:eastAsia="zh-CN"/>
        </w:rPr>
        <w:t>新疆</w:t>
      </w:r>
      <w:r>
        <w:rPr>
          <w:rFonts w:hint="eastAsia" w:ascii="仿宋" w:hAnsi="仿宋" w:eastAsia="仿宋" w:cs="仿宋"/>
          <w:i w:val="0"/>
          <w:iCs w:val="0"/>
          <w:caps w:val="0"/>
          <w:color w:val="000000"/>
          <w:spacing w:val="0"/>
          <w:sz w:val="28"/>
          <w:szCs w:val="28"/>
        </w:rPr>
        <w:t>华域天恒工程管理有限公司</w:t>
      </w:r>
    </w:p>
    <w:p w14:paraId="01FE0E4E">
      <w:pPr>
        <w:pStyle w:val="18"/>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lef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地 址：吐鲁番市高昌区示范区和平街11幢2层201号</w:t>
      </w:r>
    </w:p>
    <w:p w14:paraId="6A5F35D2">
      <w:pPr>
        <w:pStyle w:val="18"/>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rPr>
        <w:t>联系方式：</w:t>
      </w:r>
      <w:r>
        <w:rPr>
          <w:rFonts w:hint="eastAsia" w:ascii="仿宋" w:hAnsi="仿宋" w:eastAsia="仿宋" w:cs="仿宋"/>
          <w:i w:val="0"/>
          <w:iCs w:val="0"/>
          <w:caps w:val="0"/>
          <w:color w:val="000000"/>
          <w:spacing w:val="0"/>
          <w:sz w:val="28"/>
          <w:szCs w:val="28"/>
          <w:lang w:eastAsia="zh-CN"/>
        </w:rPr>
        <w:t>18590559920</w:t>
      </w:r>
    </w:p>
    <w:p w14:paraId="0A2BED82">
      <w:pPr>
        <w:pStyle w:val="18"/>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3.项目联系方式</w:t>
      </w:r>
    </w:p>
    <w:p w14:paraId="530C6B06">
      <w:pPr>
        <w:pStyle w:val="18"/>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项目联系人：</w:t>
      </w:r>
      <w:r>
        <w:rPr>
          <w:rStyle w:val="26"/>
          <w:rFonts w:hint="eastAsia" w:ascii="仿宋" w:hAnsi="仿宋" w:eastAsia="仿宋" w:cs="仿宋"/>
          <w:i w:val="0"/>
          <w:iCs w:val="0"/>
          <w:caps w:val="0"/>
          <w:color w:val="000000"/>
          <w:spacing w:val="0"/>
          <w:sz w:val="28"/>
          <w:szCs w:val="28"/>
          <w:lang w:val="en-US" w:eastAsia="zh-CN"/>
        </w:rPr>
        <w:t>常瑞琪</w:t>
      </w:r>
    </w:p>
    <w:p w14:paraId="2E10BB5B">
      <w:pPr>
        <w:pStyle w:val="18"/>
        <w:keepNext w:val="0"/>
        <w:keepLines w:val="0"/>
        <w:pageBreakBefore w:val="0"/>
        <w:widowControl/>
        <w:suppressLineNumbers w:val="0"/>
        <w:kinsoku/>
        <w:wordWrap/>
        <w:overflowPunct/>
        <w:topLinePunct w:val="0"/>
        <w:autoSpaceDE/>
        <w:autoSpaceDN/>
        <w:bidi w:val="0"/>
        <w:adjustRightInd/>
        <w:snapToGrid/>
        <w:spacing w:line="280" w:lineRule="exact"/>
        <w:ind w:left="0" w:firstLine="420"/>
        <w:textAlignment w:val="auto"/>
        <w:rPr>
          <w:rFonts w:hint="eastAsia" w:ascii="仿宋" w:hAnsi="仿宋" w:eastAsia="仿宋" w:cs="仿宋"/>
          <w:i w:val="0"/>
          <w:iCs w:val="0"/>
          <w:caps w:val="0"/>
          <w:color w:val="000000"/>
          <w:spacing w:val="0"/>
          <w:sz w:val="28"/>
          <w:szCs w:val="28"/>
          <w:lang w:eastAsia="zh-CN"/>
        </w:rPr>
      </w:pPr>
      <w:r>
        <w:rPr>
          <w:rFonts w:hint="eastAsia" w:ascii="仿宋" w:hAnsi="仿宋" w:eastAsia="仿宋" w:cs="仿宋"/>
          <w:i w:val="0"/>
          <w:iCs w:val="0"/>
          <w:caps w:val="0"/>
          <w:color w:val="000000"/>
          <w:spacing w:val="0"/>
          <w:sz w:val="28"/>
          <w:szCs w:val="28"/>
        </w:rPr>
        <w:t>电 话：</w:t>
      </w:r>
      <w:r>
        <w:rPr>
          <w:rFonts w:hint="eastAsia" w:ascii="仿宋" w:hAnsi="仿宋" w:eastAsia="仿宋" w:cs="仿宋"/>
          <w:i w:val="0"/>
          <w:iCs w:val="0"/>
          <w:caps w:val="0"/>
          <w:color w:val="000000"/>
          <w:spacing w:val="0"/>
          <w:sz w:val="28"/>
          <w:szCs w:val="28"/>
          <w:lang w:eastAsia="zh-CN"/>
        </w:rPr>
        <w:t>18590559920</w:t>
      </w:r>
    </w:p>
    <w:p w14:paraId="04A79017">
      <w:pPr>
        <w:pStyle w:val="18"/>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rPr>
      </w:pPr>
    </w:p>
    <w:p w14:paraId="6F835601">
      <w:pPr>
        <w:pStyle w:val="18"/>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lang w:val="en-US" w:eastAsia="zh-CN"/>
        </w:rPr>
        <w:t>新疆</w:t>
      </w:r>
      <w:r>
        <w:rPr>
          <w:rFonts w:hint="eastAsia" w:ascii="仿宋" w:hAnsi="仿宋" w:eastAsia="仿宋" w:cs="仿宋"/>
          <w:i w:val="0"/>
          <w:iCs w:val="0"/>
          <w:caps w:val="0"/>
          <w:color w:val="000000"/>
          <w:spacing w:val="0"/>
          <w:sz w:val="28"/>
          <w:szCs w:val="28"/>
        </w:rPr>
        <w:t>华域天恒工程管理有限公司</w:t>
      </w:r>
    </w:p>
    <w:p w14:paraId="11F18804">
      <w:pPr>
        <w:pStyle w:val="18"/>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2025年02月28日</w:t>
      </w:r>
    </w:p>
    <w:p w14:paraId="12198A53">
      <w:pPr>
        <w:pStyle w:val="18"/>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lang w:val="en-US" w:eastAsia="zh-CN"/>
        </w:rPr>
      </w:pPr>
    </w:p>
    <w:p w14:paraId="36BCDC28">
      <w:pPr>
        <w:pStyle w:val="18"/>
        <w:keepNext w:val="0"/>
        <w:keepLines w:val="0"/>
        <w:pageBreakBefore w:val="0"/>
        <w:widowControl/>
        <w:suppressLineNumbers w:val="0"/>
        <w:kinsoku/>
        <w:wordWrap/>
        <w:overflowPunct/>
        <w:topLinePunct w:val="0"/>
        <w:autoSpaceDE/>
        <w:autoSpaceDN/>
        <w:bidi w:val="0"/>
        <w:adjustRightInd/>
        <w:snapToGrid/>
        <w:spacing w:line="280" w:lineRule="exact"/>
        <w:ind w:left="0" w:firstLine="420"/>
        <w:jc w:val="right"/>
        <w:textAlignment w:val="auto"/>
        <w:rPr>
          <w:rFonts w:hint="eastAsia" w:ascii="仿宋" w:hAnsi="仿宋" w:eastAsia="仿宋" w:cs="仿宋"/>
          <w:i w:val="0"/>
          <w:iCs w:val="0"/>
          <w:caps w:val="0"/>
          <w:color w:val="000000"/>
          <w:spacing w:val="0"/>
          <w:sz w:val="28"/>
          <w:szCs w:val="28"/>
          <w:lang w:val="en-US" w:eastAsia="zh-CN"/>
        </w:rPr>
      </w:pPr>
    </w:p>
    <w:p w14:paraId="24773CFA">
      <w:pPr>
        <w:rPr>
          <w:rFonts w:hint="eastAsia" w:ascii="仿宋" w:hAnsi="仿宋" w:eastAsia="仿宋" w:cs="仿宋"/>
          <w:i w:val="0"/>
          <w:iCs w:val="0"/>
          <w:caps w:val="0"/>
          <w:color w:val="000000"/>
          <w:spacing w:val="0"/>
          <w:sz w:val="28"/>
          <w:szCs w:val="28"/>
          <w:lang w:val="en-US" w:eastAsia="zh-CN"/>
        </w:rPr>
      </w:pPr>
    </w:p>
    <w:p w14:paraId="6DA2D036">
      <w:pPr>
        <w:pStyle w:val="2"/>
        <w:rPr>
          <w:rFonts w:hint="eastAsia" w:ascii="仿宋" w:hAnsi="仿宋" w:eastAsia="仿宋" w:cs="仿宋"/>
          <w:i w:val="0"/>
          <w:iCs w:val="0"/>
          <w:caps w:val="0"/>
          <w:color w:val="000000"/>
          <w:spacing w:val="0"/>
          <w:sz w:val="28"/>
          <w:szCs w:val="28"/>
          <w:lang w:val="en-US" w:eastAsia="zh-CN"/>
        </w:rPr>
      </w:pPr>
    </w:p>
    <w:p w14:paraId="4E0B94BE">
      <w:pPr>
        <w:pStyle w:val="2"/>
        <w:rPr>
          <w:rFonts w:hint="eastAsia" w:ascii="仿宋" w:hAnsi="仿宋" w:eastAsia="仿宋" w:cs="仿宋"/>
          <w:i w:val="0"/>
          <w:iCs w:val="0"/>
          <w:caps w:val="0"/>
          <w:color w:val="000000"/>
          <w:spacing w:val="0"/>
          <w:sz w:val="28"/>
          <w:szCs w:val="28"/>
          <w:lang w:val="en-US" w:eastAsia="zh-CN"/>
        </w:rPr>
      </w:pPr>
    </w:p>
    <w:p w14:paraId="2A26F5EA">
      <w:pPr>
        <w:pStyle w:val="2"/>
        <w:rPr>
          <w:rFonts w:hint="eastAsia" w:ascii="仿宋" w:hAnsi="仿宋" w:eastAsia="仿宋" w:cs="仿宋"/>
          <w:i w:val="0"/>
          <w:iCs w:val="0"/>
          <w:caps w:val="0"/>
          <w:color w:val="000000"/>
          <w:spacing w:val="0"/>
          <w:sz w:val="28"/>
          <w:szCs w:val="28"/>
          <w:lang w:val="en-US" w:eastAsia="zh-CN"/>
        </w:rPr>
      </w:pPr>
    </w:p>
    <w:p w14:paraId="293EDBA4">
      <w:pPr>
        <w:pStyle w:val="2"/>
        <w:rPr>
          <w:rFonts w:hint="eastAsia" w:ascii="仿宋" w:hAnsi="仿宋" w:eastAsia="仿宋" w:cs="仿宋"/>
          <w:i w:val="0"/>
          <w:iCs w:val="0"/>
          <w:caps w:val="0"/>
          <w:color w:val="000000"/>
          <w:spacing w:val="0"/>
          <w:sz w:val="28"/>
          <w:szCs w:val="28"/>
          <w:lang w:val="en-US" w:eastAsia="zh-CN"/>
        </w:rPr>
      </w:pPr>
    </w:p>
    <w:p w14:paraId="0D8A235D">
      <w:pPr>
        <w:pStyle w:val="2"/>
        <w:rPr>
          <w:rFonts w:hint="eastAsia" w:ascii="仿宋" w:hAnsi="仿宋" w:eastAsia="仿宋" w:cs="仿宋"/>
          <w:i w:val="0"/>
          <w:iCs w:val="0"/>
          <w:caps w:val="0"/>
          <w:color w:val="000000"/>
          <w:spacing w:val="0"/>
          <w:sz w:val="28"/>
          <w:szCs w:val="28"/>
          <w:lang w:val="en-US" w:eastAsia="zh-CN"/>
        </w:rPr>
      </w:pPr>
    </w:p>
    <w:p w14:paraId="7656372D">
      <w:pPr>
        <w:pStyle w:val="2"/>
        <w:rPr>
          <w:rFonts w:hint="eastAsia" w:ascii="仿宋" w:hAnsi="仿宋" w:eastAsia="仿宋" w:cs="仿宋"/>
          <w:i w:val="0"/>
          <w:iCs w:val="0"/>
          <w:caps w:val="0"/>
          <w:color w:val="000000"/>
          <w:spacing w:val="0"/>
          <w:sz w:val="28"/>
          <w:szCs w:val="28"/>
          <w:lang w:val="en-US" w:eastAsia="zh-CN"/>
        </w:rPr>
      </w:pPr>
    </w:p>
    <w:p w14:paraId="48B0C08E">
      <w:pPr>
        <w:pStyle w:val="2"/>
        <w:rPr>
          <w:rFonts w:hint="eastAsia" w:ascii="仿宋" w:hAnsi="仿宋" w:eastAsia="仿宋" w:cs="仿宋"/>
          <w:i w:val="0"/>
          <w:iCs w:val="0"/>
          <w:caps w:val="0"/>
          <w:color w:val="000000"/>
          <w:spacing w:val="0"/>
          <w:sz w:val="28"/>
          <w:szCs w:val="28"/>
          <w:lang w:val="en-US" w:eastAsia="zh-CN"/>
        </w:rPr>
      </w:pPr>
    </w:p>
    <w:p w14:paraId="3EFDB51F">
      <w:pPr>
        <w:pStyle w:val="2"/>
        <w:rPr>
          <w:rFonts w:hint="eastAsia" w:ascii="仿宋" w:hAnsi="仿宋" w:eastAsia="仿宋" w:cs="仿宋"/>
          <w:i w:val="0"/>
          <w:iCs w:val="0"/>
          <w:caps w:val="0"/>
          <w:color w:val="000000"/>
          <w:spacing w:val="0"/>
          <w:sz w:val="28"/>
          <w:szCs w:val="28"/>
          <w:lang w:val="en-US" w:eastAsia="zh-CN"/>
        </w:rPr>
      </w:pPr>
    </w:p>
    <w:p w14:paraId="56CEF119">
      <w:pPr>
        <w:pStyle w:val="2"/>
        <w:rPr>
          <w:rFonts w:hint="eastAsia" w:ascii="仿宋" w:hAnsi="仿宋" w:eastAsia="仿宋" w:cs="仿宋"/>
          <w:i w:val="0"/>
          <w:iCs w:val="0"/>
          <w:caps w:val="0"/>
          <w:color w:val="000000"/>
          <w:spacing w:val="0"/>
          <w:sz w:val="28"/>
          <w:szCs w:val="28"/>
          <w:lang w:val="en-US" w:eastAsia="zh-CN"/>
        </w:rPr>
      </w:pPr>
    </w:p>
    <w:p w14:paraId="3FC07F10">
      <w:pPr>
        <w:pStyle w:val="2"/>
        <w:rPr>
          <w:rFonts w:hint="eastAsia" w:ascii="仿宋" w:hAnsi="仿宋" w:eastAsia="仿宋" w:cs="仿宋"/>
          <w:i w:val="0"/>
          <w:iCs w:val="0"/>
          <w:caps w:val="0"/>
          <w:color w:val="000000"/>
          <w:spacing w:val="0"/>
          <w:sz w:val="28"/>
          <w:szCs w:val="28"/>
          <w:lang w:val="en-US" w:eastAsia="zh-CN"/>
        </w:rPr>
      </w:pPr>
    </w:p>
    <w:p w14:paraId="2A5D64AC">
      <w:pPr>
        <w:pStyle w:val="2"/>
        <w:rPr>
          <w:rFonts w:hint="eastAsia" w:ascii="仿宋" w:hAnsi="仿宋" w:eastAsia="仿宋" w:cs="仿宋"/>
          <w:i w:val="0"/>
          <w:iCs w:val="0"/>
          <w:caps w:val="0"/>
          <w:color w:val="000000"/>
          <w:spacing w:val="0"/>
          <w:sz w:val="28"/>
          <w:szCs w:val="28"/>
          <w:lang w:val="en-US" w:eastAsia="zh-CN"/>
        </w:rPr>
      </w:pPr>
    </w:p>
    <w:p w14:paraId="3AEC0DDD">
      <w:pPr>
        <w:pStyle w:val="2"/>
        <w:rPr>
          <w:rFonts w:hint="eastAsia" w:ascii="仿宋" w:hAnsi="仿宋" w:eastAsia="仿宋" w:cs="仿宋"/>
          <w:i w:val="0"/>
          <w:iCs w:val="0"/>
          <w:caps w:val="0"/>
          <w:color w:val="000000"/>
          <w:spacing w:val="0"/>
          <w:sz w:val="28"/>
          <w:szCs w:val="28"/>
          <w:lang w:val="en-US" w:eastAsia="zh-CN"/>
        </w:rPr>
      </w:pPr>
    </w:p>
    <w:p w14:paraId="3DFD355E">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jc w:val="center"/>
        <w:textAlignment w:val="auto"/>
        <w:rPr>
          <w:rFonts w:hint="eastAsia" w:ascii="宋体" w:hAnsi="宋体" w:eastAsia="宋体" w:cs="宋体"/>
          <w:color w:val="auto"/>
          <w:sz w:val="24"/>
          <w:szCs w:val="24"/>
          <w:highlight w:val="none"/>
        </w:rPr>
      </w:pPr>
      <w:r>
        <w:rPr>
          <w:rFonts w:hint="eastAsia" w:ascii="微软雅黑" w:hAnsi="微软雅黑" w:eastAsia="微软雅黑" w:cs="微软雅黑"/>
          <w:b/>
          <w:bCs/>
          <w:color w:val="auto"/>
          <w:sz w:val="32"/>
          <w:szCs w:val="32"/>
          <w:highlight w:val="none"/>
        </w:rPr>
        <w:t>第二部分</w:t>
      </w:r>
      <w:r>
        <w:rPr>
          <w:rFonts w:hint="eastAsia" w:ascii="微软雅黑" w:hAnsi="微软雅黑" w:eastAsia="微软雅黑" w:cs="微软雅黑"/>
          <w:b/>
          <w:bCs/>
          <w:color w:val="auto"/>
          <w:sz w:val="32"/>
          <w:szCs w:val="32"/>
          <w:highlight w:val="none"/>
        </w:rPr>
        <w:tab/>
      </w:r>
      <w:r>
        <w:rPr>
          <w:rFonts w:hint="eastAsia" w:ascii="微软雅黑" w:hAnsi="微软雅黑" w:eastAsia="微软雅黑" w:cs="微软雅黑"/>
          <w:b/>
          <w:bCs/>
          <w:color w:val="auto"/>
          <w:sz w:val="32"/>
          <w:szCs w:val="32"/>
          <w:highlight w:val="none"/>
        </w:rPr>
        <w:t>磋商须知</w:t>
      </w:r>
      <w:bookmarkEnd w:id="0"/>
    </w:p>
    <w:p w14:paraId="218AF733">
      <w:pPr>
        <w:rPr>
          <w:rFonts w:hint="eastAsia"/>
          <w:color w:val="auto"/>
          <w:highlight w:val="none"/>
        </w:rPr>
      </w:pPr>
    </w:p>
    <w:p w14:paraId="0AF1954A">
      <w:pPr>
        <w:keepNext w:val="0"/>
        <w:keepLines w:val="0"/>
        <w:pageBreakBefore w:val="0"/>
        <w:widowControl w:val="0"/>
        <w:numPr>
          <w:ilvl w:val="0"/>
          <w:numId w:val="2"/>
        </w:numPr>
        <w:kinsoku/>
        <w:wordWrap/>
        <w:overflowPunct/>
        <w:topLinePunct w:val="0"/>
        <w:autoSpaceDE w:val="0"/>
        <w:autoSpaceDN w:val="0"/>
        <w:bidi w:val="0"/>
        <w:adjustRightInd/>
        <w:snapToGrid/>
        <w:spacing w:line="440" w:lineRule="exact"/>
        <w:ind w:firstLine="640" w:firstLineChars="200"/>
        <w:jc w:val="center"/>
        <w:textAlignment w:val="auto"/>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 xml:space="preserve">磋商须知前附表 </w:t>
      </w:r>
    </w:p>
    <w:tbl>
      <w:tblPr>
        <w:tblStyle w:val="20"/>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2470"/>
        <w:gridCol w:w="5426"/>
      </w:tblGrid>
      <w:tr w14:paraId="1F21D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68" w:type="dxa"/>
            <w:noWrap w:val="0"/>
            <w:vAlign w:val="center"/>
          </w:tcPr>
          <w:p w14:paraId="68058B40">
            <w:pPr>
              <w:pStyle w:val="29"/>
              <w:keepNext w:val="0"/>
              <w:keepLines w:val="0"/>
              <w:pageBreakBefore w:val="0"/>
              <w:widowControl/>
              <w:kinsoku/>
              <w:wordWrap/>
              <w:overflowPunct/>
              <w:topLinePunct w:val="0"/>
              <w:bidi w:val="0"/>
              <w:snapToGrid/>
              <w:spacing w:line="320" w:lineRule="exact"/>
              <w:textAlignment w:val="auto"/>
              <w:rPr>
                <w:rFonts w:ascii="宋体" w:hAnsi="宋体" w:eastAsia="宋体"/>
                <w:b/>
                <w:color w:val="auto"/>
                <w:sz w:val="24"/>
                <w:highlight w:val="none"/>
              </w:rPr>
            </w:pPr>
            <w:r>
              <w:rPr>
                <w:rFonts w:ascii="宋体" w:hAnsi="宋体" w:eastAsia="宋体"/>
                <w:b/>
                <w:color w:val="auto"/>
                <w:sz w:val="24"/>
                <w:highlight w:val="none"/>
              </w:rPr>
              <w:t>条款号</w:t>
            </w:r>
          </w:p>
        </w:tc>
        <w:tc>
          <w:tcPr>
            <w:tcW w:w="2470" w:type="dxa"/>
            <w:noWrap w:val="0"/>
            <w:vAlign w:val="center"/>
          </w:tcPr>
          <w:p w14:paraId="1870AF9E">
            <w:pPr>
              <w:pStyle w:val="29"/>
              <w:keepNext w:val="0"/>
              <w:keepLines w:val="0"/>
              <w:pageBreakBefore w:val="0"/>
              <w:widowControl/>
              <w:kinsoku/>
              <w:wordWrap/>
              <w:overflowPunct/>
              <w:topLinePunct w:val="0"/>
              <w:bidi w:val="0"/>
              <w:snapToGrid/>
              <w:spacing w:line="320" w:lineRule="exact"/>
              <w:jc w:val="center"/>
              <w:textAlignment w:val="auto"/>
              <w:rPr>
                <w:rFonts w:ascii="宋体" w:hAnsi="宋体" w:eastAsia="宋体"/>
                <w:b/>
                <w:color w:val="auto"/>
                <w:sz w:val="24"/>
                <w:highlight w:val="none"/>
              </w:rPr>
            </w:pPr>
            <w:r>
              <w:rPr>
                <w:rFonts w:ascii="宋体" w:hAnsi="宋体" w:eastAsia="宋体"/>
                <w:b/>
                <w:color w:val="auto"/>
                <w:sz w:val="24"/>
                <w:highlight w:val="none"/>
              </w:rPr>
              <w:t>条 款 名 称</w:t>
            </w:r>
          </w:p>
        </w:tc>
        <w:tc>
          <w:tcPr>
            <w:tcW w:w="5426" w:type="dxa"/>
            <w:noWrap w:val="0"/>
            <w:vAlign w:val="center"/>
          </w:tcPr>
          <w:p w14:paraId="5D29E4D6">
            <w:pPr>
              <w:pStyle w:val="29"/>
              <w:keepNext w:val="0"/>
              <w:keepLines w:val="0"/>
              <w:pageBreakBefore w:val="0"/>
              <w:widowControl/>
              <w:kinsoku/>
              <w:wordWrap/>
              <w:overflowPunct/>
              <w:topLinePunct w:val="0"/>
              <w:bidi w:val="0"/>
              <w:snapToGrid/>
              <w:spacing w:line="320" w:lineRule="exact"/>
              <w:jc w:val="center"/>
              <w:textAlignment w:val="auto"/>
              <w:rPr>
                <w:rFonts w:ascii="宋体" w:hAnsi="宋体" w:eastAsia="宋体"/>
                <w:b/>
                <w:color w:val="auto"/>
                <w:sz w:val="24"/>
                <w:highlight w:val="none"/>
              </w:rPr>
            </w:pPr>
            <w:r>
              <w:rPr>
                <w:rFonts w:ascii="宋体" w:hAnsi="宋体" w:eastAsia="宋体"/>
                <w:b/>
                <w:color w:val="auto"/>
                <w:sz w:val="24"/>
                <w:highlight w:val="none"/>
              </w:rPr>
              <w:t>编  列  内  容</w:t>
            </w:r>
          </w:p>
        </w:tc>
      </w:tr>
      <w:tr w14:paraId="3FD5A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68" w:type="dxa"/>
            <w:noWrap w:val="0"/>
            <w:vAlign w:val="center"/>
          </w:tcPr>
          <w:p w14:paraId="69C11A98">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1</w:t>
            </w:r>
          </w:p>
        </w:tc>
        <w:tc>
          <w:tcPr>
            <w:tcW w:w="2470" w:type="dxa"/>
            <w:noWrap w:val="0"/>
            <w:vAlign w:val="center"/>
          </w:tcPr>
          <w:p w14:paraId="2A629CC2">
            <w:pPr>
              <w:pStyle w:val="29"/>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项目名称</w:t>
            </w:r>
          </w:p>
        </w:tc>
        <w:tc>
          <w:tcPr>
            <w:tcW w:w="5426" w:type="dxa"/>
            <w:noWrap w:val="0"/>
            <w:vAlign w:val="center"/>
          </w:tcPr>
          <w:p w14:paraId="17A7DA39">
            <w:pPr>
              <w:pStyle w:val="29"/>
              <w:keepNext w:val="0"/>
              <w:keepLines w:val="0"/>
              <w:pageBreakBefore w:val="0"/>
              <w:widowControl/>
              <w:kinsoku/>
              <w:wordWrap/>
              <w:overflowPunct/>
              <w:topLinePunct w:val="0"/>
              <w:bidi w:val="0"/>
              <w:snapToGrid/>
              <w:spacing w:line="320" w:lineRule="exact"/>
              <w:textAlignment w:val="auto"/>
              <w:rPr>
                <w:rFonts w:hint="default" w:eastAsia="宋体" w:cs="Times New Roman"/>
                <w:color w:val="auto"/>
                <w:sz w:val="24"/>
                <w:highlight w:val="none"/>
                <w:lang w:val="en-US" w:eastAsia="zh-CN"/>
              </w:rPr>
            </w:pPr>
            <w:bookmarkStart w:id="4" w:name="EBab956008dbe54ba7a71901d90aab5e33"/>
            <w:bookmarkEnd w:id="4"/>
            <w:r>
              <w:rPr>
                <w:rFonts w:hint="eastAsia" w:eastAsia="宋体" w:cs="Times New Roman"/>
                <w:color w:val="auto"/>
                <w:sz w:val="24"/>
                <w:highlight w:val="none"/>
                <w:lang w:val="en-US" w:eastAsia="zh-CN"/>
              </w:rPr>
              <w:t>吐峪沟乡泽日甫坎儿孜村沥青道路建设项目</w:t>
            </w:r>
          </w:p>
        </w:tc>
      </w:tr>
      <w:tr w14:paraId="239A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8" w:type="dxa"/>
            <w:noWrap w:val="0"/>
            <w:vAlign w:val="center"/>
          </w:tcPr>
          <w:p w14:paraId="2A60E3B1">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2</w:t>
            </w:r>
          </w:p>
        </w:tc>
        <w:tc>
          <w:tcPr>
            <w:tcW w:w="2470" w:type="dxa"/>
            <w:noWrap w:val="0"/>
            <w:vAlign w:val="center"/>
          </w:tcPr>
          <w:p w14:paraId="5710153E">
            <w:pPr>
              <w:pStyle w:val="29"/>
              <w:keepNext w:val="0"/>
              <w:keepLines w:val="0"/>
              <w:pageBreakBefore w:val="0"/>
              <w:widowControl/>
              <w:kinsoku/>
              <w:wordWrap/>
              <w:overflowPunct/>
              <w:topLinePunct w:val="0"/>
              <w:bidi w:val="0"/>
              <w:snapToGrid/>
              <w:spacing w:line="320" w:lineRule="exact"/>
              <w:jc w:val="center"/>
              <w:textAlignment w:val="auto"/>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采购内容及</w:t>
            </w:r>
            <w:r>
              <w:rPr>
                <w:rFonts w:ascii="宋体" w:hAnsi="宋体" w:eastAsia="宋体" w:cs="Times New Roman"/>
                <w:color w:val="auto"/>
                <w:sz w:val="24"/>
                <w:highlight w:val="none"/>
              </w:rPr>
              <w:t>质量要求</w:t>
            </w:r>
          </w:p>
        </w:tc>
        <w:tc>
          <w:tcPr>
            <w:tcW w:w="5426" w:type="dxa"/>
            <w:noWrap w:val="0"/>
            <w:vAlign w:val="center"/>
          </w:tcPr>
          <w:p w14:paraId="33858A67">
            <w:pPr>
              <w:pStyle w:val="11"/>
              <w:keepNext w:val="0"/>
              <w:keepLines w:val="0"/>
              <w:pageBreakBefore w:val="0"/>
              <w:shd w:val="clear" w:color="auto" w:fill="FFFFFF"/>
              <w:kinsoku/>
              <w:wordWrap/>
              <w:overflowPunct/>
              <w:autoSpaceDE w:val="0"/>
              <w:autoSpaceDN/>
              <w:bidi w:val="0"/>
              <w:adjustRightInd w:val="0"/>
              <w:snapToGrid w:val="0"/>
              <w:spacing w:line="400" w:lineRule="exact"/>
              <w:ind w:right="0"/>
              <w:textAlignment w:val="auto"/>
              <w:rPr>
                <w:rFonts w:hint="default" w:ascii="Calibri" w:hAnsi="Calibri" w:eastAsia="宋体" w:cs="Times New Roman"/>
                <w:color w:val="auto"/>
                <w:kern w:val="2"/>
                <w:sz w:val="24"/>
                <w:szCs w:val="22"/>
                <w:highlight w:val="none"/>
                <w:lang w:val="en-US" w:eastAsia="zh-CN" w:bidi="ar-SA"/>
              </w:rPr>
            </w:pPr>
            <w:r>
              <w:rPr>
                <w:rFonts w:hint="eastAsia" w:eastAsia="宋体" w:cs="Times New Roman"/>
                <w:color w:val="auto"/>
                <w:sz w:val="24"/>
                <w:highlight w:val="none"/>
                <w:lang w:val="en-US" w:eastAsia="zh-CN"/>
              </w:rPr>
              <w:t>采购内</w:t>
            </w:r>
            <w:r>
              <w:rPr>
                <w:rFonts w:hint="eastAsia" w:ascii="Calibri" w:hAnsi="Calibri" w:eastAsia="宋体" w:cs="Times New Roman"/>
                <w:color w:val="auto"/>
                <w:kern w:val="2"/>
                <w:sz w:val="24"/>
                <w:szCs w:val="22"/>
                <w:highlight w:val="none"/>
                <w:lang w:val="en-US" w:eastAsia="zh-CN" w:bidi="ar-SA"/>
              </w:rPr>
              <w:t>容：新建沥青道路3公里，路面宽5米。（详见工程量清单）</w:t>
            </w:r>
          </w:p>
          <w:p w14:paraId="4EBF09B8">
            <w:pPr>
              <w:pStyle w:val="11"/>
              <w:keepNext w:val="0"/>
              <w:keepLines w:val="0"/>
              <w:pageBreakBefore w:val="0"/>
              <w:shd w:val="clear" w:color="auto" w:fill="FFFFFF"/>
              <w:kinsoku/>
              <w:wordWrap/>
              <w:overflowPunct/>
              <w:autoSpaceDE w:val="0"/>
              <w:autoSpaceDN/>
              <w:bidi w:val="0"/>
              <w:adjustRightInd w:val="0"/>
              <w:snapToGrid w:val="0"/>
              <w:spacing w:line="400" w:lineRule="exact"/>
              <w:ind w:right="0"/>
              <w:textAlignment w:val="auto"/>
              <w:rPr>
                <w:rFonts w:hint="eastAsia" w:ascii="Calibri" w:hAnsi="Calibri" w:eastAsia="宋体" w:cs="Times New Roman"/>
                <w:color w:val="auto"/>
                <w:kern w:val="2"/>
                <w:sz w:val="24"/>
                <w:szCs w:val="22"/>
                <w:highlight w:val="none"/>
                <w:lang w:val="en-US" w:eastAsia="zh-CN" w:bidi="ar-SA"/>
              </w:rPr>
            </w:pPr>
            <w:r>
              <w:rPr>
                <w:rFonts w:hint="eastAsia" w:ascii="Calibri" w:hAnsi="Calibri" w:eastAsia="宋体" w:cs="Times New Roman"/>
                <w:color w:val="auto"/>
                <w:kern w:val="2"/>
                <w:sz w:val="24"/>
                <w:szCs w:val="22"/>
                <w:highlight w:val="none"/>
                <w:lang w:val="en-US" w:eastAsia="zh-CN" w:bidi="ar-SA"/>
              </w:rPr>
              <w:t>质量标准：</w:t>
            </w:r>
            <w:bookmarkStart w:id="5" w:name="EB842ea8786d484386adc9fd3f4803a0e9"/>
            <w:bookmarkEnd w:id="5"/>
            <w:r>
              <w:rPr>
                <w:rFonts w:hint="eastAsia" w:ascii="Calibri" w:hAnsi="Calibri" w:eastAsia="宋体" w:cs="Times New Roman"/>
                <w:color w:val="auto"/>
                <w:kern w:val="2"/>
                <w:sz w:val="24"/>
                <w:szCs w:val="22"/>
                <w:highlight w:val="none"/>
                <w:lang w:val="en-US" w:eastAsia="zh-CN" w:bidi="ar-SA"/>
              </w:rPr>
              <w:t>合格</w:t>
            </w:r>
          </w:p>
          <w:p w14:paraId="0A3EB8B7">
            <w:pPr>
              <w:pStyle w:val="29"/>
              <w:keepNext w:val="0"/>
              <w:keepLines w:val="0"/>
              <w:pageBreakBefore w:val="0"/>
              <w:widowControl/>
              <w:kinsoku/>
              <w:wordWrap/>
              <w:overflowPunct/>
              <w:topLinePunct w:val="0"/>
              <w:bidi w:val="0"/>
              <w:snapToGrid/>
              <w:spacing w:line="320" w:lineRule="exact"/>
              <w:textAlignment w:val="auto"/>
              <w:rPr>
                <w:rFonts w:hint="eastAsia" w:eastAsia="宋体" w:cs="Times New Roman"/>
                <w:color w:val="auto"/>
                <w:sz w:val="24"/>
                <w:highlight w:val="none"/>
                <w:lang w:val="en-US" w:eastAsia="zh-CN"/>
              </w:rPr>
            </w:pPr>
            <w:r>
              <w:rPr>
                <w:rFonts w:hint="eastAsia" w:eastAsia="宋体" w:cs="Times New Roman"/>
                <w:color w:val="auto"/>
                <w:sz w:val="24"/>
                <w:highlight w:val="none"/>
                <w:lang w:val="en-US" w:eastAsia="zh-CN"/>
              </w:rPr>
              <w:t>质保期：符合国家规定</w:t>
            </w:r>
          </w:p>
        </w:tc>
      </w:tr>
      <w:tr w14:paraId="54F4F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68" w:type="dxa"/>
            <w:noWrap w:val="0"/>
            <w:vAlign w:val="center"/>
          </w:tcPr>
          <w:p w14:paraId="14EA6383">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3</w:t>
            </w:r>
          </w:p>
        </w:tc>
        <w:tc>
          <w:tcPr>
            <w:tcW w:w="2470" w:type="dxa"/>
            <w:noWrap w:val="0"/>
            <w:vAlign w:val="center"/>
          </w:tcPr>
          <w:p w14:paraId="2B117470">
            <w:pPr>
              <w:pStyle w:val="29"/>
              <w:keepNext w:val="0"/>
              <w:keepLines w:val="0"/>
              <w:pageBreakBefore w:val="0"/>
              <w:widowControl/>
              <w:kinsoku/>
              <w:wordWrap/>
              <w:overflowPunct/>
              <w:topLinePunct w:val="0"/>
              <w:bidi w:val="0"/>
              <w:snapToGrid/>
              <w:spacing w:line="320" w:lineRule="exact"/>
              <w:jc w:val="center"/>
              <w:textAlignment w:val="auto"/>
              <w:rPr>
                <w:rFonts w:ascii="宋体" w:hAnsi="宋体" w:eastAsia="宋体"/>
                <w:color w:val="auto"/>
                <w:sz w:val="24"/>
                <w:highlight w:val="none"/>
              </w:rPr>
            </w:pPr>
            <w:r>
              <w:rPr>
                <w:rFonts w:ascii="宋体" w:hAnsi="宋体" w:eastAsia="宋体" w:cs="Times New Roman"/>
                <w:color w:val="auto"/>
                <w:sz w:val="24"/>
                <w:highlight w:val="none"/>
              </w:rPr>
              <w:t>信誉要求</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不良行为记录</w:t>
            </w:r>
            <w:r>
              <w:rPr>
                <w:rFonts w:hint="eastAsia" w:ascii="宋体" w:hAnsi="宋体" w:eastAsia="宋体" w:cs="Times New Roman"/>
                <w:color w:val="auto"/>
                <w:sz w:val="24"/>
                <w:highlight w:val="none"/>
                <w:lang w:eastAsia="zh-CN"/>
              </w:rPr>
              <w:t>）</w:t>
            </w:r>
          </w:p>
        </w:tc>
        <w:tc>
          <w:tcPr>
            <w:tcW w:w="5426" w:type="dxa"/>
            <w:noWrap w:val="0"/>
            <w:vAlign w:val="center"/>
          </w:tcPr>
          <w:p w14:paraId="5A354B5F">
            <w:pPr>
              <w:pStyle w:val="29"/>
              <w:keepNext w:val="0"/>
              <w:keepLines w:val="0"/>
              <w:pageBreakBefore w:val="0"/>
              <w:widowControl/>
              <w:kinsoku/>
              <w:wordWrap/>
              <w:overflowPunct/>
              <w:topLinePunct w:val="0"/>
              <w:bidi w:val="0"/>
              <w:snapToGrid/>
              <w:spacing w:line="320" w:lineRule="exact"/>
              <w:textAlignment w:val="auto"/>
              <w:rPr>
                <w:rFonts w:hint="eastAsia" w:eastAsia="宋体" w:cs="Times New Roman"/>
                <w:color w:val="auto"/>
                <w:sz w:val="24"/>
                <w:highlight w:val="none"/>
                <w:lang w:val="en-US" w:eastAsia="zh-CN"/>
              </w:rPr>
            </w:pPr>
            <w:bookmarkStart w:id="6" w:name="EB797d1b4079594a778b9f2da7a47c4236"/>
            <w:bookmarkEnd w:id="6"/>
            <w:r>
              <w:rPr>
                <w:rFonts w:hint="eastAsia" w:eastAsia="宋体" w:cs="Times New Roman"/>
                <w:color w:val="auto"/>
                <w:sz w:val="24"/>
                <w:highlight w:val="none"/>
                <w:lang w:val="en-US" w:eastAsia="zh-CN"/>
              </w:rPr>
              <w:t>投标人未被列入“信用中国”网站“记录失信被执行人或重大税收违法案件当事人名单或政府采购严重违法失信行为”记录名单；不处于中国政府采购网“政府采购严重违法失信行为信息记录”中的禁止参加政府采购活动期间；未列入国家企业信用信息公示系统严重违法失信名单及其他不符合规定条件；</w:t>
            </w:r>
          </w:p>
        </w:tc>
      </w:tr>
      <w:tr w14:paraId="7386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68" w:type="dxa"/>
            <w:noWrap w:val="0"/>
            <w:vAlign w:val="center"/>
          </w:tcPr>
          <w:p w14:paraId="2045322C">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4</w:t>
            </w:r>
          </w:p>
        </w:tc>
        <w:tc>
          <w:tcPr>
            <w:tcW w:w="2470" w:type="dxa"/>
            <w:noWrap w:val="0"/>
            <w:vAlign w:val="center"/>
          </w:tcPr>
          <w:p w14:paraId="6350FEAA">
            <w:pPr>
              <w:pStyle w:val="29"/>
              <w:keepNext w:val="0"/>
              <w:keepLines w:val="0"/>
              <w:pageBreakBefore w:val="0"/>
              <w:widowControl/>
              <w:kinsoku/>
              <w:wordWrap/>
              <w:overflowPunct/>
              <w:topLinePunct w:val="0"/>
              <w:bidi w:val="0"/>
              <w:snapToGrid/>
              <w:spacing w:line="320" w:lineRule="exact"/>
              <w:jc w:val="center"/>
              <w:textAlignment w:val="auto"/>
              <w:rPr>
                <w:rFonts w:ascii="宋体" w:hAnsi="宋体" w:eastAsia="宋体"/>
                <w:color w:val="auto"/>
                <w:sz w:val="24"/>
                <w:highlight w:val="none"/>
              </w:rPr>
            </w:pPr>
            <w:r>
              <w:rPr>
                <w:rFonts w:ascii="宋体" w:hAnsi="宋体" w:eastAsia="宋体"/>
                <w:color w:val="auto"/>
                <w:sz w:val="24"/>
                <w:highlight w:val="none"/>
              </w:rPr>
              <w:t>踏勘</w:t>
            </w:r>
            <w:r>
              <w:rPr>
                <w:rFonts w:hint="eastAsia" w:ascii="宋体" w:hAnsi="宋体" w:eastAsia="宋体"/>
                <w:color w:val="auto"/>
                <w:sz w:val="24"/>
                <w:highlight w:val="none"/>
              </w:rPr>
              <w:t>现场</w:t>
            </w:r>
          </w:p>
        </w:tc>
        <w:tc>
          <w:tcPr>
            <w:tcW w:w="5426" w:type="dxa"/>
            <w:noWrap w:val="0"/>
            <w:vAlign w:val="center"/>
          </w:tcPr>
          <w:p w14:paraId="030E5D0C">
            <w:pPr>
              <w:pStyle w:val="29"/>
              <w:keepNext w:val="0"/>
              <w:keepLines w:val="0"/>
              <w:pageBreakBefore w:val="0"/>
              <w:widowControl/>
              <w:kinsoku/>
              <w:wordWrap/>
              <w:overflowPunct/>
              <w:topLinePunct w:val="0"/>
              <w:bidi w:val="0"/>
              <w:snapToGrid/>
              <w:spacing w:line="320" w:lineRule="exact"/>
              <w:textAlignment w:val="auto"/>
              <w:rPr>
                <w:rFonts w:hint="eastAsia" w:eastAsia="宋体" w:cs="Times New Roman"/>
                <w:color w:val="auto"/>
                <w:sz w:val="24"/>
                <w:highlight w:val="none"/>
                <w:lang w:val="en-US" w:eastAsia="zh-CN"/>
              </w:rPr>
            </w:pPr>
            <w:bookmarkStart w:id="7" w:name="EB711ab04762684375a014a19528cf06dd"/>
            <w:bookmarkEnd w:id="7"/>
            <w:r>
              <w:rPr>
                <w:rFonts w:hint="eastAsia" w:eastAsia="宋体" w:cs="Times New Roman"/>
                <w:color w:val="auto"/>
                <w:sz w:val="24"/>
                <w:highlight w:val="none"/>
                <w:lang w:val="en-US" w:eastAsia="zh-CN"/>
              </w:rPr>
              <w:t>☑不组织</w:t>
            </w:r>
          </w:p>
          <w:p w14:paraId="3FC65470">
            <w:pPr>
              <w:pStyle w:val="29"/>
              <w:keepNext w:val="0"/>
              <w:keepLines w:val="0"/>
              <w:pageBreakBefore w:val="0"/>
              <w:widowControl/>
              <w:kinsoku/>
              <w:wordWrap/>
              <w:overflowPunct/>
              <w:topLinePunct w:val="0"/>
              <w:bidi w:val="0"/>
              <w:snapToGrid/>
              <w:spacing w:line="320" w:lineRule="exact"/>
              <w:textAlignment w:val="auto"/>
              <w:rPr>
                <w:rFonts w:hint="eastAsia" w:eastAsia="宋体" w:cs="Times New Roman"/>
                <w:color w:val="auto"/>
                <w:sz w:val="24"/>
                <w:highlight w:val="none"/>
                <w:lang w:val="en-US" w:eastAsia="zh-CN"/>
              </w:rPr>
            </w:pPr>
            <w:bookmarkStart w:id="8" w:name="EBafd1a84b6f804a9890ee96b9f6d8258d"/>
            <w:bookmarkEnd w:id="8"/>
            <w:r>
              <w:rPr>
                <w:rFonts w:hint="eastAsia" w:eastAsia="宋体" w:cs="Times New Roman"/>
                <w:color w:val="auto"/>
                <w:sz w:val="24"/>
                <w:highlight w:val="none"/>
                <w:lang w:val="en-US" w:eastAsia="zh-CN"/>
              </w:rPr>
              <w:t>□组织，</w:t>
            </w:r>
          </w:p>
          <w:p w14:paraId="1CA72A3F">
            <w:pPr>
              <w:pStyle w:val="29"/>
              <w:keepNext w:val="0"/>
              <w:keepLines w:val="0"/>
              <w:pageBreakBefore w:val="0"/>
              <w:widowControl/>
              <w:kinsoku/>
              <w:wordWrap/>
              <w:overflowPunct/>
              <w:topLinePunct w:val="0"/>
              <w:bidi w:val="0"/>
              <w:snapToGrid/>
              <w:spacing w:line="320" w:lineRule="exact"/>
              <w:textAlignment w:val="auto"/>
              <w:rPr>
                <w:rFonts w:hint="eastAsia" w:eastAsia="宋体" w:cs="Times New Roman"/>
                <w:color w:val="auto"/>
                <w:sz w:val="24"/>
                <w:highlight w:val="none"/>
                <w:lang w:val="en-US" w:eastAsia="zh-CN"/>
              </w:rPr>
            </w:pPr>
            <w:r>
              <w:rPr>
                <w:rFonts w:hint="eastAsia" w:eastAsia="宋体" w:cs="Times New Roman"/>
                <w:color w:val="auto"/>
                <w:sz w:val="24"/>
                <w:highlight w:val="none"/>
                <w:lang w:val="en-US" w:eastAsia="zh-CN"/>
              </w:rPr>
              <w:t>踏勘时间：</w:t>
            </w:r>
            <w:bookmarkStart w:id="9" w:name="EB29d5e1ef164c4dffb6d1d51a9bb4054e"/>
            <w:bookmarkEnd w:id="9"/>
            <w:r>
              <w:rPr>
                <w:rFonts w:hint="eastAsia" w:eastAsia="宋体" w:cs="Times New Roman"/>
                <w:color w:val="auto"/>
                <w:sz w:val="24"/>
                <w:highlight w:val="none"/>
                <w:lang w:val="en-US" w:eastAsia="zh-CN"/>
              </w:rPr>
              <w:t>/</w:t>
            </w:r>
          </w:p>
          <w:p w14:paraId="2873C3C8">
            <w:pPr>
              <w:pStyle w:val="29"/>
              <w:keepNext w:val="0"/>
              <w:keepLines w:val="0"/>
              <w:pageBreakBefore w:val="0"/>
              <w:widowControl/>
              <w:kinsoku/>
              <w:wordWrap/>
              <w:overflowPunct/>
              <w:topLinePunct w:val="0"/>
              <w:bidi w:val="0"/>
              <w:snapToGrid/>
              <w:spacing w:line="320" w:lineRule="exact"/>
              <w:textAlignment w:val="auto"/>
              <w:rPr>
                <w:rFonts w:hint="eastAsia" w:eastAsia="宋体" w:cs="Times New Roman"/>
                <w:color w:val="auto"/>
                <w:sz w:val="24"/>
                <w:highlight w:val="none"/>
                <w:lang w:val="en-US" w:eastAsia="zh-CN"/>
              </w:rPr>
            </w:pPr>
            <w:r>
              <w:rPr>
                <w:rFonts w:hint="eastAsia" w:eastAsia="宋体" w:cs="Times New Roman"/>
                <w:color w:val="auto"/>
                <w:sz w:val="24"/>
                <w:highlight w:val="none"/>
                <w:lang w:val="en-US" w:eastAsia="zh-CN"/>
              </w:rPr>
              <w:t>踏勘集中地点：</w:t>
            </w:r>
            <w:bookmarkStart w:id="10" w:name="EB7d3ba06a341f4914bebd605d4573d668"/>
            <w:bookmarkEnd w:id="10"/>
            <w:r>
              <w:rPr>
                <w:rFonts w:hint="eastAsia" w:eastAsia="宋体" w:cs="Times New Roman"/>
                <w:color w:val="auto"/>
                <w:sz w:val="24"/>
                <w:highlight w:val="none"/>
                <w:lang w:val="en-US" w:eastAsia="zh-CN"/>
              </w:rPr>
              <w:t>/</w:t>
            </w:r>
          </w:p>
          <w:p w14:paraId="5BB4FB34">
            <w:pPr>
              <w:pStyle w:val="29"/>
              <w:keepNext w:val="0"/>
              <w:keepLines w:val="0"/>
              <w:pageBreakBefore w:val="0"/>
              <w:widowControl/>
              <w:kinsoku/>
              <w:wordWrap/>
              <w:overflowPunct/>
              <w:topLinePunct w:val="0"/>
              <w:bidi w:val="0"/>
              <w:snapToGrid/>
              <w:spacing w:line="320" w:lineRule="exact"/>
              <w:textAlignment w:val="auto"/>
              <w:rPr>
                <w:rFonts w:hint="default" w:eastAsia="宋体" w:cs="Times New Roman"/>
                <w:color w:val="auto"/>
                <w:sz w:val="24"/>
                <w:highlight w:val="none"/>
                <w:lang w:val="en-US" w:eastAsia="zh-CN"/>
              </w:rPr>
            </w:pPr>
            <w:r>
              <w:rPr>
                <w:rFonts w:hint="eastAsia" w:eastAsia="宋体" w:cs="Times New Roman"/>
                <w:color w:val="auto"/>
                <w:sz w:val="24"/>
                <w:highlight w:val="none"/>
                <w:lang w:val="en-US" w:eastAsia="zh-CN"/>
              </w:rPr>
              <w:t>踏勘联系人及方式：/</w:t>
            </w:r>
          </w:p>
        </w:tc>
      </w:tr>
      <w:tr w14:paraId="509F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68" w:type="dxa"/>
            <w:noWrap w:val="0"/>
            <w:vAlign w:val="center"/>
          </w:tcPr>
          <w:p w14:paraId="46529F10">
            <w:pPr>
              <w:pStyle w:val="29"/>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5</w:t>
            </w:r>
          </w:p>
        </w:tc>
        <w:tc>
          <w:tcPr>
            <w:tcW w:w="2470" w:type="dxa"/>
            <w:noWrap w:val="0"/>
            <w:vAlign w:val="center"/>
          </w:tcPr>
          <w:p w14:paraId="6D92173F">
            <w:pPr>
              <w:pStyle w:val="29"/>
              <w:keepNext w:val="0"/>
              <w:keepLines w:val="0"/>
              <w:pageBreakBefore w:val="0"/>
              <w:widowControl/>
              <w:kinsoku/>
              <w:wordWrap/>
              <w:overflowPunct/>
              <w:topLinePunct w:val="0"/>
              <w:bidi w:val="0"/>
              <w:snapToGrid/>
              <w:spacing w:line="320" w:lineRule="exact"/>
              <w:jc w:val="center"/>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磋商响应</w:t>
            </w:r>
            <w:r>
              <w:rPr>
                <w:rFonts w:ascii="宋体" w:hAnsi="宋体" w:eastAsia="宋体"/>
                <w:color w:val="auto"/>
                <w:sz w:val="24"/>
                <w:highlight w:val="none"/>
              </w:rPr>
              <w:t>有效期</w:t>
            </w:r>
          </w:p>
        </w:tc>
        <w:tc>
          <w:tcPr>
            <w:tcW w:w="5426" w:type="dxa"/>
            <w:noWrap w:val="0"/>
            <w:vAlign w:val="center"/>
          </w:tcPr>
          <w:p w14:paraId="6955DBA1">
            <w:pPr>
              <w:pStyle w:val="29"/>
              <w:keepNext w:val="0"/>
              <w:keepLines w:val="0"/>
              <w:pageBreakBefore w:val="0"/>
              <w:widowControl/>
              <w:kinsoku/>
              <w:wordWrap/>
              <w:overflowPunct/>
              <w:topLinePunct w:val="0"/>
              <w:bidi w:val="0"/>
              <w:snapToGrid/>
              <w:spacing w:line="320" w:lineRule="exact"/>
              <w:textAlignment w:val="auto"/>
              <w:rPr>
                <w:rFonts w:ascii="宋体" w:hAnsi="宋体" w:eastAsia="宋体"/>
                <w:color w:val="auto"/>
                <w:sz w:val="24"/>
                <w:highlight w:val="none"/>
              </w:rPr>
            </w:pPr>
            <w:bookmarkStart w:id="11" w:name="EBdaf02b35eef04948bb826c544b7758c6"/>
            <w:bookmarkEnd w:id="11"/>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u w:val="single"/>
                <w:lang w:val="en-US" w:eastAsia="zh-CN"/>
              </w:rPr>
              <w:t>9</w:t>
            </w:r>
            <w:r>
              <w:rPr>
                <w:rFonts w:hint="eastAsia" w:ascii="宋体" w:hAnsi="宋体" w:eastAsia="宋体"/>
                <w:color w:val="auto"/>
                <w:sz w:val="24"/>
                <w:highlight w:val="none"/>
                <w:u w:val="single"/>
              </w:rPr>
              <w:t xml:space="preserve">0 </w:t>
            </w:r>
            <w:r>
              <w:rPr>
                <w:rFonts w:hint="eastAsia" w:ascii="宋体" w:hAnsi="宋体" w:eastAsia="宋体"/>
                <w:color w:val="auto"/>
                <w:sz w:val="24"/>
                <w:highlight w:val="none"/>
              </w:rPr>
              <w:t>天</w:t>
            </w:r>
          </w:p>
        </w:tc>
      </w:tr>
      <w:tr w14:paraId="6F7C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168" w:type="dxa"/>
            <w:noWrap w:val="0"/>
            <w:vAlign w:val="center"/>
          </w:tcPr>
          <w:p w14:paraId="64B608F2">
            <w:pPr>
              <w:pStyle w:val="29"/>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6</w:t>
            </w:r>
          </w:p>
        </w:tc>
        <w:tc>
          <w:tcPr>
            <w:tcW w:w="2470" w:type="dxa"/>
            <w:noWrap w:val="0"/>
            <w:vAlign w:val="top"/>
          </w:tcPr>
          <w:p w14:paraId="08B25503">
            <w:pPr>
              <w:keepNext w:val="0"/>
              <w:keepLines w:val="0"/>
              <w:pageBreakBefore w:val="0"/>
              <w:widowControl w:val="0"/>
              <w:kinsoku/>
              <w:wordWrap/>
              <w:overflowPunct/>
              <w:topLinePunct w:val="0"/>
              <w:autoSpaceDE w:val="0"/>
              <w:autoSpaceDN w:val="0"/>
              <w:bidi w:val="0"/>
              <w:adjustRightInd/>
              <w:snapToGrid/>
              <w:spacing w:line="320" w:lineRule="exact"/>
              <w:ind w:firstLine="480" w:firstLineChars="200"/>
              <w:jc w:val="center"/>
              <w:textAlignment w:val="auto"/>
              <w:rPr>
                <w:rFonts w:hint="eastAsia" w:ascii="宋体" w:hAnsi="宋体" w:eastAsia="宋体" w:cs="宋体"/>
                <w:color w:val="auto"/>
                <w:sz w:val="24"/>
                <w:szCs w:val="24"/>
                <w:highlight w:val="none"/>
              </w:rPr>
            </w:pPr>
          </w:p>
          <w:p w14:paraId="651CE35B">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240" w:firstLineChars="100"/>
              <w:jc w:val="center"/>
              <w:textAlignment w:val="auto"/>
              <w:rPr>
                <w:rFonts w:ascii="宋体" w:hAnsi="宋体" w:eastAsia="宋体"/>
                <w:color w:val="auto"/>
                <w:sz w:val="24"/>
                <w:highlight w:val="none"/>
              </w:rPr>
            </w:pPr>
            <w:r>
              <w:rPr>
                <w:rFonts w:hint="eastAsia" w:ascii="宋体" w:hAnsi="宋体" w:eastAsia="宋体" w:cs="宋体"/>
                <w:color w:val="auto"/>
                <w:sz w:val="24"/>
                <w:szCs w:val="24"/>
                <w:highlight w:val="none"/>
              </w:rPr>
              <w:t>评审方法</w:t>
            </w:r>
          </w:p>
        </w:tc>
        <w:tc>
          <w:tcPr>
            <w:tcW w:w="5426" w:type="dxa"/>
            <w:noWrap w:val="0"/>
            <w:vAlign w:val="top"/>
          </w:tcPr>
          <w:p w14:paraId="613710C6">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宋体" w:hAnsi="宋体" w:eastAsia="宋体"/>
                <w:color w:val="auto"/>
                <w:kern w:val="0"/>
                <w:sz w:val="24"/>
                <w:highlight w:val="none"/>
                <w:lang w:val="en-US" w:eastAsia="zh-CN"/>
              </w:rPr>
            </w:pPr>
            <w:bookmarkStart w:id="12" w:name="EB93f4d92dc67243458e6fe4614c19bd8f"/>
            <w:bookmarkEnd w:id="12"/>
            <w:bookmarkStart w:id="13" w:name="EB8d5c7d73ca244b28bcae3699d53bc511"/>
            <w:bookmarkEnd w:id="13"/>
            <w:r>
              <w:rPr>
                <w:rFonts w:hint="eastAsia" w:ascii="宋体" w:hAnsi="宋体" w:eastAsia="宋体" w:cs="宋体"/>
                <w:color w:val="auto"/>
                <w:sz w:val="24"/>
                <w:szCs w:val="24"/>
                <w:highlight w:val="none"/>
              </w:rPr>
              <w:t>综合评分法</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rPr>
              <w:t xml:space="preserve">经磋商确定最终采购需求和提交最后报价的供应商后，由磋商小组采用综合评分法对提交最后报价的供应商的响应文件和最后报价进行综合评分。 </w:t>
            </w:r>
          </w:p>
        </w:tc>
      </w:tr>
      <w:tr w14:paraId="44CA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168" w:type="dxa"/>
            <w:noWrap w:val="0"/>
            <w:vAlign w:val="center"/>
          </w:tcPr>
          <w:p w14:paraId="132BDDEB">
            <w:pPr>
              <w:pStyle w:val="29"/>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7</w:t>
            </w:r>
          </w:p>
        </w:tc>
        <w:tc>
          <w:tcPr>
            <w:tcW w:w="2470" w:type="dxa"/>
            <w:noWrap w:val="0"/>
            <w:vAlign w:val="top"/>
          </w:tcPr>
          <w:p w14:paraId="2228D5FB">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80" w:firstLineChars="200"/>
              <w:jc w:val="center"/>
              <w:textAlignment w:val="auto"/>
              <w:rPr>
                <w:rFonts w:hint="eastAsia" w:ascii="宋体" w:hAnsi="宋体" w:eastAsia="宋体" w:cs="宋体"/>
                <w:color w:val="auto"/>
                <w:sz w:val="24"/>
                <w:szCs w:val="24"/>
                <w:highlight w:val="none"/>
              </w:rPr>
            </w:pPr>
          </w:p>
          <w:p w14:paraId="1C7EB923">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80" w:firstLineChars="200"/>
              <w:jc w:val="center"/>
              <w:textAlignment w:val="auto"/>
              <w:rPr>
                <w:rFonts w:hint="eastAsia" w:ascii="宋体" w:hAnsi="宋体" w:eastAsia="宋体" w:cs="宋体"/>
                <w:color w:val="auto"/>
                <w:sz w:val="24"/>
                <w:szCs w:val="24"/>
                <w:highlight w:val="none"/>
                <w:lang w:val="zh-CN" w:eastAsia="zh-CN" w:bidi="zh-CN"/>
              </w:rPr>
            </w:pPr>
            <w:r>
              <w:rPr>
                <w:rFonts w:hint="eastAsia" w:ascii="宋体" w:hAnsi="宋体" w:eastAsia="宋体" w:cs="宋体"/>
                <w:color w:val="auto"/>
                <w:sz w:val="24"/>
                <w:szCs w:val="24"/>
                <w:highlight w:val="none"/>
              </w:rPr>
              <w:t>★报价</w:t>
            </w:r>
          </w:p>
        </w:tc>
        <w:tc>
          <w:tcPr>
            <w:tcW w:w="5426" w:type="dxa"/>
            <w:noWrap w:val="0"/>
            <w:vAlign w:val="top"/>
          </w:tcPr>
          <w:p w14:paraId="15036EC9">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eastAsia" w:cs="宋体"/>
                <w:b/>
                <w:bCs/>
                <w:color w:val="000000" w:themeColor="text1"/>
                <w:sz w:val="24"/>
                <w:szCs w:val="24"/>
                <w:highlight w:val="none"/>
                <w:lang w:val="en-US" w:eastAsia="zh-CN"/>
                <w14:textFill>
                  <w14:solidFill>
                    <w14:schemeClr w14:val="tx1"/>
                  </w14:solidFill>
                </w14:textFill>
              </w:rPr>
            </w:pPr>
            <w:r>
              <w:rPr>
                <w:rFonts w:hint="eastAsia" w:cs="宋体"/>
                <w:b/>
                <w:bCs/>
                <w:color w:val="000000" w:themeColor="text1"/>
                <w:sz w:val="24"/>
                <w:szCs w:val="24"/>
                <w:highlight w:val="none"/>
                <w:lang w:val="en-US" w:eastAsia="zh-CN"/>
                <w14:textFill>
                  <w14:solidFill>
                    <w14:schemeClr w14:val="tx1"/>
                  </w14:solidFill>
                </w14:textFill>
              </w:rPr>
              <w:t>本工程的投标报价采用总价方式进行报价。</w:t>
            </w:r>
          </w:p>
          <w:p w14:paraId="1AF5DC94">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eastAsia" w:ascii="宋体" w:hAnsi="宋体" w:eastAsia="宋体" w:cs="宋体"/>
                <w:color w:val="000000" w:themeColor="text1"/>
                <w:sz w:val="24"/>
                <w:szCs w:val="24"/>
                <w:highlight w:val="none"/>
                <w:lang w:val="zh-CN" w:eastAsia="zh-CN" w:bidi="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报价（含首次报价或最后报价）超出本项目采购预算金额的为无效报价，其响应文件将被认定为无效响应。 </w:t>
            </w:r>
            <w:r>
              <w:rPr>
                <w:rFonts w:hint="eastAsia" w:cs="宋体"/>
                <w:b/>
                <w:bCs/>
                <w:color w:val="000000" w:themeColor="text1"/>
                <w:sz w:val="24"/>
                <w:szCs w:val="24"/>
                <w:highlight w:val="none"/>
                <w:lang w:val="en-US" w:eastAsia="zh-CN"/>
                <w14:textFill>
                  <w14:solidFill>
                    <w14:schemeClr w14:val="tx1"/>
                  </w14:solidFill>
                </w14:textFill>
              </w:rPr>
              <w:t>供应商最后报价下浮金额，视为总价让利（不改变清单投标单价）。</w:t>
            </w:r>
          </w:p>
        </w:tc>
      </w:tr>
      <w:tr w14:paraId="7B44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168" w:type="dxa"/>
            <w:noWrap w:val="0"/>
            <w:vAlign w:val="center"/>
          </w:tcPr>
          <w:p w14:paraId="0A5F7EA6">
            <w:pPr>
              <w:pStyle w:val="29"/>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2470" w:type="dxa"/>
            <w:noWrap w:val="0"/>
            <w:vAlign w:val="top"/>
          </w:tcPr>
          <w:p w14:paraId="1963A01C">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60E8E96C">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磋商保</w:t>
            </w:r>
            <w:r>
              <w:rPr>
                <w:rFonts w:hint="eastAsia" w:ascii="宋体" w:hAnsi="宋体" w:eastAsia="宋体" w:cs="宋体"/>
                <w:color w:val="auto"/>
                <w:kern w:val="0"/>
                <w:sz w:val="24"/>
                <w:szCs w:val="24"/>
                <w:highlight w:val="none"/>
              </w:rPr>
              <w:t>证金</w:t>
            </w:r>
          </w:p>
        </w:tc>
        <w:tc>
          <w:tcPr>
            <w:tcW w:w="5426" w:type="dxa"/>
            <w:noWrap w:val="0"/>
            <w:vAlign w:val="top"/>
          </w:tcPr>
          <w:p w14:paraId="1F74A654">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投标保证金金额：人民币</w:t>
            </w:r>
            <w:r>
              <w:rPr>
                <w:rFonts w:hint="eastAsia" w:cs="宋体"/>
                <w:b/>
                <w:color w:val="000000" w:themeColor="text1"/>
                <w:sz w:val="24"/>
                <w:szCs w:val="24"/>
                <w:lang w:val="en-US" w:eastAsia="zh-CN"/>
                <w14:textFill>
                  <w14:solidFill>
                    <w14:schemeClr w14:val="tx1"/>
                  </w14:solidFill>
                </w14:textFill>
              </w:rPr>
              <w:t>贰</w:t>
            </w:r>
            <w:r>
              <w:rPr>
                <w:rFonts w:hint="eastAsia" w:ascii="宋体" w:hAnsi="宋体" w:eastAsia="宋体" w:cs="宋体"/>
                <w:b/>
                <w:color w:val="000000" w:themeColor="text1"/>
                <w:sz w:val="24"/>
                <w:szCs w:val="24"/>
                <w:lang w:val="zh-CN" w:eastAsia="zh-CN"/>
                <w14:textFill>
                  <w14:solidFill>
                    <w14:schemeClr w14:val="tx1"/>
                  </w14:solidFill>
                </w14:textFill>
              </w:rPr>
              <w:t>万元整（</w:t>
            </w:r>
            <w:r>
              <w:rPr>
                <w:rFonts w:hint="eastAsia"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lang w:val="en-US" w:eastAsia="zh-CN"/>
                <w14:textFill>
                  <w14:solidFill>
                    <w14:schemeClr w14:val="tx1"/>
                  </w14:solidFill>
                </w14:textFill>
              </w:rPr>
              <w:t>00</w:t>
            </w:r>
            <w:r>
              <w:rPr>
                <w:rFonts w:hint="eastAsia" w:ascii="宋体" w:hAnsi="宋体" w:eastAsia="宋体" w:cs="宋体"/>
                <w:b/>
                <w:color w:val="000000" w:themeColor="text1"/>
                <w:sz w:val="24"/>
                <w:szCs w:val="24"/>
                <w:lang w:val="zh-CN" w:eastAsia="zh-CN"/>
                <w14:textFill>
                  <w14:solidFill>
                    <w14:schemeClr w14:val="tx1"/>
                  </w14:solidFill>
                </w14:textFill>
              </w:rPr>
              <w:t>00.00元整）</w:t>
            </w:r>
          </w:p>
          <w:p w14:paraId="1321A057">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投标保证金可采用的其他形式：电汇、转账或政采云电子保函，转出账户必须与投标单位名称一致，否则不予受理。</w:t>
            </w:r>
          </w:p>
          <w:p w14:paraId="24869A1D">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投标保证金形式：</w:t>
            </w:r>
            <w:r>
              <w:rPr>
                <w:rFonts w:hint="eastAsia" w:ascii="宋体" w:hAnsi="宋体" w:eastAsia="宋体" w:cs="宋体"/>
                <w:b/>
                <w:color w:val="000000" w:themeColor="text1"/>
                <w:sz w:val="24"/>
                <w:szCs w:val="24"/>
                <w:lang w:val="zh-CN" w:eastAsia="zh-CN"/>
                <w14:textFill>
                  <w14:solidFill>
                    <w14:schemeClr w14:val="tx1"/>
                  </w14:solidFill>
                </w14:textFill>
              </w:rPr>
              <w:t>非现金形式。为减少收取/退还保证金的手续，采用电汇、网银转账</w:t>
            </w:r>
            <w:r>
              <w:rPr>
                <w:rFonts w:hint="eastAsia" w:ascii="宋体" w:hAnsi="宋体" w:eastAsia="宋体" w:cs="宋体"/>
                <w:b/>
                <w:color w:val="000000" w:themeColor="text1"/>
                <w:sz w:val="24"/>
                <w:szCs w:val="24"/>
                <w:lang w:val="en-US" w:eastAsia="zh-CN"/>
                <w14:textFill>
                  <w14:solidFill>
                    <w14:schemeClr w14:val="tx1"/>
                  </w14:solidFill>
                </w14:textFill>
              </w:rPr>
              <w:t>或</w:t>
            </w:r>
            <w:r>
              <w:rPr>
                <w:rFonts w:hint="eastAsia" w:ascii="宋体" w:hAnsi="宋体" w:cs="宋体"/>
                <w:b/>
                <w:color w:val="000000" w:themeColor="text1"/>
                <w:sz w:val="24"/>
                <w:szCs w:val="24"/>
                <w:lang w:val="en-US" w:eastAsia="zh-CN"/>
                <w14:textFill>
                  <w14:solidFill>
                    <w14:schemeClr w14:val="tx1"/>
                  </w14:solidFill>
                </w14:textFill>
              </w:rPr>
              <w:t>政采云电子</w:t>
            </w:r>
            <w:r>
              <w:rPr>
                <w:rFonts w:hint="eastAsia" w:ascii="宋体" w:hAnsi="宋体" w:eastAsia="宋体" w:cs="宋体"/>
                <w:b/>
                <w:color w:val="000000" w:themeColor="text1"/>
                <w:sz w:val="24"/>
                <w:szCs w:val="24"/>
                <w:lang w:val="en-US" w:eastAsia="zh-CN"/>
                <w14:textFill>
                  <w14:solidFill>
                    <w14:schemeClr w14:val="tx1"/>
                  </w14:solidFill>
                </w14:textFill>
              </w:rPr>
              <w:t>保函</w:t>
            </w:r>
            <w:r>
              <w:rPr>
                <w:rFonts w:hint="eastAsia" w:ascii="宋体" w:hAnsi="宋体" w:eastAsia="宋体" w:cs="宋体"/>
                <w:b/>
                <w:color w:val="000000" w:themeColor="text1"/>
                <w:sz w:val="24"/>
                <w:szCs w:val="24"/>
                <w:lang w:val="zh-CN" w:eastAsia="zh-CN"/>
                <w14:textFill>
                  <w14:solidFill>
                    <w14:schemeClr w14:val="tx1"/>
                  </w14:solidFill>
                </w14:textFill>
              </w:rPr>
              <w:t>方式缴纳保证金。</w:t>
            </w:r>
          </w:p>
          <w:p w14:paraId="68E12AAC">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（1）若采用电汇或转账</w:t>
            </w:r>
            <w:r>
              <w:rPr>
                <w:rFonts w:hint="eastAsia" w:ascii="宋体" w:hAnsi="宋体" w:eastAsia="宋体" w:cs="宋体"/>
                <w:b/>
                <w:color w:val="000000" w:themeColor="text1"/>
                <w:sz w:val="24"/>
                <w:szCs w:val="24"/>
                <w:lang w:val="zh-CN"/>
                <w14:textFill>
                  <w14:solidFill>
                    <w14:schemeClr w14:val="tx1"/>
                  </w14:solidFill>
                </w14:textFill>
              </w:rPr>
              <w:t>投标保证金</w:t>
            </w:r>
            <w:r>
              <w:rPr>
                <w:rFonts w:hint="eastAsia" w:ascii="宋体" w:hAnsi="宋体" w:eastAsia="宋体" w:cs="宋体"/>
                <w:b/>
                <w:color w:val="000000" w:themeColor="text1"/>
                <w:sz w:val="24"/>
                <w:szCs w:val="24"/>
                <w:lang w:val="zh-CN" w:eastAsia="zh-CN"/>
                <w14:textFill>
                  <w14:solidFill>
                    <w14:schemeClr w14:val="tx1"/>
                  </w14:solidFill>
                </w14:textFill>
              </w:rPr>
              <w:t>于</w:t>
            </w:r>
            <w:r>
              <w:rPr>
                <w:rFonts w:hint="eastAsia" w:ascii="宋体" w:hAnsi="宋体" w:eastAsia="宋体" w:cs="宋体"/>
                <w:b/>
                <w:color w:val="auto"/>
                <w:sz w:val="24"/>
                <w:szCs w:val="24"/>
                <w:lang w:val="zh-CN" w:eastAsia="zh-CN"/>
              </w:rPr>
              <w:t>202</w:t>
            </w:r>
            <w:r>
              <w:rPr>
                <w:rFonts w:hint="eastAsia" w:cs="宋体"/>
                <w:b/>
                <w:color w:val="auto"/>
                <w:sz w:val="24"/>
                <w:szCs w:val="24"/>
                <w:lang w:val="en-US" w:eastAsia="zh-CN"/>
              </w:rPr>
              <w:t>5</w:t>
            </w:r>
            <w:r>
              <w:rPr>
                <w:rFonts w:hint="eastAsia" w:ascii="宋体" w:hAnsi="宋体" w:eastAsia="宋体" w:cs="宋体"/>
                <w:b/>
                <w:color w:val="auto"/>
                <w:sz w:val="24"/>
                <w:szCs w:val="24"/>
                <w:lang w:val="zh-CN" w:eastAsia="zh-CN"/>
              </w:rPr>
              <w:t>年</w:t>
            </w:r>
            <w:r>
              <w:rPr>
                <w:rFonts w:hint="eastAsia" w:cs="宋体"/>
                <w:b/>
                <w:color w:val="auto"/>
                <w:sz w:val="24"/>
                <w:szCs w:val="24"/>
                <w:lang w:val="en-US" w:eastAsia="zh-CN"/>
              </w:rPr>
              <w:t>03</w:t>
            </w:r>
            <w:r>
              <w:rPr>
                <w:rFonts w:hint="eastAsia" w:ascii="宋体" w:hAnsi="宋体" w:eastAsia="宋体" w:cs="宋体"/>
                <w:b/>
                <w:color w:val="auto"/>
                <w:sz w:val="24"/>
                <w:szCs w:val="24"/>
                <w:lang w:val="zh-CN" w:eastAsia="zh-CN"/>
              </w:rPr>
              <w:t>月</w:t>
            </w:r>
            <w:r>
              <w:rPr>
                <w:rFonts w:hint="eastAsia" w:cs="宋体"/>
                <w:b/>
                <w:color w:val="auto"/>
                <w:sz w:val="24"/>
                <w:szCs w:val="24"/>
                <w:lang w:val="en-US" w:eastAsia="zh-CN"/>
              </w:rPr>
              <w:t>11</w:t>
            </w:r>
            <w:r>
              <w:rPr>
                <w:rFonts w:hint="eastAsia" w:ascii="宋体" w:hAnsi="宋体" w:eastAsia="宋体" w:cs="宋体"/>
                <w:b/>
                <w:color w:val="auto"/>
                <w:sz w:val="24"/>
                <w:szCs w:val="24"/>
                <w:lang w:val="zh-CN" w:eastAsia="zh-CN"/>
              </w:rPr>
              <w:t>日</w:t>
            </w:r>
            <w:r>
              <w:rPr>
                <w:rFonts w:hint="eastAsia" w:cs="宋体"/>
                <w:b/>
                <w:color w:val="auto"/>
                <w:sz w:val="24"/>
                <w:szCs w:val="24"/>
                <w:lang w:val="en-US" w:eastAsia="zh-CN"/>
              </w:rPr>
              <w:t>11</w:t>
            </w:r>
            <w:r>
              <w:rPr>
                <w:rFonts w:hint="eastAsia" w:ascii="宋体" w:hAnsi="宋体" w:eastAsia="宋体" w:cs="宋体"/>
                <w:b/>
                <w:color w:val="auto"/>
                <w:sz w:val="24"/>
                <w:szCs w:val="24"/>
                <w:lang w:val="en-US" w:eastAsia="zh-CN"/>
              </w:rPr>
              <w:t>:</w:t>
            </w:r>
            <w:r>
              <w:rPr>
                <w:rFonts w:hint="eastAsia" w:cs="宋体"/>
                <w:b/>
                <w:color w:val="auto"/>
                <w:sz w:val="24"/>
                <w:szCs w:val="24"/>
                <w:lang w:val="en-US" w:eastAsia="zh-CN"/>
              </w:rPr>
              <w:t>0</w:t>
            </w:r>
            <w:r>
              <w:rPr>
                <w:rFonts w:hint="eastAsia" w:ascii="宋体" w:hAnsi="宋体" w:eastAsia="宋体" w:cs="宋体"/>
                <w:b/>
                <w:color w:val="auto"/>
                <w:sz w:val="24"/>
                <w:szCs w:val="24"/>
                <w:lang w:val="en-US" w:eastAsia="zh-CN"/>
              </w:rPr>
              <w:t>0</w:t>
            </w:r>
            <w:r>
              <w:rPr>
                <w:rFonts w:hint="eastAsia" w:ascii="宋体" w:hAnsi="宋体" w:eastAsia="宋体" w:cs="宋体"/>
                <w:b/>
                <w:color w:val="000000" w:themeColor="text1"/>
                <w:sz w:val="24"/>
                <w:szCs w:val="24"/>
                <w:lang w:val="zh-CN" w:eastAsia="zh-CN"/>
                <w14:textFill>
                  <w14:solidFill>
                    <w14:schemeClr w14:val="tx1"/>
                  </w14:solidFill>
                </w14:textFill>
              </w:rPr>
              <w:t>（北京时间，以到账时</w:t>
            </w:r>
            <w:r>
              <w:rPr>
                <w:rFonts w:hint="eastAsia" w:ascii="宋体" w:hAnsi="宋体" w:eastAsia="宋体" w:cs="宋体"/>
                <w:b/>
                <w:color w:val="000000" w:themeColor="text1"/>
                <w:sz w:val="24"/>
                <w:szCs w:val="24"/>
                <w:lang w:val="zh-CN"/>
                <w14:textFill>
                  <w14:solidFill>
                    <w14:schemeClr w14:val="tx1"/>
                  </w14:solidFill>
                </w14:textFill>
              </w:rPr>
              <w:t>间为准）之前从投标人基本账户以网银或银行电汇形式汇至本公司账户，否则其投标文件将被拒绝评审，投标人提交投标保证金应充分考虑资金在途时间。</w:t>
            </w:r>
          </w:p>
          <w:p w14:paraId="54BD9D46">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户名：新疆华域天恒工程管理有限公司</w:t>
            </w:r>
          </w:p>
          <w:p w14:paraId="25033787">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 xml:space="preserve">开户银行：中国农业银行股份有限公司吐鲁番高昌支行  </w:t>
            </w:r>
          </w:p>
          <w:p w14:paraId="7699D72E">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 xml:space="preserve">帐号：3026 5301 0400 1229 8     </w:t>
            </w:r>
          </w:p>
          <w:p w14:paraId="065F7452">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行号：1038 8302 6535</w:t>
            </w:r>
          </w:p>
          <w:p w14:paraId="3B51ED11">
            <w:pPr>
              <w:keepNext w:val="0"/>
              <w:keepLines w:val="0"/>
              <w:pageBreakBefore w:val="0"/>
              <w:numPr>
                <w:ilvl w:val="0"/>
                <w:numId w:val="3"/>
              </w:numPr>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若采用保函形式：采用保函形式应按以下要求办理：</w:t>
            </w:r>
            <w:r>
              <w:rPr>
                <w:rFonts w:hint="eastAsia" w:ascii="宋体" w:hAnsi="宋体" w:eastAsia="宋体" w:cs="宋体"/>
                <w:b/>
                <w:color w:val="000000" w:themeColor="text1"/>
                <w:sz w:val="24"/>
                <w:szCs w:val="24"/>
                <w:lang w:val="zh-CN"/>
                <w14:textFill>
                  <w14:solidFill>
                    <w14:schemeClr w14:val="tx1"/>
                  </w14:solidFill>
                </w14:textFill>
              </w:rPr>
              <w:t>备注：1、</w:t>
            </w:r>
            <w:r>
              <w:rPr>
                <w:rFonts w:hint="eastAsia" w:ascii="宋体" w:hAnsi="宋体" w:eastAsia="宋体" w:cs="宋体"/>
                <w:b/>
                <w:color w:val="000000" w:themeColor="text1"/>
                <w:sz w:val="24"/>
                <w:szCs w:val="24"/>
                <w:lang w:val="en-US" w:eastAsia="zh-CN"/>
                <w14:textFill>
                  <w14:solidFill>
                    <w14:schemeClr w14:val="tx1"/>
                  </w14:solidFill>
                </w14:textFill>
              </w:rPr>
              <w:t>保函须在招标文件规定的投标截止时间前办理完成</w:t>
            </w:r>
            <w:r>
              <w:rPr>
                <w:rFonts w:hint="eastAsia" w:ascii="宋体" w:hAnsi="宋体" w:cs="宋体"/>
                <w:b/>
                <w:color w:val="000000" w:themeColor="text1"/>
                <w:sz w:val="24"/>
                <w:szCs w:val="24"/>
                <w:lang w:val="en-US"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2.</w:t>
            </w:r>
            <w:r>
              <w:rPr>
                <w:rFonts w:hint="eastAsia" w:ascii="宋体" w:hAnsi="宋体" w:eastAsia="宋体" w:cs="宋体"/>
                <w:b/>
                <w:color w:val="000000" w:themeColor="text1"/>
                <w:sz w:val="24"/>
                <w:szCs w:val="24"/>
                <w:lang w:val="zh-CN"/>
                <w14:textFill>
                  <w14:solidFill>
                    <w14:schemeClr w14:val="tx1"/>
                  </w14:solidFill>
                </w14:textFill>
              </w:rPr>
              <w:t>保函金额不得少于保证金金额；</w:t>
            </w:r>
            <w:r>
              <w:rPr>
                <w:rFonts w:hint="eastAsia" w:ascii="宋体" w:hAnsi="宋体" w:eastAsia="宋体" w:cs="宋体"/>
                <w:b/>
                <w:color w:val="000000" w:themeColor="text1"/>
                <w:sz w:val="24"/>
                <w:szCs w:val="24"/>
                <w:lang w:val="en-US" w:eastAsia="zh-CN"/>
                <w14:textFill>
                  <w14:solidFill>
                    <w14:schemeClr w14:val="tx1"/>
                  </w14:solidFill>
                </w14:textFill>
              </w:rPr>
              <w:t>3</w:t>
            </w:r>
            <w:r>
              <w:rPr>
                <w:rFonts w:hint="eastAsia" w:ascii="宋体" w:hAnsi="宋体" w:eastAsia="宋体" w:cs="宋体"/>
                <w:b/>
                <w:color w:val="000000" w:themeColor="text1"/>
                <w:sz w:val="24"/>
                <w:szCs w:val="24"/>
                <w:lang w:val="zh-CN"/>
                <w14:textFill>
                  <w14:solidFill>
                    <w14:schemeClr w14:val="tx1"/>
                  </w14:solidFill>
                </w14:textFill>
              </w:rPr>
              <w:t>、保函的有效期不得少于本项目投标有效期；</w:t>
            </w:r>
            <w:r>
              <w:rPr>
                <w:rFonts w:hint="eastAsia" w:ascii="宋体" w:hAnsi="宋体" w:eastAsia="宋体" w:cs="宋体"/>
                <w:b/>
                <w:color w:val="000000" w:themeColor="text1"/>
                <w:sz w:val="24"/>
                <w:szCs w:val="24"/>
                <w:lang w:val="en-US" w:eastAsia="zh-CN"/>
                <w14:textFill>
                  <w14:solidFill>
                    <w14:schemeClr w14:val="tx1"/>
                  </w14:solidFill>
                </w14:textFill>
              </w:rPr>
              <w:t>4</w:t>
            </w:r>
            <w:r>
              <w:rPr>
                <w:rFonts w:hint="eastAsia" w:ascii="宋体" w:hAnsi="宋体" w:eastAsia="宋体" w:cs="宋体"/>
                <w:b/>
                <w:color w:val="000000" w:themeColor="text1"/>
                <w:sz w:val="24"/>
                <w:szCs w:val="24"/>
                <w:lang w:val="zh-CN"/>
                <w14:textFill>
                  <w14:solidFill>
                    <w14:schemeClr w14:val="tx1"/>
                  </w14:solidFill>
                </w14:textFill>
              </w:rPr>
              <w:t>、保函应是针对本项目开具的；</w:t>
            </w:r>
            <w:r>
              <w:rPr>
                <w:rFonts w:hint="eastAsia" w:ascii="宋体" w:hAnsi="宋体" w:eastAsia="宋体" w:cs="宋体"/>
                <w:b/>
                <w:color w:val="000000" w:themeColor="text1"/>
                <w:sz w:val="24"/>
                <w:szCs w:val="24"/>
                <w:lang w:val="en-US" w:eastAsia="zh-CN"/>
                <w14:textFill>
                  <w14:solidFill>
                    <w14:schemeClr w14:val="tx1"/>
                  </w14:solidFill>
                </w14:textFill>
              </w:rPr>
              <w:t>5、</w:t>
            </w:r>
            <w:r>
              <w:rPr>
                <w:rFonts w:hint="eastAsia" w:ascii="宋体" w:hAnsi="宋体" w:eastAsia="宋体" w:cs="宋体"/>
                <w:b/>
                <w:color w:val="000000" w:themeColor="text1"/>
                <w:sz w:val="24"/>
                <w:szCs w:val="24"/>
                <w:lang w:val="zh-CN"/>
                <w14:textFill>
                  <w14:solidFill>
                    <w14:schemeClr w14:val="tx1"/>
                  </w14:solidFill>
                </w14:textFill>
              </w:rPr>
              <w:t>保函</w:t>
            </w:r>
            <w:r>
              <w:rPr>
                <w:rFonts w:hint="eastAsia" w:ascii="宋体" w:hAnsi="宋体" w:eastAsia="宋体" w:cs="宋体"/>
                <w:b/>
                <w:color w:val="000000" w:themeColor="text1"/>
                <w:sz w:val="24"/>
                <w:szCs w:val="24"/>
                <w:lang w:val="zh-CN" w:eastAsia="zh-CN"/>
                <w14:textFill>
                  <w14:solidFill>
                    <w14:schemeClr w14:val="tx1"/>
                  </w14:solidFill>
                </w14:textFill>
              </w:rPr>
              <w:t>是</w:t>
            </w:r>
            <w:r>
              <w:rPr>
                <w:rFonts w:hint="eastAsia" w:ascii="宋体" w:hAnsi="宋体" w:eastAsia="宋体" w:cs="宋体"/>
                <w:b/>
                <w:color w:val="000000" w:themeColor="text1"/>
                <w:sz w:val="24"/>
                <w:szCs w:val="24"/>
                <w:lang w:val="zh-CN"/>
                <w14:textFill>
                  <w14:solidFill>
                    <w14:schemeClr w14:val="tx1"/>
                  </w14:solidFill>
                </w14:textFill>
              </w:rPr>
              <w:t>投标</w:t>
            </w:r>
            <w:r>
              <w:rPr>
                <w:rFonts w:hint="eastAsia" w:ascii="宋体" w:hAnsi="宋体" w:eastAsia="宋体" w:cs="宋体"/>
                <w:b/>
                <w:color w:val="000000" w:themeColor="text1"/>
                <w:sz w:val="24"/>
                <w:szCs w:val="24"/>
                <w:lang w:val="zh-CN" w:eastAsia="zh-CN"/>
                <w14:textFill>
                  <w14:solidFill>
                    <w14:schemeClr w14:val="tx1"/>
                  </w14:solidFill>
                </w14:textFill>
              </w:rPr>
              <w:t>文件中组成部分；</w:t>
            </w:r>
            <w:r>
              <w:rPr>
                <w:rFonts w:hint="eastAsia" w:ascii="宋体" w:hAnsi="宋体" w:eastAsia="宋体" w:cs="宋体"/>
                <w:b/>
                <w:color w:val="000000" w:themeColor="text1"/>
                <w:sz w:val="24"/>
                <w:szCs w:val="24"/>
                <w:lang w:val="en-US" w:eastAsia="zh-CN"/>
                <w14:textFill>
                  <w14:solidFill>
                    <w14:schemeClr w14:val="tx1"/>
                  </w14:solidFill>
                </w14:textFill>
              </w:rPr>
              <w:t>6.保函按照“一项目一保函”的原则</w:t>
            </w:r>
            <w:r>
              <w:rPr>
                <w:rFonts w:hint="eastAsia" w:ascii="宋体" w:hAnsi="宋体" w:cs="宋体"/>
                <w:b/>
                <w:color w:val="000000" w:themeColor="text1"/>
                <w:sz w:val="24"/>
                <w:szCs w:val="24"/>
                <w:lang w:val="en-US" w:eastAsia="zh-CN"/>
                <w14:textFill>
                  <w14:solidFill>
                    <w14:schemeClr w14:val="tx1"/>
                  </w14:solidFill>
                </w14:textFill>
              </w:rPr>
              <w:t>；</w:t>
            </w:r>
            <w:r>
              <w:rPr>
                <w:rFonts w:hint="eastAsia" w:ascii="宋体" w:hAnsi="宋体" w:eastAsia="宋体" w:cs="宋体"/>
                <w:b/>
                <w:color w:val="000000" w:themeColor="text1"/>
                <w:sz w:val="24"/>
                <w:szCs w:val="24"/>
                <w:lang w:val="en-US" w:eastAsia="zh-CN"/>
                <w14:textFill>
                  <w14:solidFill>
                    <w14:schemeClr w14:val="tx1"/>
                  </w14:solidFill>
                </w14:textFill>
              </w:rPr>
              <w:t>7.投标单位提供的保函必须</w:t>
            </w:r>
            <w:r>
              <w:rPr>
                <w:rFonts w:hint="eastAsia" w:ascii="宋体" w:hAnsi="宋体" w:cs="宋体"/>
                <w:b/>
                <w:color w:val="000000" w:themeColor="text1"/>
                <w:sz w:val="24"/>
                <w:szCs w:val="24"/>
                <w:lang w:val="en-US" w:eastAsia="zh-CN"/>
                <w14:textFill>
                  <w14:solidFill>
                    <w14:schemeClr w14:val="tx1"/>
                  </w14:solidFill>
                </w14:textFill>
              </w:rPr>
              <w:t>是政采云电子保函并且</w:t>
            </w:r>
            <w:r>
              <w:rPr>
                <w:rFonts w:hint="eastAsia" w:ascii="宋体" w:hAnsi="宋体" w:eastAsia="宋体" w:cs="宋体"/>
                <w:b/>
                <w:color w:val="000000" w:themeColor="text1"/>
                <w:sz w:val="24"/>
                <w:szCs w:val="24"/>
                <w:lang w:val="en-US" w:eastAsia="zh-CN"/>
                <w14:textFill>
                  <w14:solidFill>
                    <w14:schemeClr w14:val="tx1"/>
                  </w14:solidFill>
                </w14:textFill>
              </w:rPr>
              <w:t>真实有效，否则后果自负。</w:t>
            </w:r>
          </w:p>
          <w:p w14:paraId="26C39243">
            <w:pPr>
              <w:keepNext w:val="0"/>
              <w:keepLines w:val="0"/>
              <w:pageBreakBefore w:val="0"/>
              <w:numPr>
                <w:ilvl w:val="0"/>
                <w:numId w:val="0"/>
              </w:numPr>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注：投标人向银行办理投标保证金汇（转）款时，应在用途栏（备注栏）准确注明“（简写项目名称）投标保证金”字样，由于未按要求注明信息而导致的一切后果由投标人承担。</w:t>
            </w:r>
          </w:p>
          <w:p w14:paraId="05A9276B">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换取收据时，将保证金截图发送至1252412748@qq.com并与财务联系人 ：李雅楠 联系 电话：13999699360。未按时提交投标保证金的投标文件无效。</w:t>
            </w:r>
          </w:p>
          <w:p w14:paraId="185F4721">
            <w:pPr>
              <w:keepNext w:val="0"/>
              <w:keepLines w:val="0"/>
              <w:pageBreakBefore w:val="0"/>
              <w:kinsoku/>
              <w:wordWrap/>
              <w:overflowPunct/>
              <w:topLinePunct w:val="0"/>
              <w:bidi w:val="0"/>
              <w:snapToGrid/>
              <w:spacing w:line="320" w:lineRule="exact"/>
              <w:jc w:val="left"/>
              <w:textAlignment w:val="auto"/>
              <w:rPr>
                <w:rFonts w:hint="eastAsia" w:ascii="宋体" w:hAnsi="宋体" w:eastAsia="宋体" w:cs="宋体"/>
                <w:b/>
                <w:color w:val="000000" w:themeColor="text1"/>
                <w:sz w:val="24"/>
                <w:szCs w:val="24"/>
                <w:lang w:val="zh-CN"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 退投标保证金程序：</w:t>
            </w:r>
          </w:p>
          <w:p w14:paraId="6E308599">
            <w:pPr>
              <w:pStyle w:val="29"/>
              <w:keepNext w:val="0"/>
              <w:keepLines w:val="0"/>
              <w:pageBreakBefore w:val="0"/>
              <w:widowControl/>
              <w:kinsoku/>
              <w:wordWrap/>
              <w:overflowPunct/>
              <w:topLinePunct w:val="0"/>
              <w:bidi w:val="0"/>
              <w:snapToGrid/>
              <w:spacing w:line="320" w:lineRule="exac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lang w:val="zh-CN" w:eastAsia="zh-CN"/>
                <w14:textFill>
                  <w14:solidFill>
                    <w14:schemeClr w14:val="tx1"/>
                  </w14:solidFill>
                </w14:textFill>
              </w:rPr>
              <w:t xml:space="preserve">  退还投标保证金时间：中标公示期满后5个工作日内，未中标单位保证金可退还，在合同签订后中标</w:t>
            </w:r>
            <w:r>
              <w:rPr>
                <w:rFonts w:hint="eastAsia" w:ascii="宋体" w:hAnsi="宋体" w:eastAsia="宋体" w:cs="宋体"/>
                <w:b/>
                <w:color w:val="000000" w:themeColor="text1"/>
                <w:sz w:val="24"/>
                <w:szCs w:val="24"/>
                <w:lang w:val="en-US" w:eastAsia="zh-CN"/>
                <w14:textFill>
                  <w14:solidFill>
                    <w14:schemeClr w14:val="tx1"/>
                  </w14:solidFill>
                </w14:textFill>
              </w:rPr>
              <w:t>单位</w:t>
            </w:r>
            <w:r>
              <w:rPr>
                <w:rFonts w:hint="eastAsia" w:ascii="宋体" w:hAnsi="宋体" w:eastAsia="宋体" w:cs="宋体"/>
                <w:b/>
                <w:color w:val="000000" w:themeColor="text1"/>
                <w:sz w:val="24"/>
                <w:szCs w:val="24"/>
                <w:lang w:val="zh-CN" w:eastAsia="zh-CN"/>
                <w14:textFill>
                  <w14:solidFill>
                    <w14:schemeClr w14:val="tx1"/>
                  </w14:solidFill>
                </w14:textFill>
              </w:rPr>
              <w:t>的保证金可退还。</w:t>
            </w:r>
          </w:p>
        </w:tc>
      </w:tr>
      <w:tr w14:paraId="1A27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68" w:type="dxa"/>
            <w:noWrap w:val="0"/>
            <w:vAlign w:val="center"/>
          </w:tcPr>
          <w:p w14:paraId="55A9D2FF">
            <w:pPr>
              <w:pStyle w:val="29"/>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c>
          <w:tcPr>
            <w:tcW w:w="2470" w:type="dxa"/>
            <w:noWrap w:val="0"/>
            <w:vAlign w:val="center"/>
          </w:tcPr>
          <w:p w14:paraId="0395C326">
            <w:pPr>
              <w:pStyle w:val="29"/>
              <w:keepNext w:val="0"/>
              <w:keepLines w:val="0"/>
              <w:pageBreakBefore w:val="0"/>
              <w:widowControl/>
              <w:kinsoku/>
              <w:wordWrap/>
              <w:overflowPunct/>
              <w:topLinePunct w:val="0"/>
              <w:bidi w:val="0"/>
              <w:snapToGrid/>
              <w:spacing w:line="320" w:lineRule="exact"/>
              <w:ind w:firstLine="960" w:firstLineChars="400"/>
              <w:jc w:val="center"/>
              <w:textAlignment w:val="auto"/>
              <w:rPr>
                <w:rFonts w:hint="eastAsia" w:ascii="宋体" w:hAnsi="宋体" w:eastAsia="宋体" w:cs="宋体"/>
                <w:color w:val="auto"/>
                <w:kern w:val="0"/>
                <w:sz w:val="24"/>
                <w:szCs w:val="24"/>
                <w:highlight w:val="none"/>
                <w:lang w:val="en-US" w:eastAsia="zh-CN"/>
              </w:rPr>
            </w:pPr>
          </w:p>
          <w:p w14:paraId="1F024B31">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auto"/>
                <w:kern w:val="0"/>
                <w:sz w:val="24"/>
                <w:szCs w:val="24"/>
                <w:highlight w:val="none"/>
                <w:lang w:val="en-US" w:eastAsia="zh-CN"/>
              </w:rPr>
            </w:pPr>
          </w:p>
          <w:p w14:paraId="22D0A59B">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资格要求</w:t>
            </w:r>
          </w:p>
          <w:p w14:paraId="670815EE">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tc>
        <w:tc>
          <w:tcPr>
            <w:tcW w:w="5426" w:type="dxa"/>
            <w:noWrap w:val="0"/>
            <w:vAlign w:val="center"/>
          </w:tcPr>
          <w:p w14:paraId="1DE65A66">
            <w:pPr>
              <w:pStyle w:val="18"/>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具备有效的公路工程施工总承包三级（含）以上资质，公路工程专业二级(含)以上注册建造师执业资格及安全生产考核合格证书；（2）投标人在人员、设备、资金等方面具有相应的施工能力，有效的安全生产许可证，区外进疆建筑企业办理信息报送册。建造师、技术负责人及五大员不得担任其他在建工程项目；（3）具有良好的商业信誉和健全的财务会计制度；（4）参加本次采购活动前三年（2022年1月至今），在经营活动中没有重大违法记录。（重大违法记录，是指供应商因违法经营受到刑事处罚或者责令停产停业、吊销许可证或者执照、较大数额罚款等行政处罚、刑事处罚）；投标人未被列入“信用中国”网站“记录失信被执行人或重大税收违法案件当事人名单或政府采购严重违法失信行为”记录名单；不处于中国政府采购网“政府采购严重违法失信行为信息记录”中的禁止参加政府采购活动期间；未列入国家企业信用信息公示系统严重违法失信名单及其他不符合规定条件；（5）单位负责人为同一人或者存在直接控股、管理关系的不同供应商，不得参加同一合同项下的政府采购活动。</w:t>
            </w:r>
          </w:p>
        </w:tc>
      </w:tr>
      <w:tr w14:paraId="0DD2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168" w:type="dxa"/>
            <w:noWrap w:val="0"/>
            <w:vAlign w:val="center"/>
          </w:tcPr>
          <w:p w14:paraId="546C4362">
            <w:pPr>
              <w:pStyle w:val="29"/>
              <w:keepNext w:val="0"/>
              <w:keepLines w:val="0"/>
              <w:pageBreakBefore w:val="0"/>
              <w:widowControl/>
              <w:kinsoku/>
              <w:wordWrap/>
              <w:overflowPunct/>
              <w:topLinePunct w:val="0"/>
              <w:bidi w:val="0"/>
              <w:snapToGrid/>
              <w:spacing w:line="320" w:lineRule="exact"/>
              <w:ind w:firstLine="480" w:firstLineChars="200"/>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10</w:t>
            </w:r>
          </w:p>
        </w:tc>
        <w:tc>
          <w:tcPr>
            <w:tcW w:w="2470" w:type="dxa"/>
            <w:noWrap w:val="0"/>
            <w:vAlign w:val="center"/>
          </w:tcPr>
          <w:p w14:paraId="3C9025D3">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是否为专门面向中小企业采购</w:t>
            </w:r>
          </w:p>
        </w:tc>
        <w:tc>
          <w:tcPr>
            <w:tcW w:w="5426" w:type="dxa"/>
            <w:noWrap w:val="0"/>
            <w:vAlign w:val="center"/>
          </w:tcPr>
          <w:p w14:paraId="14B9E74F">
            <w:pPr>
              <w:pStyle w:val="29"/>
              <w:keepNext w:val="0"/>
              <w:keepLines w:val="0"/>
              <w:pageBreakBefore w:val="0"/>
              <w:widowControl/>
              <w:kinsoku/>
              <w:wordWrap/>
              <w:overflowPunct/>
              <w:topLinePunct w:val="0"/>
              <w:bidi w:val="0"/>
              <w:snapToGrid/>
              <w:spacing w:line="32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是（专门面向中小企业采购，投标单位需出具《中小企业声明函；</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本项目所属行业：建筑业</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tc>
      </w:tr>
      <w:tr w14:paraId="4CAE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68" w:type="dxa"/>
            <w:noWrap w:val="0"/>
            <w:vAlign w:val="center"/>
          </w:tcPr>
          <w:p w14:paraId="497F403B">
            <w:pPr>
              <w:pStyle w:val="29"/>
              <w:keepNext w:val="0"/>
              <w:keepLines w:val="0"/>
              <w:pageBreakBefore w:val="0"/>
              <w:widowControl/>
              <w:kinsoku/>
              <w:wordWrap/>
              <w:overflowPunct/>
              <w:topLinePunct w:val="0"/>
              <w:bidi w:val="0"/>
              <w:snapToGrid/>
              <w:spacing w:line="320" w:lineRule="exact"/>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p>
        </w:tc>
        <w:tc>
          <w:tcPr>
            <w:tcW w:w="2470" w:type="dxa"/>
            <w:noWrap w:val="0"/>
            <w:vAlign w:val="center"/>
          </w:tcPr>
          <w:p w14:paraId="0DFCF766">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是否允许联合体投标</w:t>
            </w:r>
          </w:p>
        </w:tc>
        <w:tc>
          <w:tcPr>
            <w:tcW w:w="5426" w:type="dxa"/>
            <w:noWrap w:val="0"/>
            <w:vAlign w:val="center"/>
          </w:tcPr>
          <w:p w14:paraId="5CB1F597">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 否    </w:t>
            </w:r>
          </w:p>
        </w:tc>
      </w:tr>
      <w:tr w14:paraId="4A99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68" w:type="dxa"/>
            <w:noWrap w:val="0"/>
            <w:vAlign w:val="center"/>
          </w:tcPr>
          <w:p w14:paraId="60EBFF26">
            <w:pPr>
              <w:pStyle w:val="29"/>
              <w:keepNext w:val="0"/>
              <w:keepLines w:val="0"/>
              <w:pageBreakBefore w:val="0"/>
              <w:widowControl/>
              <w:kinsoku/>
              <w:wordWrap/>
              <w:overflowPunct/>
              <w:topLinePunct w:val="0"/>
              <w:bidi w:val="0"/>
              <w:snapToGrid/>
              <w:spacing w:line="320" w:lineRule="exact"/>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12</w:t>
            </w:r>
          </w:p>
        </w:tc>
        <w:tc>
          <w:tcPr>
            <w:tcW w:w="2470" w:type="dxa"/>
            <w:noWrap w:val="0"/>
            <w:vAlign w:val="center"/>
          </w:tcPr>
          <w:p w14:paraId="4FD2D3A0">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联合体的其他资格要求</w:t>
            </w:r>
          </w:p>
        </w:tc>
        <w:tc>
          <w:tcPr>
            <w:tcW w:w="5426" w:type="dxa"/>
            <w:noWrap w:val="0"/>
            <w:vAlign w:val="center"/>
          </w:tcPr>
          <w:p w14:paraId="7102B863">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不允许联合体投标</w:t>
            </w:r>
          </w:p>
        </w:tc>
      </w:tr>
      <w:tr w14:paraId="7674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168" w:type="dxa"/>
            <w:noWrap w:val="0"/>
            <w:vAlign w:val="center"/>
          </w:tcPr>
          <w:p w14:paraId="71A89198">
            <w:pPr>
              <w:pStyle w:val="29"/>
              <w:keepNext w:val="0"/>
              <w:keepLines w:val="0"/>
              <w:pageBreakBefore w:val="0"/>
              <w:widowControl/>
              <w:kinsoku/>
              <w:wordWrap/>
              <w:overflowPunct/>
              <w:topLinePunct w:val="0"/>
              <w:bidi w:val="0"/>
              <w:snapToGrid/>
              <w:spacing w:line="320" w:lineRule="exact"/>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13</w:t>
            </w:r>
          </w:p>
        </w:tc>
        <w:tc>
          <w:tcPr>
            <w:tcW w:w="2470" w:type="dxa"/>
            <w:noWrap w:val="0"/>
            <w:vAlign w:val="center"/>
          </w:tcPr>
          <w:p w14:paraId="01C58429">
            <w:pPr>
              <w:pStyle w:val="29"/>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项目预算金额及最高限价</w:t>
            </w:r>
          </w:p>
        </w:tc>
        <w:tc>
          <w:tcPr>
            <w:tcW w:w="5426" w:type="dxa"/>
            <w:noWrap w:val="0"/>
            <w:vAlign w:val="center"/>
          </w:tcPr>
          <w:p w14:paraId="71200EEB">
            <w:pPr>
              <w:pStyle w:val="29"/>
              <w:keepNext w:val="0"/>
              <w:keepLines w:val="0"/>
              <w:pageBreakBefore w:val="0"/>
              <w:widowControl/>
              <w:kinsoku/>
              <w:wordWrap/>
              <w:overflowPunct/>
              <w:topLinePunct w:val="0"/>
              <w:bidi w:val="0"/>
              <w:snapToGrid/>
              <w:spacing w:line="32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项目预算金额：1710000.00元； </w:t>
            </w:r>
          </w:p>
          <w:p w14:paraId="3776F027">
            <w:pPr>
              <w:pStyle w:val="29"/>
              <w:keepNext w:val="0"/>
              <w:keepLines w:val="0"/>
              <w:pageBreakBefore w:val="0"/>
              <w:widowControl/>
              <w:kinsoku/>
              <w:wordWrap/>
              <w:overflowPunct/>
              <w:topLinePunct w:val="0"/>
              <w:bidi w:val="0"/>
              <w:snapToGrid/>
              <w:spacing w:line="32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最高限价：1573470.67元（各投标单位报价不得超过最高限价，否则将按废标处理。）</w:t>
            </w:r>
          </w:p>
        </w:tc>
      </w:tr>
      <w:tr w14:paraId="6DF0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168" w:type="dxa"/>
            <w:noWrap w:val="0"/>
            <w:vAlign w:val="center"/>
          </w:tcPr>
          <w:p w14:paraId="1EF2BAB3">
            <w:pPr>
              <w:pStyle w:val="29"/>
              <w:keepNext w:val="0"/>
              <w:keepLines w:val="0"/>
              <w:pageBreakBefore w:val="0"/>
              <w:widowControl/>
              <w:kinsoku/>
              <w:wordWrap/>
              <w:overflowPunct/>
              <w:topLinePunct w:val="0"/>
              <w:bidi w:val="0"/>
              <w:snapToGrid/>
              <w:spacing w:line="320" w:lineRule="exact"/>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w:t>
            </w:r>
          </w:p>
        </w:tc>
        <w:tc>
          <w:tcPr>
            <w:tcW w:w="2470" w:type="dxa"/>
            <w:noWrap w:val="0"/>
            <w:vAlign w:val="center"/>
          </w:tcPr>
          <w:p w14:paraId="118FCB12">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FF0000"/>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项目资金来源</w:t>
            </w:r>
          </w:p>
        </w:tc>
        <w:tc>
          <w:tcPr>
            <w:tcW w:w="5426" w:type="dxa"/>
            <w:noWrap w:val="0"/>
            <w:vAlign w:val="center"/>
          </w:tcPr>
          <w:p w14:paraId="53330EB9">
            <w:pPr>
              <w:pStyle w:val="29"/>
              <w:keepNext w:val="0"/>
              <w:keepLines w:val="0"/>
              <w:pageBreakBefore w:val="0"/>
              <w:widowControl/>
              <w:kinsoku/>
              <w:wordWrap/>
              <w:overflowPunct/>
              <w:topLinePunct w:val="0"/>
              <w:bidi w:val="0"/>
              <w:snapToGrid/>
              <w:spacing w:line="320" w:lineRule="exact"/>
              <w:jc w:val="both"/>
              <w:textAlignment w:val="auto"/>
              <w:rPr>
                <w:rFonts w:hint="default" w:ascii="宋体" w:hAnsi="宋体" w:eastAsia="宋体" w:cs="宋体"/>
                <w:color w:val="FF0000"/>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2025年中</w:t>
            </w:r>
            <w:r>
              <w:rPr>
                <w:rFonts w:hint="eastAsia" w:ascii="宋体" w:hAnsi="宋体" w:eastAsia="宋体" w:cs="宋体"/>
                <w:color w:val="auto"/>
                <w:kern w:val="0"/>
                <w:sz w:val="24"/>
                <w:szCs w:val="24"/>
                <w:highlight w:val="none"/>
                <w:lang w:val="en-US" w:eastAsia="zh-CN"/>
              </w:rPr>
              <w:t>央</w:t>
            </w:r>
            <w:r>
              <w:rPr>
                <w:rFonts w:hint="default" w:ascii="宋体" w:hAnsi="宋体" w:eastAsia="宋体" w:cs="宋体"/>
                <w:color w:val="auto"/>
                <w:kern w:val="0"/>
                <w:sz w:val="24"/>
                <w:szCs w:val="24"/>
                <w:highlight w:val="none"/>
                <w:lang w:val="en-US" w:eastAsia="zh-CN"/>
              </w:rPr>
              <w:t>财政衔接推进乡村振兴补助资金</w:t>
            </w:r>
          </w:p>
        </w:tc>
      </w:tr>
      <w:tr w14:paraId="1B3B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68" w:type="dxa"/>
            <w:noWrap w:val="0"/>
            <w:vAlign w:val="center"/>
          </w:tcPr>
          <w:p w14:paraId="12C35246">
            <w:pPr>
              <w:pStyle w:val="29"/>
              <w:keepNext w:val="0"/>
              <w:keepLines w:val="0"/>
              <w:pageBreakBefore w:val="0"/>
              <w:widowControl/>
              <w:kinsoku/>
              <w:wordWrap/>
              <w:overflowPunct/>
              <w:topLinePunct w:val="0"/>
              <w:bidi w:val="0"/>
              <w:snapToGrid/>
              <w:spacing w:line="320" w:lineRule="exact"/>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c>
          <w:tcPr>
            <w:tcW w:w="2470" w:type="dxa"/>
            <w:noWrap w:val="0"/>
            <w:vAlign w:val="center"/>
          </w:tcPr>
          <w:p w14:paraId="1B4EC1FF">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工期</w:t>
            </w:r>
          </w:p>
        </w:tc>
        <w:tc>
          <w:tcPr>
            <w:tcW w:w="5426" w:type="dxa"/>
            <w:noWrap w:val="0"/>
            <w:vAlign w:val="center"/>
          </w:tcPr>
          <w:p w14:paraId="74EF20E0">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90日历天</w:t>
            </w:r>
          </w:p>
        </w:tc>
      </w:tr>
      <w:tr w14:paraId="5BD4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68" w:type="dxa"/>
            <w:noWrap w:val="0"/>
            <w:vAlign w:val="center"/>
          </w:tcPr>
          <w:p w14:paraId="2275516B">
            <w:pPr>
              <w:pStyle w:val="29"/>
              <w:keepNext w:val="0"/>
              <w:keepLines w:val="0"/>
              <w:pageBreakBefore w:val="0"/>
              <w:widowControl/>
              <w:kinsoku/>
              <w:wordWrap/>
              <w:overflowPunct/>
              <w:topLinePunct w:val="0"/>
              <w:bidi w:val="0"/>
              <w:snapToGrid/>
              <w:spacing w:line="320" w:lineRule="exact"/>
              <w:ind w:firstLine="480" w:firstLineChars="2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16</w:t>
            </w:r>
          </w:p>
        </w:tc>
        <w:tc>
          <w:tcPr>
            <w:tcW w:w="2470" w:type="dxa"/>
            <w:noWrap w:val="0"/>
            <w:vAlign w:val="center"/>
          </w:tcPr>
          <w:p w14:paraId="0AE88A84">
            <w:pPr>
              <w:pStyle w:val="29"/>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付款方式</w:t>
            </w:r>
          </w:p>
        </w:tc>
        <w:tc>
          <w:tcPr>
            <w:tcW w:w="5426" w:type="dxa"/>
            <w:noWrap w:val="0"/>
            <w:vAlign w:val="center"/>
          </w:tcPr>
          <w:p w14:paraId="5778F168">
            <w:pPr>
              <w:pStyle w:val="29"/>
              <w:keepNext w:val="0"/>
              <w:keepLines w:val="0"/>
              <w:pageBreakBefore w:val="0"/>
              <w:widowControl/>
              <w:kinsoku/>
              <w:wordWrap/>
              <w:overflowPunct/>
              <w:topLinePunct w:val="0"/>
              <w:bidi w:val="0"/>
              <w:snapToGrid/>
              <w:spacing w:line="320" w:lineRule="exact"/>
              <w:jc w:val="both"/>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施工合同签订开工后首次按合同价30%的支付预付款。施工过程中根据施工进度支付工程进度款，审计结算后支付至审计结算价的97%。预留3%作为质量保证金(责任缺陷期一年，接受担保机构的保函、保险机构的保单等其他非现金交易担保方式)，责任缺陷期满项目承包方提请返还保证金申请，经双方验收无误并签署一致意见后一次性结清。</w:t>
            </w:r>
          </w:p>
        </w:tc>
      </w:tr>
      <w:tr w14:paraId="1670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1168" w:type="dxa"/>
            <w:noWrap w:val="0"/>
            <w:vAlign w:val="center"/>
          </w:tcPr>
          <w:p w14:paraId="2574CEB8">
            <w:pPr>
              <w:pStyle w:val="29"/>
              <w:keepNext w:val="0"/>
              <w:keepLines w:val="0"/>
              <w:pageBreakBefore w:val="0"/>
              <w:widowControl/>
              <w:kinsoku/>
              <w:wordWrap/>
              <w:overflowPunct/>
              <w:topLinePunct w:val="0"/>
              <w:bidi w:val="0"/>
              <w:snapToGrid/>
              <w:spacing w:line="320" w:lineRule="exact"/>
              <w:ind w:firstLine="480" w:firstLineChars="200"/>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17</w:t>
            </w:r>
          </w:p>
        </w:tc>
        <w:tc>
          <w:tcPr>
            <w:tcW w:w="2470" w:type="dxa"/>
            <w:noWrap w:val="0"/>
            <w:vAlign w:val="center"/>
          </w:tcPr>
          <w:p w14:paraId="75B65EEF">
            <w:pPr>
              <w:pStyle w:val="29"/>
              <w:keepNext w:val="0"/>
              <w:keepLines w:val="0"/>
              <w:pageBreakBefore w:val="0"/>
              <w:widowControl/>
              <w:kinsoku/>
              <w:wordWrap/>
              <w:overflowPunct/>
              <w:topLinePunct w:val="0"/>
              <w:bidi w:val="0"/>
              <w:snapToGrid/>
              <w:spacing w:line="320" w:lineRule="exact"/>
              <w:ind w:firstLine="240" w:firstLineChars="100"/>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1BFA77AE">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响应文件提交截止时间</w:t>
            </w:r>
          </w:p>
        </w:tc>
        <w:tc>
          <w:tcPr>
            <w:tcW w:w="5426" w:type="dxa"/>
            <w:noWrap w:val="0"/>
            <w:vAlign w:val="center"/>
          </w:tcPr>
          <w:p w14:paraId="2E093061">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截止时间：</w:t>
            </w:r>
            <w:r>
              <w:rPr>
                <w:rFonts w:hint="eastAsia" w:ascii="宋体" w:hAnsi="宋体" w:eastAsia="宋体" w:cs="宋体"/>
                <w:color w:val="auto"/>
                <w:kern w:val="0"/>
                <w:sz w:val="24"/>
                <w:szCs w:val="24"/>
                <w:highlight w:val="none"/>
                <w:lang w:val="en-US" w:eastAsia="zh-CN"/>
              </w:rPr>
              <w:t>2025年03月11日11:00（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北京时间）　　　　　　　　　　　　　</w:t>
            </w:r>
          </w:p>
          <w:p w14:paraId="46F12EEB">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响应文件递交至：政采云投标客户端投标（https://www.zcygov.cn/），本项目采用不见面开标，加密的电子磋商文件在投标截止时间前通过CA在政采云平台上传。　</w:t>
            </w:r>
          </w:p>
        </w:tc>
      </w:tr>
      <w:tr w14:paraId="73A1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7" w:hRule="atLeast"/>
          <w:jc w:val="center"/>
        </w:trPr>
        <w:tc>
          <w:tcPr>
            <w:tcW w:w="1168" w:type="dxa"/>
            <w:noWrap w:val="0"/>
            <w:vAlign w:val="center"/>
          </w:tcPr>
          <w:p w14:paraId="1D584B4B">
            <w:pPr>
              <w:pStyle w:val="29"/>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18</w:t>
            </w:r>
          </w:p>
        </w:tc>
        <w:tc>
          <w:tcPr>
            <w:tcW w:w="2470" w:type="dxa"/>
            <w:noWrap w:val="0"/>
            <w:vAlign w:val="center"/>
          </w:tcPr>
          <w:p w14:paraId="5A643CC7">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52B9CADD">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0EF136E2">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164C6188">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p w14:paraId="28A106C5">
            <w:pPr>
              <w:pStyle w:val="29"/>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磋商时间及地点</w:t>
            </w:r>
          </w:p>
        </w:tc>
        <w:tc>
          <w:tcPr>
            <w:tcW w:w="5426" w:type="dxa"/>
            <w:noWrap w:val="0"/>
            <w:vAlign w:val="top"/>
          </w:tcPr>
          <w:p w14:paraId="34372E84">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磋商时间：</w:t>
            </w:r>
            <w:r>
              <w:rPr>
                <w:rFonts w:hint="eastAsia" w:ascii="宋体" w:hAnsi="宋体" w:eastAsia="宋体" w:cs="宋体"/>
                <w:color w:val="auto"/>
                <w:kern w:val="0"/>
                <w:sz w:val="24"/>
                <w:szCs w:val="24"/>
                <w:highlight w:val="none"/>
                <w:lang w:val="en-US" w:eastAsia="zh-CN"/>
              </w:rPr>
              <w:t>2025年03月11日11:00</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（北京时间）</w:t>
            </w:r>
          </w:p>
          <w:p w14:paraId="3BB7CEEB">
            <w:pPr>
              <w:pStyle w:val="29"/>
              <w:keepNext w:val="0"/>
              <w:keepLines w:val="0"/>
              <w:pageBreakBefore w:val="0"/>
              <w:widowControl/>
              <w:kinsoku/>
              <w:wordWrap w:val="0"/>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磋商地点：政采云投标客户端https://www.zcygov.cn/磋商文件开启当日，供应商无需到达开标现场，仅需通过政采云平台“不见面”开标大厅完成远程解密。大厅操作提示：①开标前一小时在系统进行在线签到②30分钟内完成在线解密③开标结束后30分钟内完成“开标一览表”在线签章。注意：如未在规定时间进行以上操作，将导致投标（响应）无效。</w:t>
            </w:r>
          </w:p>
        </w:tc>
      </w:tr>
      <w:tr w14:paraId="2406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8" w:type="dxa"/>
            <w:noWrap w:val="0"/>
            <w:vAlign w:val="center"/>
          </w:tcPr>
          <w:p w14:paraId="40FBA142">
            <w:pPr>
              <w:pStyle w:val="29"/>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19</w:t>
            </w:r>
          </w:p>
        </w:tc>
        <w:tc>
          <w:tcPr>
            <w:tcW w:w="2470" w:type="dxa"/>
            <w:noWrap w:val="0"/>
            <w:vAlign w:val="center"/>
          </w:tcPr>
          <w:p w14:paraId="288F6467">
            <w:pPr>
              <w:pStyle w:val="29"/>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采购人是否委托磋商小组直接确定成交供应商</w:t>
            </w:r>
          </w:p>
        </w:tc>
        <w:tc>
          <w:tcPr>
            <w:tcW w:w="5426" w:type="dxa"/>
            <w:noWrap w:val="0"/>
            <w:vAlign w:val="center"/>
          </w:tcPr>
          <w:p w14:paraId="482434D2">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是</w:t>
            </w:r>
          </w:p>
        </w:tc>
      </w:tr>
      <w:tr w14:paraId="2F3E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8" w:type="dxa"/>
            <w:noWrap w:val="0"/>
            <w:vAlign w:val="center"/>
          </w:tcPr>
          <w:p w14:paraId="20E8E687">
            <w:pPr>
              <w:pStyle w:val="29"/>
              <w:keepNext w:val="0"/>
              <w:keepLines w:val="0"/>
              <w:pageBreakBefore w:val="0"/>
              <w:widowControl/>
              <w:kinsoku/>
              <w:wordWrap/>
              <w:overflowPunct/>
              <w:topLinePunct w:val="0"/>
              <w:bidi w:val="0"/>
              <w:snapToGrid/>
              <w:spacing w:line="320" w:lineRule="exac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20</w:t>
            </w:r>
          </w:p>
        </w:tc>
        <w:tc>
          <w:tcPr>
            <w:tcW w:w="2470" w:type="dxa"/>
            <w:noWrap w:val="0"/>
            <w:vAlign w:val="center"/>
          </w:tcPr>
          <w:p w14:paraId="7946E34A">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是否提交履约保证金</w:t>
            </w:r>
          </w:p>
        </w:tc>
        <w:tc>
          <w:tcPr>
            <w:tcW w:w="5426" w:type="dxa"/>
            <w:noWrap w:val="0"/>
            <w:vAlign w:val="center"/>
          </w:tcPr>
          <w:p w14:paraId="43B8AC42">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否  </w:t>
            </w:r>
          </w:p>
        </w:tc>
      </w:tr>
      <w:tr w14:paraId="1422E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68" w:type="dxa"/>
            <w:noWrap w:val="0"/>
            <w:vAlign w:val="center"/>
          </w:tcPr>
          <w:p w14:paraId="3FCB1BB9">
            <w:pPr>
              <w:pStyle w:val="29"/>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21</w:t>
            </w:r>
          </w:p>
        </w:tc>
        <w:tc>
          <w:tcPr>
            <w:tcW w:w="2470" w:type="dxa"/>
            <w:noWrap w:val="0"/>
            <w:vAlign w:val="center"/>
          </w:tcPr>
          <w:p w14:paraId="725C4FC7">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其他政府采购政策</w:t>
            </w:r>
          </w:p>
        </w:tc>
        <w:tc>
          <w:tcPr>
            <w:tcW w:w="5426" w:type="dxa"/>
            <w:noWrap w:val="0"/>
            <w:vAlign w:val="center"/>
          </w:tcPr>
          <w:p w14:paraId="40F2121A">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（一）满足《中华人民共和国政府采购法》第二十二条规定；</w:t>
            </w:r>
          </w:p>
          <w:p w14:paraId="52148D04">
            <w:pPr>
              <w:pStyle w:val="29"/>
              <w:keepNext w:val="0"/>
              <w:keepLines w:val="0"/>
              <w:pageBreakBefore w:val="0"/>
              <w:widowControl/>
              <w:kinsoku/>
              <w:wordWrap/>
              <w:overflowPunct/>
              <w:topLinePunct w:val="0"/>
              <w:bidi w:val="0"/>
              <w:snapToGrid/>
              <w:spacing w:line="320" w:lineRule="exact"/>
              <w:jc w:val="both"/>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（二）落实政府采购政策需满足的资格要求：(1)财政部、发展改革委、生态环境部、市场监管总局《关于调整优化节能产品、环境标志产品政府采购执行机制的通知》（财库〔2019〕9号）； (2)财政部、工业和信息化部《关于印发《政府采购促进中小企业发展管理办法》的通知》（财库[2020]46号）；(3)财政部、民政部、中国残疾人联合会《关于促进残疾人就业政府采购政策的通知》（财库[2017]141号）；(4)财政部、司法部《关于政府采购支持监狱企业发展有关问题的通知》（财库[2014]68号）。</w:t>
            </w:r>
          </w:p>
        </w:tc>
      </w:tr>
      <w:tr w14:paraId="6B61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168" w:type="dxa"/>
            <w:noWrap w:val="0"/>
            <w:vAlign w:val="center"/>
          </w:tcPr>
          <w:p w14:paraId="2876CAE3">
            <w:pPr>
              <w:pStyle w:val="29"/>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22</w:t>
            </w:r>
          </w:p>
        </w:tc>
        <w:tc>
          <w:tcPr>
            <w:tcW w:w="2470" w:type="dxa"/>
            <w:noWrap w:val="0"/>
            <w:vAlign w:val="center"/>
          </w:tcPr>
          <w:p w14:paraId="625D4B77">
            <w:pPr>
              <w:pStyle w:val="29"/>
              <w:keepNext w:val="0"/>
              <w:keepLines w:val="0"/>
              <w:pageBreakBefore w:val="0"/>
              <w:widowControl/>
              <w:kinsoku/>
              <w:wordWrap/>
              <w:overflowPunct/>
              <w:topLinePunct w:val="0"/>
              <w:bidi w:val="0"/>
              <w:snapToGrid/>
              <w:spacing w:line="320" w:lineRule="exact"/>
              <w:ind w:firstLine="240" w:firstLineChars="10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磋商文件份数</w:t>
            </w:r>
          </w:p>
        </w:tc>
        <w:tc>
          <w:tcPr>
            <w:tcW w:w="5426" w:type="dxa"/>
            <w:noWrap w:val="0"/>
            <w:vAlign w:val="top"/>
          </w:tcPr>
          <w:p w14:paraId="652BCA05">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加密的电子响应文件应在递交截止时间前通过政采云平台上传完成</w:t>
            </w:r>
          </w:p>
        </w:tc>
      </w:tr>
      <w:tr w14:paraId="430D8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1168" w:type="dxa"/>
            <w:noWrap w:val="0"/>
            <w:vAlign w:val="center"/>
          </w:tcPr>
          <w:p w14:paraId="2D732C46">
            <w:pPr>
              <w:pStyle w:val="29"/>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23</w:t>
            </w:r>
          </w:p>
        </w:tc>
        <w:tc>
          <w:tcPr>
            <w:tcW w:w="2470" w:type="dxa"/>
            <w:noWrap w:val="0"/>
            <w:vAlign w:val="center"/>
          </w:tcPr>
          <w:p w14:paraId="1D2EC20A">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71285E81">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3491538B">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实质性要求和条件</w:t>
            </w:r>
          </w:p>
        </w:tc>
        <w:tc>
          <w:tcPr>
            <w:tcW w:w="5426" w:type="dxa"/>
            <w:noWrap w:val="0"/>
            <w:vAlign w:val="top"/>
          </w:tcPr>
          <w:p w14:paraId="051EB086">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实质性要求和条件：除法律、法规和规章规定外，采购文件中用“拒绝”、“不接受”、“无效”、“不得”等文字规定或采购文件初步审查表中的内容以及标注“★”符号的条款为实质性要求条款（即重要条款），对其中任何一条的偏离，在评标时将其视为无效投标。</w:t>
            </w:r>
          </w:p>
        </w:tc>
      </w:tr>
      <w:tr w14:paraId="3DF1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168" w:type="dxa"/>
            <w:noWrap w:val="0"/>
            <w:vAlign w:val="center"/>
          </w:tcPr>
          <w:p w14:paraId="5D17F5FD">
            <w:pPr>
              <w:pStyle w:val="29"/>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w:t>
            </w:r>
          </w:p>
        </w:tc>
        <w:tc>
          <w:tcPr>
            <w:tcW w:w="2470" w:type="dxa"/>
            <w:noWrap w:val="0"/>
            <w:vAlign w:val="center"/>
          </w:tcPr>
          <w:p w14:paraId="24DE7156">
            <w:pPr>
              <w:pStyle w:val="29"/>
              <w:keepNext w:val="0"/>
              <w:keepLines w:val="0"/>
              <w:pageBreakBefore w:val="0"/>
              <w:widowControl/>
              <w:kinsoku/>
              <w:wordWrap/>
              <w:overflowPunct/>
              <w:topLinePunct w:val="0"/>
              <w:bidi w:val="0"/>
              <w:snapToGrid/>
              <w:spacing w:line="320" w:lineRule="exact"/>
              <w:ind w:firstLine="240" w:firstLineChars="100"/>
              <w:jc w:val="center"/>
              <w:textAlignment w:val="auto"/>
              <w:rPr>
                <w:rFonts w:hint="eastAsia" w:ascii="宋体" w:hAnsi="宋体" w:eastAsia="宋体" w:cs="宋体"/>
                <w:color w:val="auto"/>
                <w:kern w:val="0"/>
                <w:sz w:val="24"/>
                <w:szCs w:val="24"/>
                <w:highlight w:val="none"/>
                <w:lang w:val="en-US" w:eastAsia="zh-CN"/>
              </w:rPr>
            </w:pPr>
          </w:p>
          <w:p w14:paraId="1DBC0BE6">
            <w:pPr>
              <w:pStyle w:val="29"/>
              <w:keepNext w:val="0"/>
              <w:keepLines w:val="0"/>
              <w:pageBreakBefore w:val="0"/>
              <w:widowControl/>
              <w:kinsoku/>
              <w:wordWrap/>
              <w:overflowPunct/>
              <w:topLinePunct w:val="0"/>
              <w:bidi w:val="0"/>
              <w:snapToGrid/>
              <w:spacing w:line="320" w:lineRule="exact"/>
              <w:ind w:firstLine="480" w:firstLineChars="20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报价说明</w:t>
            </w:r>
          </w:p>
        </w:tc>
        <w:tc>
          <w:tcPr>
            <w:tcW w:w="5426" w:type="dxa"/>
            <w:noWrap w:val="0"/>
            <w:vAlign w:val="top"/>
          </w:tcPr>
          <w:p w14:paraId="781BF3DA">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采用竞争性磋商，通过磋商，仅对满足竞争性磋商文件实质性要求的供应商，进行第二次最终报价，但最终报价不得高于第一次报价，否则其投标将被否决。</w:t>
            </w:r>
          </w:p>
        </w:tc>
      </w:tr>
      <w:tr w14:paraId="7367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1" w:hRule="atLeast"/>
          <w:jc w:val="center"/>
        </w:trPr>
        <w:tc>
          <w:tcPr>
            <w:tcW w:w="1168" w:type="dxa"/>
            <w:noWrap w:val="0"/>
            <w:vAlign w:val="center"/>
          </w:tcPr>
          <w:p w14:paraId="78E6935A">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p>
          <w:p w14:paraId="61BB4879">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p>
          <w:p w14:paraId="0F3292C1">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p>
          <w:p w14:paraId="6FEA34A4">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p>
          <w:p w14:paraId="520B955C">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p>
          <w:p w14:paraId="4B921367">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p>
          <w:p w14:paraId="2B994CCC">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p>
          <w:p w14:paraId="09F6BCFB">
            <w:pPr>
              <w:pStyle w:val="29"/>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25</w:t>
            </w:r>
          </w:p>
        </w:tc>
        <w:tc>
          <w:tcPr>
            <w:tcW w:w="2470" w:type="dxa"/>
            <w:noWrap w:val="0"/>
            <w:vAlign w:val="center"/>
          </w:tcPr>
          <w:p w14:paraId="3C6E2982">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0EDF36D8">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49B37733">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783E4E9D">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39FF52A2">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7E93985B">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47CD0713">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p w14:paraId="1BF52AB3">
            <w:pPr>
              <w:pStyle w:val="29"/>
              <w:keepNext w:val="0"/>
              <w:keepLines w:val="0"/>
              <w:pageBreakBefore w:val="0"/>
              <w:widowControl/>
              <w:kinsoku/>
              <w:wordWrap/>
              <w:overflowPunct/>
              <w:topLinePunct w:val="0"/>
              <w:bidi w:val="0"/>
              <w:snapToGrid/>
              <w:spacing w:line="320" w:lineRule="exact"/>
              <w:ind w:firstLine="240" w:firstLineChars="10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磋商文件解密时长</w:t>
            </w:r>
          </w:p>
        </w:tc>
        <w:tc>
          <w:tcPr>
            <w:tcW w:w="5426" w:type="dxa"/>
            <w:noWrap w:val="0"/>
            <w:vAlign w:val="top"/>
          </w:tcPr>
          <w:p w14:paraId="3460AC85">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磋商文件解密时长：30分钟（过时未进行解密的磋商文件，开标现场不进行解密时间延长。）</w:t>
            </w:r>
          </w:p>
          <w:p w14:paraId="1F8FA258">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开标当日仅需在任意地点通过政采云平台不见面开标系统（登录地址详见网站操作手册）完成远程解密、提疑澄清、开标唱标、结果公布等交互环节。供应商必须在规定的时间内使用能正确解密响应文件的“CA锁”完成远程解密，因供应商原因未能解密、解密失败或解密超时，视为供应商撤销其响应文件，系统内磋商文件将被退回；因网上招投标平台发生故障，导致无法按时完成磋商文件解密或开、评标工作无法进行的，可根据实际情况相应延迟解密时间或调整开、评标时间。</w:t>
            </w:r>
          </w:p>
          <w:p w14:paraId="7289B3B5">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（友情提示：若供应商已领取副锁（含多把副锁）请注意正副锁的使用差别，务必使用生成磋商文件的那把锁解密）</w:t>
            </w:r>
          </w:p>
        </w:tc>
      </w:tr>
      <w:tr w14:paraId="78EE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168" w:type="dxa"/>
            <w:noWrap w:val="0"/>
            <w:vAlign w:val="center"/>
          </w:tcPr>
          <w:p w14:paraId="04FE4A1D">
            <w:pPr>
              <w:pStyle w:val="29"/>
              <w:keepNext w:val="0"/>
              <w:keepLines w:val="0"/>
              <w:pageBreakBefore w:val="0"/>
              <w:widowControl/>
              <w:kinsoku/>
              <w:wordWrap/>
              <w:overflowPunct/>
              <w:topLinePunct w:val="0"/>
              <w:bidi w:val="0"/>
              <w:snapToGrid/>
              <w:spacing w:line="320" w:lineRule="exact"/>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26</w:t>
            </w:r>
          </w:p>
        </w:tc>
        <w:tc>
          <w:tcPr>
            <w:tcW w:w="2470" w:type="dxa"/>
            <w:noWrap w:val="0"/>
            <w:vAlign w:val="center"/>
          </w:tcPr>
          <w:p w14:paraId="04EEBBFE">
            <w:pPr>
              <w:pStyle w:val="29"/>
              <w:keepNext w:val="0"/>
              <w:keepLines w:val="0"/>
              <w:pageBreakBefore w:val="0"/>
              <w:widowControl/>
              <w:kinsoku/>
              <w:wordWrap/>
              <w:overflowPunct/>
              <w:topLinePunct w:val="0"/>
              <w:autoSpaceDE/>
              <w:autoSpaceDN/>
              <w:bidi w:val="0"/>
              <w:adjustRightInd/>
              <w:snapToGrid/>
              <w:spacing w:line="320" w:lineRule="exact"/>
              <w:ind w:firstLine="960" w:firstLineChars="4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备注</w:t>
            </w:r>
          </w:p>
        </w:tc>
        <w:tc>
          <w:tcPr>
            <w:tcW w:w="5426" w:type="dxa"/>
            <w:noWrap w:val="0"/>
            <w:vAlign w:val="top"/>
          </w:tcPr>
          <w:p w14:paraId="27F35686">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1、各供应商必须针对项目制作磋商文件并报价，磋商文件均必须满足招标文件份数与制作等要求，否则将导致投标被拒绝。</w:t>
            </w:r>
          </w:p>
          <w:p w14:paraId="413DDFCD">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2、当出现下列情形之一，磋商文件将予以退回：</w:t>
            </w:r>
          </w:p>
          <w:p w14:paraId="2ACE8286">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（1）供应商在磋商文件递交截止时间前未成功上传加密电子磋商文件；</w:t>
            </w:r>
          </w:p>
          <w:p w14:paraId="3DA3D4CC">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（2）供应商使用解密的CA数字证书与上传加密磋商文件使用的CA数字证书不一致；</w:t>
            </w:r>
          </w:p>
          <w:p w14:paraId="08D1688A">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（3）供应商解密时CA数字证书已过期，导致无法正常解密；</w:t>
            </w:r>
          </w:p>
          <w:p w14:paraId="6B501EF7">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（4）加密磋商文件时，CA数字证书未过期，解密时，显示CA数字证书已过期，导致无法正常解密；</w:t>
            </w:r>
          </w:p>
          <w:p w14:paraId="633B8A85">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（5）未在规定的磋商文件解密时间内进行解密的；</w:t>
            </w:r>
          </w:p>
          <w:p w14:paraId="09F670FE">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（6）供应商个人原因导致无法解密的其他情形。 </w:t>
            </w:r>
          </w:p>
          <w:p w14:paraId="2997391F">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3、供应商应在投标截止时间前将投标时使用的计算机安装相关的浏览器（推荐使用谷歌浏览器）、CA驱动等软件，方便磋商文件解密时能够正常解密。</w:t>
            </w:r>
          </w:p>
          <w:p w14:paraId="18A219AF">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4、供应商需在投标截止时间前自行测试开标时使用的计算机，如因供应商自身原因导致磋商文件解密失败的，由供应商自行承担相应后果。</w:t>
            </w:r>
          </w:p>
          <w:p w14:paraId="7B09EEFC">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本次采购，供应商须按招标文件第二章“投标须知”中规定的内容提交磋商文件。并根据第六章“磋商文件格式”中的全部内容进行磋商文件的编制，在评标过程中若发现供应商的磋商文件内容未按照招标文件编制，编制内容存在缺失或提供无效资料的，将导致投标被拒绝。所有资料均不允许在投标截止时间后补正</w:t>
            </w:r>
          </w:p>
          <w:p w14:paraId="17B8390F">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w:t>
            </w:r>
          </w:p>
          <w:p w14:paraId="2319B1E7">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1、无论何种原因，在磋商文件中未提供相应材料的，评审小组将视同其未提供。</w:t>
            </w:r>
          </w:p>
          <w:p w14:paraId="19143704">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2、各供应商应在开标前应确保成为新疆政府采购网正式注册入库供应商，并完成CA数字证书（符合国密标准）申领。如需咨询，请联系新疆CA服务热线0991-2819290；</w:t>
            </w:r>
          </w:p>
          <w:p w14:paraId="1C207579">
            <w:pPr>
              <w:pStyle w:val="29"/>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w:t>
            </w:r>
          </w:p>
          <w:p w14:paraId="23B52538">
            <w:pPr>
              <w:pStyle w:val="29"/>
              <w:keepNext w:val="0"/>
              <w:keepLines w:val="0"/>
              <w:pageBreakBefore w:val="0"/>
              <w:widowControl/>
              <w:kinsoku/>
              <w:wordWrap w:val="0"/>
              <w:overflowPunct/>
              <w:topLinePunct w:val="0"/>
              <w:autoSpaceDE/>
              <w:autoSpaceDN/>
              <w:bidi w:val="0"/>
              <w:adjustRightInd/>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4、供应商首次参加政府采购活动的，可前往新疆政府采购网（ http://www.ccgp-xinjiang.gov.cn/）下载操作指南。（步骤：进入新疆政府采购网（http://www.ccgp-xinjiang.gov.cn/）点击主页面的办事指南—选择并下载供应商政采云平台操作指南。）</w:t>
            </w:r>
          </w:p>
        </w:tc>
      </w:tr>
      <w:tr w14:paraId="6EE2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168" w:type="dxa"/>
            <w:noWrap w:val="0"/>
            <w:vAlign w:val="center"/>
          </w:tcPr>
          <w:p w14:paraId="244DF2C8">
            <w:pPr>
              <w:pStyle w:val="29"/>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27</w:t>
            </w:r>
          </w:p>
        </w:tc>
        <w:tc>
          <w:tcPr>
            <w:tcW w:w="2470" w:type="dxa"/>
            <w:noWrap w:val="0"/>
            <w:vAlign w:val="center"/>
          </w:tcPr>
          <w:p w14:paraId="56848A90">
            <w:pPr>
              <w:pStyle w:val="29"/>
              <w:keepNext w:val="0"/>
              <w:keepLines w:val="0"/>
              <w:pageBreakBefore w:val="0"/>
              <w:widowControl/>
              <w:kinsoku/>
              <w:wordWrap/>
              <w:overflowPunct/>
              <w:topLinePunct w:val="0"/>
              <w:bidi w:val="0"/>
              <w:snapToGrid/>
              <w:spacing w:line="320" w:lineRule="exact"/>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其他备注</w:t>
            </w:r>
          </w:p>
        </w:tc>
        <w:tc>
          <w:tcPr>
            <w:tcW w:w="5426" w:type="dxa"/>
            <w:noWrap w:val="0"/>
            <w:vAlign w:val="top"/>
          </w:tcPr>
          <w:p w14:paraId="79C65704">
            <w:pPr>
              <w:pStyle w:val="29"/>
              <w:keepNext w:val="0"/>
              <w:keepLines w:val="0"/>
              <w:pageBreakBefore w:val="0"/>
              <w:widowControl/>
              <w:kinsoku/>
              <w:wordWrap/>
              <w:overflowPunct/>
              <w:topLinePunct w:val="0"/>
              <w:bidi w:val="0"/>
              <w:snapToGrid/>
              <w:spacing w:line="320" w:lineRule="exac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中标的供应商在领取中标通知书时须向招标代理机构递交纸质磋商文件正本壹份、副本贰份，必须与提交政采云平台的磋商文件内容一致。</w:t>
            </w:r>
          </w:p>
        </w:tc>
      </w:tr>
      <w:tr w14:paraId="2B21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168" w:type="dxa"/>
            <w:noWrap w:val="0"/>
            <w:vAlign w:val="center"/>
          </w:tcPr>
          <w:p w14:paraId="6BA41335">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28</w:t>
            </w:r>
          </w:p>
        </w:tc>
        <w:tc>
          <w:tcPr>
            <w:tcW w:w="2470" w:type="dxa"/>
            <w:noWrap w:val="0"/>
            <w:vAlign w:val="center"/>
          </w:tcPr>
          <w:p w14:paraId="295A0B25">
            <w:pPr>
              <w:pStyle w:val="43"/>
              <w:keepNext w:val="0"/>
              <w:keepLines w:val="0"/>
              <w:pageBreakBefore w:val="0"/>
              <w:kinsoku/>
              <w:wordWrap/>
              <w:overflowPunct/>
              <w:topLinePunct w:val="0"/>
              <w:bidi w:val="0"/>
              <w:snapToGrid/>
              <w:spacing w:line="320" w:lineRule="exact"/>
              <w:ind w:left="96" w:lef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lang w:val="zh-CN"/>
              </w:rPr>
              <w:t>招标代理费</w:t>
            </w:r>
          </w:p>
        </w:tc>
        <w:tc>
          <w:tcPr>
            <w:tcW w:w="5426" w:type="dxa"/>
            <w:noWrap w:val="0"/>
            <w:vAlign w:val="center"/>
          </w:tcPr>
          <w:p w14:paraId="0889BA5A">
            <w:pPr>
              <w:keepNext w:val="0"/>
              <w:keepLines w:val="0"/>
              <w:pageBreakBefore w:val="0"/>
              <w:tabs>
                <w:tab w:val="left" w:pos="7665"/>
              </w:tabs>
              <w:kinsoku/>
              <w:wordWrap/>
              <w:overflowPunct/>
              <w:topLinePunct w:val="0"/>
              <w:bidi w:val="0"/>
              <w:snapToGrid/>
              <w:spacing w:line="320" w:lineRule="exact"/>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代理费收取方式：电汇或银行转账</w:t>
            </w:r>
          </w:p>
          <w:p w14:paraId="5CB6196E">
            <w:pPr>
              <w:keepNext w:val="0"/>
              <w:keepLines w:val="0"/>
              <w:pageBreakBefore w:val="0"/>
              <w:tabs>
                <w:tab w:val="left" w:pos="7665"/>
              </w:tabs>
              <w:kinsoku/>
              <w:wordWrap/>
              <w:overflowPunct/>
              <w:topLinePunct w:val="0"/>
              <w:bidi w:val="0"/>
              <w:snapToGrid/>
              <w:spacing w:line="320" w:lineRule="exact"/>
              <w:ind w:left="0" w:leftChars="0" w:right="0" w:right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zh-CN"/>
              </w:rPr>
              <w:t>代理费收取标准：</w:t>
            </w:r>
            <w:r>
              <w:rPr>
                <w:rFonts w:hint="eastAsia" w:ascii="宋体" w:hAnsi="宋体" w:eastAsia="宋体" w:cs="宋体"/>
                <w:color w:val="auto"/>
                <w:sz w:val="24"/>
                <w:szCs w:val="24"/>
                <w:lang w:val="zh-CN"/>
              </w:rPr>
              <w:t>参照计价格【2002】1980号及发改办价格【2003】857号相关内容，由中标人支付</w:t>
            </w:r>
            <w:r>
              <w:rPr>
                <w:rFonts w:hint="eastAsia" w:ascii="宋体" w:hAnsi="宋体" w:eastAsia="宋体" w:cs="宋体"/>
                <w:color w:val="auto"/>
                <w:sz w:val="24"/>
                <w:szCs w:val="24"/>
                <w:lang w:val="zh-CN" w:eastAsia="zh-CN"/>
              </w:rPr>
              <w:t>。</w:t>
            </w:r>
          </w:p>
        </w:tc>
      </w:tr>
      <w:tr w14:paraId="29424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68" w:type="dxa"/>
            <w:noWrap w:val="0"/>
            <w:vAlign w:val="center"/>
          </w:tcPr>
          <w:p w14:paraId="7FD0B743">
            <w:pPr>
              <w:pStyle w:val="29"/>
              <w:keepNext w:val="0"/>
              <w:keepLines w:val="0"/>
              <w:pageBreakBefore w:val="0"/>
              <w:widowControl/>
              <w:kinsoku/>
              <w:wordWrap/>
              <w:overflowPunct/>
              <w:topLinePunct w:val="0"/>
              <w:bidi w:val="0"/>
              <w:snapToGrid/>
              <w:spacing w:line="320" w:lineRule="exact"/>
              <w:jc w:val="center"/>
              <w:textAlignment w:val="auto"/>
              <w:rPr>
                <w:rFonts w:hint="eastAsia" w:ascii="宋体" w:hAnsi="宋体" w:eastAsia="宋体" w:cs="宋体"/>
                <w:color w:val="auto"/>
                <w:kern w:val="0"/>
                <w:sz w:val="24"/>
                <w:szCs w:val="24"/>
                <w:highlight w:val="none"/>
                <w:lang w:val="en-US" w:eastAsia="zh-CN"/>
              </w:rPr>
            </w:pPr>
          </w:p>
        </w:tc>
        <w:tc>
          <w:tcPr>
            <w:tcW w:w="2470" w:type="dxa"/>
            <w:noWrap w:val="0"/>
            <w:vAlign w:val="center"/>
          </w:tcPr>
          <w:p w14:paraId="26D3ACC1">
            <w:pPr>
              <w:pStyle w:val="43"/>
              <w:keepNext w:val="0"/>
              <w:keepLines w:val="0"/>
              <w:pageBreakBefore w:val="0"/>
              <w:kinsoku/>
              <w:wordWrap/>
              <w:overflowPunct/>
              <w:topLinePunct w:val="0"/>
              <w:bidi w:val="0"/>
              <w:snapToGrid/>
              <w:spacing w:line="320" w:lineRule="exact"/>
              <w:ind w:left="96" w:leftChars="0"/>
              <w:jc w:val="center"/>
              <w:textAlignment w:val="auto"/>
              <w:rPr>
                <w:rFonts w:hint="eastAsia" w:ascii="宋体" w:hAnsi="宋体" w:eastAsia="宋体" w:cs="宋体"/>
                <w:color w:val="auto"/>
                <w:sz w:val="24"/>
                <w:szCs w:val="24"/>
                <w:lang w:val="zh-CN"/>
              </w:rPr>
            </w:pPr>
            <w:r>
              <w:rPr>
                <w:rFonts w:hint="eastAsia" w:cs="宋体"/>
                <w:b/>
                <w:bCs/>
                <w:color w:val="auto"/>
                <w:sz w:val="24"/>
                <w:szCs w:val="24"/>
                <w:lang w:val="en-US" w:eastAsia="zh-CN"/>
              </w:rPr>
              <w:t>注</w:t>
            </w:r>
          </w:p>
        </w:tc>
        <w:tc>
          <w:tcPr>
            <w:tcW w:w="5426" w:type="dxa"/>
            <w:noWrap w:val="0"/>
            <w:vAlign w:val="center"/>
          </w:tcPr>
          <w:p w14:paraId="49F4CAF7">
            <w:pPr>
              <w:keepNext w:val="0"/>
              <w:keepLines w:val="0"/>
              <w:pageBreakBefore w:val="0"/>
              <w:tabs>
                <w:tab w:val="left" w:pos="7665"/>
              </w:tabs>
              <w:kinsoku/>
              <w:wordWrap/>
              <w:overflowPunct/>
              <w:topLinePunct w:val="0"/>
              <w:bidi w:val="0"/>
              <w:snapToGrid/>
              <w:spacing w:line="320" w:lineRule="exact"/>
              <w:ind w:left="0" w:leftChars="0" w:right="0" w:rightChars="0"/>
              <w:jc w:val="left"/>
              <w:textAlignment w:val="auto"/>
              <w:rPr>
                <w:rFonts w:hint="eastAsia" w:ascii="宋体" w:hAnsi="宋体" w:eastAsia="宋体" w:cs="宋体"/>
                <w:color w:val="auto"/>
                <w:sz w:val="24"/>
                <w:szCs w:val="24"/>
                <w:highlight w:val="none"/>
                <w:lang w:val="zh-CN"/>
              </w:rPr>
            </w:pPr>
            <w:r>
              <w:rPr>
                <w:rFonts w:hint="eastAsia" w:ascii="宋体" w:hAnsi="宋体" w:cs="宋体"/>
                <w:b/>
                <w:bCs/>
                <w:sz w:val="24"/>
                <w:szCs w:val="24"/>
                <w:lang w:val="en-US" w:eastAsia="zh-CN"/>
              </w:rPr>
              <w:t>采购文件内容如有不一致的以前附表为准。</w:t>
            </w:r>
          </w:p>
        </w:tc>
      </w:tr>
    </w:tbl>
    <w:p w14:paraId="5C3C74B7">
      <w:pPr>
        <w:pStyle w:val="29"/>
        <w:widowControl/>
        <w:spacing w:line="334" w:lineRule="exact"/>
        <w:rPr>
          <w:rFonts w:hint="eastAsia" w:ascii="宋体" w:hAnsi="宋体" w:eastAsia="宋体" w:cs="宋体"/>
          <w:color w:val="auto"/>
          <w:kern w:val="0"/>
          <w:sz w:val="24"/>
          <w:szCs w:val="24"/>
          <w:highlight w:val="none"/>
          <w:lang w:val="en-US" w:eastAsia="zh-CN"/>
        </w:rPr>
      </w:pPr>
    </w:p>
    <w:p w14:paraId="744E7F83">
      <w:pPr>
        <w:pStyle w:val="29"/>
        <w:widowControl/>
        <w:spacing w:line="334" w:lineRule="exact"/>
        <w:rPr>
          <w:rFonts w:hint="eastAsia" w:ascii="宋体" w:hAnsi="宋体" w:eastAsia="宋体" w:cs="宋体"/>
          <w:color w:val="auto"/>
          <w:kern w:val="0"/>
          <w:sz w:val="24"/>
          <w:szCs w:val="24"/>
          <w:highlight w:val="none"/>
          <w:lang w:val="en-US" w:eastAsia="zh-CN"/>
        </w:rPr>
      </w:pPr>
    </w:p>
    <w:p w14:paraId="62AB6FCB">
      <w:pPr>
        <w:pStyle w:val="29"/>
        <w:widowControl/>
        <w:spacing w:line="334" w:lineRule="exact"/>
        <w:rPr>
          <w:rFonts w:hint="eastAsia" w:ascii="宋体" w:hAnsi="宋体" w:eastAsia="宋体" w:cs="宋体"/>
          <w:color w:val="auto"/>
          <w:kern w:val="0"/>
          <w:sz w:val="24"/>
          <w:szCs w:val="24"/>
          <w:highlight w:val="none"/>
          <w:lang w:val="en-US" w:eastAsia="zh-CN"/>
        </w:rPr>
      </w:pPr>
    </w:p>
    <w:p w14:paraId="2A5E419E">
      <w:pPr>
        <w:pStyle w:val="29"/>
        <w:widowControl/>
        <w:spacing w:line="334" w:lineRule="exact"/>
        <w:rPr>
          <w:rFonts w:hint="eastAsia" w:ascii="宋体" w:hAnsi="宋体" w:eastAsia="宋体" w:cs="宋体"/>
          <w:color w:val="auto"/>
          <w:kern w:val="0"/>
          <w:sz w:val="24"/>
          <w:szCs w:val="24"/>
          <w:highlight w:val="none"/>
          <w:lang w:val="en-US" w:eastAsia="zh-CN"/>
        </w:rPr>
      </w:pPr>
    </w:p>
    <w:p w14:paraId="384FAD21">
      <w:pPr>
        <w:pStyle w:val="29"/>
        <w:widowControl/>
        <w:spacing w:line="334" w:lineRule="exact"/>
        <w:rPr>
          <w:rFonts w:hint="eastAsia" w:ascii="宋体" w:hAnsi="宋体" w:eastAsia="宋体" w:cs="宋体"/>
          <w:color w:val="auto"/>
          <w:kern w:val="0"/>
          <w:sz w:val="24"/>
          <w:szCs w:val="24"/>
          <w:highlight w:val="none"/>
          <w:lang w:val="en-US" w:eastAsia="zh-CN"/>
        </w:rPr>
      </w:pPr>
    </w:p>
    <w:p w14:paraId="66DAB78E">
      <w:pPr>
        <w:pStyle w:val="29"/>
        <w:widowControl/>
        <w:spacing w:line="334" w:lineRule="exact"/>
        <w:rPr>
          <w:rFonts w:hint="eastAsia" w:ascii="宋体" w:hAnsi="宋体" w:eastAsia="宋体" w:cs="宋体"/>
          <w:color w:val="auto"/>
          <w:kern w:val="0"/>
          <w:sz w:val="24"/>
          <w:szCs w:val="24"/>
          <w:highlight w:val="none"/>
          <w:lang w:val="en-US" w:eastAsia="zh-CN"/>
        </w:rPr>
      </w:pPr>
    </w:p>
    <w:p w14:paraId="578ABF81">
      <w:pPr>
        <w:pStyle w:val="29"/>
        <w:widowControl/>
        <w:spacing w:line="334" w:lineRule="exact"/>
        <w:rPr>
          <w:rFonts w:hint="eastAsia" w:ascii="宋体" w:hAnsi="宋体" w:eastAsia="宋体" w:cs="宋体"/>
          <w:color w:val="auto"/>
          <w:kern w:val="0"/>
          <w:sz w:val="24"/>
          <w:szCs w:val="24"/>
          <w:highlight w:val="none"/>
          <w:lang w:val="en-US" w:eastAsia="zh-CN"/>
        </w:rPr>
      </w:pPr>
    </w:p>
    <w:p w14:paraId="0B745EFC">
      <w:pPr>
        <w:pStyle w:val="29"/>
        <w:widowControl/>
        <w:spacing w:line="334" w:lineRule="exact"/>
        <w:rPr>
          <w:rFonts w:hint="eastAsia" w:ascii="宋体" w:hAnsi="宋体" w:eastAsia="宋体" w:cs="宋体"/>
          <w:color w:val="auto"/>
          <w:kern w:val="0"/>
          <w:sz w:val="24"/>
          <w:szCs w:val="24"/>
          <w:highlight w:val="none"/>
          <w:lang w:val="en-US" w:eastAsia="zh-CN"/>
        </w:rPr>
      </w:pPr>
    </w:p>
    <w:p w14:paraId="1B13F2FC">
      <w:pPr>
        <w:pStyle w:val="29"/>
        <w:widowControl/>
        <w:spacing w:line="334" w:lineRule="exact"/>
        <w:rPr>
          <w:rFonts w:hint="eastAsia" w:ascii="宋体" w:hAnsi="宋体" w:eastAsia="宋体" w:cs="宋体"/>
          <w:color w:val="auto"/>
          <w:kern w:val="0"/>
          <w:sz w:val="24"/>
          <w:szCs w:val="24"/>
          <w:highlight w:val="none"/>
          <w:lang w:val="en-US" w:eastAsia="zh-CN"/>
        </w:rPr>
      </w:pPr>
    </w:p>
    <w:p w14:paraId="7C4C6153">
      <w:pPr>
        <w:pStyle w:val="29"/>
        <w:widowControl/>
        <w:spacing w:line="334" w:lineRule="exact"/>
        <w:rPr>
          <w:rFonts w:hint="eastAsia" w:ascii="宋体" w:hAnsi="宋体" w:eastAsia="宋体" w:cs="宋体"/>
          <w:color w:val="auto"/>
          <w:kern w:val="0"/>
          <w:sz w:val="24"/>
          <w:szCs w:val="24"/>
          <w:highlight w:val="none"/>
          <w:lang w:val="en-US" w:eastAsia="zh-CN"/>
        </w:rPr>
      </w:pPr>
    </w:p>
    <w:p w14:paraId="654600F3">
      <w:pPr>
        <w:pStyle w:val="29"/>
        <w:widowControl/>
        <w:spacing w:line="334" w:lineRule="exact"/>
        <w:rPr>
          <w:rFonts w:hint="eastAsia" w:ascii="宋体" w:hAnsi="宋体" w:eastAsia="宋体" w:cs="宋体"/>
          <w:color w:val="auto"/>
          <w:kern w:val="0"/>
          <w:sz w:val="24"/>
          <w:szCs w:val="24"/>
          <w:highlight w:val="none"/>
          <w:lang w:val="en-US" w:eastAsia="zh-CN"/>
        </w:rPr>
      </w:pPr>
    </w:p>
    <w:p w14:paraId="450DAC05">
      <w:pPr>
        <w:pStyle w:val="29"/>
        <w:widowControl/>
        <w:spacing w:line="334" w:lineRule="exact"/>
        <w:rPr>
          <w:rFonts w:hint="eastAsia" w:ascii="宋体" w:hAnsi="宋体" w:eastAsia="宋体" w:cs="宋体"/>
          <w:color w:val="auto"/>
          <w:kern w:val="0"/>
          <w:sz w:val="24"/>
          <w:szCs w:val="24"/>
          <w:highlight w:val="none"/>
          <w:lang w:val="en-US" w:eastAsia="zh-CN"/>
        </w:rPr>
      </w:pPr>
    </w:p>
    <w:p w14:paraId="4A3C0748">
      <w:pPr>
        <w:pStyle w:val="29"/>
        <w:widowControl/>
        <w:spacing w:line="334" w:lineRule="exact"/>
        <w:rPr>
          <w:rFonts w:hint="eastAsia" w:ascii="宋体" w:hAnsi="宋体" w:eastAsia="宋体" w:cs="宋体"/>
          <w:color w:val="auto"/>
          <w:kern w:val="0"/>
          <w:sz w:val="24"/>
          <w:szCs w:val="24"/>
          <w:highlight w:val="none"/>
          <w:lang w:val="en-US" w:eastAsia="zh-CN"/>
        </w:rPr>
      </w:pPr>
    </w:p>
    <w:p w14:paraId="524DFD08">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br w:type="page"/>
      </w:r>
    </w:p>
    <w:p w14:paraId="250ED52F">
      <w:pPr>
        <w:keepNext w:val="0"/>
        <w:keepLines w:val="0"/>
        <w:pageBreakBefore w:val="0"/>
        <w:widowControl w:val="0"/>
        <w:numPr>
          <w:ilvl w:val="0"/>
          <w:numId w:val="4"/>
        </w:numPr>
        <w:kinsoku/>
        <w:wordWrap/>
        <w:overflowPunct/>
        <w:topLinePunct w:val="0"/>
        <w:autoSpaceDE w:val="0"/>
        <w:autoSpaceDN w:val="0"/>
        <w:bidi w:val="0"/>
        <w:adjustRightInd/>
        <w:snapToGrid/>
        <w:spacing w:line="440" w:lineRule="exact"/>
        <w:ind w:firstLine="640" w:firstLineChars="200"/>
        <w:jc w:val="center"/>
        <w:textAlignment w:val="auto"/>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 xml:space="preserve">磋商须知 </w:t>
      </w:r>
    </w:p>
    <w:p w14:paraId="718015C5">
      <w:pPr>
        <w:pStyle w:val="9"/>
        <w:numPr>
          <w:ilvl w:val="0"/>
          <w:numId w:val="0"/>
        </w:numPr>
        <w:ind w:right="0" w:rightChars="0"/>
        <w:rPr>
          <w:rFonts w:hint="eastAsia"/>
          <w:color w:val="auto"/>
          <w:highlight w:val="none"/>
        </w:rPr>
      </w:pPr>
    </w:p>
    <w:p w14:paraId="02E861DC">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color w:val="auto"/>
          <w:highlight w:val="none"/>
        </w:rPr>
      </w:pPr>
      <w:r>
        <w:rPr>
          <w:rFonts w:hint="eastAsia" w:ascii="宋体" w:hAnsi="宋体" w:eastAsia="宋体" w:cs="宋体"/>
          <w:b/>
          <w:bCs/>
          <w:color w:val="auto"/>
          <w:sz w:val="30"/>
          <w:szCs w:val="30"/>
          <w:highlight w:val="none"/>
        </w:rPr>
        <w:t>一</w:t>
      </w:r>
      <w:r>
        <w:rPr>
          <w:rFonts w:hint="eastAsia" w:ascii="宋体" w:hAnsi="宋体" w:eastAsia="宋体" w:cs="宋体"/>
          <w:b/>
          <w:bCs/>
          <w:color w:val="auto"/>
          <w:sz w:val="30"/>
          <w:szCs w:val="30"/>
          <w:highlight w:val="none"/>
          <w:lang w:eastAsia="zh-CN"/>
        </w:rPr>
        <w:t>、</w:t>
      </w:r>
      <w:r>
        <w:rPr>
          <w:rFonts w:hint="eastAsia" w:ascii="宋体" w:hAnsi="宋体" w:eastAsia="宋体" w:cs="宋体"/>
          <w:b/>
          <w:bCs/>
          <w:color w:val="auto"/>
          <w:sz w:val="30"/>
          <w:szCs w:val="30"/>
          <w:highlight w:val="none"/>
        </w:rPr>
        <w:t>说 明</w:t>
      </w:r>
    </w:p>
    <w:p w14:paraId="6A7A440E">
      <w:pPr>
        <w:pStyle w:val="9"/>
        <w:rPr>
          <w:rFonts w:hint="eastAsia"/>
          <w:color w:val="auto"/>
          <w:highlight w:val="none"/>
        </w:rPr>
      </w:pPr>
    </w:p>
    <w:p w14:paraId="73F69896">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1 </w:t>
      </w:r>
      <w:r>
        <w:rPr>
          <w:rFonts w:hint="eastAsia" w:ascii="宋体" w:hAnsi="宋体" w:eastAsia="宋体" w:cs="宋体"/>
          <w:b/>
          <w:bCs/>
          <w:color w:val="auto"/>
          <w:sz w:val="24"/>
          <w:szCs w:val="24"/>
          <w:highlight w:val="none"/>
        </w:rPr>
        <w:t xml:space="preserve">适用范围 </w:t>
      </w:r>
    </w:p>
    <w:p w14:paraId="1267324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 </w:t>
      </w:r>
      <w:r>
        <w:rPr>
          <w:rFonts w:hint="eastAsia" w:ascii="宋体" w:hAnsi="宋体" w:eastAsia="宋体" w:cs="宋体"/>
          <w:color w:val="auto"/>
          <w:sz w:val="24"/>
          <w:szCs w:val="24"/>
          <w:highlight w:val="none"/>
        </w:rPr>
        <w:t xml:space="preserve">本文件适用于本竞争性磋商的采购项目。 </w:t>
      </w:r>
    </w:p>
    <w:p w14:paraId="655ACDBC">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 </w:t>
      </w:r>
      <w:r>
        <w:rPr>
          <w:rFonts w:hint="eastAsia" w:ascii="宋体" w:hAnsi="宋体" w:eastAsia="宋体" w:cs="宋体"/>
          <w:color w:val="auto"/>
          <w:sz w:val="24"/>
          <w:szCs w:val="24"/>
          <w:highlight w:val="none"/>
        </w:rPr>
        <w:t xml:space="preserve">本项目的采购人、供应商及各方当事人均适用本须知。 </w:t>
      </w:r>
    </w:p>
    <w:p w14:paraId="2E7712E0">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 </w:t>
      </w:r>
      <w:r>
        <w:rPr>
          <w:rFonts w:hint="eastAsia" w:ascii="宋体" w:hAnsi="宋体" w:eastAsia="宋体" w:cs="宋体"/>
          <w:b/>
          <w:bCs/>
          <w:color w:val="auto"/>
          <w:sz w:val="24"/>
          <w:szCs w:val="24"/>
          <w:highlight w:val="none"/>
        </w:rPr>
        <w:t>定义</w:t>
      </w:r>
      <w:r>
        <w:rPr>
          <w:rFonts w:hint="eastAsia" w:ascii="宋体" w:hAnsi="宋体" w:eastAsia="宋体" w:cs="宋体"/>
          <w:color w:val="auto"/>
          <w:sz w:val="24"/>
          <w:szCs w:val="24"/>
          <w:highlight w:val="none"/>
        </w:rPr>
        <w:t xml:space="preserve"> </w:t>
      </w:r>
    </w:p>
    <w:p w14:paraId="2BD5D4D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2.1 </w:t>
      </w:r>
      <w:r>
        <w:rPr>
          <w:rFonts w:hint="eastAsia" w:ascii="宋体" w:hAnsi="宋体" w:eastAsia="宋体" w:cs="宋体"/>
          <w:color w:val="auto"/>
          <w:sz w:val="24"/>
          <w:szCs w:val="24"/>
          <w:highlight w:val="none"/>
        </w:rPr>
        <w:t xml:space="preserve">监管部门：指同级或以上人民政府财政部门。 </w:t>
      </w:r>
    </w:p>
    <w:p w14:paraId="41D6C86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 </w:t>
      </w:r>
      <w:r>
        <w:rPr>
          <w:rFonts w:hint="eastAsia" w:ascii="宋体" w:hAnsi="宋体" w:eastAsia="宋体" w:cs="宋体"/>
          <w:color w:val="auto"/>
          <w:sz w:val="24"/>
          <w:szCs w:val="24"/>
          <w:highlight w:val="none"/>
        </w:rPr>
        <w:t>资金来源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是指采购人已拥有一笔财政性资金或资金来源已落实。 </w:t>
      </w:r>
    </w:p>
    <w:p w14:paraId="76BDF55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2.3 </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en-US" w:eastAsia="zh-CN"/>
        </w:rPr>
        <w:t>依法进行政府采购的国家机关、事业单位、团体组织</w:t>
      </w:r>
      <w:r>
        <w:rPr>
          <w:rFonts w:hint="eastAsia" w:ascii="宋体" w:hAnsi="宋体" w:eastAsia="宋体" w:cs="宋体"/>
          <w:color w:val="auto"/>
          <w:sz w:val="24"/>
          <w:szCs w:val="24"/>
          <w:highlight w:val="none"/>
        </w:rPr>
        <w:t xml:space="preserve">。 </w:t>
      </w:r>
    </w:p>
    <w:p w14:paraId="0120F6B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2.4 </w:t>
      </w:r>
      <w:r>
        <w:rPr>
          <w:rFonts w:hint="eastAsia" w:cs="宋体"/>
          <w:color w:val="auto"/>
          <w:sz w:val="24"/>
          <w:szCs w:val="24"/>
          <w:highlight w:val="none"/>
          <w:lang w:val="en-US" w:eastAsia="zh-CN"/>
        </w:rPr>
        <w:t>代理</w:t>
      </w:r>
      <w:r>
        <w:rPr>
          <w:rFonts w:hint="eastAsia" w:ascii="宋体" w:hAnsi="宋体" w:eastAsia="宋体" w:cs="宋体"/>
          <w:color w:val="auto"/>
          <w:sz w:val="24"/>
          <w:szCs w:val="24"/>
          <w:highlight w:val="none"/>
          <w:lang w:val="en-US" w:eastAsia="zh-CN"/>
        </w:rPr>
        <w:t>采购机构</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新疆华域天恒工程管理有限公司</w:t>
      </w:r>
      <w:r>
        <w:rPr>
          <w:rFonts w:hint="eastAsia" w:ascii="宋体" w:hAnsi="宋体" w:eastAsia="宋体" w:cs="宋体"/>
          <w:color w:val="auto"/>
          <w:sz w:val="24"/>
          <w:szCs w:val="24"/>
          <w:highlight w:val="none"/>
        </w:rPr>
        <w:t xml:space="preserve">。 </w:t>
      </w:r>
    </w:p>
    <w:p w14:paraId="3D2505D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 </w:t>
      </w:r>
      <w:r>
        <w:rPr>
          <w:rFonts w:hint="eastAsia" w:ascii="宋体" w:hAnsi="宋体" w:eastAsia="宋体" w:cs="宋体"/>
          <w:color w:val="auto"/>
          <w:sz w:val="24"/>
          <w:szCs w:val="24"/>
          <w:highlight w:val="none"/>
        </w:rPr>
        <w:t>磋商小组：磋商小组是依法组建的专门负责本次磋商及评审工作的</w:t>
      </w:r>
      <w:r>
        <w:rPr>
          <w:rFonts w:hint="eastAsia" w:ascii="宋体" w:hAnsi="宋体" w:eastAsia="宋体" w:cs="宋体"/>
          <w:color w:val="auto"/>
          <w:sz w:val="24"/>
          <w:szCs w:val="24"/>
          <w:highlight w:val="none"/>
          <w:lang w:val="en-US" w:eastAsia="zh-CN"/>
        </w:rPr>
        <w:t>人员</w:t>
      </w:r>
      <w:r>
        <w:rPr>
          <w:rFonts w:hint="eastAsia" w:ascii="宋体" w:hAnsi="宋体" w:eastAsia="宋体" w:cs="宋体"/>
          <w:color w:val="auto"/>
          <w:sz w:val="24"/>
          <w:szCs w:val="24"/>
          <w:highlight w:val="none"/>
        </w:rPr>
        <w:t xml:space="preserve">。 </w:t>
      </w:r>
    </w:p>
    <w:p w14:paraId="4E5BEEC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 </w:t>
      </w:r>
      <w:r>
        <w:rPr>
          <w:rFonts w:hint="eastAsia" w:ascii="宋体" w:hAnsi="宋体" w:eastAsia="宋体" w:cs="宋体"/>
          <w:color w:val="auto"/>
          <w:sz w:val="24"/>
          <w:szCs w:val="24"/>
          <w:highlight w:val="none"/>
        </w:rPr>
        <w:t xml:space="preserve">供应商：符合资格要求，响应采购、依法成立的企业法人、其他组织或自然人。 </w:t>
      </w:r>
    </w:p>
    <w:p w14:paraId="7E298AD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2.7 </w:t>
      </w:r>
      <w:r>
        <w:rPr>
          <w:rFonts w:hint="eastAsia" w:ascii="宋体" w:hAnsi="宋体" w:eastAsia="宋体" w:cs="宋体"/>
          <w:color w:val="auto"/>
          <w:sz w:val="24"/>
          <w:szCs w:val="24"/>
          <w:highlight w:val="none"/>
        </w:rPr>
        <w:t xml:space="preserve">成交供应商：经合法磋商程序评选出来并经采购人确认的获得本项目成交资格的供应商。 </w:t>
      </w:r>
    </w:p>
    <w:p w14:paraId="0A251B0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2.8 </w:t>
      </w:r>
      <w:r>
        <w:rPr>
          <w:rFonts w:hint="eastAsia" w:ascii="宋体" w:hAnsi="宋体" w:eastAsia="宋体" w:cs="宋体"/>
          <w:color w:val="auto"/>
          <w:sz w:val="24"/>
          <w:szCs w:val="24"/>
          <w:highlight w:val="none"/>
        </w:rPr>
        <w:t xml:space="preserve">日期：指公历日。 </w:t>
      </w:r>
    </w:p>
    <w:p w14:paraId="3687173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2.9 </w:t>
      </w:r>
      <w:r>
        <w:rPr>
          <w:rFonts w:hint="eastAsia" w:ascii="宋体" w:hAnsi="宋体" w:eastAsia="宋体" w:cs="宋体"/>
          <w:color w:val="auto"/>
          <w:sz w:val="24"/>
          <w:szCs w:val="24"/>
          <w:highlight w:val="none"/>
        </w:rPr>
        <w:t xml:space="preserve">时间：指北京时间。 </w:t>
      </w:r>
    </w:p>
    <w:p w14:paraId="0F8C2F0A">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合格的供应商</w:t>
      </w:r>
      <w:r>
        <w:rPr>
          <w:rFonts w:hint="eastAsia" w:ascii="宋体" w:hAnsi="宋体" w:eastAsia="宋体" w:cs="宋体"/>
          <w:color w:val="auto"/>
          <w:sz w:val="24"/>
          <w:szCs w:val="24"/>
          <w:highlight w:val="none"/>
        </w:rPr>
        <w:t xml:space="preserve"> </w:t>
      </w:r>
    </w:p>
    <w:p w14:paraId="3612374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供应商须符合第一部分“磋商</w:t>
      </w:r>
      <w:r>
        <w:rPr>
          <w:rFonts w:hint="eastAsia" w:cs="宋体"/>
          <w:color w:val="auto"/>
          <w:sz w:val="24"/>
          <w:szCs w:val="24"/>
          <w:highlight w:val="none"/>
          <w:lang w:val="en-US" w:eastAsia="zh-CN"/>
        </w:rPr>
        <w:t>公告</w:t>
      </w:r>
      <w:r>
        <w:rPr>
          <w:rFonts w:hint="eastAsia" w:ascii="宋体" w:hAnsi="宋体" w:eastAsia="宋体" w:cs="宋体"/>
          <w:color w:val="auto"/>
          <w:sz w:val="24"/>
          <w:szCs w:val="24"/>
          <w:highlight w:val="none"/>
        </w:rPr>
        <w:t xml:space="preserve">”供应商资格要求的全部条款。 </w:t>
      </w:r>
    </w:p>
    <w:p w14:paraId="3BEB4C97">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4 </w:t>
      </w:r>
      <w:r>
        <w:rPr>
          <w:rFonts w:hint="eastAsia" w:ascii="宋体" w:hAnsi="宋体" w:eastAsia="宋体" w:cs="宋体"/>
          <w:b/>
          <w:bCs/>
          <w:color w:val="auto"/>
          <w:sz w:val="24"/>
          <w:szCs w:val="24"/>
          <w:highlight w:val="none"/>
        </w:rPr>
        <w:t>合格的货物</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服务</w:t>
      </w:r>
      <w:r>
        <w:rPr>
          <w:rFonts w:hint="eastAsia" w:ascii="宋体" w:hAnsi="宋体" w:eastAsia="宋体" w:cs="宋体"/>
          <w:b/>
          <w:bCs/>
          <w:color w:val="auto"/>
          <w:sz w:val="24"/>
          <w:szCs w:val="24"/>
          <w:highlight w:val="none"/>
          <w:lang w:val="en-US" w:eastAsia="zh-CN"/>
        </w:rPr>
        <w:t>和工程</w:t>
      </w:r>
      <w:r>
        <w:rPr>
          <w:rFonts w:hint="eastAsia" w:ascii="宋体" w:hAnsi="宋体" w:eastAsia="宋体" w:cs="宋体"/>
          <w:color w:val="auto"/>
          <w:sz w:val="24"/>
          <w:szCs w:val="24"/>
          <w:highlight w:val="none"/>
        </w:rPr>
        <w:t xml:space="preserve"> </w:t>
      </w:r>
    </w:p>
    <w:p w14:paraId="7BB6301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4.1 </w:t>
      </w:r>
      <w:r>
        <w:rPr>
          <w:rFonts w:hint="eastAsia" w:ascii="宋体" w:hAnsi="宋体" w:eastAsia="宋体" w:cs="宋体"/>
          <w:color w:val="auto"/>
          <w:sz w:val="24"/>
          <w:szCs w:val="24"/>
          <w:highlight w:val="none"/>
        </w:rPr>
        <w:t xml:space="preserve">“货物”是指供应商制造或符合磋商文件要求的货物等。供应商的货物必须是其合法生产、合法来源的符合国家有关标准要求的货物，并满足磋商文件规定的规格、参数、质量、价格、有效期、售后服务等要求。 </w:t>
      </w:r>
    </w:p>
    <w:p w14:paraId="5C82F20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4.2 </w:t>
      </w:r>
      <w:r>
        <w:rPr>
          <w:rFonts w:hint="eastAsia" w:ascii="宋体" w:hAnsi="宋体" w:eastAsia="宋体" w:cs="宋体"/>
          <w:color w:val="auto"/>
          <w:sz w:val="24"/>
          <w:szCs w:val="24"/>
          <w:highlight w:val="none"/>
        </w:rPr>
        <w:t>“服务”是指除货物和工程以外的其他政府采购对象，其中包括供应商须承担的运输、安装、技术支持、培训以及磋商文件规定的其它伴随服务。</w:t>
      </w:r>
    </w:p>
    <w:p w14:paraId="7B6ACEB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color w:val="auto"/>
          <w:highlight w:val="none"/>
        </w:rPr>
      </w:pPr>
      <w:r>
        <w:rPr>
          <w:rFonts w:hint="eastAsia" w:ascii="宋体" w:hAnsi="宋体" w:eastAsia="宋体" w:cs="宋体"/>
          <w:color w:val="auto"/>
          <w:sz w:val="24"/>
          <w:szCs w:val="24"/>
          <w:highlight w:val="none"/>
          <w:lang w:val="en-US" w:eastAsia="zh-CN"/>
        </w:rPr>
        <w:t xml:space="preserve">4.3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是指建设工程，包括建筑物和构筑物的新建、改建、扩建、装修、拆除、修缮等。</w:t>
      </w:r>
    </w:p>
    <w:p w14:paraId="65F2733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4.4 </w:t>
      </w:r>
      <w:r>
        <w:rPr>
          <w:rFonts w:hint="eastAsia" w:ascii="宋体" w:hAnsi="宋体" w:eastAsia="宋体" w:cs="宋体"/>
          <w:color w:val="auto"/>
          <w:sz w:val="24"/>
          <w:szCs w:val="24"/>
          <w:highlight w:val="none"/>
        </w:rPr>
        <w:t xml:space="preserve">政府采购应当采购本国产品，确需采购进口产品的，依据《政府采购进口产品管理办法》执行。 </w:t>
      </w:r>
    </w:p>
    <w:p w14:paraId="28593BD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4.5 </w:t>
      </w:r>
      <w:r>
        <w:rPr>
          <w:rFonts w:hint="eastAsia" w:ascii="宋体" w:hAnsi="宋体" w:eastAsia="宋体" w:cs="宋体"/>
          <w:color w:val="auto"/>
          <w:sz w:val="24"/>
          <w:szCs w:val="24"/>
          <w:highlight w:val="none"/>
        </w:rPr>
        <w:t xml:space="preserve">本文件所称进口产品是指通过中国海关报关验放进入中国境内且产自关境外的产品。 </w:t>
      </w:r>
    </w:p>
    <w:p w14:paraId="6E6DCFA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4.6 </w:t>
      </w:r>
      <w:r>
        <w:rPr>
          <w:rFonts w:hint="eastAsia" w:ascii="宋体" w:hAnsi="宋体" w:eastAsia="宋体" w:cs="宋体"/>
          <w:color w:val="auto"/>
          <w:sz w:val="24"/>
          <w:szCs w:val="24"/>
          <w:highlight w:val="none"/>
        </w:rPr>
        <w:t xml:space="preserve">供应商应保证，采购人在中华人民共和国使用货物或服务的任何一部分时，采购人免受第三方提出侵犯其专利权、商标权或其它知识产权的起诉。 </w:t>
      </w:r>
    </w:p>
    <w:p w14:paraId="600DFC1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5 </w:t>
      </w:r>
      <w:r>
        <w:rPr>
          <w:rFonts w:hint="eastAsia" w:ascii="宋体" w:hAnsi="宋体" w:eastAsia="宋体" w:cs="宋体"/>
          <w:b/>
          <w:bCs/>
          <w:color w:val="auto"/>
          <w:sz w:val="24"/>
          <w:szCs w:val="24"/>
          <w:highlight w:val="none"/>
        </w:rPr>
        <w:t>磋商费用</w:t>
      </w:r>
      <w:r>
        <w:rPr>
          <w:rFonts w:hint="eastAsia" w:ascii="宋体" w:hAnsi="宋体" w:eastAsia="宋体" w:cs="宋体"/>
          <w:color w:val="auto"/>
          <w:sz w:val="24"/>
          <w:szCs w:val="24"/>
          <w:highlight w:val="none"/>
        </w:rPr>
        <w:t xml:space="preserve"> </w:t>
      </w:r>
    </w:p>
    <w:p w14:paraId="5A72723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供应商应承担所有与准备和参加项目磋商有关的费用。不论磋商的结果如何，采购人及</w:t>
      </w:r>
      <w:r>
        <w:rPr>
          <w:rFonts w:hint="eastAsia" w:cs="宋体"/>
          <w:color w:val="auto"/>
          <w:sz w:val="24"/>
          <w:szCs w:val="24"/>
          <w:highlight w:val="none"/>
          <w:lang w:val="en-US" w:eastAsia="zh-CN"/>
        </w:rPr>
        <w:t>招标代理有限公司</w:t>
      </w:r>
      <w:r>
        <w:rPr>
          <w:rFonts w:hint="eastAsia" w:ascii="宋体" w:hAnsi="宋体" w:eastAsia="宋体" w:cs="宋体"/>
          <w:color w:val="auto"/>
          <w:sz w:val="24"/>
          <w:szCs w:val="24"/>
          <w:highlight w:val="none"/>
        </w:rPr>
        <w:t xml:space="preserve">均无义务和责任承担这些费用。  </w:t>
      </w:r>
    </w:p>
    <w:p w14:paraId="7D81CF5A">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6 </w:t>
      </w:r>
      <w:r>
        <w:rPr>
          <w:rFonts w:hint="eastAsia" w:ascii="宋体" w:hAnsi="宋体" w:eastAsia="宋体" w:cs="宋体"/>
          <w:b/>
          <w:bCs/>
          <w:color w:val="auto"/>
          <w:sz w:val="24"/>
          <w:szCs w:val="24"/>
          <w:highlight w:val="none"/>
        </w:rPr>
        <w:t>其他</w:t>
      </w:r>
      <w:r>
        <w:rPr>
          <w:rFonts w:hint="eastAsia" w:ascii="宋体" w:hAnsi="宋体" w:eastAsia="宋体" w:cs="宋体"/>
          <w:color w:val="auto"/>
          <w:sz w:val="24"/>
          <w:szCs w:val="24"/>
          <w:highlight w:val="none"/>
        </w:rPr>
        <w:t xml:space="preserve"> </w:t>
      </w:r>
    </w:p>
    <w:p w14:paraId="06BFFB4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.1. 所有时间均为24小时制北京时间，所有货币单位均为人民币元，所使用的计量单位均以《中华人民共和国法定计量单位》为准（特别注明除外）。 </w:t>
      </w:r>
    </w:p>
    <w:p w14:paraId="7901A6E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3F197F5">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3654" w:firstLineChars="13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磋商文件</w:t>
      </w:r>
    </w:p>
    <w:p w14:paraId="6A7BA308">
      <w:pPr>
        <w:pStyle w:val="9"/>
        <w:numPr>
          <w:ilvl w:val="0"/>
          <w:numId w:val="0"/>
        </w:numPr>
        <w:ind w:right="0" w:rightChars="0"/>
        <w:rPr>
          <w:rFonts w:hint="eastAsia"/>
          <w:color w:val="auto"/>
          <w:highlight w:val="none"/>
        </w:rPr>
      </w:pPr>
    </w:p>
    <w:p w14:paraId="5FB5641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 </w:t>
      </w:r>
      <w:r>
        <w:rPr>
          <w:rFonts w:hint="eastAsia" w:ascii="宋体" w:hAnsi="宋体" w:eastAsia="宋体" w:cs="宋体"/>
          <w:color w:val="auto"/>
          <w:sz w:val="24"/>
          <w:szCs w:val="24"/>
          <w:highlight w:val="none"/>
        </w:rPr>
        <w:t xml:space="preserve">磋商文件的编制依据与构成 </w:t>
      </w:r>
    </w:p>
    <w:p w14:paraId="2BF745F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7.1 </w:t>
      </w:r>
      <w:r>
        <w:rPr>
          <w:rFonts w:hint="eastAsia" w:ascii="宋体" w:hAnsi="宋体" w:eastAsia="宋体" w:cs="宋体"/>
          <w:color w:val="auto"/>
          <w:sz w:val="24"/>
          <w:szCs w:val="24"/>
          <w:highlight w:val="none"/>
        </w:rPr>
        <w:t xml:space="preserve">本项目磋商文件的编制依据是《中华人民共和国政府采购法》及其实施条例、《政府采购竞争性磋商采购方式管理暂行办法》及其配套的法规、规章政策。 </w:t>
      </w:r>
    </w:p>
    <w:p w14:paraId="3D8E86F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7.2 </w:t>
      </w:r>
      <w:r>
        <w:rPr>
          <w:rFonts w:hint="eastAsia" w:ascii="宋体" w:hAnsi="宋体" w:eastAsia="宋体" w:cs="宋体"/>
          <w:color w:val="auto"/>
          <w:sz w:val="24"/>
          <w:szCs w:val="24"/>
          <w:highlight w:val="none"/>
        </w:rPr>
        <w:t xml:space="preserve">要求提供的服务、货物、磋商过程和合同条件在磋商文件中均有说明。磋商文件以中文文字编写。由下列文件以及在磋商过程中发出的澄清、修改和补充文件组成，内容包括： </w:t>
      </w:r>
    </w:p>
    <w:p w14:paraId="2140D6D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磋商</w:t>
      </w:r>
      <w:r>
        <w:rPr>
          <w:rFonts w:hint="eastAsia" w:cs="宋体"/>
          <w:color w:val="auto"/>
          <w:sz w:val="24"/>
          <w:szCs w:val="24"/>
          <w:highlight w:val="none"/>
          <w:lang w:val="en-US" w:eastAsia="zh-CN"/>
        </w:rPr>
        <w:t>公告</w:t>
      </w:r>
      <w:r>
        <w:rPr>
          <w:rFonts w:hint="eastAsia" w:ascii="宋体" w:hAnsi="宋体" w:eastAsia="宋体" w:cs="宋体"/>
          <w:color w:val="auto"/>
          <w:sz w:val="24"/>
          <w:szCs w:val="24"/>
          <w:highlight w:val="none"/>
        </w:rPr>
        <w:t xml:space="preserve">； </w:t>
      </w:r>
    </w:p>
    <w:p w14:paraId="25DDBD7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磋商须知； </w:t>
      </w:r>
    </w:p>
    <w:p w14:paraId="0423FCE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采购项目需求</w:t>
      </w:r>
      <w:r>
        <w:rPr>
          <w:rFonts w:hint="eastAsia" w:ascii="宋体" w:hAnsi="宋体" w:eastAsia="宋体" w:cs="宋体"/>
          <w:color w:val="auto"/>
          <w:sz w:val="24"/>
          <w:szCs w:val="24"/>
          <w:highlight w:val="none"/>
        </w:rPr>
        <w:t xml:space="preserve">； </w:t>
      </w:r>
    </w:p>
    <w:p w14:paraId="1308063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合同格式； </w:t>
      </w:r>
    </w:p>
    <w:p w14:paraId="522C776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响应文件格式； </w:t>
      </w:r>
    </w:p>
    <w:p w14:paraId="48DE777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其他文件格式。 </w:t>
      </w:r>
    </w:p>
    <w:p w14:paraId="06BC3A0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7.3 </w:t>
      </w:r>
      <w:r>
        <w:rPr>
          <w:rFonts w:hint="eastAsia" w:ascii="宋体" w:hAnsi="宋体" w:eastAsia="宋体" w:cs="宋体"/>
          <w:color w:val="auto"/>
          <w:sz w:val="24"/>
          <w:szCs w:val="24"/>
          <w:highlight w:val="none"/>
        </w:rPr>
        <w:t xml:space="preserve">供应商应认真阅读、并充分理解磋商文件的全部内容（包括所有的补充、修改内容、重要事项、格式、条款和技术规范、参数及要求等）。供应商没有按照磋商文件要求提交全部资料，或者响应文件没有对磋商文件在各方面都作出实质性响应是供应商的风险，有可能导致其响应被拒绝，或被确定为响应无效。 </w:t>
      </w:r>
    </w:p>
    <w:p w14:paraId="3BCDA76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8 </w:t>
      </w:r>
      <w:r>
        <w:rPr>
          <w:rFonts w:hint="eastAsia" w:ascii="宋体" w:hAnsi="宋体" w:eastAsia="宋体" w:cs="宋体"/>
          <w:color w:val="auto"/>
          <w:sz w:val="24"/>
          <w:szCs w:val="24"/>
          <w:highlight w:val="none"/>
        </w:rPr>
        <w:t xml:space="preserve">磋商文件的澄清和修改 </w:t>
      </w:r>
    </w:p>
    <w:p w14:paraId="16FD96A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8.1 </w:t>
      </w:r>
      <w:r>
        <w:rPr>
          <w:rFonts w:hint="eastAsia" w:ascii="宋体" w:hAnsi="宋体" w:eastAsia="宋体" w:cs="宋体"/>
          <w:color w:val="auto"/>
          <w:sz w:val="24"/>
          <w:szCs w:val="24"/>
          <w:highlight w:val="none"/>
        </w:rPr>
        <w:t>提交首次响应文件截止之日前，采购人、</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lang w:val="en-US" w:eastAsia="zh-CN"/>
        </w:rPr>
        <w:t>工作人员</w:t>
      </w:r>
      <w:r>
        <w:rPr>
          <w:rFonts w:hint="eastAsia" w:ascii="宋体" w:hAnsi="宋体" w:eastAsia="宋体" w:cs="宋体"/>
          <w:color w:val="auto"/>
          <w:sz w:val="24"/>
          <w:szCs w:val="24"/>
          <w:highlight w:val="none"/>
        </w:rPr>
        <w:t>可以对已发出的磋商文件进行必要的澄清或者修改，澄清或者修改的内容作为磋商文件的组成部分。澄清或者修改的内容可能影响响应文件编制的，采购人、</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应当在提交首次响应文件截止时间至少5日前，以书面形式通知所有获取磋商文件的供应商；不足5日的，采购人、</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应当顺延提交首次响应文件截止时间。同时在磋商文件指定的政府采购信息发布媒体上发布变更公告。潜在供应商在收到上述通知后，应以书面形式向采购人或</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回复确认。 </w:t>
      </w:r>
    </w:p>
    <w:p w14:paraId="170EE73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8.2 </w:t>
      </w:r>
      <w:r>
        <w:rPr>
          <w:rFonts w:hint="eastAsia" w:ascii="宋体" w:hAnsi="宋体" w:eastAsia="宋体" w:cs="宋体"/>
          <w:color w:val="auto"/>
          <w:sz w:val="24"/>
          <w:szCs w:val="24"/>
          <w:highlight w:val="none"/>
        </w:rPr>
        <w:t>磋商文件的澄清或者修改内容作为磋商文件的组成部分，并对供应商具有约束力。当磋商文件、磋商文件的澄清或修改在同一内容的表述上不一致时，以最后发出的文件内容为准。</w:t>
      </w:r>
    </w:p>
    <w:p w14:paraId="66C6704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9 </w:t>
      </w:r>
      <w:r>
        <w:rPr>
          <w:rFonts w:hint="eastAsia" w:ascii="宋体" w:hAnsi="宋体" w:eastAsia="宋体" w:cs="宋体"/>
          <w:color w:val="auto"/>
          <w:sz w:val="24"/>
          <w:szCs w:val="24"/>
          <w:highlight w:val="none"/>
        </w:rPr>
        <w:t xml:space="preserve">答疑会或现场考察 </w:t>
      </w:r>
    </w:p>
    <w:p w14:paraId="1E55B49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9.1 </w:t>
      </w:r>
      <w:r>
        <w:rPr>
          <w:rFonts w:hint="eastAsia" w:ascii="宋体" w:hAnsi="宋体" w:eastAsia="宋体" w:cs="宋体"/>
          <w:color w:val="auto"/>
          <w:sz w:val="24"/>
          <w:szCs w:val="24"/>
          <w:highlight w:val="none"/>
        </w:rPr>
        <w:t xml:space="preserve">除磋商须知前附表中另有规定，本项目不举行磋商前答疑会及现场考察。 </w:t>
      </w:r>
    </w:p>
    <w:p w14:paraId="2464188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9.2 </w:t>
      </w:r>
      <w:r>
        <w:rPr>
          <w:rFonts w:hint="eastAsia" w:ascii="宋体" w:hAnsi="宋体" w:eastAsia="宋体" w:cs="宋体"/>
          <w:color w:val="auto"/>
          <w:sz w:val="24"/>
          <w:szCs w:val="24"/>
          <w:highlight w:val="none"/>
        </w:rPr>
        <w:t>如举行磋商前答疑会或现场考察的，则按以下规定：已获取磋商文件的潜在供应商对本项目提出疑问的，需在答疑会或现场考察召开日前至少一个工作日将问题以书面形式（加盖公章）提交至</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，采购人或者</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将以书面形式通知所有获取磋商文件的潜在供应商代表于磋商须知前附表规定的时间和地点出席答疑会或现场考察。 </w:t>
      </w:r>
    </w:p>
    <w:p w14:paraId="6E64C79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9.3 </w:t>
      </w:r>
      <w:r>
        <w:rPr>
          <w:rFonts w:hint="eastAsia" w:ascii="宋体" w:hAnsi="宋体" w:eastAsia="宋体" w:cs="宋体"/>
          <w:color w:val="auto"/>
          <w:sz w:val="24"/>
          <w:szCs w:val="24"/>
          <w:highlight w:val="none"/>
        </w:rPr>
        <w:t xml:space="preserve">已获取磋商文件的供应商如不出席答疑会或现场考察视为对磋商文件所有内容无任何异议。 </w:t>
      </w:r>
    </w:p>
    <w:p w14:paraId="7E2634A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45E0B1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3092" w:firstLineChars="11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响应文件的编制</w:t>
      </w:r>
    </w:p>
    <w:p w14:paraId="478F9191">
      <w:pPr>
        <w:pStyle w:val="9"/>
        <w:numPr>
          <w:ilvl w:val="0"/>
          <w:numId w:val="0"/>
        </w:numPr>
        <w:ind w:leftChars="200" w:right="0" w:rightChars="0"/>
        <w:rPr>
          <w:rFonts w:hint="eastAsia"/>
          <w:color w:val="auto"/>
          <w:highlight w:val="none"/>
        </w:rPr>
      </w:pPr>
    </w:p>
    <w:p w14:paraId="25BD9F0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10 </w:t>
      </w:r>
      <w:r>
        <w:rPr>
          <w:rFonts w:hint="eastAsia" w:ascii="宋体" w:hAnsi="宋体" w:eastAsia="宋体" w:cs="宋体"/>
          <w:color w:val="auto"/>
          <w:sz w:val="24"/>
          <w:szCs w:val="24"/>
          <w:highlight w:val="none"/>
        </w:rPr>
        <w:t xml:space="preserve">响应文件的构成 </w:t>
      </w:r>
    </w:p>
    <w:p w14:paraId="055DAB1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 供应商编写的响应文件应包括价格部分、商务部分和技术部分。供应商</w:t>
      </w:r>
      <w:r>
        <w:rPr>
          <w:rFonts w:hint="eastAsia" w:cs="宋体"/>
          <w:color w:val="auto"/>
          <w:sz w:val="24"/>
          <w:szCs w:val="24"/>
          <w:highlight w:val="none"/>
          <w:lang w:val="en-US" w:eastAsia="zh-CN"/>
        </w:rPr>
        <w:t>可以</w:t>
      </w:r>
      <w:r>
        <w:rPr>
          <w:rFonts w:hint="eastAsia" w:ascii="宋体" w:hAnsi="宋体" w:eastAsia="宋体" w:cs="宋体"/>
          <w:color w:val="auto"/>
          <w:sz w:val="24"/>
          <w:szCs w:val="24"/>
          <w:highlight w:val="none"/>
        </w:rPr>
        <w:t>参考磋商文件第五部分</w:t>
      </w:r>
      <w:r>
        <w:rPr>
          <w:rFonts w:hint="eastAsia" w:ascii="宋体" w:hAnsi="宋体" w:eastAsia="宋体" w:cs="宋体"/>
          <w:b/>
          <w:bCs/>
          <w:color w:val="auto"/>
          <w:sz w:val="24"/>
          <w:szCs w:val="24"/>
          <w:highlight w:val="none"/>
        </w:rPr>
        <w:t>响应文件格式</w:t>
      </w:r>
      <w:r>
        <w:rPr>
          <w:rFonts w:hint="eastAsia" w:ascii="宋体" w:hAnsi="宋体" w:eastAsia="宋体" w:cs="宋体"/>
          <w:color w:val="auto"/>
          <w:sz w:val="24"/>
          <w:szCs w:val="24"/>
          <w:highlight w:val="none"/>
        </w:rPr>
        <w:t xml:space="preserve">顺序编排响应文件。 </w:t>
      </w:r>
    </w:p>
    <w:p w14:paraId="6CA2C47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 </w:t>
      </w:r>
      <w:r>
        <w:rPr>
          <w:rFonts w:hint="eastAsia" w:ascii="宋体" w:hAnsi="宋体" w:eastAsia="宋体" w:cs="宋体"/>
          <w:color w:val="auto"/>
          <w:sz w:val="24"/>
          <w:szCs w:val="24"/>
          <w:highlight w:val="none"/>
        </w:rPr>
        <w:t xml:space="preserve">响应文件的语言及编写原则 </w:t>
      </w:r>
    </w:p>
    <w:p w14:paraId="021685D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11.1 </w:t>
      </w:r>
      <w:r>
        <w:rPr>
          <w:rFonts w:hint="eastAsia" w:ascii="宋体" w:hAnsi="宋体" w:eastAsia="宋体" w:cs="宋体"/>
          <w:color w:val="auto"/>
          <w:sz w:val="24"/>
          <w:szCs w:val="24"/>
          <w:highlight w:val="none"/>
        </w:rPr>
        <w:t>响应文件的语言：响应文件、供应商与</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就磋商项目的文件和来往信件，应以中文书写。供应商提供的支持文件、技术资料和印刷的文献可以用其他语言，但相应实质性内容须附有中文翻译本，在解释响应文件的修改内容时以中文翻译本为准。对中文翻译有异议的，以权威机构的译本为准。 </w:t>
      </w:r>
    </w:p>
    <w:p w14:paraId="3DFA538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11.2 </w:t>
      </w:r>
      <w:r>
        <w:rPr>
          <w:rFonts w:hint="eastAsia" w:ascii="宋体" w:hAnsi="宋体" w:eastAsia="宋体" w:cs="宋体"/>
          <w:color w:val="auto"/>
          <w:sz w:val="24"/>
          <w:szCs w:val="24"/>
          <w:highlight w:val="none"/>
        </w:rPr>
        <w:t xml:space="preserve">计量单位：除在磋商文件的技术规格中另有规定外，计量单位应使用中华人民共和国法定计量单位(国际单位制和国家选定的其他计量单位)。 </w:t>
      </w:r>
    </w:p>
    <w:p w14:paraId="7F6C98D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11.3 </w:t>
      </w:r>
      <w:r>
        <w:rPr>
          <w:rFonts w:hint="eastAsia" w:ascii="宋体" w:hAnsi="宋体" w:eastAsia="宋体" w:cs="宋体"/>
          <w:color w:val="auto"/>
          <w:sz w:val="24"/>
          <w:szCs w:val="24"/>
          <w:highlight w:val="none"/>
        </w:rPr>
        <w:t>供应商应完整、真实、准确地填写磋商文件中提供的磋商函、</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一览表(首次报价表)、</w:t>
      </w:r>
      <w:r>
        <w:rPr>
          <w:rFonts w:hint="eastAsia" w:ascii="宋体" w:hAnsi="宋体" w:eastAsia="宋体" w:cs="宋体"/>
          <w:color w:val="auto"/>
          <w:sz w:val="24"/>
          <w:szCs w:val="24"/>
          <w:highlight w:val="none"/>
          <w:lang w:eastAsia="zh-CN"/>
        </w:rPr>
        <w:t>报价明细表</w:t>
      </w:r>
      <w:r>
        <w:rPr>
          <w:rFonts w:hint="eastAsia" w:ascii="宋体" w:hAnsi="宋体" w:eastAsia="宋体" w:cs="宋体"/>
          <w:color w:val="auto"/>
          <w:sz w:val="24"/>
          <w:szCs w:val="24"/>
          <w:highlight w:val="none"/>
        </w:rPr>
        <w:t xml:space="preserve">（如适用）以及磋商文件中规定的其它所有内容。 </w:t>
      </w:r>
    </w:p>
    <w:p w14:paraId="31C19A0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11.4 </w:t>
      </w:r>
      <w:r>
        <w:rPr>
          <w:rFonts w:hint="eastAsia" w:ascii="宋体" w:hAnsi="宋体" w:eastAsia="宋体" w:cs="宋体"/>
          <w:color w:val="auto"/>
          <w:sz w:val="24"/>
          <w:szCs w:val="24"/>
          <w:highlight w:val="none"/>
        </w:rPr>
        <w:t xml:space="preserve">供应商对磋商文件中多个包组进行投标的，其响应文件的编制应当按每个包组的要求分别编制、装订和封装。供应商应对响应文件进装订，对未经装订的响应文件可能发生的文件散落或缺损，由此造成的后果和责任由供应商承担。 </w:t>
      </w:r>
    </w:p>
    <w:p w14:paraId="4D6E267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11.5 </w:t>
      </w:r>
      <w:r>
        <w:rPr>
          <w:rFonts w:hint="eastAsia" w:ascii="宋体" w:hAnsi="宋体" w:eastAsia="宋体" w:cs="宋体"/>
          <w:color w:val="auto"/>
          <w:sz w:val="24"/>
          <w:szCs w:val="24"/>
          <w:highlight w:val="none"/>
        </w:rPr>
        <w:t>供应商必须对响应文件所提供的全部资料的真实性承担法律责任，并无条件接受采购人、</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及监管部门等对其中任何资料进行核实的要求。 </w:t>
      </w:r>
    </w:p>
    <w:p w14:paraId="26D248D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11.6 </w:t>
      </w:r>
      <w:r>
        <w:rPr>
          <w:rFonts w:hint="eastAsia" w:ascii="宋体" w:hAnsi="宋体" w:eastAsia="宋体" w:cs="宋体"/>
          <w:color w:val="auto"/>
          <w:sz w:val="24"/>
          <w:szCs w:val="24"/>
          <w:highlight w:val="none"/>
        </w:rPr>
        <w:t xml:space="preserve">如果因为供应商的响应文件只填写和提供了本磋商文件要求的部分内容和附件，或没有提供磋商文件中所要求的全部资料及数据，由此造成的后果和责任由供应商承担。 </w:t>
      </w:r>
    </w:p>
    <w:p w14:paraId="2A6996F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 </w:t>
      </w:r>
      <w:r>
        <w:rPr>
          <w:rFonts w:hint="eastAsia" w:ascii="宋体" w:hAnsi="宋体" w:eastAsia="宋体" w:cs="宋体"/>
          <w:color w:val="auto"/>
          <w:sz w:val="24"/>
          <w:szCs w:val="24"/>
          <w:highlight w:val="none"/>
        </w:rPr>
        <w:t xml:space="preserve">首次报价 </w:t>
      </w:r>
    </w:p>
    <w:p w14:paraId="107302E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12.1 </w:t>
      </w:r>
      <w:r>
        <w:rPr>
          <w:rFonts w:hint="eastAsia" w:ascii="宋体" w:hAnsi="宋体" w:eastAsia="宋体" w:cs="宋体"/>
          <w:color w:val="auto"/>
          <w:sz w:val="24"/>
          <w:szCs w:val="24"/>
          <w:highlight w:val="none"/>
        </w:rPr>
        <w:t>供应商对所提供的</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 xml:space="preserve">均以人民币报价。 </w:t>
      </w:r>
    </w:p>
    <w:p w14:paraId="2540C05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12.2 </w:t>
      </w:r>
      <w:r>
        <w:rPr>
          <w:rFonts w:hint="eastAsia" w:ascii="宋体" w:hAnsi="宋体" w:eastAsia="宋体" w:cs="宋体"/>
          <w:color w:val="auto"/>
          <w:sz w:val="24"/>
          <w:szCs w:val="24"/>
          <w:highlight w:val="none"/>
        </w:rPr>
        <w:t xml:space="preserve">首次报价超过本项目预算金额的按无效响应处理。 </w:t>
      </w:r>
    </w:p>
    <w:p w14:paraId="4D06897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12.3 </w:t>
      </w:r>
      <w:r>
        <w:rPr>
          <w:rFonts w:hint="eastAsia" w:ascii="宋体" w:hAnsi="宋体" w:eastAsia="宋体" w:cs="宋体"/>
          <w:color w:val="auto"/>
          <w:sz w:val="24"/>
          <w:szCs w:val="24"/>
          <w:highlight w:val="none"/>
        </w:rPr>
        <w:t>供应商应按照“</w:t>
      </w:r>
      <w:r>
        <w:rPr>
          <w:rFonts w:hint="eastAsia" w:ascii="宋体" w:hAnsi="宋体" w:eastAsia="宋体" w:cs="宋体"/>
          <w:color w:val="auto"/>
          <w:sz w:val="24"/>
          <w:szCs w:val="24"/>
          <w:highlight w:val="none"/>
          <w:lang w:eastAsia="zh-CN"/>
        </w:rPr>
        <w:t>采购项目需求</w:t>
      </w:r>
      <w:r>
        <w:rPr>
          <w:rFonts w:hint="eastAsia" w:ascii="宋体" w:hAnsi="宋体" w:eastAsia="宋体" w:cs="宋体"/>
          <w:color w:val="auto"/>
          <w:sz w:val="24"/>
          <w:szCs w:val="24"/>
          <w:highlight w:val="none"/>
        </w:rPr>
        <w:t>”中采购项目技术或服务要求规定的内容、责任范围进行首次报价，并按《</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一览表（首次报价表）》的要求报出首次价格。首次报价总价中不得包含磋商文件要求以外的内容，否则，在评审时不予核减。首次报价总价中不得缺漏磋商文件所要求的内容，否则，被视为包含在首次报价总价中。《</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 xml:space="preserve">一览表（首次报价表）》中若出现免费项及赠送项则视同该部分价包含在总报价中。 </w:t>
      </w:r>
    </w:p>
    <w:p w14:paraId="6023483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 xml:space="preserve">12.4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标价的工程量清单</w:t>
      </w:r>
      <w:r>
        <w:rPr>
          <w:rFonts w:hint="eastAsia" w:ascii="宋体" w:hAnsi="宋体" w:eastAsia="宋体" w:cs="宋体"/>
          <w:color w:val="auto"/>
          <w:sz w:val="24"/>
          <w:szCs w:val="24"/>
          <w:highlight w:val="none"/>
        </w:rPr>
        <w:t>》内容应包含：</w:t>
      </w:r>
      <w:r>
        <w:rPr>
          <w:rFonts w:hint="eastAsia" w:ascii="宋体" w:hAnsi="宋体" w:eastAsia="宋体" w:cs="宋体"/>
          <w:color w:val="auto"/>
          <w:kern w:val="0"/>
          <w:sz w:val="24"/>
          <w:szCs w:val="24"/>
          <w:highlight w:val="none"/>
          <w:lang w:val="en-US" w:eastAsia="zh-CN" w:bidi="ar"/>
        </w:rPr>
        <w:t>具体内容及所需的表格，以</w:t>
      </w:r>
      <w:r>
        <w:rPr>
          <w:rFonts w:hint="eastAsia" w:cs="宋体"/>
          <w:color w:val="auto"/>
          <w:kern w:val="0"/>
          <w:sz w:val="24"/>
          <w:szCs w:val="24"/>
          <w:highlight w:val="none"/>
          <w:lang w:val="en-US" w:eastAsia="zh-CN" w:bidi="ar"/>
        </w:rPr>
        <w:t>磋商</w:t>
      </w:r>
      <w:r>
        <w:rPr>
          <w:rFonts w:hint="eastAsia" w:ascii="宋体" w:hAnsi="宋体" w:eastAsia="宋体" w:cs="宋体"/>
          <w:color w:val="auto"/>
          <w:kern w:val="0"/>
          <w:sz w:val="24"/>
          <w:szCs w:val="24"/>
          <w:highlight w:val="none"/>
          <w:lang w:val="en-US" w:eastAsia="zh-CN" w:bidi="ar"/>
        </w:rPr>
        <w:t>文件的“附件</w:t>
      </w:r>
      <w:r>
        <w:rPr>
          <w:rFonts w:hint="eastAsia"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工程量清单”</w:t>
      </w:r>
      <w:r>
        <w:rPr>
          <w:rFonts w:hint="eastAsia" w:cs="宋体"/>
          <w:color w:val="auto"/>
          <w:kern w:val="0"/>
          <w:sz w:val="24"/>
          <w:szCs w:val="24"/>
          <w:highlight w:val="none"/>
          <w:lang w:val="en-US" w:eastAsia="zh-CN" w:bidi="ar"/>
        </w:rPr>
        <w:t>及投标总价单</w:t>
      </w:r>
      <w:r>
        <w:rPr>
          <w:rFonts w:hint="eastAsia" w:ascii="宋体" w:hAnsi="宋体" w:eastAsia="宋体" w:cs="宋体"/>
          <w:color w:val="auto"/>
          <w:kern w:val="0"/>
          <w:sz w:val="24"/>
          <w:szCs w:val="24"/>
          <w:highlight w:val="none"/>
          <w:lang w:val="en-US" w:eastAsia="zh-CN" w:bidi="ar"/>
        </w:rPr>
        <w:t>为准</w:t>
      </w:r>
      <w:r>
        <w:rPr>
          <w:rFonts w:hint="eastAsia"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本项目</w:t>
      </w:r>
      <w:r>
        <w:rPr>
          <w:rFonts w:hint="eastAsia" w:cs="宋体"/>
          <w:color w:val="auto"/>
          <w:kern w:val="0"/>
          <w:sz w:val="24"/>
          <w:szCs w:val="24"/>
          <w:highlight w:val="none"/>
          <w:lang w:val="en-US" w:eastAsia="zh-CN" w:bidi="ar"/>
        </w:rPr>
        <w:t>磋商</w:t>
      </w:r>
      <w:r>
        <w:rPr>
          <w:rFonts w:hint="eastAsia" w:ascii="宋体" w:hAnsi="宋体" w:eastAsia="宋体" w:cs="宋体"/>
          <w:color w:val="auto"/>
          <w:kern w:val="0"/>
          <w:sz w:val="24"/>
          <w:szCs w:val="24"/>
          <w:highlight w:val="none"/>
          <w:lang w:val="en-US" w:eastAsia="zh-CN" w:bidi="ar"/>
        </w:rPr>
        <w:t>文件中投标总价单必须由投标单位注册造价工程师签字并盖专用章，否则视为不响应磋商文件。</w:t>
      </w:r>
    </w:p>
    <w:p w14:paraId="47F7470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12.5 </w:t>
      </w:r>
      <w:r>
        <w:rPr>
          <w:rFonts w:hint="eastAsia" w:ascii="宋体" w:hAnsi="宋体" w:eastAsia="宋体" w:cs="宋体"/>
          <w:color w:val="auto"/>
          <w:sz w:val="24"/>
          <w:szCs w:val="24"/>
          <w:highlight w:val="none"/>
        </w:rPr>
        <w:t>除</w:t>
      </w:r>
      <w:r>
        <w:rPr>
          <w:rFonts w:hint="eastAsia" w:ascii="宋体" w:hAnsi="宋体" w:eastAsia="宋体" w:cs="宋体"/>
          <w:b/>
          <w:bCs/>
          <w:color w:val="auto"/>
          <w:sz w:val="24"/>
          <w:szCs w:val="24"/>
          <w:highlight w:val="none"/>
        </w:rPr>
        <w:t>磋商须知前附表</w:t>
      </w:r>
      <w:r>
        <w:rPr>
          <w:rFonts w:hint="eastAsia" w:ascii="宋体" w:hAnsi="宋体" w:eastAsia="宋体" w:cs="宋体"/>
          <w:color w:val="auto"/>
          <w:sz w:val="24"/>
          <w:szCs w:val="24"/>
          <w:highlight w:val="none"/>
        </w:rPr>
        <w:t xml:space="preserve">中另有规定，供应商所报的磋商价在合同执行过程中是固定不变的，不得以任何理由予以变更。任何包含价格调整要求的磋商被认为是非实质性响应响应而予以拒绝。 </w:t>
      </w:r>
    </w:p>
    <w:p w14:paraId="0A89265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12.6 </w:t>
      </w:r>
      <w:r>
        <w:rPr>
          <w:rFonts w:hint="eastAsia" w:ascii="宋体" w:hAnsi="宋体" w:eastAsia="宋体" w:cs="宋体"/>
          <w:color w:val="auto"/>
          <w:sz w:val="24"/>
          <w:szCs w:val="24"/>
          <w:highlight w:val="none"/>
        </w:rPr>
        <w:t xml:space="preserve">除磋商须知前附表中允许有备选方案外，本次磋商不接受选择性报价，不接受具有附加条件的报价， 否则将被视为无效响应。 </w:t>
      </w:r>
    </w:p>
    <w:p w14:paraId="17B2F12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 </w:t>
      </w:r>
      <w:r>
        <w:rPr>
          <w:rFonts w:hint="eastAsia" w:ascii="宋体" w:hAnsi="宋体" w:eastAsia="宋体" w:cs="宋体"/>
          <w:color w:val="auto"/>
          <w:sz w:val="24"/>
          <w:szCs w:val="24"/>
          <w:highlight w:val="none"/>
        </w:rPr>
        <w:t xml:space="preserve">联合体投标 </w:t>
      </w:r>
    </w:p>
    <w:p w14:paraId="79005CB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13.1 </w:t>
      </w:r>
      <w:r>
        <w:rPr>
          <w:rFonts w:hint="eastAsia" w:ascii="宋体" w:hAnsi="宋体" w:eastAsia="宋体" w:cs="宋体"/>
          <w:color w:val="auto"/>
          <w:sz w:val="24"/>
          <w:szCs w:val="24"/>
          <w:highlight w:val="none"/>
        </w:rPr>
        <w:t xml:space="preserve">磋商文件第一部分“磋商邀请”中拒绝接受联合体投标的，则不接受联合体磋商。如果“磋商邀请” 中允许联合体投标的，则必须满足： </w:t>
      </w:r>
    </w:p>
    <w:p w14:paraId="06A036A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13.1.1 </w:t>
      </w:r>
      <w:r>
        <w:rPr>
          <w:rFonts w:hint="eastAsia" w:ascii="宋体" w:hAnsi="宋体" w:eastAsia="宋体" w:cs="宋体"/>
          <w:color w:val="auto"/>
          <w:sz w:val="24"/>
          <w:szCs w:val="24"/>
          <w:highlight w:val="none"/>
        </w:rPr>
        <w:t xml:space="preserve">以联合体形式参加磋商的，联合体各方均必须符合《中华人民共和国政府采购法》第二十二条规定，联合体中有同类资质的供应商按照联合体分工承担相同工作的，按照资质等级较低的供应商确定资质等级。  </w:t>
      </w:r>
    </w:p>
    <w:p w14:paraId="105E092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13.1.2 </w:t>
      </w:r>
      <w:r>
        <w:rPr>
          <w:rFonts w:hint="eastAsia" w:ascii="宋体" w:hAnsi="宋体" w:eastAsia="宋体" w:cs="宋体"/>
          <w:color w:val="auto"/>
          <w:sz w:val="24"/>
          <w:szCs w:val="24"/>
          <w:highlight w:val="none"/>
        </w:rPr>
        <w:t xml:space="preserve">联合体磋商的，必须提供各方签订的共同投标协议，明确约定各方承担的工作和相应的责任。联合体各方签订共同磋商协议后，不得再以自己名义单独在同一项目（或包组）中磋商，也不得组成新的联合体参加同一项目（或包组）磋商。 </w:t>
      </w:r>
    </w:p>
    <w:p w14:paraId="47BAD0C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13.1.3 </w:t>
      </w:r>
      <w:r>
        <w:rPr>
          <w:rFonts w:hint="eastAsia" w:ascii="宋体" w:hAnsi="宋体" w:eastAsia="宋体" w:cs="宋体"/>
          <w:color w:val="auto"/>
          <w:sz w:val="24"/>
          <w:szCs w:val="24"/>
          <w:highlight w:val="none"/>
        </w:rPr>
        <w:t xml:space="preserve">联合体磋商的，可以由联合体中的一方或者共同提交磋商保证金，以一方名义提交投磋商证金的，对联合体各方均具有约束力。 </w:t>
      </w:r>
    </w:p>
    <w:p w14:paraId="6741E9F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13.1.4 </w:t>
      </w:r>
      <w:r>
        <w:rPr>
          <w:rFonts w:hint="eastAsia" w:ascii="宋体" w:hAnsi="宋体" w:eastAsia="宋体" w:cs="宋体"/>
          <w:color w:val="auto"/>
          <w:sz w:val="24"/>
          <w:szCs w:val="24"/>
          <w:highlight w:val="none"/>
        </w:rPr>
        <w:t xml:space="preserve">联合体成交的，联合体各方应当共同与采购人签订合同。 </w:t>
      </w:r>
    </w:p>
    <w:p w14:paraId="10AB0A9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13.1.5 </w:t>
      </w:r>
      <w:r>
        <w:rPr>
          <w:rFonts w:hint="eastAsia" w:ascii="宋体" w:hAnsi="宋体" w:eastAsia="宋体" w:cs="宋体"/>
          <w:color w:val="auto"/>
          <w:sz w:val="24"/>
          <w:szCs w:val="24"/>
          <w:highlight w:val="none"/>
        </w:rPr>
        <w:t>联合体在报名登记时，提交经联合体各方盖章的联合体磋商协议，以确认联合体的牵头人及成员。</w:t>
      </w:r>
    </w:p>
    <w:p w14:paraId="0EEC42A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14 </w:t>
      </w:r>
      <w:r>
        <w:rPr>
          <w:rFonts w:hint="eastAsia" w:ascii="宋体" w:hAnsi="宋体" w:eastAsia="宋体" w:cs="宋体"/>
          <w:color w:val="auto"/>
          <w:sz w:val="24"/>
          <w:szCs w:val="24"/>
          <w:highlight w:val="none"/>
        </w:rPr>
        <w:t xml:space="preserve">证明供应商合格的资格文件 </w:t>
      </w:r>
    </w:p>
    <w:p w14:paraId="2BE35A4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14.1 </w:t>
      </w:r>
      <w:r>
        <w:rPr>
          <w:rFonts w:hint="eastAsia" w:ascii="宋体" w:hAnsi="宋体" w:eastAsia="宋体" w:cs="宋体"/>
          <w:color w:val="auto"/>
          <w:sz w:val="24"/>
          <w:szCs w:val="24"/>
          <w:highlight w:val="none"/>
        </w:rPr>
        <w:t xml:space="preserve">供应商应提交证明其有资格参加磋商和被确定为成交供应商后有能力履行合同的文件，以及证明其提供的合同项下，服务的合格性符合磋商文件规定的文件，并作为响应文件的一部分。如果供应商为联合体，应提交联合体各方的资格证明文件、共同磋商协议并注明主体方及各方拟承担的工作和责任。否则，将导致其响应无效。 </w:t>
      </w:r>
    </w:p>
    <w:p w14:paraId="255C7EC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14.2 </w:t>
      </w:r>
      <w:r>
        <w:rPr>
          <w:rFonts w:hint="eastAsia" w:ascii="宋体" w:hAnsi="宋体" w:eastAsia="宋体" w:cs="宋体"/>
          <w:color w:val="auto"/>
          <w:sz w:val="24"/>
          <w:szCs w:val="24"/>
          <w:highlight w:val="none"/>
        </w:rPr>
        <w:t>供应商提交的资格证明文件应满足第一部分“磋商</w:t>
      </w:r>
      <w:r>
        <w:rPr>
          <w:rFonts w:hint="eastAsia" w:cs="宋体"/>
          <w:color w:val="auto"/>
          <w:sz w:val="24"/>
          <w:szCs w:val="24"/>
          <w:highlight w:val="none"/>
          <w:lang w:val="en-US" w:eastAsia="zh-CN"/>
        </w:rPr>
        <w:t>公告</w:t>
      </w:r>
      <w:r>
        <w:rPr>
          <w:rFonts w:hint="eastAsia" w:ascii="宋体" w:hAnsi="宋体" w:eastAsia="宋体" w:cs="宋体"/>
          <w:color w:val="auto"/>
          <w:sz w:val="24"/>
          <w:szCs w:val="24"/>
          <w:highlight w:val="none"/>
        </w:rPr>
        <w:t xml:space="preserve">”供应商资格要求的全部条款。 </w:t>
      </w:r>
    </w:p>
    <w:p w14:paraId="3E15C6D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15 </w:t>
      </w:r>
      <w:r>
        <w:rPr>
          <w:rFonts w:hint="eastAsia" w:ascii="宋体" w:hAnsi="宋体" w:eastAsia="宋体" w:cs="宋体"/>
          <w:color w:val="auto"/>
          <w:sz w:val="24"/>
          <w:szCs w:val="24"/>
          <w:highlight w:val="none"/>
        </w:rPr>
        <w:t xml:space="preserve">证明标的的合格性和符合磋商文件规定的文件 </w:t>
      </w:r>
    </w:p>
    <w:p w14:paraId="4D944DB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15.1 </w:t>
      </w:r>
      <w:r>
        <w:rPr>
          <w:rFonts w:hint="eastAsia" w:ascii="宋体" w:hAnsi="宋体" w:eastAsia="宋体" w:cs="宋体"/>
          <w:color w:val="auto"/>
          <w:sz w:val="24"/>
          <w:szCs w:val="24"/>
          <w:highlight w:val="none"/>
        </w:rPr>
        <w:t>供应商应提交证明文件，证明其拟磋商的</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 xml:space="preserve">的合格性符合磋商文件规定。该证明文件作为响应文件的一部分。 </w:t>
      </w:r>
    </w:p>
    <w:p w14:paraId="0FD24E9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15.2 工程</w:t>
      </w:r>
      <w:r>
        <w:rPr>
          <w:rFonts w:hint="eastAsia" w:ascii="宋体" w:hAnsi="宋体" w:eastAsia="宋体" w:cs="宋体"/>
          <w:color w:val="auto"/>
          <w:sz w:val="24"/>
          <w:szCs w:val="24"/>
          <w:highlight w:val="none"/>
        </w:rPr>
        <w:t>合格性的证明文件应包括</w:t>
      </w:r>
      <w:r>
        <w:rPr>
          <w:rFonts w:hint="eastAsia" w:ascii="宋体" w:hAnsi="宋体" w:eastAsia="宋体" w:cs="宋体"/>
          <w:color w:val="auto"/>
          <w:sz w:val="24"/>
          <w:szCs w:val="24"/>
          <w:highlight w:val="none"/>
          <w:lang w:val="en-US" w:eastAsia="zh-CN"/>
        </w:rPr>
        <w:t>标价的工程量清单</w:t>
      </w:r>
      <w:r>
        <w:rPr>
          <w:rFonts w:hint="eastAsia" w:ascii="宋体" w:hAnsi="宋体" w:eastAsia="宋体" w:cs="宋体"/>
          <w:color w:val="auto"/>
          <w:sz w:val="24"/>
          <w:szCs w:val="24"/>
          <w:highlight w:val="none"/>
        </w:rPr>
        <w:t xml:space="preserve">中对货物和服务原产地的说明。 </w:t>
      </w:r>
    </w:p>
    <w:p w14:paraId="64ABA09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 xml:space="preserve">15.3 </w:t>
      </w:r>
      <w:r>
        <w:rPr>
          <w:rFonts w:hint="eastAsia" w:ascii="宋体" w:hAnsi="宋体" w:eastAsia="宋体" w:cs="宋体"/>
          <w:color w:val="auto"/>
          <w:sz w:val="24"/>
          <w:szCs w:val="24"/>
          <w:highlight w:val="none"/>
        </w:rPr>
        <w:t>证明</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 xml:space="preserve">与磋商文件的要求相一致的文件，可以是文字资料、图纸和数据，它包括： </w:t>
      </w:r>
    </w:p>
    <w:p w14:paraId="26F7C29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15.3.1 工程</w:t>
      </w:r>
      <w:r>
        <w:rPr>
          <w:rFonts w:hint="eastAsia" w:ascii="宋体" w:hAnsi="宋体" w:eastAsia="宋体" w:cs="宋体"/>
          <w:color w:val="auto"/>
          <w:sz w:val="24"/>
          <w:szCs w:val="24"/>
          <w:highlight w:val="none"/>
        </w:rPr>
        <w:t xml:space="preserve">主要技术指标和性能的详细说明； </w:t>
      </w:r>
    </w:p>
    <w:p w14:paraId="298892E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15.3.2 工程</w:t>
      </w:r>
      <w:r>
        <w:rPr>
          <w:rFonts w:hint="eastAsia" w:ascii="宋体" w:hAnsi="宋体" w:eastAsia="宋体" w:cs="宋体"/>
          <w:color w:val="auto"/>
          <w:sz w:val="24"/>
          <w:szCs w:val="24"/>
          <w:highlight w:val="none"/>
        </w:rPr>
        <w:t xml:space="preserve">正常使用所必须的备件和专用工具清单，包括备件和专用工具的货源及现行价格； </w:t>
      </w:r>
    </w:p>
    <w:p w14:paraId="313F1C0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15.3.3</w:t>
      </w:r>
      <w:r>
        <w:rPr>
          <w:rFonts w:hint="eastAsia" w:ascii="宋体" w:hAnsi="宋体" w:eastAsia="宋体" w:cs="宋体"/>
          <w:color w:val="auto"/>
          <w:sz w:val="24"/>
          <w:szCs w:val="24"/>
          <w:highlight w:val="none"/>
        </w:rPr>
        <w:t>对照磋商文件技术规格，逐条说明所提供</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 xml:space="preserve">已对磋商文件的技术规格作出了实质性的响应，并申明与技术规格条文的偏差和例外。对有具体参数要求的指标，供应商应提供所投设备的具体参数值。供应商在阐述时应注意磋商文件的技术规格中指出的工艺、材料和设备的标准。供应商在磋商中要实质上满足磋商文件的要求。 </w:t>
      </w:r>
    </w:p>
    <w:p w14:paraId="1D14449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16 </w:t>
      </w:r>
      <w:r>
        <w:rPr>
          <w:rFonts w:hint="eastAsia" w:ascii="宋体" w:hAnsi="宋体" w:eastAsia="宋体" w:cs="宋体"/>
          <w:color w:val="auto"/>
          <w:sz w:val="24"/>
          <w:szCs w:val="24"/>
          <w:highlight w:val="none"/>
        </w:rPr>
        <w:t xml:space="preserve">不允许偏离的实质性条款 </w:t>
      </w:r>
    </w:p>
    <w:p w14:paraId="37D3EFC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16.1 </w:t>
      </w:r>
      <w:r>
        <w:rPr>
          <w:rFonts w:hint="eastAsia" w:ascii="宋体" w:hAnsi="宋体" w:eastAsia="宋体" w:cs="宋体"/>
          <w:color w:val="auto"/>
          <w:sz w:val="24"/>
          <w:szCs w:val="24"/>
          <w:highlight w:val="none"/>
        </w:rPr>
        <w:t xml:space="preserve">响应文件必须对磋商文件中实质性条款的要求进行响应，不能出现负偏离，否则将导致响应无效。不允许负偏离的实质性条款如下： </w:t>
      </w:r>
    </w:p>
    <w:p w14:paraId="6030E0F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16.1.1 </w:t>
      </w:r>
      <w:r>
        <w:rPr>
          <w:rFonts w:hint="eastAsia" w:ascii="宋体" w:hAnsi="宋体" w:eastAsia="宋体" w:cs="宋体"/>
          <w:color w:val="auto"/>
          <w:sz w:val="24"/>
          <w:szCs w:val="24"/>
          <w:highlight w:val="none"/>
        </w:rPr>
        <w:t xml:space="preserve">加注“★部分”条款； </w:t>
      </w:r>
    </w:p>
    <w:p w14:paraId="7A9D6D8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16.1.2 </w:t>
      </w:r>
      <w:r>
        <w:rPr>
          <w:rFonts w:hint="eastAsia" w:ascii="宋体" w:hAnsi="宋体" w:eastAsia="宋体" w:cs="宋体"/>
          <w:color w:val="auto"/>
          <w:sz w:val="24"/>
          <w:szCs w:val="24"/>
          <w:highlight w:val="none"/>
        </w:rPr>
        <w:t xml:space="preserve">磋商文件规定的其他必须响应的内容。 </w:t>
      </w:r>
    </w:p>
    <w:p w14:paraId="2400497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16.2 </w:t>
      </w:r>
      <w:r>
        <w:rPr>
          <w:rFonts w:hint="eastAsia" w:ascii="宋体" w:hAnsi="宋体" w:eastAsia="宋体" w:cs="宋体"/>
          <w:color w:val="auto"/>
          <w:sz w:val="24"/>
          <w:szCs w:val="24"/>
          <w:highlight w:val="none"/>
        </w:rPr>
        <w:t>响应文件中技术规格、参数或其他内容优于磋商文件的要求视作正偏离，不构成响应无效，供应商对这种优于</w:t>
      </w:r>
      <w:r>
        <w:rPr>
          <w:rFonts w:hint="eastAsia" w:ascii="宋体" w:hAnsi="宋体" w:eastAsia="宋体" w:cs="宋体"/>
          <w:color w:val="auto"/>
          <w:sz w:val="24"/>
          <w:szCs w:val="24"/>
          <w:highlight w:val="none"/>
          <w:lang w:eastAsia="zh-CN"/>
        </w:rPr>
        <w:t>采购项目需求</w:t>
      </w:r>
      <w:r>
        <w:rPr>
          <w:rFonts w:hint="eastAsia" w:ascii="宋体" w:hAnsi="宋体" w:eastAsia="宋体" w:cs="宋体"/>
          <w:color w:val="auto"/>
          <w:sz w:val="24"/>
          <w:szCs w:val="24"/>
          <w:highlight w:val="none"/>
        </w:rPr>
        <w:t>要求的情况必须单独说明。</w:t>
      </w:r>
    </w:p>
    <w:p w14:paraId="38DB38D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 </w:t>
      </w:r>
      <w:r>
        <w:rPr>
          <w:rFonts w:hint="eastAsia" w:ascii="宋体" w:hAnsi="宋体" w:eastAsia="宋体" w:cs="宋体"/>
          <w:color w:val="auto"/>
          <w:sz w:val="24"/>
          <w:szCs w:val="24"/>
          <w:highlight w:val="none"/>
        </w:rPr>
        <w:t xml:space="preserve">磋商保证金 </w:t>
      </w:r>
    </w:p>
    <w:p w14:paraId="2B8C0E1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17.1 </w:t>
      </w:r>
      <w:r>
        <w:rPr>
          <w:rFonts w:hint="eastAsia" w:ascii="宋体" w:hAnsi="宋体" w:eastAsia="宋体" w:cs="宋体"/>
          <w:color w:val="auto"/>
          <w:sz w:val="24"/>
          <w:szCs w:val="24"/>
          <w:highlight w:val="none"/>
        </w:rPr>
        <w:t xml:space="preserve">供应商应按磋商须知前附表中规定的金额、期限缴纳磋商保证金，并作为其响应文件的组成部分。 </w:t>
      </w:r>
    </w:p>
    <w:p w14:paraId="69C65BA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17.2 采</w:t>
      </w:r>
      <w:r>
        <w:rPr>
          <w:rFonts w:hint="eastAsia" w:ascii="宋体" w:hAnsi="宋体" w:eastAsia="宋体" w:cs="宋体"/>
          <w:color w:val="auto"/>
          <w:sz w:val="24"/>
          <w:szCs w:val="24"/>
          <w:highlight w:val="none"/>
        </w:rPr>
        <w:t>购人或者</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应当在采购活动结束后退还供应商的磋商保证金，但因供应商自身原因导致无法及时退还的除外。未成交供应商的磋商保证金应当在成交通知书发出后5个工作日内退还，成交供应商的磋商保证金应当在采购合同签订后5个工作日内退还。 </w:t>
      </w:r>
    </w:p>
    <w:p w14:paraId="0B8FAFD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17.3 </w:t>
      </w:r>
      <w:r>
        <w:rPr>
          <w:rFonts w:hint="eastAsia" w:ascii="宋体" w:hAnsi="宋体" w:eastAsia="宋体" w:cs="宋体"/>
          <w:color w:val="auto"/>
          <w:sz w:val="24"/>
          <w:szCs w:val="24"/>
          <w:highlight w:val="none"/>
        </w:rPr>
        <w:t xml:space="preserve">有下列情形之一的，磋商保证金不予退还： </w:t>
      </w:r>
    </w:p>
    <w:p w14:paraId="79F3BD9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17.3.1 </w:t>
      </w:r>
      <w:r>
        <w:rPr>
          <w:rFonts w:hint="eastAsia" w:ascii="宋体" w:hAnsi="宋体" w:eastAsia="宋体" w:cs="宋体"/>
          <w:color w:val="auto"/>
          <w:sz w:val="24"/>
          <w:szCs w:val="24"/>
          <w:highlight w:val="none"/>
        </w:rPr>
        <w:t xml:space="preserve">供应商在提交响应文件截止时间后撤回响应文件的； </w:t>
      </w:r>
    </w:p>
    <w:p w14:paraId="2022B68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17.3.2 </w:t>
      </w:r>
      <w:r>
        <w:rPr>
          <w:rFonts w:hint="eastAsia" w:ascii="宋体" w:hAnsi="宋体" w:eastAsia="宋体" w:cs="宋体"/>
          <w:color w:val="auto"/>
          <w:sz w:val="24"/>
          <w:szCs w:val="24"/>
          <w:highlight w:val="none"/>
        </w:rPr>
        <w:t xml:space="preserve">供应商在响应文件中提供虚假材料的； </w:t>
      </w:r>
    </w:p>
    <w:p w14:paraId="0336931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17.3.3 </w:t>
      </w:r>
      <w:r>
        <w:rPr>
          <w:rFonts w:hint="eastAsia" w:ascii="宋体" w:hAnsi="宋体" w:eastAsia="宋体" w:cs="宋体"/>
          <w:color w:val="auto"/>
          <w:sz w:val="24"/>
          <w:szCs w:val="24"/>
          <w:highlight w:val="none"/>
        </w:rPr>
        <w:t xml:space="preserve">除因不可抗力或磋商文件认可的情形以外，成交供应商不与采购人签订合同的； </w:t>
      </w:r>
    </w:p>
    <w:p w14:paraId="619F3CF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17.3.4 </w:t>
      </w:r>
      <w:r>
        <w:rPr>
          <w:rFonts w:hint="eastAsia" w:ascii="宋体" w:hAnsi="宋体" w:eastAsia="宋体" w:cs="宋体"/>
          <w:color w:val="auto"/>
          <w:sz w:val="24"/>
          <w:szCs w:val="24"/>
          <w:highlight w:val="none"/>
        </w:rPr>
        <w:t xml:space="preserve">供应商与采购人、其他供应商恶意串通的； </w:t>
      </w:r>
    </w:p>
    <w:p w14:paraId="1967C54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17.3.5 </w:t>
      </w:r>
      <w:r>
        <w:rPr>
          <w:rFonts w:hint="eastAsia" w:ascii="宋体" w:hAnsi="宋体" w:eastAsia="宋体" w:cs="宋体"/>
          <w:color w:val="auto"/>
          <w:sz w:val="24"/>
          <w:szCs w:val="24"/>
          <w:highlight w:val="none"/>
        </w:rPr>
        <w:t xml:space="preserve">磋商文件规定的其他情形。 </w:t>
      </w:r>
    </w:p>
    <w:p w14:paraId="279F92A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 </w:t>
      </w:r>
      <w:r>
        <w:rPr>
          <w:rFonts w:hint="eastAsia" w:ascii="宋体" w:hAnsi="宋体" w:eastAsia="宋体" w:cs="宋体"/>
          <w:color w:val="auto"/>
          <w:sz w:val="24"/>
          <w:szCs w:val="24"/>
          <w:highlight w:val="none"/>
        </w:rPr>
        <w:t>磋商</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 xml:space="preserve">有效期 </w:t>
      </w:r>
    </w:p>
    <w:p w14:paraId="350EF14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18.1 </w:t>
      </w:r>
      <w:r>
        <w:rPr>
          <w:rFonts w:hint="eastAsia" w:ascii="宋体" w:hAnsi="宋体" w:eastAsia="宋体" w:cs="宋体"/>
          <w:color w:val="auto"/>
          <w:sz w:val="24"/>
          <w:szCs w:val="24"/>
          <w:highlight w:val="none"/>
        </w:rPr>
        <w:t>响应文件的有效期</w:t>
      </w:r>
      <w:r>
        <w:rPr>
          <w:rFonts w:hint="eastAsia" w:ascii="宋体" w:hAnsi="宋体" w:eastAsia="宋体" w:cs="宋体"/>
          <w:color w:val="auto"/>
          <w:sz w:val="24"/>
          <w:szCs w:val="24"/>
          <w:highlight w:val="none"/>
          <w:lang w:val="en-US" w:eastAsia="zh-CN"/>
        </w:rPr>
        <w:t>见磋商须知前附表之规定</w:t>
      </w:r>
      <w:r>
        <w:rPr>
          <w:rFonts w:hint="eastAsia" w:ascii="宋体" w:hAnsi="宋体" w:eastAsia="宋体" w:cs="宋体"/>
          <w:color w:val="auto"/>
          <w:sz w:val="24"/>
          <w:szCs w:val="24"/>
          <w:highlight w:val="none"/>
        </w:rPr>
        <w:t>，响应文件应在此期限内保持有效。磋商</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 xml:space="preserve">有效期不足的响应文件将被视为非实质性响应，视为无效响应文件。 </w:t>
      </w:r>
    </w:p>
    <w:p w14:paraId="4C80A19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18.2 </w:t>
      </w:r>
      <w:r>
        <w:rPr>
          <w:rFonts w:hint="eastAsia" w:ascii="宋体" w:hAnsi="宋体" w:eastAsia="宋体" w:cs="宋体"/>
          <w:color w:val="auto"/>
          <w:sz w:val="24"/>
          <w:szCs w:val="24"/>
          <w:highlight w:val="none"/>
        </w:rPr>
        <w:t>特殊情况下，在原磋商</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有效期截止之前，</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可要求供应商延长磋商</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有效期。这种要求与答复均应以书面形式提交。供应商可拒绝</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的这种要求，其磋商保证金将被无息退还，但其磋商在原磋商</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有效期期满后将不再有效。同意延长磋商</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 xml:space="preserve">有效期的供应商将不会被要求和允许修正其磋商，而只会被要求相应地延长其磋商保证金的有效期。在这种情况下，本须知有关磋商保证金的退还和没收的规定将在延长了的有效期内继续有效。 </w:t>
      </w:r>
    </w:p>
    <w:p w14:paraId="175193B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19 </w:t>
      </w:r>
      <w:r>
        <w:rPr>
          <w:rFonts w:hint="eastAsia" w:ascii="宋体" w:hAnsi="宋体" w:eastAsia="宋体" w:cs="宋体"/>
          <w:color w:val="auto"/>
          <w:sz w:val="24"/>
          <w:szCs w:val="24"/>
          <w:highlight w:val="none"/>
        </w:rPr>
        <w:t xml:space="preserve">响应文件的式样和签署 </w:t>
      </w:r>
    </w:p>
    <w:p w14:paraId="6A956E5B">
      <w:pPr>
        <w:spacing w:line="440" w:lineRule="exact"/>
        <w:ind w:firstLine="480" w:firstLineChars="200"/>
        <w:rPr>
          <w:rFonts w:hint="eastAsia"/>
          <w:color w:val="auto"/>
          <w:sz w:val="24"/>
          <w:szCs w:val="24"/>
          <w:highlight w:val="none"/>
        </w:rPr>
      </w:pPr>
      <w:r>
        <w:rPr>
          <w:rFonts w:hint="eastAsia" w:ascii="宋体" w:hAnsi="宋体" w:eastAsia="宋体" w:cs="宋体"/>
          <w:color w:val="auto"/>
          <w:sz w:val="24"/>
          <w:szCs w:val="24"/>
          <w:highlight w:val="none"/>
          <w:lang w:val="en-US" w:eastAsia="zh-CN"/>
        </w:rPr>
        <w:t xml:space="preserve">19.1 </w:t>
      </w:r>
      <w:r>
        <w:rPr>
          <w:rFonts w:hint="eastAsia" w:ascii="宋体" w:hAnsi="宋体" w:eastAsia="宋体" w:cs="宋体"/>
          <w:color w:val="auto"/>
          <w:sz w:val="24"/>
          <w:szCs w:val="24"/>
          <w:highlight w:val="none"/>
        </w:rPr>
        <w:t>响应文件的式样：</w:t>
      </w:r>
      <w:r>
        <w:rPr>
          <w:rFonts w:hint="eastAsia"/>
          <w:color w:val="auto"/>
          <w:sz w:val="24"/>
          <w:szCs w:val="24"/>
          <w:highlight w:val="none"/>
        </w:rPr>
        <w:t xml:space="preserve">在政采云平台上传加密的电子响应文件。 </w:t>
      </w:r>
    </w:p>
    <w:p w14:paraId="0F62AC3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19.2 </w:t>
      </w:r>
      <w:r>
        <w:rPr>
          <w:rFonts w:hint="eastAsia" w:ascii="宋体" w:hAnsi="宋体" w:eastAsia="宋体" w:cs="宋体"/>
          <w:color w:val="auto"/>
          <w:sz w:val="24"/>
          <w:szCs w:val="24"/>
          <w:highlight w:val="none"/>
        </w:rPr>
        <w:t xml:space="preserve">响应文件的签署及盖章： </w:t>
      </w:r>
    </w:p>
    <w:p w14:paraId="08E4D92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19.2.1 </w:t>
      </w:r>
      <w:r>
        <w:rPr>
          <w:rFonts w:hint="eastAsia" w:ascii="宋体" w:hAnsi="宋体" w:eastAsia="宋体" w:cs="宋体"/>
          <w:color w:val="auto"/>
          <w:sz w:val="24"/>
          <w:szCs w:val="24"/>
          <w:highlight w:val="none"/>
        </w:rPr>
        <w:t xml:space="preserve">响应文件要求签名或盖章的内容（磋商文件第五部分“响应文件格式”中要求法人代表或授权委托人签名或盖章）必须由法定代表人或经其正式授权的代表签字或盖章，由授权代表签字或盖章的， 必须将书面形式出具的《法定代表人授权委托书》附在响应文件中。 </w:t>
      </w:r>
    </w:p>
    <w:p w14:paraId="3AC8BD8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lang w:val="en-US" w:eastAsia="zh-CN"/>
        </w:rPr>
        <w:t>19.2.2</w:t>
      </w:r>
      <w:r>
        <w:rPr>
          <w:rFonts w:hint="eastAsia"/>
          <w:color w:val="auto"/>
          <w:sz w:val="24"/>
          <w:szCs w:val="24"/>
          <w:highlight w:val="none"/>
        </w:rPr>
        <w:t>响应文件要求盖公章的内容（磋商文件第五部分“响应文件格式”中要求盖供应商公章）必须加盖供应商公章。</w:t>
      </w:r>
    </w:p>
    <w:p w14:paraId="1D8EB3C8">
      <w:pPr>
        <w:rPr>
          <w:rFonts w:hint="eastAsia" w:ascii="宋体" w:hAnsi="宋体" w:eastAsia="宋体" w:cs="宋体"/>
          <w:color w:val="auto"/>
          <w:sz w:val="24"/>
          <w:szCs w:val="24"/>
          <w:highlight w:val="none"/>
        </w:rPr>
      </w:pPr>
    </w:p>
    <w:p w14:paraId="3741AC98">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811" w:firstLineChars="100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响应文件的递交</w:t>
      </w:r>
    </w:p>
    <w:p w14:paraId="09CC1A5F">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3080" w:leftChars="0" w:right="0" w:rightChars="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w:t>
      </w:r>
    </w:p>
    <w:p w14:paraId="363ECEEB">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20 </w:t>
      </w:r>
      <w:r>
        <w:rPr>
          <w:rFonts w:hint="eastAsia" w:cs="宋体"/>
          <w:b/>
          <w:bCs/>
          <w:color w:val="auto"/>
          <w:sz w:val="24"/>
          <w:szCs w:val="24"/>
          <w:highlight w:val="none"/>
          <w:lang w:val="en-US" w:eastAsia="zh-CN"/>
        </w:rPr>
        <w:t>加密 电子响应文件</w:t>
      </w:r>
      <w:r>
        <w:rPr>
          <w:rFonts w:hint="eastAsia" w:ascii="宋体" w:hAnsi="宋体" w:eastAsia="宋体" w:cs="宋体"/>
          <w:b/>
          <w:bCs/>
          <w:color w:val="auto"/>
          <w:sz w:val="24"/>
          <w:szCs w:val="24"/>
          <w:highlight w:val="none"/>
        </w:rPr>
        <w:t xml:space="preserve"> </w:t>
      </w:r>
    </w:p>
    <w:p w14:paraId="1F4D43EF">
      <w:pPr>
        <w:spacing w:line="440" w:lineRule="exact"/>
        <w:ind w:firstLine="480" w:firstLineChars="200"/>
        <w:rPr>
          <w:rFonts w:hint="eastAsia"/>
          <w:color w:val="auto"/>
          <w:sz w:val="24"/>
          <w:szCs w:val="24"/>
          <w:highlight w:val="none"/>
        </w:rPr>
      </w:pPr>
      <w:r>
        <w:rPr>
          <w:rFonts w:hint="eastAsia"/>
          <w:color w:val="auto"/>
          <w:sz w:val="24"/>
          <w:szCs w:val="24"/>
          <w:highlight w:val="none"/>
          <w:lang w:val="en-US"/>
        </w:rPr>
        <w:t>20.1</w:t>
      </w:r>
      <w:r>
        <w:rPr>
          <w:rFonts w:hint="eastAsia"/>
          <w:color w:val="auto"/>
          <w:sz w:val="24"/>
          <w:szCs w:val="24"/>
          <w:highlight w:val="none"/>
          <w:lang w:val="en-US" w:eastAsia="zh-CN"/>
        </w:rPr>
        <w:t xml:space="preserve"> 本项目采用不见面开标，供应商须在投标截止时间前通过CA在政采云平台上传加密的电子响应文件。供应商对不见面开评标系统的技术操作咨询，可通过 （https://www.xjca.com.cn/）或下载“新疆政务通”APP自行进行申领。自助查询，也可在政采云帮助中心常见问题解答和操作流程讲解视频中自助查询，网址为：（https://www.xjca.com.cn/）“项目采购”—“操作流程-电子招投标”— “政府采购项目电子交易管理操作指南-供应商”版面获取操作指南，同时对所有无法解决的问题可通过钉钉群及政采云在线客服获取服务支持。</w:t>
      </w:r>
      <w:r>
        <w:rPr>
          <w:rFonts w:hint="eastAsia"/>
          <w:color w:val="auto"/>
          <w:sz w:val="24"/>
          <w:szCs w:val="24"/>
          <w:highlight w:val="none"/>
        </w:rPr>
        <w:t xml:space="preserve"> </w:t>
      </w:r>
    </w:p>
    <w:p w14:paraId="49A3F86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21 </w:t>
      </w:r>
      <w:r>
        <w:rPr>
          <w:rFonts w:hint="eastAsia" w:ascii="宋体" w:hAnsi="宋体" w:eastAsia="宋体" w:cs="宋体"/>
          <w:b/>
          <w:bCs/>
          <w:color w:val="auto"/>
          <w:sz w:val="24"/>
          <w:szCs w:val="24"/>
          <w:highlight w:val="none"/>
        </w:rPr>
        <w:t>磋商响应截止</w:t>
      </w:r>
      <w:r>
        <w:rPr>
          <w:rFonts w:hint="eastAsia" w:ascii="宋体" w:hAnsi="宋体" w:eastAsia="宋体" w:cs="宋体"/>
          <w:color w:val="auto"/>
          <w:sz w:val="24"/>
          <w:szCs w:val="24"/>
          <w:highlight w:val="none"/>
        </w:rPr>
        <w:t xml:space="preserve"> </w:t>
      </w:r>
    </w:p>
    <w:p w14:paraId="29FD2E92">
      <w:pPr>
        <w:spacing w:line="440" w:lineRule="exact"/>
        <w:ind w:firstLine="480" w:firstLineChars="200"/>
        <w:rPr>
          <w:rFonts w:hint="eastAsia" w:eastAsia="宋体"/>
          <w:color w:val="auto"/>
          <w:sz w:val="24"/>
          <w:szCs w:val="24"/>
          <w:highlight w:val="none"/>
          <w:lang w:eastAsia="zh-CN"/>
        </w:rPr>
      </w:pPr>
      <w:r>
        <w:rPr>
          <w:rFonts w:hint="eastAsia"/>
          <w:color w:val="auto"/>
          <w:sz w:val="24"/>
          <w:szCs w:val="24"/>
          <w:highlight w:val="none"/>
          <w:lang w:val="en-US"/>
        </w:rPr>
        <w:t xml:space="preserve">21.1 </w:t>
      </w:r>
      <w:r>
        <w:rPr>
          <w:rFonts w:hint="eastAsia"/>
          <w:color w:val="auto"/>
          <w:sz w:val="24"/>
          <w:szCs w:val="24"/>
          <w:highlight w:val="none"/>
        </w:rPr>
        <w:t>供应商应在磋商文件第一部分“磋商</w:t>
      </w:r>
      <w:r>
        <w:rPr>
          <w:rFonts w:hint="eastAsia"/>
          <w:color w:val="auto"/>
          <w:sz w:val="24"/>
          <w:szCs w:val="24"/>
          <w:highlight w:val="none"/>
          <w:lang w:val="en-US" w:eastAsia="zh-CN"/>
        </w:rPr>
        <w:t>公告</w:t>
      </w:r>
      <w:r>
        <w:rPr>
          <w:rFonts w:hint="eastAsia"/>
          <w:color w:val="auto"/>
          <w:sz w:val="24"/>
          <w:szCs w:val="24"/>
          <w:highlight w:val="none"/>
        </w:rPr>
        <w:t>”中规定的截止日期和时间前将</w:t>
      </w:r>
      <w:r>
        <w:rPr>
          <w:rFonts w:hint="eastAsia"/>
          <w:color w:val="auto"/>
          <w:sz w:val="24"/>
          <w:szCs w:val="24"/>
          <w:highlight w:val="none"/>
          <w:lang w:val="en-US" w:eastAsia="zh-CN"/>
        </w:rPr>
        <w:t>电子</w:t>
      </w:r>
      <w:r>
        <w:rPr>
          <w:rFonts w:hint="eastAsia"/>
          <w:color w:val="auto"/>
          <w:sz w:val="24"/>
          <w:szCs w:val="24"/>
          <w:highlight w:val="none"/>
        </w:rPr>
        <w:t>响应文件</w:t>
      </w:r>
      <w:r>
        <w:rPr>
          <w:rFonts w:hint="eastAsia"/>
          <w:color w:val="auto"/>
          <w:sz w:val="24"/>
          <w:szCs w:val="24"/>
          <w:highlight w:val="none"/>
          <w:lang w:val="en-US" w:eastAsia="zh-CN"/>
        </w:rPr>
        <w:t>递交上传</w:t>
      </w:r>
      <w:r>
        <w:rPr>
          <w:rFonts w:hint="eastAsia"/>
          <w:color w:val="auto"/>
          <w:sz w:val="24"/>
          <w:szCs w:val="24"/>
          <w:highlight w:val="none"/>
        </w:rPr>
        <w:t>至新疆政府采购云平台</w:t>
      </w:r>
      <w:r>
        <w:rPr>
          <w:rFonts w:hint="eastAsia"/>
          <w:color w:val="auto"/>
          <w:sz w:val="24"/>
          <w:szCs w:val="24"/>
          <w:highlight w:val="none"/>
          <w:lang w:val="en-US" w:eastAsia="zh-CN"/>
        </w:rPr>
        <w:t>（https://www.xjca.com.cn/）</w:t>
      </w:r>
      <w:r>
        <w:rPr>
          <w:rFonts w:hint="eastAsia"/>
          <w:color w:val="auto"/>
          <w:sz w:val="24"/>
          <w:szCs w:val="24"/>
          <w:highlight w:val="none"/>
          <w:lang w:eastAsia="zh-CN"/>
        </w:rPr>
        <w:t>。</w:t>
      </w:r>
    </w:p>
    <w:p w14:paraId="341AA77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21.2 </w:t>
      </w:r>
      <w:r>
        <w:rPr>
          <w:rFonts w:hint="eastAsia" w:ascii="宋体" w:hAnsi="宋体" w:eastAsia="宋体" w:cs="宋体"/>
          <w:color w:val="auto"/>
          <w:sz w:val="24"/>
          <w:szCs w:val="24"/>
          <w:highlight w:val="none"/>
        </w:rPr>
        <w:t>为使供应商准备响应时有充分时间对磋商文件的修改部分进行研究，采购人或者</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可适当推迟响应截止期，但应发布公告并书面通知所有获取磋商文件的潜在供应商。在此情况下，采购人或者</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和供应商受响应截止期制约的所有权利和义务均应延长至新的截止期。 </w:t>
      </w:r>
    </w:p>
    <w:p w14:paraId="0C21A07E">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21.3 </w:t>
      </w:r>
      <w:r>
        <w:rPr>
          <w:rFonts w:hint="eastAsia"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和</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将拒收在磋商文件规定的响应截止时间之后送达的响应文件及未报名获取磋商文件的供应商递交的响应文件。 </w:t>
      </w:r>
    </w:p>
    <w:p w14:paraId="7151DD03">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22 </w:t>
      </w:r>
      <w:r>
        <w:rPr>
          <w:rFonts w:hint="eastAsia" w:ascii="宋体" w:hAnsi="宋体" w:eastAsia="宋体" w:cs="宋体"/>
          <w:b/>
          <w:bCs/>
          <w:color w:val="auto"/>
          <w:sz w:val="24"/>
          <w:szCs w:val="24"/>
          <w:highlight w:val="none"/>
        </w:rPr>
        <w:t>响应文件的修改和撤回</w:t>
      </w:r>
      <w:r>
        <w:rPr>
          <w:rFonts w:hint="eastAsia" w:ascii="宋体" w:hAnsi="宋体" w:eastAsia="宋体" w:cs="宋体"/>
          <w:color w:val="auto"/>
          <w:sz w:val="24"/>
          <w:szCs w:val="24"/>
          <w:highlight w:val="none"/>
        </w:rPr>
        <w:t xml:space="preserve"> </w:t>
      </w:r>
    </w:p>
    <w:p w14:paraId="10983E9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供应商在响应文件提交截止期前，可以对所提交的响应文件进行补充、修改或者撤回，并书面通知采购单位。补充、修改的内容应当按磋商文件要求签署、盖章，并作为响应文件的组成部分。补充、修改的内容和响应文件不一致的，以补充、修改的内容为准。在响应文件递交截止期时点之后，磋商供应商不得撤回其响应文件，不得对其响应文件做任何修改和补充。</w:t>
      </w:r>
    </w:p>
    <w:p w14:paraId="7E4C5F0E">
      <w:pPr>
        <w:pStyle w:val="9"/>
        <w:rPr>
          <w:rFonts w:hint="eastAsia"/>
          <w:color w:val="auto"/>
          <w:highlight w:val="none"/>
        </w:rPr>
      </w:pPr>
    </w:p>
    <w:p w14:paraId="2BC60480">
      <w:pPr>
        <w:keepNext w:val="0"/>
        <w:keepLines w:val="0"/>
        <w:pageBreakBefore w:val="0"/>
        <w:widowControl w:val="0"/>
        <w:numPr>
          <w:ilvl w:val="0"/>
          <w:numId w:val="5"/>
        </w:numPr>
        <w:kinsoku/>
        <w:wordWrap/>
        <w:overflowPunct/>
        <w:topLinePunct w:val="0"/>
        <w:autoSpaceDE w:val="0"/>
        <w:autoSpaceDN w:val="0"/>
        <w:bidi w:val="0"/>
        <w:adjustRightInd/>
        <w:snapToGrid/>
        <w:spacing w:line="440" w:lineRule="exact"/>
        <w:ind w:right="0" w:right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磋商</w:t>
      </w:r>
      <w:r>
        <w:rPr>
          <w:rFonts w:hint="eastAsia" w:ascii="宋体" w:hAnsi="宋体" w:eastAsia="宋体" w:cs="宋体"/>
          <w:b/>
          <w:bCs/>
          <w:color w:val="auto"/>
          <w:sz w:val="28"/>
          <w:szCs w:val="28"/>
          <w:highlight w:val="none"/>
          <w:lang w:val="en-US" w:eastAsia="zh-CN"/>
        </w:rPr>
        <w:t>程序</w:t>
      </w:r>
    </w:p>
    <w:p w14:paraId="29FBA749">
      <w:pPr>
        <w:pStyle w:val="9"/>
        <w:numPr>
          <w:ilvl w:val="0"/>
          <w:numId w:val="0"/>
        </w:numPr>
        <w:ind w:right="0" w:rightChars="0"/>
        <w:rPr>
          <w:rFonts w:hint="eastAsia"/>
          <w:color w:val="auto"/>
          <w:highlight w:val="none"/>
          <w:lang w:eastAsia="zh-CN"/>
        </w:rPr>
      </w:pPr>
    </w:p>
    <w:p w14:paraId="74017B68">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 开启</w:t>
      </w:r>
    </w:p>
    <w:p w14:paraId="160F00AB">
      <w:pPr>
        <w:pageBreakBefore w:val="0"/>
        <w:kinsoku/>
        <w:wordWrap/>
        <w:overflowPunct/>
        <w:topLinePunct w:val="0"/>
        <w:bidi w:val="0"/>
        <w:snapToGrid/>
        <w:spacing w:line="400" w:lineRule="exact"/>
        <w:ind w:firstLine="480" w:firstLineChars="200"/>
        <w:textAlignment w:val="auto"/>
        <w:rPr>
          <w:rFonts w:hint="eastAsia"/>
          <w:color w:val="auto"/>
          <w:sz w:val="24"/>
          <w:szCs w:val="24"/>
          <w:highlight w:val="none"/>
        </w:rPr>
      </w:pPr>
      <w:r>
        <w:rPr>
          <w:rFonts w:hint="eastAsia"/>
          <w:color w:val="auto"/>
          <w:sz w:val="24"/>
          <w:szCs w:val="24"/>
          <w:highlight w:val="none"/>
          <w:lang w:val="en-US"/>
        </w:rPr>
        <w:t>23.1 开启会议</w:t>
      </w:r>
      <w:r>
        <w:rPr>
          <w:rFonts w:hint="eastAsia"/>
          <w:color w:val="auto"/>
          <w:sz w:val="24"/>
          <w:szCs w:val="24"/>
          <w:highlight w:val="none"/>
        </w:rPr>
        <w:t>由</w:t>
      </w:r>
      <w:r>
        <w:rPr>
          <w:rFonts w:hint="eastAsia"/>
          <w:color w:val="auto"/>
          <w:sz w:val="24"/>
          <w:szCs w:val="24"/>
          <w:highlight w:val="none"/>
          <w:lang w:val="en-US" w:eastAsia="zh-CN"/>
        </w:rPr>
        <w:t>采购人和招标代理公司</w:t>
      </w:r>
      <w:r>
        <w:rPr>
          <w:rFonts w:hint="eastAsia"/>
          <w:color w:val="auto"/>
          <w:sz w:val="24"/>
          <w:szCs w:val="24"/>
          <w:highlight w:val="none"/>
        </w:rPr>
        <w:t>主持并在磋商邀请中规定的日期、时间和地点组织公开</w:t>
      </w:r>
      <w:r>
        <w:rPr>
          <w:rFonts w:hint="eastAsia"/>
          <w:color w:val="auto"/>
          <w:sz w:val="24"/>
          <w:szCs w:val="24"/>
          <w:highlight w:val="none"/>
          <w:lang w:val="en-US"/>
        </w:rPr>
        <w:t>开启</w:t>
      </w:r>
      <w:r>
        <w:rPr>
          <w:rFonts w:hint="eastAsia"/>
          <w:color w:val="auto"/>
          <w:sz w:val="24"/>
          <w:szCs w:val="24"/>
          <w:highlight w:val="none"/>
        </w:rPr>
        <w:t>。允许</w:t>
      </w:r>
      <w:r>
        <w:rPr>
          <w:rFonts w:hint="eastAsia"/>
          <w:color w:val="auto"/>
          <w:sz w:val="24"/>
          <w:szCs w:val="24"/>
          <w:highlight w:val="none"/>
          <w:lang w:val="en-US"/>
        </w:rPr>
        <w:t>供应商</w:t>
      </w:r>
      <w:r>
        <w:rPr>
          <w:rFonts w:hint="eastAsia"/>
          <w:color w:val="auto"/>
          <w:sz w:val="24"/>
          <w:szCs w:val="24"/>
          <w:highlight w:val="none"/>
        </w:rPr>
        <w:t>的法定代表人或其授权人参加</w:t>
      </w:r>
      <w:r>
        <w:rPr>
          <w:rFonts w:hint="eastAsia"/>
          <w:color w:val="auto"/>
          <w:sz w:val="24"/>
          <w:szCs w:val="24"/>
          <w:highlight w:val="none"/>
          <w:lang w:val="en-US"/>
        </w:rPr>
        <w:t>开启会议</w:t>
      </w:r>
      <w:r>
        <w:rPr>
          <w:rFonts w:hint="eastAsia"/>
          <w:color w:val="auto"/>
          <w:sz w:val="24"/>
          <w:szCs w:val="24"/>
          <w:highlight w:val="none"/>
        </w:rPr>
        <w:t>。</w:t>
      </w:r>
    </w:p>
    <w:p w14:paraId="18A82907">
      <w:pPr>
        <w:spacing w:line="440" w:lineRule="exact"/>
        <w:ind w:firstLine="480" w:firstLineChars="200"/>
        <w:rPr>
          <w:rFonts w:hint="eastAsia"/>
          <w:color w:val="auto"/>
          <w:sz w:val="24"/>
          <w:szCs w:val="24"/>
          <w:highlight w:val="none"/>
          <w:lang w:val="en-US"/>
        </w:rPr>
      </w:pPr>
      <w:r>
        <w:rPr>
          <w:rFonts w:hint="eastAsia"/>
          <w:color w:val="auto"/>
          <w:sz w:val="24"/>
          <w:szCs w:val="24"/>
          <w:highlight w:val="none"/>
          <w:lang w:val="en-US"/>
        </w:rPr>
        <w:t xml:space="preserve">23.2 </w:t>
      </w:r>
      <w:r>
        <w:rPr>
          <w:rFonts w:hint="eastAsia"/>
          <w:color w:val="auto"/>
          <w:sz w:val="24"/>
          <w:szCs w:val="24"/>
          <w:highlight w:val="none"/>
          <w:lang w:val="en-US" w:eastAsia="zh-CN"/>
        </w:rPr>
        <w:t>电子响应文件解密，</w:t>
      </w:r>
      <w:r>
        <w:rPr>
          <w:rFonts w:hint="eastAsia"/>
          <w:color w:val="auto"/>
          <w:sz w:val="24"/>
          <w:szCs w:val="24"/>
          <w:highlight w:val="none"/>
        </w:rPr>
        <w:t>由</w:t>
      </w:r>
      <w:r>
        <w:rPr>
          <w:rFonts w:hint="eastAsia"/>
          <w:color w:val="auto"/>
          <w:sz w:val="24"/>
          <w:szCs w:val="24"/>
          <w:highlight w:val="none"/>
          <w:lang w:val="en-US" w:eastAsia="zh-CN"/>
        </w:rPr>
        <w:t>招标代理公司</w:t>
      </w:r>
      <w:r>
        <w:rPr>
          <w:rFonts w:hint="eastAsia"/>
          <w:color w:val="auto"/>
          <w:sz w:val="24"/>
          <w:szCs w:val="24"/>
          <w:highlight w:val="none"/>
          <w:lang w:val="en-US"/>
        </w:rPr>
        <w:t>工作人员</w:t>
      </w:r>
      <w:r>
        <w:rPr>
          <w:rFonts w:hint="eastAsia"/>
          <w:color w:val="auto"/>
          <w:sz w:val="24"/>
          <w:szCs w:val="24"/>
          <w:highlight w:val="none"/>
          <w:lang w:val="en-US" w:eastAsia="zh-CN"/>
        </w:rPr>
        <w:t>开启解密</w:t>
      </w:r>
      <w:r>
        <w:rPr>
          <w:rFonts w:hint="eastAsia"/>
          <w:color w:val="auto"/>
          <w:sz w:val="24"/>
          <w:szCs w:val="24"/>
          <w:highlight w:val="none"/>
          <w:lang w:val="en-US"/>
        </w:rPr>
        <w:t>。</w:t>
      </w:r>
    </w:p>
    <w:p w14:paraId="354B19D4">
      <w:pPr>
        <w:spacing w:line="440" w:lineRule="exact"/>
        <w:ind w:firstLine="480" w:firstLineChars="200"/>
        <w:rPr>
          <w:rFonts w:hint="eastAsia"/>
          <w:color w:val="auto"/>
          <w:sz w:val="24"/>
          <w:szCs w:val="24"/>
          <w:highlight w:val="none"/>
        </w:rPr>
      </w:pPr>
      <w:r>
        <w:rPr>
          <w:rFonts w:hint="eastAsia"/>
          <w:color w:val="auto"/>
          <w:sz w:val="24"/>
          <w:szCs w:val="24"/>
          <w:highlight w:val="none"/>
          <w:lang w:val="en-US"/>
        </w:rPr>
        <w:t xml:space="preserve">23.3  </w:t>
      </w:r>
      <w:r>
        <w:rPr>
          <w:rFonts w:hint="eastAsia"/>
          <w:color w:val="auto"/>
          <w:sz w:val="24"/>
          <w:szCs w:val="24"/>
          <w:highlight w:val="none"/>
        </w:rPr>
        <w:t>供应商代表对</w:t>
      </w:r>
      <w:r>
        <w:rPr>
          <w:rFonts w:hint="eastAsia"/>
          <w:color w:val="auto"/>
          <w:sz w:val="24"/>
          <w:szCs w:val="24"/>
          <w:highlight w:val="none"/>
          <w:lang w:val="en-US"/>
        </w:rPr>
        <w:t>开启</w:t>
      </w:r>
      <w:r>
        <w:rPr>
          <w:rFonts w:hint="eastAsia"/>
          <w:color w:val="auto"/>
          <w:sz w:val="24"/>
          <w:szCs w:val="24"/>
          <w:highlight w:val="none"/>
        </w:rPr>
        <w:t>过程和</w:t>
      </w:r>
      <w:r>
        <w:rPr>
          <w:rFonts w:hint="eastAsia"/>
          <w:color w:val="auto"/>
          <w:sz w:val="24"/>
          <w:szCs w:val="24"/>
          <w:highlight w:val="none"/>
          <w:lang w:val="en-US"/>
        </w:rPr>
        <w:t>开启</w:t>
      </w:r>
      <w:r>
        <w:rPr>
          <w:rFonts w:hint="eastAsia"/>
          <w:color w:val="auto"/>
          <w:sz w:val="24"/>
          <w:szCs w:val="24"/>
          <w:highlight w:val="none"/>
        </w:rPr>
        <w:t>记录有疑问，以及认为采购人、</w:t>
      </w:r>
      <w:r>
        <w:rPr>
          <w:rFonts w:hint="eastAsia"/>
          <w:color w:val="auto"/>
          <w:sz w:val="24"/>
          <w:szCs w:val="24"/>
          <w:highlight w:val="none"/>
          <w:lang w:val="en-US" w:eastAsia="zh-CN"/>
        </w:rPr>
        <w:t>招标代理公司</w:t>
      </w:r>
      <w:r>
        <w:rPr>
          <w:rFonts w:hint="eastAsia"/>
          <w:color w:val="auto"/>
          <w:sz w:val="24"/>
          <w:szCs w:val="24"/>
          <w:highlight w:val="none"/>
        </w:rPr>
        <w:t>相关工作人员有需要回避的情形的，应当场提出询问或者回避申请。采购人、</w:t>
      </w:r>
      <w:r>
        <w:rPr>
          <w:rFonts w:hint="eastAsia"/>
          <w:color w:val="auto"/>
          <w:sz w:val="24"/>
          <w:szCs w:val="24"/>
          <w:highlight w:val="none"/>
          <w:lang w:val="en-US" w:eastAsia="zh-CN"/>
        </w:rPr>
        <w:t>招标代理公司</w:t>
      </w:r>
      <w:r>
        <w:rPr>
          <w:rFonts w:hint="eastAsia"/>
          <w:color w:val="auto"/>
          <w:sz w:val="24"/>
          <w:szCs w:val="24"/>
          <w:highlight w:val="none"/>
          <w:lang w:val="en-US"/>
        </w:rPr>
        <w:t>工作人员</w:t>
      </w:r>
      <w:r>
        <w:rPr>
          <w:rFonts w:hint="eastAsia"/>
          <w:color w:val="auto"/>
          <w:sz w:val="24"/>
          <w:szCs w:val="24"/>
          <w:highlight w:val="none"/>
        </w:rPr>
        <w:t xml:space="preserve">对供应商代表提出的询问或者回避申请应当及时处理。 </w:t>
      </w:r>
    </w:p>
    <w:p w14:paraId="7D1CCC4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cs="宋体"/>
          <w:b/>
          <w:bCs/>
          <w:color w:val="auto"/>
          <w:sz w:val="24"/>
          <w:szCs w:val="24"/>
          <w:highlight w:val="none"/>
          <w:lang w:val="en-US" w:eastAsia="zh-CN"/>
        </w:rPr>
        <w:t>4 资格审查</w:t>
      </w:r>
      <w:r>
        <w:rPr>
          <w:rFonts w:hint="eastAsia" w:ascii="宋体" w:hAnsi="宋体" w:eastAsia="宋体" w:cs="宋体"/>
          <w:color w:val="auto"/>
          <w:sz w:val="24"/>
          <w:szCs w:val="24"/>
          <w:highlight w:val="none"/>
        </w:rPr>
        <w:t xml:space="preserve"> </w:t>
      </w:r>
    </w:p>
    <w:p w14:paraId="4B1B18A6">
      <w:pPr>
        <w:spacing w:line="440" w:lineRule="exact"/>
        <w:ind w:firstLine="482" w:firstLineChars="200"/>
        <w:rPr>
          <w:rFonts w:hint="eastAsia"/>
          <w:b/>
          <w:bCs/>
          <w:color w:val="auto"/>
          <w:sz w:val="24"/>
          <w:szCs w:val="24"/>
          <w:highlight w:val="none"/>
        </w:rPr>
      </w:pPr>
      <w:r>
        <w:rPr>
          <w:rFonts w:hint="eastAsia"/>
          <w:b/>
          <w:bCs/>
          <w:color w:val="auto"/>
          <w:sz w:val="24"/>
          <w:szCs w:val="24"/>
          <w:highlight w:val="none"/>
          <w:lang w:val="en-US"/>
        </w:rPr>
        <w:t xml:space="preserve">24.1 </w:t>
      </w:r>
      <w:r>
        <w:rPr>
          <w:rFonts w:hint="eastAsia" w:ascii="宋体" w:hAnsi="宋体" w:eastAsia="宋体" w:cs="宋体"/>
          <w:b/>
          <w:bCs/>
          <w:color w:val="auto"/>
          <w:sz w:val="24"/>
          <w:szCs w:val="24"/>
          <w:highlight w:val="none"/>
        </w:rPr>
        <w:t>磋商小组</w:t>
      </w:r>
      <w:r>
        <w:rPr>
          <w:rFonts w:hint="eastAsia"/>
          <w:b/>
          <w:bCs/>
          <w:color w:val="auto"/>
          <w:sz w:val="24"/>
          <w:szCs w:val="24"/>
          <w:highlight w:val="none"/>
        </w:rPr>
        <w:t>依法对供应商资格进行审查。资格审查是审查供应商</w:t>
      </w:r>
      <w:r>
        <w:rPr>
          <w:rFonts w:hint="eastAsia"/>
          <w:b/>
          <w:bCs/>
          <w:color w:val="auto"/>
          <w:sz w:val="24"/>
          <w:szCs w:val="24"/>
          <w:highlight w:val="none"/>
          <w:lang w:val="en-US"/>
        </w:rPr>
        <w:t>资格证明</w:t>
      </w:r>
      <w:r>
        <w:rPr>
          <w:rFonts w:hint="eastAsia"/>
          <w:b/>
          <w:bCs/>
          <w:color w:val="auto"/>
          <w:sz w:val="24"/>
          <w:szCs w:val="24"/>
          <w:highlight w:val="none"/>
        </w:rPr>
        <w:t>文件是否对磋商文件</w:t>
      </w:r>
      <w:r>
        <w:rPr>
          <w:rFonts w:hint="eastAsia"/>
          <w:b/>
          <w:bCs/>
          <w:color w:val="auto"/>
          <w:sz w:val="24"/>
          <w:szCs w:val="24"/>
          <w:highlight w:val="none"/>
          <w:lang w:val="en-US"/>
        </w:rPr>
        <w:t>资格条件</w:t>
      </w:r>
      <w:r>
        <w:rPr>
          <w:rFonts w:hint="eastAsia"/>
          <w:b/>
          <w:bCs/>
          <w:color w:val="auto"/>
          <w:sz w:val="24"/>
          <w:szCs w:val="24"/>
          <w:highlight w:val="none"/>
        </w:rPr>
        <w:t>作出实质性的响应，审查细则详见</w:t>
      </w:r>
      <w:r>
        <w:rPr>
          <w:rFonts w:hint="eastAsia"/>
          <w:b/>
          <w:bCs/>
          <w:color w:val="auto"/>
          <w:sz w:val="24"/>
          <w:szCs w:val="24"/>
          <w:highlight w:val="none"/>
          <w:lang w:val="en-US"/>
        </w:rPr>
        <w:t>磋商须知第七部分：《资格性审查表》</w:t>
      </w:r>
      <w:r>
        <w:rPr>
          <w:rFonts w:hint="eastAsia"/>
          <w:b/>
          <w:bCs/>
          <w:color w:val="auto"/>
          <w:sz w:val="24"/>
          <w:szCs w:val="24"/>
          <w:highlight w:val="none"/>
        </w:rPr>
        <w:t>。对</w:t>
      </w:r>
      <w:r>
        <w:rPr>
          <w:rFonts w:hint="eastAsia"/>
          <w:b/>
          <w:bCs/>
          <w:color w:val="auto"/>
          <w:sz w:val="24"/>
          <w:szCs w:val="24"/>
          <w:highlight w:val="none"/>
          <w:lang w:val="en-US"/>
        </w:rPr>
        <w:t>资格证明文件提供不全或</w:t>
      </w:r>
      <w:r>
        <w:rPr>
          <w:rFonts w:hint="eastAsia"/>
          <w:b/>
          <w:bCs/>
          <w:color w:val="auto"/>
          <w:sz w:val="24"/>
          <w:szCs w:val="24"/>
          <w:highlight w:val="none"/>
        </w:rPr>
        <w:t>资格性审查不通过的磋商供应商，</w:t>
      </w:r>
      <w:r>
        <w:rPr>
          <w:rFonts w:hint="eastAsia"/>
          <w:b/>
          <w:bCs/>
          <w:color w:val="auto"/>
          <w:sz w:val="24"/>
          <w:szCs w:val="24"/>
          <w:highlight w:val="none"/>
          <w:lang w:val="en-US"/>
        </w:rPr>
        <w:t>将</w:t>
      </w:r>
      <w:r>
        <w:rPr>
          <w:rFonts w:hint="eastAsia"/>
          <w:b/>
          <w:bCs/>
          <w:color w:val="auto"/>
          <w:sz w:val="24"/>
          <w:szCs w:val="24"/>
          <w:highlight w:val="none"/>
        </w:rPr>
        <w:t>由</w:t>
      </w:r>
      <w:r>
        <w:rPr>
          <w:rFonts w:hint="eastAsia" w:ascii="宋体" w:hAnsi="宋体" w:eastAsia="宋体" w:cs="宋体"/>
          <w:b/>
          <w:bCs/>
          <w:color w:val="auto"/>
          <w:sz w:val="24"/>
          <w:szCs w:val="24"/>
          <w:highlight w:val="none"/>
        </w:rPr>
        <w:t>磋商小组</w:t>
      </w:r>
      <w:r>
        <w:rPr>
          <w:rFonts w:hint="eastAsia"/>
          <w:b/>
          <w:bCs/>
          <w:color w:val="auto"/>
          <w:sz w:val="24"/>
          <w:szCs w:val="24"/>
          <w:highlight w:val="none"/>
        </w:rPr>
        <w:t>现场告知</w:t>
      </w:r>
      <w:r>
        <w:rPr>
          <w:rFonts w:hint="eastAsia"/>
          <w:b/>
          <w:bCs/>
          <w:color w:val="auto"/>
          <w:sz w:val="24"/>
          <w:szCs w:val="24"/>
          <w:highlight w:val="none"/>
          <w:lang w:val="en-US"/>
        </w:rPr>
        <w:t>其不得</w:t>
      </w:r>
      <w:r>
        <w:rPr>
          <w:rFonts w:hint="eastAsia"/>
          <w:b/>
          <w:bCs/>
          <w:color w:val="auto"/>
          <w:sz w:val="24"/>
          <w:szCs w:val="24"/>
          <w:highlight w:val="none"/>
        </w:rPr>
        <w:t xml:space="preserve">参与磋商。 </w:t>
      </w:r>
    </w:p>
    <w:p w14:paraId="51BB0918">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25 </w:t>
      </w:r>
      <w:r>
        <w:rPr>
          <w:rFonts w:hint="eastAsia" w:ascii="宋体" w:hAnsi="宋体" w:eastAsia="宋体" w:cs="宋体"/>
          <w:b/>
          <w:bCs/>
          <w:color w:val="auto"/>
          <w:sz w:val="24"/>
          <w:szCs w:val="24"/>
          <w:highlight w:val="none"/>
        </w:rPr>
        <w:t>磋商小组</w:t>
      </w:r>
      <w:r>
        <w:rPr>
          <w:rFonts w:hint="eastAsia" w:ascii="宋体" w:hAnsi="宋体" w:eastAsia="宋体" w:cs="宋体"/>
          <w:color w:val="auto"/>
          <w:sz w:val="24"/>
          <w:szCs w:val="24"/>
          <w:highlight w:val="none"/>
        </w:rPr>
        <w:t xml:space="preserve"> </w:t>
      </w:r>
    </w:p>
    <w:p w14:paraId="1F2A975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25.1 </w:t>
      </w:r>
      <w:r>
        <w:rPr>
          <w:rFonts w:hint="eastAsia" w:ascii="宋体" w:hAnsi="宋体" w:eastAsia="宋体" w:cs="宋体"/>
          <w:color w:val="auto"/>
          <w:sz w:val="24"/>
          <w:szCs w:val="24"/>
          <w:highlight w:val="none"/>
        </w:rPr>
        <w:t xml:space="preserve">磋商小组根据采购项目的特点进行组建，并负责磋商工作。磋商小组由评审专家共3人以上单数组成，其中评审专家人数不得少于磋商小组成员总数的三分之二。评标专家依法从政府采购评审专家库内相关的专家名单中随机抽取。采购人代表人数、专家人数构成将按照磋商须知前附表中确定。 </w:t>
      </w:r>
    </w:p>
    <w:p w14:paraId="6CE299C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25.2 </w:t>
      </w:r>
      <w:r>
        <w:rPr>
          <w:rFonts w:hint="eastAsia" w:ascii="宋体" w:hAnsi="宋体" w:eastAsia="宋体" w:cs="宋体"/>
          <w:color w:val="auto"/>
          <w:sz w:val="24"/>
          <w:szCs w:val="24"/>
          <w:highlight w:val="none"/>
        </w:rPr>
        <w:t xml:space="preserve">磋商基本原则：磋商工作根据《中华人民共和国政府采购法》及其实施条例、《政府采购竞争性磋商采购方式管理暂行办法》、《财政部关于政府采购竞争性磋商采购方式管理暂行办法有关问题的补充通知》以及相关配套的法律法规和政策规定进行。磋商小组将按照磋商文件规定的程序与各供应商单独进行磋商。 </w:t>
      </w:r>
    </w:p>
    <w:p w14:paraId="61DAF7D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25.3 </w:t>
      </w:r>
      <w:r>
        <w:rPr>
          <w:rFonts w:hint="eastAsia" w:ascii="宋体" w:hAnsi="宋体" w:eastAsia="宋体" w:cs="宋体"/>
          <w:color w:val="auto"/>
          <w:sz w:val="24"/>
          <w:szCs w:val="24"/>
          <w:highlight w:val="none"/>
        </w:rPr>
        <w:t>磋商小组名单在评审结果确定前严格保密。评审专家有下列情形之一的，受到邀请应主动提出回避， 采购当事人也可以要求该评审专家回避</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3284893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25.3.1 </w:t>
      </w:r>
      <w:r>
        <w:rPr>
          <w:rFonts w:hint="eastAsia" w:ascii="宋体" w:hAnsi="宋体" w:eastAsia="宋体" w:cs="宋体"/>
          <w:color w:val="auto"/>
          <w:sz w:val="24"/>
          <w:szCs w:val="24"/>
          <w:highlight w:val="none"/>
        </w:rPr>
        <w:t xml:space="preserve">参加采购活动前3年内与参加该采购项目的供应商存在劳动关系或担任过供应商的董事、监事或是供应商的控股股东或者实际控制人； </w:t>
      </w:r>
    </w:p>
    <w:p w14:paraId="3F6377C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25.3.2 </w:t>
      </w:r>
      <w:r>
        <w:rPr>
          <w:rFonts w:hint="eastAsia" w:ascii="宋体" w:hAnsi="宋体" w:eastAsia="宋体" w:cs="宋体"/>
          <w:color w:val="auto"/>
          <w:sz w:val="24"/>
          <w:szCs w:val="24"/>
          <w:highlight w:val="none"/>
        </w:rPr>
        <w:t xml:space="preserve">与参加该采购项目的供应商的法定代表人或者负责人有夫妻、直系血亲、三代以内旁系血亲或者近姻亲关系； </w:t>
      </w:r>
    </w:p>
    <w:p w14:paraId="141D967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25.3.3 </w:t>
      </w:r>
      <w:r>
        <w:rPr>
          <w:rFonts w:hint="eastAsia" w:ascii="宋体" w:hAnsi="宋体" w:eastAsia="宋体" w:cs="宋体"/>
          <w:color w:val="auto"/>
          <w:sz w:val="24"/>
          <w:szCs w:val="24"/>
          <w:highlight w:val="none"/>
        </w:rPr>
        <w:t xml:space="preserve">与参加该采购项目的供应商有其他可能影响政府采购活动公平、公正进行的关系。 </w:t>
      </w:r>
    </w:p>
    <w:p w14:paraId="14C5C7E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25.4 </w:t>
      </w:r>
      <w:r>
        <w:rPr>
          <w:rFonts w:hint="eastAsia" w:ascii="宋体" w:hAnsi="宋体" w:eastAsia="宋体" w:cs="宋体"/>
          <w:color w:val="auto"/>
          <w:sz w:val="24"/>
          <w:szCs w:val="24"/>
          <w:highlight w:val="none"/>
        </w:rPr>
        <w:t xml:space="preserve">磋商小组负责具体评审事务，并独立履行下列职责： </w:t>
      </w:r>
    </w:p>
    <w:p w14:paraId="62BB32C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25.4.1 </w:t>
      </w:r>
      <w:r>
        <w:rPr>
          <w:rFonts w:hint="eastAsia" w:ascii="宋体" w:hAnsi="宋体" w:eastAsia="宋体" w:cs="宋体"/>
          <w:color w:val="auto"/>
          <w:sz w:val="24"/>
          <w:szCs w:val="24"/>
          <w:highlight w:val="none"/>
        </w:rPr>
        <w:t xml:space="preserve">审查、评审响应文件是否符合磋商文件的商务、技术等实质性要求； </w:t>
      </w:r>
    </w:p>
    <w:p w14:paraId="71BCDD6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25.4.2 </w:t>
      </w:r>
      <w:r>
        <w:rPr>
          <w:rFonts w:hint="eastAsia" w:ascii="宋体" w:hAnsi="宋体" w:eastAsia="宋体" w:cs="宋体"/>
          <w:color w:val="auto"/>
          <w:sz w:val="24"/>
          <w:szCs w:val="24"/>
          <w:highlight w:val="none"/>
        </w:rPr>
        <w:t xml:space="preserve">要求供应商对响应文件有关事项作出澄清或者说明； </w:t>
      </w:r>
    </w:p>
    <w:p w14:paraId="0F27558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25.4.3 </w:t>
      </w:r>
      <w:r>
        <w:rPr>
          <w:rFonts w:hint="eastAsia" w:ascii="宋体" w:hAnsi="宋体" w:eastAsia="宋体" w:cs="宋体"/>
          <w:color w:val="auto"/>
          <w:sz w:val="24"/>
          <w:szCs w:val="24"/>
          <w:highlight w:val="none"/>
        </w:rPr>
        <w:t xml:space="preserve">对响应文件进行比较和评价； </w:t>
      </w:r>
    </w:p>
    <w:p w14:paraId="276B5E8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25.4.4 </w:t>
      </w:r>
      <w:r>
        <w:rPr>
          <w:rFonts w:hint="eastAsia" w:ascii="宋体" w:hAnsi="宋体" w:eastAsia="宋体" w:cs="宋体"/>
          <w:color w:val="auto"/>
          <w:sz w:val="24"/>
          <w:szCs w:val="24"/>
          <w:highlight w:val="none"/>
        </w:rPr>
        <w:t xml:space="preserve">确定成交候选供应商名单，以及根据采购人委托直接确定成交供应商； </w:t>
      </w:r>
    </w:p>
    <w:p w14:paraId="302A5D3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25.4.5 </w:t>
      </w:r>
      <w:r>
        <w:rPr>
          <w:rFonts w:hint="eastAsia" w:ascii="宋体" w:hAnsi="宋体" w:eastAsia="宋体" w:cs="宋体"/>
          <w:color w:val="auto"/>
          <w:sz w:val="24"/>
          <w:szCs w:val="24"/>
          <w:highlight w:val="none"/>
        </w:rPr>
        <w:t>向采购人、</w:t>
      </w:r>
      <w:r>
        <w:rPr>
          <w:rFonts w:hint="eastAsia" w:cs="宋体"/>
          <w:color w:val="auto"/>
          <w:sz w:val="24"/>
          <w:szCs w:val="24"/>
          <w:highlight w:val="none"/>
          <w:lang w:val="en-US" w:eastAsia="zh-CN"/>
        </w:rPr>
        <w:t>高昌区财政局采购办</w:t>
      </w:r>
      <w:r>
        <w:rPr>
          <w:rFonts w:hint="eastAsia" w:ascii="宋体" w:hAnsi="宋体" w:eastAsia="宋体" w:cs="宋体"/>
          <w:color w:val="auto"/>
          <w:sz w:val="24"/>
          <w:szCs w:val="24"/>
          <w:highlight w:val="none"/>
          <w:lang w:eastAsia="zh-CN"/>
        </w:rPr>
        <w:t>和</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或者有关部门报告磋商中发现的违法行为。 </w:t>
      </w:r>
    </w:p>
    <w:p w14:paraId="6323AE0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25.5 </w:t>
      </w:r>
      <w:r>
        <w:rPr>
          <w:rFonts w:hint="eastAsia" w:ascii="宋体" w:hAnsi="宋体" w:eastAsia="宋体" w:cs="宋体"/>
          <w:color w:val="auto"/>
          <w:sz w:val="24"/>
          <w:szCs w:val="24"/>
          <w:highlight w:val="none"/>
        </w:rPr>
        <w:t xml:space="preserve">磋商小组和有关工作人员不得透露对响应文件的评审和比较以及与磋商有关的其他情况。 </w:t>
      </w:r>
    </w:p>
    <w:p w14:paraId="6DC4469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25.6 </w:t>
      </w:r>
      <w:r>
        <w:rPr>
          <w:rFonts w:hint="eastAsia" w:ascii="宋体" w:hAnsi="宋体" w:eastAsia="宋体" w:cs="宋体"/>
          <w:color w:val="auto"/>
          <w:sz w:val="24"/>
          <w:szCs w:val="24"/>
          <w:highlight w:val="none"/>
        </w:rPr>
        <w:t xml:space="preserve">磋商小组将按照磋商文件中确定的评标方法和评标标准进行磋商。 </w:t>
      </w:r>
    </w:p>
    <w:p w14:paraId="302C751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25.7 </w:t>
      </w:r>
      <w:r>
        <w:rPr>
          <w:rFonts w:hint="eastAsia" w:ascii="宋体" w:hAnsi="宋体" w:eastAsia="宋体" w:cs="宋体"/>
          <w:color w:val="auto"/>
          <w:sz w:val="24"/>
          <w:szCs w:val="24"/>
          <w:highlight w:val="none"/>
        </w:rPr>
        <w:t xml:space="preserve">磋商小组对磋商文件中描述有歧意或前后不一致的地方，有权进行评判，但对同一条款的评判应适用于每个磋商供应商。 </w:t>
      </w:r>
    </w:p>
    <w:p w14:paraId="69407E71">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25.8 </w:t>
      </w:r>
      <w:r>
        <w:rPr>
          <w:rFonts w:hint="eastAsia" w:ascii="宋体" w:hAnsi="宋体" w:eastAsia="宋体" w:cs="宋体"/>
          <w:color w:val="auto"/>
          <w:sz w:val="24"/>
          <w:szCs w:val="24"/>
          <w:highlight w:val="none"/>
        </w:rPr>
        <w:t>磋商中因磋商小组成员缺席、回避或者健康等特殊原因导致磋商小组成不符合相关法律法规规定的</w:t>
      </w:r>
      <w:r>
        <w:rPr>
          <w:rFonts w:hint="eastAsia" w:ascii="宋体" w:hAnsi="宋体" w:eastAsia="宋体" w:cs="宋体"/>
          <w:color w:val="auto"/>
          <w:sz w:val="24"/>
          <w:szCs w:val="24"/>
          <w:highlight w:val="none"/>
          <w:lang w:eastAsia="zh-CN"/>
        </w:rPr>
        <w:t>，</w:t>
      </w:r>
      <w:r>
        <w:rPr>
          <w:rFonts w:hint="eastAsia"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招标代理公司</w:t>
      </w:r>
      <w:r>
        <w:rPr>
          <w:rFonts w:hint="eastAsia" w:ascii="宋体" w:hAnsi="宋体" w:eastAsia="宋体" w:cs="宋体"/>
          <w:color w:val="auto"/>
          <w:sz w:val="24"/>
          <w:szCs w:val="24"/>
          <w:highlight w:val="none"/>
          <w:lang w:val="en-US" w:eastAsia="zh-CN"/>
        </w:rPr>
        <w:t>工作人员</w:t>
      </w:r>
      <w:r>
        <w:rPr>
          <w:rFonts w:hint="eastAsia" w:ascii="宋体" w:hAnsi="宋体" w:eastAsia="宋体" w:cs="宋体"/>
          <w:color w:val="auto"/>
          <w:sz w:val="24"/>
          <w:szCs w:val="24"/>
          <w:highlight w:val="none"/>
        </w:rPr>
        <w:t xml:space="preserve">应当依法补足后继续磋商。被更换的磋商小组成员所作出的评审意见无效。 </w:t>
      </w:r>
    </w:p>
    <w:p w14:paraId="539EA12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25.9 </w:t>
      </w:r>
      <w:r>
        <w:rPr>
          <w:rFonts w:hint="eastAsia" w:ascii="宋体" w:hAnsi="宋体" w:eastAsia="宋体" w:cs="宋体"/>
          <w:color w:val="auto"/>
          <w:sz w:val="24"/>
          <w:szCs w:val="24"/>
          <w:highlight w:val="none"/>
        </w:rPr>
        <w:t>无法及时补足磋商小组成员的，采购人或者</w:t>
      </w:r>
      <w:r>
        <w:rPr>
          <w:rFonts w:hint="eastAsia"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招标代理公司</w:t>
      </w:r>
      <w:r>
        <w:rPr>
          <w:rFonts w:hint="eastAsia" w:ascii="宋体" w:hAnsi="宋体" w:eastAsia="宋体" w:cs="宋体"/>
          <w:color w:val="auto"/>
          <w:sz w:val="24"/>
          <w:szCs w:val="24"/>
          <w:highlight w:val="none"/>
          <w:lang w:val="en-US" w:eastAsia="zh-CN"/>
        </w:rPr>
        <w:t>工作人员</w:t>
      </w:r>
      <w:r>
        <w:rPr>
          <w:rFonts w:hint="eastAsia" w:ascii="宋体" w:hAnsi="宋体" w:eastAsia="宋体" w:cs="宋体"/>
          <w:color w:val="auto"/>
          <w:sz w:val="24"/>
          <w:szCs w:val="24"/>
          <w:highlight w:val="none"/>
        </w:rPr>
        <w:t xml:space="preserve">应当停止评标活动，封存所有响应文件和开标、磋商资料，依法重新组建磋商小组进行磋商。 </w:t>
      </w:r>
    </w:p>
    <w:p w14:paraId="571007D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25.10 </w:t>
      </w:r>
      <w:r>
        <w:rPr>
          <w:rFonts w:hint="eastAsia"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招标代理公司</w:t>
      </w:r>
      <w:r>
        <w:rPr>
          <w:rFonts w:hint="eastAsia" w:ascii="宋体" w:hAnsi="宋体" w:eastAsia="宋体" w:cs="宋体"/>
          <w:color w:val="auto"/>
          <w:sz w:val="24"/>
          <w:szCs w:val="24"/>
          <w:highlight w:val="none"/>
          <w:lang w:val="en-US" w:eastAsia="zh-CN"/>
        </w:rPr>
        <w:t>工作人员</w:t>
      </w:r>
      <w:r>
        <w:rPr>
          <w:rFonts w:hint="eastAsia" w:ascii="宋体" w:hAnsi="宋体" w:eastAsia="宋体" w:cs="宋体"/>
          <w:color w:val="auto"/>
          <w:sz w:val="24"/>
          <w:szCs w:val="24"/>
          <w:highlight w:val="none"/>
        </w:rPr>
        <w:t xml:space="preserve">应当将变更、重新组建评磋商小组的情况予以记录，并随采购文件一并存档。 </w:t>
      </w:r>
    </w:p>
    <w:p w14:paraId="24558079">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26 </w:t>
      </w:r>
      <w:r>
        <w:rPr>
          <w:rFonts w:hint="eastAsia" w:ascii="宋体" w:hAnsi="宋体" w:eastAsia="宋体" w:cs="宋体"/>
          <w:b/>
          <w:bCs/>
          <w:color w:val="auto"/>
          <w:sz w:val="24"/>
          <w:szCs w:val="24"/>
          <w:highlight w:val="none"/>
        </w:rPr>
        <w:t>磋商过程</w:t>
      </w:r>
      <w:r>
        <w:rPr>
          <w:rFonts w:hint="eastAsia" w:ascii="宋体" w:hAnsi="宋体" w:eastAsia="宋体" w:cs="宋体"/>
          <w:color w:val="auto"/>
          <w:sz w:val="24"/>
          <w:szCs w:val="24"/>
          <w:highlight w:val="none"/>
        </w:rPr>
        <w:t xml:space="preserve"> </w:t>
      </w:r>
    </w:p>
    <w:p w14:paraId="16CAE267">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26.1 </w:t>
      </w:r>
      <w:r>
        <w:rPr>
          <w:rFonts w:hint="eastAsia" w:ascii="宋体" w:hAnsi="宋体" w:eastAsia="宋体" w:cs="宋体"/>
          <w:b/>
          <w:bCs/>
          <w:color w:val="auto"/>
          <w:sz w:val="24"/>
          <w:szCs w:val="24"/>
          <w:highlight w:val="none"/>
        </w:rPr>
        <w:t>符合性审查</w:t>
      </w:r>
      <w:r>
        <w:rPr>
          <w:rFonts w:hint="eastAsia" w:ascii="宋体" w:hAnsi="宋体" w:eastAsia="宋体" w:cs="宋体"/>
          <w:color w:val="auto"/>
          <w:sz w:val="24"/>
          <w:szCs w:val="24"/>
          <w:highlight w:val="none"/>
        </w:rPr>
        <w:t xml:space="preserve"> </w:t>
      </w:r>
    </w:p>
    <w:p w14:paraId="5985D3D3">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color w:val="auto"/>
          <w:highlight w:val="none"/>
        </w:rPr>
      </w:pPr>
      <w:r>
        <w:rPr>
          <w:rFonts w:hint="eastAsia" w:ascii="宋体" w:hAnsi="宋体" w:eastAsia="宋体" w:cs="宋体"/>
          <w:b/>
          <w:bCs/>
          <w:color w:val="auto"/>
          <w:sz w:val="24"/>
          <w:szCs w:val="24"/>
          <w:highlight w:val="none"/>
          <w:lang w:val="en-US" w:eastAsia="zh-CN"/>
        </w:rPr>
        <w:t>2</w:t>
      </w:r>
      <w:r>
        <w:rPr>
          <w:rFonts w:hint="eastAsia"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w:t>
      </w:r>
      <w:r>
        <w:rPr>
          <w:rFonts w:hint="eastAsia"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w:t>
      </w:r>
      <w:r>
        <w:rPr>
          <w:rFonts w:hint="eastAsia"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磋商小组在对响应文件的有效性、完整性和响应程序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响应文件应当采用书面形式，并由法定代表人或其授权代表签字或加盖公章，供应商为自然人的，应当由本人签字并附身份证明。 对符合性审查不通过的响应文件磋商小组将按无效响应处理，由磋商小组现场告知该磋商供应商，其响应文件作无效处理，不参与磋商。 </w:t>
      </w:r>
      <w:r>
        <w:rPr>
          <w:rFonts w:hint="eastAsia" w:ascii="宋体" w:hAnsi="宋体" w:eastAsia="宋体" w:cs="宋体"/>
          <w:b/>
          <w:bCs/>
          <w:color w:val="auto"/>
          <w:sz w:val="24"/>
          <w:szCs w:val="24"/>
          <w:highlight w:val="none"/>
        </w:rPr>
        <w:t>审查细则详见</w:t>
      </w:r>
      <w:r>
        <w:rPr>
          <w:rFonts w:hint="eastAsia" w:cs="宋体"/>
          <w:b/>
          <w:bCs/>
          <w:color w:val="auto"/>
          <w:sz w:val="24"/>
          <w:szCs w:val="24"/>
          <w:highlight w:val="none"/>
          <w:lang w:val="en-US" w:eastAsia="zh-CN"/>
        </w:rPr>
        <w:t>磋商须知</w:t>
      </w:r>
      <w:r>
        <w:rPr>
          <w:rFonts w:hint="eastAsia" w:ascii="宋体" w:hAnsi="宋体" w:eastAsia="宋体" w:cs="宋体"/>
          <w:b/>
          <w:bCs/>
          <w:color w:val="auto"/>
          <w:sz w:val="24"/>
          <w:szCs w:val="24"/>
          <w:highlight w:val="none"/>
          <w:lang w:val="en-US" w:eastAsia="zh-CN"/>
        </w:rPr>
        <w:t>第</w:t>
      </w:r>
      <w:r>
        <w:rPr>
          <w:rFonts w:hint="eastAsia"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val="en-US" w:eastAsia="zh-CN"/>
        </w:rPr>
        <w:t>部分：</w:t>
      </w:r>
      <w:r>
        <w:rPr>
          <w:rFonts w:hint="eastAsia" w:ascii="宋体" w:hAnsi="宋体" w:eastAsia="宋体" w:cs="宋体"/>
          <w:b/>
          <w:bCs/>
          <w:color w:val="auto"/>
          <w:sz w:val="24"/>
          <w:szCs w:val="24"/>
          <w:highlight w:val="none"/>
        </w:rPr>
        <w:t>《符合性审查表》。</w:t>
      </w:r>
    </w:p>
    <w:p w14:paraId="47846F15">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26.2 </w:t>
      </w:r>
      <w:r>
        <w:rPr>
          <w:rFonts w:hint="eastAsia" w:ascii="宋体" w:hAnsi="宋体" w:eastAsia="宋体" w:cs="宋体"/>
          <w:b/>
          <w:bCs/>
          <w:color w:val="auto"/>
          <w:sz w:val="24"/>
          <w:szCs w:val="24"/>
          <w:highlight w:val="none"/>
        </w:rPr>
        <w:t>磋商</w:t>
      </w:r>
      <w:r>
        <w:rPr>
          <w:rFonts w:hint="eastAsia" w:ascii="宋体" w:hAnsi="宋体" w:eastAsia="宋体" w:cs="宋体"/>
          <w:color w:val="auto"/>
          <w:sz w:val="24"/>
          <w:szCs w:val="24"/>
          <w:highlight w:val="none"/>
        </w:rPr>
        <w:t xml:space="preserve"> </w:t>
      </w:r>
    </w:p>
    <w:p w14:paraId="19EB900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26.2.1 </w:t>
      </w:r>
      <w:r>
        <w:rPr>
          <w:rFonts w:hint="eastAsia" w:ascii="宋体" w:hAnsi="宋体" w:eastAsia="宋体" w:cs="宋体"/>
          <w:color w:val="auto"/>
          <w:sz w:val="24"/>
          <w:szCs w:val="24"/>
          <w:highlight w:val="none"/>
        </w:rPr>
        <w:t>磋商小组所有成员集中与单一供应商分别进行</w:t>
      </w:r>
      <w:r>
        <w:rPr>
          <w:rFonts w:hint="eastAsia" w:cs="宋体"/>
          <w:color w:val="auto"/>
          <w:sz w:val="24"/>
          <w:szCs w:val="24"/>
          <w:highlight w:val="none"/>
          <w:lang w:val="en-US" w:eastAsia="zh-CN"/>
        </w:rPr>
        <w:t>线上</w:t>
      </w:r>
      <w:r>
        <w:rPr>
          <w:rFonts w:hint="eastAsia" w:ascii="宋体" w:hAnsi="宋体" w:eastAsia="宋体" w:cs="宋体"/>
          <w:color w:val="auto"/>
          <w:sz w:val="24"/>
          <w:szCs w:val="24"/>
          <w:highlight w:val="none"/>
        </w:rPr>
        <w:t xml:space="preserve">磋商，并给予所有参加磋商的供应商平等的磋商机会。 </w:t>
      </w:r>
    </w:p>
    <w:p w14:paraId="0A7F46F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26.2.3 </w:t>
      </w:r>
      <w:r>
        <w:rPr>
          <w:rFonts w:hint="eastAsia" w:ascii="宋体" w:hAnsi="宋体" w:eastAsia="宋体" w:cs="宋体"/>
          <w:color w:val="auto"/>
          <w:sz w:val="24"/>
          <w:szCs w:val="24"/>
          <w:highlight w:val="none"/>
        </w:rPr>
        <w:t>磋商小组对各供应商的最后报价进行审查，认为供应商的最后报价明显低于其他通过资格、符合性审查供应商的报价，有可能影响</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质量或者不能诚信履约的，</w:t>
      </w:r>
      <w:r>
        <w:rPr>
          <w:rFonts w:hint="eastAsia"/>
          <w:color w:val="auto"/>
          <w:sz w:val="24"/>
          <w:szCs w:val="24"/>
          <w:highlight w:val="none"/>
        </w:rPr>
        <w:t>应当要求其在</w:t>
      </w:r>
      <w:r>
        <w:rPr>
          <w:rFonts w:hint="eastAsia"/>
          <w:color w:val="auto"/>
          <w:sz w:val="24"/>
          <w:szCs w:val="24"/>
          <w:highlight w:val="none"/>
          <w:lang w:val="en-US" w:eastAsia="zh-CN"/>
        </w:rPr>
        <w:t>政采云不见面开评标大厅</w:t>
      </w:r>
      <w:r>
        <w:rPr>
          <w:rFonts w:hint="eastAsia"/>
          <w:color w:val="auto"/>
          <w:sz w:val="24"/>
          <w:szCs w:val="24"/>
          <w:highlight w:val="none"/>
        </w:rPr>
        <w:t>提供书面说明，必要时提交相关证明材料；供应商不能证明其报价合理性的，磋商小组应当将其作为无效响应处理。</w:t>
      </w:r>
      <w:r>
        <w:rPr>
          <w:rFonts w:hint="eastAsia"/>
          <w:color w:val="auto"/>
          <w:sz w:val="24"/>
          <w:szCs w:val="24"/>
          <w:highlight w:val="none"/>
          <w:lang w:val="en-US" w:eastAsia="zh-CN"/>
        </w:rPr>
        <w:t xml:space="preserve">  </w:t>
      </w:r>
    </w:p>
    <w:p w14:paraId="417F2AB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26.2.4 </w:t>
      </w:r>
      <w:r>
        <w:rPr>
          <w:rFonts w:hint="eastAsia" w:ascii="宋体" w:hAnsi="宋体" w:eastAsia="宋体" w:cs="宋体"/>
          <w:color w:val="auto"/>
          <w:sz w:val="24"/>
          <w:szCs w:val="24"/>
          <w:highlight w:val="none"/>
        </w:rPr>
        <w:t xml:space="preserve">供应商的报价出现前后不一致的情况，磋商小组将要求供应商根据磋商文件要求修正报价。修正后的报价经供应商确认后具有约束力，供应商不确认的，其响应无效。 </w:t>
      </w:r>
    </w:p>
    <w:p w14:paraId="02F1F60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26.2.5 </w:t>
      </w:r>
      <w:r>
        <w:rPr>
          <w:rFonts w:hint="eastAsia" w:ascii="宋体" w:hAnsi="宋体" w:eastAsia="宋体" w:cs="宋体"/>
          <w:color w:val="auto"/>
          <w:sz w:val="24"/>
          <w:szCs w:val="24"/>
          <w:highlight w:val="none"/>
        </w:rPr>
        <w:t xml:space="preserve">报价按照下列规定修正： </w:t>
      </w:r>
    </w:p>
    <w:p w14:paraId="58CF1B8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26.2.5.1 </w:t>
      </w:r>
      <w:r>
        <w:rPr>
          <w:rFonts w:hint="eastAsia" w:ascii="宋体" w:hAnsi="宋体" w:eastAsia="宋体" w:cs="宋体"/>
          <w:color w:val="auto"/>
          <w:sz w:val="24"/>
          <w:szCs w:val="24"/>
          <w:highlight w:val="none"/>
        </w:rPr>
        <w:t>响应文件中</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一览表（首次报价表）内容与响应文件中相应内容不一致的，以</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 xml:space="preserve">一览表（首次报价表）为准； </w:t>
      </w:r>
    </w:p>
    <w:p w14:paraId="78564C7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26.2.5.2 </w:t>
      </w:r>
      <w:r>
        <w:rPr>
          <w:rFonts w:hint="eastAsia" w:ascii="宋体" w:hAnsi="宋体" w:eastAsia="宋体" w:cs="宋体"/>
          <w:color w:val="auto"/>
          <w:sz w:val="24"/>
          <w:szCs w:val="24"/>
          <w:highlight w:val="none"/>
        </w:rPr>
        <w:t xml:space="preserve">大写金额和小写金额不一致的，以大写金额为准； </w:t>
      </w:r>
    </w:p>
    <w:p w14:paraId="778AEFE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26.2.5.3 </w:t>
      </w:r>
      <w:r>
        <w:rPr>
          <w:rFonts w:hint="eastAsia" w:ascii="宋体" w:hAnsi="宋体" w:eastAsia="宋体" w:cs="宋体"/>
          <w:color w:val="auto"/>
          <w:sz w:val="24"/>
          <w:szCs w:val="24"/>
          <w:highlight w:val="none"/>
        </w:rPr>
        <w:t>单价金额小数点或者百分比有明显错位的，以</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 xml:space="preserve">一览表的总价为准，并修改单价； </w:t>
      </w:r>
    </w:p>
    <w:p w14:paraId="4E2EB21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26.2.5.4 </w:t>
      </w:r>
      <w:r>
        <w:rPr>
          <w:rFonts w:hint="eastAsia" w:ascii="宋体" w:hAnsi="宋体" w:eastAsia="宋体" w:cs="宋体"/>
          <w:color w:val="auto"/>
          <w:sz w:val="24"/>
          <w:szCs w:val="24"/>
          <w:highlight w:val="none"/>
        </w:rPr>
        <w:t xml:space="preserve">总价金额与按单价汇总金额不一致的，以单价金额计算结果为准。 </w:t>
      </w:r>
    </w:p>
    <w:p w14:paraId="21D24DE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26.2.5.5 </w:t>
      </w:r>
      <w:r>
        <w:rPr>
          <w:rFonts w:hint="eastAsia" w:ascii="宋体" w:hAnsi="宋体" w:eastAsia="宋体" w:cs="宋体"/>
          <w:color w:val="auto"/>
          <w:sz w:val="24"/>
          <w:szCs w:val="24"/>
          <w:highlight w:val="none"/>
        </w:rPr>
        <w:t xml:space="preserve">同时出现两种以上不一致的，按照前款规定的顺序修正。 </w:t>
      </w:r>
    </w:p>
    <w:p w14:paraId="4536757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26.2.6 </w:t>
      </w:r>
      <w:r>
        <w:rPr>
          <w:rFonts w:hint="eastAsia" w:ascii="宋体" w:hAnsi="宋体" w:eastAsia="宋体" w:cs="宋体"/>
          <w:color w:val="auto"/>
          <w:sz w:val="24"/>
          <w:szCs w:val="24"/>
          <w:highlight w:val="none"/>
        </w:rPr>
        <w:t xml:space="preserve">在磋商过程中，磋商小组可以根据磋商文件和磋商情况实质性变动采购需求中的技术、服务要求以及合同草案条款，但不得变动磋商文件中的其他内容。实质性变动的内容，须经采购人代表确认。 </w:t>
      </w:r>
    </w:p>
    <w:p w14:paraId="7060227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26.2.7 </w:t>
      </w:r>
      <w:r>
        <w:rPr>
          <w:rFonts w:hint="eastAsia" w:ascii="宋体" w:hAnsi="宋体" w:eastAsia="宋体" w:cs="宋体"/>
          <w:color w:val="auto"/>
          <w:sz w:val="24"/>
          <w:szCs w:val="24"/>
          <w:highlight w:val="none"/>
        </w:rPr>
        <w:t>对磋商文件作出的实质性变动是磋商文件的有效组成部分，磋商小组应当以书面形式同时通知所有参加磋商的供应商，供应商应当按照磋商文件的变动情况和磋商小组的要求重新提交响应文件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并由其法定代表人或授权代表签字或者加盖公章。供应商为自然人的，应当由本人签字并附身份证明。 </w:t>
      </w:r>
    </w:p>
    <w:p w14:paraId="4357E694">
      <w:pPr>
        <w:spacing w:line="440" w:lineRule="exact"/>
        <w:ind w:firstLine="480" w:firstLineChars="200"/>
        <w:rPr>
          <w:rFonts w:hint="eastAsia"/>
          <w:b/>
          <w:bCs/>
          <w:color w:val="auto"/>
          <w:sz w:val="24"/>
          <w:szCs w:val="24"/>
          <w:highlight w:val="none"/>
        </w:rPr>
      </w:pPr>
      <w:r>
        <w:rPr>
          <w:rFonts w:hint="eastAsia" w:ascii="宋体" w:hAnsi="宋体" w:eastAsia="宋体" w:cs="宋体"/>
          <w:color w:val="auto"/>
          <w:sz w:val="24"/>
          <w:szCs w:val="24"/>
          <w:highlight w:val="none"/>
          <w:lang w:val="en-US" w:eastAsia="zh-CN"/>
        </w:rPr>
        <w:t xml:space="preserve">26.2.8 </w:t>
      </w:r>
      <w:r>
        <w:rPr>
          <w:rFonts w:hint="eastAsia"/>
          <w:color w:val="auto"/>
          <w:sz w:val="24"/>
          <w:szCs w:val="24"/>
          <w:highlight w:val="none"/>
        </w:rPr>
        <w:t>磋商文件能够详细说明采购标的的技术、服务要求的，磋商结束后，磋商小组应当要求所有实质性响应的供应商在规定的时间内</w:t>
      </w:r>
      <w:r>
        <w:rPr>
          <w:rFonts w:hint="eastAsia"/>
          <w:color w:val="auto"/>
          <w:sz w:val="24"/>
          <w:szCs w:val="24"/>
          <w:highlight w:val="none"/>
          <w:lang w:val="en-US" w:eastAsia="zh-CN"/>
        </w:rPr>
        <w:t>在政采云不见面开评标大厅</w:t>
      </w:r>
      <w:r>
        <w:rPr>
          <w:rFonts w:hint="eastAsia"/>
          <w:color w:val="auto"/>
          <w:sz w:val="24"/>
          <w:szCs w:val="24"/>
          <w:highlight w:val="none"/>
        </w:rPr>
        <w:t>提交最后报价，提交最后报价的供应商不得少于3家。</w:t>
      </w:r>
      <w:r>
        <w:rPr>
          <w:rFonts w:hint="eastAsia"/>
          <w:b/>
          <w:bCs/>
          <w:color w:val="auto"/>
          <w:sz w:val="24"/>
          <w:szCs w:val="24"/>
          <w:highlight w:val="none"/>
          <w:lang w:val="en-US" w:eastAsia="zh-CN"/>
        </w:rPr>
        <w:t>供应商进入政采云平台“项目采购”-“开标评标”模块，在政采云不见面开评标大厅中，等待招标代理公司经办人开启二次报价，供应商根据系统提示填写二次报价，并签章确认提交。</w:t>
      </w:r>
      <w:r>
        <w:rPr>
          <w:rFonts w:hint="eastAsia"/>
          <w:b/>
          <w:bCs/>
          <w:color w:val="auto"/>
          <w:sz w:val="24"/>
          <w:szCs w:val="24"/>
          <w:highlight w:val="none"/>
        </w:rPr>
        <w:t xml:space="preserve"> </w:t>
      </w:r>
    </w:p>
    <w:p w14:paraId="0D887545">
      <w:pPr>
        <w:spacing w:line="440" w:lineRule="exact"/>
        <w:ind w:firstLine="480" w:firstLineChars="200"/>
        <w:rPr>
          <w:rFonts w:hint="eastAsia" w:ascii="宋体" w:hAnsi="宋体" w:eastAsia="宋体" w:cs="宋体"/>
          <w:color w:val="auto"/>
          <w:sz w:val="24"/>
          <w:szCs w:val="24"/>
          <w:highlight w:val="none"/>
        </w:rPr>
      </w:pPr>
      <w:r>
        <w:rPr>
          <w:rFonts w:hint="eastAsia"/>
          <w:color w:val="auto"/>
          <w:sz w:val="24"/>
          <w:szCs w:val="24"/>
          <w:highlight w:val="none"/>
        </w:rPr>
        <w:t>如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响应文件的有效组成部分。</w:t>
      </w:r>
    </w:p>
    <w:p w14:paraId="3AC5398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26.2.9 </w:t>
      </w:r>
      <w:r>
        <w:rPr>
          <w:rFonts w:hint="eastAsia" w:ascii="宋体" w:hAnsi="宋体" w:eastAsia="宋体" w:cs="宋体"/>
          <w:color w:val="auto"/>
          <w:sz w:val="24"/>
          <w:szCs w:val="24"/>
          <w:highlight w:val="none"/>
        </w:rPr>
        <w:t xml:space="preserve">在磋商过程中，供应商提交的澄清文件和最终响应文件，由供应商法定代表人或其授权代表签署后生效，供应商应受其约束。 </w:t>
      </w:r>
    </w:p>
    <w:p w14:paraId="60C7F15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26.3 </w:t>
      </w:r>
      <w:r>
        <w:rPr>
          <w:rFonts w:hint="eastAsia" w:ascii="宋体" w:hAnsi="宋体" w:eastAsia="宋体" w:cs="宋体"/>
          <w:color w:val="auto"/>
          <w:sz w:val="24"/>
          <w:szCs w:val="24"/>
          <w:highlight w:val="none"/>
        </w:rPr>
        <w:t>已提交响应文件的供应商，在提交最后报价之前，可以根据磋商情况退出磋商。</w:t>
      </w:r>
      <w:r>
        <w:rPr>
          <w:rFonts w:hint="eastAsia" w:ascii="宋体" w:hAnsi="宋体" w:eastAsia="宋体" w:cs="宋体"/>
          <w:color w:val="auto"/>
          <w:sz w:val="24"/>
          <w:szCs w:val="24"/>
          <w:highlight w:val="none"/>
          <w:lang w:val="en-US" w:eastAsia="zh-CN"/>
        </w:rPr>
        <w:t>未作最后报价供应商视为自动退出磋商。供应商下轮报价可与上轮报价一致。</w:t>
      </w:r>
    </w:p>
    <w:p w14:paraId="27EEF2A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26.4 </w:t>
      </w:r>
      <w:r>
        <w:rPr>
          <w:rFonts w:hint="eastAsia" w:cs="宋体"/>
          <w:color w:val="auto"/>
          <w:sz w:val="24"/>
          <w:szCs w:val="24"/>
          <w:highlight w:val="none"/>
          <w:lang w:val="en-US" w:eastAsia="zh-CN"/>
        </w:rPr>
        <w:t>招标代理</w:t>
      </w:r>
      <w:r>
        <w:rPr>
          <w:rFonts w:hint="eastAsia" w:ascii="宋体" w:hAnsi="宋体" w:eastAsia="宋体" w:cs="宋体"/>
          <w:color w:val="auto"/>
          <w:sz w:val="24"/>
          <w:szCs w:val="24"/>
          <w:highlight w:val="none"/>
          <w:lang w:val="en-US" w:eastAsia="zh-CN"/>
        </w:rPr>
        <w:t>工作人员</w:t>
      </w:r>
      <w:r>
        <w:rPr>
          <w:rFonts w:hint="eastAsia" w:ascii="宋体" w:hAnsi="宋体" w:eastAsia="宋体" w:cs="宋体"/>
          <w:color w:val="auto"/>
          <w:sz w:val="24"/>
          <w:szCs w:val="24"/>
          <w:highlight w:val="none"/>
        </w:rPr>
        <w:t xml:space="preserve">对磋商过程和重要磋商内容进行记录。 </w:t>
      </w:r>
    </w:p>
    <w:p w14:paraId="75603F9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27 </w:t>
      </w:r>
      <w:r>
        <w:rPr>
          <w:rFonts w:hint="eastAsia" w:ascii="宋体" w:hAnsi="宋体" w:eastAsia="宋体" w:cs="宋体"/>
          <w:b/>
          <w:bCs/>
          <w:color w:val="auto"/>
          <w:sz w:val="24"/>
          <w:szCs w:val="24"/>
          <w:highlight w:val="none"/>
        </w:rPr>
        <w:t>最后报价</w:t>
      </w:r>
      <w:r>
        <w:rPr>
          <w:rFonts w:hint="eastAsia" w:ascii="宋体" w:hAnsi="宋体" w:eastAsia="宋体" w:cs="宋体"/>
          <w:color w:val="auto"/>
          <w:sz w:val="24"/>
          <w:szCs w:val="24"/>
          <w:highlight w:val="none"/>
        </w:rPr>
        <w:t xml:space="preserve"> </w:t>
      </w:r>
    </w:p>
    <w:p w14:paraId="1C480F4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.1. 磋商结束后，作出实质性响应的供应商应在规定的时间内密封提交最后报价（最后报价时间视磋商进程由磋商小组决定）。 </w:t>
      </w:r>
    </w:p>
    <w:p w14:paraId="56E8F7A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28 </w:t>
      </w:r>
      <w:r>
        <w:rPr>
          <w:rFonts w:hint="eastAsia" w:ascii="宋体" w:hAnsi="宋体" w:eastAsia="宋体" w:cs="宋体"/>
          <w:b/>
          <w:bCs/>
          <w:color w:val="auto"/>
          <w:sz w:val="24"/>
          <w:szCs w:val="24"/>
          <w:highlight w:val="none"/>
        </w:rPr>
        <w:t>评标方法</w:t>
      </w:r>
      <w:r>
        <w:rPr>
          <w:rFonts w:hint="eastAsia" w:ascii="宋体" w:hAnsi="宋体" w:eastAsia="宋体" w:cs="宋体"/>
          <w:color w:val="auto"/>
          <w:sz w:val="24"/>
          <w:szCs w:val="24"/>
          <w:highlight w:val="none"/>
        </w:rPr>
        <w:t xml:space="preserve"> </w:t>
      </w:r>
    </w:p>
    <w:p w14:paraId="709848C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28.1 </w:t>
      </w:r>
      <w:r>
        <w:rPr>
          <w:rFonts w:hint="eastAsia" w:ascii="宋体" w:hAnsi="宋体" w:eastAsia="宋体" w:cs="宋体"/>
          <w:color w:val="auto"/>
          <w:sz w:val="24"/>
          <w:szCs w:val="24"/>
          <w:highlight w:val="none"/>
        </w:rPr>
        <w:t xml:space="preserve">本项目采用综合评分法。磋商小组对资格、符合性审查合格的响应文件进行商务、技术和价格评审， 如有多个包组则按各包组的自然顺序进行评审。磋商小组的评审按照客观、公正、审慎的原则，根据磋商文件规定的评标程序、评审方法和评审标准，就每个供应商的商务状况、技术状况及其对磋商文件要求的响应情况进行评审和比较，独立评出各供应商的商务得分、技术得分。各评委的评分算术平均值即为该供应商的商务得分和技术得分；然后评出磋商报价得分；最后将商务得分、技术得分和磋商报价得分汇总得出综合得分（商务得分、技术得分、磋商报价得分分值按四舍五入原则精确到小数点后两位）。 </w:t>
      </w:r>
    </w:p>
    <w:p w14:paraId="72A6F853">
      <w:pPr>
        <w:pStyle w:val="9"/>
        <w:rPr>
          <w:rFonts w:hint="eastAsia"/>
          <w:color w:val="auto"/>
          <w:highlight w:val="none"/>
        </w:rPr>
      </w:pPr>
    </w:p>
    <w:p w14:paraId="75261B57">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综合得分＝商务得分+技术得分+磋商报价得分</w:t>
      </w:r>
    </w:p>
    <w:p w14:paraId="43EF697A">
      <w:pPr>
        <w:pStyle w:val="9"/>
        <w:rPr>
          <w:rFonts w:hint="eastAsia"/>
          <w:color w:val="auto"/>
          <w:highlight w:val="none"/>
        </w:rPr>
      </w:pPr>
    </w:p>
    <w:p w14:paraId="229BA43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28.2 </w:t>
      </w:r>
      <w:r>
        <w:rPr>
          <w:rFonts w:hint="eastAsia" w:ascii="宋体" w:hAnsi="宋体" w:eastAsia="宋体" w:cs="宋体"/>
          <w:color w:val="auto"/>
          <w:sz w:val="24"/>
          <w:szCs w:val="24"/>
          <w:highlight w:val="none"/>
        </w:rPr>
        <w:t xml:space="preserve">商务、技术评分 </w:t>
      </w:r>
    </w:p>
    <w:p w14:paraId="7727C99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 xml:space="preserve">28.2.1 </w:t>
      </w:r>
      <w:r>
        <w:rPr>
          <w:rFonts w:hint="eastAsia" w:ascii="宋体" w:hAnsi="宋体" w:eastAsia="宋体" w:cs="宋体"/>
          <w:color w:val="auto"/>
          <w:sz w:val="24"/>
          <w:szCs w:val="24"/>
          <w:highlight w:val="none"/>
        </w:rPr>
        <w:t>磋商小组对供应商的商务、技术状况及响应程度进行评议和比较，并依据评分标准，评出其商务、技术评分。详细评分标准见</w:t>
      </w:r>
      <w:r>
        <w:rPr>
          <w:rFonts w:hint="eastAsia" w:ascii="宋体" w:hAnsi="宋体" w:eastAsia="宋体" w:cs="宋体"/>
          <w:b w:val="0"/>
          <w:bCs w:val="0"/>
          <w:color w:val="auto"/>
          <w:sz w:val="24"/>
          <w:szCs w:val="24"/>
          <w:highlight w:val="none"/>
          <w:lang w:val="en-US" w:eastAsia="zh-CN"/>
        </w:rPr>
        <w:t>磋商须知第七部分《</w:t>
      </w:r>
      <w:r>
        <w:rPr>
          <w:rFonts w:hint="eastAsia" w:ascii="宋体" w:hAnsi="宋体" w:eastAsia="宋体" w:cs="宋体"/>
          <w:b w:val="0"/>
          <w:bCs w:val="0"/>
          <w:color w:val="auto"/>
          <w:sz w:val="24"/>
          <w:szCs w:val="24"/>
          <w:highlight w:val="none"/>
        </w:rPr>
        <w:t>评分标准</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 xml:space="preserve">。 </w:t>
      </w:r>
    </w:p>
    <w:p w14:paraId="77B4A8A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28.3 </w:t>
      </w:r>
      <w:r>
        <w:rPr>
          <w:rFonts w:hint="eastAsia" w:ascii="宋体" w:hAnsi="宋体" w:eastAsia="宋体" w:cs="宋体"/>
          <w:color w:val="auto"/>
          <w:sz w:val="24"/>
          <w:szCs w:val="24"/>
          <w:highlight w:val="none"/>
        </w:rPr>
        <w:t xml:space="preserve">磋商报价评分 </w:t>
      </w:r>
    </w:p>
    <w:p w14:paraId="1B31EF6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28.3.1 </w:t>
      </w:r>
      <w:r>
        <w:rPr>
          <w:rFonts w:hint="eastAsia" w:ascii="宋体" w:hAnsi="宋体" w:eastAsia="宋体" w:cs="宋体"/>
          <w:color w:val="auto"/>
          <w:sz w:val="24"/>
          <w:szCs w:val="24"/>
          <w:highlight w:val="none"/>
        </w:rPr>
        <w:t>磋商报价评分采用低价优先的原则计算，即满足磋商文件要求且最后报价最低的供应商的价格为磋商基准价，该供应商的价格分为满分，落实政府采购政策进行价格调整的，以调整后的价格计算磋商基准价和磋商报价，详细评分标准见</w:t>
      </w:r>
      <w:r>
        <w:rPr>
          <w:rFonts w:hint="eastAsia" w:ascii="宋体" w:hAnsi="宋体" w:eastAsia="宋体" w:cs="宋体"/>
          <w:b w:val="0"/>
          <w:bCs w:val="0"/>
          <w:color w:val="auto"/>
          <w:sz w:val="24"/>
          <w:szCs w:val="24"/>
          <w:highlight w:val="none"/>
          <w:lang w:val="en-US" w:eastAsia="zh-CN"/>
        </w:rPr>
        <w:t>磋商须知第七部分《</w:t>
      </w:r>
      <w:r>
        <w:rPr>
          <w:rFonts w:hint="eastAsia" w:ascii="宋体" w:hAnsi="宋体" w:eastAsia="宋体" w:cs="宋体"/>
          <w:b w:val="0"/>
          <w:bCs w:val="0"/>
          <w:color w:val="auto"/>
          <w:sz w:val="24"/>
          <w:szCs w:val="24"/>
          <w:highlight w:val="none"/>
        </w:rPr>
        <w:t>评分标准</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rPr>
        <w:t xml:space="preserve">。其他供应商的价格分统一按照下列公式计算： </w:t>
      </w:r>
    </w:p>
    <w:p w14:paraId="2CE10775">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磋商报价得分=(磋商基准价/最后磋商报价)×价格权重×100</w:t>
      </w:r>
      <w:r>
        <w:rPr>
          <w:rFonts w:hint="eastAsia" w:ascii="宋体" w:hAnsi="宋体" w:eastAsia="宋体" w:cs="宋体"/>
          <w:color w:val="auto"/>
          <w:sz w:val="24"/>
          <w:szCs w:val="24"/>
          <w:highlight w:val="none"/>
        </w:rPr>
        <w:t xml:space="preserve"> </w:t>
      </w:r>
    </w:p>
    <w:p w14:paraId="3DBE618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28.4 </w:t>
      </w:r>
      <w:r>
        <w:rPr>
          <w:rFonts w:hint="eastAsia" w:ascii="宋体" w:hAnsi="宋体" w:eastAsia="宋体" w:cs="宋体"/>
          <w:b/>
          <w:bCs/>
          <w:color w:val="auto"/>
          <w:sz w:val="24"/>
          <w:szCs w:val="24"/>
          <w:highlight w:val="none"/>
          <w:lang w:val="zh-CN"/>
        </w:rPr>
        <w:t>小微企业（监狱企业、残疾人福利性单位视同小微企业）价格扣除（仅非预留份额的采购项目或者采购包适用）</w:t>
      </w:r>
      <w:r>
        <w:rPr>
          <w:rFonts w:hint="eastAsia" w:ascii="宋体" w:hAnsi="宋体" w:eastAsia="宋体" w:cs="宋体"/>
          <w:color w:val="auto"/>
          <w:sz w:val="24"/>
          <w:szCs w:val="24"/>
          <w:highlight w:val="none"/>
        </w:rPr>
        <w:t xml:space="preserve"> </w:t>
      </w:r>
    </w:p>
    <w:p w14:paraId="7184DB5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 xml:space="preserve">28.4.1 </w:t>
      </w:r>
      <w:r>
        <w:rPr>
          <w:rFonts w:hint="eastAsia" w:ascii="宋体" w:hAnsi="宋体" w:eastAsia="宋体" w:cs="宋体"/>
          <w:color w:val="auto"/>
          <w:sz w:val="24"/>
          <w:szCs w:val="24"/>
          <w:highlight w:val="none"/>
          <w:lang w:val="zh-CN"/>
        </w:rPr>
        <w:t>对于经主管预算单位统筹后未预留份额专门面向中小企业采购的采购项目，以及预留份额项目中的非预留部分采购包，对符合《政府采购促进中小企业发展管理办法》（财库〔2020〕46 号）规定的小微企业报价给予</w:t>
      </w:r>
      <w:r>
        <w:rPr>
          <w:rFonts w:hint="eastAsia"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的扣除，用扣除后的价格参加评审。</w:t>
      </w:r>
    </w:p>
    <w:p w14:paraId="5F36117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28.4.2</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接受大中型企业与小微企业组成联合体的采购项目，对联合协议约定小微企业的合同份额占到合同总金额30%以上的，对联合体的报价给予</w:t>
      </w:r>
      <w:r>
        <w:rPr>
          <w:rFonts w:hint="eastAsia"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lang w:val="zh-CN"/>
        </w:rPr>
        <w:t>的扣除，用扣除后的价格参加评审。</w:t>
      </w:r>
    </w:p>
    <w:p w14:paraId="5191FD2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28.4.3</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允许大中型企业向一家或者多家小微企业分包的采购项目，对于分包意向协议约定小微企业的合同份额占到合同总金额30%以上的，对大中型企业的报价给予</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zh-CN"/>
        </w:rPr>
        <w:t>%的扣除，用扣除后的价格参加评审。</w:t>
      </w:r>
    </w:p>
    <w:p w14:paraId="3A452D7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28.4.</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参加政府采购活动的中小企业应当提供《中小企业声明函》原件。监狱企业应当提供监狱企业证明复印件。残疾人福利性单位应当提供《残疾人福利性单位声明函》原件。</w:t>
      </w:r>
      <w:r>
        <w:rPr>
          <w:rFonts w:hint="eastAsia" w:cs="宋体"/>
          <w:color w:val="auto"/>
          <w:sz w:val="24"/>
          <w:szCs w:val="24"/>
          <w:highlight w:val="none"/>
          <w:lang w:val="en-US" w:eastAsia="zh-CN"/>
        </w:rPr>
        <w:t>以上</w:t>
      </w:r>
      <w:r>
        <w:rPr>
          <w:rFonts w:hint="eastAsia" w:ascii="宋体" w:hAnsi="宋体" w:eastAsia="宋体" w:cs="宋体"/>
          <w:color w:val="auto"/>
          <w:sz w:val="24"/>
          <w:szCs w:val="24"/>
          <w:highlight w:val="none"/>
          <w:lang w:val="zh-CN"/>
        </w:rPr>
        <w:t>格式详见</w:t>
      </w:r>
      <w:r>
        <w:rPr>
          <w:rFonts w:hint="eastAsia" w:cs="宋体"/>
          <w:color w:val="auto"/>
          <w:sz w:val="24"/>
          <w:szCs w:val="24"/>
          <w:highlight w:val="none"/>
          <w:lang w:val="en-US" w:eastAsia="zh-CN"/>
        </w:rPr>
        <w:t>磋商文件</w:t>
      </w:r>
      <w:r>
        <w:rPr>
          <w:rFonts w:hint="eastAsia" w:ascii="宋体" w:hAnsi="宋体" w:eastAsia="宋体" w:cs="宋体"/>
          <w:color w:val="auto"/>
          <w:sz w:val="24"/>
          <w:szCs w:val="24"/>
          <w:highlight w:val="none"/>
          <w:lang w:val="zh-CN"/>
        </w:rPr>
        <w:t>第五部分响应文件格式</w:t>
      </w:r>
      <w:r>
        <w:rPr>
          <w:rFonts w:hint="eastAsia" w:cs="宋体"/>
          <w:color w:val="auto"/>
          <w:sz w:val="24"/>
          <w:szCs w:val="24"/>
          <w:highlight w:val="none"/>
          <w:lang w:val="zh-CN"/>
        </w:rPr>
        <w:t>，</w:t>
      </w:r>
      <w:r>
        <w:rPr>
          <w:rFonts w:hint="eastAsia" w:ascii="宋体" w:hAnsi="宋体" w:eastAsia="宋体" w:cs="宋体"/>
          <w:color w:val="auto"/>
          <w:sz w:val="24"/>
          <w:szCs w:val="24"/>
          <w:highlight w:val="none"/>
          <w:lang w:val="zh-CN"/>
        </w:rPr>
        <w:t>未提供的视为放弃享受小微企业价格扣除优惠政策。</w:t>
      </w:r>
    </w:p>
    <w:p w14:paraId="4CF7B31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28.4.</w:t>
      </w:r>
      <w:r>
        <w:rPr>
          <w:rFonts w:hint="eastAsia" w:cs="宋体"/>
          <w:color w:val="auto"/>
          <w:sz w:val="24"/>
          <w:szCs w:val="24"/>
          <w:highlight w:val="none"/>
          <w:lang w:val="en-US" w:eastAsia="zh-CN"/>
        </w:rPr>
        <w:t xml:space="preserve">5 </w:t>
      </w:r>
      <w:r>
        <w:rPr>
          <w:rFonts w:hint="eastAsia" w:ascii="宋体" w:hAnsi="宋体" w:eastAsia="宋体" w:cs="宋体"/>
          <w:color w:val="auto"/>
          <w:sz w:val="24"/>
          <w:szCs w:val="24"/>
          <w:highlight w:val="none"/>
          <w:lang w:val="zh-CN"/>
        </w:rPr>
        <w:t>组成联合体或者接受分包的小微企业与联合体内其他企业、分包企业之间存在直接控股、管理关系的，不享受价格扣除优惠政策。</w:t>
      </w:r>
    </w:p>
    <w:p w14:paraId="6ADCDA3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28.4.</w:t>
      </w:r>
      <w:r>
        <w:rPr>
          <w:rFonts w:hint="eastAsia" w:cs="宋体"/>
          <w:color w:val="auto"/>
          <w:sz w:val="24"/>
          <w:szCs w:val="24"/>
          <w:highlight w:val="none"/>
          <w:lang w:val="en-US" w:eastAsia="zh-CN"/>
        </w:rPr>
        <w:t xml:space="preserve">6 </w:t>
      </w:r>
      <w:r>
        <w:rPr>
          <w:rFonts w:hint="eastAsia" w:ascii="宋体" w:hAnsi="宋体" w:eastAsia="宋体" w:cs="宋体"/>
          <w:color w:val="auto"/>
          <w:sz w:val="24"/>
          <w:szCs w:val="24"/>
          <w:highlight w:val="none"/>
          <w:lang w:val="zh-CN"/>
        </w:rPr>
        <w:t>依据《政府采购促进中小企业发展管理办法》（财库〔2020〕46 号）规定享受扶持政策的小微企业，不得将合同分包给大中型企业。</w:t>
      </w:r>
    </w:p>
    <w:p w14:paraId="18B0F6ED">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28.5 </w:t>
      </w:r>
      <w:r>
        <w:rPr>
          <w:rFonts w:hint="eastAsia" w:ascii="宋体" w:hAnsi="宋体" w:eastAsia="宋体" w:cs="宋体"/>
          <w:b/>
          <w:bCs/>
          <w:color w:val="auto"/>
          <w:sz w:val="24"/>
          <w:szCs w:val="24"/>
          <w:highlight w:val="none"/>
        </w:rPr>
        <w:t>节能产品、环境标志产品政府采购政策执行</w:t>
      </w:r>
      <w:r>
        <w:rPr>
          <w:rFonts w:hint="eastAsia" w:ascii="宋体" w:hAnsi="宋体" w:eastAsia="宋体" w:cs="宋体"/>
          <w:color w:val="auto"/>
          <w:sz w:val="24"/>
          <w:szCs w:val="24"/>
          <w:highlight w:val="none"/>
        </w:rPr>
        <w:t xml:space="preserve"> </w:t>
      </w:r>
    </w:p>
    <w:p w14:paraId="42C4751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cs="宋体"/>
          <w:color w:val="auto"/>
          <w:sz w:val="24"/>
          <w:szCs w:val="24"/>
          <w:highlight w:val="none"/>
          <w:lang w:val="en-US" w:eastAsia="zh-CN"/>
        </w:rPr>
        <w:t xml:space="preserve">28.5.1 </w:t>
      </w:r>
      <w:r>
        <w:rPr>
          <w:rFonts w:hint="eastAsia" w:ascii="宋体" w:hAnsi="宋体" w:eastAsia="宋体" w:cs="宋体"/>
          <w:color w:val="auto"/>
          <w:sz w:val="24"/>
          <w:szCs w:val="24"/>
          <w:highlight w:val="none"/>
          <w:lang w:val="en-US" w:eastAsia="zh-CN"/>
        </w:rPr>
        <w:t>根据《财政部发展改革委生态环境部市场监管总局关于调整优化节能产品、环境标志产品政府采购执行机制的通知》（财库〔2019</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9号）相关要求，依据品目清单和认证证书实施政府优先采购和强制采购。本项目采购的产品属于品目清单范围的，应当依据国家确定的认证机构出具的、处于有效期之内的节能产品、环境标志产品认证证书，对获得证书的产品实施政府优先采购或强制采购。 </w:t>
      </w:r>
    </w:p>
    <w:p w14:paraId="3E2979F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28.5.2 采购标的</w:t>
      </w:r>
      <w:r>
        <w:rPr>
          <w:rFonts w:hint="eastAsia" w:ascii="宋体" w:hAnsi="宋体" w:eastAsia="宋体" w:cs="宋体"/>
          <w:color w:val="auto"/>
          <w:sz w:val="24"/>
          <w:szCs w:val="24"/>
          <w:highlight w:val="none"/>
        </w:rPr>
        <w:t>属于《节能产品政府采购品目清单》、《环境标志产品政府采购品目清单》中优先采购产品类别产品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须提供由《参与实施政府采购节能产品认证机构名录》、《参与实施政府采购环境标志产品认证机构名录》中确定的认证机构出具的、处于有效期之内的节能产品认证证书或环境标志产品认证证书（复印件加盖供应商公章）</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将按照“第</w:t>
      </w:r>
      <w:r>
        <w:rPr>
          <w:rFonts w:hint="eastAsia" w:cs="宋体"/>
          <w:color w:val="auto"/>
          <w:sz w:val="24"/>
          <w:szCs w:val="24"/>
          <w:highlight w:val="none"/>
          <w:lang w:val="en-US" w:eastAsia="zh-CN"/>
        </w:rPr>
        <w:t>七</w:t>
      </w:r>
      <w:r>
        <w:rPr>
          <w:rFonts w:hint="eastAsia" w:ascii="宋体" w:hAnsi="宋体" w:eastAsia="宋体" w:cs="宋体"/>
          <w:color w:val="auto"/>
          <w:sz w:val="24"/>
          <w:szCs w:val="24"/>
          <w:highlight w:val="none"/>
          <w:lang w:val="en-US" w:eastAsia="zh-CN"/>
        </w:rPr>
        <w:t xml:space="preserve">部分 </w:t>
      </w:r>
      <w:r>
        <w:rPr>
          <w:rFonts w:hint="eastAsia" w:cs="宋体"/>
          <w:color w:val="auto"/>
          <w:sz w:val="24"/>
          <w:szCs w:val="24"/>
          <w:highlight w:val="none"/>
          <w:lang w:val="en-US" w:eastAsia="zh-CN"/>
        </w:rPr>
        <w:t>评审</w:t>
      </w:r>
      <w:r>
        <w:rPr>
          <w:rFonts w:hint="eastAsia" w:ascii="宋体" w:hAnsi="宋体" w:eastAsia="宋体" w:cs="宋体"/>
          <w:color w:val="auto"/>
          <w:sz w:val="24"/>
          <w:szCs w:val="24"/>
          <w:highlight w:val="none"/>
          <w:lang w:val="en-US" w:eastAsia="zh-CN"/>
        </w:rPr>
        <w:t>标准”给予加分。</w:t>
      </w:r>
    </w:p>
    <w:p w14:paraId="1505BD7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价格项加分：</w:t>
      </w:r>
    </w:p>
    <w:p w14:paraId="423CCAF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1、（节能清单部分产品的价格/投标报价）×3%×价格项满分值</w:t>
      </w:r>
    </w:p>
    <w:p w14:paraId="22761C4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2、（环境清单部分产品的价格/投标报价）×3%×价格项满分值</w:t>
      </w:r>
    </w:p>
    <w:p w14:paraId="18A9DD1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技术项加分：</w:t>
      </w:r>
    </w:p>
    <w:p w14:paraId="54FF251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1、（节能清单部分产品的价格/投标报价）×3%×技术项满分值</w:t>
      </w:r>
    </w:p>
    <w:p w14:paraId="2F35054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2、（环境清单部分产品的价格/投标报价）×3%×技术项满分值</w:t>
      </w:r>
    </w:p>
    <w:p w14:paraId="4D2EF46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注：1、供应商须提供</w:t>
      </w:r>
      <w:r>
        <w:rPr>
          <w:rFonts w:hint="eastAsia" w:ascii="宋体" w:hAnsi="宋体" w:eastAsia="宋体" w:cs="宋体"/>
          <w:color w:val="auto"/>
          <w:sz w:val="24"/>
          <w:szCs w:val="24"/>
          <w:highlight w:val="none"/>
          <w:lang w:val="en-US" w:eastAsia="zh-CN"/>
        </w:rPr>
        <w:t>最新一</w:t>
      </w:r>
      <w:r>
        <w:rPr>
          <w:rFonts w:hint="eastAsia" w:ascii="宋体" w:hAnsi="宋体" w:eastAsia="宋体" w:cs="宋体"/>
          <w:color w:val="auto"/>
          <w:sz w:val="24"/>
          <w:szCs w:val="24"/>
          <w:highlight w:val="none"/>
        </w:rPr>
        <w:t>期《节能产品政府采购清单》关于投标产品当前页的打印件；</w:t>
      </w:r>
    </w:p>
    <w:p w14:paraId="20D822D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lang w:val="zh-CN"/>
        </w:rPr>
      </w:pPr>
      <w:r>
        <w:rPr>
          <w:rFonts w:hint="eastAsia" w:ascii="宋体" w:hAnsi="宋体" w:eastAsia="宋体" w:cs="宋体"/>
          <w:color w:val="auto"/>
          <w:sz w:val="24"/>
          <w:szCs w:val="24"/>
          <w:highlight w:val="none"/>
        </w:rPr>
        <w:t>2、供应商提供</w:t>
      </w:r>
      <w:r>
        <w:rPr>
          <w:rFonts w:hint="eastAsia" w:ascii="宋体" w:hAnsi="宋体" w:eastAsia="宋体" w:cs="宋体"/>
          <w:color w:val="auto"/>
          <w:sz w:val="24"/>
          <w:szCs w:val="24"/>
          <w:highlight w:val="none"/>
          <w:lang w:val="en-US" w:eastAsia="zh-CN"/>
        </w:rPr>
        <w:t>最新一</w:t>
      </w:r>
      <w:r>
        <w:rPr>
          <w:rFonts w:hint="eastAsia" w:ascii="宋体" w:hAnsi="宋体" w:eastAsia="宋体" w:cs="宋体"/>
          <w:color w:val="auto"/>
          <w:sz w:val="24"/>
          <w:szCs w:val="24"/>
          <w:highlight w:val="none"/>
        </w:rPr>
        <w:t>期《环境标志产品政府采购清单》关于投标产品当前页的打印件；</w:t>
      </w:r>
    </w:p>
    <w:p w14:paraId="6CAF7505">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29 </w:t>
      </w:r>
      <w:r>
        <w:rPr>
          <w:rFonts w:hint="eastAsia" w:ascii="宋体" w:hAnsi="宋体" w:eastAsia="宋体" w:cs="宋体"/>
          <w:b/>
          <w:bCs/>
          <w:color w:val="auto"/>
          <w:sz w:val="24"/>
          <w:szCs w:val="24"/>
          <w:highlight w:val="none"/>
        </w:rPr>
        <w:t>授标与定标原则</w:t>
      </w:r>
      <w:r>
        <w:rPr>
          <w:rFonts w:hint="eastAsia" w:ascii="宋体" w:hAnsi="宋体" w:eastAsia="宋体" w:cs="宋体"/>
          <w:color w:val="auto"/>
          <w:sz w:val="24"/>
          <w:szCs w:val="24"/>
          <w:highlight w:val="none"/>
        </w:rPr>
        <w:t xml:space="preserve"> </w:t>
      </w:r>
    </w:p>
    <w:p w14:paraId="4D7DE16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29.1 </w:t>
      </w:r>
      <w:r>
        <w:rPr>
          <w:rFonts w:hint="eastAsia" w:ascii="宋体" w:hAnsi="宋体" w:eastAsia="宋体" w:cs="宋体"/>
          <w:color w:val="auto"/>
          <w:sz w:val="24"/>
          <w:szCs w:val="24"/>
          <w:highlight w:val="none"/>
        </w:rPr>
        <w:t xml:space="preserve">磋商小组按照磋商文件确定的评标方法、步骤、标准，对响应文件进行评审，并出具书面评标报告。磋商小组成员对需要共同认定的事项存在争议的，应当按照少数服从多数的原则作出结论。持不同意见的磋商小组成员应当在评标报告上签署不同意见及理由，否则视为同意评标报告。 </w:t>
      </w:r>
    </w:p>
    <w:p w14:paraId="51DE681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29.2 </w:t>
      </w:r>
      <w:r>
        <w:rPr>
          <w:rFonts w:hint="eastAsia" w:ascii="宋体" w:hAnsi="宋体" w:eastAsia="宋体" w:cs="宋体"/>
          <w:color w:val="auto"/>
          <w:sz w:val="24"/>
          <w:szCs w:val="24"/>
          <w:highlight w:val="none"/>
        </w:rPr>
        <w:t xml:space="preserve">磋商小组根据评审结果，按评审后得分由高到低的顺序排列成交候选供应商名次。得分相同的，按磋商报价由低到高顺序排列。综合得分且磋商报价相同的，按技术部分得分由高到低顺序排列。综合得分、价格及技术得分均相同的，由磋商小组通过表决的方式，以少数服从多数原则，决定成交候选供应商排列顺序。 </w:t>
      </w:r>
    </w:p>
    <w:p w14:paraId="4673285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29.3 </w:t>
      </w:r>
      <w:r>
        <w:rPr>
          <w:rFonts w:hint="eastAsia" w:ascii="宋体" w:hAnsi="宋体" w:eastAsia="宋体" w:cs="宋体"/>
          <w:color w:val="auto"/>
          <w:sz w:val="24"/>
          <w:szCs w:val="24"/>
          <w:highlight w:val="none"/>
        </w:rPr>
        <w:t xml:space="preserve">推荐综合得分排名第一的供应商为第一成交候选供应商，排名第二的供应商为第二成交候选供应商， 排名第三的供应商为第三成交候选供应商。 </w:t>
      </w:r>
    </w:p>
    <w:p w14:paraId="3742313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29.4 </w:t>
      </w:r>
      <w:r>
        <w:rPr>
          <w:rFonts w:hint="eastAsia" w:ascii="宋体" w:hAnsi="宋体" w:eastAsia="宋体" w:cs="宋体"/>
          <w:color w:val="auto"/>
          <w:sz w:val="24"/>
          <w:szCs w:val="24"/>
          <w:highlight w:val="none"/>
        </w:rPr>
        <w:t>根据磋商小组的磋商结果，采购人在评标报告推荐的成交候选供应商中按顺序依法确定1名成交供应商。</w:t>
      </w:r>
    </w:p>
    <w:p w14:paraId="1B0F345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29.5 </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在评标结束后2个工作日内将评标报告送采购人，采购人在收到评标报告之日起5个工作日内在评标报告确定的成交候选供应商名单中按顺序确定成交供应商。采购人未在5个工作日内按评标报告推荐的成交候选供应商顺序确定成交供应商，又不能说明合法理由的，视同按评标报告推荐的顺序确定排名第一的成交候选供应商为成交供应商。 </w:t>
      </w:r>
    </w:p>
    <w:p w14:paraId="0CCBBF62">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30 </w:t>
      </w:r>
      <w:r>
        <w:rPr>
          <w:rFonts w:hint="eastAsia" w:ascii="宋体" w:hAnsi="宋体" w:eastAsia="宋体" w:cs="宋体"/>
          <w:b/>
          <w:bCs/>
          <w:color w:val="auto"/>
          <w:sz w:val="24"/>
          <w:szCs w:val="24"/>
          <w:highlight w:val="none"/>
        </w:rPr>
        <w:t>成交通知书</w:t>
      </w:r>
      <w:r>
        <w:rPr>
          <w:rFonts w:hint="eastAsia" w:ascii="宋体" w:hAnsi="宋体" w:eastAsia="宋体" w:cs="宋体"/>
          <w:color w:val="auto"/>
          <w:sz w:val="24"/>
          <w:szCs w:val="24"/>
          <w:highlight w:val="none"/>
        </w:rPr>
        <w:t xml:space="preserve"> </w:t>
      </w:r>
    </w:p>
    <w:p w14:paraId="57A93F2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30.1 </w:t>
      </w:r>
      <w:r>
        <w:rPr>
          <w:rFonts w:hint="eastAsia" w:cs="宋体"/>
          <w:color w:val="auto"/>
          <w:sz w:val="24"/>
          <w:szCs w:val="24"/>
          <w:highlight w:val="none"/>
          <w:lang w:val="en-US" w:eastAsia="zh-CN"/>
        </w:rPr>
        <w:t>招标代理机构</w:t>
      </w:r>
      <w:r>
        <w:rPr>
          <w:rFonts w:hint="eastAsia" w:ascii="宋体" w:hAnsi="宋体" w:eastAsia="宋体" w:cs="宋体"/>
          <w:color w:val="auto"/>
          <w:sz w:val="24"/>
          <w:szCs w:val="24"/>
          <w:highlight w:val="none"/>
          <w:lang w:val="en-US" w:eastAsia="zh-CN"/>
        </w:rPr>
        <w:t>工作人员</w:t>
      </w:r>
      <w:r>
        <w:rPr>
          <w:rFonts w:hint="eastAsia" w:ascii="宋体" w:hAnsi="宋体" w:eastAsia="宋体" w:cs="宋体"/>
          <w:color w:val="auto"/>
          <w:sz w:val="24"/>
          <w:szCs w:val="24"/>
          <w:highlight w:val="none"/>
        </w:rPr>
        <w:t>自成交供应商确定之日起2个工作日内，在磋商文件指定的媒体上发布成交公告，成交</w:t>
      </w:r>
      <w:r>
        <w:rPr>
          <w:rFonts w:hint="eastAsia" w:cs="宋体"/>
          <w:color w:val="auto"/>
          <w:sz w:val="24"/>
          <w:szCs w:val="24"/>
          <w:highlight w:val="none"/>
          <w:lang w:val="en-US" w:eastAsia="zh-CN"/>
        </w:rPr>
        <w:t>结果</w:t>
      </w:r>
      <w:r>
        <w:rPr>
          <w:rFonts w:hint="eastAsia" w:ascii="宋体" w:hAnsi="宋体" w:eastAsia="宋体" w:cs="宋体"/>
          <w:color w:val="auto"/>
          <w:sz w:val="24"/>
          <w:szCs w:val="24"/>
          <w:highlight w:val="none"/>
        </w:rPr>
        <w:t>公告期限为</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个工作日。同时向成交供应商发出《成交通知书》。 </w:t>
      </w:r>
    </w:p>
    <w:p w14:paraId="1EFEAB1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30.2 </w:t>
      </w:r>
      <w:r>
        <w:rPr>
          <w:rFonts w:hint="eastAsia" w:ascii="宋体" w:hAnsi="宋体" w:eastAsia="宋体" w:cs="宋体"/>
          <w:color w:val="auto"/>
          <w:sz w:val="24"/>
          <w:szCs w:val="24"/>
          <w:highlight w:val="none"/>
        </w:rPr>
        <w:t xml:space="preserve">《成交通知书》是合同的一个组成部分，《成交通知书》对采购人和成交供应商均具有同等的法律效力；《成交通知书》发出后，采购人改变成交结果，或者成交供应商放弃成交资格，应当承担相应的法律责任。 </w:t>
      </w:r>
    </w:p>
    <w:p w14:paraId="2C8058F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30.3 </w:t>
      </w:r>
      <w:r>
        <w:rPr>
          <w:rFonts w:hint="eastAsia" w:ascii="宋体" w:hAnsi="宋体" w:eastAsia="宋体" w:cs="宋体"/>
          <w:color w:val="auto"/>
          <w:sz w:val="24"/>
          <w:szCs w:val="24"/>
          <w:highlight w:val="none"/>
        </w:rPr>
        <w:t xml:space="preserve">《成交通知书》将作为授予合同资格的合法依据，是合同的一个组成部分。 </w:t>
      </w:r>
    </w:p>
    <w:p w14:paraId="1BBB3D0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30.4 </w:t>
      </w:r>
      <w:r>
        <w:rPr>
          <w:rFonts w:hint="eastAsia" w:ascii="宋体" w:hAnsi="宋体" w:eastAsia="宋体" w:cs="宋体"/>
          <w:color w:val="auto"/>
          <w:sz w:val="24"/>
          <w:szCs w:val="24"/>
          <w:highlight w:val="none"/>
        </w:rPr>
        <w:t>成交供应商为享受中小企业扶持政策的小微企业及视同小微企业的残疾人福利性单位的，</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lang w:val="en-US" w:eastAsia="zh-CN"/>
        </w:rPr>
        <w:t>工作人员</w:t>
      </w:r>
      <w:r>
        <w:rPr>
          <w:rFonts w:hint="eastAsia" w:ascii="宋体" w:hAnsi="宋体" w:eastAsia="宋体" w:cs="宋体"/>
          <w:color w:val="auto"/>
          <w:sz w:val="24"/>
          <w:szCs w:val="24"/>
          <w:highlight w:val="none"/>
        </w:rPr>
        <w:t xml:space="preserve">随成交结果同时公告其《中小企业声明函》、《残疾人福利性单位声明函》，接受社会监督。 </w:t>
      </w:r>
    </w:p>
    <w:p w14:paraId="6C589A8D">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31 </w:t>
      </w:r>
      <w:r>
        <w:rPr>
          <w:rFonts w:hint="eastAsia" w:ascii="宋体" w:hAnsi="宋体" w:eastAsia="宋体" w:cs="宋体"/>
          <w:b/>
          <w:bCs/>
          <w:color w:val="auto"/>
          <w:sz w:val="24"/>
          <w:szCs w:val="24"/>
          <w:highlight w:val="none"/>
        </w:rPr>
        <w:t>废标</w:t>
      </w:r>
      <w:r>
        <w:rPr>
          <w:rFonts w:hint="eastAsia" w:ascii="宋体" w:hAnsi="宋体" w:eastAsia="宋体" w:cs="宋体"/>
          <w:color w:val="auto"/>
          <w:sz w:val="24"/>
          <w:szCs w:val="24"/>
          <w:highlight w:val="none"/>
        </w:rPr>
        <w:t xml:space="preserve"> </w:t>
      </w:r>
    </w:p>
    <w:p w14:paraId="3D32A93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31.1 </w:t>
      </w:r>
      <w:r>
        <w:rPr>
          <w:rFonts w:hint="eastAsia" w:ascii="宋体" w:hAnsi="宋体" w:eastAsia="宋体" w:cs="宋体"/>
          <w:color w:val="auto"/>
          <w:sz w:val="24"/>
          <w:szCs w:val="24"/>
          <w:highlight w:val="none"/>
        </w:rPr>
        <w:t xml:space="preserve">在采购活动中，出现下列情形之一的，应予废标： </w:t>
      </w:r>
    </w:p>
    <w:p w14:paraId="42BCDF3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31.1.1 </w:t>
      </w:r>
      <w:r>
        <w:rPr>
          <w:rFonts w:hint="eastAsia" w:ascii="宋体" w:hAnsi="宋体" w:eastAsia="宋体" w:cs="宋体"/>
          <w:color w:val="auto"/>
          <w:sz w:val="24"/>
          <w:szCs w:val="24"/>
          <w:highlight w:val="none"/>
        </w:rPr>
        <w:t xml:space="preserve">因情况变化，不再符合规定的竞争性磋商采购方式适用情形的； </w:t>
      </w:r>
    </w:p>
    <w:p w14:paraId="77310B2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31.1.2 </w:t>
      </w:r>
      <w:r>
        <w:rPr>
          <w:rFonts w:hint="eastAsia" w:ascii="宋体" w:hAnsi="宋体" w:eastAsia="宋体" w:cs="宋体"/>
          <w:color w:val="auto"/>
          <w:sz w:val="24"/>
          <w:szCs w:val="24"/>
          <w:highlight w:val="none"/>
        </w:rPr>
        <w:t xml:space="preserve">出现影响采购公正的违法、违规行为的； </w:t>
      </w:r>
    </w:p>
    <w:p w14:paraId="1758E38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31.1.3 </w:t>
      </w:r>
      <w:r>
        <w:rPr>
          <w:rFonts w:hint="eastAsia" w:ascii="宋体" w:hAnsi="宋体" w:eastAsia="宋体" w:cs="宋体"/>
          <w:color w:val="auto"/>
          <w:sz w:val="24"/>
          <w:szCs w:val="24"/>
          <w:highlight w:val="none"/>
        </w:rPr>
        <w:t>除本须知2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.2.8规定的情形外，在采购过程中符合要求的供应商或者报价未超过采购预算的供应商不足3家的。 </w:t>
      </w:r>
    </w:p>
    <w:p w14:paraId="4C978403">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32 </w:t>
      </w:r>
      <w:r>
        <w:rPr>
          <w:rFonts w:hint="eastAsia" w:ascii="宋体" w:hAnsi="宋体" w:eastAsia="宋体" w:cs="宋体"/>
          <w:b/>
          <w:bCs/>
          <w:color w:val="auto"/>
          <w:sz w:val="24"/>
          <w:szCs w:val="24"/>
          <w:highlight w:val="none"/>
        </w:rPr>
        <w:t>询问、质疑、投诉</w:t>
      </w:r>
      <w:r>
        <w:rPr>
          <w:rFonts w:hint="eastAsia" w:ascii="宋体" w:hAnsi="宋体" w:eastAsia="宋体" w:cs="宋体"/>
          <w:color w:val="auto"/>
          <w:sz w:val="24"/>
          <w:szCs w:val="24"/>
          <w:highlight w:val="none"/>
        </w:rPr>
        <w:t xml:space="preserve"> </w:t>
      </w:r>
    </w:p>
    <w:p w14:paraId="6A1D819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32.1 </w:t>
      </w:r>
      <w:r>
        <w:rPr>
          <w:rFonts w:hint="eastAsia" w:ascii="宋体" w:hAnsi="宋体" w:eastAsia="宋体" w:cs="宋体"/>
          <w:color w:val="auto"/>
          <w:sz w:val="24"/>
          <w:szCs w:val="24"/>
          <w:highlight w:val="none"/>
        </w:rPr>
        <w:t xml:space="preserve">询问 </w:t>
      </w:r>
    </w:p>
    <w:p w14:paraId="2809627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32.1.1 </w:t>
      </w:r>
      <w:r>
        <w:rPr>
          <w:rFonts w:hint="eastAsia" w:ascii="宋体" w:hAnsi="宋体" w:eastAsia="宋体" w:cs="宋体"/>
          <w:color w:val="auto"/>
          <w:sz w:val="24"/>
          <w:szCs w:val="24"/>
          <w:highlight w:val="none"/>
        </w:rPr>
        <w:t>供应商对政府采购活动事项（磋商文件、采购过程、成交或者成交结果）有疑问的，可以向采购人或者</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lang w:eastAsia="zh-CN"/>
        </w:rPr>
        <w:t>心</w:t>
      </w:r>
      <w:r>
        <w:rPr>
          <w:rFonts w:hint="eastAsia" w:ascii="宋体" w:hAnsi="宋体" w:eastAsia="宋体" w:cs="宋体"/>
          <w:color w:val="auto"/>
          <w:sz w:val="24"/>
          <w:szCs w:val="24"/>
          <w:highlight w:val="none"/>
        </w:rPr>
        <w:t xml:space="preserve">提出询问，询问可以口头方式提出，也可以书面方式提出。 </w:t>
      </w:r>
    </w:p>
    <w:p w14:paraId="378922A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32.1.2 </w:t>
      </w:r>
      <w:r>
        <w:rPr>
          <w:rFonts w:hint="eastAsia" w:ascii="宋体" w:hAnsi="宋体" w:eastAsia="宋体" w:cs="宋体"/>
          <w:color w:val="auto"/>
          <w:sz w:val="24"/>
          <w:szCs w:val="24"/>
          <w:highlight w:val="none"/>
        </w:rPr>
        <w:t>采购人或者</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在三个工作日内对供应商依法提出的询问作出答复。 </w:t>
      </w:r>
    </w:p>
    <w:p w14:paraId="333BE03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32.2 </w:t>
      </w:r>
      <w:r>
        <w:rPr>
          <w:rFonts w:hint="eastAsia" w:ascii="宋体" w:hAnsi="宋体" w:eastAsia="宋体" w:cs="宋体"/>
          <w:color w:val="auto"/>
          <w:sz w:val="24"/>
          <w:szCs w:val="24"/>
          <w:highlight w:val="none"/>
        </w:rPr>
        <w:t>质疑</w:t>
      </w:r>
    </w:p>
    <w:p w14:paraId="7F59EC98">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2.2</w:t>
      </w:r>
      <w:r>
        <w:rPr>
          <w:rFonts w:hint="eastAsia" w:ascii="宋体" w:hAnsi="宋体"/>
          <w:color w:val="auto"/>
          <w:sz w:val="24"/>
          <w:szCs w:val="24"/>
          <w:highlight w:val="none"/>
        </w:rPr>
        <w:t>.1 提出质疑的供应商应当是参与所质疑项目采购活动的供应商。潜在供应商依法获取其可质疑的采购文件的，可以对采购文件提出质疑。</w:t>
      </w:r>
    </w:p>
    <w:p w14:paraId="33CF9823">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2.2</w:t>
      </w:r>
      <w:r>
        <w:rPr>
          <w:rFonts w:hint="eastAsia" w:ascii="宋体" w:hAnsi="宋体"/>
          <w:color w:val="auto"/>
          <w:sz w:val="24"/>
          <w:szCs w:val="24"/>
          <w:highlight w:val="none"/>
        </w:rPr>
        <w:t>.2供应商认为采购文件、采购过程和采购结果使自己的权益受到损害的，可以在知道或应知其权益受到损害之日起七个工作日内，以书面形式向</w:t>
      </w:r>
      <w:r>
        <w:rPr>
          <w:rFonts w:hint="eastAsia"/>
          <w:color w:val="auto"/>
          <w:sz w:val="24"/>
          <w:szCs w:val="24"/>
          <w:highlight w:val="none"/>
          <w:lang w:val="en-US" w:eastAsia="zh-CN"/>
        </w:rPr>
        <w:t>招标代理公司</w:t>
      </w:r>
      <w:r>
        <w:rPr>
          <w:rFonts w:hint="eastAsia" w:ascii="宋体" w:hAnsi="宋体"/>
          <w:color w:val="auto"/>
          <w:sz w:val="24"/>
          <w:szCs w:val="24"/>
          <w:highlight w:val="none"/>
        </w:rPr>
        <w:t>及采购人提出质疑。上述应知其权益受到损害之日，是指：</w:t>
      </w:r>
    </w:p>
    <w:p w14:paraId="526CC966">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rPr>
        <w:t>3</w:t>
      </w:r>
      <w:r>
        <w:rPr>
          <w:rFonts w:hint="eastAsia"/>
          <w:color w:val="auto"/>
          <w:sz w:val="24"/>
          <w:szCs w:val="24"/>
          <w:highlight w:val="none"/>
          <w:lang w:val="en-US" w:eastAsia="zh-CN"/>
        </w:rPr>
        <w:t>2.2</w:t>
      </w:r>
      <w:r>
        <w:rPr>
          <w:rFonts w:hint="eastAsia" w:ascii="宋体" w:hAnsi="宋体"/>
          <w:color w:val="auto"/>
          <w:sz w:val="24"/>
          <w:szCs w:val="24"/>
          <w:highlight w:val="none"/>
        </w:rPr>
        <w:t>.2.1</w:t>
      </w:r>
      <w:r>
        <w:rPr>
          <w:rFonts w:hint="eastAsia" w:hAnsi="宋体" w:cs="宋体"/>
          <w:color w:val="auto"/>
          <w:kern w:val="0"/>
          <w:sz w:val="24"/>
          <w:szCs w:val="24"/>
          <w:highlight w:val="none"/>
        </w:rPr>
        <w:t>对可以质疑的采购文件提出质疑的，为收到采购文件之日或者采购文件公告期限届满之日；</w:t>
      </w:r>
    </w:p>
    <w:p w14:paraId="638E22ED">
      <w:pPr>
        <w:snapToGrid w:val="0"/>
        <w:spacing w:line="480" w:lineRule="exact"/>
        <w:ind w:firstLine="480" w:firstLineChars="200"/>
        <w:rPr>
          <w:rFonts w:hint="eastAsia" w:hAnsi="宋体" w:eastAsia="宋体" w:cs="宋体"/>
          <w:color w:val="auto"/>
          <w:kern w:val="0"/>
          <w:sz w:val="24"/>
          <w:szCs w:val="24"/>
          <w:highlight w:val="none"/>
          <w:lang w:eastAsia="zh-CN"/>
        </w:rPr>
      </w:pPr>
      <w:r>
        <w:rPr>
          <w:rFonts w:hint="eastAsia" w:ascii="宋体" w:hAnsi="宋体"/>
          <w:color w:val="auto"/>
          <w:sz w:val="24"/>
          <w:szCs w:val="24"/>
          <w:highlight w:val="none"/>
        </w:rPr>
        <w:t>3</w:t>
      </w:r>
      <w:r>
        <w:rPr>
          <w:rFonts w:hint="eastAsia"/>
          <w:color w:val="auto"/>
          <w:sz w:val="24"/>
          <w:szCs w:val="24"/>
          <w:highlight w:val="none"/>
          <w:lang w:val="en-US" w:eastAsia="zh-CN"/>
        </w:rPr>
        <w:t>2.2</w:t>
      </w:r>
      <w:r>
        <w:rPr>
          <w:rFonts w:hint="eastAsia" w:ascii="宋体" w:hAnsi="宋体"/>
          <w:color w:val="auto"/>
          <w:sz w:val="24"/>
          <w:szCs w:val="24"/>
          <w:highlight w:val="none"/>
        </w:rPr>
        <w:t>.2.2</w:t>
      </w:r>
      <w:r>
        <w:rPr>
          <w:rFonts w:hint="eastAsia" w:hAnsi="宋体" w:cs="宋体"/>
          <w:color w:val="auto"/>
          <w:kern w:val="0"/>
          <w:sz w:val="24"/>
          <w:szCs w:val="24"/>
          <w:highlight w:val="none"/>
        </w:rPr>
        <w:t>对采购过程提出质疑的，为各采购程序环节结束之日；</w:t>
      </w:r>
    </w:p>
    <w:p w14:paraId="0A0C9854">
      <w:pPr>
        <w:snapToGrid w:val="0"/>
        <w:spacing w:line="480" w:lineRule="exact"/>
        <w:ind w:firstLine="480" w:firstLineChars="200"/>
        <w:rPr>
          <w:rFonts w:hint="eastAsia" w:hAnsi="宋体" w:cs="宋体"/>
          <w:color w:val="auto"/>
          <w:kern w:val="0"/>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2.2</w:t>
      </w:r>
      <w:r>
        <w:rPr>
          <w:rFonts w:hint="eastAsia" w:ascii="宋体" w:hAnsi="宋体"/>
          <w:color w:val="auto"/>
          <w:sz w:val="24"/>
          <w:szCs w:val="24"/>
          <w:highlight w:val="none"/>
        </w:rPr>
        <w:t>.2.3</w:t>
      </w:r>
      <w:r>
        <w:rPr>
          <w:rFonts w:hint="eastAsia" w:hAnsi="宋体" w:cs="宋体"/>
          <w:color w:val="auto"/>
          <w:kern w:val="0"/>
          <w:sz w:val="24"/>
          <w:szCs w:val="24"/>
          <w:highlight w:val="none"/>
        </w:rPr>
        <w:t>对中标或者成交结果提出质疑的，为中标或者成交结果公告期限届满之日。</w:t>
      </w:r>
    </w:p>
    <w:p w14:paraId="4C659776">
      <w:pPr>
        <w:snapToGrid w:val="0"/>
        <w:spacing w:line="480" w:lineRule="exact"/>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供应商应当在法定质疑期内一次性提出针对同一采购程序环节的质疑。供应商如在法定期限内对同一采购程序环节提出多次质疑的，</w:t>
      </w:r>
      <w:r>
        <w:rPr>
          <w:rFonts w:hint="eastAsia" w:cs="宋体"/>
          <w:b/>
          <w:color w:val="auto"/>
          <w:kern w:val="0"/>
          <w:sz w:val="24"/>
          <w:szCs w:val="24"/>
          <w:highlight w:val="none"/>
          <w:lang w:val="en-US" w:eastAsia="zh-CN"/>
        </w:rPr>
        <w:t>招标代理公司</w:t>
      </w:r>
      <w:r>
        <w:rPr>
          <w:rFonts w:hint="eastAsia" w:hAnsi="宋体" w:cs="宋体"/>
          <w:b/>
          <w:color w:val="auto"/>
          <w:kern w:val="0"/>
          <w:sz w:val="24"/>
          <w:szCs w:val="24"/>
          <w:highlight w:val="none"/>
        </w:rPr>
        <w:t>、采购人将只对供应商第一次质疑作出答复。</w:t>
      </w:r>
    </w:p>
    <w:p w14:paraId="2A6EFB04">
      <w:pPr>
        <w:snapToGrid w:val="0"/>
        <w:spacing w:line="480" w:lineRule="exact"/>
        <w:ind w:firstLine="480" w:firstLineChars="200"/>
        <w:rPr>
          <w:rFonts w:ascii="宋体" w:hAnsi="宋体"/>
          <w:color w:val="auto"/>
          <w:sz w:val="24"/>
          <w:szCs w:val="24"/>
          <w:highlight w:val="none"/>
        </w:rPr>
      </w:pPr>
      <w:r>
        <w:rPr>
          <w:rFonts w:hint="eastAsia"/>
          <w:color w:val="auto"/>
          <w:sz w:val="24"/>
          <w:szCs w:val="24"/>
          <w:highlight w:val="none"/>
          <w:lang w:val="en-US" w:eastAsia="zh-CN"/>
        </w:rPr>
        <w:t>32</w:t>
      </w:r>
      <w:r>
        <w:rPr>
          <w:rFonts w:hint="eastAsia" w:ascii="宋体" w:hAnsi="宋体"/>
          <w:color w:val="auto"/>
          <w:sz w:val="24"/>
          <w:szCs w:val="24"/>
          <w:highlight w:val="none"/>
        </w:rPr>
        <w:t>.3质疑函必须按照本招标文件中《质疑函范本》要求的格式和内容进行填写。供应商如组成联合体参加投标，则《质疑函范本》中要求签字、盖章、加盖公章之处，联合体各方均须按要求签字、盖章、加盖公章。</w:t>
      </w:r>
    </w:p>
    <w:p w14:paraId="5B008063">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w:t>
      </w:r>
      <w:r>
        <w:rPr>
          <w:rFonts w:hint="eastAsia" w:ascii="宋体" w:hAnsi="宋体"/>
          <w:color w:val="auto"/>
          <w:sz w:val="24"/>
          <w:szCs w:val="24"/>
          <w:highlight w:val="none"/>
        </w:rPr>
        <w:t>.4 采购</w:t>
      </w:r>
      <w:r>
        <w:rPr>
          <w:rFonts w:hint="eastAsia"/>
          <w:color w:val="auto"/>
          <w:sz w:val="24"/>
          <w:szCs w:val="24"/>
          <w:highlight w:val="none"/>
          <w:lang w:val="en-US" w:eastAsia="zh-CN"/>
        </w:rPr>
        <w:t>代理机构</w:t>
      </w:r>
      <w:r>
        <w:rPr>
          <w:rFonts w:hint="eastAsia" w:ascii="宋体" w:hAnsi="宋体"/>
          <w:color w:val="auto"/>
          <w:sz w:val="24"/>
          <w:szCs w:val="24"/>
          <w:highlight w:val="none"/>
        </w:rPr>
        <w:t>只接收以纸质原件形式送达的质疑。</w:t>
      </w:r>
    </w:p>
    <w:p w14:paraId="1006DA44">
      <w:pPr>
        <w:pageBreakBefore w:val="0"/>
        <w:kinsoku/>
        <w:wordWrap/>
        <w:overflowPunct/>
        <w:topLinePunct w:val="0"/>
        <w:bidi w:val="0"/>
        <w:snapToGrid/>
        <w:spacing w:line="400" w:lineRule="exact"/>
        <w:ind w:firstLine="480" w:firstLineChars="200"/>
        <w:textAlignment w:val="auto"/>
        <w:rPr>
          <w:rFonts w:hint="eastAsia" w:ascii="仿宋" w:hAnsi="仿宋" w:eastAsia="仿宋" w:cs="仿宋"/>
          <w:sz w:val="28"/>
          <w:szCs w:val="28"/>
          <w:lang w:val="en-US" w:eastAsia="zh-CN"/>
        </w:rPr>
      </w:pPr>
      <w:r>
        <w:rPr>
          <w:rFonts w:hint="eastAsia" w:ascii="宋体" w:hAnsi="宋体"/>
          <w:color w:val="auto"/>
          <w:sz w:val="24"/>
          <w:szCs w:val="24"/>
          <w:highlight w:val="none"/>
        </w:rPr>
        <w:t>质疑接收人：</w:t>
      </w:r>
      <w:r>
        <w:rPr>
          <w:rFonts w:hint="eastAsia"/>
          <w:color w:val="auto"/>
          <w:sz w:val="24"/>
          <w:szCs w:val="24"/>
          <w:highlight w:val="none"/>
          <w:lang w:val="en-US" w:eastAsia="zh-CN"/>
        </w:rPr>
        <w:t>新疆华域天恒工程管理有限公司</w:t>
      </w:r>
    </w:p>
    <w:p w14:paraId="193E9BE4">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olor w:val="auto"/>
          <w:sz w:val="24"/>
          <w:szCs w:val="24"/>
          <w:highlight w:val="none"/>
        </w:rPr>
        <w:t>联系地址</w:t>
      </w:r>
      <w:r>
        <w:rPr>
          <w:rFonts w:hint="eastAsia" w:ascii="宋体" w:hAnsi="宋体" w:eastAsia="宋体" w:cs="宋体"/>
          <w:color w:val="auto"/>
          <w:sz w:val="24"/>
          <w:szCs w:val="24"/>
          <w:highlight w:val="none"/>
        </w:rPr>
        <w:t>：吐鲁番市高昌区示范区和平街11幢2层201号</w:t>
      </w:r>
    </w:p>
    <w:p w14:paraId="4259268E">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w:t>
      </w:r>
      <w:r>
        <w:rPr>
          <w:rFonts w:hint="eastAsia" w:cs="宋体"/>
          <w:color w:val="auto"/>
          <w:sz w:val="24"/>
          <w:szCs w:val="24"/>
          <w:highlight w:val="none"/>
          <w:lang w:val="en-US" w:eastAsia="zh-CN"/>
        </w:rPr>
        <w:t>常瑞琪</w:t>
      </w:r>
    </w:p>
    <w:p w14:paraId="3E2C314E">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cs="宋体"/>
          <w:color w:val="auto"/>
          <w:sz w:val="24"/>
          <w:szCs w:val="24"/>
          <w:highlight w:val="none"/>
          <w:lang w:eastAsia="zh-CN"/>
        </w:rPr>
        <w:t>18590559920</w:t>
      </w:r>
      <w:r>
        <w:rPr>
          <w:rFonts w:hint="eastAsia" w:ascii="宋体" w:hAnsi="宋体" w:eastAsia="宋体" w:cs="宋体"/>
          <w:color w:val="auto"/>
          <w:sz w:val="24"/>
          <w:szCs w:val="24"/>
          <w:highlight w:val="none"/>
        </w:rPr>
        <w:t xml:space="preserve"> </w:t>
      </w:r>
    </w:p>
    <w:p w14:paraId="4CAAA4DD">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w:t>
      </w:r>
      <w:r>
        <w:rPr>
          <w:rFonts w:hint="eastAsia" w:ascii="宋体" w:hAnsi="宋体"/>
          <w:color w:val="auto"/>
          <w:sz w:val="24"/>
          <w:szCs w:val="24"/>
          <w:highlight w:val="none"/>
        </w:rPr>
        <w:t>.5 以下情形的质疑不予受理</w:t>
      </w:r>
    </w:p>
    <w:p w14:paraId="6E753DDC">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w:t>
      </w:r>
      <w:r>
        <w:rPr>
          <w:rFonts w:hint="eastAsia" w:ascii="宋体" w:hAnsi="宋体"/>
          <w:color w:val="auto"/>
          <w:sz w:val="24"/>
          <w:szCs w:val="24"/>
          <w:highlight w:val="none"/>
        </w:rPr>
        <w:t>.5.1 内容不符合《政府采购质疑和投诉办法》第十二条规定的质疑。</w:t>
      </w:r>
    </w:p>
    <w:p w14:paraId="07107DAA">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w:t>
      </w:r>
      <w:r>
        <w:rPr>
          <w:rFonts w:hint="eastAsia" w:ascii="宋体" w:hAnsi="宋体"/>
          <w:color w:val="auto"/>
          <w:sz w:val="24"/>
          <w:szCs w:val="24"/>
          <w:highlight w:val="none"/>
        </w:rPr>
        <w:t>.5.2 超出政府采购法定期限的质疑。</w:t>
      </w:r>
    </w:p>
    <w:p w14:paraId="00A1E0B7">
      <w:pPr>
        <w:snapToGrid w:val="0"/>
        <w:spacing w:line="48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w:t>
      </w:r>
      <w:r>
        <w:rPr>
          <w:rFonts w:hint="eastAsia" w:ascii="宋体" w:hAnsi="宋体"/>
          <w:color w:val="auto"/>
          <w:sz w:val="24"/>
          <w:szCs w:val="24"/>
          <w:highlight w:val="none"/>
        </w:rPr>
        <w:t>.5.3 以传真、电子邮件等方式递交的非原件形式的质疑。</w:t>
      </w:r>
    </w:p>
    <w:p w14:paraId="1C94F55D">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w:t>
      </w:r>
      <w:r>
        <w:rPr>
          <w:rFonts w:hint="eastAsia" w:ascii="宋体" w:hAnsi="宋体"/>
          <w:color w:val="auto"/>
          <w:sz w:val="24"/>
          <w:szCs w:val="24"/>
          <w:highlight w:val="none"/>
        </w:rPr>
        <w:t>.5.4 未参加投标活动的供应商或在投标活动中自身权益未受到损害的供</w:t>
      </w:r>
      <w:r>
        <w:rPr>
          <w:rFonts w:hint="eastAsia" w:ascii="宋体" w:hAnsi="宋体" w:eastAsia="宋体" w:cs="Times New Roman"/>
          <w:color w:val="auto"/>
          <w:sz w:val="24"/>
          <w:szCs w:val="24"/>
          <w:highlight w:val="none"/>
        </w:rPr>
        <w:t>应商所提出的质疑。</w:t>
      </w:r>
    </w:p>
    <w:p w14:paraId="2A5D7B10">
      <w:pPr>
        <w:snapToGrid w:val="0"/>
        <w:spacing w:line="480" w:lineRule="exact"/>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hint="eastAsia"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.5.5供应商组成联合体参加投标，联合体中任何一方或多方未按要求签字、盖章、加盖公章的质疑。</w:t>
      </w:r>
    </w:p>
    <w:p w14:paraId="6614F1ED">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3</w:t>
      </w:r>
      <w:r>
        <w:rPr>
          <w:rFonts w:hint="eastAsia"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无具体</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事项内容，或未提供有效线索，难以查证的</w:t>
      </w:r>
      <w:r>
        <w:rPr>
          <w:rFonts w:hint="eastAsia" w:ascii="宋体" w:hAnsi="宋体" w:eastAsia="宋体" w:cs="Times New Roman"/>
          <w:color w:val="auto"/>
          <w:sz w:val="24"/>
          <w:szCs w:val="24"/>
          <w:highlight w:val="none"/>
          <w:lang w:eastAsia="zh-CN"/>
        </w:rPr>
        <w:t>。</w:t>
      </w:r>
    </w:p>
    <w:p w14:paraId="150CEB2E">
      <w:pPr>
        <w:snapToGrid w:val="0"/>
        <w:spacing w:line="480" w:lineRule="exact"/>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.5.7</w:t>
      </w:r>
      <w:r>
        <w:rPr>
          <w:rFonts w:hint="eastAsia" w:ascii="宋体" w:hAnsi="宋体" w:eastAsia="宋体" w:cs="Times New Roman"/>
          <w:color w:val="auto"/>
          <w:sz w:val="24"/>
          <w:szCs w:val="24"/>
          <w:highlight w:val="none"/>
        </w:rPr>
        <w:t>所</w:t>
      </w:r>
      <w:r>
        <w:rPr>
          <w:rFonts w:hint="eastAsia" w:ascii="宋体" w:hAnsi="宋体" w:eastAsia="宋体" w:cs="Times New Roman"/>
          <w:color w:val="auto"/>
          <w:sz w:val="24"/>
          <w:szCs w:val="24"/>
          <w:highlight w:val="none"/>
          <w:lang w:val="en-US" w:eastAsia="zh-CN"/>
        </w:rPr>
        <w:t>质疑</w:t>
      </w:r>
      <w:r>
        <w:rPr>
          <w:rFonts w:hint="eastAsia" w:ascii="宋体" w:hAnsi="宋体" w:eastAsia="宋体" w:cs="Times New Roman"/>
          <w:color w:val="auto"/>
          <w:sz w:val="24"/>
          <w:szCs w:val="24"/>
          <w:highlight w:val="none"/>
        </w:rPr>
        <w:t>事项已进行处理，或正在行政复议、仲裁、诉讼、投诉等其他程序的</w:t>
      </w:r>
      <w:r>
        <w:rPr>
          <w:rFonts w:hint="eastAsia" w:ascii="宋体" w:hAnsi="宋体" w:eastAsia="宋体" w:cs="Times New Roman"/>
          <w:color w:val="auto"/>
          <w:sz w:val="24"/>
          <w:szCs w:val="24"/>
          <w:highlight w:val="none"/>
          <w:lang w:eastAsia="zh-CN"/>
        </w:rPr>
        <w:t>。</w:t>
      </w:r>
    </w:p>
    <w:p w14:paraId="31559BB4">
      <w:pPr>
        <w:snapToGrid w:val="0"/>
        <w:spacing w:line="480" w:lineRule="exact"/>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w:t>
      </w:r>
      <w:r>
        <w:rPr>
          <w:rFonts w:hint="eastAsia"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.5.8不属于本中心管辖范围的质疑。</w:t>
      </w:r>
    </w:p>
    <w:p w14:paraId="43EC61A4">
      <w:pPr>
        <w:snapToGrid w:val="0"/>
        <w:spacing w:line="480" w:lineRule="exact"/>
        <w:ind w:firstLine="468" w:firstLineChars="195"/>
        <w:rPr>
          <w:rFonts w:hint="eastAsia"/>
          <w:color w:val="auto"/>
          <w:highlight w:val="none"/>
        </w:rPr>
      </w:pPr>
      <w:r>
        <w:rPr>
          <w:rFonts w:hint="eastAsia" w:ascii="宋体" w:hAnsi="宋体"/>
          <w:color w:val="auto"/>
          <w:sz w:val="24"/>
          <w:szCs w:val="24"/>
          <w:highlight w:val="none"/>
        </w:rPr>
        <w:t>3</w:t>
      </w:r>
      <w:r>
        <w:rPr>
          <w:rFonts w:hint="eastAsia"/>
          <w:color w:val="auto"/>
          <w:sz w:val="24"/>
          <w:szCs w:val="24"/>
          <w:highlight w:val="none"/>
          <w:lang w:val="en-US" w:eastAsia="zh-CN"/>
        </w:rPr>
        <w:t>2</w:t>
      </w:r>
      <w:r>
        <w:rPr>
          <w:rFonts w:hint="eastAsia" w:ascii="宋体" w:hAnsi="宋体"/>
          <w:color w:val="auto"/>
          <w:sz w:val="24"/>
          <w:szCs w:val="24"/>
          <w:highlight w:val="none"/>
        </w:rPr>
        <w:t xml:space="preserve">.6  </w:t>
      </w:r>
      <w:r>
        <w:rPr>
          <w:rFonts w:hint="eastAsia" w:ascii="宋体" w:hAnsi="宋体"/>
          <w:b/>
          <w:color w:val="auto"/>
          <w:sz w:val="24"/>
          <w:szCs w:val="24"/>
          <w:highlight w:val="none"/>
        </w:rPr>
        <w:t>供应商提出书面质疑必须有理、有据，不得捏造事实、提供虚假材料进行恶意质疑。否则，一经查实，</w:t>
      </w:r>
      <w:r>
        <w:rPr>
          <w:rFonts w:hint="eastAsia"/>
          <w:b/>
          <w:color w:val="auto"/>
          <w:sz w:val="24"/>
          <w:szCs w:val="24"/>
          <w:highlight w:val="none"/>
          <w:lang w:val="en-US" w:eastAsia="zh-CN"/>
        </w:rPr>
        <w:t>招标代理公司</w:t>
      </w:r>
      <w:r>
        <w:rPr>
          <w:rFonts w:hint="eastAsia" w:ascii="宋体" w:hAnsi="宋体"/>
          <w:b/>
          <w:color w:val="auto"/>
          <w:sz w:val="24"/>
          <w:szCs w:val="24"/>
          <w:highlight w:val="none"/>
        </w:rPr>
        <w:t>有权依据政府采购的有关规定，报请政府采购监管部门对该供应商进行相应的行政处罚和记录该供应商的失信信息。</w:t>
      </w:r>
    </w:p>
    <w:p w14:paraId="70A19E1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32.3 </w:t>
      </w:r>
      <w:r>
        <w:rPr>
          <w:rFonts w:hint="eastAsia" w:ascii="宋体" w:hAnsi="宋体" w:eastAsia="宋体" w:cs="宋体"/>
          <w:color w:val="auto"/>
          <w:sz w:val="24"/>
          <w:szCs w:val="24"/>
          <w:highlight w:val="none"/>
        </w:rPr>
        <w:t xml:space="preserve">投诉 </w:t>
      </w:r>
    </w:p>
    <w:p w14:paraId="4913585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32.3.1 </w:t>
      </w:r>
      <w:r>
        <w:rPr>
          <w:rFonts w:hint="eastAsia" w:ascii="宋体" w:hAnsi="宋体" w:eastAsia="宋体" w:cs="宋体"/>
          <w:color w:val="auto"/>
          <w:sz w:val="24"/>
          <w:szCs w:val="24"/>
          <w:highlight w:val="none"/>
        </w:rPr>
        <w:t>质疑供应商对</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的答复不满意，或者</w:t>
      </w:r>
      <w:r>
        <w:rPr>
          <w:rFonts w:hint="eastAsia" w:cs="宋体"/>
          <w:color w:val="auto"/>
          <w:sz w:val="24"/>
          <w:szCs w:val="24"/>
          <w:highlight w:val="none"/>
          <w:lang w:val="en-US" w:eastAsia="zh-CN"/>
        </w:rPr>
        <w:t>招标代理公司</w:t>
      </w:r>
      <w:r>
        <w:rPr>
          <w:rFonts w:hint="eastAsia" w:ascii="宋体" w:hAnsi="宋体" w:eastAsia="宋体" w:cs="宋体"/>
          <w:color w:val="auto"/>
          <w:sz w:val="24"/>
          <w:szCs w:val="24"/>
          <w:highlight w:val="none"/>
        </w:rPr>
        <w:t xml:space="preserve">未在规定时间内作出答复的，可以在答复期满后十五个工作日内向同级财政部门提起投诉。 入不良行为记录名单，禁止其1至3年内参加政府采购活动： </w:t>
      </w:r>
    </w:p>
    <w:p w14:paraId="792ACE6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32.3.3.1 </w:t>
      </w:r>
      <w:r>
        <w:rPr>
          <w:rFonts w:hint="eastAsia" w:ascii="宋体" w:hAnsi="宋体" w:eastAsia="宋体" w:cs="宋体"/>
          <w:color w:val="auto"/>
          <w:sz w:val="24"/>
          <w:szCs w:val="24"/>
          <w:highlight w:val="none"/>
        </w:rPr>
        <w:t xml:space="preserve">捏造事实； </w:t>
      </w:r>
    </w:p>
    <w:p w14:paraId="5DEFE96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32.3.3.2 </w:t>
      </w:r>
      <w:r>
        <w:rPr>
          <w:rFonts w:hint="eastAsia" w:ascii="宋体" w:hAnsi="宋体" w:eastAsia="宋体" w:cs="宋体"/>
          <w:color w:val="auto"/>
          <w:sz w:val="24"/>
          <w:szCs w:val="24"/>
          <w:highlight w:val="none"/>
        </w:rPr>
        <w:t xml:space="preserve">提供虚假材料； </w:t>
      </w:r>
    </w:p>
    <w:p w14:paraId="1011BB5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32.3.3.3 </w:t>
      </w:r>
      <w:r>
        <w:rPr>
          <w:rFonts w:hint="eastAsia" w:ascii="宋体" w:hAnsi="宋体" w:eastAsia="宋体" w:cs="宋体"/>
          <w:color w:val="auto"/>
          <w:sz w:val="24"/>
          <w:szCs w:val="24"/>
          <w:highlight w:val="none"/>
        </w:rPr>
        <w:t xml:space="preserve">以非法手段取得证明材料。证据来源的合法性存在明显疑问，投诉人无法证明其取得方式合法的，视为以非法手段取得证明材料。 </w:t>
      </w:r>
    </w:p>
    <w:p w14:paraId="3E4D028A">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33 </w:t>
      </w:r>
      <w:r>
        <w:rPr>
          <w:rFonts w:hint="eastAsia" w:ascii="宋体" w:hAnsi="宋体" w:eastAsia="宋体" w:cs="宋体"/>
          <w:b/>
          <w:bCs/>
          <w:color w:val="auto"/>
          <w:sz w:val="24"/>
          <w:szCs w:val="24"/>
          <w:highlight w:val="none"/>
        </w:rPr>
        <w:t>特别说明</w:t>
      </w:r>
      <w:r>
        <w:rPr>
          <w:rFonts w:hint="eastAsia" w:ascii="宋体" w:hAnsi="宋体" w:eastAsia="宋体" w:cs="宋体"/>
          <w:color w:val="auto"/>
          <w:sz w:val="24"/>
          <w:szCs w:val="24"/>
          <w:highlight w:val="none"/>
        </w:rPr>
        <w:t xml:space="preserve"> </w:t>
      </w:r>
    </w:p>
    <w:p w14:paraId="18EB289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33.1 </w:t>
      </w:r>
      <w:r>
        <w:rPr>
          <w:rFonts w:hint="eastAsia" w:ascii="宋体" w:hAnsi="宋体" w:eastAsia="宋体" w:cs="宋体"/>
          <w:color w:val="auto"/>
          <w:sz w:val="24"/>
          <w:szCs w:val="24"/>
          <w:highlight w:val="none"/>
        </w:rPr>
        <w:t xml:space="preserve">有下列情形之一的，视为供应商串通投标，其响应无效： </w:t>
      </w:r>
    </w:p>
    <w:p w14:paraId="3F961F3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33.1.1 </w:t>
      </w:r>
      <w:r>
        <w:rPr>
          <w:rFonts w:hint="eastAsia" w:ascii="宋体" w:hAnsi="宋体" w:eastAsia="宋体" w:cs="宋体"/>
          <w:color w:val="auto"/>
          <w:sz w:val="24"/>
          <w:szCs w:val="24"/>
          <w:highlight w:val="none"/>
        </w:rPr>
        <w:t xml:space="preserve">不同供应商的响应文件由同一单位或者个人编制； </w:t>
      </w:r>
    </w:p>
    <w:p w14:paraId="78C2B17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33.1.2 </w:t>
      </w:r>
      <w:r>
        <w:rPr>
          <w:rFonts w:hint="eastAsia" w:ascii="宋体" w:hAnsi="宋体" w:eastAsia="宋体" w:cs="宋体"/>
          <w:color w:val="auto"/>
          <w:sz w:val="24"/>
          <w:szCs w:val="24"/>
          <w:highlight w:val="none"/>
        </w:rPr>
        <w:t xml:space="preserve">不同供应商委托同一单位或者个人办理投标事宜； </w:t>
      </w:r>
    </w:p>
    <w:p w14:paraId="28F3E71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33.1.3 </w:t>
      </w:r>
      <w:r>
        <w:rPr>
          <w:rFonts w:hint="eastAsia" w:ascii="宋体" w:hAnsi="宋体" w:eastAsia="宋体" w:cs="宋体"/>
          <w:color w:val="auto"/>
          <w:sz w:val="24"/>
          <w:szCs w:val="24"/>
          <w:highlight w:val="none"/>
        </w:rPr>
        <w:t xml:space="preserve">不同供应商的响应文件载明的项目管理成员或者联系人员为同一人； </w:t>
      </w:r>
    </w:p>
    <w:p w14:paraId="4555E8E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33.1.4 </w:t>
      </w:r>
      <w:r>
        <w:rPr>
          <w:rFonts w:hint="eastAsia" w:ascii="宋体" w:hAnsi="宋体" w:eastAsia="宋体" w:cs="宋体"/>
          <w:color w:val="auto"/>
          <w:sz w:val="24"/>
          <w:szCs w:val="24"/>
          <w:highlight w:val="none"/>
        </w:rPr>
        <w:t xml:space="preserve">不同供应商的响应文件异常一致或者磋商报价呈规律性差异； </w:t>
      </w:r>
    </w:p>
    <w:p w14:paraId="6543387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33.1.5 </w:t>
      </w:r>
      <w:r>
        <w:rPr>
          <w:rFonts w:hint="eastAsia" w:ascii="宋体" w:hAnsi="宋体" w:eastAsia="宋体" w:cs="宋体"/>
          <w:color w:val="auto"/>
          <w:sz w:val="24"/>
          <w:szCs w:val="24"/>
          <w:highlight w:val="none"/>
        </w:rPr>
        <w:t xml:space="preserve">不同供应商的响应文件相互混装； </w:t>
      </w:r>
    </w:p>
    <w:p w14:paraId="4EB4092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33.1.6 </w:t>
      </w:r>
      <w:r>
        <w:rPr>
          <w:rFonts w:hint="eastAsia" w:ascii="宋体" w:hAnsi="宋体" w:eastAsia="宋体" w:cs="宋体"/>
          <w:color w:val="auto"/>
          <w:sz w:val="24"/>
          <w:szCs w:val="24"/>
          <w:highlight w:val="none"/>
        </w:rPr>
        <w:t xml:space="preserve">不同供应商的磋商保证金从同一单位或者个人的账户转出。 </w:t>
      </w:r>
    </w:p>
    <w:p w14:paraId="3655409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33.2 </w:t>
      </w:r>
      <w:r>
        <w:rPr>
          <w:rFonts w:hint="eastAsia" w:ascii="宋体" w:hAnsi="宋体" w:eastAsia="宋体" w:cs="宋体"/>
          <w:color w:val="auto"/>
          <w:sz w:val="24"/>
          <w:szCs w:val="24"/>
          <w:highlight w:val="none"/>
        </w:rPr>
        <w:t xml:space="preserve">供应商存在下列情况之一的，其响应无效: </w:t>
      </w:r>
    </w:p>
    <w:p w14:paraId="30A8219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33.2.1 </w:t>
      </w:r>
      <w:r>
        <w:rPr>
          <w:rFonts w:hint="eastAsia" w:ascii="宋体" w:hAnsi="宋体" w:eastAsia="宋体" w:cs="宋体"/>
          <w:color w:val="auto"/>
          <w:sz w:val="24"/>
          <w:szCs w:val="24"/>
          <w:highlight w:val="none"/>
        </w:rPr>
        <w:t xml:space="preserve">未按照磋商文件的规定提交磋商保证金的； </w:t>
      </w:r>
    </w:p>
    <w:p w14:paraId="494C371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33.2.2 </w:t>
      </w:r>
      <w:r>
        <w:rPr>
          <w:rFonts w:hint="eastAsia" w:ascii="宋体" w:hAnsi="宋体" w:eastAsia="宋体" w:cs="宋体"/>
          <w:color w:val="auto"/>
          <w:sz w:val="24"/>
          <w:szCs w:val="24"/>
          <w:highlight w:val="none"/>
        </w:rPr>
        <w:t xml:space="preserve">响应文件未按磋商文件要求签署、盖章及响应文件的份数、编制不符合磋商文件要求的； </w:t>
      </w:r>
    </w:p>
    <w:p w14:paraId="0833394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33.2.3 </w:t>
      </w:r>
      <w:r>
        <w:rPr>
          <w:rFonts w:hint="eastAsia" w:ascii="宋体" w:hAnsi="宋体" w:eastAsia="宋体" w:cs="宋体"/>
          <w:color w:val="auto"/>
          <w:sz w:val="24"/>
          <w:szCs w:val="24"/>
          <w:highlight w:val="none"/>
        </w:rPr>
        <w:t xml:space="preserve">不具备磋商文件中规定的资格要求的； </w:t>
      </w:r>
    </w:p>
    <w:p w14:paraId="711408A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33.2.4 </w:t>
      </w:r>
      <w:r>
        <w:rPr>
          <w:rFonts w:hint="eastAsia" w:ascii="宋体" w:hAnsi="宋体" w:eastAsia="宋体" w:cs="宋体"/>
          <w:color w:val="auto"/>
          <w:sz w:val="24"/>
          <w:szCs w:val="24"/>
          <w:highlight w:val="none"/>
        </w:rPr>
        <w:t xml:space="preserve">报价超过磋商文件中规定的预算金额或者最高限价的； </w:t>
      </w:r>
    </w:p>
    <w:p w14:paraId="0138EF8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33.2.5 </w:t>
      </w:r>
      <w:r>
        <w:rPr>
          <w:rFonts w:hint="eastAsia" w:ascii="宋体" w:hAnsi="宋体" w:eastAsia="宋体" w:cs="宋体"/>
          <w:color w:val="auto"/>
          <w:sz w:val="24"/>
          <w:szCs w:val="24"/>
          <w:highlight w:val="none"/>
        </w:rPr>
        <w:t xml:space="preserve">响应文件含有采购人不能接受的附加条件的； </w:t>
      </w:r>
    </w:p>
    <w:p w14:paraId="7BFDC18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33.2.6 </w:t>
      </w:r>
      <w:r>
        <w:rPr>
          <w:rFonts w:hint="eastAsia" w:ascii="宋体" w:hAnsi="宋体" w:eastAsia="宋体" w:cs="宋体"/>
          <w:color w:val="auto"/>
          <w:sz w:val="24"/>
          <w:szCs w:val="24"/>
          <w:highlight w:val="none"/>
        </w:rPr>
        <w:t>法律、法规和磋商文件规定的其他无效情形。</w:t>
      </w:r>
    </w:p>
    <w:p w14:paraId="18F69E50">
      <w:pPr>
        <w:pStyle w:val="9"/>
        <w:rPr>
          <w:rFonts w:hint="eastAsia" w:ascii="宋体" w:hAnsi="宋体" w:eastAsia="宋体" w:cs="宋体"/>
          <w:color w:val="auto"/>
          <w:sz w:val="24"/>
          <w:szCs w:val="24"/>
          <w:highlight w:val="none"/>
        </w:rPr>
      </w:pPr>
    </w:p>
    <w:p w14:paraId="535C6643">
      <w:pPr>
        <w:rPr>
          <w:rFonts w:hint="eastAsia" w:ascii="宋体" w:hAnsi="宋体" w:eastAsia="宋体" w:cs="宋体"/>
          <w:color w:val="auto"/>
          <w:sz w:val="24"/>
          <w:szCs w:val="24"/>
          <w:highlight w:val="none"/>
        </w:rPr>
      </w:pPr>
    </w:p>
    <w:p w14:paraId="10F52E4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308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8"/>
          <w:szCs w:val="28"/>
          <w:highlight w:val="none"/>
          <w:lang w:val="en-US" w:eastAsia="zh-CN"/>
        </w:rPr>
        <w:t>六、</w:t>
      </w:r>
      <w:r>
        <w:rPr>
          <w:rFonts w:hint="eastAsia" w:ascii="宋体" w:hAnsi="宋体" w:eastAsia="宋体" w:cs="宋体"/>
          <w:b/>
          <w:bCs/>
          <w:color w:val="auto"/>
          <w:sz w:val="28"/>
          <w:szCs w:val="28"/>
          <w:highlight w:val="none"/>
        </w:rPr>
        <w:t>授予合同</w:t>
      </w:r>
      <w:r>
        <w:rPr>
          <w:rFonts w:hint="eastAsia" w:ascii="宋体" w:hAnsi="宋体" w:eastAsia="宋体" w:cs="宋体"/>
          <w:color w:val="auto"/>
          <w:sz w:val="24"/>
          <w:szCs w:val="24"/>
          <w:highlight w:val="none"/>
        </w:rPr>
        <w:t xml:space="preserve"> </w:t>
      </w:r>
    </w:p>
    <w:p w14:paraId="23B81AA9">
      <w:pPr>
        <w:pStyle w:val="9"/>
        <w:numPr>
          <w:ilvl w:val="0"/>
          <w:numId w:val="0"/>
        </w:numPr>
        <w:ind w:left="3080" w:leftChars="0" w:right="0" w:rightChars="0"/>
        <w:rPr>
          <w:rFonts w:hint="eastAsia"/>
          <w:color w:val="auto"/>
          <w:highlight w:val="none"/>
        </w:rPr>
      </w:pPr>
    </w:p>
    <w:p w14:paraId="28937D40">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34 </w:t>
      </w:r>
      <w:r>
        <w:rPr>
          <w:rFonts w:hint="eastAsia" w:ascii="宋体" w:hAnsi="宋体" w:eastAsia="宋体" w:cs="宋体"/>
          <w:b/>
          <w:bCs/>
          <w:color w:val="auto"/>
          <w:sz w:val="24"/>
          <w:szCs w:val="24"/>
          <w:highlight w:val="none"/>
        </w:rPr>
        <w:t>合同的订立</w:t>
      </w:r>
      <w:r>
        <w:rPr>
          <w:rFonts w:hint="eastAsia" w:ascii="宋体" w:hAnsi="宋体" w:eastAsia="宋体" w:cs="宋体"/>
          <w:color w:val="auto"/>
          <w:sz w:val="24"/>
          <w:szCs w:val="24"/>
          <w:highlight w:val="none"/>
        </w:rPr>
        <w:t xml:space="preserve"> </w:t>
      </w:r>
    </w:p>
    <w:p w14:paraId="1405571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34.1 </w:t>
      </w:r>
      <w:r>
        <w:rPr>
          <w:rFonts w:hint="eastAsia" w:ascii="宋体" w:hAnsi="宋体" w:eastAsia="宋体" w:cs="宋体"/>
          <w:color w:val="auto"/>
          <w:sz w:val="24"/>
          <w:szCs w:val="24"/>
          <w:highlight w:val="none"/>
        </w:rPr>
        <w:t xml:space="preserve">采购人应当自成交通知书发出之日起三十日内，按照磋商文件和成交供应商响应文件的约定，与成交供应商签订书面合同。所签订的合同不得对磋商文件和成交供应商响应文件作实质性修改。 </w:t>
      </w:r>
    </w:p>
    <w:p w14:paraId="410B49A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34.2 </w:t>
      </w:r>
      <w:r>
        <w:rPr>
          <w:rFonts w:hint="eastAsia" w:ascii="宋体" w:hAnsi="宋体" w:eastAsia="宋体" w:cs="宋体"/>
          <w:color w:val="auto"/>
          <w:sz w:val="24"/>
          <w:szCs w:val="24"/>
          <w:highlight w:val="none"/>
        </w:rPr>
        <w:t xml:space="preserve">采购人不得向成交供应商提出任何不合理的要求，作为签订合同的条件，不得与成交供应商私下订立背离合同实质性内容的协议。 </w:t>
      </w:r>
    </w:p>
    <w:p w14:paraId="469A152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34.3 </w:t>
      </w:r>
      <w:r>
        <w:rPr>
          <w:rFonts w:hint="eastAsia" w:ascii="宋体" w:hAnsi="宋体" w:eastAsia="宋体" w:cs="宋体"/>
          <w:color w:val="auto"/>
          <w:sz w:val="24"/>
          <w:szCs w:val="24"/>
          <w:highlight w:val="none"/>
        </w:rPr>
        <w:t xml:space="preserve">自政府采购合同签订之日起两个工作日内，采购人应将政府采购合同在省级以上人民政府财政部门指定的媒体上公告，但政府采购合同中涉及国家秘密、商业秘密的内容除外。 </w:t>
      </w:r>
    </w:p>
    <w:p w14:paraId="1B55E74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34.4 </w:t>
      </w:r>
      <w:r>
        <w:rPr>
          <w:rFonts w:hint="eastAsia" w:ascii="宋体" w:hAnsi="宋体" w:eastAsia="宋体" w:cs="宋体"/>
          <w:color w:val="auto"/>
          <w:sz w:val="24"/>
          <w:szCs w:val="24"/>
          <w:highlight w:val="none"/>
        </w:rPr>
        <w:t xml:space="preserve">政府采购合同签订之日起七个工作日内，采购人应将政府采购合同副本报同级监管部门备案和有关部门备案。 </w:t>
      </w:r>
    </w:p>
    <w:p w14:paraId="7A210B3B">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35 </w:t>
      </w:r>
      <w:r>
        <w:rPr>
          <w:rFonts w:hint="eastAsia" w:ascii="宋体" w:hAnsi="宋体" w:eastAsia="宋体" w:cs="宋体"/>
          <w:b/>
          <w:bCs/>
          <w:color w:val="auto"/>
          <w:sz w:val="24"/>
          <w:szCs w:val="24"/>
          <w:highlight w:val="none"/>
        </w:rPr>
        <w:t>合同的履行</w:t>
      </w:r>
      <w:r>
        <w:rPr>
          <w:rFonts w:hint="eastAsia" w:ascii="宋体" w:hAnsi="宋体" w:eastAsia="宋体" w:cs="宋体"/>
          <w:color w:val="auto"/>
          <w:sz w:val="24"/>
          <w:szCs w:val="24"/>
          <w:highlight w:val="none"/>
        </w:rPr>
        <w:t xml:space="preserve"> </w:t>
      </w:r>
    </w:p>
    <w:p w14:paraId="6BE3576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35.1 </w:t>
      </w:r>
      <w:r>
        <w:rPr>
          <w:rFonts w:hint="eastAsia" w:ascii="宋体" w:hAnsi="宋体" w:eastAsia="宋体" w:cs="宋体"/>
          <w:color w:val="auto"/>
          <w:sz w:val="24"/>
          <w:szCs w:val="24"/>
          <w:highlight w:val="none"/>
        </w:rPr>
        <w:t>政府采购合同订立后，合同各方不得擅自变更、中止或者终止合同。政府采购合同需要变更的，采购人应将有关合同变更内容，以书面形式报同级监管部门备案；因特殊情况需要中止或终止合同的， 采购人应将中止或终止合同的理由以及相应措施，以书面形式报同级监管部门备案。</w:t>
      </w:r>
    </w:p>
    <w:p w14:paraId="2E59F6D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35.2 </w:t>
      </w:r>
      <w:r>
        <w:rPr>
          <w:rFonts w:hint="eastAsia" w:ascii="宋体" w:hAnsi="宋体" w:eastAsia="宋体" w:cs="宋体"/>
          <w:color w:val="auto"/>
          <w:sz w:val="24"/>
          <w:szCs w:val="24"/>
          <w:highlight w:val="none"/>
        </w:rPr>
        <w:t xml:space="preserve">政府采购合同履行中，采购人需追加与合同标的相同的货物、工程或者服务的，在不改变合同其他条款的前提下，可以与供应商签订补充合同，但所有补充合同的采购金额不得超过原合同采购金额的百分之十。签订补充合同的必须按规定备案。 </w:t>
      </w:r>
    </w:p>
    <w:p w14:paraId="1E5077D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35.3 </w:t>
      </w:r>
      <w:r>
        <w:rPr>
          <w:rFonts w:hint="eastAsia" w:ascii="宋体" w:hAnsi="宋体" w:eastAsia="宋体" w:cs="宋体"/>
          <w:color w:val="auto"/>
          <w:sz w:val="24"/>
          <w:szCs w:val="24"/>
          <w:highlight w:val="none"/>
        </w:rPr>
        <w:t xml:space="preserve">成交供应商如为依据《政府采购促进中小企业发展管理办法》规定享受扶持政策获得政府采购合同的，小微企业不得将合同分包给大中型企业，中型企业不得将合同分包给大型企业。 </w:t>
      </w:r>
    </w:p>
    <w:p w14:paraId="07769716">
      <w:pPr>
        <w:pStyle w:val="9"/>
        <w:rPr>
          <w:rFonts w:hint="eastAsia"/>
          <w:color w:val="auto"/>
          <w:highlight w:val="none"/>
        </w:rPr>
      </w:pPr>
    </w:p>
    <w:p w14:paraId="1D9BA49D">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36 </w:t>
      </w:r>
      <w:r>
        <w:rPr>
          <w:rFonts w:hint="eastAsia" w:ascii="宋体" w:hAnsi="宋体" w:eastAsia="宋体" w:cs="宋体"/>
          <w:b/>
          <w:bCs/>
          <w:color w:val="auto"/>
          <w:sz w:val="24"/>
          <w:szCs w:val="24"/>
          <w:highlight w:val="none"/>
        </w:rPr>
        <w:t>验收</w:t>
      </w:r>
      <w:r>
        <w:rPr>
          <w:rFonts w:hint="eastAsia" w:ascii="宋体" w:hAnsi="宋体" w:eastAsia="宋体" w:cs="宋体"/>
          <w:color w:val="auto"/>
          <w:sz w:val="24"/>
          <w:szCs w:val="24"/>
          <w:highlight w:val="none"/>
        </w:rPr>
        <w:t xml:space="preserve"> </w:t>
      </w:r>
    </w:p>
    <w:p w14:paraId="31F83D5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36.1 </w:t>
      </w:r>
      <w:r>
        <w:rPr>
          <w:rFonts w:hint="eastAsia" w:ascii="宋体" w:hAnsi="宋体" w:eastAsia="宋体" w:cs="宋体"/>
          <w:color w:val="auto"/>
          <w:sz w:val="24"/>
          <w:szCs w:val="24"/>
          <w:highlight w:val="none"/>
        </w:rPr>
        <w:t xml:space="preserve">采购人应当及时对采购项目进行验收。采购人可以邀请参加本项目的其他供应商或者第三方机构参与验收。参与验收的供应商或者第三方机构的意见作为验收书的参考资料一并存档。 </w:t>
      </w:r>
    </w:p>
    <w:p w14:paraId="450373C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36.2 </w:t>
      </w:r>
      <w:r>
        <w:rPr>
          <w:rFonts w:hint="eastAsia" w:ascii="宋体" w:hAnsi="宋体" w:eastAsia="宋体" w:cs="宋体"/>
          <w:color w:val="auto"/>
          <w:sz w:val="24"/>
          <w:szCs w:val="24"/>
          <w:highlight w:val="none"/>
        </w:rPr>
        <w:t>在验收时，供应商应向采购人提供</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 xml:space="preserve">的相关资料，按采购人提出的方式验收。 </w:t>
      </w:r>
    </w:p>
    <w:p w14:paraId="7B120B6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36.3 </w:t>
      </w:r>
      <w:r>
        <w:rPr>
          <w:rFonts w:hint="eastAsia" w:ascii="宋体" w:hAnsi="宋体" w:eastAsia="宋体" w:cs="宋体"/>
          <w:color w:val="auto"/>
          <w:sz w:val="24"/>
          <w:szCs w:val="24"/>
          <w:highlight w:val="none"/>
        </w:rPr>
        <w:t>由采购人对</w:t>
      </w:r>
      <w:r>
        <w:rPr>
          <w:rFonts w:hint="eastAsia" w:ascii="宋体" w:hAnsi="宋体" w:eastAsia="宋体" w:cs="宋体"/>
          <w:color w:val="auto"/>
          <w:sz w:val="24"/>
          <w:szCs w:val="24"/>
          <w:highlight w:val="none"/>
          <w:lang w:val="en-US" w:eastAsia="zh-CN"/>
        </w:rPr>
        <w:t>工程</w:t>
      </w:r>
      <w:r>
        <w:rPr>
          <w:rFonts w:hint="eastAsia" w:ascii="宋体" w:hAnsi="宋体" w:eastAsia="宋体" w:cs="宋体"/>
          <w:color w:val="auto"/>
          <w:sz w:val="24"/>
          <w:szCs w:val="24"/>
          <w:highlight w:val="none"/>
        </w:rPr>
        <w:t xml:space="preserve">的质量、规格和数量及其他进行检验。如发现质量、规格和数量等任何一项与磋商文件要求规定不符，采购人有权拒绝接受。 </w:t>
      </w:r>
    </w:p>
    <w:p w14:paraId="426562F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36.4 </w:t>
      </w:r>
      <w:r>
        <w:rPr>
          <w:rFonts w:hint="eastAsia" w:ascii="宋体" w:hAnsi="宋体" w:eastAsia="宋体" w:cs="宋体"/>
          <w:color w:val="auto"/>
          <w:sz w:val="24"/>
          <w:szCs w:val="24"/>
          <w:highlight w:val="none"/>
        </w:rPr>
        <w:t>采购人应当加强对成交供应商的履约管理，并按照采购合同约定，及时向成交供应商支付采购资金。对于成交供应商违反采购合同约定的行为，采购人应当及时处理，依法追究其违约责任。</w:t>
      </w:r>
    </w:p>
    <w:p w14:paraId="708FED09">
      <w:pPr>
        <w:rPr>
          <w:rFonts w:hint="eastAsia"/>
          <w:color w:val="auto"/>
          <w:highlight w:val="none"/>
          <w:lang w:val="zh-CN" w:eastAsia="zh-CN"/>
        </w:rPr>
      </w:pPr>
    </w:p>
    <w:p w14:paraId="6BCEA5A5">
      <w:pPr>
        <w:rPr>
          <w:rFonts w:hint="eastAsia"/>
          <w:color w:val="auto"/>
          <w:highlight w:val="none"/>
          <w:lang w:val="zh-CN" w:eastAsia="zh-CN"/>
        </w:rPr>
      </w:pPr>
      <w:r>
        <w:rPr>
          <w:rFonts w:hint="eastAsia"/>
          <w:color w:val="auto"/>
          <w:highlight w:val="none"/>
          <w:lang w:val="zh-CN" w:eastAsia="zh-CN"/>
        </w:rPr>
        <w:br w:type="page"/>
      </w:r>
    </w:p>
    <w:p w14:paraId="5BFF31A5">
      <w:pPr>
        <w:pStyle w:val="9"/>
        <w:ind w:firstLine="1405" w:firstLineChars="500"/>
        <w:rPr>
          <w:rFonts w:hint="eastAsia"/>
          <w:color w:val="auto"/>
          <w:highlight w:val="none"/>
          <w:lang w:val="zh-CN" w:eastAsia="zh-CN"/>
        </w:rPr>
      </w:pPr>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评</w:t>
      </w:r>
      <w:r>
        <w:rPr>
          <w:rFonts w:hint="eastAsia" w:ascii="宋体" w:hAnsi="宋体" w:eastAsia="宋体" w:cs="宋体"/>
          <w:b/>
          <w:bCs/>
          <w:color w:val="auto"/>
          <w:sz w:val="28"/>
          <w:szCs w:val="28"/>
          <w:highlight w:val="none"/>
          <w:lang w:val="en-US" w:eastAsia="zh-CN"/>
        </w:rPr>
        <w:t>审</w:t>
      </w:r>
      <w:r>
        <w:rPr>
          <w:rFonts w:hint="eastAsia" w:ascii="宋体" w:hAnsi="宋体" w:eastAsia="宋体" w:cs="宋体"/>
          <w:b/>
          <w:bCs/>
          <w:color w:val="auto"/>
          <w:sz w:val="28"/>
          <w:szCs w:val="28"/>
          <w:highlight w:val="none"/>
        </w:rPr>
        <w:t>标准</w:t>
      </w:r>
    </w:p>
    <w:p w14:paraId="1A0D85B3">
      <w:pPr>
        <w:rPr>
          <w:rFonts w:hint="eastAsia"/>
          <w:color w:val="auto"/>
          <w:highlight w:val="none"/>
          <w:lang w:val="zh-CN" w:eastAsia="zh-CN"/>
        </w:rPr>
      </w:pPr>
    </w:p>
    <w:p w14:paraId="4AF39D38">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bidi="zh-CN"/>
        </w:rPr>
        <w:t>3</w:t>
      </w:r>
      <w:r>
        <w:rPr>
          <w:rFonts w:hint="eastAsia" w:cs="宋体"/>
          <w:b/>
          <w:bCs/>
          <w:color w:val="auto"/>
          <w:sz w:val="30"/>
          <w:szCs w:val="30"/>
          <w:highlight w:val="none"/>
          <w:lang w:val="en-US" w:eastAsia="zh-CN" w:bidi="zh-CN"/>
        </w:rPr>
        <w:t>7</w:t>
      </w:r>
      <w:r>
        <w:rPr>
          <w:rFonts w:hint="eastAsia" w:ascii="宋体" w:hAnsi="宋体" w:eastAsia="宋体" w:cs="宋体"/>
          <w:b/>
          <w:bCs/>
          <w:color w:val="auto"/>
          <w:sz w:val="30"/>
          <w:szCs w:val="30"/>
          <w:highlight w:val="none"/>
          <w:lang w:val="en-US" w:eastAsia="zh-CN" w:bidi="zh-CN"/>
        </w:rPr>
        <w:t xml:space="preserve"> </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资格</w:t>
      </w:r>
      <w:r>
        <w:rPr>
          <w:rFonts w:hint="eastAsia" w:cs="宋体"/>
          <w:b/>
          <w:bCs/>
          <w:color w:val="auto"/>
          <w:sz w:val="30"/>
          <w:szCs w:val="30"/>
          <w:highlight w:val="none"/>
          <w:lang w:val="en-US" w:eastAsia="zh-CN"/>
        </w:rPr>
        <w:t>性</w:t>
      </w:r>
      <w:r>
        <w:rPr>
          <w:rFonts w:hint="eastAsia" w:ascii="宋体" w:hAnsi="宋体" w:eastAsia="宋体" w:cs="宋体"/>
          <w:b/>
          <w:bCs/>
          <w:color w:val="auto"/>
          <w:sz w:val="30"/>
          <w:szCs w:val="30"/>
          <w:highlight w:val="none"/>
        </w:rPr>
        <w:t xml:space="preserve">审查表 </w:t>
      </w:r>
    </w:p>
    <w:tbl>
      <w:tblPr>
        <w:tblStyle w:val="20"/>
        <w:tblpPr w:leftFromText="180" w:rightFromText="180" w:vertAnchor="text" w:horzAnchor="page" w:tblpX="1592" w:tblpY="316"/>
        <w:tblOverlap w:val="never"/>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7841"/>
      </w:tblGrid>
      <w:tr w14:paraId="04AD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78" w:type="dxa"/>
            <w:noWrap w:val="0"/>
            <w:vAlign w:val="center"/>
          </w:tcPr>
          <w:p w14:paraId="2995AF47">
            <w:pPr>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7841" w:type="dxa"/>
            <w:noWrap w:val="0"/>
            <w:vAlign w:val="center"/>
          </w:tcPr>
          <w:p w14:paraId="777A56F2">
            <w:pPr>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资格审查响应内容</w:t>
            </w:r>
          </w:p>
        </w:tc>
      </w:tr>
      <w:tr w14:paraId="0AF5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78" w:type="dxa"/>
            <w:noWrap w:val="0"/>
            <w:vAlign w:val="center"/>
          </w:tcPr>
          <w:p w14:paraId="46A39917">
            <w:pPr>
              <w:spacing w:line="240" w:lineRule="auto"/>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7841" w:type="dxa"/>
            <w:noWrap w:val="0"/>
            <w:vAlign w:val="center"/>
          </w:tcPr>
          <w:p w14:paraId="2C99A291">
            <w:pPr>
              <w:spacing w:line="240" w:lineRule="auto"/>
              <w:rPr>
                <w:rFonts w:hint="eastAsia" w:ascii="宋体" w:hAnsi="宋体" w:eastAsia="宋体" w:cs="宋体"/>
                <w:iCs/>
                <w:color w:val="000000" w:themeColor="text1"/>
                <w:sz w:val="24"/>
                <w:szCs w:val="24"/>
                <w:highlight w:val="none"/>
                <w:lang w:eastAsia="zh-CN"/>
                <w14:textFill>
                  <w14:solidFill>
                    <w14:schemeClr w14:val="tx1"/>
                  </w14:solidFill>
                </w14:textFill>
              </w:rPr>
            </w:pPr>
            <w:r>
              <w:rPr>
                <w:rFonts w:hint="eastAsia" w:ascii="宋体" w:hAnsi="宋体" w:eastAsia="宋体" w:cs="宋体"/>
                <w:iCs/>
                <w:color w:val="000000" w:themeColor="text1"/>
                <w:sz w:val="24"/>
                <w:szCs w:val="24"/>
                <w:highlight w:val="none"/>
                <w:lang w:val="en-US" w:eastAsia="zh-CN"/>
                <w14:textFill>
                  <w14:solidFill>
                    <w14:schemeClr w14:val="tx1"/>
                  </w14:solidFill>
                </w14:textFill>
              </w:rPr>
              <w:t>营业执照</w:t>
            </w:r>
            <w:r>
              <w:rPr>
                <w:rFonts w:hint="eastAsia" w:ascii="宋体" w:hAnsi="宋体" w:eastAsia="宋体" w:cs="宋体"/>
                <w:iCs/>
                <w:color w:val="000000" w:themeColor="text1"/>
                <w:sz w:val="24"/>
                <w:szCs w:val="24"/>
                <w:highlight w:val="none"/>
                <w:lang w:eastAsia="zh-CN"/>
                <w14:textFill>
                  <w14:solidFill>
                    <w14:schemeClr w14:val="tx1"/>
                  </w14:solidFill>
                </w14:textFill>
              </w:rPr>
              <w:t>；</w:t>
            </w:r>
          </w:p>
        </w:tc>
      </w:tr>
      <w:tr w14:paraId="23C7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8" w:type="dxa"/>
            <w:noWrap w:val="0"/>
            <w:vAlign w:val="center"/>
          </w:tcPr>
          <w:p w14:paraId="665FFD4A">
            <w:pPr>
              <w:spacing w:line="240" w:lineRule="auto"/>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p>
        </w:tc>
        <w:tc>
          <w:tcPr>
            <w:tcW w:w="7841" w:type="dxa"/>
            <w:noWrap w:val="0"/>
            <w:vAlign w:val="center"/>
          </w:tcPr>
          <w:p w14:paraId="4FDA9A81">
            <w:pPr>
              <w:spacing w:line="240" w:lineRule="auto"/>
              <w:rPr>
                <w:rFonts w:hint="eastAsia" w:ascii="宋体" w:hAnsi="宋体" w:eastAsia="宋体" w:cs="宋体"/>
                <w:iCs/>
                <w:color w:val="000000" w:themeColor="text1"/>
                <w:sz w:val="24"/>
                <w:szCs w:val="24"/>
                <w:highlight w:val="none"/>
                <w:lang w:val="en-US" w:eastAsia="zh-CN"/>
                <w14:textFill>
                  <w14:solidFill>
                    <w14:schemeClr w14:val="tx1"/>
                  </w14:solidFill>
                </w14:textFill>
              </w:rPr>
            </w:pPr>
            <w:r>
              <w:rPr>
                <w:rFonts w:hint="eastAsia" w:ascii="宋体" w:hAnsi="宋体" w:eastAsia="宋体" w:cs="宋体"/>
                <w:iCs/>
                <w:color w:val="auto"/>
                <w:sz w:val="24"/>
                <w:szCs w:val="24"/>
                <w:highlight w:val="none"/>
                <w:lang w:val="en-US" w:eastAsia="zh-CN" w:bidi="zh-CN"/>
              </w:rPr>
              <w:t>法定代表人须提供法定代表人资格证明书及身份证或法定代表人授权委托书及被授权人身份证；</w:t>
            </w:r>
          </w:p>
        </w:tc>
      </w:tr>
      <w:tr w14:paraId="059D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78" w:type="dxa"/>
            <w:noWrap w:val="0"/>
            <w:vAlign w:val="center"/>
          </w:tcPr>
          <w:p w14:paraId="1F1BD456">
            <w:pPr>
              <w:spacing w:line="240" w:lineRule="auto"/>
              <w:jc w:val="center"/>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w:t>
            </w:r>
          </w:p>
        </w:tc>
        <w:tc>
          <w:tcPr>
            <w:tcW w:w="7841" w:type="dxa"/>
            <w:noWrap w:val="0"/>
            <w:vAlign w:val="center"/>
          </w:tcPr>
          <w:p w14:paraId="1D5BC4CF">
            <w:pPr>
              <w:spacing w:line="240" w:lineRule="auto"/>
              <w:rPr>
                <w:rFonts w:hint="eastAsia" w:ascii="宋体" w:hAnsi="宋体" w:eastAsia="宋体" w:cs="宋体"/>
                <w:iCs/>
                <w:color w:val="000000" w:themeColor="text1"/>
                <w:sz w:val="24"/>
                <w:szCs w:val="24"/>
                <w:highlight w:val="none"/>
                <w:lang w:val="en-US" w:eastAsia="zh-CN"/>
                <w14:textFill>
                  <w14:solidFill>
                    <w14:schemeClr w14:val="tx1"/>
                  </w14:solidFill>
                </w14:textFill>
              </w:rPr>
            </w:pPr>
            <w:r>
              <w:rPr>
                <w:rFonts w:hint="eastAsia" w:ascii="宋体" w:hAnsi="宋体" w:eastAsia="宋体" w:cs="宋体"/>
                <w:iCs/>
                <w:color w:val="000000" w:themeColor="text1"/>
                <w:sz w:val="24"/>
                <w:szCs w:val="24"/>
                <w:highlight w:val="none"/>
                <w:lang w:val="en-US" w:eastAsia="zh-CN"/>
                <w14:textFill>
                  <w14:solidFill>
                    <w14:schemeClr w14:val="tx1"/>
                  </w14:solidFill>
                </w14:textFill>
              </w:rPr>
              <w:t>投标保证金收据或保函；</w:t>
            </w:r>
          </w:p>
        </w:tc>
      </w:tr>
      <w:tr w14:paraId="438E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778" w:type="dxa"/>
            <w:noWrap w:val="0"/>
            <w:vAlign w:val="center"/>
          </w:tcPr>
          <w:p w14:paraId="0EE8082F">
            <w:pPr>
              <w:spacing w:line="24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7841" w:type="dxa"/>
            <w:noWrap w:val="0"/>
            <w:vAlign w:val="center"/>
          </w:tcPr>
          <w:p w14:paraId="730D48BC">
            <w:pPr>
              <w:keepNext w:val="0"/>
              <w:keepLines w:val="0"/>
              <w:pageBreakBefore w:val="0"/>
              <w:widowControl w:val="0"/>
              <w:kinsoku/>
              <w:wordWrap w:val="0"/>
              <w:overflowPunct/>
              <w:topLinePunct w:val="0"/>
              <w:autoSpaceDE w:val="0"/>
              <w:autoSpaceDN w:val="0"/>
              <w:bidi w:val="0"/>
              <w:adjustRightInd/>
              <w:snapToGrid/>
              <w:spacing w:line="240" w:lineRule="auto"/>
              <w:textAlignment w:val="auto"/>
              <w:rPr>
                <w:rFonts w:hint="eastAsia" w:ascii="宋体" w:hAnsi="宋体" w:eastAsia="宋体" w:cs="宋体"/>
                <w:iCs/>
                <w:color w:val="auto"/>
                <w:sz w:val="24"/>
                <w:szCs w:val="24"/>
                <w:highlight w:val="none"/>
                <w:lang w:val="en-US" w:eastAsia="zh-CN"/>
              </w:rPr>
            </w:pPr>
            <w:r>
              <w:rPr>
                <w:rFonts w:hint="eastAsia" w:ascii="宋体" w:hAnsi="宋体" w:eastAsia="宋体" w:cs="宋体"/>
                <w:iCs/>
                <w:color w:val="auto"/>
                <w:sz w:val="24"/>
                <w:szCs w:val="24"/>
                <w:highlight w:val="none"/>
                <w:lang w:val="zh-CN" w:eastAsia="zh-CN" w:bidi="zh-CN"/>
              </w:rPr>
              <w:t>中小企业声明函</w:t>
            </w:r>
          </w:p>
        </w:tc>
      </w:tr>
      <w:tr w14:paraId="5D3C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778" w:type="dxa"/>
            <w:noWrap w:val="0"/>
            <w:vAlign w:val="center"/>
          </w:tcPr>
          <w:p w14:paraId="02049171">
            <w:pPr>
              <w:spacing w:line="240" w:lineRule="auto"/>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5</w:t>
            </w:r>
          </w:p>
        </w:tc>
        <w:tc>
          <w:tcPr>
            <w:tcW w:w="7841" w:type="dxa"/>
            <w:noWrap w:val="0"/>
            <w:vAlign w:val="center"/>
          </w:tcPr>
          <w:p w14:paraId="4E74C4F5">
            <w:pPr>
              <w:pStyle w:val="10"/>
              <w:keepNext w:val="0"/>
              <w:keepLines w:val="0"/>
              <w:pageBreakBefore w:val="0"/>
              <w:widowControl w:val="0"/>
              <w:tabs>
                <w:tab w:val="left" w:pos="6820"/>
              </w:tabs>
              <w:kinsoku/>
              <w:wordWrap w:val="0"/>
              <w:overflowPunct/>
              <w:topLinePunct w:val="0"/>
              <w:autoSpaceDE w:val="0"/>
              <w:autoSpaceDN w:val="0"/>
              <w:bidi w:val="0"/>
              <w:adjustRightInd/>
              <w:snapToGrid/>
              <w:spacing w:beforeAutospacing="0" w:after="0" w:afterAutospacing="0" w:line="400" w:lineRule="exact"/>
              <w:ind w:right="-75" w:rightChars="0"/>
              <w:jc w:val="both"/>
              <w:textAlignment w:val="auto"/>
              <w:outlineLvl w:val="0"/>
              <w:rPr>
                <w:rFonts w:hint="eastAsia" w:ascii="宋体" w:hAnsi="宋体" w:eastAsia="宋体" w:cs="宋体"/>
                <w:iCs/>
                <w:color w:val="auto"/>
                <w:sz w:val="24"/>
                <w:szCs w:val="24"/>
                <w:highlight w:val="none"/>
                <w:lang w:val="en-US" w:eastAsia="zh-CN" w:bidi="zh-CN"/>
              </w:rPr>
            </w:pPr>
            <w:r>
              <w:rPr>
                <w:rFonts w:hint="eastAsia" w:ascii="宋体" w:hAnsi="宋体" w:eastAsia="宋体" w:cs="宋体"/>
                <w:iCs/>
                <w:color w:val="auto"/>
                <w:sz w:val="24"/>
                <w:szCs w:val="24"/>
                <w:highlight w:val="none"/>
                <w:lang w:val="en-US" w:eastAsia="zh-CN" w:bidi="zh-CN"/>
              </w:rPr>
              <w:t>(1)具备有效的公路工程施工总承包三级（含）以上资质，公路工程专业二级(含)以上注册建造师执业资格及安全生产考核合格证书；</w:t>
            </w:r>
          </w:p>
          <w:p w14:paraId="002CD43D">
            <w:pPr>
              <w:pStyle w:val="10"/>
              <w:keepNext w:val="0"/>
              <w:keepLines w:val="0"/>
              <w:pageBreakBefore w:val="0"/>
              <w:widowControl w:val="0"/>
              <w:tabs>
                <w:tab w:val="left" w:pos="6820"/>
              </w:tabs>
              <w:kinsoku/>
              <w:wordWrap w:val="0"/>
              <w:overflowPunct/>
              <w:topLinePunct w:val="0"/>
              <w:autoSpaceDE w:val="0"/>
              <w:autoSpaceDN w:val="0"/>
              <w:bidi w:val="0"/>
              <w:adjustRightInd/>
              <w:snapToGrid/>
              <w:spacing w:beforeAutospacing="0" w:after="0" w:afterAutospacing="0" w:line="400" w:lineRule="exact"/>
              <w:ind w:right="-75" w:rightChars="0"/>
              <w:jc w:val="both"/>
              <w:textAlignment w:val="auto"/>
              <w:outlineLvl w:val="0"/>
              <w:rPr>
                <w:rFonts w:hint="eastAsia" w:ascii="宋体" w:hAnsi="宋体" w:eastAsia="宋体" w:cs="宋体"/>
                <w:iCs/>
                <w:color w:val="auto"/>
                <w:sz w:val="24"/>
                <w:szCs w:val="24"/>
                <w:highlight w:val="none"/>
                <w:lang w:val="en-US" w:eastAsia="zh-CN" w:bidi="zh-CN"/>
              </w:rPr>
            </w:pPr>
            <w:r>
              <w:rPr>
                <w:rFonts w:hint="eastAsia" w:ascii="宋体" w:hAnsi="宋体" w:eastAsia="宋体" w:cs="宋体"/>
                <w:iCs/>
                <w:color w:val="auto"/>
                <w:sz w:val="24"/>
                <w:szCs w:val="24"/>
                <w:highlight w:val="none"/>
                <w:lang w:val="en-US" w:eastAsia="zh-CN" w:bidi="zh-CN"/>
              </w:rPr>
              <w:t>（2）投标人在人员、设备、资金等方面具有相应的施工能力，有效的安全生产许可证，区外进疆建筑企业办理信息报送册。建造师、技术负责人及五大员不得担任其他在建工程项目；（3）具有良好的商业信誉和健全的财务会计制度；（4）参加本次采购活动前三年（2022年1月至今），在经营活动中没有重大违法记录。（重大违法记录，是指供应商因违法经营受到刑事处罚或者责令停产停业、吊销许可证或者执照、较大数额罚款等行政处罚、刑事处罚）；投标人未被列入“信用中国”网站“记录失信被执行人或重大税收违法案件当事人名单或政府采购严重违法失信行为”记录名单；不处于中国政府采购网“政府采购严重违法失信行为信息记录”中的禁止参加政府采购活动期间；未列入国家企业信用信息公示系统严重违法失信名单及其他不符合规定条件；（5）单位负责人为同一人或者存在直接控股、管理关系的不同供应商，不得参加同一合同项下的政府采购活动。</w:t>
            </w:r>
          </w:p>
        </w:tc>
      </w:tr>
      <w:tr w14:paraId="7B72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619" w:type="dxa"/>
            <w:gridSpan w:val="2"/>
            <w:noWrap w:val="0"/>
            <w:vAlign w:val="center"/>
          </w:tcPr>
          <w:p w14:paraId="46B2B7FC">
            <w:pP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说明：供应商必须满足资格</w:t>
            </w:r>
            <w:r>
              <w:rPr>
                <w:rFonts w:hint="eastAsia" w:ascii="宋体" w:hAnsi="宋体" w:eastAsia="宋体" w:cs="宋体"/>
                <w:b/>
                <w:bCs/>
                <w:color w:val="auto"/>
                <w:sz w:val="24"/>
                <w:szCs w:val="24"/>
                <w:highlight w:val="none"/>
                <w:lang w:val="en-US" w:eastAsia="zh-CN"/>
              </w:rPr>
              <w:t>性</w:t>
            </w:r>
            <w:r>
              <w:rPr>
                <w:rFonts w:hint="eastAsia" w:ascii="宋体" w:hAnsi="宋体" w:eastAsia="宋体" w:cs="宋体"/>
                <w:b/>
                <w:bCs/>
                <w:color w:val="auto"/>
                <w:sz w:val="24"/>
                <w:szCs w:val="24"/>
                <w:highlight w:val="none"/>
              </w:rPr>
              <w:t xml:space="preserve">审查表内所有条款，否则被认定为无效响应。 </w:t>
            </w:r>
          </w:p>
        </w:tc>
      </w:tr>
    </w:tbl>
    <w:p w14:paraId="2586F128">
      <w:pPr>
        <w:pStyle w:val="9"/>
        <w:ind w:left="0" w:leftChars="0" w:firstLine="0" w:firstLineChars="0"/>
        <w:rPr>
          <w:rFonts w:hint="eastAsia" w:cs="宋体"/>
          <w:b/>
          <w:bCs/>
          <w:color w:val="auto"/>
          <w:sz w:val="30"/>
          <w:szCs w:val="30"/>
          <w:highlight w:val="none"/>
          <w:lang w:val="en-US" w:eastAsia="zh-CN"/>
        </w:rPr>
      </w:pPr>
    </w:p>
    <w:p w14:paraId="62C2DECD">
      <w:pPr>
        <w:pStyle w:val="9"/>
        <w:ind w:firstLine="904" w:firstLineChars="300"/>
        <w:rPr>
          <w:rFonts w:hint="eastAsia" w:cs="宋体"/>
          <w:b/>
          <w:bCs/>
          <w:color w:val="auto"/>
          <w:sz w:val="30"/>
          <w:szCs w:val="30"/>
          <w:highlight w:val="none"/>
          <w:lang w:val="en-US" w:eastAsia="zh-CN"/>
        </w:rPr>
      </w:pPr>
    </w:p>
    <w:p w14:paraId="19E76A88">
      <w:pPr>
        <w:pStyle w:val="9"/>
        <w:ind w:firstLine="904" w:firstLineChars="300"/>
        <w:rPr>
          <w:rFonts w:hint="eastAsia" w:cs="宋体"/>
          <w:b/>
          <w:bCs/>
          <w:color w:val="auto"/>
          <w:sz w:val="30"/>
          <w:szCs w:val="30"/>
          <w:highlight w:val="none"/>
          <w:lang w:val="en-US" w:eastAsia="zh-CN"/>
        </w:rPr>
      </w:pPr>
    </w:p>
    <w:p w14:paraId="4A5AB2C7">
      <w:pPr>
        <w:pStyle w:val="9"/>
        <w:ind w:left="0" w:leftChars="0" w:firstLine="0" w:firstLineChars="0"/>
        <w:jc w:val="center"/>
        <w:rPr>
          <w:rFonts w:hint="eastAsia" w:ascii="宋体" w:hAnsi="宋体" w:eastAsia="宋体" w:cs="宋体"/>
          <w:b/>
          <w:bCs/>
          <w:color w:val="auto"/>
          <w:sz w:val="30"/>
          <w:szCs w:val="30"/>
          <w:highlight w:val="none"/>
          <w:lang w:val="en-US" w:eastAsia="zh-CN"/>
        </w:rPr>
      </w:pPr>
      <w:r>
        <w:rPr>
          <w:rFonts w:hint="eastAsia" w:cs="宋体"/>
          <w:b/>
          <w:bCs/>
          <w:color w:val="auto"/>
          <w:sz w:val="30"/>
          <w:szCs w:val="30"/>
          <w:highlight w:val="none"/>
          <w:lang w:val="en-US" w:eastAsia="zh-CN"/>
        </w:rPr>
        <w:br w:type="page"/>
      </w:r>
      <w:r>
        <w:rPr>
          <w:rFonts w:hint="eastAsia" w:cs="宋体"/>
          <w:b/>
          <w:bCs/>
          <w:color w:val="auto"/>
          <w:sz w:val="30"/>
          <w:szCs w:val="30"/>
          <w:highlight w:val="none"/>
          <w:lang w:val="en-US" w:eastAsia="zh-CN"/>
        </w:rPr>
        <w:t xml:space="preserve">38 </w:t>
      </w:r>
      <w:r>
        <w:rPr>
          <w:rFonts w:hint="eastAsia" w:ascii="宋体" w:hAnsi="宋体" w:eastAsia="宋体" w:cs="宋体"/>
          <w:b/>
          <w:bCs/>
          <w:color w:val="auto"/>
          <w:sz w:val="30"/>
          <w:szCs w:val="30"/>
          <w:highlight w:val="none"/>
        </w:rPr>
        <w:t>符合性审查表</w:t>
      </w:r>
    </w:p>
    <w:p w14:paraId="2A401316">
      <w:pPr>
        <w:pStyle w:val="9"/>
        <w:ind w:left="0" w:leftChars="0" w:firstLine="0" w:firstLineChars="0"/>
        <w:rPr>
          <w:rFonts w:hint="eastAsia" w:ascii="宋体" w:hAnsi="宋体" w:eastAsia="宋体" w:cs="宋体"/>
          <w:b/>
          <w:bCs/>
          <w:color w:val="auto"/>
          <w:sz w:val="30"/>
          <w:szCs w:val="30"/>
          <w:highlight w:val="none"/>
          <w:lang w:val="en-US" w:eastAsia="zh-CN"/>
        </w:rPr>
      </w:pPr>
    </w:p>
    <w:tbl>
      <w:tblPr>
        <w:tblStyle w:val="20"/>
        <w:tblpPr w:leftFromText="180" w:rightFromText="180" w:vertAnchor="page" w:horzAnchor="page" w:tblpX="1187" w:tblpY="3019"/>
        <w:tblOverlap w:val="never"/>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2"/>
        <w:gridCol w:w="8768"/>
      </w:tblGrid>
      <w:tr w14:paraId="4972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033DFB1D">
            <w:pPr>
              <w:pStyle w:val="32"/>
              <w:spacing w:before="94" w:line="600" w:lineRule="auto"/>
              <w:ind w:left="181" w:right="68"/>
              <w:jc w:val="center"/>
              <w:rPr>
                <w:b/>
                <w:bCs/>
                <w:color w:val="auto"/>
                <w:sz w:val="21"/>
                <w:highlight w:val="none"/>
              </w:rPr>
            </w:pPr>
            <w:r>
              <w:rPr>
                <w:b/>
                <w:bCs/>
                <w:color w:val="auto"/>
                <w:sz w:val="21"/>
                <w:highlight w:val="none"/>
              </w:rPr>
              <w:t xml:space="preserve">序号 </w:t>
            </w:r>
          </w:p>
        </w:tc>
        <w:tc>
          <w:tcPr>
            <w:tcW w:w="8768" w:type="dxa"/>
            <w:noWrap w:val="0"/>
            <w:vAlign w:val="top"/>
          </w:tcPr>
          <w:p w14:paraId="023BCF5E">
            <w:pPr>
              <w:pStyle w:val="32"/>
              <w:spacing w:before="94" w:line="600" w:lineRule="auto"/>
              <w:ind w:right="4062" w:firstLine="3795" w:firstLineChars="1800"/>
              <w:jc w:val="both"/>
              <w:rPr>
                <w:b/>
                <w:bCs/>
                <w:color w:val="auto"/>
                <w:sz w:val="21"/>
                <w:highlight w:val="none"/>
              </w:rPr>
            </w:pPr>
            <w:r>
              <w:rPr>
                <w:rFonts w:hint="eastAsia"/>
                <w:b/>
                <w:bCs/>
                <w:color w:val="auto"/>
                <w:sz w:val="21"/>
                <w:highlight w:val="none"/>
                <w:lang w:val="en-US" w:eastAsia="zh-CN"/>
              </w:rPr>
              <w:t>评审</w:t>
            </w:r>
            <w:r>
              <w:rPr>
                <w:b/>
                <w:bCs/>
                <w:color w:val="auto"/>
                <w:sz w:val="21"/>
                <w:highlight w:val="none"/>
              </w:rPr>
              <w:t>内容</w:t>
            </w:r>
          </w:p>
        </w:tc>
      </w:tr>
      <w:tr w14:paraId="69C8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822" w:type="dxa"/>
            <w:noWrap w:val="0"/>
            <w:vAlign w:val="top"/>
          </w:tcPr>
          <w:p w14:paraId="3901AF48">
            <w:pPr>
              <w:pStyle w:val="32"/>
              <w:spacing w:before="106" w:line="600" w:lineRule="auto"/>
              <w:ind w:left="10"/>
              <w:jc w:val="center"/>
              <w:rPr>
                <w:rFonts w:hint="eastAsia" w:ascii="Times New Roman" w:eastAsia="宋体"/>
                <w:color w:val="auto"/>
                <w:sz w:val="21"/>
                <w:highlight w:val="none"/>
                <w:lang w:eastAsia="zh-CN"/>
              </w:rPr>
            </w:pPr>
            <w:r>
              <w:rPr>
                <w:rFonts w:hint="eastAsia" w:ascii="Times New Roman"/>
                <w:color w:val="auto"/>
                <w:w w:val="100"/>
                <w:sz w:val="21"/>
                <w:highlight w:val="none"/>
                <w:lang w:val="en-US" w:eastAsia="zh-CN"/>
              </w:rPr>
              <w:t>1</w:t>
            </w:r>
          </w:p>
        </w:tc>
        <w:tc>
          <w:tcPr>
            <w:tcW w:w="8768" w:type="dxa"/>
            <w:noWrap w:val="0"/>
            <w:vAlign w:val="top"/>
          </w:tcPr>
          <w:p w14:paraId="17FBF17E">
            <w:pPr>
              <w:pStyle w:val="44"/>
              <w:spacing w:before="122" w:line="219" w:lineRule="auto"/>
              <w:ind w:left="124" w:leftChars="0" w:right="0" w:rightChars="0"/>
              <w:rPr>
                <w:color w:val="auto"/>
                <w:sz w:val="21"/>
                <w:highlight w:val="none"/>
              </w:rPr>
            </w:pPr>
            <w:r>
              <w:rPr>
                <w:spacing w:val="-2"/>
                <w:sz w:val="21"/>
                <w:szCs w:val="21"/>
              </w:rPr>
              <w:t>响应文件的编制、签</w:t>
            </w:r>
            <w:r>
              <w:rPr>
                <w:rFonts w:hint="eastAsia"/>
                <w:spacing w:val="-2"/>
                <w:sz w:val="21"/>
                <w:szCs w:val="21"/>
                <w:lang w:val="en-US" w:eastAsia="zh-CN"/>
              </w:rPr>
              <w:t>字</w:t>
            </w:r>
            <w:r>
              <w:rPr>
                <w:spacing w:val="-2"/>
                <w:sz w:val="21"/>
                <w:szCs w:val="21"/>
              </w:rPr>
              <w:t>及盖章是否符合磋商文件的要求。</w:t>
            </w:r>
          </w:p>
        </w:tc>
      </w:tr>
      <w:tr w14:paraId="22AC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3FD86E8E">
            <w:pPr>
              <w:pStyle w:val="32"/>
              <w:spacing w:before="106" w:line="600" w:lineRule="auto"/>
              <w:ind w:left="10"/>
              <w:jc w:val="center"/>
              <w:rPr>
                <w:rFonts w:hint="eastAsia" w:ascii="Times New Roman" w:eastAsia="宋体"/>
                <w:color w:val="auto"/>
                <w:sz w:val="21"/>
                <w:highlight w:val="none"/>
                <w:lang w:eastAsia="zh-CN"/>
              </w:rPr>
            </w:pPr>
            <w:r>
              <w:rPr>
                <w:rFonts w:hint="eastAsia" w:ascii="Times New Roman"/>
                <w:color w:val="auto"/>
                <w:w w:val="100"/>
                <w:sz w:val="21"/>
                <w:highlight w:val="none"/>
                <w:lang w:val="en-US" w:eastAsia="zh-CN"/>
              </w:rPr>
              <w:t>2</w:t>
            </w:r>
          </w:p>
        </w:tc>
        <w:tc>
          <w:tcPr>
            <w:tcW w:w="8768" w:type="dxa"/>
            <w:noWrap w:val="0"/>
            <w:vAlign w:val="top"/>
          </w:tcPr>
          <w:p w14:paraId="156DA9F9">
            <w:pPr>
              <w:pStyle w:val="44"/>
              <w:spacing w:before="123" w:line="218" w:lineRule="auto"/>
              <w:ind w:left="113" w:leftChars="0" w:right="0" w:rightChars="0"/>
              <w:rPr>
                <w:color w:val="auto"/>
                <w:sz w:val="21"/>
                <w:highlight w:val="none"/>
              </w:rPr>
            </w:pPr>
            <w:r>
              <w:rPr>
                <w:spacing w:val="-1"/>
                <w:sz w:val="21"/>
                <w:szCs w:val="21"/>
              </w:rPr>
              <w:t>磋商报价（首次报价或最后报价）是否超过磋商文件中规定</w:t>
            </w:r>
            <w:r>
              <w:rPr>
                <w:spacing w:val="-2"/>
                <w:sz w:val="21"/>
                <w:szCs w:val="21"/>
              </w:rPr>
              <w:t>的控制价的。</w:t>
            </w:r>
          </w:p>
        </w:tc>
      </w:tr>
      <w:tr w14:paraId="60A0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02FAC7F1">
            <w:pPr>
              <w:pStyle w:val="32"/>
              <w:spacing w:before="106" w:line="600" w:lineRule="auto"/>
              <w:ind w:left="10"/>
              <w:jc w:val="center"/>
              <w:rPr>
                <w:rFonts w:hint="eastAsia" w:ascii="Times New Roman" w:eastAsia="宋体"/>
                <w:color w:val="auto"/>
                <w:sz w:val="21"/>
                <w:highlight w:val="none"/>
                <w:lang w:eastAsia="zh-CN"/>
              </w:rPr>
            </w:pPr>
            <w:r>
              <w:rPr>
                <w:rFonts w:hint="eastAsia" w:ascii="Times New Roman"/>
                <w:color w:val="auto"/>
                <w:w w:val="100"/>
                <w:sz w:val="21"/>
                <w:highlight w:val="none"/>
                <w:lang w:val="en-US" w:eastAsia="zh-CN"/>
              </w:rPr>
              <w:t>3</w:t>
            </w:r>
          </w:p>
        </w:tc>
        <w:tc>
          <w:tcPr>
            <w:tcW w:w="8768" w:type="dxa"/>
            <w:noWrap w:val="0"/>
            <w:vAlign w:val="top"/>
          </w:tcPr>
          <w:p w14:paraId="2E5EAADA">
            <w:pPr>
              <w:pStyle w:val="44"/>
              <w:spacing w:before="125" w:line="219" w:lineRule="auto"/>
              <w:ind w:left="124" w:leftChars="0" w:right="0" w:rightChars="0"/>
              <w:rPr>
                <w:color w:val="auto"/>
                <w:sz w:val="21"/>
                <w:highlight w:val="none"/>
              </w:rPr>
            </w:pPr>
            <w:r>
              <w:rPr>
                <w:spacing w:val="-3"/>
                <w:sz w:val="21"/>
                <w:szCs w:val="21"/>
              </w:rPr>
              <w:t>响应文件是否含有采购人不能接受的附加条件的。</w:t>
            </w:r>
          </w:p>
        </w:tc>
      </w:tr>
      <w:tr w14:paraId="6225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0FA198D6">
            <w:pPr>
              <w:pStyle w:val="32"/>
              <w:spacing w:before="106" w:line="600" w:lineRule="auto"/>
              <w:ind w:left="10"/>
              <w:jc w:val="center"/>
              <w:rPr>
                <w:rFonts w:hint="eastAsia" w:ascii="Times New Roman" w:eastAsia="宋体"/>
                <w:color w:val="auto"/>
                <w:sz w:val="21"/>
                <w:highlight w:val="none"/>
                <w:lang w:eastAsia="zh-CN"/>
              </w:rPr>
            </w:pPr>
            <w:r>
              <w:rPr>
                <w:rFonts w:hint="eastAsia" w:ascii="Times New Roman"/>
                <w:color w:val="auto"/>
                <w:w w:val="100"/>
                <w:sz w:val="21"/>
                <w:highlight w:val="none"/>
                <w:lang w:val="en-US" w:eastAsia="zh-CN"/>
              </w:rPr>
              <w:t>4</w:t>
            </w:r>
          </w:p>
        </w:tc>
        <w:tc>
          <w:tcPr>
            <w:tcW w:w="8768" w:type="dxa"/>
            <w:noWrap w:val="0"/>
            <w:vAlign w:val="top"/>
          </w:tcPr>
          <w:p w14:paraId="513E1370">
            <w:pPr>
              <w:pStyle w:val="44"/>
              <w:spacing w:before="124" w:line="220" w:lineRule="auto"/>
              <w:ind w:left="113" w:leftChars="0" w:right="0" w:rightChars="0"/>
              <w:rPr>
                <w:color w:val="auto"/>
                <w:sz w:val="21"/>
                <w:highlight w:val="none"/>
              </w:rPr>
            </w:pPr>
            <w:r>
              <w:rPr>
                <w:spacing w:val="-2"/>
                <w:sz w:val="21"/>
                <w:szCs w:val="21"/>
              </w:rPr>
              <w:t>磋商响应有效期是否满足磋商文件要求。</w:t>
            </w:r>
          </w:p>
        </w:tc>
      </w:tr>
      <w:tr w14:paraId="6CBE2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6279F031">
            <w:pPr>
              <w:pStyle w:val="32"/>
              <w:spacing w:before="106" w:line="600" w:lineRule="auto"/>
              <w:ind w:left="10"/>
              <w:jc w:val="center"/>
              <w:rPr>
                <w:rFonts w:hint="eastAsia" w:ascii="Times New Roman" w:eastAsia="宋体"/>
                <w:color w:val="auto"/>
                <w:w w:val="100"/>
                <w:sz w:val="21"/>
                <w:highlight w:val="none"/>
                <w:lang w:val="en-US" w:eastAsia="zh-CN"/>
              </w:rPr>
            </w:pPr>
            <w:r>
              <w:rPr>
                <w:rFonts w:hint="eastAsia" w:ascii="Times New Roman"/>
                <w:color w:val="auto"/>
                <w:w w:val="100"/>
                <w:sz w:val="21"/>
                <w:highlight w:val="none"/>
                <w:lang w:val="en-US" w:eastAsia="zh-CN"/>
              </w:rPr>
              <w:t>5</w:t>
            </w:r>
          </w:p>
        </w:tc>
        <w:tc>
          <w:tcPr>
            <w:tcW w:w="8768" w:type="dxa"/>
            <w:noWrap w:val="0"/>
            <w:vAlign w:val="top"/>
          </w:tcPr>
          <w:p w14:paraId="61C8BB33">
            <w:pPr>
              <w:pStyle w:val="44"/>
              <w:spacing w:before="126" w:line="682" w:lineRule="exact"/>
              <w:ind w:left="113"/>
              <w:rPr>
                <w:sz w:val="21"/>
                <w:szCs w:val="21"/>
              </w:rPr>
            </w:pPr>
            <w:r>
              <w:rPr>
                <w:position w:val="37"/>
                <w:sz w:val="21"/>
                <w:szCs w:val="21"/>
              </w:rPr>
              <w:t>施工招标项目工程量清单封面需有</w:t>
            </w:r>
            <w:r>
              <w:rPr>
                <w:rFonts w:hint="eastAsia"/>
                <w:position w:val="37"/>
                <w:sz w:val="21"/>
                <w:szCs w:val="21"/>
                <w:lang w:val="en-US" w:eastAsia="zh-CN"/>
              </w:rPr>
              <w:t>注册造价师</w:t>
            </w:r>
            <w:r>
              <w:rPr>
                <w:spacing w:val="-1"/>
                <w:position w:val="37"/>
                <w:sz w:val="21"/>
                <w:szCs w:val="21"/>
              </w:rPr>
              <w:t>签字和印章</w:t>
            </w:r>
          </w:p>
          <w:p w14:paraId="2D209E64">
            <w:pPr>
              <w:pStyle w:val="44"/>
              <w:spacing w:before="1" w:line="218" w:lineRule="auto"/>
              <w:ind w:left="119" w:leftChars="0" w:right="0" w:rightChars="0"/>
              <w:rPr>
                <w:rFonts w:hint="default" w:eastAsia="宋体"/>
                <w:color w:val="auto"/>
                <w:sz w:val="21"/>
                <w:highlight w:val="none"/>
                <w:lang w:val="en-US" w:eastAsia="zh-CN"/>
              </w:rPr>
            </w:pPr>
            <w:r>
              <w:rPr>
                <w:spacing w:val="-2"/>
                <w:sz w:val="21"/>
                <w:szCs w:val="21"/>
              </w:rPr>
              <w:t>（由</w:t>
            </w:r>
            <w:r>
              <w:rPr>
                <w:rFonts w:hint="eastAsia"/>
                <w:spacing w:val="-2"/>
                <w:sz w:val="21"/>
                <w:szCs w:val="21"/>
                <w:lang w:val="en-US" w:eastAsia="zh-CN"/>
              </w:rPr>
              <w:t>注册造价工程师</w:t>
            </w:r>
            <w:r>
              <w:rPr>
                <w:spacing w:val="-2"/>
                <w:sz w:val="21"/>
                <w:szCs w:val="21"/>
              </w:rPr>
              <w:t>在工程量清单封面签字并加盖执业</w:t>
            </w:r>
            <w:r>
              <w:rPr>
                <w:color w:val="auto"/>
                <w:spacing w:val="-2"/>
                <w:sz w:val="21"/>
                <w:szCs w:val="21"/>
              </w:rPr>
              <w:t>印章</w:t>
            </w:r>
            <w:r>
              <w:rPr>
                <w:color w:val="auto"/>
                <w:spacing w:val="-2"/>
              </w:rPr>
              <w:t>）</w:t>
            </w:r>
            <w:r>
              <w:rPr>
                <w:color w:val="auto"/>
                <w:spacing w:val="-2"/>
                <w:sz w:val="21"/>
                <w:szCs w:val="21"/>
              </w:rPr>
              <w:t>。</w:t>
            </w:r>
          </w:p>
        </w:tc>
      </w:tr>
      <w:tr w14:paraId="6D1E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592A758E">
            <w:pPr>
              <w:pStyle w:val="32"/>
              <w:spacing w:before="106" w:line="600" w:lineRule="auto"/>
              <w:ind w:left="10"/>
              <w:jc w:val="center"/>
              <w:rPr>
                <w:rFonts w:hint="eastAsia" w:ascii="Times New Roman" w:eastAsia="宋体"/>
                <w:color w:val="auto"/>
                <w:sz w:val="21"/>
                <w:highlight w:val="none"/>
                <w:lang w:eastAsia="zh-CN"/>
              </w:rPr>
            </w:pPr>
            <w:r>
              <w:rPr>
                <w:rFonts w:hint="eastAsia" w:ascii="Times New Roman"/>
                <w:color w:val="auto"/>
                <w:w w:val="100"/>
                <w:sz w:val="21"/>
                <w:highlight w:val="none"/>
                <w:lang w:val="en-US" w:eastAsia="zh-CN"/>
              </w:rPr>
              <w:t>6</w:t>
            </w:r>
          </w:p>
        </w:tc>
        <w:tc>
          <w:tcPr>
            <w:tcW w:w="8768" w:type="dxa"/>
            <w:noWrap w:val="0"/>
            <w:vAlign w:val="top"/>
          </w:tcPr>
          <w:p w14:paraId="54188760">
            <w:pPr>
              <w:pStyle w:val="44"/>
              <w:spacing w:before="127" w:line="220" w:lineRule="auto"/>
              <w:ind w:left="124"/>
              <w:rPr>
                <w:sz w:val="21"/>
                <w:szCs w:val="21"/>
              </w:rPr>
            </w:pPr>
            <w:r>
              <w:rPr>
                <w:sz w:val="21"/>
                <w:szCs w:val="21"/>
              </w:rPr>
              <w:t>响应文件是否完全满足磋商文件的实质性条款（</w:t>
            </w:r>
            <w:r>
              <w:rPr>
                <w:spacing w:val="-1"/>
                <w:sz w:val="21"/>
                <w:szCs w:val="21"/>
              </w:rPr>
              <w:t>即标注★部分条款）且无负偏离的。（包括计</w:t>
            </w:r>
          </w:p>
          <w:p w14:paraId="3491FE4D">
            <w:pPr>
              <w:spacing w:line="360" w:lineRule="auto"/>
              <w:rPr>
                <w:rFonts w:ascii="Arial"/>
                <w:sz w:val="21"/>
              </w:rPr>
            </w:pPr>
          </w:p>
          <w:p w14:paraId="01DEB0D3">
            <w:pPr>
              <w:pStyle w:val="44"/>
              <w:spacing w:before="68" w:line="220" w:lineRule="auto"/>
              <w:ind w:left="113" w:leftChars="0" w:right="0" w:rightChars="0"/>
              <w:rPr>
                <w:color w:val="auto"/>
                <w:sz w:val="21"/>
                <w:highlight w:val="none"/>
              </w:rPr>
            </w:pPr>
            <w:r>
              <w:rPr>
                <w:spacing w:val="-1"/>
                <w:sz w:val="21"/>
                <w:szCs w:val="21"/>
              </w:rPr>
              <w:t>划工期符合招标文件规定、投标范围及内容符合招标文件规定）</w:t>
            </w:r>
          </w:p>
        </w:tc>
      </w:tr>
      <w:tr w14:paraId="2486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22" w:type="dxa"/>
            <w:noWrap w:val="0"/>
            <w:vAlign w:val="top"/>
          </w:tcPr>
          <w:p w14:paraId="4D7F389A">
            <w:pPr>
              <w:pStyle w:val="32"/>
              <w:spacing w:before="113" w:line="600" w:lineRule="auto"/>
              <w:ind w:left="10"/>
              <w:jc w:val="center"/>
              <w:rPr>
                <w:rFonts w:hint="eastAsia" w:ascii="Times New Roman" w:eastAsia="宋体"/>
                <w:color w:val="auto"/>
                <w:sz w:val="21"/>
                <w:highlight w:val="none"/>
                <w:lang w:eastAsia="zh-CN"/>
              </w:rPr>
            </w:pPr>
            <w:r>
              <w:rPr>
                <w:rFonts w:hint="eastAsia" w:ascii="Times New Roman"/>
                <w:color w:val="auto"/>
                <w:w w:val="100"/>
                <w:sz w:val="21"/>
                <w:highlight w:val="none"/>
                <w:lang w:val="en-US" w:eastAsia="zh-CN"/>
              </w:rPr>
              <w:t>7</w:t>
            </w:r>
          </w:p>
        </w:tc>
        <w:tc>
          <w:tcPr>
            <w:tcW w:w="8768" w:type="dxa"/>
            <w:noWrap w:val="0"/>
            <w:vAlign w:val="top"/>
          </w:tcPr>
          <w:p w14:paraId="5992CF39">
            <w:pPr>
              <w:pStyle w:val="44"/>
              <w:spacing w:before="134" w:line="220" w:lineRule="auto"/>
              <w:ind w:left="124" w:leftChars="0" w:right="0" w:rightChars="0"/>
              <w:rPr>
                <w:color w:val="auto"/>
                <w:sz w:val="21"/>
                <w:highlight w:val="none"/>
              </w:rPr>
            </w:pPr>
            <w:r>
              <w:rPr>
                <w:spacing w:val="-2"/>
                <w:sz w:val="21"/>
                <w:szCs w:val="21"/>
              </w:rPr>
              <w:t>响应文件是否存在法律、法规和磋商文件规定的其他无效情形。</w:t>
            </w:r>
          </w:p>
        </w:tc>
      </w:tr>
      <w:tr w14:paraId="4239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590" w:type="dxa"/>
            <w:gridSpan w:val="2"/>
            <w:noWrap w:val="0"/>
            <w:vAlign w:val="top"/>
          </w:tcPr>
          <w:p w14:paraId="02F52AAB">
            <w:pPr>
              <w:pStyle w:val="32"/>
              <w:spacing w:before="94" w:line="600" w:lineRule="auto"/>
              <w:ind w:left="107"/>
              <w:rPr>
                <w:color w:val="auto"/>
                <w:sz w:val="21"/>
                <w:highlight w:val="none"/>
              </w:rPr>
            </w:pPr>
            <w:r>
              <w:rPr>
                <w:b/>
                <w:bCs/>
                <w:color w:val="auto"/>
                <w:sz w:val="21"/>
                <w:highlight w:val="none"/>
              </w:rPr>
              <w:t xml:space="preserve">说明：供应商必须满足符合性审查表内所有条款，否则被认定为无效响应。 </w:t>
            </w:r>
          </w:p>
        </w:tc>
      </w:tr>
    </w:tbl>
    <w:p w14:paraId="672496D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30"/>
          <w:szCs w:val="30"/>
          <w:highlight w:val="none"/>
          <w:lang w:val="en-US" w:eastAsia="zh-CN"/>
        </w:rPr>
        <w:br w:type="page"/>
      </w:r>
      <w:r>
        <w:rPr>
          <w:rFonts w:hint="eastAsia" w:cs="宋体"/>
          <w:b/>
          <w:bCs/>
          <w:color w:val="auto"/>
          <w:sz w:val="30"/>
          <w:szCs w:val="30"/>
          <w:highlight w:val="none"/>
          <w:lang w:val="en-US" w:eastAsia="zh-CN"/>
        </w:rPr>
        <w:t>39</w:t>
      </w:r>
      <w:r>
        <w:rPr>
          <w:rFonts w:hint="eastAsia" w:ascii="宋体" w:hAnsi="宋体" w:eastAsia="宋体" w:cs="宋体"/>
          <w:b/>
          <w:bCs/>
          <w:color w:val="auto"/>
          <w:sz w:val="30"/>
          <w:szCs w:val="30"/>
          <w:highlight w:val="none"/>
          <w:lang w:val="en-US" w:eastAsia="zh-CN"/>
        </w:rPr>
        <w:t xml:space="preserve"> 评分标准</w:t>
      </w:r>
      <w:r>
        <w:rPr>
          <w:rFonts w:hint="eastAsia" w:ascii="宋体" w:hAnsi="宋体" w:eastAsia="宋体" w:cs="宋体"/>
          <w:color w:val="auto"/>
          <w:sz w:val="24"/>
          <w:szCs w:val="24"/>
          <w:highlight w:val="none"/>
        </w:rPr>
        <w:t xml:space="preserve"> </w:t>
      </w:r>
    </w:p>
    <w:p w14:paraId="7288C31A">
      <w:pPr>
        <w:pStyle w:val="40"/>
        <w:shd w:val="clear" w:color="auto" w:fill="FFFFFF"/>
        <w:spacing w:line="440" w:lineRule="exact"/>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满足招磋商文件要求且最后投标价格最低的投标报价为磋商基准价，磋商报价得分=（磋商基准价／最后磋商报价）×价格权值×100，计算分数时四舍五入取小数点后两位</w:t>
      </w:r>
      <w:r>
        <w:rPr>
          <w:rFonts w:hint="eastAsia" w:asciiTheme="minorEastAsia" w:hAnsiTheme="minorEastAsia" w:eastAsiaTheme="minorEastAsia" w:cstheme="minorEastAsia"/>
          <w:color w:val="000000" w:themeColor="text1"/>
          <w:sz w:val="24"/>
          <w:szCs w:val="24"/>
          <w14:textFill>
            <w14:solidFill>
              <w14:schemeClr w14:val="tx1"/>
            </w14:solidFill>
          </w14:textFill>
        </w:rPr>
        <w:t>。【说明：</w:t>
      </w:r>
      <w:r>
        <w:rPr>
          <w:rFonts w:hint="eastAsia" w:asciiTheme="minorEastAsia" w:hAnsiTheme="minorEastAsia" w:eastAsiaTheme="minorEastAsia" w:cstheme="minorEastAsia"/>
          <w:b/>
          <w:color w:val="000000" w:themeColor="text1"/>
          <w:sz w:val="24"/>
          <w:szCs w:val="24"/>
          <w14:textFill>
            <w14:solidFill>
              <w14:schemeClr w14:val="tx1"/>
            </w14:solidFill>
          </w14:textFill>
        </w:rPr>
        <w:t>商务标部分满分</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21</w:t>
      </w:r>
      <w:r>
        <w:rPr>
          <w:rFonts w:hint="eastAsia" w:asciiTheme="minorEastAsia" w:hAnsiTheme="minorEastAsia" w:eastAsiaTheme="minorEastAsia" w:cstheme="minorEastAsia"/>
          <w:b/>
          <w:color w:val="000000" w:themeColor="text1"/>
          <w:sz w:val="24"/>
          <w:szCs w:val="24"/>
          <w14:textFill>
            <w14:solidFill>
              <w14:schemeClr w14:val="tx1"/>
            </w14:solidFill>
          </w14:textFill>
        </w:rPr>
        <w:t>分，技术标部分满分</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49</w:t>
      </w:r>
      <w:r>
        <w:rPr>
          <w:rFonts w:hint="eastAsia" w:asciiTheme="minorEastAsia" w:hAnsiTheme="minorEastAsia" w:eastAsiaTheme="minorEastAsia" w:cstheme="minorEastAsia"/>
          <w:b/>
          <w:color w:val="000000" w:themeColor="text1"/>
          <w:sz w:val="24"/>
          <w:szCs w:val="24"/>
          <w14:textFill>
            <w14:solidFill>
              <w14:schemeClr w14:val="tx1"/>
            </w14:solidFill>
          </w14:textFill>
        </w:rPr>
        <w:t>分，经济标部分满分</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sz w:val="24"/>
          <w:szCs w:val="24"/>
          <w14:textFill>
            <w14:solidFill>
              <w14:schemeClr w14:val="tx1"/>
            </w14:solidFill>
          </w14:textFill>
        </w:rPr>
        <w:t>0分</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4A21A6C5">
      <w:pPr>
        <w:spacing w:line="53" w:lineRule="auto"/>
        <w:rPr>
          <w:rFonts w:hint="eastAsia" w:asciiTheme="minorEastAsia" w:hAnsiTheme="minorEastAsia" w:eastAsiaTheme="minorEastAsia" w:cstheme="minorEastAsia"/>
          <w:sz w:val="2"/>
        </w:rPr>
      </w:pPr>
    </w:p>
    <w:tbl>
      <w:tblPr>
        <w:tblStyle w:val="45"/>
        <w:tblW w:w="99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1315"/>
        <w:gridCol w:w="6761"/>
        <w:gridCol w:w="858"/>
      </w:tblGrid>
      <w:tr w14:paraId="150EF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996" w:type="dxa"/>
            <w:vAlign w:val="top"/>
          </w:tcPr>
          <w:p w14:paraId="5B3F6BCC">
            <w:pPr>
              <w:pStyle w:val="44"/>
              <w:spacing w:before="291" w:line="222" w:lineRule="auto"/>
              <w:ind w:left="3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评分项目</w:t>
            </w:r>
          </w:p>
        </w:tc>
        <w:tc>
          <w:tcPr>
            <w:tcW w:w="1315" w:type="dxa"/>
            <w:vAlign w:val="top"/>
          </w:tcPr>
          <w:p w14:paraId="381A6DE7">
            <w:pPr>
              <w:pStyle w:val="44"/>
              <w:spacing w:before="243" w:line="222" w:lineRule="auto"/>
              <w:ind w:left="19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评分因素</w:t>
            </w:r>
          </w:p>
        </w:tc>
        <w:tc>
          <w:tcPr>
            <w:tcW w:w="6761" w:type="dxa"/>
            <w:vAlign w:val="top"/>
          </w:tcPr>
          <w:p w14:paraId="4E937500">
            <w:pPr>
              <w:pStyle w:val="44"/>
              <w:spacing w:before="243" w:line="222" w:lineRule="auto"/>
              <w:ind w:left="291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评审内容</w:t>
            </w:r>
          </w:p>
        </w:tc>
        <w:tc>
          <w:tcPr>
            <w:tcW w:w="858" w:type="dxa"/>
            <w:vAlign w:val="top"/>
          </w:tcPr>
          <w:p w14:paraId="1E2F24E8">
            <w:pPr>
              <w:pStyle w:val="44"/>
              <w:spacing w:before="243" w:line="223" w:lineRule="auto"/>
              <w:ind w:left="20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rPr>
              <w:t>分值</w:t>
            </w:r>
          </w:p>
        </w:tc>
      </w:tr>
      <w:tr w14:paraId="1F20D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4" w:hRule="atLeast"/>
        </w:trPr>
        <w:tc>
          <w:tcPr>
            <w:tcW w:w="996" w:type="dxa"/>
            <w:vAlign w:val="top"/>
          </w:tcPr>
          <w:p w14:paraId="4E8F65FF">
            <w:pPr>
              <w:spacing w:line="259" w:lineRule="auto"/>
              <w:rPr>
                <w:rFonts w:hint="eastAsia" w:asciiTheme="minorEastAsia" w:hAnsiTheme="minorEastAsia" w:eastAsiaTheme="minorEastAsia" w:cstheme="minorEastAsia"/>
                <w:sz w:val="21"/>
              </w:rPr>
            </w:pPr>
          </w:p>
          <w:p w14:paraId="25621E7A">
            <w:pPr>
              <w:spacing w:line="260" w:lineRule="auto"/>
              <w:rPr>
                <w:rFonts w:hint="eastAsia" w:asciiTheme="minorEastAsia" w:hAnsiTheme="minorEastAsia" w:eastAsiaTheme="minorEastAsia" w:cstheme="minorEastAsia"/>
                <w:sz w:val="21"/>
              </w:rPr>
            </w:pPr>
          </w:p>
          <w:p w14:paraId="00517F3B">
            <w:pPr>
              <w:spacing w:line="260" w:lineRule="auto"/>
              <w:rPr>
                <w:rFonts w:hint="eastAsia" w:asciiTheme="minorEastAsia" w:hAnsiTheme="minorEastAsia" w:eastAsiaTheme="minorEastAsia" w:cstheme="minorEastAsia"/>
                <w:sz w:val="21"/>
              </w:rPr>
            </w:pPr>
          </w:p>
          <w:p w14:paraId="35349478">
            <w:pPr>
              <w:pStyle w:val="44"/>
              <w:spacing w:before="78" w:line="232" w:lineRule="auto"/>
              <w:ind w:left="36" w:right="15" w:hanging="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价格部分</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spacing w:val="-5"/>
              </w:rPr>
              <w:t>（30分）</w:t>
            </w:r>
          </w:p>
        </w:tc>
        <w:tc>
          <w:tcPr>
            <w:tcW w:w="1315" w:type="dxa"/>
            <w:vAlign w:val="top"/>
          </w:tcPr>
          <w:p w14:paraId="149D389F">
            <w:pPr>
              <w:spacing w:line="311" w:lineRule="auto"/>
              <w:rPr>
                <w:rFonts w:hint="eastAsia" w:asciiTheme="minorEastAsia" w:hAnsiTheme="minorEastAsia" w:eastAsiaTheme="minorEastAsia" w:cstheme="minorEastAsia"/>
                <w:sz w:val="21"/>
              </w:rPr>
            </w:pPr>
          </w:p>
          <w:p w14:paraId="0032D3D5">
            <w:pPr>
              <w:spacing w:line="312" w:lineRule="auto"/>
              <w:rPr>
                <w:rFonts w:hint="eastAsia" w:asciiTheme="minorEastAsia" w:hAnsiTheme="minorEastAsia" w:eastAsiaTheme="minorEastAsia" w:cstheme="minorEastAsia"/>
                <w:sz w:val="21"/>
              </w:rPr>
            </w:pPr>
          </w:p>
          <w:p w14:paraId="4AEA9F85">
            <w:pPr>
              <w:spacing w:line="312" w:lineRule="auto"/>
              <w:rPr>
                <w:rFonts w:hint="eastAsia" w:asciiTheme="minorEastAsia" w:hAnsiTheme="minorEastAsia" w:eastAsiaTheme="minorEastAsia" w:cstheme="minorEastAsia"/>
                <w:sz w:val="21"/>
              </w:rPr>
            </w:pPr>
          </w:p>
          <w:p w14:paraId="065444E6">
            <w:pPr>
              <w:pStyle w:val="44"/>
              <w:spacing w:before="78" w:line="222" w:lineRule="auto"/>
              <w:ind w:left="189"/>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磋商报价</w:t>
            </w:r>
          </w:p>
        </w:tc>
        <w:tc>
          <w:tcPr>
            <w:tcW w:w="6761" w:type="dxa"/>
            <w:vAlign w:val="top"/>
          </w:tcPr>
          <w:p w14:paraId="5E374F08">
            <w:pPr>
              <w:pStyle w:val="44"/>
              <w:spacing w:before="34" w:line="235" w:lineRule="auto"/>
              <w:ind w:left="16" w:firstLine="3"/>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综合评分法中的价格分统一采用低价优先法计算，即满足磋商文件要求（通过资格、符合性审查）且最后报价最低的供应商的价格（指价格核准后的价格，下同）为磋商基准价，其价格得分为</w:t>
            </w:r>
            <w:r>
              <w:rPr>
                <w:rFonts w:hint="eastAsia" w:asciiTheme="minorEastAsia" w:hAnsiTheme="minorEastAsia" w:eastAsiaTheme="minorEastAsia" w:cstheme="minorEastAsia"/>
                <w:spacing w:val="-1"/>
              </w:rPr>
              <w:t>满分。其他供应商的价格得分统一按照下列公式计算：</w:t>
            </w:r>
          </w:p>
          <w:p w14:paraId="014396F2">
            <w:pPr>
              <w:pStyle w:val="44"/>
              <w:spacing w:before="24" w:line="231" w:lineRule="auto"/>
              <w:ind w:left="18" w:right="154" w:hanging="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磋商基准价=满足磋商文件要求（通过资格、符合性审查）且最后报价最低的供应商的价格（指价格核准后的价格，下同）</w:t>
            </w:r>
          </w:p>
          <w:p w14:paraId="2C5524BA">
            <w:pPr>
              <w:pStyle w:val="44"/>
              <w:spacing w:before="20" w:line="222" w:lineRule="auto"/>
              <w:ind w:left="1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磋商报价得分=(磋商基准价/最后磋商报价)×价格权重×</w:t>
            </w:r>
            <w:r>
              <w:rPr>
                <w:rFonts w:hint="eastAsia" w:asciiTheme="minorEastAsia" w:hAnsiTheme="minorEastAsia" w:eastAsiaTheme="minorEastAsia" w:cstheme="minorEastAsia"/>
                <w:spacing w:val="-77"/>
              </w:rPr>
              <w:t xml:space="preserve"> </w:t>
            </w:r>
            <w:r>
              <w:rPr>
                <w:rFonts w:hint="eastAsia" w:asciiTheme="minorEastAsia" w:hAnsiTheme="minorEastAsia" w:eastAsiaTheme="minorEastAsia" w:cstheme="minorEastAsia"/>
                <w:spacing w:val="-2"/>
              </w:rPr>
              <w:t>100</w:t>
            </w:r>
          </w:p>
        </w:tc>
        <w:tc>
          <w:tcPr>
            <w:tcW w:w="858" w:type="dxa"/>
            <w:vAlign w:val="top"/>
          </w:tcPr>
          <w:p w14:paraId="51A67706">
            <w:pPr>
              <w:spacing w:line="282" w:lineRule="auto"/>
              <w:jc w:val="both"/>
              <w:rPr>
                <w:rFonts w:hint="eastAsia" w:asciiTheme="minorEastAsia" w:hAnsiTheme="minorEastAsia" w:eastAsiaTheme="minorEastAsia" w:cstheme="minorEastAsia"/>
                <w:sz w:val="21"/>
              </w:rPr>
            </w:pPr>
          </w:p>
          <w:p w14:paraId="248B1F7A">
            <w:pPr>
              <w:spacing w:line="283" w:lineRule="auto"/>
              <w:jc w:val="both"/>
              <w:rPr>
                <w:rFonts w:hint="eastAsia" w:asciiTheme="minorEastAsia" w:hAnsiTheme="minorEastAsia" w:eastAsiaTheme="minorEastAsia" w:cstheme="minorEastAsia"/>
                <w:sz w:val="21"/>
              </w:rPr>
            </w:pPr>
          </w:p>
          <w:p w14:paraId="754E88CC">
            <w:pPr>
              <w:spacing w:line="283" w:lineRule="auto"/>
              <w:jc w:val="both"/>
              <w:rPr>
                <w:rFonts w:hint="eastAsia" w:asciiTheme="minorEastAsia" w:hAnsiTheme="minorEastAsia" w:eastAsiaTheme="minorEastAsia" w:cstheme="minorEastAsia"/>
                <w:sz w:val="21"/>
              </w:rPr>
            </w:pPr>
          </w:p>
          <w:p w14:paraId="5D3E68DC">
            <w:pPr>
              <w:spacing w:line="283" w:lineRule="auto"/>
              <w:jc w:val="both"/>
              <w:rPr>
                <w:rFonts w:hint="eastAsia" w:asciiTheme="minorEastAsia" w:hAnsiTheme="minorEastAsia" w:eastAsiaTheme="minorEastAsia" w:cstheme="minorEastAsia"/>
                <w:sz w:val="21"/>
              </w:rPr>
            </w:pPr>
          </w:p>
          <w:p w14:paraId="5A705A68">
            <w:pPr>
              <w:pStyle w:val="44"/>
              <w:spacing w:before="78" w:line="180" w:lineRule="auto"/>
              <w:ind w:left="319"/>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30</w:t>
            </w:r>
          </w:p>
        </w:tc>
      </w:tr>
      <w:tr w14:paraId="742EC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996" w:type="dxa"/>
            <w:vMerge w:val="restart"/>
            <w:tcBorders>
              <w:bottom w:val="nil"/>
            </w:tcBorders>
            <w:vAlign w:val="top"/>
          </w:tcPr>
          <w:p w14:paraId="431E7F87">
            <w:pPr>
              <w:spacing w:line="257" w:lineRule="auto"/>
              <w:rPr>
                <w:rFonts w:hint="eastAsia" w:asciiTheme="minorEastAsia" w:hAnsiTheme="minorEastAsia" w:eastAsiaTheme="minorEastAsia" w:cstheme="minorEastAsia"/>
                <w:sz w:val="21"/>
              </w:rPr>
            </w:pPr>
          </w:p>
          <w:p w14:paraId="7893C8D9">
            <w:pPr>
              <w:spacing w:line="257" w:lineRule="auto"/>
              <w:rPr>
                <w:rFonts w:hint="eastAsia" w:asciiTheme="minorEastAsia" w:hAnsiTheme="minorEastAsia" w:eastAsiaTheme="minorEastAsia" w:cstheme="minorEastAsia"/>
                <w:sz w:val="21"/>
              </w:rPr>
            </w:pPr>
          </w:p>
          <w:p w14:paraId="132D032E">
            <w:pPr>
              <w:spacing w:line="257" w:lineRule="auto"/>
              <w:rPr>
                <w:rFonts w:hint="eastAsia" w:asciiTheme="minorEastAsia" w:hAnsiTheme="minorEastAsia" w:eastAsiaTheme="minorEastAsia" w:cstheme="minorEastAsia"/>
                <w:sz w:val="21"/>
              </w:rPr>
            </w:pPr>
          </w:p>
          <w:p w14:paraId="2BAA8CA6">
            <w:pPr>
              <w:spacing w:line="257" w:lineRule="auto"/>
              <w:rPr>
                <w:rFonts w:hint="eastAsia" w:asciiTheme="minorEastAsia" w:hAnsiTheme="minorEastAsia" w:eastAsiaTheme="minorEastAsia" w:cstheme="minorEastAsia"/>
                <w:sz w:val="21"/>
              </w:rPr>
            </w:pPr>
          </w:p>
          <w:p w14:paraId="66ACD58E">
            <w:pPr>
              <w:spacing w:line="257" w:lineRule="auto"/>
              <w:rPr>
                <w:rFonts w:hint="eastAsia" w:asciiTheme="minorEastAsia" w:hAnsiTheme="minorEastAsia" w:eastAsiaTheme="minorEastAsia" w:cstheme="minorEastAsia"/>
                <w:sz w:val="21"/>
              </w:rPr>
            </w:pPr>
          </w:p>
          <w:p w14:paraId="685956AE">
            <w:pPr>
              <w:spacing w:line="257" w:lineRule="auto"/>
              <w:rPr>
                <w:rFonts w:hint="eastAsia" w:asciiTheme="minorEastAsia" w:hAnsiTheme="minorEastAsia" w:eastAsiaTheme="minorEastAsia" w:cstheme="minorEastAsia"/>
                <w:sz w:val="21"/>
              </w:rPr>
            </w:pPr>
          </w:p>
          <w:p w14:paraId="60CA4A16">
            <w:pPr>
              <w:pStyle w:val="44"/>
              <w:spacing w:before="78" w:line="231" w:lineRule="auto"/>
              <w:ind w:right="15"/>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商务部分</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spacing w:val="-5"/>
              </w:rPr>
              <w:t>（</w:t>
            </w:r>
            <w:r>
              <w:rPr>
                <w:rFonts w:hint="eastAsia" w:asciiTheme="minorEastAsia" w:hAnsiTheme="minorEastAsia" w:eastAsiaTheme="minorEastAsia" w:cstheme="minorEastAsia"/>
                <w:spacing w:val="-5"/>
                <w:lang w:val="en-US" w:eastAsia="zh-CN"/>
              </w:rPr>
              <w:t>21</w:t>
            </w:r>
            <w:r>
              <w:rPr>
                <w:rFonts w:hint="eastAsia" w:asciiTheme="minorEastAsia" w:hAnsiTheme="minorEastAsia" w:eastAsiaTheme="minorEastAsia" w:cstheme="minorEastAsia"/>
                <w:spacing w:val="-5"/>
              </w:rPr>
              <w:t>分）</w:t>
            </w:r>
          </w:p>
        </w:tc>
        <w:tc>
          <w:tcPr>
            <w:tcW w:w="1315" w:type="dxa"/>
            <w:vAlign w:val="top"/>
          </w:tcPr>
          <w:p w14:paraId="787DE5CB">
            <w:pPr>
              <w:pStyle w:val="44"/>
              <w:spacing w:before="78" w:line="230" w:lineRule="auto"/>
              <w:ind w:left="70" w:right="55" w:firstLine="29"/>
              <w:jc w:val="center"/>
              <w:rPr>
                <w:rFonts w:hint="eastAsia" w:asciiTheme="minorEastAsia" w:hAnsiTheme="minorEastAsia" w:eastAsiaTheme="minorEastAsia" w:cstheme="minorEastAsia"/>
                <w:lang w:val="en-US" w:eastAsia="zh-CN"/>
              </w:rPr>
            </w:pPr>
          </w:p>
          <w:p w14:paraId="3B9A10D7">
            <w:pPr>
              <w:pStyle w:val="44"/>
              <w:spacing w:before="78" w:line="230" w:lineRule="auto"/>
              <w:ind w:left="70" w:right="55" w:firstLine="29"/>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企业业绩</w:t>
            </w:r>
          </w:p>
        </w:tc>
        <w:tc>
          <w:tcPr>
            <w:tcW w:w="6761" w:type="dxa"/>
            <w:vAlign w:val="top"/>
          </w:tcPr>
          <w:p w14:paraId="1AC5D7E7">
            <w:pPr>
              <w:rPr>
                <w:rFonts w:hint="eastAsia" w:asciiTheme="minorEastAsia" w:hAnsiTheme="minorEastAsia" w:eastAsiaTheme="minorEastAsia" w:cstheme="minorEastAsia"/>
                <w:sz w:val="22"/>
                <w:szCs w:val="22"/>
                <w:lang w:val="en-US" w:eastAsia="zh-CN" w:bidi="ar-SA"/>
              </w:rPr>
            </w:pPr>
          </w:p>
          <w:p w14:paraId="270BF1E1">
            <w:pPr>
              <w:rPr>
                <w:rFonts w:hint="eastAsia" w:asciiTheme="minorEastAsia" w:hAnsiTheme="minorEastAsia" w:eastAsiaTheme="minorEastAsia" w:cstheme="minorEastAsia"/>
                <w:sz w:val="22"/>
                <w:szCs w:val="22"/>
                <w:lang w:val="en-US" w:eastAsia="en-US" w:bidi="ar-SA"/>
              </w:rPr>
            </w:pPr>
            <w:r>
              <w:rPr>
                <w:rFonts w:hint="eastAsia" w:asciiTheme="minorEastAsia" w:hAnsiTheme="minorEastAsia" w:eastAsiaTheme="minorEastAsia" w:cstheme="minorEastAsia"/>
                <w:sz w:val="22"/>
                <w:szCs w:val="22"/>
                <w:lang w:val="en-US" w:eastAsia="zh-CN" w:bidi="ar-SA"/>
              </w:rPr>
              <w:t>投标企业</w:t>
            </w:r>
            <w:r>
              <w:rPr>
                <w:rFonts w:hint="eastAsia" w:asciiTheme="minorEastAsia" w:hAnsiTheme="minorEastAsia" w:eastAsiaTheme="minorEastAsia" w:cstheme="minorEastAsia"/>
                <w:sz w:val="22"/>
                <w:szCs w:val="22"/>
                <w:lang w:val="zh-CN" w:eastAsia="en-US" w:bidi="ar-SA"/>
              </w:rPr>
              <w:t>具有近三年（20</w:t>
            </w:r>
            <w:r>
              <w:rPr>
                <w:rFonts w:hint="eastAsia" w:asciiTheme="minorEastAsia" w:hAnsiTheme="minorEastAsia" w:eastAsiaTheme="minorEastAsia" w:cstheme="minorEastAsia"/>
                <w:sz w:val="22"/>
                <w:szCs w:val="22"/>
                <w:lang w:val="en-US" w:eastAsia="zh-CN" w:bidi="ar-SA"/>
              </w:rPr>
              <w:t>22</w:t>
            </w:r>
            <w:r>
              <w:rPr>
                <w:rFonts w:hint="eastAsia" w:asciiTheme="minorEastAsia" w:hAnsiTheme="minorEastAsia" w:eastAsiaTheme="minorEastAsia" w:cstheme="minorEastAsia"/>
                <w:sz w:val="22"/>
                <w:szCs w:val="22"/>
                <w:lang w:val="zh-CN" w:eastAsia="en-US" w:bidi="ar-SA"/>
              </w:rPr>
              <w:t>年</w:t>
            </w:r>
            <w:r>
              <w:rPr>
                <w:rFonts w:hint="eastAsia" w:asciiTheme="minorEastAsia" w:hAnsiTheme="minorEastAsia" w:eastAsiaTheme="minorEastAsia" w:cstheme="minorEastAsia"/>
                <w:sz w:val="22"/>
                <w:szCs w:val="22"/>
                <w:lang w:val="en-US" w:eastAsia="zh-CN" w:bidi="ar-SA"/>
              </w:rPr>
              <w:t>02</w:t>
            </w:r>
            <w:r>
              <w:rPr>
                <w:rFonts w:hint="eastAsia" w:asciiTheme="minorEastAsia" w:hAnsiTheme="minorEastAsia" w:eastAsiaTheme="minorEastAsia" w:cstheme="minorEastAsia"/>
                <w:sz w:val="22"/>
                <w:szCs w:val="22"/>
                <w:lang w:val="zh-CN" w:eastAsia="en-US" w:bidi="ar-SA"/>
              </w:rPr>
              <w:t>月</w:t>
            </w:r>
            <w:r>
              <w:rPr>
                <w:rFonts w:hint="eastAsia" w:asciiTheme="minorEastAsia" w:hAnsiTheme="minorEastAsia" w:eastAsiaTheme="minorEastAsia" w:cstheme="minorEastAsia"/>
                <w:sz w:val="22"/>
                <w:szCs w:val="22"/>
                <w:lang w:val="en-US" w:eastAsia="zh-CN" w:bidi="ar-SA"/>
              </w:rPr>
              <w:t>0</w:t>
            </w:r>
            <w:r>
              <w:rPr>
                <w:rFonts w:hint="eastAsia" w:asciiTheme="minorEastAsia" w:hAnsiTheme="minorEastAsia" w:eastAsiaTheme="minorEastAsia" w:cstheme="minorEastAsia"/>
                <w:sz w:val="22"/>
                <w:szCs w:val="22"/>
                <w:lang w:val="zh-CN" w:eastAsia="en-US" w:bidi="ar-SA"/>
              </w:rPr>
              <w:t>1日至今）类似项目业绩，提供一个得</w:t>
            </w:r>
            <w:r>
              <w:rPr>
                <w:rFonts w:hint="eastAsia" w:asciiTheme="minorEastAsia" w:hAnsiTheme="minorEastAsia" w:eastAsiaTheme="minorEastAsia" w:cstheme="minorEastAsia"/>
                <w:sz w:val="22"/>
                <w:szCs w:val="22"/>
                <w:lang w:val="en-US" w:eastAsia="zh-CN" w:bidi="ar-SA"/>
              </w:rPr>
              <w:t>2</w:t>
            </w:r>
            <w:r>
              <w:rPr>
                <w:rFonts w:hint="eastAsia" w:asciiTheme="minorEastAsia" w:hAnsiTheme="minorEastAsia" w:eastAsiaTheme="minorEastAsia" w:cstheme="minorEastAsia"/>
                <w:sz w:val="22"/>
                <w:szCs w:val="22"/>
                <w:lang w:val="zh-CN" w:eastAsia="en-US" w:bidi="ar-SA"/>
              </w:rPr>
              <w:t>分，</w:t>
            </w:r>
            <w:r>
              <w:rPr>
                <w:rFonts w:hint="eastAsia" w:asciiTheme="minorEastAsia" w:hAnsiTheme="minorEastAsia" w:eastAsiaTheme="minorEastAsia" w:cstheme="minorEastAsia"/>
                <w:sz w:val="22"/>
                <w:szCs w:val="22"/>
                <w:lang w:val="en-US" w:eastAsia="zh-CN" w:bidi="ar-SA"/>
              </w:rPr>
              <w:t>满分6分</w:t>
            </w:r>
            <w:r>
              <w:rPr>
                <w:rFonts w:hint="eastAsia" w:asciiTheme="minorEastAsia" w:hAnsiTheme="minorEastAsia" w:eastAsiaTheme="minorEastAsia" w:cstheme="minorEastAsia"/>
                <w:sz w:val="22"/>
                <w:szCs w:val="22"/>
                <w:lang w:val="zh-CN" w:eastAsia="en-US" w:bidi="ar-SA"/>
              </w:rPr>
              <w:t>。（提供中标通知书</w:t>
            </w:r>
            <w:r>
              <w:rPr>
                <w:rFonts w:hint="eastAsia" w:asciiTheme="minorEastAsia" w:hAnsiTheme="minorEastAsia" w:eastAsiaTheme="minorEastAsia" w:cstheme="minorEastAsia"/>
                <w:sz w:val="22"/>
                <w:szCs w:val="22"/>
                <w:lang w:val="en-US" w:eastAsia="zh-CN" w:bidi="ar-SA"/>
              </w:rPr>
              <w:t>及</w:t>
            </w:r>
            <w:r>
              <w:rPr>
                <w:rFonts w:hint="eastAsia" w:asciiTheme="minorEastAsia" w:hAnsiTheme="minorEastAsia" w:eastAsiaTheme="minorEastAsia" w:cstheme="minorEastAsia"/>
                <w:sz w:val="22"/>
                <w:szCs w:val="22"/>
                <w:lang w:val="zh-CN" w:eastAsia="en-US" w:bidi="ar-SA"/>
              </w:rPr>
              <w:t>施工合同</w:t>
            </w:r>
            <w:r>
              <w:rPr>
                <w:rFonts w:hint="eastAsia" w:asciiTheme="minorEastAsia" w:hAnsiTheme="minorEastAsia" w:eastAsiaTheme="minorEastAsia" w:cstheme="minorEastAsia"/>
                <w:sz w:val="22"/>
                <w:szCs w:val="22"/>
                <w:lang w:val="en-US" w:eastAsia="zh-CN" w:bidi="ar-SA"/>
              </w:rPr>
              <w:t>复印件加盖公章</w:t>
            </w:r>
            <w:r>
              <w:rPr>
                <w:rFonts w:hint="eastAsia" w:asciiTheme="minorEastAsia" w:hAnsiTheme="minorEastAsia" w:eastAsiaTheme="minorEastAsia" w:cstheme="minorEastAsia"/>
                <w:sz w:val="22"/>
                <w:szCs w:val="22"/>
                <w:lang w:val="zh-CN" w:eastAsia="en-US" w:bidi="ar-SA"/>
              </w:rPr>
              <w:t>）</w:t>
            </w:r>
          </w:p>
        </w:tc>
        <w:tc>
          <w:tcPr>
            <w:tcW w:w="858" w:type="dxa"/>
            <w:vAlign w:val="top"/>
          </w:tcPr>
          <w:p w14:paraId="5A97DC18">
            <w:pPr>
              <w:spacing w:line="310" w:lineRule="auto"/>
              <w:jc w:val="both"/>
              <w:rPr>
                <w:rFonts w:hint="eastAsia" w:asciiTheme="minorEastAsia" w:hAnsiTheme="minorEastAsia" w:eastAsiaTheme="minorEastAsia" w:cstheme="minorEastAsia"/>
                <w:sz w:val="21"/>
              </w:rPr>
            </w:pPr>
          </w:p>
          <w:p w14:paraId="671A6FE7">
            <w:pPr>
              <w:pStyle w:val="44"/>
              <w:spacing w:before="78" w:line="180" w:lineRule="auto"/>
              <w:ind w:left="377"/>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6</w:t>
            </w:r>
          </w:p>
        </w:tc>
      </w:tr>
      <w:tr w14:paraId="524A3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96" w:type="dxa"/>
            <w:vMerge w:val="continue"/>
            <w:tcBorders>
              <w:top w:val="nil"/>
              <w:bottom w:val="nil"/>
            </w:tcBorders>
            <w:vAlign w:val="top"/>
          </w:tcPr>
          <w:p w14:paraId="43970F14">
            <w:pPr>
              <w:rPr>
                <w:rFonts w:hint="eastAsia" w:asciiTheme="minorEastAsia" w:hAnsiTheme="minorEastAsia" w:eastAsiaTheme="minorEastAsia" w:cstheme="minorEastAsia"/>
                <w:sz w:val="21"/>
              </w:rPr>
            </w:pPr>
          </w:p>
        </w:tc>
        <w:tc>
          <w:tcPr>
            <w:tcW w:w="1315" w:type="dxa"/>
            <w:vAlign w:val="top"/>
          </w:tcPr>
          <w:p w14:paraId="4335D244">
            <w:pPr>
              <w:pStyle w:val="44"/>
              <w:spacing w:before="78" w:line="232" w:lineRule="auto"/>
              <w:ind w:right="55"/>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项目经理</w:t>
            </w:r>
            <w:r>
              <w:rPr>
                <w:rFonts w:hint="eastAsia" w:asciiTheme="minorEastAsia" w:hAnsiTheme="minorEastAsia" w:eastAsiaTheme="minorEastAsia" w:cstheme="minorEastAsia"/>
                <w:spacing w:val="-8"/>
              </w:rPr>
              <w:t>业绩</w:t>
            </w:r>
          </w:p>
        </w:tc>
        <w:tc>
          <w:tcPr>
            <w:tcW w:w="6761" w:type="dxa"/>
            <w:vAlign w:val="top"/>
          </w:tcPr>
          <w:p w14:paraId="73D5F0E1">
            <w:pPr>
              <w:pStyle w:val="44"/>
              <w:spacing w:before="34" w:line="235" w:lineRule="auto"/>
              <w:ind w:left="16" w:firstLine="3"/>
              <w:jc w:val="both"/>
              <w:rPr>
                <w:rFonts w:hint="eastAsia" w:asciiTheme="minorEastAsia" w:hAnsiTheme="minorEastAsia" w:eastAsiaTheme="minorEastAsia" w:cstheme="minorEastAsia"/>
                <w:sz w:val="22"/>
                <w:szCs w:val="22"/>
                <w:lang w:val="en-US" w:eastAsia="en-US" w:bidi="ar-SA"/>
              </w:rPr>
            </w:pPr>
            <w:r>
              <w:rPr>
                <w:rFonts w:hint="eastAsia" w:asciiTheme="minorEastAsia" w:hAnsiTheme="minorEastAsia" w:eastAsiaTheme="minorEastAsia" w:cstheme="minorEastAsia"/>
                <w:sz w:val="22"/>
                <w:szCs w:val="22"/>
                <w:lang w:val="en-US" w:eastAsia="zh-CN" w:bidi="ar-SA"/>
              </w:rPr>
              <w:t>项目经理</w:t>
            </w:r>
            <w:r>
              <w:rPr>
                <w:rFonts w:hint="eastAsia" w:asciiTheme="minorEastAsia" w:hAnsiTheme="minorEastAsia" w:eastAsiaTheme="minorEastAsia" w:cstheme="minorEastAsia"/>
                <w:sz w:val="22"/>
                <w:szCs w:val="22"/>
                <w:lang w:val="en-US" w:eastAsia="en-US" w:bidi="ar-SA"/>
              </w:rPr>
              <w:t>担任过类似工程项目经理的，</w:t>
            </w:r>
            <w:r>
              <w:rPr>
                <w:rFonts w:hint="eastAsia" w:asciiTheme="minorEastAsia" w:hAnsiTheme="minorEastAsia" w:eastAsiaTheme="minorEastAsia" w:cstheme="minorEastAsia"/>
                <w:sz w:val="22"/>
                <w:szCs w:val="22"/>
                <w:lang w:val="zh-CN" w:eastAsia="en-US" w:bidi="ar-SA"/>
              </w:rPr>
              <w:t>提供一个得</w:t>
            </w:r>
            <w:r>
              <w:rPr>
                <w:rFonts w:hint="eastAsia" w:asciiTheme="minorEastAsia" w:hAnsiTheme="minorEastAsia" w:eastAsiaTheme="minorEastAsia" w:cstheme="minorEastAsia"/>
                <w:sz w:val="22"/>
                <w:szCs w:val="22"/>
                <w:lang w:val="en-US" w:eastAsia="zh-CN" w:bidi="ar-SA"/>
              </w:rPr>
              <w:t>3</w:t>
            </w:r>
            <w:r>
              <w:rPr>
                <w:rFonts w:hint="eastAsia" w:asciiTheme="minorEastAsia" w:hAnsiTheme="minorEastAsia" w:eastAsiaTheme="minorEastAsia" w:cstheme="minorEastAsia"/>
                <w:sz w:val="22"/>
                <w:szCs w:val="22"/>
                <w:lang w:val="zh-CN" w:eastAsia="en-US" w:bidi="ar-SA"/>
              </w:rPr>
              <w:t>分，</w:t>
            </w:r>
            <w:r>
              <w:rPr>
                <w:rFonts w:hint="eastAsia" w:asciiTheme="minorEastAsia" w:hAnsiTheme="minorEastAsia" w:eastAsiaTheme="minorEastAsia" w:cstheme="minorEastAsia"/>
                <w:sz w:val="22"/>
                <w:szCs w:val="22"/>
                <w:lang w:val="en-US" w:eastAsia="zh-CN" w:bidi="ar-SA"/>
              </w:rPr>
              <w:t>满分3分</w:t>
            </w:r>
            <w:r>
              <w:rPr>
                <w:rFonts w:hint="eastAsia" w:asciiTheme="minorEastAsia" w:hAnsiTheme="minorEastAsia" w:eastAsiaTheme="minorEastAsia" w:cstheme="minorEastAsia"/>
                <w:sz w:val="22"/>
                <w:szCs w:val="22"/>
                <w:lang w:val="zh-CN" w:eastAsia="en-US" w:bidi="ar-SA"/>
              </w:rPr>
              <w:t>。（提供中标通知书</w:t>
            </w:r>
            <w:r>
              <w:rPr>
                <w:rFonts w:hint="eastAsia" w:asciiTheme="minorEastAsia" w:hAnsiTheme="minorEastAsia" w:eastAsiaTheme="minorEastAsia" w:cstheme="minorEastAsia"/>
                <w:sz w:val="22"/>
                <w:szCs w:val="22"/>
                <w:lang w:val="en-US" w:eastAsia="zh-CN" w:bidi="ar-SA"/>
              </w:rPr>
              <w:t>及</w:t>
            </w:r>
            <w:r>
              <w:rPr>
                <w:rFonts w:hint="eastAsia" w:asciiTheme="minorEastAsia" w:hAnsiTheme="minorEastAsia" w:eastAsiaTheme="minorEastAsia" w:cstheme="minorEastAsia"/>
                <w:sz w:val="22"/>
                <w:szCs w:val="22"/>
                <w:lang w:val="zh-CN" w:eastAsia="en-US" w:bidi="ar-SA"/>
              </w:rPr>
              <w:t>施工合同</w:t>
            </w:r>
            <w:r>
              <w:rPr>
                <w:rFonts w:hint="eastAsia" w:asciiTheme="minorEastAsia" w:hAnsiTheme="minorEastAsia" w:eastAsiaTheme="minorEastAsia" w:cstheme="minorEastAsia"/>
                <w:sz w:val="22"/>
                <w:szCs w:val="22"/>
                <w:lang w:val="en-US" w:eastAsia="zh-CN" w:bidi="ar-SA"/>
              </w:rPr>
              <w:t>复印件加盖公章</w:t>
            </w:r>
            <w:r>
              <w:rPr>
                <w:rFonts w:hint="eastAsia" w:asciiTheme="minorEastAsia" w:hAnsiTheme="minorEastAsia" w:eastAsiaTheme="minorEastAsia" w:cstheme="minorEastAsia"/>
                <w:sz w:val="22"/>
                <w:szCs w:val="22"/>
                <w:lang w:val="zh-CN" w:eastAsia="en-US" w:bidi="ar-SA"/>
              </w:rPr>
              <w:t>）</w:t>
            </w:r>
          </w:p>
        </w:tc>
        <w:tc>
          <w:tcPr>
            <w:tcW w:w="858" w:type="dxa"/>
            <w:vAlign w:val="top"/>
          </w:tcPr>
          <w:p w14:paraId="48EF2D6A">
            <w:pPr>
              <w:spacing w:line="309" w:lineRule="auto"/>
              <w:jc w:val="both"/>
              <w:rPr>
                <w:rFonts w:hint="eastAsia" w:asciiTheme="minorEastAsia" w:hAnsiTheme="minorEastAsia" w:eastAsiaTheme="minorEastAsia" w:cstheme="minorEastAsia"/>
                <w:sz w:val="21"/>
              </w:rPr>
            </w:pPr>
          </w:p>
          <w:p w14:paraId="1D22BF58">
            <w:pPr>
              <w:pStyle w:val="44"/>
              <w:spacing w:before="78" w:line="181" w:lineRule="auto"/>
              <w:ind w:left="332"/>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4"/>
                <w:lang w:val="en-US" w:eastAsia="zh-CN"/>
              </w:rPr>
              <w:t>3</w:t>
            </w:r>
          </w:p>
        </w:tc>
      </w:tr>
      <w:tr w14:paraId="449F4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2" w:hRule="atLeast"/>
        </w:trPr>
        <w:tc>
          <w:tcPr>
            <w:tcW w:w="996" w:type="dxa"/>
            <w:vMerge w:val="continue"/>
            <w:tcBorders>
              <w:top w:val="nil"/>
              <w:bottom w:val="nil"/>
            </w:tcBorders>
            <w:vAlign w:val="top"/>
          </w:tcPr>
          <w:p w14:paraId="19F34E1A">
            <w:pPr>
              <w:rPr>
                <w:rFonts w:hint="eastAsia" w:asciiTheme="minorEastAsia" w:hAnsiTheme="minorEastAsia" w:eastAsiaTheme="minorEastAsia" w:cstheme="minorEastAsia"/>
                <w:sz w:val="21"/>
              </w:rPr>
            </w:pPr>
          </w:p>
        </w:tc>
        <w:tc>
          <w:tcPr>
            <w:tcW w:w="1315" w:type="dxa"/>
            <w:vAlign w:val="top"/>
          </w:tcPr>
          <w:p w14:paraId="63C64A1C">
            <w:pPr>
              <w:pStyle w:val="44"/>
              <w:spacing w:before="113" w:line="231" w:lineRule="auto"/>
              <w:ind w:left="89" w:right="55" w:hanging="1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其他主要人</w:t>
            </w:r>
            <w:r>
              <w:rPr>
                <w:rFonts w:hint="eastAsia" w:asciiTheme="minorEastAsia" w:hAnsiTheme="minorEastAsia" w:eastAsiaTheme="minorEastAsia" w:cstheme="minorEastAsia"/>
                <w:spacing w:val="1"/>
              </w:rPr>
              <w:t xml:space="preserve"> </w:t>
            </w:r>
            <w:r>
              <w:rPr>
                <w:rFonts w:hint="eastAsia" w:asciiTheme="minorEastAsia" w:hAnsiTheme="minorEastAsia" w:eastAsiaTheme="minorEastAsia" w:cstheme="minorEastAsia"/>
                <w:spacing w:val="-7"/>
              </w:rPr>
              <w:t>员配置情况</w:t>
            </w:r>
          </w:p>
        </w:tc>
        <w:tc>
          <w:tcPr>
            <w:tcW w:w="6761" w:type="dxa"/>
            <w:vAlign w:val="top"/>
          </w:tcPr>
          <w:p w14:paraId="168879B2">
            <w:pPr>
              <w:pStyle w:val="44"/>
              <w:spacing w:before="34" w:line="235" w:lineRule="auto"/>
              <w:ind w:left="16" w:firstLine="3"/>
              <w:jc w:val="both"/>
              <w:rPr>
                <w:rFonts w:hint="eastAsia" w:asciiTheme="minorEastAsia" w:hAnsiTheme="minorEastAsia" w:eastAsiaTheme="minorEastAsia" w:cstheme="minorEastAsia"/>
                <w:sz w:val="22"/>
                <w:szCs w:val="22"/>
                <w:lang w:val="en-US" w:eastAsia="en-US" w:bidi="ar-SA"/>
              </w:rPr>
            </w:pPr>
            <w:r>
              <w:rPr>
                <w:rFonts w:hint="eastAsia" w:asciiTheme="minorEastAsia" w:hAnsiTheme="minorEastAsia" w:eastAsiaTheme="minorEastAsia" w:cstheme="minorEastAsia"/>
                <w:sz w:val="22"/>
                <w:szCs w:val="22"/>
                <w:lang w:val="en-US" w:eastAsia="zh-CN" w:bidi="ar-SA"/>
              </w:rPr>
              <w:t>技术负责人</w:t>
            </w:r>
            <w:r>
              <w:rPr>
                <w:rFonts w:hint="eastAsia" w:asciiTheme="minorEastAsia" w:hAnsiTheme="minorEastAsia" w:eastAsiaTheme="minorEastAsia" w:cstheme="minorEastAsia"/>
                <w:sz w:val="22"/>
                <w:szCs w:val="22"/>
                <w:lang w:val="en-US" w:eastAsia="en-US" w:bidi="ar-SA"/>
              </w:rPr>
              <w:t>职称证书、</w:t>
            </w:r>
            <w:r>
              <w:rPr>
                <w:rFonts w:hint="eastAsia" w:asciiTheme="minorEastAsia" w:hAnsiTheme="minorEastAsia" w:eastAsiaTheme="minorEastAsia" w:cstheme="minorEastAsia"/>
                <w:sz w:val="22"/>
                <w:szCs w:val="22"/>
                <w:lang w:val="en-US" w:eastAsia="zh-CN" w:bidi="ar-SA"/>
              </w:rPr>
              <w:t>施工员岗位证、质检员岗位证</w:t>
            </w:r>
            <w:r>
              <w:rPr>
                <w:rFonts w:hint="eastAsia" w:asciiTheme="minorEastAsia" w:hAnsiTheme="minorEastAsia" w:eastAsiaTheme="minorEastAsia" w:cstheme="minorEastAsia"/>
                <w:sz w:val="22"/>
                <w:szCs w:val="22"/>
                <w:lang w:val="en-US" w:eastAsia="en-US" w:bidi="ar-SA"/>
              </w:rPr>
              <w:t>、安全员</w:t>
            </w:r>
            <w:r>
              <w:rPr>
                <w:rFonts w:hint="eastAsia" w:asciiTheme="minorEastAsia" w:hAnsiTheme="minorEastAsia" w:eastAsiaTheme="minorEastAsia" w:cstheme="minorEastAsia"/>
                <w:sz w:val="22"/>
                <w:szCs w:val="22"/>
                <w:lang w:val="en-US" w:eastAsia="zh-CN" w:bidi="ar-SA"/>
              </w:rPr>
              <w:t>岗位证及安全生产考核合格证书</w:t>
            </w:r>
            <w:r>
              <w:rPr>
                <w:rFonts w:hint="eastAsia" w:asciiTheme="minorEastAsia" w:hAnsiTheme="minorEastAsia" w:eastAsiaTheme="minorEastAsia" w:cstheme="minorEastAsia"/>
                <w:sz w:val="22"/>
                <w:szCs w:val="22"/>
                <w:lang w:val="en-US" w:eastAsia="en-US" w:bidi="ar-SA"/>
              </w:rPr>
              <w:t>、材料员</w:t>
            </w:r>
            <w:r>
              <w:rPr>
                <w:rFonts w:hint="eastAsia" w:asciiTheme="minorEastAsia" w:hAnsiTheme="minorEastAsia" w:eastAsiaTheme="minorEastAsia" w:cstheme="minorEastAsia"/>
                <w:sz w:val="22"/>
                <w:szCs w:val="22"/>
                <w:lang w:val="en-US" w:eastAsia="zh-CN" w:bidi="ar-SA"/>
              </w:rPr>
              <w:t>岗位证</w:t>
            </w:r>
            <w:r>
              <w:rPr>
                <w:rFonts w:hint="eastAsia" w:asciiTheme="minorEastAsia" w:hAnsiTheme="minorEastAsia" w:eastAsiaTheme="minorEastAsia" w:cstheme="minorEastAsia"/>
                <w:sz w:val="22"/>
                <w:szCs w:val="22"/>
                <w:lang w:val="en-US" w:eastAsia="en-US" w:bidi="ar-SA"/>
              </w:rPr>
              <w:t>、资料员</w:t>
            </w:r>
            <w:r>
              <w:rPr>
                <w:rFonts w:hint="eastAsia" w:asciiTheme="minorEastAsia" w:hAnsiTheme="minorEastAsia" w:eastAsiaTheme="minorEastAsia" w:cstheme="minorEastAsia"/>
                <w:sz w:val="22"/>
                <w:szCs w:val="22"/>
                <w:lang w:val="en-US" w:eastAsia="zh-CN" w:bidi="ar-SA"/>
              </w:rPr>
              <w:t>岗位证</w:t>
            </w:r>
            <w:r>
              <w:rPr>
                <w:rFonts w:hint="eastAsia" w:asciiTheme="minorEastAsia" w:hAnsiTheme="minorEastAsia" w:eastAsiaTheme="minorEastAsia" w:cstheme="minorEastAsia"/>
                <w:sz w:val="22"/>
                <w:szCs w:val="22"/>
                <w:lang w:val="en-US" w:eastAsia="en-US" w:bidi="ar-SA"/>
              </w:rPr>
              <w:t>等要配备齐全，证件齐全得</w:t>
            </w:r>
            <w:r>
              <w:rPr>
                <w:rFonts w:hint="eastAsia" w:asciiTheme="minorEastAsia" w:hAnsiTheme="minorEastAsia" w:eastAsiaTheme="minorEastAsia" w:cstheme="minorEastAsia"/>
                <w:sz w:val="22"/>
                <w:szCs w:val="22"/>
                <w:lang w:val="en-US" w:eastAsia="zh-CN" w:bidi="ar-SA"/>
              </w:rPr>
              <w:t>7</w:t>
            </w:r>
            <w:r>
              <w:rPr>
                <w:rFonts w:hint="eastAsia" w:asciiTheme="minorEastAsia" w:hAnsiTheme="minorEastAsia" w:eastAsiaTheme="minorEastAsia" w:cstheme="minorEastAsia"/>
                <w:sz w:val="22"/>
                <w:szCs w:val="22"/>
                <w:lang w:val="en-US" w:eastAsia="en-US" w:bidi="ar-SA"/>
              </w:rPr>
              <w:t>分，缺少一项则减</w:t>
            </w:r>
            <w:r>
              <w:rPr>
                <w:rFonts w:hint="eastAsia" w:asciiTheme="minorEastAsia" w:hAnsiTheme="minorEastAsia" w:eastAsiaTheme="minorEastAsia" w:cstheme="minorEastAsia"/>
                <w:sz w:val="22"/>
                <w:szCs w:val="22"/>
                <w:lang w:val="en-US" w:eastAsia="zh-CN" w:bidi="ar-SA"/>
              </w:rPr>
              <w:t>1</w:t>
            </w:r>
            <w:r>
              <w:rPr>
                <w:rFonts w:hint="eastAsia" w:asciiTheme="minorEastAsia" w:hAnsiTheme="minorEastAsia" w:eastAsiaTheme="minorEastAsia" w:cstheme="minorEastAsia"/>
                <w:sz w:val="22"/>
                <w:szCs w:val="22"/>
                <w:lang w:val="en-US" w:eastAsia="en-US" w:bidi="ar-SA"/>
              </w:rPr>
              <w:t>分，扣完为止。</w:t>
            </w:r>
          </w:p>
        </w:tc>
        <w:tc>
          <w:tcPr>
            <w:tcW w:w="858" w:type="dxa"/>
            <w:vAlign w:val="top"/>
          </w:tcPr>
          <w:p w14:paraId="57EFAB2B">
            <w:pPr>
              <w:pStyle w:val="44"/>
              <w:spacing w:before="310" w:line="180" w:lineRule="auto"/>
              <w:ind w:left="375"/>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7</w:t>
            </w:r>
          </w:p>
        </w:tc>
      </w:tr>
      <w:tr w14:paraId="4289C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6" w:hRule="atLeast"/>
        </w:trPr>
        <w:tc>
          <w:tcPr>
            <w:tcW w:w="996" w:type="dxa"/>
            <w:vMerge w:val="continue"/>
            <w:tcBorders>
              <w:top w:val="nil"/>
            </w:tcBorders>
            <w:vAlign w:val="top"/>
          </w:tcPr>
          <w:p w14:paraId="4F3FD902">
            <w:pPr>
              <w:rPr>
                <w:rFonts w:hint="eastAsia" w:asciiTheme="minorEastAsia" w:hAnsiTheme="minorEastAsia" w:eastAsiaTheme="minorEastAsia" w:cstheme="minorEastAsia"/>
                <w:sz w:val="21"/>
              </w:rPr>
            </w:pPr>
          </w:p>
        </w:tc>
        <w:tc>
          <w:tcPr>
            <w:tcW w:w="1315" w:type="dxa"/>
            <w:vAlign w:val="top"/>
          </w:tcPr>
          <w:p w14:paraId="1C8D80C1">
            <w:pPr>
              <w:pStyle w:val="44"/>
              <w:spacing w:before="174" w:line="236" w:lineRule="auto"/>
              <w:ind w:left="71" w:right="55" w:firstLine="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不随意更换</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spacing w:val="-4"/>
              </w:rPr>
              <w:t>项目经理、</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spacing w:val="-4"/>
              </w:rPr>
              <w:t>技术负责人</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spacing w:val="25"/>
              </w:rPr>
              <w:t>及“五大</w:t>
            </w:r>
            <w:r>
              <w:rPr>
                <w:rFonts w:hint="eastAsia" w:asciiTheme="minorEastAsia" w:hAnsiTheme="minorEastAsia" w:eastAsiaTheme="minorEastAsia" w:cstheme="minorEastAsia"/>
                <w:spacing w:val="1"/>
              </w:rPr>
              <w:t xml:space="preserve">  </w:t>
            </w:r>
            <w:r>
              <w:rPr>
                <w:rFonts w:hint="eastAsia" w:asciiTheme="minorEastAsia" w:hAnsiTheme="minorEastAsia" w:eastAsiaTheme="minorEastAsia" w:cstheme="minorEastAsia"/>
                <w:spacing w:val="-10"/>
              </w:rPr>
              <w:t>员</w:t>
            </w:r>
            <w:r>
              <w:rPr>
                <w:rFonts w:hint="eastAsia" w:asciiTheme="minorEastAsia" w:hAnsiTheme="minorEastAsia" w:eastAsiaTheme="minorEastAsia" w:cstheme="minorEastAsia"/>
                <w:spacing w:val="-88"/>
              </w:rPr>
              <w:t xml:space="preserve"> </w:t>
            </w:r>
            <w:r>
              <w:rPr>
                <w:rFonts w:hint="eastAsia" w:asciiTheme="minorEastAsia" w:hAnsiTheme="minorEastAsia" w:eastAsiaTheme="minorEastAsia" w:cstheme="minorEastAsia"/>
                <w:spacing w:val="-10"/>
              </w:rPr>
              <w:t>”的承诺</w:t>
            </w:r>
          </w:p>
        </w:tc>
        <w:tc>
          <w:tcPr>
            <w:tcW w:w="6761" w:type="dxa"/>
            <w:vAlign w:val="top"/>
          </w:tcPr>
          <w:p w14:paraId="624F2092">
            <w:pPr>
              <w:spacing w:line="279" w:lineRule="auto"/>
              <w:rPr>
                <w:rFonts w:hint="eastAsia" w:asciiTheme="minorEastAsia" w:hAnsiTheme="minorEastAsia" w:eastAsiaTheme="minorEastAsia" w:cstheme="minorEastAsia"/>
                <w:sz w:val="21"/>
              </w:rPr>
            </w:pPr>
          </w:p>
          <w:p w14:paraId="2FD459DA">
            <w:pPr>
              <w:spacing w:line="280" w:lineRule="auto"/>
              <w:rPr>
                <w:rFonts w:hint="eastAsia" w:asciiTheme="minorEastAsia" w:hAnsiTheme="minorEastAsia" w:eastAsiaTheme="minorEastAsia" w:cstheme="minorEastAsia"/>
                <w:sz w:val="21"/>
              </w:rPr>
            </w:pPr>
          </w:p>
          <w:p w14:paraId="45030D03">
            <w:pPr>
              <w:pStyle w:val="44"/>
              <w:spacing w:before="78" w:line="230" w:lineRule="auto"/>
              <w:ind w:left="19" w:hanging="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有不随意更换项目经理、技术负责人及“五大员</w:t>
            </w:r>
            <w:r>
              <w:rPr>
                <w:rFonts w:hint="eastAsia" w:asciiTheme="minorEastAsia" w:hAnsiTheme="minorEastAsia" w:eastAsiaTheme="minorEastAsia" w:cstheme="minorEastAsia"/>
                <w:spacing w:val="-73"/>
              </w:rPr>
              <w:t xml:space="preserve"> </w:t>
            </w:r>
            <w:r>
              <w:rPr>
                <w:rFonts w:hint="eastAsia" w:asciiTheme="minorEastAsia" w:hAnsiTheme="minorEastAsia" w:eastAsiaTheme="minorEastAsia" w:cstheme="minorEastAsia"/>
                <w:spacing w:val="-1"/>
              </w:rPr>
              <w:t>”的承诺，且有相应经济处罚措施的，得5分，</w:t>
            </w:r>
            <w:r>
              <w:rPr>
                <w:rFonts w:hint="eastAsia" w:asciiTheme="minorEastAsia" w:hAnsiTheme="minorEastAsia" w:eastAsiaTheme="minorEastAsia" w:cstheme="minorEastAsia"/>
                <w:spacing w:val="-1"/>
                <w:lang w:val="en-US" w:eastAsia="zh-CN"/>
              </w:rPr>
              <w:t>否</w:t>
            </w:r>
            <w:r>
              <w:rPr>
                <w:rFonts w:hint="eastAsia" w:asciiTheme="minorEastAsia" w:hAnsiTheme="minorEastAsia" w:eastAsiaTheme="minorEastAsia" w:cstheme="minorEastAsia"/>
                <w:spacing w:val="-1"/>
              </w:rPr>
              <w:t>则得0分。</w:t>
            </w:r>
          </w:p>
        </w:tc>
        <w:tc>
          <w:tcPr>
            <w:tcW w:w="858" w:type="dxa"/>
            <w:vAlign w:val="top"/>
          </w:tcPr>
          <w:p w14:paraId="7F220FEF">
            <w:pPr>
              <w:spacing w:line="252" w:lineRule="auto"/>
              <w:jc w:val="both"/>
              <w:rPr>
                <w:rFonts w:hint="eastAsia" w:asciiTheme="minorEastAsia" w:hAnsiTheme="minorEastAsia" w:eastAsiaTheme="minorEastAsia" w:cstheme="minorEastAsia"/>
                <w:sz w:val="21"/>
              </w:rPr>
            </w:pPr>
          </w:p>
          <w:p w14:paraId="484EED60">
            <w:pPr>
              <w:spacing w:line="252" w:lineRule="auto"/>
              <w:jc w:val="both"/>
              <w:rPr>
                <w:rFonts w:hint="eastAsia" w:asciiTheme="minorEastAsia" w:hAnsiTheme="minorEastAsia" w:eastAsiaTheme="minorEastAsia" w:cstheme="minorEastAsia"/>
                <w:sz w:val="21"/>
              </w:rPr>
            </w:pPr>
          </w:p>
          <w:p w14:paraId="69ACFECA">
            <w:pPr>
              <w:spacing w:line="252" w:lineRule="auto"/>
              <w:jc w:val="both"/>
              <w:rPr>
                <w:rFonts w:hint="eastAsia" w:asciiTheme="minorEastAsia" w:hAnsiTheme="minorEastAsia" w:eastAsiaTheme="minorEastAsia" w:cstheme="minorEastAsia"/>
                <w:sz w:val="21"/>
              </w:rPr>
            </w:pPr>
          </w:p>
          <w:p w14:paraId="4CC24DBB">
            <w:pPr>
              <w:pStyle w:val="44"/>
              <w:spacing w:before="78" w:line="179" w:lineRule="auto"/>
              <w:ind w:left="379"/>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r>
      <w:tr w14:paraId="6137D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3" w:hRule="atLeast"/>
        </w:trPr>
        <w:tc>
          <w:tcPr>
            <w:tcW w:w="996" w:type="dxa"/>
            <w:vMerge w:val="restart"/>
            <w:tcBorders>
              <w:bottom w:val="nil"/>
            </w:tcBorders>
            <w:vAlign w:val="top"/>
          </w:tcPr>
          <w:p w14:paraId="6770A86B">
            <w:pPr>
              <w:spacing w:line="243" w:lineRule="auto"/>
              <w:rPr>
                <w:rFonts w:hint="eastAsia" w:asciiTheme="minorEastAsia" w:hAnsiTheme="minorEastAsia" w:eastAsiaTheme="minorEastAsia" w:cstheme="minorEastAsia"/>
                <w:sz w:val="21"/>
              </w:rPr>
            </w:pPr>
          </w:p>
          <w:p w14:paraId="4EE811C2">
            <w:pPr>
              <w:spacing w:line="243" w:lineRule="auto"/>
              <w:rPr>
                <w:rFonts w:hint="eastAsia" w:asciiTheme="minorEastAsia" w:hAnsiTheme="minorEastAsia" w:eastAsiaTheme="minorEastAsia" w:cstheme="minorEastAsia"/>
                <w:sz w:val="21"/>
              </w:rPr>
            </w:pPr>
          </w:p>
          <w:p w14:paraId="176B0709">
            <w:pPr>
              <w:spacing w:line="243" w:lineRule="auto"/>
              <w:rPr>
                <w:rFonts w:hint="eastAsia" w:asciiTheme="minorEastAsia" w:hAnsiTheme="minorEastAsia" w:eastAsiaTheme="minorEastAsia" w:cstheme="minorEastAsia"/>
                <w:sz w:val="21"/>
              </w:rPr>
            </w:pPr>
          </w:p>
          <w:p w14:paraId="1B98301D">
            <w:pPr>
              <w:spacing w:line="244" w:lineRule="auto"/>
              <w:rPr>
                <w:rFonts w:hint="eastAsia" w:asciiTheme="minorEastAsia" w:hAnsiTheme="minorEastAsia" w:eastAsiaTheme="minorEastAsia" w:cstheme="minorEastAsia"/>
                <w:sz w:val="21"/>
              </w:rPr>
            </w:pPr>
          </w:p>
          <w:p w14:paraId="445E33C8">
            <w:pPr>
              <w:spacing w:line="244" w:lineRule="auto"/>
              <w:rPr>
                <w:rFonts w:hint="eastAsia" w:asciiTheme="minorEastAsia" w:hAnsiTheme="minorEastAsia" w:eastAsiaTheme="minorEastAsia" w:cstheme="minorEastAsia"/>
                <w:sz w:val="21"/>
              </w:rPr>
            </w:pPr>
          </w:p>
          <w:p w14:paraId="60CF302E">
            <w:pPr>
              <w:pStyle w:val="44"/>
              <w:spacing w:before="78" w:line="231" w:lineRule="auto"/>
              <w:ind w:left="36" w:right="15" w:hanging="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技术部分</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spacing w:val="-5"/>
              </w:rPr>
              <w:t>（</w:t>
            </w:r>
            <w:r>
              <w:rPr>
                <w:rFonts w:hint="eastAsia" w:asciiTheme="minorEastAsia" w:hAnsiTheme="minorEastAsia" w:eastAsiaTheme="minorEastAsia" w:cstheme="minorEastAsia"/>
                <w:spacing w:val="-5"/>
                <w:lang w:val="en-US" w:eastAsia="zh-CN"/>
              </w:rPr>
              <w:t>49</w:t>
            </w:r>
            <w:r>
              <w:rPr>
                <w:rFonts w:hint="eastAsia" w:asciiTheme="minorEastAsia" w:hAnsiTheme="minorEastAsia" w:eastAsiaTheme="minorEastAsia" w:cstheme="minorEastAsia"/>
                <w:spacing w:val="-5"/>
              </w:rPr>
              <w:t>分）</w:t>
            </w:r>
          </w:p>
        </w:tc>
        <w:tc>
          <w:tcPr>
            <w:tcW w:w="1315" w:type="dxa"/>
            <w:vAlign w:val="top"/>
          </w:tcPr>
          <w:p w14:paraId="73810B8B">
            <w:pPr>
              <w:spacing w:line="250" w:lineRule="auto"/>
              <w:rPr>
                <w:rFonts w:hint="eastAsia" w:asciiTheme="minorEastAsia" w:hAnsiTheme="minorEastAsia" w:eastAsiaTheme="minorEastAsia" w:cstheme="minorEastAsia"/>
                <w:sz w:val="21"/>
              </w:rPr>
            </w:pPr>
          </w:p>
          <w:p w14:paraId="226E30DE">
            <w:pPr>
              <w:spacing w:line="251" w:lineRule="auto"/>
              <w:rPr>
                <w:rFonts w:hint="eastAsia" w:asciiTheme="minorEastAsia" w:hAnsiTheme="minorEastAsia" w:eastAsiaTheme="minorEastAsia" w:cstheme="minorEastAsia"/>
                <w:sz w:val="21"/>
              </w:rPr>
            </w:pPr>
          </w:p>
          <w:p w14:paraId="2C020296">
            <w:pPr>
              <w:spacing w:line="251" w:lineRule="auto"/>
              <w:rPr>
                <w:rFonts w:hint="eastAsia" w:asciiTheme="minorEastAsia" w:hAnsiTheme="minorEastAsia" w:eastAsiaTheme="minorEastAsia" w:cstheme="minorEastAsia"/>
                <w:sz w:val="21"/>
              </w:rPr>
            </w:pPr>
          </w:p>
          <w:p w14:paraId="59AB3329">
            <w:pPr>
              <w:pStyle w:val="44"/>
              <w:spacing w:before="78" w:line="231" w:lineRule="auto"/>
              <w:ind w:left="190" w:right="55" w:hanging="12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施工方案与</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5"/>
              </w:rPr>
              <w:t>技术措施</w:t>
            </w:r>
          </w:p>
        </w:tc>
        <w:tc>
          <w:tcPr>
            <w:tcW w:w="6761" w:type="dxa"/>
            <w:vAlign w:val="top"/>
          </w:tcPr>
          <w:p w14:paraId="48EFA3C1">
            <w:pPr>
              <w:keepNext w:val="0"/>
              <w:keepLines w:val="0"/>
              <w:widowControl/>
              <w:suppressLineNumbers w:val="0"/>
              <w:jc w:val="left"/>
              <w:rPr>
                <w:rFonts w:hint="eastAsia" w:asciiTheme="minorEastAsia" w:hAnsiTheme="minorEastAsia" w:eastAsiaTheme="minorEastAsia" w:cstheme="minorEastAsia"/>
                <w:spacing w:val="-1"/>
                <w:sz w:val="22"/>
                <w:szCs w:val="22"/>
                <w:lang w:val="en-US" w:eastAsia="en-US" w:bidi="ar-SA"/>
              </w:rPr>
            </w:pPr>
            <w:r>
              <w:rPr>
                <w:rFonts w:hint="eastAsia" w:asciiTheme="minorEastAsia" w:hAnsiTheme="minorEastAsia" w:eastAsiaTheme="minorEastAsia" w:cstheme="minorEastAsia"/>
                <w:spacing w:val="-1"/>
              </w:rPr>
              <w:t>（1</w:t>
            </w:r>
            <w:r>
              <w:rPr>
                <w:rFonts w:hint="eastAsia" w:asciiTheme="minorEastAsia" w:hAnsiTheme="minorEastAsia" w:eastAsiaTheme="minorEastAsia" w:cstheme="minorEastAsia"/>
                <w:spacing w:val="-1"/>
                <w:sz w:val="22"/>
                <w:szCs w:val="22"/>
                <w:lang w:val="en-US" w:eastAsia="en-US" w:bidi="ar-SA"/>
              </w:rPr>
              <w:t>）</w:t>
            </w:r>
            <w:r>
              <w:rPr>
                <w:rFonts w:hint="eastAsia" w:asciiTheme="minorEastAsia" w:hAnsiTheme="minorEastAsia" w:eastAsiaTheme="minorEastAsia" w:cstheme="minorEastAsia"/>
                <w:spacing w:val="-1"/>
                <w:sz w:val="22"/>
                <w:szCs w:val="22"/>
                <w:lang w:val="en-US" w:eastAsia="zh-CN" w:bidi="ar-SA"/>
              </w:rPr>
              <w:t>施工方案符合工程实际情况，部署及措施先进、可靠，以提高生产率、缩短工期、提高质量、降低消耗为目标，针对项目的重点、难点分析应透彻，解决方案切实可行，</w:t>
            </w:r>
            <w:r>
              <w:rPr>
                <w:rFonts w:hint="eastAsia" w:asciiTheme="minorEastAsia" w:hAnsiTheme="minorEastAsia" w:eastAsiaTheme="minorEastAsia" w:cstheme="minorEastAsia"/>
                <w:spacing w:val="-1"/>
                <w:sz w:val="22"/>
                <w:szCs w:val="22"/>
                <w:lang w:val="en-US" w:eastAsia="en-US" w:bidi="ar-SA"/>
              </w:rPr>
              <w:t>工程特点及施工重点和难点分析准确、全面的，得</w:t>
            </w:r>
            <w:r>
              <w:rPr>
                <w:rFonts w:hint="eastAsia" w:asciiTheme="minorEastAsia" w:hAnsiTheme="minorEastAsia" w:eastAsiaTheme="minorEastAsia" w:cstheme="minorEastAsia"/>
                <w:spacing w:val="-1"/>
                <w:sz w:val="22"/>
                <w:szCs w:val="22"/>
                <w:lang w:val="en-US" w:eastAsia="zh-CN" w:bidi="ar-SA"/>
              </w:rPr>
              <w:t>3</w:t>
            </w:r>
            <w:r>
              <w:rPr>
                <w:rFonts w:hint="eastAsia" w:asciiTheme="minorEastAsia" w:hAnsiTheme="minorEastAsia" w:eastAsiaTheme="minorEastAsia" w:cstheme="minorEastAsia"/>
                <w:spacing w:val="-1"/>
                <w:sz w:val="22"/>
                <w:szCs w:val="22"/>
                <w:lang w:val="en-US" w:eastAsia="en-US" w:bidi="ar-SA"/>
              </w:rPr>
              <w:t>分，基本合理的，得1分，否则得0分；</w:t>
            </w:r>
          </w:p>
          <w:p w14:paraId="63145E0A">
            <w:pPr>
              <w:pStyle w:val="44"/>
              <w:spacing w:before="23" w:line="234" w:lineRule="auto"/>
              <w:ind w:left="20" w:right="34" w:firstLine="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2"/>
                <w:szCs w:val="22"/>
                <w:lang w:val="en-US" w:eastAsia="en-US" w:bidi="ar-SA"/>
              </w:rPr>
              <w:t>（2）施工程序、工艺符合工程实际和有关施工规程规范,且投入的设备和人力计</w:t>
            </w:r>
            <w:r>
              <w:rPr>
                <w:rFonts w:hint="eastAsia" w:asciiTheme="minorEastAsia" w:hAnsiTheme="minorEastAsia" w:eastAsiaTheme="minorEastAsia" w:cstheme="minorEastAsia"/>
                <w:spacing w:val="-1"/>
              </w:rPr>
              <w:t>划安排合理的，得</w:t>
            </w:r>
            <w:r>
              <w:rPr>
                <w:rFonts w:hint="eastAsia" w:asciiTheme="minorEastAsia" w:hAnsiTheme="minorEastAsia" w:eastAsiaTheme="minorEastAsia" w:cstheme="minorEastAsia"/>
                <w:spacing w:val="-1"/>
                <w:lang w:val="en-US" w:eastAsia="zh-CN"/>
              </w:rPr>
              <w:t>3</w:t>
            </w:r>
            <w:r>
              <w:rPr>
                <w:rFonts w:hint="eastAsia" w:asciiTheme="minorEastAsia" w:hAnsiTheme="minorEastAsia" w:eastAsiaTheme="minorEastAsia" w:cstheme="minorEastAsia"/>
                <w:spacing w:val="-1"/>
              </w:rPr>
              <w:t>分，基本合理的，得1分，否</w:t>
            </w:r>
            <w:r>
              <w:rPr>
                <w:rFonts w:hint="eastAsia" w:asciiTheme="minorEastAsia" w:hAnsiTheme="minorEastAsia" w:eastAsiaTheme="minorEastAsia" w:cstheme="minorEastAsia"/>
                <w:spacing w:val="-4"/>
              </w:rPr>
              <w:t>则得0分；</w:t>
            </w:r>
          </w:p>
          <w:p w14:paraId="75D2095D">
            <w:pPr>
              <w:pStyle w:val="44"/>
              <w:spacing w:before="21" w:line="231" w:lineRule="auto"/>
              <w:ind w:left="20" w:right="34" w:firstLine="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（3）各工序工作历时安排合理且有详细计算说明的，得2分，否</w:t>
            </w:r>
            <w:r>
              <w:rPr>
                <w:rFonts w:hint="eastAsia" w:asciiTheme="minorEastAsia" w:hAnsiTheme="minorEastAsia" w:eastAsiaTheme="minorEastAsia" w:cstheme="minorEastAsia"/>
                <w:spacing w:val="-4"/>
              </w:rPr>
              <w:t>则得0分。</w:t>
            </w:r>
          </w:p>
        </w:tc>
        <w:tc>
          <w:tcPr>
            <w:tcW w:w="858" w:type="dxa"/>
            <w:vAlign w:val="top"/>
          </w:tcPr>
          <w:p w14:paraId="7ACFB0FE">
            <w:pPr>
              <w:spacing w:line="316" w:lineRule="auto"/>
              <w:rPr>
                <w:rFonts w:hint="eastAsia" w:asciiTheme="minorEastAsia" w:hAnsiTheme="minorEastAsia" w:eastAsiaTheme="minorEastAsia" w:cstheme="minorEastAsia"/>
                <w:sz w:val="21"/>
              </w:rPr>
            </w:pPr>
          </w:p>
          <w:p w14:paraId="16C43D68">
            <w:pPr>
              <w:spacing w:line="316" w:lineRule="auto"/>
              <w:rPr>
                <w:rFonts w:hint="eastAsia" w:asciiTheme="minorEastAsia" w:hAnsiTheme="minorEastAsia" w:eastAsiaTheme="minorEastAsia" w:cstheme="minorEastAsia"/>
                <w:sz w:val="21"/>
              </w:rPr>
            </w:pPr>
          </w:p>
          <w:p w14:paraId="27017A89">
            <w:pPr>
              <w:spacing w:line="316" w:lineRule="auto"/>
              <w:rPr>
                <w:rFonts w:hint="eastAsia" w:asciiTheme="minorEastAsia" w:hAnsiTheme="minorEastAsia" w:eastAsiaTheme="minorEastAsia" w:cstheme="minorEastAsia"/>
                <w:sz w:val="21"/>
              </w:rPr>
            </w:pPr>
          </w:p>
          <w:p w14:paraId="28B32322">
            <w:pPr>
              <w:pStyle w:val="44"/>
              <w:spacing w:before="78" w:line="180" w:lineRule="auto"/>
              <w:ind w:left="37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8</w:t>
            </w:r>
          </w:p>
        </w:tc>
      </w:tr>
      <w:tr w14:paraId="13FDB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996" w:type="dxa"/>
            <w:vMerge w:val="continue"/>
            <w:tcBorders>
              <w:top w:val="nil"/>
            </w:tcBorders>
            <w:vAlign w:val="top"/>
          </w:tcPr>
          <w:p w14:paraId="1D4A4FD6">
            <w:pPr>
              <w:rPr>
                <w:rFonts w:hint="eastAsia" w:asciiTheme="minorEastAsia" w:hAnsiTheme="minorEastAsia" w:eastAsiaTheme="minorEastAsia" w:cstheme="minorEastAsia"/>
                <w:sz w:val="21"/>
              </w:rPr>
            </w:pPr>
          </w:p>
        </w:tc>
        <w:tc>
          <w:tcPr>
            <w:tcW w:w="1315" w:type="dxa"/>
            <w:vAlign w:val="top"/>
          </w:tcPr>
          <w:p w14:paraId="27C2E30D">
            <w:pPr>
              <w:pStyle w:val="44"/>
              <w:spacing w:before="100" w:line="222" w:lineRule="auto"/>
              <w:ind w:left="76"/>
              <w:rPr>
                <w:rFonts w:hint="eastAsia" w:asciiTheme="minorEastAsia" w:hAnsiTheme="minorEastAsia" w:eastAsiaTheme="minorEastAsia" w:cstheme="minorEastAsia"/>
                <w:spacing w:val="-5"/>
              </w:rPr>
            </w:pPr>
          </w:p>
          <w:p w14:paraId="54F7AC72">
            <w:pPr>
              <w:pStyle w:val="44"/>
              <w:spacing w:before="100" w:line="222" w:lineRule="auto"/>
              <w:ind w:left="76"/>
              <w:rPr>
                <w:rFonts w:hint="eastAsia" w:asciiTheme="minorEastAsia" w:hAnsiTheme="minorEastAsia" w:eastAsiaTheme="minorEastAsia" w:cstheme="minorEastAsia"/>
                <w:spacing w:val="-5"/>
              </w:rPr>
            </w:pPr>
          </w:p>
          <w:p w14:paraId="0342B7C3">
            <w:pPr>
              <w:pStyle w:val="44"/>
              <w:spacing w:before="100" w:line="222" w:lineRule="auto"/>
              <w:ind w:left="76"/>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spacing w:val="-5"/>
              </w:rPr>
              <w:t>质量</w:t>
            </w:r>
            <w:r>
              <w:rPr>
                <w:rFonts w:hint="eastAsia" w:asciiTheme="minorEastAsia" w:hAnsiTheme="minorEastAsia" w:eastAsiaTheme="minorEastAsia" w:cstheme="minorEastAsia"/>
                <w:spacing w:val="-5"/>
                <w:lang w:val="en-US" w:eastAsia="zh-CN"/>
              </w:rPr>
              <w:t>保证措施和体系</w:t>
            </w:r>
          </w:p>
        </w:tc>
        <w:tc>
          <w:tcPr>
            <w:tcW w:w="6761" w:type="dxa"/>
            <w:vAlign w:val="top"/>
          </w:tcPr>
          <w:p w14:paraId="1D013C9B">
            <w:pPr>
              <w:keepNext w:val="0"/>
              <w:keepLines w:val="0"/>
              <w:widowControl/>
              <w:suppressLineNumbers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sz w:val="22"/>
                <w:szCs w:val="22"/>
                <w:lang w:val="en-US" w:eastAsia="en-US" w:bidi="ar-SA"/>
              </w:rPr>
              <w:t>（1）</w:t>
            </w:r>
            <w:r>
              <w:rPr>
                <w:rFonts w:hint="eastAsia" w:asciiTheme="minorEastAsia" w:hAnsiTheme="minorEastAsia" w:eastAsiaTheme="minorEastAsia" w:cstheme="minorEastAsia"/>
                <w:spacing w:val="-1"/>
                <w:sz w:val="22"/>
                <w:szCs w:val="22"/>
                <w:lang w:val="en-US" w:eastAsia="zh-CN" w:bidi="ar-SA"/>
              </w:rPr>
              <w:t>保证措施应符合科学的施工规律、国家规定的强制性标准并有针对性，同时要符合实际情况，切实可行。质量目标明确，管理机构健全，职责分工明确；管理制度齐全；实施措施全面、有效。</w:t>
            </w:r>
            <w:r>
              <w:rPr>
                <w:rFonts w:hint="eastAsia" w:asciiTheme="minorEastAsia" w:hAnsiTheme="minorEastAsia" w:eastAsiaTheme="minorEastAsia" w:cstheme="minorEastAsia"/>
                <w:spacing w:val="-1"/>
              </w:rPr>
              <w:t>质量保证体系健全、职责明确的，得</w:t>
            </w:r>
            <w:r>
              <w:rPr>
                <w:rFonts w:hint="eastAsia" w:asciiTheme="minorEastAsia" w:hAnsiTheme="minorEastAsia" w:eastAsiaTheme="minorEastAsia" w:cstheme="minorEastAsia"/>
                <w:spacing w:val="-1"/>
                <w:lang w:val="en-US" w:eastAsia="zh-CN"/>
              </w:rPr>
              <w:t>3</w:t>
            </w:r>
            <w:r>
              <w:rPr>
                <w:rFonts w:hint="eastAsia" w:asciiTheme="minorEastAsia" w:hAnsiTheme="minorEastAsia" w:eastAsiaTheme="minorEastAsia" w:cstheme="minorEastAsia"/>
                <w:spacing w:val="-1"/>
              </w:rPr>
              <w:t>分，基本合理的，得1分，否则得0分；</w:t>
            </w:r>
          </w:p>
        </w:tc>
        <w:tc>
          <w:tcPr>
            <w:tcW w:w="858" w:type="dxa"/>
            <w:vAlign w:val="top"/>
          </w:tcPr>
          <w:p w14:paraId="611FE1FB">
            <w:pPr>
              <w:pStyle w:val="44"/>
              <w:spacing w:before="141" w:line="180" w:lineRule="auto"/>
              <w:ind w:left="376"/>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8</w:t>
            </w:r>
          </w:p>
        </w:tc>
      </w:tr>
    </w:tbl>
    <w:p w14:paraId="68722224">
      <w:pPr>
        <w:sectPr>
          <w:footerReference r:id="rId13" w:type="default"/>
          <w:pgSz w:w="11910" w:h="16840"/>
          <w:pgMar w:top="1196" w:right="1016" w:bottom="1204" w:left="958" w:header="0" w:footer="1041" w:gutter="0"/>
          <w:pgNumType w:fmt="decimal"/>
          <w:cols w:space="720" w:num="1"/>
        </w:sectPr>
      </w:pPr>
    </w:p>
    <w:p w14:paraId="125AC759">
      <w:pPr>
        <w:spacing w:before="18"/>
      </w:pPr>
    </w:p>
    <w:tbl>
      <w:tblPr>
        <w:tblStyle w:val="45"/>
        <w:tblW w:w="99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1315"/>
        <w:gridCol w:w="6761"/>
        <w:gridCol w:w="858"/>
      </w:tblGrid>
      <w:tr w14:paraId="53597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996" w:type="dxa"/>
            <w:vMerge w:val="restart"/>
            <w:tcBorders>
              <w:bottom w:val="nil"/>
            </w:tcBorders>
            <w:vAlign w:val="top"/>
          </w:tcPr>
          <w:p w14:paraId="5089E533">
            <w:pPr>
              <w:rPr>
                <w:rFonts w:ascii="Arial"/>
                <w:sz w:val="21"/>
              </w:rPr>
            </w:pPr>
          </w:p>
        </w:tc>
        <w:tc>
          <w:tcPr>
            <w:tcW w:w="1315" w:type="dxa"/>
            <w:vAlign w:val="top"/>
          </w:tcPr>
          <w:p w14:paraId="26603360">
            <w:pPr>
              <w:pStyle w:val="44"/>
              <w:spacing w:before="40" w:line="223" w:lineRule="auto"/>
            </w:pPr>
          </w:p>
        </w:tc>
        <w:tc>
          <w:tcPr>
            <w:tcW w:w="6761" w:type="dxa"/>
            <w:vAlign w:val="top"/>
          </w:tcPr>
          <w:p w14:paraId="1074C88C">
            <w:pPr>
              <w:pStyle w:val="44"/>
              <w:spacing w:before="41" w:line="230" w:lineRule="auto"/>
              <w:ind w:left="21" w:right="154" w:firstLine="1"/>
              <w:rPr>
                <w:spacing w:val="-1"/>
              </w:rPr>
            </w:pPr>
            <w:r>
              <w:rPr>
                <w:spacing w:val="-1"/>
              </w:rPr>
              <w:t>（2）工程所用原材料、中间产品、金属结构等检测的种类、数量符合相关规程规范的，得</w:t>
            </w:r>
            <w:r>
              <w:rPr>
                <w:rFonts w:hint="eastAsia"/>
                <w:spacing w:val="-1"/>
                <w:lang w:val="en-US" w:eastAsia="zh-CN"/>
              </w:rPr>
              <w:t>3</w:t>
            </w:r>
            <w:r>
              <w:rPr>
                <w:spacing w:val="-1"/>
              </w:rPr>
              <w:t>分；否则得0分；</w:t>
            </w:r>
          </w:p>
          <w:p w14:paraId="312FED45">
            <w:pPr>
              <w:pStyle w:val="44"/>
              <w:spacing w:before="41" w:line="230" w:lineRule="auto"/>
              <w:ind w:left="21" w:right="154" w:firstLine="1"/>
              <w:rPr>
                <w:spacing w:val="-1"/>
              </w:rPr>
            </w:pPr>
            <w:r>
              <w:rPr>
                <w:spacing w:val="-1"/>
              </w:rPr>
              <w:t>（3） 自设工地实验室或者委托符合要求的质量检测单位的，得2分，否则得0分。</w:t>
            </w:r>
          </w:p>
        </w:tc>
        <w:tc>
          <w:tcPr>
            <w:tcW w:w="858" w:type="dxa"/>
            <w:vAlign w:val="top"/>
          </w:tcPr>
          <w:p w14:paraId="118DD992">
            <w:pPr>
              <w:rPr>
                <w:rFonts w:ascii="Arial"/>
                <w:sz w:val="21"/>
              </w:rPr>
            </w:pPr>
          </w:p>
        </w:tc>
      </w:tr>
      <w:tr w14:paraId="6FD98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996" w:type="dxa"/>
            <w:vMerge w:val="continue"/>
            <w:tcBorders>
              <w:top w:val="nil"/>
              <w:bottom w:val="nil"/>
            </w:tcBorders>
            <w:vAlign w:val="top"/>
          </w:tcPr>
          <w:p w14:paraId="0EE9CCD2">
            <w:pPr>
              <w:rPr>
                <w:rFonts w:ascii="Arial"/>
                <w:sz w:val="21"/>
              </w:rPr>
            </w:pPr>
          </w:p>
        </w:tc>
        <w:tc>
          <w:tcPr>
            <w:tcW w:w="1315" w:type="dxa"/>
            <w:vAlign w:val="top"/>
          </w:tcPr>
          <w:p w14:paraId="286C7594">
            <w:pPr>
              <w:spacing w:line="264" w:lineRule="auto"/>
              <w:rPr>
                <w:rFonts w:ascii="Arial"/>
                <w:sz w:val="21"/>
              </w:rPr>
            </w:pPr>
          </w:p>
          <w:p w14:paraId="1086E9F9">
            <w:pPr>
              <w:pStyle w:val="44"/>
              <w:spacing w:before="78" w:line="232" w:lineRule="auto"/>
              <w:ind w:left="199" w:right="55" w:hanging="126"/>
              <w:rPr>
                <w:rFonts w:hint="eastAsia" w:eastAsia="宋体"/>
                <w:lang w:eastAsia="zh-CN"/>
              </w:rPr>
            </w:pPr>
            <w:r>
              <w:rPr>
                <w:spacing w:val="-4"/>
              </w:rPr>
              <w:t>安全</w:t>
            </w:r>
            <w:r>
              <w:rPr>
                <w:rFonts w:hint="eastAsia"/>
                <w:spacing w:val="-4"/>
                <w:lang w:val="en-US" w:eastAsia="zh-CN"/>
              </w:rPr>
              <w:t>保证措施和体系</w:t>
            </w:r>
          </w:p>
        </w:tc>
        <w:tc>
          <w:tcPr>
            <w:tcW w:w="6761" w:type="dxa"/>
            <w:vAlign w:val="top"/>
          </w:tcPr>
          <w:p w14:paraId="2F9C3603">
            <w:pPr>
              <w:pStyle w:val="44"/>
              <w:spacing w:before="41" w:line="230" w:lineRule="auto"/>
              <w:ind w:left="21" w:right="154" w:firstLine="1"/>
              <w:rPr>
                <w:spacing w:val="-1"/>
              </w:rPr>
            </w:pPr>
            <w:r>
              <w:rPr>
                <w:spacing w:val="-1"/>
              </w:rPr>
              <w:t>（1）</w:t>
            </w:r>
            <w:r>
              <w:rPr>
                <w:rFonts w:hint="eastAsia"/>
                <w:spacing w:val="-1"/>
                <w:lang w:val="en-US" w:eastAsia="zh-CN"/>
              </w:rPr>
              <w:t>保证措施应符合国家及自治区规定的强制性标准并有针对性，同时要符合实际情况，切实可行。安全目标明确，优于招标文件要求；管理机构健全，职责分工明确；管理制度齐全；实施与监控措施全面、有效。</w:t>
            </w:r>
            <w:r>
              <w:rPr>
                <w:spacing w:val="-1"/>
              </w:rPr>
              <w:t>安全生产责任制健全、职责明确的，得</w:t>
            </w:r>
            <w:r>
              <w:rPr>
                <w:rFonts w:hint="eastAsia"/>
                <w:spacing w:val="-1"/>
                <w:lang w:val="en-US" w:eastAsia="zh-CN"/>
              </w:rPr>
              <w:t>4</w:t>
            </w:r>
            <w:r>
              <w:rPr>
                <w:spacing w:val="-1"/>
              </w:rPr>
              <w:t xml:space="preserve">分，否则得0分；  </w:t>
            </w:r>
          </w:p>
          <w:p w14:paraId="28BF4E9D">
            <w:pPr>
              <w:pStyle w:val="44"/>
              <w:spacing w:before="41" w:line="230" w:lineRule="auto"/>
              <w:ind w:left="21" w:right="154" w:firstLine="1"/>
              <w:rPr>
                <w:spacing w:val="-1"/>
              </w:rPr>
            </w:pPr>
            <w:r>
              <w:rPr>
                <w:spacing w:val="-1"/>
              </w:rPr>
              <w:t>（2）安全管理资源配置合理、措施符合相关安全技术（操作）规程的，得</w:t>
            </w:r>
            <w:r>
              <w:rPr>
                <w:rFonts w:hint="eastAsia"/>
                <w:spacing w:val="-1"/>
                <w:lang w:val="en-US" w:eastAsia="zh-CN"/>
              </w:rPr>
              <w:t>4</w:t>
            </w:r>
            <w:r>
              <w:rPr>
                <w:spacing w:val="-1"/>
              </w:rPr>
              <w:t>分，否则得0分。</w:t>
            </w:r>
          </w:p>
        </w:tc>
        <w:tc>
          <w:tcPr>
            <w:tcW w:w="858" w:type="dxa"/>
            <w:vAlign w:val="top"/>
          </w:tcPr>
          <w:p w14:paraId="48D4B54B">
            <w:pPr>
              <w:spacing w:line="462" w:lineRule="auto"/>
              <w:rPr>
                <w:rFonts w:ascii="Arial"/>
                <w:sz w:val="21"/>
              </w:rPr>
            </w:pPr>
          </w:p>
          <w:p w14:paraId="5D82978A">
            <w:pPr>
              <w:pStyle w:val="44"/>
              <w:spacing w:before="78" w:line="180" w:lineRule="auto"/>
              <w:ind w:left="376"/>
              <w:rPr>
                <w:rFonts w:hint="eastAsia" w:eastAsia="仿宋"/>
                <w:lang w:eastAsia="zh-CN"/>
              </w:rPr>
            </w:pPr>
            <w:r>
              <w:rPr>
                <w:rFonts w:hint="eastAsia"/>
                <w:lang w:val="en-US" w:eastAsia="zh-CN"/>
              </w:rPr>
              <w:t>8</w:t>
            </w:r>
          </w:p>
        </w:tc>
      </w:tr>
      <w:tr w14:paraId="10497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6" w:type="dxa"/>
            <w:vMerge w:val="continue"/>
            <w:tcBorders>
              <w:top w:val="nil"/>
              <w:bottom w:val="nil"/>
            </w:tcBorders>
            <w:vAlign w:val="top"/>
          </w:tcPr>
          <w:p w14:paraId="3DD23F77">
            <w:pPr>
              <w:rPr>
                <w:rFonts w:ascii="Arial"/>
                <w:sz w:val="21"/>
              </w:rPr>
            </w:pPr>
          </w:p>
        </w:tc>
        <w:tc>
          <w:tcPr>
            <w:tcW w:w="1315" w:type="dxa"/>
            <w:vAlign w:val="top"/>
          </w:tcPr>
          <w:p w14:paraId="0D6E1855">
            <w:pPr>
              <w:pStyle w:val="44"/>
              <w:spacing w:before="37" w:line="221" w:lineRule="auto"/>
              <w:ind w:left="70"/>
            </w:pPr>
            <w:r>
              <w:rPr>
                <w:spacing w:val="-4"/>
              </w:rPr>
              <w:t>环境保护管</w:t>
            </w:r>
          </w:p>
          <w:p w14:paraId="5EE88D75">
            <w:pPr>
              <w:pStyle w:val="44"/>
              <w:spacing w:before="22" w:line="222" w:lineRule="auto"/>
              <w:ind w:left="72"/>
            </w:pPr>
            <w:r>
              <w:rPr>
                <w:spacing w:val="-4"/>
              </w:rPr>
              <w:t>理体系与措</w:t>
            </w:r>
          </w:p>
          <w:p w14:paraId="62540A63">
            <w:pPr>
              <w:pStyle w:val="44"/>
              <w:spacing w:before="23" w:line="206" w:lineRule="auto"/>
              <w:ind w:left="549"/>
            </w:pPr>
            <w:r>
              <w:t>施</w:t>
            </w:r>
          </w:p>
        </w:tc>
        <w:tc>
          <w:tcPr>
            <w:tcW w:w="6761" w:type="dxa"/>
            <w:vAlign w:val="top"/>
          </w:tcPr>
          <w:p w14:paraId="1F4ED834">
            <w:pPr>
              <w:pStyle w:val="44"/>
              <w:keepNext w:val="0"/>
              <w:keepLines w:val="0"/>
              <w:pageBreakBefore w:val="0"/>
              <w:widowControl w:val="0"/>
              <w:kinsoku/>
              <w:wordWrap/>
              <w:overflowPunct/>
              <w:topLinePunct w:val="0"/>
              <w:autoSpaceDE w:val="0"/>
              <w:autoSpaceDN w:val="0"/>
              <w:bidi w:val="0"/>
              <w:adjustRightInd/>
              <w:snapToGrid/>
              <w:spacing w:before="20" w:line="300" w:lineRule="exact"/>
              <w:ind w:left="22"/>
              <w:textAlignment w:val="auto"/>
              <w:rPr>
                <w:spacing w:val="-1"/>
              </w:rPr>
            </w:pPr>
            <w:r>
              <w:rPr>
                <w:spacing w:val="-1"/>
              </w:rPr>
              <w:t>环境保护管理资源配置合理、措施合理的，得</w:t>
            </w:r>
            <w:r>
              <w:rPr>
                <w:rFonts w:hint="eastAsia"/>
                <w:spacing w:val="-1"/>
                <w:lang w:val="en-US" w:eastAsia="zh-CN"/>
              </w:rPr>
              <w:t>8</w:t>
            </w:r>
            <w:r>
              <w:rPr>
                <w:spacing w:val="-1"/>
              </w:rPr>
              <w:t>分，环境保护管理资源配置、措施基本合理的，得</w:t>
            </w:r>
            <w:r>
              <w:rPr>
                <w:rFonts w:hint="eastAsia"/>
                <w:spacing w:val="-1"/>
                <w:lang w:val="en-US" w:eastAsia="zh-CN"/>
              </w:rPr>
              <w:t>5</w:t>
            </w:r>
            <w:r>
              <w:rPr>
                <w:spacing w:val="-1"/>
              </w:rPr>
              <w:t>分，环境保护管理资源配置、措施</w:t>
            </w:r>
            <w:r>
              <w:rPr>
                <w:rFonts w:hint="eastAsia"/>
                <w:spacing w:val="-1"/>
                <w:lang w:val="en-US" w:eastAsia="zh-CN"/>
              </w:rPr>
              <w:t>一般得1分，不合理的</w:t>
            </w:r>
            <w:r>
              <w:rPr>
                <w:spacing w:val="-1"/>
              </w:rPr>
              <w:t>得0分。</w:t>
            </w:r>
          </w:p>
        </w:tc>
        <w:tc>
          <w:tcPr>
            <w:tcW w:w="858" w:type="dxa"/>
            <w:vAlign w:val="top"/>
          </w:tcPr>
          <w:p w14:paraId="4A83E3C6">
            <w:pPr>
              <w:spacing w:line="309" w:lineRule="auto"/>
              <w:rPr>
                <w:rFonts w:ascii="Arial"/>
                <w:sz w:val="21"/>
              </w:rPr>
            </w:pPr>
          </w:p>
          <w:p w14:paraId="046148AA">
            <w:pPr>
              <w:pStyle w:val="44"/>
              <w:spacing w:before="78" w:line="180" w:lineRule="auto"/>
              <w:ind w:left="376"/>
              <w:rPr>
                <w:rFonts w:hint="eastAsia" w:eastAsia="仿宋"/>
                <w:lang w:eastAsia="zh-CN"/>
              </w:rPr>
            </w:pPr>
            <w:r>
              <w:rPr>
                <w:rFonts w:hint="eastAsia"/>
                <w:lang w:val="en-US" w:eastAsia="zh-CN"/>
              </w:rPr>
              <w:t>8</w:t>
            </w:r>
          </w:p>
        </w:tc>
      </w:tr>
      <w:tr w14:paraId="68162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996" w:type="dxa"/>
            <w:vMerge w:val="continue"/>
            <w:tcBorders>
              <w:top w:val="nil"/>
              <w:bottom w:val="nil"/>
            </w:tcBorders>
            <w:vAlign w:val="top"/>
          </w:tcPr>
          <w:p w14:paraId="28E879D0">
            <w:pPr>
              <w:rPr>
                <w:rFonts w:ascii="Arial"/>
                <w:sz w:val="21"/>
              </w:rPr>
            </w:pPr>
          </w:p>
        </w:tc>
        <w:tc>
          <w:tcPr>
            <w:tcW w:w="1315" w:type="dxa"/>
            <w:vAlign w:val="top"/>
          </w:tcPr>
          <w:p w14:paraId="0D73A7F6">
            <w:pPr>
              <w:pStyle w:val="44"/>
              <w:spacing w:before="166" w:line="232" w:lineRule="auto"/>
              <w:ind w:left="193" w:right="55" w:hanging="117"/>
            </w:pPr>
            <w:r>
              <w:rPr>
                <w:spacing w:val="-5"/>
              </w:rPr>
              <w:t>工程进度计</w:t>
            </w:r>
            <w:r>
              <w:rPr>
                <w:spacing w:val="2"/>
              </w:rPr>
              <w:t xml:space="preserve"> </w:t>
            </w:r>
            <w:r>
              <w:rPr>
                <w:spacing w:val="-5"/>
              </w:rPr>
              <w:t>划与措施</w:t>
            </w:r>
          </w:p>
        </w:tc>
        <w:tc>
          <w:tcPr>
            <w:tcW w:w="6761" w:type="dxa"/>
            <w:vAlign w:val="top"/>
          </w:tcPr>
          <w:p w14:paraId="7037A694">
            <w:pPr>
              <w:pStyle w:val="44"/>
              <w:keepNext w:val="0"/>
              <w:keepLines w:val="0"/>
              <w:pageBreakBefore w:val="0"/>
              <w:widowControl w:val="0"/>
              <w:kinsoku/>
              <w:wordWrap/>
              <w:overflowPunct/>
              <w:topLinePunct w:val="0"/>
              <w:autoSpaceDE w:val="0"/>
              <w:autoSpaceDN w:val="0"/>
              <w:bidi w:val="0"/>
              <w:adjustRightInd/>
              <w:snapToGrid/>
              <w:spacing w:before="20" w:line="300" w:lineRule="exact"/>
              <w:ind w:left="22"/>
              <w:textAlignment w:val="auto"/>
              <w:rPr>
                <w:spacing w:val="-1"/>
              </w:rPr>
            </w:pPr>
            <w:r>
              <w:rPr>
                <w:rFonts w:hint="eastAsia"/>
                <w:spacing w:val="-1"/>
                <w:lang w:val="en-US" w:eastAsia="zh-CN"/>
              </w:rPr>
              <w:t>工程进度计划应在空间和时间上做合理的统筹安排且符合施工的科学规律，</w:t>
            </w:r>
            <w:r>
              <w:rPr>
                <w:spacing w:val="-1"/>
              </w:rPr>
              <w:t>工程施工流程、进度计划横道图（或者网络图）中关键线路以及措施合理的，得6分，否则得0分。</w:t>
            </w:r>
          </w:p>
        </w:tc>
        <w:tc>
          <w:tcPr>
            <w:tcW w:w="858" w:type="dxa"/>
            <w:vAlign w:val="top"/>
          </w:tcPr>
          <w:p w14:paraId="101B0FF5">
            <w:pPr>
              <w:spacing w:line="285" w:lineRule="auto"/>
              <w:rPr>
                <w:rFonts w:ascii="Arial"/>
                <w:sz w:val="21"/>
              </w:rPr>
            </w:pPr>
          </w:p>
          <w:p w14:paraId="6B7A4F41">
            <w:pPr>
              <w:pStyle w:val="44"/>
              <w:spacing w:before="78" w:line="180" w:lineRule="auto"/>
              <w:ind w:left="376"/>
            </w:pPr>
            <w:r>
              <w:t>6</w:t>
            </w:r>
          </w:p>
        </w:tc>
      </w:tr>
      <w:tr w14:paraId="187C4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996" w:type="dxa"/>
            <w:vMerge w:val="continue"/>
            <w:tcBorders>
              <w:top w:val="nil"/>
            </w:tcBorders>
            <w:vAlign w:val="top"/>
          </w:tcPr>
          <w:p w14:paraId="11A9D5FC">
            <w:pPr>
              <w:rPr>
                <w:rFonts w:ascii="Arial"/>
                <w:sz w:val="21"/>
              </w:rPr>
            </w:pPr>
          </w:p>
        </w:tc>
        <w:tc>
          <w:tcPr>
            <w:tcW w:w="1315" w:type="dxa"/>
            <w:vAlign w:val="top"/>
          </w:tcPr>
          <w:p w14:paraId="19A66F98">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Arial"/>
                <w:sz w:val="21"/>
              </w:rPr>
            </w:pPr>
          </w:p>
          <w:p w14:paraId="1BA0AE97">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Arial"/>
                <w:sz w:val="21"/>
              </w:rPr>
            </w:pPr>
          </w:p>
          <w:p w14:paraId="43B65333">
            <w:pPr>
              <w:pStyle w:val="44"/>
              <w:keepNext w:val="0"/>
              <w:keepLines w:val="0"/>
              <w:pageBreakBefore w:val="0"/>
              <w:widowControl w:val="0"/>
              <w:kinsoku/>
              <w:wordWrap/>
              <w:overflowPunct/>
              <w:topLinePunct w:val="0"/>
              <w:autoSpaceDE w:val="0"/>
              <w:autoSpaceDN w:val="0"/>
              <w:bidi w:val="0"/>
              <w:adjustRightInd/>
              <w:snapToGrid/>
              <w:spacing w:before="78" w:line="300" w:lineRule="exact"/>
              <w:ind w:left="552" w:right="55" w:hanging="470"/>
              <w:textAlignment w:val="auto"/>
            </w:pPr>
            <w:r>
              <w:rPr>
                <w:spacing w:val="-6"/>
              </w:rPr>
              <w:t>资源配备计</w:t>
            </w:r>
            <w:r>
              <w:t xml:space="preserve"> 划</w:t>
            </w:r>
          </w:p>
        </w:tc>
        <w:tc>
          <w:tcPr>
            <w:tcW w:w="6761" w:type="dxa"/>
            <w:vAlign w:val="top"/>
          </w:tcPr>
          <w:p w14:paraId="3A38562B">
            <w:pPr>
              <w:pStyle w:val="44"/>
              <w:keepNext w:val="0"/>
              <w:keepLines w:val="0"/>
              <w:pageBreakBefore w:val="0"/>
              <w:widowControl w:val="0"/>
              <w:kinsoku/>
              <w:wordWrap/>
              <w:overflowPunct/>
              <w:topLinePunct w:val="0"/>
              <w:autoSpaceDE w:val="0"/>
              <w:autoSpaceDN w:val="0"/>
              <w:bidi w:val="0"/>
              <w:adjustRightInd/>
              <w:snapToGrid/>
              <w:spacing w:before="39" w:line="300" w:lineRule="exact"/>
              <w:ind w:left="22"/>
              <w:textAlignment w:val="auto"/>
            </w:pPr>
            <w:r>
              <w:rPr>
                <w:spacing w:val="-1"/>
              </w:rPr>
              <w:t>（1）资金使用计划安排合理的，得2分</w:t>
            </w:r>
            <w:r>
              <w:rPr>
                <w:rFonts w:hint="eastAsia"/>
                <w:spacing w:val="-1"/>
                <w:lang w:eastAsia="zh-CN"/>
              </w:rPr>
              <w:t>，</w:t>
            </w:r>
            <w:r>
              <w:rPr>
                <w:spacing w:val="-1"/>
              </w:rPr>
              <w:t>否则得0分；</w:t>
            </w:r>
          </w:p>
          <w:p w14:paraId="391ECE0A">
            <w:pPr>
              <w:pStyle w:val="44"/>
              <w:keepNext w:val="0"/>
              <w:keepLines w:val="0"/>
              <w:pageBreakBefore w:val="0"/>
              <w:widowControl w:val="0"/>
              <w:kinsoku/>
              <w:wordWrap/>
              <w:overflowPunct/>
              <w:topLinePunct w:val="0"/>
              <w:autoSpaceDE w:val="0"/>
              <w:autoSpaceDN w:val="0"/>
              <w:bidi w:val="0"/>
              <w:adjustRightInd/>
              <w:snapToGrid/>
              <w:spacing w:before="20" w:line="300" w:lineRule="exact"/>
              <w:ind w:left="22"/>
              <w:textAlignment w:val="auto"/>
            </w:pPr>
            <w:r>
              <w:rPr>
                <w:spacing w:val="-1"/>
              </w:rPr>
              <w:t>（2）劳动力安排计划合理且有计算说明的，得2分</w:t>
            </w:r>
            <w:r>
              <w:rPr>
                <w:rFonts w:hint="eastAsia"/>
                <w:spacing w:val="-1"/>
                <w:lang w:eastAsia="zh-CN"/>
              </w:rPr>
              <w:t>，</w:t>
            </w:r>
            <w:r>
              <w:rPr>
                <w:spacing w:val="-1"/>
              </w:rPr>
              <w:t>否则得0分；</w:t>
            </w:r>
          </w:p>
          <w:p w14:paraId="68278147">
            <w:pPr>
              <w:pStyle w:val="44"/>
              <w:keepNext w:val="0"/>
              <w:keepLines w:val="0"/>
              <w:pageBreakBefore w:val="0"/>
              <w:widowControl w:val="0"/>
              <w:kinsoku/>
              <w:wordWrap/>
              <w:overflowPunct/>
              <w:topLinePunct w:val="0"/>
              <w:autoSpaceDE w:val="0"/>
              <w:autoSpaceDN w:val="0"/>
              <w:bidi w:val="0"/>
              <w:adjustRightInd/>
              <w:snapToGrid/>
              <w:spacing w:before="24" w:line="300" w:lineRule="exact"/>
              <w:ind w:left="18" w:firstLine="4"/>
              <w:textAlignment w:val="auto"/>
            </w:pPr>
            <w:r>
              <w:rPr>
                <w:spacing w:val="4"/>
              </w:rPr>
              <w:t>（3）主要材料用量计划安排合理且有计算说明的，得2分</w:t>
            </w:r>
            <w:r>
              <w:rPr>
                <w:rFonts w:hint="eastAsia"/>
                <w:spacing w:val="4"/>
                <w:lang w:eastAsia="zh-CN"/>
              </w:rPr>
              <w:t>，</w:t>
            </w:r>
            <w:r>
              <w:rPr>
                <w:spacing w:val="4"/>
              </w:rPr>
              <w:t>否则</w:t>
            </w:r>
            <w:r>
              <w:rPr>
                <w:spacing w:val="-5"/>
              </w:rPr>
              <w:t>得0分；</w:t>
            </w:r>
          </w:p>
          <w:p w14:paraId="15BD0E5B">
            <w:pPr>
              <w:pStyle w:val="44"/>
              <w:keepNext w:val="0"/>
              <w:keepLines w:val="0"/>
              <w:pageBreakBefore w:val="0"/>
              <w:widowControl w:val="0"/>
              <w:kinsoku/>
              <w:wordWrap/>
              <w:overflowPunct/>
              <w:topLinePunct w:val="0"/>
              <w:autoSpaceDE w:val="0"/>
              <w:autoSpaceDN w:val="0"/>
              <w:bidi w:val="0"/>
              <w:adjustRightInd/>
              <w:snapToGrid/>
              <w:spacing w:before="22" w:line="300" w:lineRule="exact"/>
              <w:jc w:val="both"/>
              <w:textAlignment w:val="auto"/>
            </w:pPr>
            <w:r>
              <w:rPr>
                <w:spacing w:val="4"/>
              </w:rPr>
              <w:t>（4）主要施工机械设备使用计划合理且有计算说明的，得2分</w:t>
            </w:r>
            <w:r>
              <w:rPr>
                <w:rFonts w:hint="eastAsia"/>
                <w:spacing w:val="4"/>
                <w:lang w:eastAsia="zh-CN"/>
              </w:rPr>
              <w:t>，</w:t>
            </w:r>
            <w:r>
              <w:rPr>
                <w:spacing w:val="-1"/>
              </w:rPr>
              <w:t>基本合理的，得1分，否则得0分。</w:t>
            </w:r>
          </w:p>
        </w:tc>
        <w:tc>
          <w:tcPr>
            <w:tcW w:w="858" w:type="dxa"/>
            <w:vAlign w:val="top"/>
          </w:tcPr>
          <w:p w14:paraId="2039BA2F">
            <w:pPr>
              <w:spacing w:line="258" w:lineRule="auto"/>
              <w:rPr>
                <w:rFonts w:ascii="Arial"/>
                <w:sz w:val="21"/>
              </w:rPr>
            </w:pPr>
          </w:p>
          <w:p w14:paraId="5E715611">
            <w:pPr>
              <w:spacing w:line="258" w:lineRule="auto"/>
              <w:rPr>
                <w:rFonts w:ascii="Arial"/>
                <w:sz w:val="21"/>
              </w:rPr>
            </w:pPr>
          </w:p>
          <w:p w14:paraId="36B6B62E">
            <w:pPr>
              <w:spacing w:line="259" w:lineRule="auto"/>
              <w:rPr>
                <w:rFonts w:ascii="Arial"/>
                <w:sz w:val="21"/>
              </w:rPr>
            </w:pPr>
          </w:p>
          <w:p w14:paraId="1E7B746A">
            <w:pPr>
              <w:pStyle w:val="44"/>
              <w:spacing w:before="78" w:line="180" w:lineRule="auto"/>
              <w:ind w:left="375"/>
            </w:pPr>
            <w:r>
              <w:t>8</w:t>
            </w:r>
          </w:p>
        </w:tc>
      </w:tr>
      <w:tr w14:paraId="23D31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996" w:type="dxa"/>
            <w:tcBorders>
              <w:top w:val="nil"/>
            </w:tcBorders>
            <w:vAlign w:val="top"/>
          </w:tcPr>
          <w:p w14:paraId="013CE77F">
            <w:pPr>
              <w:rPr>
                <w:rFonts w:ascii="Arial"/>
                <w:sz w:val="21"/>
              </w:rPr>
            </w:pPr>
          </w:p>
        </w:tc>
        <w:tc>
          <w:tcPr>
            <w:tcW w:w="1315" w:type="dxa"/>
            <w:vAlign w:val="top"/>
          </w:tcPr>
          <w:p w14:paraId="29F061D2">
            <w:pPr>
              <w:spacing w:line="422" w:lineRule="auto"/>
              <w:rPr>
                <w:rFonts w:hint="eastAsia" w:asciiTheme="minorEastAsia" w:hAnsiTheme="minorEastAsia" w:eastAsiaTheme="minorEastAsia" w:cstheme="minorEastAsia"/>
                <w:sz w:val="21"/>
              </w:rPr>
            </w:pPr>
          </w:p>
          <w:p w14:paraId="1224C0E3">
            <w:pPr>
              <w:pStyle w:val="44"/>
              <w:spacing w:before="78" w:line="230" w:lineRule="auto"/>
              <w:ind w:left="70" w:leftChars="0" w:right="55" w:rightChars="0" w:firstLine="29" w:firstLineChars="0"/>
              <w:rPr>
                <w:spacing w:val="-6"/>
              </w:rPr>
            </w:pPr>
            <w:r>
              <w:rPr>
                <w:rFonts w:hint="eastAsia" w:asciiTheme="minorEastAsia" w:hAnsiTheme="minorEastAsia" w:eastAsiaTheme="minorEastAsia" w:cstheme="minorEastAsia"/>
                <w:spacing w:val="-10"/>
              </w:rPr>
              <w:t>内容完整性</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4"/>
              </w:rPr>
              <w:t>和编制水平</w:t>
            </w:r>
          </w:p>
        </w:tc>
        <w:tc>
          <w:tcPr>
            <w:tcW w:w="6761" w:type="dxa"/>
            <w:vAlign w:val="top"/>
          </w:tcPr>
          <w:p w14:paraId="1EDCBEA9">
            <w:pPr>
              <w:pStyle w:val="44"/>
              <w:spacing w:before="34" w:line="235" w:lineRule="auto"/>
              <w:ind w:left="16" w:leftChars="0" w:right="0" w:rightChars="0" w:firstLine="3" w:firstLineChars="0"/>
              <w:jc w:val="both"/>
              <w:rPr>
                <w:spacing w:val="-1"/>
              </w:rPr>
            </w:pPr>
            <w:r>
              <w:rPr>
                <w:rFonts w:hint="eastAsia" w:asciiTheme="minorEastAsia" w:hAnsiTheme="minorEastAsia" w:eastAsiaTheme="minorEastAsia" w:cstheme="minorEastAsia"/>
                <w:sz w:val="22"/>
                <w:szCs w:val="22"/>
                <w:lang w:val="en-US" w:eastAsia="en-US" w:bidi="ar-SA"/>
              </w:rPr>
              <w:t>施工组织包含施工条件、施工导流（如需要）、料场的选择与开采（如需要）、主体工程施工、施工交通运输、施工工厂设施 （如需要）、施工总布置、施工总进度、主要技术供应等章节，且内容完整、编制合理的，得</w:t>
            </w:r>
            <w:r>
              <w:rPr>
                <w:rFonts w:hint="eastAsia" w:asciiTheme="minorEastAsia" w:hAnsiTheme="minorEastAsia" w:eastAsiaTheme="minorEastAsia" w:cstheme="minorEastAsia"/>
                <w:sz w:val="22"/>
                <w:szCs w:val="22"/>
                <w:lang w:val="en-US" w:eastAsia="zh-CN" w:bidi="ar-SA"/>
              </w:rPr>
              <w:t>3</w:t>
            </w:r>
            <w:r>
              <w:rPr>
                <w:rFonts w:hint="eastAsia" w:asciiTheme="minorEastAsia" w:hAnsiTheme="minorEastAsia" w:eastAsiaTheme="minorEastAsia" w:cstheme="minorEastAsia"/>
                <w:sz w:val="22"/>
                <w:szCs w:val="22"/>
                <w:lang w:val="en-US" w:eastAsia="en-US" w:bidi="ar-SA"/>
              </w:rPr>
              <w:t>分</w:t>
            </w:r>
            <w:r>
              <w:rPr>
                <w:rFonts w:hint="eastAsia" w:asciiTheme="minorEastAsia" w:hAnsiTheme="minorEastAsia" w:eastAsiaTheme="minorEastAsia" w:cstheme="minorEastAsia"/>
                <w:sz w:val="22"/>
                <w:szCs w:val="22"/>
                <w:lang w:val="en-US" w:eastAsia="zh-CN" w:bidi="ar-SA"/>
              </w:rPr>
              <w:t>；</w:t>
            </w:r>
            <w:r>
              <w:rPr>
                <w:rFonts w:hint="eastAsia" w:asciiTheme="minorEastAsia" w:hAnsiTheme="minorEastAsia" w:eastAsiaTheme="minorEastAsia" w:cstheme="minorEastAsia"/>
                <w:sz w:val="22"/>
                <w:szCs w:val="22"/>
                <w:lang w:val="en-US" w:eastAsia="en-US" w:bidi="ar-SA"/>
              </w:rPr>
              <w:t>基本合理的，得1分</w:t>
            </w:r>
            <w:r>
              <w:rPr>
                <w:rFonts w:hint="eastAsia" w:asciiTheme="minorEastAsia" w:hAnsiTheme="minorEastAsia" w:eastAsiaTheme="minorEastAsia" w:cstheme="minorEastAsia"/>
                <w:sz w:val="22"/>
                <w:szCs w:val="22"/>
                <w:lang w:val="en-US" w:eastAsia="zh-CN" w:bidi="ar-SA"/>
              </w:rPr>
              <w:t>；</w:t>
            </w:r>
            <w:r>
              <w:rPr>
                <w:rFonts w:hint="eastAsia" w:asciiTheme="minorEastAsia" w:hAnsiTheme="minorEastAsia" w:eastAsiaTheme="minorEastAsia" w:cstheme="minorEastAsia"/>
                <w:sz w:val="22"/>
                <w:szCs w:val="22"/>
                <w:lang w:val="en-US" w:eastAsia="en-US" w:bidi="ar-SA"/>
              </w:rPr>
              <w:t>不合理的，得0分。</w:t>
            </w:r>
          </w:p>
        </w:tc>
        <w:tc>
          <w:tcPr>
            <w:tcW w:w="858" w:type="dxa"/>
            <w:vAlign w:val="top"/>
          </w:tcPr>
          <w:p w14:paraId="1E60A7DB">
            <w:pPr>
              <w:spacing w:line="263" w:lineRule="auto"/>
              <w:jc w:val="both"/>
              <w:rPr>
                <w:rFonts w:hint="eastAsia" w:asciiTheme="minorEastAsia" w:hAnsiTheme="minorEastAsia" w:eastAsiaTheme="minorEastAsia" w:cstheme="minorEastAsia"/>
                <w:sz w:val="21"/>
              </w:rPr>
            </w:pPr>
          </w:p>
          <w:p w14:paraId="0439D7BB">
            <w:pPr>
              <w:spacing w:line="264" w:lineRule="auto"/>
              <w:jc w:val="both"/>
              <w:rPr>
                <w:rFonts w:hint="eastAsia" w:asciiTheme="minorEastAsia" w:hAnsiTheme="minorEastAsia" w:eastAsiaTheme="minorEastAsia" w:cstheme="minorEastAsia"/>
                <w:sz w:val="21"/>
              </w:rPr>
            </w:pPr>
          </w:p>
          <w:p w14:paraId="38E8A279">
            <w:pPr>
              <w:pStyle w:val="44"/>
              <w:spacing w:before="78" w:line="179" w:lineRule="auto"/>
              <w:ind w:left="379" w:leftChars="0" w:right="0" w:rightChars="0"/>
              <w:jc w:val="both"/>
            </w:pPr>
            <w:r>
              <w:rPr>
                <w:rFonts w:hint="eastAsia" w:asciiTheme="minorEastAsia" w:hAnsiTheme="minorEastAsia" w:eastAsiaTheme="minorEastAsia" w:cstheme="minorEastAsia"/>
                <w:lang w:val="en-US" w:eastAsia="zh-CN"/>
              </w:rPr>
              <w:t>3</w:t>
            </w:r>
          </w:p>
        </w:tc>
      </w:tr>
      <w:tr w14:paraId="0C2B4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9072" w:type="dxa"/>
            <w:gridSpan w:val="3"/>
            <w:vAlign w:val="top"/>
          </w:tcPr>
          <w:p w14:paraId="1BCF3A74">
            <w:pPr>
              <w:pStyle w:val="44"/>
              <w:spacing w:before="40" w:line="222" w:lineRule="auto"/>
              <w:ind w:left="26"/>
            </w:pPr>
            <w:r>
              <w:rPr>
                <w:spacing w:val="-12"/>
              </w:rPr>
              <w:t>合计</w:t>
            </w:r>
          </w:p>
        </w:tc>
        <w:tc>
          <w:tcPr>
            <w:tcW w:w="858" w:type="dxa"/>
            <w:vAlign w:val="top"/>
          </w:tcPr>
          <w:p w14:paraId="74F9D437">
            <w:pPr>
              <w:pStyle w:val="44"/>
              <w:spacing w:before="137" w:line="181" w:lineRule="auto"/>
              <w:ind w:left="272"/>
            </w:pPr>
            <w:r>
              <w:rPr>
                <w:spacing w:val="-9"/>
              </w:rPr>
              <w:t>100</w:t>
            </w:r>
          </w:p>
        </w:tc>
      </w:tr>
    </w:tbl>
    <w:p w14:paraId="63D8E3BB">
      <w:pPr>
        <w:pStyle w:val="16"/>
        <w:rPr>
          <w:rFonts w:hint="eastAsia" w:ascii="宋体" w:hAnsi="宋体" w:eastAsia="宋体" w:cs="宋体"/>
          <w:color w:val="auto"/>
          <w:sz w:val="24"/>
          <w:szCs w:val="24"/>
          <w:highlight w:val="none"/>
        </w:rPr>
      </w:pPr>
    </w:p>
    <w:p w14:paraId="3C3B0A33">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jc w:val="center"/>
        <w:textAlignment w:val="auto"/>
        <w:rPr>
          <w:rFonts w:hint="eastAsia" w:ascii="微软雅黑" w:hAnsi="微软雅黑" w:eastAsia="微软雅黑" w:cs="微软雅黑"/>
          <w:b/>
          <w:bCs/>
          <w:color w:val="auto"/>
          <w:sz w:val="32"/>
          <w:szCs w:val="32"/>
          <w:highlight w:val="none"/>
        </w:rPr>
      </w:pPr>
      <w:bookmarkStart w:id="14" w:name="_Toc26743_WPSOffice_Level1"/>
    </w:p>
    <w:p w14:paraId="0D28A1E7">
      <w:pPr>
        <w:pStyle w:val="10"/>
        <w:rPr>
          <w:rFonts w:hint="eastAsia" w:ascii="微软雅黑" w:hAnsi="微软雅黑" w:eastAsia="微软雅黑" w:cs="微软雅黑"/>
          <w:b/>
          <w:bCs/>
          <w:color w:val="auto"/>
          <w:sz w:val="32"/>
          <w:szCs w:val="32"/>
          <w:highlight w:val="none"/>
        </w:rPr>
      </w:pPr>
    </w:p>
    <w:p w14:paraId="402D4856">
      <w:pPr>
        <w:pStyle w:val="13"/>
        <w:rPr>
          <w:rFonts w:hint="eastAsia"/>
        </w:rPr>
      </w:pPr>
    </w:p>
    <w:p w14:paraId="71548F91">
      <w:pPr>
        <w:rPr>
          <w:rFonts w:hint="eastAsia"/>
        </w:rPr>
      </w:pPr>
    </w:p>
    <w:p w14:paraId="07D2BF36">
      <w:pPr>
        <w:pStyle w:val="10"/>
        <w:rPr>
          <w:rFonts w:hint="eastAsia"/>
        </w:rPr>
      </w:pPr>
    </w:p>
    <w:p w14:paraId="0D6DC0F0">
      <w:pPr>
        <w:pStyle w:val="13"/>
        <w:rPr>
          <w:rFonts w:hint="eastAsia"/>
        </w:rPr>
      </w:pPr>
    </w:p>
    <w:p w14:paraId="5DA21A4D">
      <w:pPr>
        <w:rPr>
          <w:rFonts w:hint="eastAsia"/>
        </w:rPr>
      </w:pPr>
    </w:p>
    <w:p w14:paraId="5E4BA9E6">
      <w:pPr>
        <w:pStyle w:val="10"/>
        <w:rPr>
          <w:rFonts w:hint="eastAsia"/>
        </w:rPr>
      </w:pPr>
    </w:p>
    <w:p w14:paraId="0FB69BEC">
      <w:pPr>
        <w:pStyle w:val="13"/>
        <w:rPr>
          <w:rFonts w:hint="eastAsia"/>
        </w:rPr>
      </w:pPr>
    </w:p>
    <w:p w14:paraId="0B973757">
      <w:pPr>
        <w:rPr>
          <w:rFonts w:hint="eastAsia"/>
        </w:rPr>
      </w:pPr>
    </w:p>
    <w:p w14:paraId="383304FC">
      <w:pPr>
        <w:keepNext w:val="0"/>
        <w:keepLines w:val="0"/>
        <w:pageBreakBefore w:val="0"/>
        <w:widowControl w:val="0"/>
        <w:kinsoku/>
        <w:wordWrap/>
        <w:overflowPunct/>
        <w:topLinePunct w:val="0"/>
        <w:autoSpaceDE w:val="0"/>
        <w:autoSpaceDN w:val="0"/>
        <w:bidi w:val="0"/>
        <w:adjustRightInd/>
        <w:snapToGrid/>
        <w:spacing w:line="440" w:lineRule="exact"/>
        <w:ind w:firstLine="640" w:firstLineChars="200"/>
        <w:jc w:val="center"/>
        <w:textAlignment w:val="auto"/>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第三部分</w:t>
      </w:r>
      <w:r>
        <w:rPr>
          <w:rFonts w:hint="eastAsia" w:ascii="微软雅黑" w:hAnsi="微软雅黑" w:eastAsia="微软雅黑" w:cs="微软雅黑"/>
          <w:b/>
          <w:bCs/>
          <w:color w:val="auto"/>
          <w:sz w:val="32"/>
          <w:szCs w:val="32"/>
          <w:highlight w:val="none"/>
        </w:rPr>
        <w:tab/>
      </w:r>
      <w:r>
        <w:rPr>
          <w:rFonts w:hint="eastAsia" w:ascii="微软雅黑" w:hAnsi="微软雅黑" w:eastAsia="微软雅黑" w:cs="微软雅黑"/>
          <w:b/>
          <w:bCs/>
          <w:color w:val="auto"/>
          <w:sz w:val="32"/>
          <w:szCs w:val="32"/>
          <w:highlight w:val="none"/>
          <w:lang w:val="en-US" w:eastAsia="zh-CN"/>
        </w:rPr>
        <w:t>采购项目需求</w:t>
      </w:r>
      <w:bookmarkEnd w:id="14"/>
    </w:p>
    <w:p w14:paraId="7248BC7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采购项目需求</w:t>
      </w:r>
      <w:r>
        <w:rPr>
          <w:rFonts w:hint="eastAsia" w:ascii="宋体" w:hAnsi="宋体" w:eastAsia="宋体" w:cs="宋体"/>
          <w:b/>
          <w:bCs/>
          <w:color w:val="auto"/>
          <w:sz w:val="24"/>
          <w:szCs w:val="24"/>
          <w:highlight w:val="none"/>
        </w:rPr>
        <w:t>中标注“★部分”条款为实质性条款，供应商如在任何一条负偏离则导致响应无效。</w:t>
      </w:r>
      <w:r>
        <w:rPr>
          <w:rFonts w:hint="eastAsia" w:ascii="宋体" w:hAnsi="宋体" w:eastAsia="宋体" w:cs="宋体"/>
          <w:color w:val="auto"/>
          <w:sz w:val="24"/>
          <w:szCs w:val="24"/>
          <w:highlight w:val="none"/>
        </w:rPr>
        <w:t xml:space="preserve"> </w:t>
      </w:r>
    </w:p>
    <w:p w14:paraId="65F9148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jc w:val="center"/>
        <w:textAlignment w:val="auto"/>
        <w:rPr>
          <w:rFonts w:hint="eastAsia" w:ascii="宋体" w:hAnsi="宋体" w:eastAsia="宋体" w:cs="宋体"/>
          <w:b/>
          <w:bCs/>
          <w:color w:val="auto"/>
          <w:sz w:val="24"/>
          <w:szCs w:val="24"/>
          <w:highlight w:val="none"/>
        </w:rPr>
      </w:pPr>
    </w:p>
    <w:p w14:paraId="644C297C">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I 商务要求</w:t>
      </w:r>
    </w:p>
    <w:p w14:paraId="269B178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tbl>
      <w:tblPr>
        <w:tblStyle w:val="20"/>
        <w:tblW w:w="98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6"/>
        <w:gridCol w:w="1471"/>
        <w:gridCol w:w="7549"/>
      </w:tblGrid>
      <w:tr w14:paraId="5107A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14:paraId="3E9CA0C0">
            <w:pPr>
              <w:keepNext w:val="0"/>
              <w:keepLines w:val="0"/>
              <w:pageBreakBefore w:val="0"/>
              <w:widowControl w:val="0"/>
              <w:kinsoku/>
              <w:wordWrap/>
              <w:overflowPunct/>
              <w:topLinePunct w:val="0"/>
              <w:autoSpaceDE w:val="0"/>
              <w:autoSpaceDN w:val="0"/>
              <w:bidi w:val="0"/>
              <w:adjustRightInd/>
              <w:snapToGrid/>
              <w:spacing w:line="440" w:lineRule="exact"/>
              <w:ind w:firstLine="241" w:firstLineChars="1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序号 </w:t>
            </w:r>
          </w:p>
        </w:tc>
        <w:tc>
          <w:tcPr>
            <w:tcW w:w="1471" w:type="dxa"/>
            <w:noWrap w:val="0"/>
            <w:vAlign w:val="top"/>
          </w:tcPr>
          <w:p w14:paraId="4A495FEB">
            <w:pPr>
              <w:keepNext w:val="0"/>
              <w:keepLines w:val="0"/>
              <w:pageBreakBefore w:val="0"/>
              <w:widowControl w:val="0"/>
              <w:kinsoku/>
              <w:wordWrap/>
              <w:overflowPunct/>
              <w:topLinePunct w:val="0"/>
              <w:autoSpaceDE w:val="0"/>
              <w:autoSpaceDN w:val="0"/>
              <w:bidi w:val="0"/>
              <w:adjustRightInd/>
              <w:snapToGrid/>
              <w:spacing w:line="440" w:lineRule="exact"/>
              <w:ind w:firstLine="241" w:firstLineChars="1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条款名称 </w:t>
            </w:r>
          </w:p>
        </w:tc>
        <w:tc>
          <w:tcPr>
            <w:tcW w:w="7549" w:type="dxa"/>
            <w:noWrap w:val="0"/>
            <w:vAlign w:val="top"/>
          </w:tcPr>
          <w:p w14:paraId="5E60575B">
            <w:pPr>
              <w:keepNext w:val="0"/>
              <w:keepLines w:val="0"/>
              <w:pageBreakBefore w:val="0"/>
              <w:widowControl w:val="0"/>
              <w:kinsoku/>
              <w:wordWrap/>
              <w:overflowPunct/>
              <w:topLinePunct w:val="0"/>
              <w:autoSpaceDE w:val="0"/>
              <w:autoSpaceDN w:val="0"/>
              <w:bidi w:val="0"/>
              <w:adjustRightInd/>
              <w:snapToGrid/>
              <w:spacing w:line="440" w:lineRule="exact"/>
              <w:ind w:firstLine="2891" w:firstLineChars="1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说   明 </w:t>
            </w:r>
          </w:p>
        </w:tc>
      </w:tr>
      <w:tr w14:paraId="0978B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36" w:type="dxa"/>
            <w:noWrap w:val="0"/>
            <w:vAlign w:val="top"/>
          </w:tcPr>
          <w:p w14:paraId="50A0EC0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p>
        </w:tc>
        <w:tc>
          <w:tcPr>
            <w:tcW w:w="1471" w:type="dxa"/>
            <w:noWrap w:val="0"/>
            <w:vAlign w:val="top"/>
          </w:tcPr>
          <w:p w14:paraId="4E97D10D">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资格要求</w:t>
            </w:r>
          </w:p>
        </w:tc>
        <w:tc>
          <w:tcPr>
            <w:tcW w:w="7549" w:type="dxa"/>
            <w:noWrap w:val="0"/>
            <w:vAlign w:val="top"/>
          </w:tcPr>
          <w:p w14:paraId="10744612">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详见本项目</w:t>
            </w:r>
            <w:r>
              <w:rPr>
                <w:rFonts w:hint="eastAsia" w:ascii="宋体" w:hAnsi="宋体" w:eastAsia="宋体" w:cs="宋体"/>
                <w:color w:val="000000" w:themeColor="text1"/>
                <w:sz w:val="24"/>
                <w:szCs w:val="24"/>
                <w:highlight w:val="none"/>
                <w:lang w:eastAsia="zh-CN"/>
                <w14:textFill>
                  <w14:solidFill>
                    <w14:schemeClr w14:val="tx1"/>
                  </w14:solidFill>
                </w14:textFill>
              </w:rPr>
              <w:t>磋商文件</w:t>
            </w:r>
            <w:r>
              <w:rPr>
                <w:rFonts w:hint="eastAsia" w:ascii="宋体" w:hAnsi="宋体" w:eastAsia="宋体" w:cs="宋体"/>
                <w:color w:val="000000" w:themeColor="text1"/>
                <w:sz w:val="24"/>
                <w:szCs w:val="24"/>
                <w:highlight w:val="none"/>
                <w14:textFill>
                  <w14:solidFill>
                    <w14:schemeClr w14:val="tx1"/>
                  </w14:solidFill>
                </w14:textFill>
              </w:rPr>
              <w:t>第一部分</w:t>
            </w:r>
            <w:r>
              <w:rPr>
                <w:rFonts w:hint="eastAsia" w:cs="宋体"/>
                <w:color w:val="000000" w:themeColor="text1"/>
                <w:sz w:val="24"/>
                <w:szCs w:val="24"/>
                <w:highlight w:val="none"/>
                <w:lang w:val="en-US" w:eastAsia="zh-CN"/>
                <w14:textFill>
                  <w14:solidFill>
                    <w14:schemeClr w14:val="tx1"/>
                  </w14:solidFill>
                </w14:textFill>
              </w:rPr>
              <w:t>招标公告</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 xml:space="preserve">资格要求”。 </w:t>
            </w:r>
          </w:p>
        </w:tc>
      </w:tr>
      <w:tr w14:paraId="5DC95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14:paraId="4D6F21E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  </w:t>
            </w:r>
          </w:p>
        </w:tc>
        <w:tc>
          <w:tcPr>
            <w:tcW w:w="1471" w:type="dxa"/>
            <w:noWrap w:val="0"/>
            <w:vAlign w:val="top"/>
          </w:tcPr>
          <w:p w14:paraId="457341C7">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★完工期 </w:t>
            </w:r>
          </w:p>
        </w:tc>
        <w:tc>
          <w:tcPr>
            <w:tcW w:w="7549" w:type="dxa"/>
            <w:noWrap w:val="0"/>
            <w:vAlign w:val="top"/>
          </w:tcPr>
          <w:p w14:paraId="0C4CD0C6">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rPr>
              <w:t>合同签订生效后</w:t>
            </w:r>
            <w:r>
              <w:rPr>
                <w:rFonts w:hint="eastAsia" w:cs="宋体"/>
                <w:color w:val="auto"/>
                <w:sz w:val="24"/>
                <w:szCs w:val="24"/>
                <w:highlight w:val="none"/>
                <w:lang w:val="en-US" w:eastAsia="zh-CN"/>
              </w:rPr>
              <w:t>90日</w:t>
            </w:r>
            <w:r>
              <w:rPr>
                <w:rFonts w:hint="eastAsia" w:ascii="宋体" w:hAnsi="宋体" w:eastAsia="宋体" w:cs="宋体"/>
                <w:color w:val="auto"/>
                <w:sz w:val="24"/>
                <w:szCs w:val="24"/>
                <w:highlight w:val="none"/>
                <w:lang w:val="en-US" w:eastAsia="zh-CN"/>
              </w:rPr>
              <w:t>历</w:t>
            </w:r>
            <w:r>
              <w:rPr>
                <w:rFonts w:hint="eastAsia" w:cs="宋体"/>
                <w:color w:val="auto"/>
                <w:sz w:val="24"/>
                <w:szCs w:val="24"/>
                <w:highlight w:val="none"/>
                <w:lang w:val="en-US" w:eastAsia="zh-CN"/>
              </w:rPr>
              <w:t>天</w:t>
            </w:r>
            <w:r>
              <w:rPr>
                <w:rFonts w:hint="eastAsia" w:ascii="宋体" w:hAnsi="宋体" w:eastAsia="宋体" w:cs="宋体"/>
                <w:color w:val="auto"/>
                <w:sz w:val="24"/>
                <w:szCs w:val="24"/>
                <w:highlight w:val="none"/>
              </w:rPr>
              <w:t>内完成</w:t>
            </w:r>
            <w:r>
              <w:rPr>
                <w:rFonts w:hint="eastAsia" w:ascii="宋体" w:hAnsi="宋体" w:eastAsia="宋体" w:cs="宋体"/>
                <w:color w:val="auto"/>
                <w:sz w:val="24"/>
                <w:szCs w:val="24"/>
                <w:highlight w:val="none"/>
                <w:lang w:val="en-US" w:eastAsia="zh-CN"/>
              </w:rPr>
              <w:t>竣工验收</w:t>
            </w:r>
            <w:r>
              <w:rPr>
                <w:rFonts w:hint="eastAsia" w:ascii="宋体" w:hAnsi="宋体" w:eastAsia="宋体" w:cs="宋体"/>
                <w:color w:val="auto"/>
                <w:sz w:val="24"/>
                <w:szCs w:val="24"/>
                <w:highlight w:val="none"/>
              </w:rPr>
              <w:t xml:space="preserve">。 </w:t>
            </w:r>
          </w:p>
        </w:tc>
      </w:tr>
      <w:tr w14:paraId="6580E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836" w:type="dxa"/>
            <w:noWrap w:val="0"/>
            <w:vAlign w:val="top"/>
          </w:tcPr>
          <w:p w14:paraId="206C2EA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  </w:t>
            </w:r>
          </w:p>
        </w:tc>
        <w:tc>
          <w:tcPr>
            <w:tcW w:w="1471" w:type="dxa"/>
            <w:noWrap w:val="0"/>
            <w:vAlign w:val="top"/>
          </w:tcPr>
          <w:p w14:paraId="15D48332">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★质保期 </w:t>
            </w:r>
          </w:p>
        </w:tc>
        <w:tc>
          <w:tcPr>
            <w:tcW w:w="7549" w:type="dxa"/>
            <w:noWrap w:val="0"/>
            <w:vAlign w:val="top"/>
          </w:tcPr>
          <w:p w14:paraId="48846A2D">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eastAsia="宋体"/>
                <w:color w:val="000000" w:themeColor="text1"/>
                <w:sz w:val="24"/>
                <w:highlight w:val="none"/>
                <w:lang w:val="en-US" w:eastAsia="zh-CN"/>
                <w14:textFill>
                  <w14:solidFill>
                    <w14:schemeClr w14:val="tx1"/>
                  </w14:solidFill>
                </w14:textFill>
              </w:rPr>
              <w:t>符合国家规定</w:t>
            </w:r>
          </w:p>
        </w:tc>
      </w:tr>
      <w:tr w14:paraId="5601B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836" w:type="dxa"/>
            <w:noWrap w:val="0"/>
            <w:vAlign w:val="top"/>
          </w:tcPr>
          <w:p w14:paraId="44FDAD7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  </w:t>
            </w:r>
          </w:p>
        </w:tc>
        <w:tc>
          <w:tcPr>
            <w:tcW w:w="1471" w:type="dxa"/>
            <w:noWrap w:val="0"/>
            <w:vAlign w:val="top"/>
          </w:tcPr>
          <w:p w14:paraId="64F9687C">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施工地点 </w:t>
            </w:r>
          </w:p>
        </w:tc>
        <w:tc>
          <w:tcPr>
            <w:tcW w:w="7549" w:type="dxa"/>
            <w:noWrap w:val="0"/>
            <w:vAlign w:val="top"/>
          </w:tcPr>
          <w:p w14:paraId="0545D581">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采购人指定地点。 </w:t>
            </w:r>
          </w:p>
        </w:tc>
      </w:tr>
      <w:tr w14:paraId="6E5D9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36" w:type="dxa"/>
            <w:noWrap w:val="0"/>
            <w:vAlign w:val="top"/>
          </w:tcPr>
          <w:p w14:paraId="3477865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246C066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265FC22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005B17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A19B50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6909A4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2E4DD79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  </w:t>
            </w:r>
          </w:p>
        </w:tc>
        <w:tc>
          <w:tcPr>
            <w:tcW w:w="1471" w:type="dxa"/>
            <w:noWrap w:val="0"/>
            <w:vAlign w:val="top"/>
          </w:tcPr>
          <w:p w14:paraId="582142B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6943A9D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2AC9228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05DF684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21B74E6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69E67A2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0D5DCE4D">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报价要求 </w:t>
            </w:r>
          </w:p>
        </w:tc>
        <w:tc>
          <w:tcPr>
            <w:tcW w:w="7549" w:type="dxa"/>
            <w:noWrap w:val="0"/>
            <w:vAlign w:val="top"/>
          </w:tcPr>
          <w:p w14:paraId="7CD461F2">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1、本项目的报价和结算支付均以人民币为货币单位。 </w:t>
            </w:r>
          </w:p>
          <w:p w14:paraId="66E4381D">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2、供应商报价应包括设计、采购、运输、安装、相关部门验收及保修期内的维护保养等所有含税费用，以及供应商认为必要的其他货物、材料、工程、服务。</w:t>
            </w:r>
          </w:p>
          <w:p w14:paraId="46BA5AB9">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3、如出现任何遗漏内容需产生额外费用，均由成交供应商自行承担，采购人将不再另支付任何费用。 </w:t>
            </w:r>
          </w:p>
          <w:p w14:paraId="18AD7D42">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4、供应商的报价文件应包括单价和总价，总价是对采购的所有内容所计算的总价，为合同总价；其填报的明细单价则应是供应商对本采购项目所包含的具体的服务进行详细列示的计算单价。 </w:t>
            </w:r>
          </w:p>
          <w:p w14:paraId="6697E7E0">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5、供应商应被认为在填报报价之前，已经仔细阅读了本</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文件的所有有关章节以及审查了所有相关资料，已确保本次</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的所有</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范围内的各种价格风险均已包含在</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 xml:space="preserve">的报价内。 </w:t>
            </w:r>
          </w:p>
        </w:tc>
      </w:tr>
      <w:tr w14:paraId="36814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0" w:hRule="atLeast"/>
          <w:jc w:val="center"/>
        </w:trPr>
        <w:tc>
          <w:tcPr>
            <w:tcW w:w="836" w:type="dxa"/>
            <w:noWrap w:val="0"/>
            <w:vAlign w:val="top"/>
          </w:tcPr>
          <w:p w14:paraId="3487F25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2ED936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1640AAA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823E1E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426BD7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AF2D86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  </w:t>
            </w:r>
          </w:p>
        </w:tc>
        <w:tc>
          <w:tcPr>
            <w:tcW w:w="1471" w:type="dxa"/>
            <w:noWrap w:val="0"/>
            <w:vAlign w:val="top"/>
          </w:tcPr>
          <w:p w14:paraId="7189BBB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2CF0B71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44ED3FC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02EC8CE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4958ECF5">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质量要求和质量保修期 </w:t>
            </w:r>
          </w:p>
        </w:tc>
        <w:tc>
          <w:tcPr>
            <w:tcW w:w="7549" w:type="dxa"/>
            <w:noWrap w:val="0"/>
            <w:vAlign w:val="top"/>
          </w:tcPr>
          <w:p w14:paraId="6D93B0AD">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1、质量：符合国家有关施工质量验收标准的合格工程或合同约定。工程规范以现行的或承担具体施工任务期间国家和行业新颁布施行的规范、规程为准。</w:t>
            </w:r>
          </w:p>
          <w:p w14:paraId="176D1595">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2、材料、设备、施工须达到现行中华人民共和国以及省、自治区、直辖市或行业的工程建设标准、规范的要求及验收标准及有关规范为质量评定验收标准。 </w:t>
            </w:r>
          </w:p>
          <w:p w14:paraId="368F92BA">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3、质量保修期：</w:t>
            </w:r>
            <w:r>
              <w:rPr>
                <w:rFonts w:hint="eastAsia" w:ascii="宋体" w:hAnsi="宋体" w:eastAsia="宋体" w:cs="宋体"/>
                <w:color w:val="auto"/>
                <w:sz w:val="24"/>
                <w:szCs w:val="24"/>
                <w:highlight w:val="none"/>
                <w:lang w:val="en-US" w:eastAsia="zh-CN"/>
              </w:rPr>
              <w:t>按</w:t>
            </w:r>
            <w:r>
              <w:rPr>
                <w:rFonts w:hint="eastAsia" w:ascii="宋体" w:hAnsi="宋体" w:eastAsia="宋体" w:cs="宋体"/>
                <w:color w:val="auto"/>
                <w:sz w:val="24"/>
                <w:szCs w:val="24"/>
                <w:highlight w:val="none"/>
              </w:rPr>
              <w:t>国务院《建设工程质量管理条例》第四十</w:t>
            </w:r>
            <w:r>
              <w:rPr>
                <w:rFonts w:hint="eastAsia" w:ascii="宋体" w:hAnsi="宋体" w:eastAsia="宋体" w:cs="宋体"/>
                <w:color w:val="auto"/>
                <w:sz w:val="24"/>
                <w:szCs w:val="24"/>
                <w:highlight w:val="none"/>
                <w:lang w:val="en-US" w:eastAsia="zh-CN"/>
              </w:rPr>
              <w:t>条相关</w:t>
            </w:r>
            <w:r>
              <w:rPr>
                <w:rFonts w:hint="eastAsia" w:ascii="宋体" w:hAnsi="宋体" w:eastAsia="宋体" w:cs="宋体"/>
                <w:color w:val="auto"/>
                <w:sz w:val="24"/>
                <w:szCs w:val="24"/>
                <w:highlight w:val="none"/>
              </w:rPr>
              <w:t>规定</w:t>
            </w:r>
            <w:r>
              <w:rPr>
                <w:rFonts w:hint="eastAsia" w:ascii="宋体" w:hAnsi="宋体" w:eastAsia="宋体" w:cs="宋体"/>
                <w:color w:val="auto"/>
                <w:sz w:val="24"/>
                <w:szCs w:val="24"/>
                <w:highlight w:val="none"/>
                <w:lang w:val="en-US" w:eastAsia="zh-CN"/>
              </w:rPr>
              <w:t>执行。</w:t>
            </w:r>
          </w:p>
          <w:p w14:paraId="2CCC521A">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4、质量保修响应时间：属于保修范围的项目，应在接到采购人通知后的 24 小时内内派人保修。如未能在规定时间内派人保修的，采购人可自行或委托第三方保修，费用由成交供应商支付。发生紧急抢修事故的，成交供应商在接到通知后，应立即到达事故现场抢修。</w:t>
            </w:r>
          </w:p>
        </w:tc>
      </w:tr>
      <w:tr w14:paraId="4D990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jc w:val="center"/>
        </w:trPr>
        <w:tc>
          <w:tcPr>
            <w:tcW w:w="836" w:type="dxa"/>
            <w:noWrap w:val="0"/>
            <w:vAlign w:val="top"/>
          </w:tcPr>
          <w:p w14:paraId="6D3909C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A8DF6E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2D1AB46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  </w:t>
            </w:r>
          </w:p>
        </w:tc>
        <w:tc>
          <w:tcPr>
            <w:tcW w:w="1471" w:type="dxa"/>
            <w:noWrap w:val="0"/>
            <w:vAlign w:val="top"/>
          </w:tcPr>
          <w:p w14:paraId="7F8951B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612526A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24CA4E9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验收 </w:t>
            </w:r>
          </w:p>
        </w:tc>
        <w:tc>
          <w:tcPr>
            <w:tcW w:w="7549" w:type="dxa"/>
            <w:noWrap w:val="0"/>
            <w:vAlign w:val="top"/>
          </w:tcPr>
          <w:p w14:paraId="5D73F038">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1、采购人在收到成交供应商提交的竣工报告后组织验收，并在验收后 14 天内予以认可或提出修改意见。验收不合格，成交供应商应按要求修改后再次提请采购人验收，并承担因自身原因造成修改的费用。 </w:t>
            </w:r>
          </w:p>
          <w:p w14:paraId="6FC06388">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2、采购人在收到成交供应商提交的竣工报告后不组织验收，或验收后不提出修改意见，视为竣工报告已被认可。 </w:t>
            </w:r>
          </w:p>
          <w:p w14:paraId="22342E49">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3、验收时如发现所交付的设备有短装、次品、损坏或其它不符合竞价文件规定之情形者，采购人应做出</w:t>
            </w:r>
            <w:bookmarkStart w:id="534" w:name="_GoBack"/>
            <w:bookmarkEnd w:id="534"/>
            <w:r>
              <w:rPr>
                <w:rFonts w:hint="eastAsia" w:ascii="宋体" w:hAnsi="宋体" w:eastAsia="宋体" w:cs="宋体"/>
                <w:color w:val="auto"/>
                <w:sz w:val="24"/>
                <w:szCs w:val="24"/>
                <w:highlight w:val="none"/>
              </w:rPr>
              <w:t xml:space="preserve">详尽的现场记录，或由用户和成交供应商双方签署备忘录。此现场记录或备忘录可用作补充、缺失和更换损坏部件的有效证据。由此产生的有关费用由成交供应商承担。 </w:t>
            </w:r>
          </w:p>
          <w:p w14:paraId="607B9113">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4、竣工报告被认可，则表明已完成合同工程，并视为通过竣工验收，采购人应向成交供应商颁发工程竣工验收证书。 </w:t>
            </w:r>
          </w:p>
        </w:tc>
      </w:tr>
      <w:tr w14:paraId="74DD8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36" w:type="dxa"/>
            <w:noWrap w:val="0"/>
            <w:vAlign w:val="top"/>
          </w:tcPr>
          <w:p w14:paraId="351A0545">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8</w:t>
            </w:r>
          </w:p>
        </w:tc>
        <w:tc>
          <w:tcPr>
            <w:tcW w:w="1471" w:type="dxa"/>
            <w:noWrap w:val="0"/>
            <w:vAlign w:val="top"/>
          </w:tcPr>
          <w:p w14:paraId="55F36840">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付款方式</w:t>
            </w:r>
          </w:p>
        </w:tc>
        <w:tc>
          <w:tcPr>
            <w:tcW w:w="7549" w:type="dxa"/>
            <w:noWrap w:val="0"/>
            <w:vAlign w:val="top"/>
          </w:tcPr>
          <w:p w14:paraId="0057D07C">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kern w:val="0"/>
                <w:sz w:val="24"/>
                <w:szCs w:val="24"/>
                <w:highlight w:val="none"/>
                <w:lang w:val="en-US" w:eastAsia="zh-CN"/>
              </w:rPr>
              <w:t>施工合同签订开工后首次按合同价30%的支付预付款。施工过程中根据施工进度支付工程进度款，审计结算后支付至审计结算价的97%。预留3%作为质量保证金(责任缺陷期一年，接受担保机构的保函、保险机构的保单等其他非现金交易担保方式)，责任缺陷期满项目承包方提请返还保证金申请，经双方验收无误并签署一致意见后一次性结清。</w:t>
            </w:r>
          </w:p>
        </w:tc>
      </w:tr>
      <w:tr w14:paraId="79E0E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836" w:type="dxa"/>
            <w:noWrap w:val="0"/>
            <w:vAlign w:val="top"/>
          </w:tcPr>
          <w:p w14:paraId="235B64F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F6290D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2CE32A0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DDE765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C9E7F3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 xml:space="preserve">9  </w:t>
            </w:r>
          </w:p>
        </w:tc>
        <w:tc>
          <w:tcPr>
            <w:tcW w:w="1471" w:type="dxa"/>
            <w:noWrap w:val="0"/>
            <w:vAlign w:val="top"/>
          </w:tcPr>
          <w:p w14:paraId="335B312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3DA0C0C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37838BB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52C437D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67F80428">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 xml:space="preserve">项目要求 </w:t>
            </w:r>
          </w:p>
        </w:tc>
        <w:tc>
          <w:tcPr>
            <w:tcW w:w="7549" w:type="dxa"/>
            <w:noWrap w:val="0"/>
            <w:vAlign w:val="top"/>
          </w:tcPr>
          <w:p w14:paraId="762CDA8E">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1、成交人必须遵照采购人的管理及安排，按采购人的内容、质量、时间要求制作,所有的服务必须达到采购人的要求。 </w:t>
            </w:r>
          </w:p>
          <w:p w14:paraId="23B5784C">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2、项目建设工作完成后应按要求及时清理现场工作。 </w:t>
            </w:r>
          </w:p>
          <w:p w14:paraId="70A07424">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3、★成交供应商必须在施工过程中注意自身及周边安全，负责施工过程中的所有事故处理和费用。 </w:t>
            </w:r>
          </w:p>
          <w:p w14:paraId="1B2ED42A">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4、为便于与采购人就活动细节等方面进行适时沟通联系、及时处理和反馈,并使项目按质、按量、按时、有序实施，成交人应保证有固定专人负责联络工作。本项目必须有一个完善且固定的策划和组织管理团队，供应商须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 xml:space="preserve">中详细列出参与本项目的人员名单。 </w:t>
            </w:r>
          </w:p>
        </w:tc>
      </w:tr>
      <w:tr w14:paraId="1C32D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2" w:hRule="atLeast"/>
          <w:jc w:val="center"/>
        </w:trPr>
        <w:tc>
          <w:tcPr>
            <w:tcW w:w="836" w:type="dxa"/>
            <w:noWrap w:val="0"/>
            <w:vAlign w:val="top"/>
          </w:tcPr>
          <w:p w14:paraId="09A5DA6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17E2D7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CF0E66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 xml:space="preserve">10.  </w:t>
            </w:r>
          </w:p>
        </w:tc>
        <w:tc>
          <w:tcPr>
            <w:tcW w:w="1471" w:type="dxa"/>
            <w:noWrap w:val="0"/>
            <w:vAlign w:val="top"/>
          </w:tcPr>
          <w:p w14:paraId="550304C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541FFF4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p>
          <w:p w14:paraId="364BD970">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 xml:space="preserve">其它要求 </w:t>
            </w:r>
          </w:p>
        </w:tc>
        <w:tc>
          <w:tcPr>
            <w:tcW w:w="7549" w:type="dxa"/>
            <w:noWrap w:val="0"/>
            <w:vAlign w:val="top"/>
          </w:tcPr>
          <w:p w14:paraId="21E4A9BC">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1、成交供应商施工前后，需负责原有地面拆旧，杂物清理及外运； </w:t>
            </w:r>
          </w:p>
          <w:p w14:paraId="3D01BA83">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2、成交供应商需严格按照采购人需求及设计效果图保质保量施工，不得偷工减料； </w:t>
            </w:r>
          </w:p>
          <w:p w14:paraId="32C0C8E5">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 xml:space="preserve">3、施工中使用的原材料必须为原厂全新材料，不得翻旧利旧，保证设计效果质量。 </w:t>
            </w:r>
          </w:p>
        </w:tc>
      </w:tr>
    </w:tbl>
    <w:p w14:paraId="2431248F">
      <w:pPr>
        <w:tabs>
          <w:tab w:val="left" w:pos="562"/>
        </w:tabs>
        <w:bidi w:val="0"/>
        <w:jc w:val="left"/>
        <w:rPr>
          <w:rFonts w:hint="eastAsia"/>
          <w:color w:val="auto"/>
          <w:highlight w:val="none"/>
          <w:lang w:val="zh-CN" w:eastAsia="zh-CN"/>
        </w:rPr>
        <w:sectPr>
          <w:footerReference r:id="rId14" w:type="default"/>
          <w:pgSz w:w="11910" w:h="16840"/>
          <w:pgMar w:top="1984" w:right="1531" w:bottom="2098" w:left="1531" w:header="670" w:footer="1041" w:gutter="0"/>
          <w:pgNumType w:fmt="decimal"/>
          <w:cols w:space="720" w:num="1"/>
          <w:rtlGutter w:val="0"/>
          <w:docGrid w:linePitch="1" w:charSpace="0"/>
        </w:sectPr>
      </w:pPr>
    </w:p>
    <w:p w14:paraId="42BE51B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II  技术要求 </w:t>
      </w:r>
    </w:p>
    <w:p w14:paraId="31853F2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1095FD8">
      <w:pPr>
        <w:keepNext w:val="0"/>
        <w:keepLines w:val="0"/>
        <w:pageBreakBefore w:val="0"/>
        <w:widowControl w:val="0"/>
        <w:numPr>
          <w:ilvl w:val="0"/>
          <w:numId w:val="6"/>
        </w:numPr>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工程量清单 </w:t>
      </w:r>
    </w:p>
    <w:p w14:paraId="0AA44945">
      <w:pPr>
        <w:pStyle w:val="16"/>
        <w:numPr>
          <w:ilvl w:val="0"/>
          <w:numId w:val="0"/>
        </w:numPr>
        <w:ind w:right="0" w:rightChars="0"/>
        <w:rPr>
          <w:rFonts w:hint="eastAsia"/>
          <w:color w:val="auto"/>
          <w:highlight w:val="none"/>
        </w:rPr>
      </w:pPr>
    </w:p>
    <w:p w14:paraId="03930D38">
      <w:pPr>
        <w:pStyle w:val="4"/>
        <w:spacing w:line="360" w:lineRule="exact"/>
        <w:ind w:left="0" w:leftChars="0" w:firstLine="0" w:firstLineChars="0"/>
        <w:rPr>
          <w:rFonts w:hint="eastAsia"/>
          <w:color w:val="auto"/>
          <w:sz w:val="24"/>
          <w:szCs w:val="24"/>
          <w:highlight w:val="none"/>
        </w:rPr>
      </w:pPr>
      <w:bookmarkStart w:id="15" w:name="_Toc152045773"/>
      <w:bookmarkStart w:id="16" w:name="_Toc247085856"/>
      <w:bookmarkStart w:id="17" w:name="_Toc179632790"/>
      <w:bookmarkStart w:id="18" w:name="_Toc144974835"/>
      <w:bookmarkStart w:id="19" w:name="_Toc418164814"/>
      <w:bookmarkStart w:id="20" w:name="_Toc246996341"/>
      <w:bookmarkStart w:id="21" w:name="_Toc495501809"/>
      <w:bookmarkStart w:id="22" w:name="_Toc152042555"/>
      <w:bookmarkStart w:id="23" w:name="_Toc246997084"/>
      <w:r>
        <w:rPr>
          <w:rFonts w:hint="eastAsia"/>
          <w:color w:val="auto"/>
          <w:sz w:val="24"/>
          <w:szCs w:val="24"/>
          <w:highlight w:val="none"/>
        </w:rPr>
        <w:t>1. 工程量清单说明</w:t>
      </w:r>
      <w:bookmarkEnd w:id="15"/>
      <w:bookmarkEnd w:id="16"/>
      <w:bookmarkEnd w:id="17"/>
      <w:bookmarkEnd w:id="18"/>
      <w:bookmarkEnd w:id="19"/>
      <w:bookmarkEnd w:id="20"/>
      <w:bookmarkEnd w:id="21"/>
      <w:bookmarkEnd w:id="22"/>
      <w:bookmarkEnd w:id="23"/>
    </w:p>
    <w:p w14:paraId="473A9996">
      <w:pPr>
        <w:spacing w:line="360" w:lineRule="exact"/>
        <w:rPr>
          <w:rFonts w:hint="eastAsia"/>
          <w:color w:val="auto"/>
          <w:highlight w:val="none"/>
        </w:rPr>
      </w:pPr>
      <w:r>
        <w:rPr>
          <w:rFonts w:hint="eastAsia"/>
          <w:color w:val="auto"/>
          <w:highlight w:val="none"/>
        </w:rPr>
        <w:t>1.1 本工程量清单是根据</w:t>
      </w:r>
      <w:r>
        <w:rPr>
          <w:rFonts w:hint="eastAsia"/>
          <w:color w:val="auto"/>
          <w:highlight w:val="none"/>
          <w:lang w:eastAsia="zh-CN"/>
        </w:rPr>
        <w:t>谈判文件</w:t>
      </w:r>
      <w:r>
        <w:rPr>
          <w:rFonts w:hint="eastAsia"/>
          <w:color w:val="auto"/>
          <w:highlight w:val="none"/>
        </w:rPr>
        <w:t>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57677849">
      <w:pPr>
        <w:spacing w:line="360" w:lineRule="exact"/>
        <w:rPr>
          <w:rFonts w:hint="eastAsia"/>
          <w:color w:val="auto"/>
          <w:highlight w:val="none"/>
        </w:rPr>
      </w:pPr>
      <w:r>
        <w:rPr>
          <w:rFonts w:hint="eastAsia"/>
          <w:color w:val="auto"/>
          <w:highlight w:val="none"/>
        </w:rPr>
        <w:t>1.2 本工程量清单应与</w:t>
      </w:r>
      <w:r>
        <w:rPr>
          <w:rFonts w:hint="eastAsia"/>
          <w:color w:val="auto"/>
          <w:highlight w:val="none"/>
          <w:lang w:eastAsia="zh-CN"/>
        </w:rPr>
        <w:t>谈判文件</w:t>
      </w:r>
      <w:r>
        <w:rPr>
          <w:rFonts w:hint="eastAsia"/>
          <w:color w:val="auto"/>
          <w:highlight w:val="none"/>
        </w:rPr>
        <w:t>中的</w:t>
      </w:r>
      <w:r>
        <w:rPr>
          <w:rFonts w:hint="eastAsia"/>
          <w:color w:val="auto"/>
          <w:highlight w:val="none"/>
          <w:lang w:eastAsia="zh-CN"/>
        </w:rPr>
        <w:t>供应商</w:t>
      </w:r>
      <w:r>
        <w:rPr>
          <w:rFonts w:hint="eastAsia"/>
          <w:color w:val="auto"/>
          <w:highlight w:val="none"/>
        </w:rPr>
        <w:t>须知、通用合同条款、专用合同条款、技术标准和要求及图纸等一起阅读和理解。</w:t>
      </w:r>
    </w:p>
    <w:p w14:paraId="7191C17A">
      <w:pPr>
        <w:spacing w:line="360" w:lineRule="exact"/>
        <w:rPr>
          <w:rFonts w:hint="eastAsia"/>
          <w:color w:val="auto"/>
          <w:highlight w:val="none"/>
        </w:rPr>
      </w:pPr>
      <w:r>
        <w:rPr>
          <w:rFonts w:hint="eastAsia"/>
          <w:color w:val="auto"/>
          <w:highlight w:val="none"/>
        </w:rPr>
        <w:t>1.3 本工程量清单仅是投标报价的共同基础，实际工程计量和工程价款的支付应遵循合同条款的约定和第七章“技术标准和要求”的有关规定。</w:t>
      </w:r>
    </w:p>
    <w:p w14:paraId="7DC272F1">
      <w:pPr>
        <w:spacing w:line="360" w:lineRule="exact"/>
        <w:rPr>
          <w:rFonts w:hint="eastAsia"/>
          <w:color w:val="auto"/>
          <w:highlight w:val="none"/>
        </w:rPr>
      </w:pPr>
      <w:r>
        <w:rPr>
          <w:rFonts w:hint="eastAsia"/>
          <w:color w:val="auto"/>
          <w:highlight w:val="none"/>
        </w:rPr>
        <w:t>1.4 补充子目工程量计算规则及子目工作内容说明：</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rFonts w:hint="eastAsia"/>
          <w:color w:val="auto"/>
          <w:highlight w:val="none"/>
        </w:rPr>
        <w:t>。</w:t>
      </w:r>
    </w:p>
    <w:p w14:paraId="73217800">
      <w:pPr>
        <w:pStyle w:val="4"/>
        <w:spacing w:line="360" w:lineRule="exact"/>
        <w:ind w:left="0" w:leftChars="0" w:firstLine="0" w:firstLineChars="0"/>
        <w:rPr>
          <w:rFonts w:hint="eastAsia"/>
          <w:color w:val="auto"/>
          <w:sz w:val="24"/>
          <w:szCs w:val="24"/>
          <w:highlight w:val="none"/>
        </w:rPr>
      </w:pPr>
      <w:bookmarkStart w:id="24" w:name="_Toc495501810"/>
      <w:bookmarkStart w:id="25" w:name="_Toc152042556"/>
      <w:bookmarkStart w:id="26" w:name="_Toc246997085"/>
      <w:bookmarkStart w:id="27" w:name="_Toc247085857"/>
      <w:bookmarkStart w:id="28" w:name="_Toc179632791"/>
      <w:bookmarkStart w:id="29" w:name="_Toc418164815"/>
      <w:bookmarkStart w:id="30" w:name="_Toc152045774"/>
      <w:bookmarkStart w:id="31" w:name="_Toc246996342"/>
      <w:bookmarkStart w:id="32" w:name="_Toc144974836"/>
      <w:r>
        <w:rPr>
          <w:rFonts w:hint="eastAsia"/>
          <w:color w:val="auto"/>
          <w:sz w:val="24"/>
          <w:szCs w:val="24"/>
          <w:highlight w:val="none"/>
        </w:rPr>
        <w:t>2. 投标报价说明</w:t>
      </w:r>
      <w:bookmarkEnd w:id="24"/>
      <w:bookmarkEnd w:id="25"/>
      <w:bookmarkEnd w:id="26"/>
      <w:bookmarkEnd w:id="27"/>
      <w:bookmarkEnd w:id="28"/>
      <w:bookmarkEnd w:id="29"/>
      <w:bookmarkEnd w:id="30"/>
      <w:bookmarkEnd w:id="31"/>
      <w:bookmarkEnd w:id="32"/>
    </w:p>
    <w:p w14:paraId="4731003C">
      <w:pPr>
        <w:spacing w:line="360" w:lineRule="exact"/>
        <w:rPr>
          <w:rFonts w:hint="eastAsia"/>
          <w:color w:val="auto"/>
          <w:highlight w:val="none"/>
        </w:rPr>
      </w:pPr>
      <w:bookmarkStart w:id="33" w:name="_Toc152045776"/>
      <w:bookmarkStart w:id="34" w:name="_Toc152045775"/>
      <w:bookmarkStart w:id="35" w:name="_Toc152042558"/>
      <w:bookmarkStart w:id="36" w:name="_Toc152042557"/>
      <w:bookmarkStart w:id="37" w:name="_Toc144974837"/>
      <w:bookmarkStart w:id="38" w:name="_Toc179632793"/>
      <w:bookmarkStart w:id="39" w:name="_Toc144974838"/>
      <w:bookmarkStart w:id="40" w:name="_Toc246996344"/>
      <w:bookmarkStart w:id="41" w:name="_Toc246997087"/>
      <w:bookmarkStart w:id="42" w:name="_Toc247085859"/>
      <w:r>
        <w:rPr>
          <w:rFonts w:hint="eastAsia"/>
          <w:color w:val="auto"/>
          <w:highlight w:val="none"/>
        </w:rPr>
        <w:t>2.1</w:t>
      </w:r>
      <w:r>
        <w:rPr>
          <w:rFonts w:hint="eastAsia"/>
          <w:color w:val="auto"/>
          <w:highlight w:val="none"/>
          <w:lang w:val="en-US" w:eastAsia="zh-CN"/>
        </w:rPr>
        <w:t xml:space="preserve"> </w:t>
      </w:r>
      <w:r>
        <w:rPr>
          <w:rFonts w:hint="eastAsia"/>
          <w:color w:val="auto"/>
          <w:highlight w:val="none"/>
        </w:rPr>
        <w:t>投标报价应根据</w:t>
      </w:r>
      <w:r>
        <w:rPr>
          <w:rFonts w:hint="eastAsia"/>
          <w:color w:val="auto"/>
          <w:highlight w:val="none"/>
          <w:lang w:eastAsia="zh-CN"/>
        </w:rPr>
        <w:t>谈判文件</w:t>
      </w:r>
      <w:r>
        <w:rPr>
          <w:rFonts w:hint="eastAsia"/>
          <w:color w:val="auto"/>
          <w:highlight w:val="none"/>
        </w:rPr>
        <w:t>中的有关计价要求，并按照下列依据自主报价（另附）</w:t>
      </w:r>
    </w:p>
    <w:p w14:paraId="0699BB24">
      <w:pPr>
        <w:spacing w:line="360" w:lineRule="exact"/>
        <w:rPr>
          <w:rFonts w:hint="eastAsia"/>
          <w:color w:val="auto"/>
          <w:highlight w:val="none"/>
        </w:rPr>
      </w:pPr>
      <w:r>
        <w:rPr>
          <w:rFonts w:hint="eastAsia"/>
          <w:color w:val="auto"/>
          <w:highlight w:val="none"/>
        </w:rPr>
        <w:t>2.2 工程量清单中的每一子目须填入单价或价格，且只允许有一个报价。工程量清单中</w:t>
      </w:r>
      <w:r>
        <w:rPr>
          <w:rFonts w:hint="eastAsia"/>
          <w:color w:val="auto"/>
          <w:highlight w:val="none"/>
          <w:lang w:eastAsia="zh-CN"/>
        </w:rPr>
        <w:t>供应商</w:t>
      </w:r>
      <w:r>
        <w:rPr>
          <w:rFonts w:hint="eastAsia"/>
          <w:color w:val="auto"/>
          <w:highlight w:val="none"/>
        </w:rPr>
        <w:t>没有填入单价或价格的子目，其费用视为已分摊在工程量清单中其他相关子目的单价或价格之中。</w:t>
      </w:r>
    </w:p>
    <w:p w14:paraId="5557403F">
      <w:pPr>
        <w:spacing w:line="360" w:lineRule="exact"/>
        <w:rPr>
          <w:rFonts w:hint="eastAsia"/>
          <w:color w:val="auto"/>
          <w:highlight w:val="none"/>
        </w:rPr>
      </w:pPr>
      <w:r>
        <w:rPr>
          <w:rFonts w:hint="eastAsia"/>
          <w:color w:val="auto"/>
          <w:highlight w:val="none"/>
        </w:rPr>
        <w:t>2.3 工程量清单中标价的单价或金额，应包括所需的人工费、材料和施工机具使用费和企业管理费、利润以及一定范围内的风险费用等。</w:t>
      </w:r>
    </w:p>
    <w:p w14:paraId="132A8982">
      <w:pPr>
        <w:spacing w:line="360" w:lineRule="exact"/>
        <w:rPr>
          <w:rFonts w:hint="eastAsia"/>
          <w:color w:val="auto"/>
          <w:highlight w:val="none"/>
        </w:rPr>
      </w:pPr>
      <w:r>
        <w:rPr>
          <w:rFonts w:hint="eastAsia"/>
          <w:color w:val="auto"/>
          <w:highlight w:val="none"/>
        </w:rPr>
        <w:t>2.4</w:t>
      </w:r>
      <w:r>
        <w:rPr>
          <w:rFonts w:hint="eastAsia"/>
          <w:color w:val="auto"/>
          <w:highlight w:val="none"/>
          <w:lang w:val="en-US" w:eastAsia="zh-CN"/>
        </w:rPr>
        <w:t xml:space="preserve"> </w:t>
      </w:r>
      <w:r>
        <w:rPr>
          <w:rFonts w:hint="eastAsia"/>
          <w:color w:val="auto"/>
          <w:highlight w:val="none"/>
        </w:rPr>
        <w:t>投标总报价为</w:t>
      </w:r>
      <w:r>
        <w:rPr>
          <w:rFonts w:hint="eastAsia"/>
          <w:color w:val="auto"/>
          <w:highlight w:val="none"/>
          <w:lang w:eastAsia="zh-CN"/>
        </w:rPr>
        <w:t>供应商</w:t>
      </w:r>
      <w:r>
        <w:rPr>
          <w:rFonts w:hint="eastAsia"/>
          <w:color w:val="auto"/>
          <w:highlight w:val="none"/>
        </w:rPr>
        <w:t>完成招标范围所述的全部工程内容的体现和完成该工程项目的成本、管理费、技术措施费、利润、风险费及政策性文件规定的不可竞争费用、规费和税金等所有费用，以及所有根据合同或其它原因由</w:t>
      </w:r>
      <w:r>
        <w:rPr>
          <w:rFonts w:hint="eastAsia"/>
          <w:color w:val="auto"/>
          <w:highlight w:val="none"/>
          <w:lang w:eastAsia="zh-CN"/>
        </w:rPr>
        <w:t>供应商</w:t>
      </w:r>
      <w:r>
        <w:rPr>
          <w:rFonts w:hint="eastAsia"/>
          <w:color w:val="auto"/>
          <w:highlight w:val="none"/>
        </w:rPr>
        <w:t>支付的税金和其它应缴纳的费用。</w:t>
      </w:r>
    </w:p>
    <w:p w14:paraId="0448E806">
      <w:pPr>
        <w:spacing w:line="360" w:lineRule="exact"/>
        <w:rPr>
          <w:rFonts w:hint="eastAsia"/>
          <w:color w:val="auto"/>
          <w:highlight w:val="none"/>
        </w:rPr>
      </w:pPr>
      <w:r>
        <w:rPr>
          <w:rFonts w:hint="eastAsia"/>
          <w:color w:val="auto"/>
          <w:highlight w:val="none"/>
        </w:rPr>
        <w:t xml:space="preserve">2.5 </w:t>
      </w:r>
      <w:r>
        <w:rPr>
          <w:rFonts w:hint="eastAsia"/>
          <w:color w:val="auto"/>
          <w:highlight w:val="none"/>
          <w:lang w:val="en-US" w:eastAsia="zh-CN"/>
        </w:rPr>
        <w:t xml:space="preserve"> </w:t>
      </w:r>
      <w:r>
        <w:rPr>
          <w:rFonts w:hint="eastAsia"/>
          <w:color w:val="auto"/>
          <w:highlight w:val="none"/>
        </w:rPr>
        <w:t>暂列金额的数量及拟用子目的说明：（另附）</w:t>
      </w:r>
    </w:p>
    <w:p w14:paraId="066F273E">
      <w:pPr>
        <w:pStyle w:val="4"/>
        <w:spacing w:line="360" w:lineRule="exact"/>
        <w:ind w:left="0" w:leftChars="0" w:firstLine="0" w:firstLineChars="0"/>
        <w:rPr>
          <w:rFonts w:hint="eastAsia"/>
          <w:color w:val="auto"/>
          <w:sz w:val="24"/>
          <w:szCs w:val="24"/>
          <w:highlight w:val="none"/>
        </w:rPr>
      </w:pPr>
      <w:bookmarkStart w:id="43" w:name="_Toc179632792"/>
      <w:bookmarkStart w:id="44" w:name="_Toc246996343"/>
      <w:bookmarkStart w:id="45" w:name="_Toc247085858"/>
      <w:bookmarkStart w:id="46" w:name="_Toc246997086"/>
      <w:bookmarkStart w:id="47" w:name="_Toc418164816"/>
      <w:bookmarkStart w:id="48" w:name="_Toc411795051"/>
      <w:bookmarkStart w:id="49" w:name="_Toc495501811"/>
      <w:r>
        <w:rPr>
          <w:rFonts w:hint="eastAsia"/>
          <w:color w:val="auto"/>
          <w:sz w:val="24"/>
          <w:szCs w:val="24"/>
          <w:highlight w:val="none"/>
        </w:rPr>
        <w:t>3. 其他说明</w:t>
      </w:r>
      <w:bookmarkEnd w:id="43"/>
      <w:bookmarkEnd w:id="44"/>
      <w:bookmarkEnd w:id="45"/>
      <w:bookmarkEnd w:id="46"/>
      <w:bookmarkEnd w:id="47"/>
      <w:bookmarkEnd w:id="48"/>
      <w:bookmarkEnd w:id="49"/>
    </w:p>
    <w:p w14:paraId="29BFFACB">
      <w:pPr>
        <w:pStyle w:val="4"/>
        <w:spacing w:line="360" w:lineRule="exact"/>
        <w:ind w:left="0" w:leftChars="0" w:firstLine="0" w:firstLineChars="0"/>
        <w:rPr>
          <w:rFonts w:hint="eastAsia"/>
          <w:color w:val="auto"/>
          <w:sz w:val="24"/>
          <w:szCs w:val="24"/>
          <w:highlight w:val="none"/>
        </w:rPr>
      </w:pPr>
    </w:p>
    <w:p w14:paraId="5E1FF02E">
      <w:pPr>
        <w:pStyle w:val="4"/>
        <w:spacing w:line="360" w:lineRule="exact"/>
        <w:ind w:left="0" w:leftChars="0" w:firstLine="0" w:firstLineChars="0"/>
        <w:rPr>
          <w:rFonts w:hint="eastAsia"/>
          <w:color w:val="auto"/>
          <w:sz w:val="24"/>
          <w:szCs w:val="24"/>
          <w:highlight w:val="none"/>
        </w:rPr>
      </w:pPr>
      <w:bookmarkStart w:id="50" w:name="_Toc418164817"/>
      <w:bookmarkStart w:id="51" w:name="_Toc495501812"/>
      <w:r>
        <w:rPr>
          <w:rFonts w:hint="eastAsia"/>
          <w:color w:val="auto"/>
          <w:sz w:val="24"/>
          <w:szCs w:val="24"/>
          <w:highlight w:val="none"/>
        </w:rPr>
        <w:t>4. 工程量清单</w:t>
      </w:r>
      <w:bookmarkEnd w:id="33"/>
      <w:bookmarkEnd w:id="34"/>
      <w:bookmarkEnd w:id="35"/>
      <w:bookmarkEnd w:id="36"/>
      <w:bookmarkEnd w:id="37"/>
      <w:bookmarkEnd w:id="38"/>
      <w:bookmarkEnd w:id="39"/>
      <w:bookmarkEnd w:id="40"/>
      <w:bookmarkEnd w:id="41"/>
      <w:bookmarkEnd w:id="42"/>
      <w:bookmarkEnd w:id="50"/>
      <w:r>
        <w:rPr>
          <w:rFonts w:hint="eastAsia"/>
          <w:color w:val="auto"/>
          <w:sz w:val="24"/>
          <w:szCs w:val="24"/>
          <w:highlight w:val="none"/>
        </w:rPr>
        <w:t xml:space="preserve"> （另附）</w:t>
      </w:r>
      <w:bookmarkEnd w:id="51"/>
    </w:p>
    <w:p w14:paraId="17BD272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24209B1">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二、图纸（</w:t>
      </w:r>
      <w:r>
        <w:rPr>
          <w:rFonts w:hint="eastAsia" w:cs="宋体"/>
          <w:b/>
          <w:bCs/>
          <w:color w:val="auto"/>
          <w:sz w:val="24"/>
          <w:szCs w:val="24"/>
          <w:highlight w:val="none"/>
          <w:lang w:val="en-US" w:eastAsia="zh-CN"/>
        </w:rPr>
        <w:t>如有，</w:t>
      </w:r>
      <w:r>
        <w:rPr>
          <w:rFonts w:hint="eastAsia" w:ascii="宋体" w:hAnsi="宋体" w:eastAsia="宋体" w:cs="宋体"/>
          <w:b/>
          <w:bCs/>
          <w:color w:val="auto"/>
          <w:sz w:val="24"/>
          <w:szCs w:val="24"/>
          <w:highlight w:val="none"/>
        </w:rPr>
        <w:t>另附）</w:t>
      </w:r>
    </w:p>
    <w:p w14:paraId="6B43B73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sectPr>
          <w:headerReference r:id="rId15" w:type="default"/>
          <w:pgSz w:w="11910" w:h="16840"/>
          <w:pgMar w:top="1984" w:right="1531" w:bottom="2098" w:left="1531" w:header="670" w:footer="1041" w:gutter="0"/>
          <w:pgNumType w:fmt="decimal"/>
          <w:cols w:space="720" w:num="1"/>
          <w:rtlGutter w:val="0"/>
          <w:docGrid w:linePitch="1" w:charSpace="0"/>
        </w:sectPr>
      </w:pPr>
    </w:p>
    <w:p w14:paraId="08DE5039">
      <w:pPr>
        <w:keepNext w:val="0"/>
        <w:keepLines w:val="0"/>
        <w:pageBreakBefore w:val="0"/>
        <w:widowControl w:val="0"/>
        <w:numPr>
          <w:ilvl w:val="0"/>
          <w:numId w:val="7"/>
        </w:numPr>
        <w:kinsoku/>
        <w:wordWrap/>
        <w:overflowPunct/>
        <w:topLinePunct w:val="0"/>
        <w:autoSpaceDE w:val="0"/>
        <w:autoSpaceDN w:val="0"/>
        <w:bidi w:val="0"/>
        <w:adjustRightInd/>
        <w:snapToGrid/>
        <w:spacing w:line="440" w:lineRule="exact"/>
        <w:ind w:firstLine="640" w:firstLineChars="200"/>
        <w:jc w:val="center"/>
        <w:textAlignment w:val="auto"/>
        <w:rPr>
          <w:rFonts w:hint="eastAsia" w:ascii="微软雅黑" w:hAnsi="微软雅黑" w:eastAsia="微软雅黑" w:cs="微软雅黑"/>
          <w:b/>
          <w:bCs/>
          <w:color w:val="auto"/>
          <w:sz w:val="32"/>
          <w:szCs w:val="32"/>
          <w:highlight w:val="none"/>
        </w:rPr>
      </w:pPr>
      <w:bookmarkStart w:id="52" w:name="_Toc2627_WPSOffice_Level1"/>
      <w:r>
        <w:rPr>
          <w:rFonts w:hint="eastAsia" w:ascii="微软雅黑" w:hAnsi="微软雅黑" w:eastAsia="微软雅黑" w:cs="微软雅黑"/>
          <w:b/>
          <w:bCs/>
          <w:color w:val="auto"/>
          <w:sz w:val="32"/>
          <w:szCs w:val="32"/>
          <w:highlight w:val="none"/>
        </w:rPr>
        <w:t>合同格式</w:t>
      </w:r>
      <w:bookmarkEnd w:id="52"/>
      <w:r>
        <w:rPr>
          <w:rFonts w:hint="eastAsia" w:ascii="微软雅黑" w:hAnsi="微软雅黑" w:eastAsia="微软雅黑" w:cs="微软雅黑"/>
          <w:b/>
          <w:bCs/>
          <w:color w:val="auto"/>
          <w:sz w:val="32"/>
          <w:szCs w:val="32"/>
          <w:highlight w:val="none"/>
        </w:rPr>
        <w:t xml:space="preserve"> </w:t>
      </w:r>
    </w:p>
    <w:p w14:paraId="2BAFEE61">
      <w:pPr>
        <w:pStyle w:val="16"/>
        <w:rPr>
          <w:rFonts w:hint="eastAsia"/>
          <w:color w:val="auto"/>
          <w:highlight w:val="none"/>
        </w:rPr>
      </w:pPr>
    </w:p>
    <w:p w14:paraId="6467CE77">
      <w:pPr>
        <w:pStyle w:val="9"/>
        <w:numPr>
          <w:ilvl w:val="0"/>
          <w:numId w:val="0"/>
        </w:numPr>
        <w:ind w:right="0" w:rightChars="0"/>
        <w:rPr>
          <w:rFonts w:hint="eastAsia"/>
          <w:color w:val="auto"/>
          <w:highlight w:val="none"/>
        </w:rPr>
      </w:pPr>
    </w:p>
    <w:p w14:paraId="642AB3D4">
      <w:pPr>
        <w:pStyle w:val="4"/>
        <w:numPr>
          <w:ilvl w:val="0"/>
          <w:numId w:val="0"/>
        </w:numPr>
        <w:spacing w:line="360" w:lineRule="exact"/>
        <w:ind w:right="0" w:rightChars="0" w:firstLine="3012" w:firstLineChars="1000"/>
        <w:jc w:val="both"/>
        <w:rPr>
          <w:rFonts w:hint="eastAsia" w:ascii="宋体" w:hAnsi="宋体" w:eastAsia="宋体" w:cs="宋体"/>
          <w:color w:val="auto"/>
          <w:sz w:val="30"/>
          <w:szCs w:val="30"/>
          <w:highlight w:val="none"/>
        </w:rPr>
      </w:pPr>
      <w:bookmarkStart w:id="53" w:name="_Toc418164810"/>
      <w:bookmarkStart w:id="54" w:name="_Toc495501805"/>
      <w:r>
        <w:rPr>
          <w:rFonts w:hint="eastAsia" w:ascii="宋体" w:hAnsi="宋体" w:eastAsia="宋体" w:cs="宋体"/>
          <w:color w:val="auto"/>
          <w:sz w:val="30"/>
          <w:szCs w:val="30"/>
          <w:highlight w:val="none"/>
          <w:lang w:val="en-US" w:eastAsia="zh-CN"/>
        </w:rPr>
        <w:t xml:space="preserve">第一节 </w:t>
      </w:r>
      <w:r>
        <w:rPr>
          <w:rFonts w:hint="eastAsia" w:ascii="宋体" w:hAnsi="宋体" w:eastAsia="宋体" w:cs="宋体"/>
          <w:color w:val="auto"/>
          <w:sz w:val="30"/>
          <w:szCs w:val="30"/>
          <w:highlight w:val="none"/>
        </w:rPr>
        <w:t xml:space="preserve"> 合同条款</w:t>
      </w:r>
      <w:bookmarkEnd w:id="53"/>
      <w:bookmarkEnd w:id="54"/>
    </w:p>
    <w:p w14:paraId="387945FF">
      <w:pPr>
        <w:numPr>
          <w:ilvl w:val="0"/>
          <w:numId w:val="0"/>
        </w:numPr>
        <w:ind w:right="0" w:rightChars="0"/>
        <w:rPr>
          <w:rFonts w:hint="eastAsia" w:ascii="宋体" w:hAnsi="宋体" w:eastAsia="宋体" w:cs="宋体"/>
          <w:color w:val="auto"/>
          <w:sz w:val="24"/>
          <w:szCs w:val="24"/>
          <w:highlight w:val="none"/>
        </w:rPr>
      </w:pPr>
    </w:p>
    <w:p w14:paraId="42D8F42D">
      <w:pPr>
        <w:spacing w:line="460" w:lineRule="exact"/>
        <w:ind w:firstLine="480" w:firstLineChars="200"/>
        <w:rPr>
          <w:rFonts w:hint="eastAsia" w:ascii="宋体" w:hAnsi="宋体" w:eastAsia="宋体" w:cs="宋体"/>
          <w:color w:val="auto"/>
          <w:sz w:val="24"/>
          <w:szCs w:val="24"/>
          <w:highlight w:val="none"/>
        </w:rPr>
      </w:pPr>
      <w:bookmarkStart w:id="55" w:name="_Toc144974826"/>
      <w:bookmarkStart w:id="56" w:name="_Toc152042546"/>
      <w:bookmarkStart w:id="57" w:name="_Toc179632785"/>
      <w:bookmarkStart w:id="58" w:name="_Toc152045767"/>
      <w:r>
        <w:rPr>
          <w:rFonts w:hint="eastAsia" w:ascii="宋体" w:hAnsi="宋体" w:eastAsia="宋体" w:cs="宋体"/>
          <w:color w:val="auto"/>
          <w:sz w:val="24"/>
          <w:szCs w:val="24"/>
          <w:highlight w:val="none"/>
        </w:rPr>
        <w:t>通用合同条款直接引用住房城乡建设部、国家工商行政管理总局</w:t>
      </w:r>
      <w:r>
        <w:rPr>
          <w:rFonts w:hint="eastAsia" w:cs="宋体"/>
          <w:color w:val="auto"/>
          <w:sz w:val="24"/>
          <w:szCs w:val="24"/>
          <w:highlight w:val="none"/>
          <w:lang w:val="en-US" w:eastAsia="zh-CN"/>
        </w:rPr>
        <w:t>修订的</w:t>
      </w:r>
      <w:r>
        <w:rPr>
          <w:rFonts w:hint="eastAsia" w:ascii="宋体" w:hAnsi="宋体" w:eastAsia="宋体" w:cs="宋体"/>
          <w:color w:val="auto"/>
          <w:sz w:val="24"/>
          <w:szCs w:val="24"/>
          <w:highlight w:val="none"/>
        </w:rPr>
        <w:t>《建设工程施工合同（示范文本）》（GF-201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-0201）第二部分“通用合同条款”。</w:t>
      </w:r>
    </w:p>
    <w:p w14:paraId="0BD634DC">
      <w:pPr>
        <w:pStyle w:val="33"/>
        <w:jc w:val="center"/>
        <w:rPr>
          <w:rFonts w:hint="eastAsia" w:ascii="宋体" w:hAnsi="宋体" w:eastAsia="宋体" w:cs="宋体"/>
          <w:color w:val="auto"/>
          <w:sz w:val="24"/>
          <w:szCs w:val="24"/>
          <w:highlight w:val="none"/>
        </w:rPr>
      </w:pPr>
    </w:p>
    <w:p w14:paraId="282F63C4">
      <w:pPr>
        <w:pStyle w:val="33"/>
        <w:jc w:val="center"/>
        <w:rPr>
          <w:rFonts w:hint="eastAsia" w:ascii="宋体" w:hAnsi="宋体" w:eastAsia="宋体" w:cs="宋体"/>
          <w:color w:val="auto"/>
          <w:sz w:val="24"/>
          <w:szCs w:val="24"/>
          <w:highlight w:val="none"/>
        </w:rPr>
      </w:pPr>
    </w:p>
    <w:p w14:paraId="2F54BACE">
      <w:pPr>
        <w:pStyle w:val="4"/>
        <w:keepNext w:val="0"/>
        <w:keepLines w:val="0"/>
        <w:pageBreakBefore w:val="0"/>
        <w:widowControl w:val="0"/>
        <w:numPr>
          <w:ilvl w:val="0"/>
          <w:numId w:val="0"/>
        </w:numPr>
        <w:kinsoku/>
        <w:wordWrap/>
        <w:overflowPunct/>
        <w:topLinePunct w:val="0"/>
        <w:autoSpaceDE w:val="0"/>
        <w:autoSpaceDN w:val="0"/>
        <w:bidi w:val="0"/>
        <w:snapToGrid/>
        <w:spacing w:line="340" w:lineRule="exact"/>
        <w:ind w:right="0" w:rightChars="0" w:firstLine="3012" w:firstLineChars="1000"/>
        <w:jc w:val="both"/>
        <w:textAlignment w:val="auto"/>
        <w:rPr>
          <w:rFonts w:hint="eastAsia" w:ascii="宋体" w:hAnsi="宋体" w:eastAsia="宋体" w:cs="宋体"/>
          <w:color w:val="auto"/>
          <w:sz w:val="30"/>
          <w:szCs w:val="30"/>
          <w:highlight w:val="none"/>
          <w:lang w:val="en-US" w:eastAsia="zh-CN"/>
        </w:rPr>
      </w:pPr>
      <w:bookmarkStart w:id="59" w:name="_Toc495501806"/>
      <w:bookmarkStart w:id="60" w:name="_Toc418164811"/>
      <w:r>
        <w:rPr>
          <w:rFonts w:hint="eastAsia" w:ascii="宋体" w:hAnsi="宋体" w:eastAsia="宋体" w:cs="宋体"/>
          <w:color w:val="auto"/>
          <w:sz w:val="30"/>
          <w:szCs w:val="30"/>
          <w:highlight w:val="none"/>
          <w:lang w:val="en-US" w:eastAsia="zh-CN"/>
        </w:rPr>
        <w:t>第二节  专用合同条款</w:t>
      </w:r>
      <w:bookmarkEnd w:id="59"/>
      <w:bookmarkEnd w:id="60"/>
    </w:p>
    <w:p w14:paraId="6B6DCE46">
      <w:pPr>
        <w:keepNext w:val="0"/>
        <w:keepLines w:val="0"/>
        <w:pageBreakBefore w:val="0"/>
        <w:widowControl w:val="0"/>
        <w:kinsoku/>
        <w:wordWrap/>
        <w:overflowPunct/>
        <w:topLinePunct w:val="0"/>
        <w:autoSpaceDE w:val="0"/>
        <w:autoSpaceDN w:val="0"/>
        <w:bidi w:val="0"/>
        <w:snapToGrid/>
        <w:spacing w:line="340" w:lineRule="exact"/>
        <w:jc w:val="center"/>
        <w:textAlignment w:val="auto"/>
        <w:rPr>
          <w:rFonts w:hint="eastAsia" w:ascii="宋体" w:hAnsi="宋体" w:eastAsia="宋体" w:cs="宋体"/>
          <w:color w:val="auto"/>
          <w:sz w:val="24"/>
          <w:szCs w:val="24"/>
          <w:highlight w:val="none"/>
        </w:rPr>
      </w:pPr>
    </w:p>
    <w:p w14:paraId="52DA8B07">
      <w:pPr>
        <w:keepNext w:val="0"/>
        <w:keepLines w:val="0"/>
        <w:pageBreakBefore w:val="0"/>
        <w:widowControl w:val="0"/>
        <w:kinsoku/>
        <w:wordWrap/>
        <w:overflowPunct/>
        <w:topLinePunct w:val="0"/>
        <w:autoSpaceDE w:val="0"/>
        <w:autoSpaceDN w:val="0"/>
        <w:bidi w:val="0"/>
        <w:snapToGrid/>
        <w:spacing w:line="340" w:lineRule="exact"/>
        <w:jc w:val="center"/>
        <w:textAlignment w:val="auto"/>
        <w:rPr>
          <w:rFonts w:hint="eastAsia" w:ascii="宋体" w:hAnsi="宋体" w:eastAsia="宋体" w:cs="宋体"/>
          <w:color w:val="auto"/>
          <w:sz w:val="24"/>
          <w:szCs w:val="24"/>
          <w:highlight w:val="none"/>
        </w:rPr>
      </w:pPr>
    </w:p>
    <w:p w14:paraId="7768E69F">
      <w:pPr>
        <w:pStyle w:val="7"/>
        <w:keepNext w:val="0"/>
        <w:keepLines w:val="0"/>
        <w:pageBreakBefore w:val="0"/>
        <w:widowControl w:val="0"/>
        <w:kinsoku/>
        <w:wordWrap/>
        <w:overflowPunct/>
        <w:topLinePunct w:val="0"/>
        <w:autoSpaceDE w:val="0"/>
        <w:autoSpaceDN w:val="0"/>
        <w:bidi w:val="0"/>
        <w:snapToGrid/>
        <w:spacing w:before="120" w:after="120" w:line="340" w:lineRule="exac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 一般约定</w:t>
      </w:r>
    </w:p>
    <w:p w14:paraId="68780291">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w:t>
      </w:r>
    </w:p>
    <w:p w14:paraId="200B1BD4">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1.1.1合同</w:t>
      </w:r>
    </w:p>
    <w:p w14:paraId="3FEC0F93">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1.1.1.10其他合同文件包括：</w:t>
      </w:r>
      <w:r>
        <w:rPr>
          <w:rFonts w:hint="eastAsia" w:ascii="宋体" w:hAnsi="宋体" w:eastAsia="宋体" w:cs="宋体"/>
          <w:color w:val="auto"/>
          <w:sz w:val="24"/>
          <w:szCs w:val="24"/>
          <w:highlight w:val="none"/>
          <w:u w:val="single"/>
        </w:rPr>
        <w:t>履行合同过程中双方总经理以上管理者（或双方工地代表人）书面确认的对合同内容有实质性影响的会议纪要、签证、设计变更等资料</w:t>
      </w:r>
      <w:r>
        <w:rPr>
          <w:rFonts w:hint="eastAsia" w:ascii="宋体" w:hAnsi="宋体" w:eastAsia="宋体" w:cs="宋体"/>
          <w:color w:val="auto"/>
          <w:sz w:val="24"/>
          <w:szCs w:val="24"/>
          <w:highlight w:val="none"/>
        </w:rPr>
        <w:t>。</w:t>
      </w:r>
    </w:p>
    <w:p w14:paraId="166F2DDF">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14:paraId="36FA6871">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1.1.2.4监理人：</w:t>
      </w:r>
    </w:p>
    <w:p w14:paraId="66490A70">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581E4C9A">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19C93459">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1960CB2">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514DB912">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75E8674C">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设计人：</w:t>
      </w:r>
    </w:p>
    <w:p w14:paraId="57B1E638">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8D3D0D7">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26CD34D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31223E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4E9D3C52">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14:paraId="309E8CF2">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1.1.3.7 作为施工现场组成部分的其他场所包括：</w:t>
      </w:r>
      <w:r>
        <w:rPr>
          <w:rFonts w:hint="eastAsia" w:ascii="宋体" w:hAnsi="宋体" w:eastAsia="宋体" w:cs="宋体"/>
          <w:color w:val="auto"/>
          <w:sz w:val="24"/>
          <w:szCs w:val="24"/>
          <w:highlight w:val="none"/>
          <w:u w:val="single"/>
        </w:rPr>
        <w:t xml:space="preserve"> 通用条款规定的发包方提供的施工场地 </w:t>
      </w:r>
      <w:r>
        <w:rPr>
          <w:rFonts w:hint="eastAsia" w:ascii="宋体" w:hAnsi="宋体" w:eastAsia="宋体" w:cs="宋体"/>
          <w:color w:val="auto"/>
          <w:sz w:val="24"/>
          <w:szCs w:val="24"/>
          <w:highlight w:val="none"/>
        </w:rPr>
        <w:t>。</w:t>
      </w:r>
    </w:p>
    <w:p w14:paraId="437C8ECC">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1.1.3.9 永久占地包括：</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kern w:val="0"/>
          <w:sz w:val="24"/>
          <w:szCs w:val="24"/>
          <w:highlight w:val="none"/>
        </w:rPr>
        <w:t>。</w:t>
      </w:r>
    </w:p>
    <w:p w14:paraId="2C825186">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1.1.3.10 临时占地包括：</w:t>
      </w:r>
      <w:r>
        <w:rPr>
          <w:rFonts w:hint="eastAsia" w:ascii="宋体" w:hAnsi="宋体" w:eastAsia="宋体" w:cs="宋体"/>
          <w:color w:val="auto"/>
          <w:sz w:val="24"/>
          <w:szCs w:val="24"/>
          <w:highlight w:val="none"/>
          <w:u w:val="single"/>
        </w:rPr>
        <w:t xml:space="preserve">        双方在合同履行过程中确定              </w:t>
      </w:r>
      <w:r>
        <w:rPr>
          <w:rFonts w:hint="eastAsia" w:ascii="宋体" w:hAnsi="宋体" w:eastAsia="宋体" w:cs="宋体"/>
          <w:color w:val="auto"/>
          <w:kern w:val="0"/>
          <w:sz w:val="24"/>
          <w:szCs w:val="24"/>
          <w:highlight w:val="none"/>
        </w:rPr>
        <w:t>。</w:t>
      </w:r>
    </w:p>
    <w:p w14:paraId="09E28E0E">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1.3法律 </w:t>
      </w:r>
    </w:p>
    <w:p w14:paraId="2216C94A">
      <w:pPr>
        <w:keepNext w:val="0"/>
        <w:keepLines w:val="0"/>
        <w:pageBreakBefore w:val="0"/>
        <w:widowControl w:val="0"/>
        <w:kinsoku/>
        <w:wordWrap/>
        <w:overflowPunct/>
        <w:topLinePunct w:val="0"/>
        <w:autoSpaceDE w:val="0"/>
        <w:autoSpaceDN w:val="0"/>
        <w:bidi w:val="0"/>
        <w:adjustRightInd w:val="0"/>
        <w:snapToGrid/>
        <w:spacing w:line="340" w:lineRule="exact"/>
        <w:ind w:left="625" w:leftChars="284"/>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 xml:space="preserve">需要明示的法律、行政法规：《中华人民共和国合同法》、《中华人民共和国建筑法》、《中华人民共和国招标投标法》、《中华人民共和国安全生产法》、《建设工程质量管理条例》，以及其他有关法律、法规 </w:t>
      </w:r>
      <w:r>
        <w:rPr>
          <w:rFonts w:hint="eastAsia" w:ascii="宋体" w:hAnsi="宋体" w:eastAsia="宋体" w:cs="宋体"/>
          <w:color w:val="auto"/>
          <w:sz w:val="24"/>
          <w:szCs w:val="24"/>
          <w:highlight w:val="none"/>
        </w:rPr>
        <w:t>。</w:t>
      </w:r>
    </w:p>
    <w:p w14:paraId="43EABFEC">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标准和规范</w:t>
      </w:r>
    </w:p>
    <w:p w14:paraId="194F1225">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1.4.1适用于工程的标准规范包括：</w:t>
      </w:r>
      <w:r>
        <w:rPr>
          <w:rFonts w:hint="eastAsia" w:ascii="宋体" w:hAnsi="宋体" w:eastAsia="宋体" w:cs="宋体"/>
          <w:color w:val="auto"/>
          <w:sz w:val="24"/>
          <w:szCs w:val="24"/>
          <w:highlight w:val="none"/>
          <w:u w:val="single"/>
        </w:rPr>
        <w:t>国家和地方现行的有关标准、规范、详细施工图</w:t>
      </w:r>
      <w:r>
        <w:rPr>
          <w:rFonts w:hint="eastAsia" w:ascii="宋体" w:hAnsi="宋体" w:eastAsia="宋体" w:cs="宋体"/>
          <w:color w:val="auto"/>
          <w:sz w:val="24"/>
          <w:szCs w:val="24"/>
          <w:highlight w:val="none"/>
        </w:rPr>
        <w:t xml:space="preserve"> 。</w:t>
      </w:r>
    </w:p>
    <w:p w14:paraId="7B2375FE">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1.4.2 发包人提供国外标准、规范的名称：</w:t>
      </w:r>
      <w:r>
        <w:rPr>
          <w:rFonts w:hint="eastAsia" w:ascii="宋体" w:hAnsi="宋体" w:eastAsia="宋体" w:cs="宋体"/>
          <w:color w:val="auto"/>
          <w:kern w:val="0"/>
          <w:sz w:val="24"/>
          <w:szCs w:val="24"/>
          <w:highlight w:val="none"/>
          <w:u w:val="single"/>
        </w:rPr>
        <w:t xml:space="preserve">      不采用                </w:t>
      </w:r>
      <w:r>
        <w:rPr>
          <w:rFonts w:hint="eastAsia" w:ascii="宋体" w:hAnsi="宋体" w:eastAsia="宋体" w:cs="宋体"/>
          <w:color w:val="auto"/>
          <w:kern w:val="0"/>
          <w:sz w:val="24"/>
          <w:szCs w:val="24"/>
          <w:highlight w:val="none"/>
        </w:rPr>
        <w:t>；</w:t>
      </w:r>
    </w:p>
    <w:p w14:paraId="12B63C32">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发包人提供国外标准、规范的份数：</w:t>
      </w:r>
      <w:r>
        <w:rPr>
          <w:rFonts w:hint="eastAsia" w:ascii="宋体" w:hAnsi="宋体" w:eastAsia="宋体" w:cs="宋体"/>
          <w:color w:val="auto"/>
          <w:kern w:val="0"/>
          <w:sz w:val="24"/>
          <w:szCs w:val="24"/>
          <w:highlight w:val="none"/>
          <w:u w:val="single"/>
        </w:rPr>
        <w:t xml:space="preserve">          不采用                </w:t>
      </w:r>
      <w:r>
        <w:rPr>
          <w:rFonts w:hint="eastAsia" w:ascii="宋体" w:hAnsi="宋体" w:eastAsia="宋体" w:cs="宋体"/>
          <w:color w:val="auto"/>
          <w:kern w:val="0"/>
          <w:sz w:val="24"/>
          <w:szCs w:val="24"/>
          <w:highlight w:val="none"/>
        </w:rPr>
        <w:t>；</w:t>
      </w:r>
    </w:p>
    <w:p w14:paraId="18B5D757">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发包人提供国外标准、规范的名称：</w:t>
      </w:r>
      <w:r>
        <w:rPr>
          <w:rFonts w:hint="eastAsia" w:ascii="宋体" w:hAnsi="宋体" w:eastAsia="宋体" w:cs="宋体"/>
          <w:color w:val="auto"/>
          <w:kern w:val="0"/>
          <w:sz w:val="24"/>
          <w:szCs w:val="24"/>
          <w:highlight w:val="none"/>
          <w:u w:val="single"/>
        </w:rPr>
        <w:t xml:space="preserve">         不采用               </w:t>
      </w:r>
      <w:r>
        <w:rPr>
          <w:rFonts w:hint="eastAsia" w:ascii="宋体" w:hAnsi="宋体" w:eastAsia="宋体" w:cs="宋体"/>
          <w:color w:val="auto"/>
          <w:kern w:val="0"/>
          <w:sz w:val="24"/>
          <w:szCs w:val="24"/>
          <w:highlight w:val="none"/>
        </w:rPr>
        <w:t>。</w:t>
      </w:r>
    </w:p>
    <w:p w14:paraId="3530C721">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1.4.3发包人对工程的技术标准和功能要求的特殊要求：</w:t>
      </w:r>
      <w:r>
        <w:rPr>
          <w:rFonts w:hint="eastAsia" w:ascii="宋体" w:hAnsi="宋体" w:eastAsia="宋体" w:cs="宋体"/>
          <w:color w:val="auto"/>
          <w:sz w:val="24"/>
          <w:szCs w:val="24"/>
          <w:highlight w:val="none"/>
          <w:u w:val="single"/>
        </w:rPr>
        <w:t xml:space="preserve">  详见图纸</w:t>
      </w:r>
      <w:r>
        <w:rPr>
          <w:rFonts w:hint="eastAsia" w:ascii="宋体" w:hAnsi="宋体" w:eastAsia="宋体" w:cs="宋体"/>
          <w:color w:val="auto"/>
          <w:sz w:val="24"/>
          <w:szCs w:val="24"/>
          <w:highlight w:val="none"/>
        </w:rPr>
        <w:t>。</w:t>
      </w:r>
    </w:p>
    <w:p w14:paraId="6D5F8B86">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合同文件的优先顺序</w:t>
      </w:r>
    </w:p>
    <w:p w14:paraId="2A8980A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执行通用条款             </w:t>
      </w:r>
      <w:r>
        <w:rPr>
          <w:rFonts w:hint="eastAsia" w:ascii="宋体" w:hAnsi="宋体" w:eastAsia="宋体" w:cs="宋体"/>
          <w:color w:val="auto"/>
          <w:sz w:val="24"/>
          <w:szCs w:val="24"/>
          <w:highlight w:val="none"/>
        </w:rPr>
        <w:t>。</w:t>
      </w:r>
    </w:p>
    <w:p w14:paraId="3E7F7086">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图纸和承包人文件</w:t>
      </w:r>
      <w:r>
        <w:rPr>
          <w:rFonts w:hint="eastAsia" w:ascii="宋体" w:hAnsi="宋体" w:eastAsia="宋体" w:cs="宋体"/>
          <w:color w:val="auto"/>
          <w:sz w:val="24"/>
          <w:szCs w:val="24"/>
          <w:highlight w:val="none"/>
        </w:rPr>
        <w:tab/>
      </w:r>
    </w:p>
    <w:p w14:paraId="05A16723">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图纸的提供</w:t>
      </w:r>
    </w:p>
    <w:p w14:paraId="35FE5BEB">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6FE001A1">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1BF64FA7">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0C98B8DD">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14:paraId="1285FBE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color w:val="auto"/>
          <w:sz w:val="24"/>
          <w:szCs w:val="24"/>
          <w:highlight w:val="none"/>
          <w:u w:val="single"/>
        </w:rPr>
        <w:t>实施性施工组织设计及方案   </w:t>
      </w:r>
      <w:r>
        <w:rPr>
          <w:rFonts w:hint="eastAsia" w:ascii="宋体" w:hAnsi="宋体" w:eastAsia="宋体" w:cs="宋体"/>
          <w:color w:val="auto"/>
          <w:sz w:val="24"/>
          <w:szCs w:val="24"/>
          <w:highlight w:val="none"/>
        </w:rPr>
        <w:t>；</w:t>
      </w:r>
    </w:p>
    <w:p w14:paraId="63451746">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eastAsia="宋体" w:cs="宋体"/>
          <w:color w:val="auto"/>
          <w:sz w:val="24"/>
          <w:szCs w:val="24"/>
          <w:highlight w:val="none"/>
          <w:u w:val="single"/>
        </w:rPr>
        <w:t>   开工前     </w:t>
      </w:r>
      <w:r>
        <w:rPr>
          <w:rFonts w:hint="eastAsia" w:ascii="宋体" w:hAnsi="宋体" w:eastAsia="宋体" w:cs="宋体"/>
          <w:color w:val="auto"/>
          <w:sz w:val="24"/>
          <w:szCs w:val="24"/>
          <w:highlight w:val="none"/>
        </w:rPr>
        <w:t>；</w:t>
      </w:r>
    </w:p>
    <w:p w14:paraId="2161F80F">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color w:val="auto"/>
          <w:sz w:val="24"/>
          <w:szCs w:val="24"/>
          <w:highlight w:val="none"/>
          <w:u w:val="single"/>
        </w:rPr>
        <w:t>肆份              </w:t>
      </w:r>
      <w:r>
        <w:rPr>
          <w:rFonts w:hint="eastAsia" w:ascii="宋体" w:hAnsi="宋体" w:eastAsia="宋体" w:cs="宋体"/>
          <w:color w:val="auto"/>
          <w:sz w:val="24"/>
          <w:szCs w:val="24"/>
          <w:highlight w:val="none"/>
        </w:rPr>
        <w:t>；</w:t>
      </w:r>
    </w:p>
    <w:p w14:paraId="66E64E47">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color w:val="auto"/>
          <w:sz w:val="24"/>
          <w:szCs w:val="24"/>
          <w:highlight w:val="none"/>
          <w:u w:val="single"/>
        </w:rPr>
        <w:t> 书面             </w:t>
      </w:r>
      <w:r>
        <w:rPr>
          <w:rFonts w:hint="eastAsia" w:ascii="宋体" w:hAnsi="宋体" w:eastAsia="宋体" w:cs="宋体"/>
          <w:color w:val="auto"/>
          <w:sz w:val="24"/>
          <w:szCs w:val="24"/>
          <w:highlight w:val="none"/>
        </w:rPr>
        <w:t>；</w:t>
      </w:r>
    </w:p>
    <w:p w14:paraId="49C1E98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color w:val="auto"/>
          <w:sz w:val="24"/>
          <w:szCs w:val="24"/>
          <w:highlight w:val="none"/>
          <w:u w:val="single"/>
        </w:rPr>
        <w:t>收到文件后7天内审查完毕    </w:t>
      </w:r>
      <w:r>
        <w:rPr>
          <w:rFonts w:hint="eastAsia" w:ascii="宋体" w:hAnsi="宋体" w:eastAsia="宋体" w:cs="宋体"/>
          <w:color w:val="auto"/>
          <w:sz w:val="24"/>
          <w:szCs w:val="24"/>
          <w:highlight w:val="none"/>
        </w:rPr>
        <w:t>。</w:t>
      </w:r>
    </w:p>
    <w:p w14:paraId="69B47D14">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现场图纸准备</w:t>
      </w:r>
    </w:p>
    <w:p w14:paraId="7A7DA09A">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2C7A5F9">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联络</w:t>
      </w:r>
    </w:p>
    <w:p w14:paraId="7267D494">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1.7.1发包人和承包人应当在</w:t>
      </w:r>
      <w:r>
        <w:rPr>
          <w:rFonts w:hint="eastAsia" w:ascii="宋体" w:hAnsi="宋体" w:eastAsia="宋体" w:cs="宋体"/>
          <w:color w:val="auto"/>
          <w:sz w:val="24"/>
          <w:szCs w:val="24"/>
          <w:highlight w:val="none"/>
          <w:u w:val="single"/>
        </w:rPr>
        <w:t xml:space="preserve"> 7   </w:t>
      </w:r>
      <w:r>
        <w:rPr>
          <w:rFonts w:hint="eastAsia" w:ascii="宋体" w:hAnsi="宋体" w:eastAsia="宋体" w:cs="宋体"/>
          <w:color w:val="auto"/>
          <w:kern w:val="0"/>
          <w:sz w:val="24"/>
          <w:szCs w:val="24"/>
          <w:highlight w:val="none"/>
        </w:rPr>
        <w:t>天内将与合同有关的通知、批准、证明、证书、指示、指令、要求、请求、同意、意见、确定和决定等书面函件送达对方当事人。</w:t>
      </w:r>
    </w:p>
    <w:p w14:paraId="1EA039A6">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 发包人接收文件的地点：</w:t>
      </w:r>
      <w:r>
        <w:rPr>
          <w:rFonts w:hint="eastAsia" w:ascii="宋体" w:hAnsi="宋体" w:eastAsia="宋体" w:cs="宋体"/>
          <w:color w:val="auto"/>
          <w:sz w:val="24"/>
          <w:szCs w:val="24"/>
          <w:highlight w:val="none"/>
          <w:u w:val="single"/>
        </w:rPr>
        <w:t>项目所在地发包人办公室              </w:t>
      </w:r>
      <w:r>
        <w:rPr>
          <w:rFonts w:hint="eastAsia" w:ascii="宋体" w:hAnsi="宋体" w:eastAsia="宋体" w:cs="宋体"/>
          <w:color w:val="auto"/>
          <w:kern w:val="0"/>
          <w:sz w:val="24"/>
          <w:szCs w:val="24"/>
          <w:highlight w:val="none"/>
        </w:rPr>
        <w:t>；</w:t>
      </w:r>
    </w:p>
    <w:p w14:paraId="4D0A95A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发包人指定的接收人为：</w:t>
      </w:r>
      <w:r>
        <w:rPr>
          <w:rFonts w:hint="eastAsia" w:ascii="宋体" w:hAnsi="宋体" w:eastAsia="宋体" w:cs="宋体"/>
          <w:color w:val="auto"/>
          <w:sz w:val="24"/>
          <w:szCs w:val="24"/>
          <w:highlight w:val="none"/>
          <w:u w:val="single"/>
        </w:rPr>
        <w:t>                     </w:t>
      </w:r>
      <w:r>
        <w:rPr>
          <w:rFonts w:hint="eastAsia" w:ascii="宋体" w:hAnsi="宋体" w:eastAsia="宋体" w:cs="宋体"/>
          <w:color w:val="auto"/>
          <w:kern w:val="0"/>
          <w:sz w:val="24"/>
          <w:szCs w:val="24"/>
          <w:highlight w:val="none"/>
        </w:rPr>
        <w:t>。</w:t>
      </w:r>
    </w:p>
    <w:p w14:paraId="575719FE">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承包人接收文件的地点：</w:t>
      </w:r>
      <w:r>
        <w:rPr>
          <w:rFonts w:hint="eastAsia" w:ascii="宋体" w:hAnsi="宋体" w:eastAsia="宋体" w:cs="宋体"/>
          <w:color w:val="auto"/>
          <w:sz w:val="24"/>
          <w:szCs w:val="24"/>
          <w:highlight w:val="none"/>
          <w:u w:val="single"/>
        </w:rPr>
        <w:t>项目所在地承包人项目部                   </w:t>
      </w:r>
      <w:r>
        <w:rPr>
          <w:rFonts w:hint="eastAsia" w:ascii="宋体" w:hAnsi="宋体" w:eastAsia="宋体" w:cs="宋体"/>
          <w:color w:val="auto"/>
          <w:kern w:val="0"/>
          <w:sz w:val="24"/>
          <w:szCs w:val="24"/>
          <w:highlight w:val="none"/>
        </w:rPr>
        <w:t>；</w:t>
      </w:r>
    </w:p>
    <w:p w14:paraId="3AFB2A52">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承包人指定的接收人为：</w:t>
      </w:r>
      <w:r>
        <w:rPr>
          <w:rFonts w:hint="eastAsia" w:ascii="宋体" w:hAnsi="宋体" w:eastAsia="宋体" w:cs="宋体"/>
          <w:color w:val="auto"/>
          <w:sz w:val="24"/>
          <w:szCs w:val="24"/>
          <w:highlight w:val="none"/>
          <w:u w:val="single"/>
        </w:rPr>
        <w:t>承包方项目经理                    </w:t>
      </w:r>
      <w:r>
        <w:rPr>
          <w:rFonts w:hint="eastAsia" w:ascii="宋体" w:hAnsi="宋体" w:eastAsia="宋体" w:cs="宋体"/>
          <w:color w:val="auto"/>
          <w:kern w:val="0"/>
          <w:sz w:val="24"/>
          <w:szCs w:val="24"/>
          <w:highlight w:val="none"/>
        </w:rPr>
        <w:t>。</w:t>
      </w:r>
    </w:p>
    <w:p w14:paraId="5DAF3ECC">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监理人接收文件的地点：</w:t>
      </w:r>
      <w:r>
        <w:rPr>
          <w:rFonts w:hint="eastAsia" w:ascii="宋体" w:hAnsi="宋体" w:eastAsia="宋体" w:cs="宋体"/>
          <w:color w:val="auto"/>
          <w:sz w:val="24"/>
          <w:szCs w:val="24"/>
          <w:highlight w:val="none"/>
          <w:u w:val="single"/>
        </w:rPr>
        <w:t>\                   </w:t>
      </w:r>
      <w:r>
        <w:rPr>
          <w:rFonts w:hint="eastAsia" w:ascii="宋体" w:hAnsi="宋体" w:eastAsia="宋体" w:cs="宋体"/>
          <w:color w:val="auto"/>
          <w:kern w:val="0"/>
          <w:sz w:val="24"/>
          <w:szCs w:val="24"/>
          <w:highlight w:val="none"/>
        </w:rPr>
        <w:t>；</w:t>
      </w:r>
    </w:p>
    <w:p w14:paraId="040779A7">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监理人指定的接收人为：</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kern w:val="0"/>
          <w:sz w:val="24"/>
          <w:szCs w:val="24"/>
          <w:highlight w:val="none"/>
        </w:rPr>
        <w:t>。</w:t>
      </w:r>
    </w:p>
    <w:p w14:paraId="0E8F48D4">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14:paraId="532CC83A">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 出入现场的权利</w:t>
      </w:r>
    </w:p>
    <w:p w14:paraId="219EAB7E">
      <w:pPr>
        <w:keepNext w:val="0"/>
        <w:keepLines w:val="0"/>
        <w:pageBreakBefore w:val="0"/>
        <w:widowControl w:val="0"/>
        <w:kinsoku/>
        <w:wordWrap/>
        <w:overflowPunct/>
        <w:topLinePunct w:val="0"/>
        <w:autoSpaceDE w:val="0"/>
        <w:autoSpaceDN w:val="0"/>
        <w:bidi w:val="0"/>
        <w:snapToGrid/>
        <w:spacing w:line="340" w:lineRule="exact"/>
        <w:ind w:left="625" w:leftChars="284"/>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color w:val="auto"/>
          <w:sz w:val="24"/>
          <w:szCs w:val="24"/>
          <w:highlight w:val="none"/>
          <w:u w:val="single"/>
        </w:rPr>
        <w:t xml:space="preserve">由承包人按发包人要求取得出入现场所需的批准手续 </w:t>
      </w:r>
      <w:r>
        <w:rPr>
          <w:rFonts w:hint="eastAsia" w:ascii="宋体" w:hAnsi="宋体" w:eastAsia="宋体" w:cs="宋体"/>
          <w:color w:val="auto"/>
          <w:sz w:val="24"/>
          <w:szCs w:val="24"/>
          <w:highlight w:val="none"/>
        </w:rPr>
        <w:t>。</w:t>
      </w:r>
    </w:p>
    <w:p w14:paraId="67296187">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 场内交通</w:t>
      </w:r>
    </w:p>
    <w:p w14:paraId="739A0B93">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关于场外交通和场内交通的边界的约定：</w:t>
      </w:r>
      <w:r>
        <w:rPr>
          <w:rFonts w:hint="eastAsia" w:ascii="宋体" w:hAnsi="宋体" w:eastAsia="宋体" w:cs="宋体"/>
          <w:color w:val="auto"/>
          <w:sz w:val="24"/>
          <w:szCs w:val="24"/>
          <w:highlight w:val="none"/>
          <w:u w:val="single"/>
        </w:rPr>
        <w:t>本项目施工现场    </w:t>
      </w:r>
      <w:r>
        <w:rPr>
          <w:rFonts w:hint="eastAsia" w:ascii="宋体" w:hAnsi="宋体" w:eastAsia="宋体" w:cs="宋体"/>
          <w:color w:val="auto"/>
          <w:sz w:val="24"/>
          <w:szCs w:val="24"/>
          <w:highlight w:val="none"/>
        </w:rPr>
        <w:t>。</w:t>
      </w:r>
    </w:p>
    <w:p w14:paraId="0745713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color w:val="auto"/>
          <w:sz w:val="24"/>
          <w:szCs w:val="24"/>
          <w:highlight w:val="none"/>
          <w:u w:val="single"/>
        </w:rPr>
        <w:t xml:space="preserve">以现场实际施工条件为准   </w:t>
      </w:r>
      <w:r>
        <w:rPr>
          <w:rFonts w:hint="eastAsia" w:ascii="宋体" w:hAnsi="宋体" w:eastAsia="宋体" w:cs="宋体"/>
          <w:color w:val="auto"/>
          <w:sz w:val="24"/>
          <w:szCs w:val="24"/>
          <w:highlight w:val="none"/>
        </w:rPr>
        <w:t xml:space="preserve">。  </w:t>
      </w:r>
    </w:p>
    <w:p w14:paraId="70947828">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14:paraId="0B0A7D9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rPr>
        <w:t xml:space="preserve">承包人  </w:t>
      </w:r>
      <w:r>
        <w:rPr>
          <w:rFonts w:hint="eastAsia" w:ascii="宋体" w:hAnsi="宋体" w:eastAsia="宋体" w:cs="宋体"/>
          <w:color w:val="auto"/>
          <w:sz w:val="24"/>
          <w:szCs w:val="24"/>
          <w:highlight w:val="none"/>
        </w:rPr>
        <w:t>承担。</w:t>
      </w:r>
    </w:p>
    <w:p w14:paraId="433C4821">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14:paraId="1F889BCC">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w:t>
      </w:r>
    </w:p>
    <w:p w14:paraId="4AA43F8B">
      <w:pPr>
        <w:keepNext w:val="0"/>
        <w:keepLines w:val="0"/>
        <w:pageBreakBefore w:val="0"/>
        <w:widowControl w:val="0"/>
        <w:kinsoku/>
        <w:wordWrap/>
        <w:overflowPunct/>
        <w:topLinePunct w:val="0"/>
        <w:autoSpaceDE w:val="0"/>
        <w:autoSpaceDN w:val="0"/>
        <w:bidi w:val="0"/>
        <w:snapToGrid/>
        <w:spacing w:line="340" w:lineRule="exact"/>
        <w:ind w:left="625" w:leftChars="28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sz w:val="24"/>
          <w:szCs w:val="24"/>
          <w:highlight w:val="none"/>
          <w:u w:val="single"/>
        </w:rPr>
        <w:t xml:space="preserve">    执行通用条款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9AC0501">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color w:val="auto"/>
          <w:sz w:val="24"/>
          <w:szCs w:val="24"/>
          <w:highlight w:val="none"/>
          <w:u w:val="single"/>
        </w:rPr>
        <w:t xml:space="preserve"> 执行通用条款</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5F97724B">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w:t>
      </w:r>
    </w:p>
    <w:p w14:paraId="1BC87E9F">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kern w:val="0"/>
          <w:sz w:val="24"/>
          <w:szCs w:val="24"/>
          <w:highlight w:val="none"/>
        </w:rPr>
        <w:t>。</w:t>
      </w:r>
    </w:p>
    <w:p w14:paraId="3934FA0D">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1.13工程量清单错误的修正</w:t>
      </w:r>
    </w:p>
    <w:p w14:paraId="4862706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color w:val="auto"/>
          <w:sz w:val="24"/>
          <w:szCs w:val="24"/>
          <w:highlight w:val="none"/>
          <w:u w:val="single"/>
        </w:rPr>
        <w:t xml:space="preserve">         是           </w:t>
      </w:r>
      <w:r>
        <w:rPr>
          <w:rFonts w:hint="eastAsia" w:ascii="宋体" w:hAnsi="宋体" w:eastAsia="宋体" w:cs="宋体"/>
          <w:color w:val="auto"/>
          <w:kern w:val="0"/>
          <w:sz w:val="24"/>
          <w:szCs w:val="24"/>
          <w:highlight w:val="none"/>
        </w:rPr>
        <w:t>。</w:t>
      </w:r>
    </w:p>
    <w:p w14:paraId="1B49618E">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允许调整合同价格的工程量偏差范围：</w:t>
      </w:r>
      <w:r>
        <w:rPr>
          <w:rFonts w:hint="eastAsia" w:ascii="宋体" w:hAnsi="宋体" w:eastAsia="宋体" w:cs="宋体"/>
          <w:color w:val="auto"/>
          <w:sz w:val="24"/>
          <w:szCs w:val="24"/>
          <w:highlight w:val="none"/>
          <w:u w:val="single"/>
        </w:rPr>
        <w:t xml:space="preserve">      超过±3%          </w:t>
      </w:r>
      <w:r>
        <w:rPr>
          <w:rFonts w:hint="eastAsia" w:ascii="宋体" w:hAnsi="宋体" w:eastAsia="宋体" w:cs="宋体"/>
          <w:color w:val="auto"/>
          <w:kern w:val="0"/>
          <w:sz w:val="24"/>
          <w:szCs w:val="24"/>
          <w:highlight w:val="none"/>
        </w:rPr>
        <w:t>。</w:t>
      </w:r>
    </w:p>
    <w:p w14:paraId="7AF25757">
      <w:pPr>
        <w:pStyle w:val="7"/>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 发包人</w:t>
      </w:r>
    </w:p>
    <w:p w14:paraId="38093D6A">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14:paraId="3FE14076">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14:paraId="3CA78006">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    </w:t>
      </w:r>
      <w:r>
        <w:rPr>
          <w:rFonts w:hint="eastAsia" w:ascii="宋体" w:hAnsi="宋体" w:eastAsia="宋体" w:cs="宋体"/>
          <w:color w:val="auto"/>
          <w:sz w:val="24"/>
          <w:szCs w:val="24"/>
          <w:highlight w:val="none"/>
        </w:rPr>
        <w:t>；</w:t>
      </w:r>
    </w:p>
    <w:p w14:paraId="0EBC2769">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22D7CA10">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575F92BC">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89BB524">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6F77ED3F">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0E22EE38">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 xml:space="preserve">督促指导监理工程师行使职权、协调施工现场各方面的关系、协调工程质量、进度和安全文明施工中存在的问题，解决有关设计和技术签证，办理现场经济技术签证。     </w:t>
      </w:r>
      <w:r>
        <w:rPr>
          <w:rFonts w:hint="eastAsia" w:ascii="宋体" w:hAnsi="宋体" w:eastAsia="宋体" w:cs="宋体"/>
          <w:color w:val="auto"/>
          <w:sz w:val="24"/>
          <w:szCs w:val="24"/>
          <w:highlight w:val="none"/>
        </w:rPr>
        <w:t>。</w:t>
      </w:r>
    </w:p>
    <w:p w14:paraId="58954307">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施工现场、施工条件和基础资料的提供</w:t>
      </w:r>
    </w:p>
    <w:p w14:paraId="0AEBBB41">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14:paraId="21847881">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rPr>
        <w:t>开工前    </w:t>
      </w:r>
      <w:r>
        <w:rPr>
          <w:rFonts w:hint="eastAsia" w:ascii="宋体" w:hAnsi="宋体" w:eastAsia="宋体" w:cs="宋体"/>
          <w:color w:val="auto"/>
          <w:sz w:val="24"/>
          <w:szCs w:val="24"/>
          <w:highlight w:val="none"/>
        </w:rPr>
        <w:t>。</w:t>
      </w:r>
    </w:p>
    <w:p w14:paraId="2D19991B">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14:paraId="39F6977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关于发包人应负责提供施工所需要的条件，包括：</w:t>
      </w:r>
      <w:r>
        <w:rPr>
          <w:rFonts w:hint="eastAsia" w:ascii="宋体" w:hAnsi="宋体" w:eastAsia="宋体" w:cs="宋体"/>
          <w:color w:val="auto"/>
          <w:sz w:val="24"/>
          <w:szCs w:val="24"/>
          <w:highlight w:val="none"/>
          <w:u w:val="single"/>
        </w:rPr>
        <w:t xml:space="preserve"> 执行通用条款          </w:t>
      </w:r>
      <w:r>
        <w:rPr>
          <w:rFonts w:hint="eastAsia" w:ascii="宋体" w:hAnsi="宋体" w:eastAsia="宋体" w:cs="宋体"/>
          <w:color w:val="auto"/>
          <w:sz w:val="24"/>
          <w:szCs w:val="24"/>
          <w:highlight w:val="none"/>
        </w:rPr>
        <w:t>。</w:t>
      </w:r>
    </w:p>
    <w:p w14:paraId="034DEC9A">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资金来源证明及支付担保</w:t>
      </w:r>
    </w:p>
    <w:p w14:paraId="05A31E14">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CFA9469">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rPr>
        <w:t xml:space="preserve">              /                 </w:t>
      </w:r>
      <w:r>
        <w:rPr>
          <w:rFonts w:hint="eastAsia" w:ascii="宋体" w:hAnsi="宋体" w:eastAsia="宋体" w:cs="宋体"/>
          <w:color w:val="auto"/>
          <w:sz w:val="24"/>
          <w:szCs w:val="24"/>
          <w:highlight w:val="none"/>
        </w:rPr>
        <w:t>。</w:t>
      </w:r>
    </w:p>
    <w:p w14:paraId="7CC67E07">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发包人提供支付担保的形式：</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5B9ECB64">
      <w:pPr>
        <w:pStyle w:val="7"/>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 承包人</w:t>
      </w:r>
    </w:p>
    <w:p w14:paraId="04FE589E">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14:paraId="7FF06CEB">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承包人提交的竣工资料的内容：</w:t>
      </w:r>
      <w:r>
        <w:rPr>
          <w:rFonts w:hint="eastAsia" w:ascii="宋体" w:hAnsi="宋体" w:eastAsia="宋体" w:cs="宋体"/>
          <w:color w:val="auto"/>
          <w:sz w:val="24"/>
          <w:szCs w:val="24"/>
          <w:highlight w:val="none"/>
          <w:u w:val="single"/>
        </w:rPr>
        <w:t xml:space="preserve">    竣工图及资料                 </w:t>
      </w:r>
      <w:r>
        <w:rPr>
          <w:rFonts w:hint="eastAsia" w:ascii="宋体" w:hAnsi="宋体" w:eastAsia="宋体" w:cs="宋体"/>
          <w:color w:val="auto"/>
          <w:sz w:val="24"/>
          <w:szCs w:val="24"/>
          <w:highlight w:val="none"/>
        </w:rPr>
        <w:t xml:space="preserve"> 。</w:t>
      </w:r>
    </w:p>
    <w:p w14:paraId="13094B29">
      <w:pPr>
        <w:keepNext w:val="0"/>
        <w:keepLines w:val="0"/>
        <w:pageBreakBefore w:val="0"/>
        <w:widowControl w:val="0"/>
        <w:kinsoku/>
        <w:wordWrap/>
        <w:overflowPunct/>
        <w:topLinePunct w:val="0"/>
        <w:autoSpaceDE w:val="0"/>
        <w:autoSpaceDN w:val="0"/>
        <w:bidi w:val="0"/>
        <w:snapToGrid/>
        <w:spacing w:line="340" w:lineRule="exact"/>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rPr>
        <w:t xml:space="preserve">        两套                       </w:t>
      </w:r>
      <w:r>
        <w:rPr>
          <w:rFonts w:hint="eastAsia" w:ascii="宋体" w:hAnsi="宋体" w:eastAsia="宋体" w:cs="宋体"/>
          <w:color w:val="auto"/>
          <w:sz w:val="24"/>
          <w:szCs w:val="24"/>
          <w:highlight w:val="none"/>
        </w:rPr>
        <w:t>。</w:t>
      </w:r>
    </w:p>
    <w:p w14:paraId="3A1B048F">
      <w:pPr>
        <w:keepNext w:val="0"/>
        <w:keepLines w:val="0"/>
        <w:pageBreakBefore w:val="0"/>
        <w:widowControl w:val="0"/>
        <w:kinsoku/>
        <w:wordWrap/>
        <w:overflowPunct/>
        <w:topLinePunct w:val="0"/>
        <w:autoSpaceDE w:val="0"/>
        <w:autoSpaceDN w:val="0"/>
        <w:bidi w:val="0"/>
        <w:snapToGrid/>
        <w:spacing w:line="340" w:lineRule="exact"/>
        <w:ind w:left="669" w:leftChars="304"/>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 xml:space="preserve">  由承包人承担                    </w:t>
      </w:r>
      <w:r>
        <w:rPr>
          <w:rFonts w:hint="eastAsia" w:ascii="宋体" w:hAnsi="宋体" w:eastAsia="宋体" w:cs="宋体"/>
          <w:color w:val="auto"/>
          <w:sz w:val="24"/>
          <w:szCs w:val="24"/>
          <w:highlight w:val="none"/>
        </w:rPr>
        <w:t>。</w:t>
      </w:r>
    </w:p>
    <w:p w14:paraId="1B7E9D88">
      <w:pPr>
        <w:keepNext w:val="0"/>
        <w:keepLines w:val="0"/>
        <w:pageBreakBefore w:val="0"/>
        <w:widowControl w:val="0"/>
        <w:kinsoku/>
        <w:wordWrap/>
        <w:overflowPunct/>
        <w:topLinePunct w:val="0"/>
        <w:autoSpaceDE w:val="0"/>
        <w:autoSpaceDN w:val="0"/>
        <w:bidi w:val="0"/>
        <w:snapToGrid/>
        <w:spacing w:line="340" w:lineRule="exact"/>
        <w:ind w:left="669" w:leftChars="304"/>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 xml:space="preserve">   工程竣工后壹个月                </w:t>
      </w:r>
      <w:r>
        <w:rPr>
          <w:rFonts w:hint="eastAsia" w:ascii="宋体" w:hAnsi="宋体" w:eastAsia="宋体" w:cs="宋体"/>
          <w:color w:val="auto"/>
          <w:sz w:val="24"/>
          <w:szCs w:val="24"/>
          <w:highlight w:val="none"/>
        </w:rPr>
        <w:t>。</w:t>
      </w:r>
    </w:p>
    <w:p w14:paraId="2AADB1D6">
      <w:pPr>
        <w:keepNext w:val="0"/>
        <w:keepLines w:val="0"/>
        <w:pageBreakBefore w:val="0"/>
        <w:widowControl w:val="0"/>
        <w:kinsoku/>
        <w:wordWrap/>
        <w:overflowPunct/>
        <w:topLinePunct w:val="0"/>
        <w:autoSpaceDE w:val="0"/>
        <w:autoSpaceDN w:val="0"/>
        <w:bidi w:val="0"/>
        <w:snapToGrid/>
        <w:spacing w:line="340" w:lineRule="exact"/>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 xml:space="preserve">    书面                            </w:t>
      </w:r>
      <w:r>
        <w:rPr>
          <w:rFonts w:hint="eastAsia" w:ascii="宋体" w:hAnsi="宋体" w:eastAsia="宋体" w:cs="宋体"/>
          <w:color w:val="auto"/>
          <w:sz w:val="24"/>
          <w:szCs w:val="24"/>
          <w:highlight w:val="none"/>
        </w:rPr>
        <w:t>。</w:t>
      </w:r>
    </w:p>
    <w:p w14:paraId="6DC138AE">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（6）承包人应履行的其他义务：</w:t>
      </w:r>
      <w:r>
        <w:rPr>
          <w:rFonts w:hint="eastAsia" w:ascii="宋体" w:hAnsi="宋体" w:eastAsia="宋体" w:cs="宋体"/>
          <w:color w:val="auto"/>
          <w:sz w:val="24"/>
          <w:szCs w:val="24"/>
          <w:highlight w:val="none"/>
          <w:u w:val="single"/>
        </w:rPr>
        <w:t xml:space="preserve"> 双方协商确定                       </w:t>
      </w:r>
      <w:r>
        <w:rPr>
          <w:rFonts w:hint="eastAsia" w:ascii="宋体" w:hAnsi="宋体" w:eastAsia="宋体" w:cs="宋体"/>
          <w:color w:val="auto"/>
          <w:sz w:val="24"/>
          <w:szCs w:val="24"/>
          <w:highlight w:val="none"/>
        </w:rPr>
        <w:t>。</w:t>
      </w:r>
    </w:p>
    <w:p w14:paraId="4EC06E2D">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项目负责人</w:t>
      </w:r>
    </w:p>
    <w:p w14:paraId="506C8AB1">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3.2.1 </w:t>
      </w:r>
      <w:r>
        <w:rPr>
          <w:rFonts w:hint="eastAsia" w:ascii="宋体" w:hAnsi="宋体" w:eastAsia="宋体" w:cs="宋体"/>
          <w:color w:val="auto"/>
          <w:sz w:val="24"/>
          <w:szCs w:val="24"/>
          <w:highlight w:val="none"/>
        </w:rPr>
        <w:t>项目负责人：</w:t>
      </w:r>
    </w:p>
    <w:p w14:paraId="659AF631">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A0F268E">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FDDC887">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0C2846F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6F41C67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43DE170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5414C320">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86DCFB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D395D96">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F424AA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承包人对项目负责人的授权范围如下：</w:t>
      </w:r>
      <w:r>
        <w:rPr>
          <w:rFonts w:hint="eastAsia" w:ascii="宋体" w:hAnsi="宋体" w:eastAsia="宋体" w:cs="宋体"/>
          <w:color w:val="auto"/>
          <w:sz w:val="24"/>
          <w:szCs w:val="24"/>
          <w:highlight w:val="none"/>
          <w:u w:val="single"/>
        </w:rPr>
        <w:t>全面负责项目施工过程中质量、安全、进度管理工作</w:t>
      </w:r>
      <w:r>
        <w:rPr>
          <w:rFonts w:hint="eastAsia" w:ascii="宋体" w:hAnsi="宋体" w:eastAsia="宋体" w:cs="宋体"/>
          <w:color w:val="auto"/>
          <w:sz w:val="24"/>
          <w:szCs w:val="24"/>
          <w:highlight w:val="none"/>
        </w:rPr>
        <w:t>。</w:t>
      </w:r>
    </w:p>
    <w:p w14:paraId="504602E7">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关于项目负责人每月在施工现场的时间要求：</w:t>
      </w:r>
      <w:r>
        <w:rPr>
          <w:rFonts w:hint="eastAsia" w:ascii="宋体" w:hAnsi="宋体" w:eastAsia="宋体" w:cs="宋体"/>
          <w:color w:val="auto"/>
          <w:sz w:val="24"/>
          <w:szCs w:val="24"/>
          <w:highlight w:val="none"/>
          <w:u w:val="single"/>
        </w:rPr>
        <w:t xml:space="preserve">       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8DF6BE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承包人未提交劳动合同，以及没有为项目负责人缴纳社会保险证明的违约责任：</w:t>
      </w:r>
      <w:r>
        <w:rPr>
          <w:rFonts w:hint="eastAsia" w:ascii="宋体" w:hAnsi="宋体" w:eastAsia="宋体" w:cs="宋体"/>
          <w:color w:val="auto"/>
          <w:sz w:val="24"/>
          <w:szCs w:val="24"/>
          <w:highlight w:val="none"/>
          <w:u w:val="single"/>
        </w:rPr>
        <w:t>承包人承担上述违约责任给发包人造成的损失</w:t>
      </w:r>
      <w:r>
        <w:rPr>
          <w:rFonts w:hint="eastAsia" w:ascii="宋体" w:hAnsi="宋体" w:eastAsia="宋体" w:cs="宋体"/>
          <w:color w:val="auto"/>
          <w:sz w:val="24"/>
          <w:szCs w:val="24"/>
          <w:highlight w:val="none"/>
        </w:rPr>
        <w:t>。</w:t>
      </w:r>
    </w:p>
    <w:p w14:paraId="400F65E3">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项目负责人未经批准，擅自离开施工现场的违约责任：</w:t>
      </w:r>
      <w:r>
        <w:rPr>
          <w:rFonts w:hint="eastAsia" w:ascii="宋体" w:hAnsi="宋体" w:eastAsia="宋体" w:cs="宋体"/>
          <w:color w:val="auto"/>
          <w:sz w:val="24"/>
          <w:szCs w:val="24"/>
          <w:highlight w:val="none"/>
          <w:u w:val="single"/>
        </w:rPr>
        <w:t xml:space="preserve">  承包人承担上述违约责任给发包人造成的损失    </w:t>
      </w:r>
      <w:r>
        <w:rPr>
          <w:rFonts w:hint="eastAsia" w:ascii="宋体" w:hAnsi="宋体" w:eastAsia="宋体" w:cs="宋体"/>
          <w:color w:val="auto"/>
          <w:sz w:val="24"/>
          <w:szCs w:val="24"/>
          <w:highlight w:val="none"/>
        </w:rPr>
        <w:t>。</w:t>
      </w:r>
    </w:p>
    <w:p w14:paraId="27E2FCC5">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承包人擅自更换项目负责人的违约责任：</w:t>
      </w:r>
      <w:r>
        <w:rPr>
          <w:rFonts w:hint="eastAsia" w:ascii="宋体" w:hAnsi="宋体" w:eastAsia="宋体" w:cs="宋体"/>
          <w:color w:val="auto"/>
          <w:sz w:val="24"/>
          <w:szCs w:val="24"/>
          <w:highlight w:val="none"/>
          <w:u w:val="single"/>
        </w:rPr>
        <w:t>承包人承担上述违约责任给发包人造成的损失</w:t>
      </w:r>
      <w:r>
        <w:rPr>
          <w:rFonts w:hint="eastAsia" w:ascii="宋体" w:hAnsi="宋体" w:eastAsia="宋体" w:cs="宋体"/>
          <w:color w:val="auto"/>
          <w:sz w:val="24"/>
          <w:szCs w:val="24"/>
          <w:highlight w:val="none"/>
        </w:rPr>
        <w:t>。</w:t>
      </w:r>
    </w:p>
    <w:p w14:paraId="6A379F7F">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承包人无正当理由拒绝更换项目负责人的违约责任：</w:t>
      </w:r>
      <w:r>
        <w:rPr>
          <w:rFonts w:hint="eastAsia" w:ascii="宋体" w:hAnsi="宋体" w:eastAsia="宋体" w:cs="宋体"/>
          <w:color w:val="auto"/>
          <w:sz w:val="24"/>
          <w:szCs w:val="24"/>
          <w:highlight w:val="none"/>
          <w:u w:val="single"/>
        </w:rPr>
        <w:t xml:space="preserve">  承包人承担上述违约责任给发包人造成的损失  </w:t>
      </w:r>
      <w:r>
        <w:rPr>
          <w:rFonts w:hint="eastAsia" w:ascii="宋体" w:hAnsi="宋体" w:eastAsia="宋体" w:cs="宋体"/>
          <w:color w:val="auto"/>
          <w:sz w:val="24"/>
          <w:szCs w:val="24"/>
          <w:highlight w:val="none"/>
        </w:rPr>
        <w:t>。</w:t>
      </w:r>
    </w:p>
    <w:p w14:paraId="30C9B877">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承包人人员</w:t>
      </w:r>
    </w:p>
    <w:p w14:paraId="59E81B5E">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承包人提交项目管理机构及施工现场管理人员安排报告的期限：</w:t>
      </w:r>
      <w:r>
        <w:rPr>
          <w:rFonts w:hint="eastAsia" w:ascii="宋体" w:hAnsi="宋体" w:eastAsia="宋体" w:cs="宋体"/>
          <w:color w:val="auto"/>
          <w:sz w:val="24"/>
          <w:szCs w:val="24"/>
          <w:highlight w:val="none"/>
          <w:u w:val="single"/>
        </w:rPr>
        <w:t xml:space="preserve">工程开工前2天  </w:t>
      </w:r>
      <w:r>
        <w:rPr>
          <w:rFonts w:hint="eastAsia" w:ascii="宋体" w:hAnsi="宋体" w:eastAsia="宋体" w:cs="宋体"/>
          <w:color w:val="auto"/>
          <w:sz w:val="24"/>
          <w:szCs w:val="24"/>
          <w:highlight w:val="none"/>
        </w:rPr>
        <w:t>。</w:t>
      </w:r>
    </w:p>
    <w:p w14:paraId="43AB9A5B">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承包人无正当理由拒绝撤换主要施工管理人员的违约责任：</w:t>
      </w:r>
      <w:r>
        <w:rPr>
          <w:rFonts w:hint="eastAsia" w:ascii="宋体" w:hAnsi="宋体" w:eastAsia="宋体" w:cs="宋体"/>
          <w:color w:val="auto"/>
          <w:sz w:val="24"/>
          <w:szCs w:val="24"/>
          <w:highlight w:val="none"/>
          <w:u w:val="single"/>
        </w:rPr>
        <w:t xml:space="preserve"> 承包人承担上述违约责任给发包人造成的损失      </w:t>
      </w:r>
      <w:r>
        <w:rPr>
          <w:rFonts w:hint="eastAsia" w:ascii="宋体" w:hAnsi="宋体" w:eastAsia="宋体" w:cs="宋体"/>
          <w:color w:val="auto"/>
          <w:sz w:val="24"/>
          <w:szCs w:val="24"/>
          <w:highlight w:val="none"/>
        </w:rPr>
        <w:t>。</w:t>
      </w:r>
    </w:p>
    <w:p w14:paraId="5F7C2FF8">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3.3.4 承包人主要施工管理人员离开施工现场的批准要求： </w:t>
      </w:r>
      <w:r>
        <w:rPr>
          <w:rFonts w:hint="eastAsia" w:ascii="宋体" w:hAnsi="宋体" w:eastAsia="宋体" w:cs="宋体"/>
          <w:color w:val="auto"/>
          <w:sz w:val="24"/>
          <w:szCs w:val="24"/>
          <w:highlight w:val="none"/>
          <w:u w:val="single"/>
        </w:rPr>
        <w:t xml:space="preserve">由发包人师批准后方可离开      </w:t>
      </w:r>
      <w:r>
        <w:rPr>
          <w:rFonts w:hint="eastAsia" w:ascii="宋体" w:hAnsi="宋体" w:eastAsia="宋体" w:cs="宋体"/>
          <w:color w:val="auto"/>
          <w:sz w:val="24"/>
          <w:szCs w:val="24"/>
          <w:highlight w:val="none"/>
        </w:rPr>
        <w:t>。</w:t>
      </w:r>
    </w:p>
    <w:p w14:paraId="61B34FFB">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3.3.5承包人擅自更换主要施工管理人员的违约责任：</w:t>
      </w:r>
      <w:r>
        <w:rPr>
          <w:rFonts w:hint="eastAsia" w:ascii="宋体" w:hAnsi="宋体" w:eastAsia="宋体" w:cs="宋体"/>
          <w:color w:val="auto"/>
          <w:sz w:val="24"/>
          <w:szCs w:val="24"/>
          <w:highlight w:val="none"/>
          <w:u w:val="single"/>
        </w:rPr>
        <w:t xml:space="preserve">承包人承担上述违约责任给发包人造成的损失    </w:t>
      </w:r>
      <w:r>
        <w:rPr>
          <w:rFonts w:hint="eastAsia" w:ascii="宋体" w:hAnsi="宋体" w:eastAsia="宋体" w:cs="宋体"/>
          <w:color w:val="auto"/>
          <w:sz w:val="24"/>
          <w:szCs w:val="24"/>
          <w:highlight w:val="none"/>
        </w:rPr>
        <w:t>。</w:t>
      </w:r>
    </w:p>
    <w:p w14:paraId="62285C9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承包人主要施工管理人员擅自离开施工现场的违约责任：</w:t>
      </w:r>
      <w:r>
        <w:rPr>
          <w:rFonts w:hint="eastAsia" w:ascii="宋体" w:hAnsi="宋体" w:eastAsia="宋体" w:cs="宋体"/>
          <w:color w:val="auto"/>
          <w:sz w:val="24"/>
          <w:szCs w:val="24"/>
          <w:highlight w:val="none"/>
          <w:u w:val="single"/>
        </w:rPr>
        <w:t xml:space="preserve"> 承包人承担上述违约责任给发包人造成的损失  </w:t>
      </w:r>
      <w:r>
        <w:rPr>
          <w:rFonts w:hint="eastAsia" w:ascii="宋体" w:hAnsi="宋体" w:eastAsia="宋体" w:cs="宋体"/>
          <w:color w:val="auto"/>
          <w:sz w:val="24"/>
          <w:szCs w:val="24"/>
          <w:highlight w:val="none"/>
        </w:rPr>
        <w:t>。</w:t>
      </w:r>
    </w:p>
    <w:p w14:paraId="46B13419">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61" w:name="_Toc297048345"/>
      <w:bookmarkStart w:id="62" w:name="_Toc296347158"/>
      <w:bookmarkStart w:id="63" w:name="_Toc296944498"/>
      <w:bookmarkStart w:id="64" w:name="_Toc292559869"/>
      <w:bookmarkStart w:id="65" w:name="_Toc304295523"/>
      <w:bookmarkStart w:id="66" w:name="_Toc297120459"/>
      <w:bookmarkStart w:id="67" w:name="_Toc296890987"/>
      <w:bookmarkStart w:id="68" w:name="_Toc296503159"/>
      <w:bookmarkStart w:id="69" w:name="_Toc300934945"/>
      <w:bookmarkStart w:id="70" w:name="_Toc296346660"/>
      <w:bookmarkStart w:id="71" w:name="_Toc303539102"/>
      <w:bookmarkStart w:id="72" w:name="_Toc297123492"/>
      <w:bookmarkStart w:id="73" w:name="_Toc312677988"/>
      <w:bookmarkStart w:id="74" w:name="_Toc292559364"/>
      <w:bookmarkStart w:id="75" w:name="_Toc296891199"/>
      <w:bookmarkStart w:id="76" w:name="_Toc297216151"/>
      <w:r>
        <w:rPr>
          <w:rFonts w:hint="eastAsia" w:ascii="宋体" w:hAnsi="宋体" w:eastAsia="宋体" w:cs="宋体"/>
          <w:color w:val="auto"/>
          <w:sz w:val="24"/>
          <w:szCs w:val="24"/>
          <w:highlight w:val="none"/>
        </w:rPr>
        <w:t>.5 分包</w:t>
      </w:r>
    </w:p>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14:paraId="7329C075">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77" w:name="_Toc297120460"/>
      <w:bookmarkStart w:id="78" w:name="_Toc292559870"/>
      <w:bookmarkStart w:id="79" w:name="_Toc296346661"/>
      <w:bookmarkStart w:id="80" w:name="_Toc296944499"/>
      <w:bookmarkStart w:id="81" w:name="_Toc304295524"/>
      <w:bookmarkStart w:id="82" w:name="_Toc297123493"/>
      <w:bookmarkStart w:id="83" w:name="_Toc292559365"/>
      <w:bookmarkStart w:id="84" w:name="_Toc297216152"/>
      <w:bookmarkStart w:id="85" w:name="_Toc303539103"/>
      <w:bookmarkStart w:id="86" w:name="_Toc300934946"/>
      <w:bookmarkStart w:id="87" w:name="_Toc296503160"/>
      <w:bookmarkStart w:id="88" w:name="_Toc296890988"/>
      <w:bookmarkStart w:id="89" w:name="_Toc296891200"/>
      <w:bookmarkStart w:id="90" w:name="_Toc297048346"/>
      <w:bookmarkStart w:id="91" w:name="_Toc296347159"/>
      <w:bookmarkStart w:id="92" w:name="_Toc312677989"/>
      <w:bookmarkStart w:id="93" w:name="_Toc318581158"/>
      <w:r>
        <w:rPr>
          <w:rFonts w:hint="eastAsia" w:ascii="宋体" w:hAnsi="宋体" w:eastAsia="宋体" w:cs="宋体"/>
          <w:color w:val="auto"/>
          <w:sz w:val="24"/>
          <w:szCs w:val="24"/>
          <w:highlight w:val="none"/>
        </w:rPr>
        <w:t>.5.1 分包的一般约定</w:t>
      </w:r>
    </w:p>
    <w:p w14:paraId="1BE2332A">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禁止分包的工程包括：</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w:t>
      </w:r>
    </w:p>
    <w:p w14:paraId="73B5895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主体结构、关键性工作的范围：</w:t>
      </w:r>
      <w:r>
        <w:rPr>
          <w:rFonts w:hint="eastAsia" w:ascii="宋体" w:hAnsi="宋体" w:eastAsia="宋体" w:cs="宋体"/>
          <w:color w:val="auto"/>
          <w:sz w:val="24"/>
          <w:szCs w:val="24"/>
          <w:highlight w:val="none"/>
          <w:u w:val="single"/>
        </w:rPr>
        <w:t xml:space="preserve">执行通用条款          </w:t>
      </w:r>
      <w:r>
        <w:rPr>
          <w:rFonts w:hint="eastAsia" w:ascii="宋体" w:hAnsi="宋体" w:eastAsia="宋体" w:cs="宋体"/>
          <w:color w:val="auto"/>
          <w:sz w:val="24"/>
          <w:szCs w:val="24"/>
          <w:highlight w:val="none"/>
        </w:rPr>
        <w:t>。</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Start w:id="94" w:name="_Toc296944500"/>
      <w:bookmarkStart w:id="95" w:name="_Toc296503161"/>
      <w:bookmarkStart w:id="96" w:name="_Toc304295525"/>
      <w:bookmarkStart w:id="97" w:name="_Toc296891201"/>
      <w:bookmarkStart w:id="98" w:name="_Toc297120461"/>
      <w:bookmarkStart w:id="99" w:name="_Toc303539104"/>
      <w:bookmarkStart w:id="100" w:name="_Toc297123494"/>
      <w:bookmarkStart w:id="101" w:name="_Toc296890989"/>
      <w:bookmarkStart w:id="102" w:name="_Toc297216153"/>
      <w:bookmarkStart w:id="103" w:name="_Toc300934947"/>
      <w:bookmarkStart w:id="104" w:name="_Toc296347160"/>
      <w:bookmarkStart w:id="105" w:name="_Toc297048347"/>
      <w:bookmarkStart w:id="106" w:name="_Toc296346662"/>
    </w:p>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14:paraId="22761518">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107" w:name="_Toc312677990"/>
      <w:bookmarkStart w:id="108" w:name="_Toc318581159"/>
      <w:r>
        <w:rPr>
          <w:rFonts w:hint="eastAsia" w:ascii="宋体" w:hAnsi="宋体" w:eastAsia="宋体" w:cs="宋体"/>
          <w:color w:val="auto"/>
          <w:sz w:val="24"/>
          <w:szCs w:val="24"/>
          <w:highlight w:val="none"/>
        </w:rPr>
        <w:t>.5.2分包的确定</w:t>
      </w:r>
    </w:p>
    <w:p w14:paraId="1531284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允许分包的专业工程包括：</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7840833A">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其他关于分包的约定：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580FEB94">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 分包合同价款</w:t>
      </w:r>
    </w:p>
    <w:p w14:paraId="41E2ADFD">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关于分包合同价款支付的约定：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bookmarkEnd w:id="107"/>
    <w:bookmarkEnd w:id="108"/>
    <w:p w14:paraId="5DEA0CDF">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p>
    <w:p w14:paraId="6B3DCD37">
      <w:pPr>
        <w:keepNext w:val="0"/>
        <w:keepLines w:val="0"/>
        <w:pageBreakBefore w:val="0"/>
        <w:widowControl w:val="0"/>
        <w:kinsoku/>
        <w:wordWrap/>
        <w:overflowPunct/>
        <w:topLinePunct w:val="0"/>
        <w:autoSpaceDE w:val="0"/>
        <w:autoSpaceDN w:val="0"/>
        <w:bidi w:val="0"/>
        <w:snapToGrid/>
        <w:spacing w:before="120" w:after="120" w:line="340" w:lineRule="exact"/>
        <w:ind w:firstLine="480" w:firstLineChars="20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承包人负责照管工程及工程相关的材料、工程设备的起始时间：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材料、设备进场至验交付使用前由承包人负责保修，交付使用后由发包人做成品保护</w:t>
      </w:r>
      <w:r>
        <w:rPr>
          <w:rFonts w:hint="eastAsia"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14:paraId="03569863">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履约担保</w:t>
      </w:r>
    </w:p>
    <w:p w14:paraId="1922791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承包人是否提供履约担保：</w:t>
      </w:r>
      <w:r>
        <w:rPr>
          <w:rFonts w:hint="eastAsia" w:ascii="宋体" w:hAnsi="宋体" w:eastAsia="宋体" w:cs="宋体"/>
          <w:color w:val="auto"/>
          <w:sz w:val="24"/>
          <w:szCs w:val="24"/>
          <w:highlight w:val="none"/>
          <w:u w:val="single"/>
        </w:rPr>
        <w:t xml:space="preserve">   发包人与承包人协商确定  </w:t>
      </w:r>
      <w:r>
        <w:rPr>
          <w:rFonts w:hint="eastAsia" w:ascii="宋体" w:hAnsi="宋体" w:eastAsia="宋体" w:cs="宋体"/>
          <w:color w:val="auto"/>
          <w:sz w:val="24"/>
          <w:szCs w:val="24"/>
          <w:highlight w:val="none"/>
        </w:rPr>
        <w:t>。</w:t>
      </w:r>
    </w:p>
    <w:p w14:paraId="166FF0A7">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承包人提供履约担保的形式、金额及期限的：</w:t>
      </w:r>
      <w:r>
        <w:rPr>
          <w:rFonts w:hint="eastAsia" w:ascii="宋体" w:hAnsi="宋体" w:eastAsia="宋体" w:cs="宋体"/>
          <w:color w:val="auto"/>
          <w:sz w:val="24"/>
          <w:szCs w:val="24"/>
          <w:highlight w:val="none"/>
          <w:u w:val="single"/>
        </w:rPr>
        <w:t xml:space="preserve"> 发包人与承包人协商确定  </w:t>
      </w:r>
      <w:r>
        <w:rPr>
          <w:rFonts w:hint="eastAsia" w:ascii="宋体" w:hAnsi="宋体" w:eastAsia="宋体" w:cs="宋体"/>
          <w:color w:val="auto"/>
          <w:sz w:val="24"/>
          <w:szCs w:val="24"/>
          <w:highlight w:val="none"/>
        </w:rPr>
        <w:t>。</w:t>
      </w:r>
    </w:p>
    <w:p w14:paraId="34510E06">
      <w:pPr>
        <w:pStyle w:val="7"/>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 监理人</w:t>
      </w:r>
    </w:p>
    <w:p w14:paraId="3A183C70">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14:paraId="3D0E0CE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7BC44A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关于监理人的监理权限：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D37B72E">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关于监理人在施工现场的办公场所、生活场所的提供和费用承担的约定：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4B89DEB">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监理人员</w:t>
      </w:r>
    </w:p>
    <w:p w14:paraId="7FA07536">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w:t>
      </w:r>
    </w:p>
    <w:p w14:paraId="21BBE7AC">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    </w:t>
      </w:r>
      <w:r>
        <w:rPr>
          <w:rFonts w:hint="eastAsia" w:ascii="宋体" w:hAnsi="宋体" w:eastAsia="宋体" w:cs="宋体"/>
          <w:color w:val="auto"/>
          <w:sz w:val="24"/>
          <w:szCs w:val="24"/>
          <w:highlight w:val="none"/>
        </w:rPr>
        <w:t>；</w:t>
      </w:r>
    </w:p>
    <w:p w14:paraId="21DDF46E">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603EAC8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监理工程师执业资格证书号：</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4C307E70">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5FAEF085">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0A673439">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F23B20C">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关于监理人的其他约定：</w:t>
      </w:r>
      <w:r>
        <w:rPr>
          <w:rFonts w:hint="eastAsia" w:ascii="宋体" w:hAnsi="宋体" w:eastAsia="宋体" w:cs="宋体"/>
          <w:color w:val="auto"/>
          <w:sz w:val="24"/>
          <w:szCs w:val="24"/>
          <w:highlight w:val="none"/>
          <w:u w:val="single"/>
        </w:rPr>
        <w:t></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 </w:t>
      </w:r>
      <w:r>
        <w:rPr>
          <w:rFonts w:hint="eastAsia" w:ascii="宋体" w:hAnsi="宋体" w:eastAsia="宋体" w:cs="宋体"/>
          <w:color w:val="auto"/>
          <w:sz w:val="24"/>
          <w:szCs w:val="24"/>
          <w:highlight w:val="none"/>
        </w:rPr>
        <w:t>。</w:t>
      </w:r>
    </w:p>
    <w:p w14:paraId="256434A0">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商定或确定</w:t>
      </w:r>
    </w:p>
    <w:p w14:paraId="17BC2CB6">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在发包人和承包人不能通过协商达成一致意见时，发包人授权监理人对以下事项进行确定：</w:t>
      </w:r>
    </w:p>
    <w:p w14:paraId="42229847">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B594688">
      <w:pPr>
        <w:pStyle w:val="7"/>
        <w:keepNext w:val="0"/>
        <w:keepLines w:val="0"/>
        <w:pageBreakBefore w:val="0"/>
        <w:widowControl w:val="0"/>
        <w:kinsoku/>
        <w:wordWrap/>
        <w:overflowPunct/>
        <w:topLinePunct w:val="0"/>
        <w:autoSpaceDE w:val="0"/>
        <w:autoSpaceDN w:val="0"/>
        <w:bidi w:val="0"/>
        <w:snapToGrid/>
        <w:spacing w:before="120" w:after="120" w:line="34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 工程质量</w:t>
      </w:r>
    </w:p>
    <w:p w14:paraId="2B20F528">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质量要求</w:t>
      </w:r>
    </w:p>
    <w:p w14:paraId="6A67BADC">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 特殊质量标准和要求：</w:t>
      </w:r>
      <w:r>
        <w:rPr>
          <w:rFonts w:hint="eastAsia" w:ascii="宋体" w:hAnsi="宋体" w:eastAsia="宋体" w:cs="宋体"/>
          <w:color w:val="auto"/>
          <w:sz w:val="24"/>
          <w:szCs w:val="24"/>
          <w:highlight w:val="none"/>
          <w:u w:val="single"/>
        </w:rPr>
        <w:t xml:space="preserve">     合格     </w:t>
      </w:r>
      <w:r>
        <w:rPr>
          <w:rFonts w:hint="eastAsia" w:ascii="宋体" w:hAnsi="宋体" w:eastAsia="宋体" w:cs="宋体"/>
          <w:color w:val="auto"/>
          <w:sz w:val="24"/>
          <w:szCs w:val="24"/>
          <w:highlight w:val="none"/>
        </w:rPr>
        <w:t>。</w:t>
      </w:r>
    </w:p>
    <w:p w14:paraId="5896D35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关于工程奖项的约定：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D95CBDA">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隐蔽工程检查</w:t>
      </w:r>
    </w:p>
    <w:p w14:paraId="4364C3DF">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5.3.2承包人提前通知监理人隐蔽工程检查的期限的约定：</w:t>
      </w:r>
      <w:r>
        <w:rPr>
          <w:rFonts w:hint="eastAsia" w:ascii="宋体" w:hAnsi="宋体" w:eastAsia="宋体" w:cs="宋体"/>
          <w:color w:val="auto"/>
          <w:sz w:val="24"/>
          <w:szCs w:val="24"/>
          <w:highlight w:val="none"/>
          <w:u w:val="single"/>
        </w:rPr>
        <w:t>共同检查前48小时书面通知监理人</w:t>
      </w:r>
      <w:r>
        <w:rPr>
          <w:rFonts w:hint="eastAsia" w:ascii="宋体" w:hAnsi="宋体" w:eastAsia="宋体" w:cs="宋体"/>
          <w:color w:val="auto"/>
          <w:sz w:val="24"/>
          <w:szCs w:val="24"/>
          <w:highlight w:val="none"/>
        </w:rPr>
        <w:t>。</w:t>
      </w:r>
    </w:p>
    <w:p w14:paraId="31DCA9D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0F72B02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750B6A6C">
      <w:pPr>
        <w:pStyle w:val="7"/>
        <w:keepNext w:val="0"/>
        <w:keepLines w:val="0"/>
        <w:pageBreakBefore w:val="0"/>
        <w:widowControl w:val="0"/>
        <w:kinsoku/>
        <w:wordWrap/>
        <w:overflowPunct/>
        <w:topLinePunct w:val="0"/>
        <w:autoSpaceDE w:val="0"/>
        <w:autoSpaceDN w:val="0"/>
        <w:bidi w:val="0"/>
        <w:snapToGrid/>
        <w:spacing w:before="120" w:after="120" w:line="34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6. 安全文明施工与环境保护</w:t>
      </w:r>
    </w:p>
    <w:p w14:paraId="49CED918">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14:paraId="682F4D63">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项目安全生产的达标目标及相应事项的约定：</w:t>
      </w:r>
      <w:r>
        <w:rPr>
          <w:rFonts w:hint="eastAsia" w:ascii="宋体" w:hAnsi="宋体" w:eastAsia="宋体" w:cs="宋体"/>
          <w:color w:val="auto"/>
          <w:sz w:val="24"/>
          <w:szCs w:val="24"/>
          <w:highlight w:val="none"/>
          <w:u w:val="single"/>
        </w:rPr>
        <w:t>达到《建筑工程安全检查标准》（JGJ59-2011）标准</w:t>
      </w:r>
      <w:r>
        <w:rPr>
          <w:rFonts w:hint="eastAsia" w:ascii="宋体" w:hAnsi="宋体" w:eastAsia="宋体" w:cs="宋体"/>
          <w:color w:val="auto"/>
          <w:sz w:val="24"/>
          <w:szCs w:val="24"/>
          <w:highlight w:val="none"/>
        </w:rPr>
        <w:t>。</w:t>
      </w:r>
    </w:p>
    <w:p w14:paraId="4AA9112F">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关于治安保卫的特别约定：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3570910D">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color w:val="auto"/>
          <w:sz w:val="24"/>
          <w:szCs w:val="24"/>
          <w:highlight w:val="none"/>
          <w:u w:val="single"/>
        </w:rPr>
        <w:t xml:space="preserve">     开工前提供场地治安管理计划       </w:t>
      </w:r>
      <w:r>
        <w:rPr>
          <w:rFonts w:hint="eastAsia" w:ascii="宋体" w:hAnsi="宋体" w:eastAsia="宋体" w:cs="宋体"/>
          <w:color w:val="auto"/>
          <w:sz w:val="24"/>
          <w:szCs w:val="24"/>
          <w:highlight w:val="none"/>
        </w:rPr>
        <w:t>。</w:t>
      </w:r>
    </w:p>
    <w:p w14:paraId="5034F0EA">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文明施工</w:t>
      </w:r>
    </w:p>
    <w:p w14:paraId="180E813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color w:val="auto"/>
          <w:sz w:val="24"/>
          <w:szCs w:val="24"/>
          <w:highlight w:val="none"/>
          <w:u w:val="single"/>
        </w:rPr>
        <w:t>达到《建筑施工现场环境与卫生标准》（JGJ146-2004）标准</w:t>
      </w:r>
      <w:r>
        <w:rPr>
          <w:rFonts w:hint="eastAsia" w:ascii="宋体" w:hAnsi="宋体" w:eastAsia="宋体" w:cs="宋体"/>
          <w:color w:val="auto"/>
          <w:sz w:val="24"/>
          <w:szCs w:val="24"/>
          <w:highlight w:val="none"/>
        </w:rPr>
        <w:t>。</w:t>
      </w:r>
    </w:p>
    <w:p w14:paraId="080D0DE0">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6.1.6 关于安全文明施工费支付比例和支付期限的约定：</w:t>
      </w:r>
      <w:r>
        <w:rPr>
          <w:rFonts w:hint="eastAsia" w:ascii="宋体" w:hAnsi="宋体" w:eastAsia="宋体" w:cs="宋体"/>
          <w:color w:val="auto"/>
          <w:sz w:val="24"/>
          <w:szCs w:val="24"/>
          <w:highlight w:val="none"/>
          <w:u w:val="single"/>
        </w:rPr>
        <w:t xml:space="preserve">  纳入合同价格支付    </w:t>
      </w:r>
      <w:r>
        <w:rPr>
          <w:rFonts w:hint="eastAsia" w:ascii="宋体" w:hAnsi="宋体" w:eastAsia="宋体" w:cs="宋体"/>
          <w:color w:val="auto"/>
          <w:sz w:val="24"/>
          <w:szCs w:val="24"/>
          <w:highlight w:val="none"/>
        </w:rPr>
        <w:t>。</w:t>
      </w:r>
    </w:p>
    <w:p w14:paraId="339DFA7A">
      <w:pPr>
        <w:pStyle w:val="7"/>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109" w:name="_Toc351203639"/>
      <w:r>
        <w:rPr>
          <w:rFonts w:hint="eastAsia" w:ascii="宋体" w:hAnsi="宋体" w:eastAsia="宋体" w:cs="宋体"/>
          <w:b w:val="0"/>
          <w:color w:val="auto"/>
          <w:sz w:val="24"/>
          <w:szCs w:val="24"/>
          <w:highlight w:val="none"/>
        </w:rPr>
        <w:t>7. 工期和进度</w:t>
      </w:r>
      <w:bookmarkEnd w:id="109"/>
    </w:p>
    <w:p w14:paraId="41778891">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施工组织设计</w:t>
      </w:r>
    </w:p>
    <w:p w14:paraId="03F48872">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7.1.1 合</w:t>
      </w:r>
      <w:r>
        <w:rPr>
          <w:rFonts w:hint="eastAsia" w:ascii="宋体" w:hAnsi="宋体" w:eastAsia="宋体" w:cs="宋体"/>
          <w:color w:val="auto"/>
          <w:kern w:val="0"/>
          <w:sz w:val="24"/>
          <w:szCs w:val="24"/>
          <w:highlight w:val="none"/>
        </w:rPr>
        <w:t>同当事人约定的施工组织设计应包括的其他内容：</w:t>
      </w:r>
      <w:r>
        <w:rPr>
          <w:rFonts w:hint="eastAsia" w:ascii="宋体" w:hAnsi="宋体" w:eastAsia="宋体" w:cs="宋体"/>
          <w:color w:val="auto"/>
          <w:sz w:val="24"/>
          <w:szCs w:val="24"/>
          <w:highlight w:val="none"/>
          <w:u w:val="single"/>
        </w:rPr>
        <w:t xml:space="preserve">按通用条款执行   </w:t>
      </w:r>
      <w:r>
        <w:rPr>
          <w:rFonts w:hint="eastAsia" w:ascii="宋体" w:hAnsi="宋体" w:eastAsia="宋体" w:cs="宋体"/>
          <w:color w:val="auto"/>
          <w:sz w:val="24"/>
          <w:szCs w:val="24"/>
          <w:highlight w:val="none"/>
        </w:rPr>
        <w:t>。</w:t>
      </w:r>
    </w:p>
    <w:p w14:paraId="53BA4EC3">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7.1.2 </w:t>
      </w:r>
      <w:r>
        <w:rPr>
          <w:rFonts w:hint="eastAsia" w:ascii="宋体" w:hAnsi="宋体" w:eastAsia="宋体" w:cs="宋体"/>
          <w:color w:val="auto"/>
          <w:kern w:val="0"/>
          <w:sz w:val="24"/>
          <w:szCs w:val="24"/>
          <w:highlight w:val="none"/>
        </w:rPr>
        <w:t>施工组织设计的提交和修改</w:t>
      </w:r>
    </w:p>
    <w:p w14:paraId="1475C832">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承包人提交详细施工组织设计的期限的约定：</w:t>
      </w:r>
      <w:r>
        <w:rPr>
          <w:rFonts w:hint="eastAsia" w:ascii="宋体" w:hAnsi="宋体" w:eastAsia="宋体" w:cs="宋体"/>
          <w:color w:val="auto"/>
          <w:sz w:val="24"/>
          <w:szCs w:val="24"/>
          <w:highlight w:val="none"/>
          <w:u w:val="single"/>
        </w:rPr>
        <w:t xml:space="preserve">        开工前          </w:t>
      </w:r>
      <w:r>
        <w:rPr>
          <w:rFonts w:hint="eastAsia" w:ascii="宋体" w:hAnsi="宋体" w:eastAsia="宋体" w:cs="宋体"/>
          <w:color w:val="auto"/>
          <w:sz w:val="24"/>
          <w:szCs w:val="24"/>
          <w:highlight w:val="none"/>
        </w:rPr>
        <w:t>。</w:t>
      </w:r>
    </w:p>
    <w:p w14:paraId="28EF5FFB">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color w:val="auto"/>
          <w:sz w:val="24"/>
          <w:szCs w:val="24"/>
          <w:highlight w:val="none"/>
          <w:u w:val="single"/>
        </w:rPr>
        <w:t>收到后7天内</w:t>
      </w:r>
      <w:r>
        <w:rPr>
          <w:rFonts w:hint="eastAsia" w:ascii="宋体" w:hAnsi="宋体" w:eastAsia="宋体" w:cs="宋体"/>
          <w:color w:val="auto"/>
          <w:sz w:val="24"/>
          <w:szCs w:val="24"/>
          <w:highlight w:val="none"/>
        </w:rPr>
        <w:t>。</w:t>
      </w:r>
    </w:p>
    <w:p w14:paraId="262F6DB9">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10" w:name="_Toc297216173"/>
      <w:bookmarkStart w:id="111" w:name="_Toc312678005"/>
      <w:bookmarkStart w:id="112" w:name="_Toc297123514"/>
      <w:bookmarkStart w:id="113" w:name="_Toc304295541"/>
      <w:bookmarkStart w:id="114" w:name="_Toc300934966"/>
      <w:bookmarkStart w:id="115" w:name="_Toc303539123"/>
      <w:bookmarkStart w:id="116" w:name="_Toc312677479"/>
      <w:r>
        <w:rPr>
          <w:rFonts w:hint="eastAsia" w:ascii="宋体" w:hAnsi="宋体" w:eastAsia="宋体" w:cs="宋体"/>
          <w:color w:val="auto"/>
          <w:sz w:val="24"/>
          <w:szCs w:val="24"/>
          <w:highlight w:val="none"/>
        </w:rPr>
        <w:t>.2 施工进度计划</w:t>
      </w:r>
    </w:p>
    <w:p w14:paraId="2F7A04A7">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14:paraId="49E309B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color w:val="auto"/>
          <w:sz w:val="24"/>
          <w:szCs w:val="24"/>
          <w:highlight w:val="none"/>
          <w:u w:val="single"/>
        </w:rPr>
        <w:t xml:space="preserve"> 收到后5日内  </w:t>
      </w:r>
      <w:r>
        <w:rPr>
          <w:rFonts w:hint="eastAsia" w:ascii="宋体" w:hAnsi="宋体" w:eastAsia="宋体" w:cs="宋体"/>
          <w:color w:val="auto"/>
          <w:sz w:val="24"/>
          <w:szCs w:val="24"/>
          <w:highlight w:val="none"/>
        </w:rPr>
        <w:t>。</w:t>
      </w:r>
    </w:p>
    <w:p w14:paraId="6D824654">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开工</w:t>
      </w:r>
    </w:p>
    <w:p w14:paraId="0ADA07E5">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14:paraId="67282C3C">
      <w:pPr>
        <w:keepNext w:val="0"/>
        <w:keepLines w:val="0"/>
        <w:pageBreakBefore w:val="0"/>
        <w:widowControl w:val="0"/>
        <w:kinsoku/>
        <w:wordWrap/>
        <w:overflowPunct/>
        <w:topLinePunct w:val="0"/>
        <w:autoSpaceDE w:val="0"/>
        <w:autoSpaceDN w:val="0"/>
        <w:bidi w:val="0"/>
        <w:snapToGrid/>
        <w:spacing w:line="340" w:lineRule="exact"/>
        <w:ind w:firstLine="645"/>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关于承包人提交</w:t>
      </w:r>
      <w:r>
        <w:rPr>
          <w:rFonts w:hint="eastAsia" w:ascii="宋体" w:hAnsi="宋体" w:eastAsia="宋体" w:cs="宋体"/>
          <w:color w:val="auto"/>
          <w:kern w:val="0"/>
          <w:sz w:val="24"/>
          <w:szCs w:val="24"/>
          <w:highlight w:val="none"/>
        </w:rPr>
        <w:t>工程开工报审表的期限：</w:t>
      </w:r>
      <w:r>
        <w:rPr>
          <w:rFonts w:hint="eastAsia" w:ascii="宋体" w:hAnsi="宋体" w:eastAsia="宋体" w:cs="宋体"/>
          <w:color w:val="auto"/>
          <w:sz w:val="24"/>
          <w:szCs w:val="24"/>
          <w:highlight w:val="none"/>
          <w:u w:val="single"/>
        </w:rPr>
        <w:t xml:space="preserve">  合同签订后、开工前    </w:t>
      </w:r>
      <w:r>
        <w:rPr>
          <w:rFonts w:hint="eastAsia" w:ascii="宋体" w:hAnsi="宋体" w:eastAsia="宋体" w:cs="宋体"/>
          <w:color w:val="auto"/>
          <w:sz w:val="24"/>
          <w:szCs w:val="24"/>
          <w:highlight w:val="none"/>
        </w:rPr>
        <w:t>。</w:t>
      </w:r>
    </w:p>
    <w:p w14:paraId="4FE8C3DD">
      <w:pPr>
        <w:keepNext w:val="0"/>
        <w:keepLines w:val="0"/>
        <w:pageBreakBefore w:val="0"/>
        <w:widowControl w:val="0"/>
        <w:kinsoku/>
        <w:wordWrap/>
        <w:overflowPunct/>
        <w:topLinePunct w:val="0"/>
        <w:autoSpaceDE w:val="0"/>
        <w:autoSpaceDN w:val="0"/>
        <w:bidi w:val="0"/>
        <w:snapToGrid/>
        <w:spacing w:line="340" w:lineRule="exact"/>
        <w:ind w:firstLine="64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24A3AA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04BE1FC">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7.3.2开工通知</w:t>
      </w:r>
    </w:p>
    <w:p w14:paraId="34980450">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color w:val="auto"/>
          <w:sz w:val="24"/>
          <w:szCs w:val="24"/>
          <w:highlight w:val="none"/>
          <w:u w:val="single"/>
        </w:rPr>
        <w:t xml:space="preserve"> 180 </w:t>
      </w:r>
      <w:r>
        <w:rPr>
          <w:rFonts w:hint="eastAsia" w:ascii="宋体" w:hAnsi="宋体" w:eastAsia="宋体" w:cs="宋体"/>
          <w:color w:val="auto"/>
          <w:sz w:val="24"/>
          <w:szCs w:val="24"/>
          <w:highlight w:val="none"/>
        </w:rPr>
        <w:t>天内发出开工通知的，承包人有权提出价格调整要求，或者解除合同。</w:t>
      </w:r>
    </w:p>
    <w:bookmarkEnd w:id="110"/>
    <w:bookmarkEnd w:id="111"/>
    <w:bookmarkEnd w:id="112"/>
    <w:bookmarkEnd w:id="113"/>
    <w:bookmarkEnd w:id="114"/>
    <w:bookmarkEnd w:id="115"/>
    <w:bookmarkEnd w:id="116"/>
    <w:p w14:paraId="4832E36E">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测量放线</w:t>
      </w:r>
    </w:p>
    <w:p w14:paraId="13690D6A">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7.4.1发包人通过监理人向承包人提供测量基准点、基准线和水准点及其书面资料的期限：</w:t>
      </w:r>
      <w:r>
        <w:rPr>
          <w:rFonts w:hint="eastAsia" w:ascii="宋体" w:hAnsi="宋体" w:eastAsia="宋体" w:cs="宋体"/>
          <w:color w:val="auto"/>
          <w:sz w:val="24"/>
          <w:szCs w:val="24"/>
          <w:highlight w:val="none"/>
          <w:u w:val="single"/>
        </w:rPr>
        <w:t xml:space="preserve">  合同签订后、开工前             </w:t>
      </w:r>
      <w:r>
        <w:rPr>
          <w:rFonts w:hint="eastAsia" w:ascii="宋体" w:hAnsi="宋体" w:eastAsia="宋体" w:cs="宋体"/>
          <w:color w:val="auto"/>
          <w:sz w:val="24"/>
          <w:szCs w:val="24"/>
          <w:highlight w:val="none"/>
        </w:rPr>
        <w:t>。</w:t>
      </w:r>
    </w:p>
    <w:p w14:paraId="468E5392">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17" w:name="_Toc300934968"/>
      <w:bookmarkStart w:id="118" w:name="_Toc312677484"/>
      <w:bookmarkStart w:id="119" w:name="_Toc303539125"/>
      <w:bookmarkStart w:id="120" w:name="_Toc297123516"/>
      <w:bookmarkStart w:id="121" w:name="_Toc297216175"/>
      <w:bookmarkStart w:id="122" w:name="_Toc312678010"/>
      <w:bookmarkStart w:id="123" w:name="_Toc304295546"/>
      <w:r>
        <w:rPr>
          <w:rFonts w:hint="eastAsia" w:ascii="宋体" w:hAnsi="宋体" w:eastAsia="宋体" w:cs="宋体"/>
          <w:color w:val="auto"/>
          <w:sz w:val="24"/>
          <w:szCs w:val="24"/>
          <w:highlight w:val="none"/>
        </w:rPr>
        <w:t>.5 工期延误</w:t>
      </w:r>
    </w:p>
    <w:bookmarkEnd w:id="117"/>
    <w:bookmarkEnd w:id="118"/>
    <w:bookmarkEnd w:id="119"/>
    <w:bookmarkEnd w:id="120"/>
    <w:bookmarkEnd w:id="121"/>
    <w:bookmarkEnd w:id="122"/>
    <w:bookmarkEnd w:id="123"/>
    <w:p w14:paraId="75EFFA57">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7.5.1 因发包人原因导致工期延误</w:t>
      </w:r>
    </w:p>
    <w:p w14:paraId="3133778E">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（7）因发包人原因导致工期延误的其他情形：</w:t>
      </w:r>
      <w:r>
        <w:rPr>
          <w:rFonts w:hint="eastAsia" w:ascii="宋体" w:hAnsi="宋体" w:eastAsia="宋体" w:cs="宋体"/>
          <w:color w:val="auto"/>
          <w:sz w:val="24"/>
          <w:szCs w:val="24"/>
          <w:highlight w:val="none"/>
          <w:u w:val="single"/>
        </w:rPr>
        <w:t xml:space="preserve">  ①发包人未按合同规定支付工程款并确实影响工程进度； ②重大设计变更而影响工程进度；③政策处理问题影响施工进度；④ 不不可抗力，此延误工期须在发现后七天内办理签证，逾期不予认可   </w:t>
      </w:r>
      <w:r>
        <w:rPr>
          <w:rFonts w:hint="eastAsia" w:ascii="宋体" w:hAnsi="宋体" w:eastAsia="宋体" w:cs="宋体"/>
          <w:color w:val="auto"/>
          <w:sz w:val="24"/>
          <w:szCs w:val="24"/>
          <w:highlight w:val="none"/>
        </w:rPr>
        <w:t>。</w:t>
      </w:r>
    </w:p>
    <w:p w14:paraId="08EAF755">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24" w:name="_Toc312677486"/>
      <w:bookmarkStart w:id="125" w:name="_Toc318581169"/>
      <w:bookmarkStart w:id="126" w:name="_Toc312678012"/>
      <w:bookmarkStart w:id="127" w:name="_Toc297123518"/>
      <w:bookmarkStart w:id="128" w:name="_Toc304295548"/>
      <w:bookmarkStart w:id="129" w:name="_Toc297216177"/>
      <w:bookmarkStart w:id="130" w:name="_Toc303539127"/>
      <w:bookmarkStart w:id="131" w:name="_Toc300934970"/>
      <w:r>
        <w:rPr>
          <w:rFonts w:hint="eastAsia" w:ascii="宋体" w:hAnsi="宋体" w:eastAsia="宋体" w:cs="宋体"/>
          <w:color w:val="auto"/>
          <w:sz w:val="24"/>
          <w:szCs w:val="24"/>
          <w:highlight w:val="none"/>
        </w:rPr>
        <w:t>.5.2 因承包人原因导致工期延误</w:t>
      </w:r>
    </w:p>
    <w:bookmarkEnd w:id="124"/>
    <w:bookmarkEnd w:id="125"/>
    <w:bookmarkEnd w:id="126"/>
    <w:p w14:paraId="3755B00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因</w:t>
      </w:r>
      <w:bookmarkStart w:id="132" w:name="_Toc312678013"/>
      <w:bookmarkStart w:id="133" w:name="_Toc312677487"/>
      <w:bookmarkStart w:id="134" w:name="_Toc318581170"/>
      <w:r>
        <w:rPr>
          <w:rFonts w:hint="eastAsia" w:ascii="宋体" w:hAnsi="宋体" w:eastAsia="宋体" w:cs="宋体"/>
          <w:color w:val="auto"/>
          <w:sz w:val="24"/>
          <w:szCs w:val="24"/>
          <w:highlight w:val="none"/>
        </w:rPr>
        <w:t>承包人原因造成工期延误，逾期竣工违约金的计算方法为：</w:t>
      </w:r>
    </w:p>
    <w:p w14:paraId="0A115029">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每推延一天，赔偿合同价款的0.1%                 </w:t>
      </w:r>
      <w:r>
        <w:rPr>
          <w:rFonts w:hint="eastAsia" w:ascii="宋体" w:hAnsi="宋体" w:eastAsia="宋体" w:cs="宋体"/>
          <w:color w:val="auto"/>
          <w:sz w:val="24"/>
          <w:szCs w:val="24"/>
          <w:highlight w:val="none"/>
        </w:rPr>
        <w:t>。</w:t>
      </w:r>
      <w:bookmarkEnd w:id="127"/>
      <w:bookmarkEnd w:id="128"/>
      <w:bookmarkEnd w:id="129"/>
      <w:bookmarkEnd w:id="130"/>
      <w:bookmarkEnd w:id="131"/>
      <w:bookmarkEnd w:id="132"/>
      <w:bookmarkEnd w:id="133"/>
    </w:p>
    <w:bookmarkEnd w:id="134"/>
    <w:p w14:paraId="715FE82E">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w:t>
      </w:r>
      <w:bookmarkStart w:id="135" w:name="_Toc318581171"/>
      <w:bookmarkStart w:id="136" w:name="_Toc312678014"/>
      <w:r>
        <w:rPr>
          <w:rFonts w:hint="eastAsia" w:ascii="宋体" w:hAnsi="宋体" w:eastAsia="宋体" w:cs="宋体"/>
          <w:color w:val="auto"/>
          <w:sz w:val="24"/>
          <w:szCs w:val="24"/>
          <w:highlight w:val="none"/>
        </w:rPr>
        <w:t>期竣工违约金的上限：</w:t>
      </w:r>
      <w:r>
        <w:rPr>
          <w:rFonts w:hint="eastAsia" w:ascii="宋体" w:hAnsi="宋体" w:eastAsia="宋体" w:cs="宋体"/>
          <w:color w:val="auto"/>
          <w:sz w:val="24"/>
          <w:szCs w:val="24"/>
          <w:highlight w:val="none"/>
          <w:u w:val="single"/>
        </w:rPr>
        <w:t xml:space="preserve">   合同价款的2％     </w:t>
      </w:r>
      <w:r>
        <w:rPr>
          <w:rFonts w:hint="eastAsia" w:ascii="宋体" w:hAnsi="宋体" w:eastAsia="宋体" w:cs="宋体"/>
          <w:color w:val="auto"/>
          <w:sz w:val="24"/>
          <w:szCs w:val="24"/>
          <w:highlight w:val="none"/>
        </w:rPr>
        <w:t>。</w:t>
      </w:r>
    </w:p>
    <w:bookmarkEnd w:id="135"/>
    <w:bookmarkEnd w:id="136"/>
    <w:p w14:paraId="76F7A1FA">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37" w:name="_Toc297216178"/>
      <w:bookmarkStart w:id="138" w:name="_Toc300934971"/>
      <w:bookmarkStart w:id="139" w:name="_Toc304295549"/>
      <w:bookmarkStart w:id="140" w:name="_Toc312678015"/>
      <w:bookmarkStart w:id="141" w:name="_Toc303539128"/>
      <w:bookmarkStart w:id="142" w:name="_Toc297123519"/>
      <w:r>
        <w:rPr>
          <w:rFonts w:hint="eastAsia" w:ascii="宋体" w:hAnsi="宋体" w:eastAsia="宋体" w:cs="宋体"/>
          <w:color w:val="auto"/>
          <w:sz w:val="24"/>
          <w:szCs w:val="24"/>
          <w:highlight w:val="none"/>
        </w:rPr>
        <w:t>.6 不</w:t>
      </w:r>
      <w:bookmarkEnd w:id="137"/>
      <w:bookmarkEnd w:id="138"/>
      <w:bookmarkEnd w:id="139"/>
      <w:bookmarkEnd w:id="140"/>
      <w:bookmarkEnd w:id="141"/>
      <w:bookmarkEnd w:id="142"/>
      <w:r>
        <w:rPr>
          <w:rFonts w:hint="eastAsia" w:ascii="宋体" w:hAnsi="宋体" w:eastAsia="宋体" w:cs="宋体"/>
          <w:color w:val="auto"/>
          <w:sz w:val="24"/>
          <w:szCs w:val="24"/>
          <w:highlight w:val="none"/>
        </w:rPr>
        <w:t>利物质条件</w:t>
      </w:r>
    </w:p>
    <w:p w14:paraId="43741CB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bookmarkStart w:id="143" w:name="_Toc304295550"/>
      <w:bookmarkStart w:id="144" w:name="_Toc297123520"/>
      <w:bookmarkStart w:id="145" w:name="_Toc297216179"/>
      <w:bookmarkStart w:id="146" w:name="_Toc303539129"/>
      <w:bookmarkStart w:id="147" w:name="_Toc312678016"/>
      <w:bookmarkStart w:id="148" w:name="_Toc318581172"/>
      <w:bookmarkStart w:id="149" w:name="_Toc300934972"/>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143"/>
    <w:bookmarkEnd w:id="144"/>
    <w:bookmarkEnd w:id="145"/>
    <w:bookmarkEnd w:id="146"/>
    <w:bookmarkEnd w:id="147"/>
    <w:bookmarkEnd w:id="148"/>
    <w:bookmarkEnd w:id="149"/>
    <w:p w14:paraId="62FE7D97">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50" w:name="_Toc304295551"/>
      <w:bookmarkStart w:id="151" w:name="_Toc300934973"/>
      <w:bookmarkStart w:id="152" w:name="_Toc312678017"/>
      <w:bookmarkStart w:id="153" w:name="_Toc303539130"/>
      <w:bookmarkStart w:id="154" w:name="_Toc297123521"/>
      <w:bookmarkStart w:id="155" w:name="_Toc297216180"/>
      <w:r>
        <w:rPr>
          <w:rFonts w:hint="eastAsia" w:ascii="宋体" w:hAnsi="宋体" w:eastAsia="宋体" w:cs="宋体"/>
          <w:color w:val="auto"/>
          <w:sz w:val="24"/>
          <w:szCs w:val="24"/>
          <w:highlight w:val="none"/>
        </w:rPr>
        <w:t>.7异常恶劣的气候条件</w:t>
      </w:r>
    </w:p>
    <w:bookmarkEnd w:id="150"/>
    <w:bookmarkEnd w:id="151"/>
    <w:bookmarkEnd w:id="152"/>
    <w:bookmarkEnd w:id="153"/>
    <w:bookmarkEnd w:id="154"/>
    <w:bookmarkEnd w:id="155"/>
    <w:p w14:paraId="68FE582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14:paraId="384DCD23">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地震、暴风雪            </w:t>
      </w:r>
      <w:r>
        <w:rPr>
          <w:rFonts w:hint="eastAsia" w:ascii="宋体" w:hAnsi="宋体" w:eastAsia="宋体" w:cs="宋体"/>
          <w:color w:val="auto"/>
          <w:sz w:val="24"/>
          <w:szCs w:val="24"/>
          <w:highlight w:val="none"/>
        </w:rPr>
        <w:t>；</w:t>
      </w:r>
    </w:p>
    <w:p w14:paraId="16586D99">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提前竣工的奖励</w:t>
      </w:r>
    </w:p>
    <w:p w14:paraId="1464840C">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7.9.2提前竣工的奖励：</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D1F30BB">
      <w:pPr>
        <w:pStyle w:val="7"/>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156" w:name="_Toc351203640"/>
      <w:r>
        <w:rPr>
          <w:rFonts w:hint="eastAsia" w:ascii="宋体" w:hAnsi="宋体" w:eastAsia="宋体" w:cs="宋体"/>
          <w:b w:val="0"/>
          <w:color w:val="auto"/>
          <w:sz w:val="24"/>
          <w:szCs w:val="24"/>
          <w:highlight w:val="none"/>
        </w:rPr>
        <w:t>8. 材料与设备</w:t>
      </w:r>
      <w:bookmarkEnd w:id="156"/>
    </w:p>
    <w:p w14:paraId="4E8C9432">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157" w:name="_Toc297123527"/>
      <w:bookmarkStart w:id="158" w:name="_Toc303539136"/>
      <w:bookmarkStart w:id="159" w:name="_Toc280868654"/>
      <w:bookmarkStart w:id="160" w:name="_Toc297048353"/>
      <w:bookmarkStart w:id="161" w:name="_Toc304295556"/>
      <w:bookmarkStart w:id="162" w:name="_Toc296346668"/>
      <w:bookmarkStart w:id="163" w:name="_Toc297216186"/>
      <w:bookmarkStart w:id="164" w:name="_Toc297120467"/>
      <w:bookmarkStart w:id="165" w:name="_Toc296347166"/>
      <w:bookmarkStart w:id="166" w:name="_Toc296891207"/>
      <w:bookmarkStart w:id="167" w:name="_Toc296503167"/>
      <w:bookmarkStart w:id="168" w:name="_Toc296944506"/>
      <w:bookmarkStart w:id="169" w:name="_Toc312677493"/>
      <w:bookmarkStart w:id="170" w:name="_Toc300934979"/>
      <w:bookmarkStart w:id="171" w:name="_Toc292559372"/>
      <w:bookmarkStart w:id="172" w:name="_Toc312678019"/>
      <w:bookmarkStart w:id="173" w:name="_Toc296890995"/>
      <w:bookmarkStart w:id="174" w:name="_Toc292559877"/>
      <w:bookmarkStart w:id="175" w:name="_Toc280868656"/>
      <w:bookmarkStart w:id="176" w:name="_Toc267251424"/>
      <w:bookmarkStart w:id="177" w:name="_Toc280868655"/>
      <w:r>
        <w:rPr>
          <w:rFonts w:hint="eastAsia" w:ascii="宋体" w:hAnsi="宋体" w:eastAsia="宋体" w:cs="宋体"/>
          <w:color w:val="auto"/>
          <w:sz w:val="24"/>
          <w:szCs w:val="24"/>
          <w:highlight w:val="none"/>
        </w:rPr>
        <w:t>.4材料与工程设备的保管与使用</w:t>
      </w:r>
    </w:p>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14:paraId="6B6E8EEE">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bookmarkStart w:id="178" w:name="_Toc292559878"/>
      <w:bookmarkStart w:id="179" w:name="_Toc292559373"/>
      <w:bookmarkStart w:id="180" w:name="_Toc296346669"/>
      <w:bookmarkStart w:id="181" w:name="_Toc296347167"/>
      <w:bookmarkStart w:id="182" w:name="_Toc297048354"/>
      <w:bookmarkStart w:id="183" w:name="_Toc296891208"/>
      <w:bookmarkStart w:id="184" w:name="_Toc303539137"/>
      <w:bookmarkStart w:id="185" w:name="_Toc296503168"/>
      <w:bookmarkStart w:id="186" w:name="_Toc312678020"/>
      <w:bookmarkStart w:id="187" w:name="_Toc318581173"/>
      <w:bookmarkStart w:id="188" w:name="_Toc297123528"/>
      <w:bookmarkStart w:id="189" w:name="_Toc297216187"/>
      <w:bookmarkStart w:id="190" w:name="_Toc312677494"/>
      <w:bookmarkStart w:id="191" w:name="_Toc296890996"/>
      <w:bookmarkStart w:id="192" w:name="_Toc296944507"/>
      <w:bookmarkStart w:id="193" w:name="_Toc300934980"/>
      <w:bookmarkStart w:id="194" w:name="_Toc297120468"/>
      <w:bookmarkStart w:id="195" w:name="_Toc304295557"/>
      <w:r>
        <w:rPr>
          <w:rFonts w:hint="eastAsia" w:ascii="宋体" w:hAnsi="宋体" w:eastAsia="宋体" w:cs="宋体"/>
          <w:color w:val="auto"/>
          <w:sz w:val="24"/>
          <w:szCs w:val="24"/>
          <w:highlight w:val="none"/>
        </w:rPr>
        <w:t>.4.1发包人供应的材料设备的保管费用的承担：</w:t>
      </w:r>
      <w:r>
        <w:rPr>
          <w:rFonts w:hint="eastAsia" w:ascii="宋体" w:hAnsi="宋体" w:eastAsia="宋体" w:cs="宋体"/>
          <w:color w:val="auto"/>
          <w:sz w:val="24"/>
          <w:szCs w:val="24"/>
          <w:highlight w:val="none"/>
          <w:u w:val="single"/>
        </w:rPr>
        <w:t xml:space="preserve">   由承包人承担    </w:t>
      </w:r>
      <w:r>
        <w:rPr>
          <w:rFonts w:hint="eastAsia" w:ascii="宋体" w:hAnsi="宋体" w:eastAsia="宋体" w:cs="宋体"/>
          <w:color w:val="auto"/>
          <w:sz w:val="24"/>
          <w:szCs w:val="24"/>
          <w:highlight w:val="none"/>
        </w:rPr>
        <w:t>。</w:t>
      </w:r>
      <w:bookmarkEnd w:id="178"/>
      <w:bookmarkEnd w:id="179"/>
    </w:p>
    <w:p w14:paraId="6E7DB280">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样品</w:t>
      </w:r>
    </w:p>
    <w:p w14:paraId="7386A16E">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8.6.1</w:t>
      </w:r>
      <w:r>
        <w:rPr>
          <w:rFonts w:hint="eastAsia" w:ascii="宋体" w:hAnsi="宋体" w:eastAsia="宋体" w:cs="宋体"/>
          <w:color w:val="auto"/>
          <w:kern w:val="0"/>
          <w:sz w:val="24"/>
          <w:szCs w:val="24"/>
          <w:highlight w:val="none"/>
        </w:rPr>
        <w:tab/>
      </w:r>
      <w:r>
        <w:rPr>
          <w:rFonts w:hint="eastAsia" w:ascii="宋体" w:hAnsi="宋体" w:eastAsia="宋体" w:cs="宋体"/>
          <w:color w:val="auto"/>
          <w:kern w:val="0"/>
          <w:sz w:val="24"/>
          <w:szCs w:val="24"/>
          <w:highlight w:val="none"/>
        </w:rPr>
        <w:t>样品的报送与封存</w:t>
      </w:r>
    </w:p>
    <w:p w14:paraId="59818AF2">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需要承包人报送样品的材料或工程设备，样品的种类、名称、规格、数量要求：</w:t>
      </w:r>
      <w:r>
        <w:rPr>
          <w:rFonts w:hint="eastAsia" w:ascii="宋体" w:hAnsi="宋体" w:eastAsia="宋体" w:cs="宋体"/>
          <w:color w:val="auto"/>
          <w:sz w:val="24"/>
          <w:szCs w:val="24"/>
          <w:highlight w:val="none"/>
          <w:u w:val="single"/>
        </w:rPr>
        <w:t xml:space="preserve"> 执行通用条款，按发包人需求确定     </w:t>
      </w:r>
      <w:r>
        <w:rPr>
          <w:rFonts w:hint="eastAsia" w:ascii="宋体" w:hAnsi="宋体" w:eastAsia="宋体" w:cs="宋体"/>
          <w:color w:val="auto"/>
          <w:sz w:val="24"/>
          <w:szCs w:val="24"/>
          <w:highlight w:val="none"/>
        </w:rPr>
        <w:t>。</w:t>
      </w:r>
    </w:p>
    <w:p w14:paraId="2AB88CB4">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01275BF9">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16B791B9">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 xml:space="preserve">   由承包人承担             </w:t>
      </w:r>
      <w:r>
        <w:rPr>
          <w:rFonts w:hint="eastAsia" w:ascii="宋体" w:hAnsi="宋体" w:eastAsia="宋体" w:cs="宋体"/>
          <w:color w:val="auto"/>
          <w:sz w:val="24"/>
          <w:szCs w:val="24"/>
          <w:highlight w:val="none"/>
        </w:rPr>
        <w:t>。</w:t>
      </w:r>
    </w:p>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14:paraId="1F666EBD">
      <w:pPr>
        <w:pStyle w:val="7"/>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196" w:name="_Toc351203641"/>
      <w:r>
        <w:rPr>
          <w:rFonts w:hint="eastAsia" w:ascii="宋体" w:hAnsi="宋体" w:eastAsia="宋体" w:cs="宋体"/>
          <w:b w:val="0"/>
          <w:color w:val="auto"/>
          <w:sz w:val="24"/>
          <w:szCs w:val="24"/>
          <w:highlight w:val="none"/>
        </w:rPr>
        <w:t>9</w:t>
      </w:r>
      <w:bookmarkEnd w:id="175"/>
      <w:bookmarkEnd w:id="176"/>
      <w:bookmarkEnd w:id="177"/>
      <w:bookmarkStart w:id="197" w:name="_Toc304295559"/>
      <w:bookmarkStart w:id="198" w:name="_Toc312677495"/>
      <w:bookmarkStart w:id="199" w:name="_Toc312678021"/>
      <w:bookmarkStart w:id="200" w:name="_Toc300934982"/>
      <w:bookmarkStart w:id="201" w:name="_Toc303539139"/>
      <w:bookmarkStart w:id="202" w:name="_Toc297216192"/>
      <w:bookmarkStart w:id="203" w:name="_Toc297123533"/>
      <w:bookmarkStart w:id="204" w:name="_Toc296347172"/>
      <w:bookmarkStart w:id="205" w:name="_Toc267251427"/>
      <w:bookmarkStart w:id="206" w:name="_Toc296503173"/>
      <w:bookmarkStart w:id="207" w:name="_Toc296944512"/>
      <w:bookmarkStart w:id="208" w:name="_Toc292559883"/>
      <w:bookmarkStart w:id="209" w:name="_Toc296891001"/>
      <w:bookmarkStart w:id="210" w:name="_Toc297120473"/>
      <w:bookmarkStart w:id="211" w:name="_Toc292559378"/>
      <w:bookmarkStart w:id="212" w:name="_Toc297048359"/>
      <w:bookmarkStart w:id="213" w:name="_Toc296891213"/>
      <w:bookmarkStart w:id="214" w:name="_Toc267251428"/>
      <w:bookmarkStart w:id="215" w:name="_Toc296346674"/>
      <w:r>
        <w:rPr>
          <w:rFonts w:hint="eastAsia" w:ascii="宋体" w:hAnsi="宋体" w:eastAsia="宋体" w:cs="宋体"/>
          <w:b w:val="0"/>
          <w:color w:val="auto"/>
          <w:sz w:val="24"/>
          <w:szCs w:val="24"/>
          <w:highlight w:val="none"/>
        </w:rPr>
        <w:t>. 试验与检验</w:t>
      </w:r>
      <w:bookmarkEnd w:id="196"/>
    </w:p>
    <w:bookmarkEnd w:id="197"/>
    <w:bookmarkEnd w:id="198"/>
    <w:bookmarkEnd w:id="199"/>
    <w:bookmarkEnd w:id="200"/>
    <w:bookmarkEnd w:id="201"/>
    <w:bookmarkEnd w:id="202"/>
    <w:bookmarkEnd w:id="203"/>
    <w:p w14:paraId="30105B0D">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216" w:name="_Toc312678022"/>
      <w:bookmarkStart w:id="217" w:name="_Toc297216193"/>
      <w:bookmarkStart w:id="218" w:name="_Toc303539140"/>
      <w:bookmarkStart w:id="219" w:name="_Toc304295560"/>
      <w:bookmarkStart w:id="220" w:name="_Toc297123534"/>
      <w:bookmarkStart w:id="221" w:name="_Toc312677496"/>
      <w:bookmarkStart w:id="222" w:name="_Toc300934983"/>
      <w:r>
        <w:rPr>
          <w:rFonts w:hint="eastAsia" w:ascii="宋体" w:hAnsi="宋体" w:eastAsia="宋体" w:cs="宋体"/>
          <w:color w:val="auto"/>
          <w:sz w:val="24"/>
          <w:szCs w:val="24"/>
          <w:highlight w:val="none"/>
        </w:rPr>
        <w:t>.1试验设备与试验人员</w:t>
      </w:r>
    </w:p>
    <w:bookmarkEnd w:id="216"/>
    <w:bookmarkEnd w:id="217"/>
    <w:bookmarkEnd w:id="218"/>
    <w:bookmarkEnd w:id="219"/>
    <w:bookmarkEnd w:id="220"/>
    <w:bookmarkEnd w:id="221"/>
    <w:bookmarkEnd w:id="222"/>
    <w:p w14:paraId="08EB2FA5">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bookmarkStart w:id="223" w:name="_Toc297123535"/>
      <w:bookmarkStart w:id="224" w:name="_Toc312678023"/>
      <w:bookmarkStart w:id="225" w:name="_Toc297216194"/>
      <w:bookmarkStart w:id="226" w:name="_Toc303539141"/>
      <w:bookmarkStart w:id="227" w:name="_Toc304295561"/>
      <w:bookmarkStart w:id="228" w:name="_Toc312677497"/>
      <w:bookmarkStart w:id="229" w:name="_Toc300934984"/>
      <w:bookmarkStart w:id="230" w:name="_Toc318581174"/>
      <w:r>
        <w:rPr>
          <w:rFonts w:hint="eastAsia" w:ascii="宋体" w:hAnsi="宋体" w:eastAsia="宋体" w:cs="宋体"/>
          <w:color w:val="auto"/>
          <w:sz w:val="24"/>
          <w:szCs w:val="24"/>
          <w:highlight w:val="none"/>
        </w:rPr>
        <w:t>.1.2 试验设备</w:t>
      </w:r>
    </w:p>
    <w:p w14:paraId="37870167">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bookmarkEnd w:id="223"/>
      <w:bookmarkEnd w:id="224"/>
      <w:bookmarkEnd w:id="225"/>
      <w:bookmarkEnd w:id="226"/>
      <w:bookmarkEnd w:id="227"/>
      <w:bookmarkEnd w:id="228"/>
      <w:bookmarkEnd w:id="229"/>
      <w:bookmarkStart w:id="231" w:name="_Toc297216195"/>
      <w:bookmarkStart w:id="232" w:name="_Toc312677498"/>
      <w:bookmarkStart w:id="233" w:name="_Toc303539142"/>
      <w:bookmarkStart w:id="234" w:name="_Toc300934985"/>
      <w:bookmarkStart w:id="235" w:name="_Toc297123536"/>
      <w:bookmarkStart w:id="236" w:name="_Toc304295562"/>
      <w:bookmarkStart w:id="237" w:name="_Toc312678024"/>
      <w:r>
        <w:rPr>
          <w:rFonts w:hint="eastAsia" w:ascii="宋体" w:hAnsi="宋体" w:eastAsia="宋体" w:cs="宋体"/>
          <w:color w:val="auto"/>
          <w:sz w:val="24"/>
          <w:szCs w:val="24"/>
          <w:highlight w:val="none"/>
          <w:u w:val="single"/>
        </w:rPr>
        <w:t xml:space="preserve">    按有关规定执行      </w:t>
      </w:r>
      <w:r>
        <w:rPr>
          <w:rFonts w:hint="eastAsia" w:ascii="宋体" w:hAnsi="宋体" w:eastAsia="宋体" w:cs="宋体"/>
          <w:color w:val="auto"/>
          <w:sz w:val="24"/>
          <w:szCs w:val="24"/>
          <w:highlight w:val="none"/>
        </w:rPr>
        <w:t xml:space="preserve">。 </w:t>
      </w:r>
    </w:p>
    <w:p w14:paraId="10BF88A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施工现场需要配备的试验设备：</w:t>
      </w:r>
      <w:r>
        <w:rPr>
          <w:rFonts w:hint="eastAsia" w:ascii="宋体" w:hAnsi="宋体" w:eastAsia="宋体" w:cs="宋体"/>
          <w:color w:val="auto"/>
          <w:sz w:val="24"/>
          <w:szCs w:val="24"/>
          <w:highlight w:val="none"/>
          <w:u w:val="single"/>
        </w:rPr>
        <w:t xml:space="preserve">    按有关规定执行       </w:t>
      </w:r>
      <w:r>
        <w:rPr>
          <w:rFonts w:hint="eastAsia" w:ascii="宋体" w:hAnsi="宋体" w:eastAsia="宋体" w:cs="宋体"/>
          <w:color w:val="auto"/>
          <w:sz w:val="24"/>
          <w:szCs w:val="24"/>
          <w:highlight w:val="none"/>
        </w:rPr>
        <w:t>。</w:t>
      </w:r>
    </w:p>
    <w:p w14:paraId="3A1FD5C3">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E9DCA1B">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9.4 现场工艺试验 </w:t>
      </w:r>
    </w:p>
    <w:p w14:paraId="39321811">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230"/>
    <w:bookmarkEnd w:id="231"/>
    <w:bookmarkEnd w:id="232"/>
    <w:bookmarkEnd w:id="233"/>
    <w:bookmarkEnd w:id="234"/>
    <w:bookmarkEnd w:id="235"/>
    <w:bookmarkEnd w:id="236"/>
    <w:bookmarkEnd w:id="237"/>
    <w:p w14:paraId="36CD0AAD">
      <w:pPr>
        <w:pStyle w:val="7"/>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238" w:name="_Toc351203642"/>
      <w:r>
        <w:rPr>
          <w:rFonts w:hint="eastAsia" w:ascii="宋体" w:hAnsi="宋体" w:eastAsia="宋体" w:cs="宋体"/>
          <w:b w:val="0"/>
          <w:color w:val="auto"/>
          <w:sz w:val="24"/>
          <w:szCs w:val="24"/>
          <w:highlight w:val="none"/>
        </w:rPr>
        <w:t>1</w:t>
      </w:r>
      <w:bookmarkEnd w:id="204"/>
      <w:bookmarkEnd w:id="205"/>
      <w:bookmarkEnd w:id="206"/>
      <w:bookmarkEnd w:id="207"/>
      <w:bookmarkEnd w:id="208"/>
      <w:bookmarkEnd w:id="209"/>
      <w:bookmarkEnd w:id="210"/>
      <w:bookmarkEnd w:id="211"/>
      <w:bookmarkEnd w:id="212"/>
      <w:bookmarkEnd w:id="213"/>
      <w:bookmarkEnd w:id="214"/>
      <w:bookmarkEnd w:id="215"/>
      <w:bookmarkStart w:id="239" w:name="_Toc296891021"/>
      <w:bookmarkStart w:id="240" w:name="_Toc297120493"/>
      <w:bookmarkStart w:id="241" w:name="_Toc292559903"/>
      <w:bookmarkStart w:id="242" w:name="_Toc297123540"/>
      <w:bookmarkStart w:id="243" w:name="_Toc296891233"/>
      <w:bookmarkStart w:id="244" w:name="_Toc296347192"/>
      <w:bookmarkStart w:id="245" w:name="_Toc296346694"/>
      <w:bookmarkStart w:id="246" w:name="_Toc297048379"/>
      <w:bookmarkStart w:id="247" w:name="_Toc292559398"/>
      <w:bookmarkStart w:id="248" w:name="_Toc303539146"/>
      <w:bookmarkStart w:id="249" w:name="_Toc296503193"/>
      <w:bookmarkStart w:id="250" w:name="_Toc297216199"/>
      <w:bookmarkStart w:id="251" w:name="_Toc304295566"/>
      <w:bookmarkStart w:id="252" w:name="_Toc296944532"/>
      <w:bookmarkStart w:id="253" w:name="_Toc300934989"/>
      <w:bookmarkStart w:id="254" w:name="_Toc312678025"/>
      <w:bookmarkStart w:id="255" w:name="_Toc312677499"/>
      <w:bookmarkStart w:id="256" w:name="_Toc267251441"/>
      <w:bookmarkStart w:id="257" w:name="_Toc267251439"/>
      <w:bookmarkStart w:id="258" w:name="_Toc267251437"/>
      <w:bookmarkStart w:id="259" w:name="_Toc267251433"/>
      <w:bookmarkStart w:id="260" w:name="_Toc267251440"/>
      <w:bookmarkStart w:id="261" w:name="_Toc267251435"/>
      <w:bookmarkStart w:id="262" w:name="_Toc267251442"/>
      <w:r>
        <w:rPr>
          <w:rFonts w:hint="eastAsia" w:ascii="宋体" w:hAnsi="宋体" w:eastAsia="宋体" w:cs="宋体"/>
          <w:b w:val="0"/>
          <w:color w:val="auto"/>
          <w:sz w:val="24"/>
          <w:szCs w:val="24"/>
          <w:highlight w:val="none"/>
        </w:rPr>
        <w:t>0. 变更</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bookmarkEnd w:id="254"/>
    <w:bookmarkEnd w:id="255"/>
    <w:p w14:paraId="1A2B2289">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263" w:name="_Toc297216200"/>
      <w:bookmarkStart w:id="264" w:name="_Toc297123541"/>
      <w:bookmarkStart w:id="265" w:name="_Toc304295567"/>
      <w:bookmarkStart w:id="266" w:name="_Toc303539147"/>
      <w:bookmarkStart w:id="267" w:name="_Toc312677500"/>
      <w:bookmarkStart w:id="268" w:name="_Toc297120494"/>
      <w:bookmarkStart w:id="269" w:name="_Toc300934990"/>
      <w:bookmarkStart w:id="270" w:name="_Toc292559399"/>
      <w:bookmarkStart w:id="271" w:name="_Toc296503194"/>
      <w:bookmarkStart w:id="272" w:name="_Toc297048380"/>
      <w:bookmarkStart w:id="273" w:name="_Toc312678026"/>
      <w:bookmarkStart w:id="274" w:name="_Toc296347193"/>
      <w:bookmarkStart w:id="275" w:name="_Toc296944533"/>
      <w:bookmarkStart w:id="276" w:name="_Toc296891234"/>
      <w:bookmarkStart w:id="277" w:name="_Toc296346695"/>
      <w:bookmarkStart w:id="278" w:name="_Toc292559904"/>
      <w:bookmarkStart w:id="279" w:name="_Toc296891022"/>
      <w:r>
        <w:rPr>
          <w:rFonts w:hint="eastAsia" w:ascii="宋体" w:hAnsi="宋体" w:eastAsia="宋体" w:cs="宋体"/>
          <w:color w:val="auto"/>
          <w:sz w:val="24"/>
          <w:szCs w:val="24"/>
          <w:highlight w:val="none"/>
        </w:rPr>
        <w:t>0.1变更的范围</w:t>
      </w:r>
    </w:p>
    <w:p w14:paraId="09E4C39E">
      <w:pPr>
        <w:keepNext w:val="0"/>
        <w:keepLines w:val="0"/>
        <w:pageBreakBefore w:val="0"/>
        <w:widowControl w:val="0"/>
        <w:kinsoku/>
        <w:wordWrap/>
        <w:overflowPunct/>
        <w:topLinePunct w:val="0"/>
        <w:autoSpaceDE w:val="0"/>
        <w:autoSpaceDN w:val="0"/>
        <w:bidi w:val="0"/>
        <w:snapToGrid/>
        <w:spacing w:line="340" w:lineRule="exact"/>
        <w:ind w:firstLine="6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关于变更的范围的约定：</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53961275">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变更估价</w:t>
      </w:r>
    </w:p>
    <w:p w14:paraId="62E12585">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 变更估价原则</w:t>
      </w:r>
    </w:p>
    <w:p w14:paraId="6C2AFE0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关于变更估价的约定: </w:t>
      </w:r>
      <w:r>
        <w:rPr>
          <w:rFonts w:hint="eastAsia" w:ascii="宋体" w:hAnsi="宋体" w:eastAsia="宋体" w:cs="宋体"/>
          <w:color w:val="auto"/>
          <w:sz w:val="24"/>
          <w:szCs w:val="24"/>
          <w:highlight w:val="none"/>
          <w:u w:val="single"/>
        </w:rPr>
        <w:t xml:space="preserve">       执行通用条款         </w:t>
      </w:r>
      <w:r>
        <w:rPr>
          <w:rFonts w:hint="eastAsia" w:ascii="宋体" w:hAnsi="宋体" w:eastAsia="宋体" w:cs="宋体"/>
          <w:color w:val="auto"/>
          <w:sz w:val="24"/>
          <w:szCs w:val="24"/>
          <w:highlight w:val="none"/>
        </w:rPr>
        <w:t>。</w:t>
      </w:r>
    </w:p>
    <w:p w14:paraId="572FC1D8">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Start w:id="280" w:name="_Toc292559907"/>
      <w:bookmarkStart w:id="281" w:name="_Toc297120497"/>
      <w:bookmarkStart w:id="282" w:name="_Toc296346698"/>
      <w:bookmarkStart w:id="283" w:name="_Toc297048383"/>
      <w:bookmarkStart w:id="284" w:name="_Toc296347196"/>
      <w:bookmarkStart w:id="285" w:name="_Toc297123544"/>
      <w:bookmarkStart w:id="286" w:name="_Toc296503197"/>
      <w:bookmarkStart w:id="287" w:name="_Toc300934993"/>
      <w:bookmarkStart w:id="288" w:name="_Toc296944536"/>
      <w:bookmarkStart w:id="289" w:name="_Toc292559402"/>
      <w:bookmarkStart w:id="290" w:name="_Toc296891237"/>
      <w:bookmarkStart w:id="291" w:name="_Toc297216203"/>
      <w:bookmarkStart w:id="292" w:name="_Toc303539150"/>
      <w:bookmarkStart w:id="293" w:name="_Toc296891025"/>
      <w:bookmarkStart w:id="294" w:name="_Toc304295570"/>
      <w:bookmarkStart w:id="295" w:name="_Toc312677503"/>
      <w:bookmarkStart w:id="296" w:name="_Toc312678029"/>
      <w:r>
        <w:rPr>
          <w:rFonts w:hint="eastAsia" w:ascii="宋体" w:hAnsi="宋体" w:eastAsia="宋体" w:cs="宋体"/>
          <w:color w:val="auto"/>
          <w:sz w:val="24"/>
          <w:szCs w:val="24"/>
          <w:highlight w:val="none"/>
        </w:rPr>
        <w:t>0.5承</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Start w:id="297" w:name="_Toc296891031"/>
      <w:bookmarkStart w:id="298" w:name="_Toc292559408"/>
      <w:bookmarkStart w:id="299" w:name="_Toc303539151"/>
      <w:bookmarkStart w:id="300" w:name="_Toc297048389"/>
      <w:bookmarkStart w:id="301" w:name="_Toc296346704"/>
      <w:bookmarkStart w:id="302" w:name="_Toc296503203"/>
      <w:bookmarkStart w:id="303" w:name="_Toc296891243"/>
      <w:bookmarkStart w:id="304" w:name="_Toc297216204"/>
      <w:bookmarkStart w:id="305" w:name="_Toc292559913"/>
      <w:bookmarkStart w:id="306" w:name="_Toc297120503"/>
      <w:bookmarkStart w:id="307" w:name="_Toc296944542"/>
      <w:bookmarkStart w:id="308" w:name="_Toc300934994"/>
      <w:bookmarkStart w:id="309" w:name="_Toc297123545"/>
      <w:bookmarkStart w:id="310" w:name="_Toc296347202"/>
      <w:r>
        <w:rPr>
          <w:rFonts w:hint="eastAsia" w:ascii="宋体" w:hAnsi="宋体" w:eastAsia="宋体" w:cs="宋体"/>
          <w:color w:val="auto"/>
          <w:sz w:val="24"/>
          <w:szCs w:val="24"/>
          <w:highlight w:val="none"/>
        </w:rPr>
        <w:t>包人的合理化建议</w:t>
      </w:r>
    </w:p>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14:paraId="1BB18B3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08D004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89EE87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w:t>
      </w:r>
      <w:bookmarkStart w:id="311" w:name="_Toc312678030"/>
      <w:bookmarkStart w:id="312" w:name="_Toc292559409"/>
      <w:bookmarkStart w:id="313" w:name="_Toc296944543"/>
      <w:bookmarkStart w:id="314" w:name="_Toc312677504"/>
      <w:bookmarkStart w:id="315" w:name="_Toc296891032"/>
      <w:bookmarkStart w:id="316" w:name="_Toc296346705"/>
      <w:bookmarkStart w:id="317" w:name="_Toc300934995"/>
      <w:bookmarkStart w:id="318" w:name="_Toc304295571"/>
      <w:bookmarkStart w:id="319" w:name="_Toc297123546"/>
      <w:bookmarkStart w:id="320" w:name="_Toc296891244"/>
      <w:bookmarkStart w:id="321" w:name="_Toc297120504"/>
      <w:bookmarkStart w:id="322" w:name="_Toc297216205"/>
      <w:bookmarkStart w:id="323" w:name="_Toc303539152"/>
      <w:bookmarkStart w:id="324" w:name="_Toc297048390"/>
      <w:bookmarkStart w:id="325" w:name="_Toc292559914"/>
      <w:bookmarkStart w:id="326" w:name="_Toc296503204"/>
      <w:bookmarkStart w:id="327" w:name="_Toc318581175"/>
      <w:bookmarkStart w:id="328" w:name="_Toc296347203"/>
      <w:r>
        <w:rPr>
          <w:rFonts w:hint="eastAsia" w:ascii="宋体" w:hAnsi="宋体" w:eastAsia="宋体" w:cs="宋体"/>
          <w:color w:val="auto"/>
          <w:sz w:val="24"/>
          <w:szCs w:val="24"/>
          <w:highlight w:val="none"/>
        </w:rPr>
        <w:t>包人提出的合理化建议降低了合同价格或者提高了工程经济效益的奖励的方法和金额为：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14:paraId="268A6A99">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329" w:name="_Toc300934997"/>
      <w:bookmarkStart w:id="330" w:name="_Toc297120499"/>
      <w:bookmarkStart w:id="331" w:name="_Toc292559909"/>
      <w:bookmarkStart w:id="332" w:name="_Toc296891027"/>
      <w:bookmarkStart w:id="333" w:name="_Toc296346700"/>
      <w:bookmarkStart w:id="334" w:name="_Toc297048385"/>
      <w:bookmarkStart w:id="335" w:name="_Toc303539154"/>
      <w:bookmarkStart w:id="336" w:name="_Toc312677507"/>
      <w:bookmarkStart w:id="337" w:name="_Toc312678033"/>
      <w:bookmarkStart w:id="338" w:name="_Toc297216207"/>
      <w:bookmarkStart w:id="339" w:name="_Toc304295574"/>
      <w:bookmarkStart w:id="340" w:name="_Toc296944538"/>
      <w:bookmarkStart w:id="341" w:name="_Toc296891239"/>
      <w:bookmarkStart w:id="342" w:name="_Toc296503199"/>
      <w:bookmarkStart w:id="343" w:name="_Toc292559404"/>
      <w:bookmarkStart w:id="344" w:name="_Toc296347198"/>
      <w:bookmarkStart w:id="345" w:name="_Toc297123548"/>
      <w:r>
        <w:rPr>
          <w:rFonts w:hint="eastAsia" w:ascii="宋体" w:hAnsi="宋体" w:eastAsia="宋体" w:cs="宋体"/>
          <w:color w:val="auto"/>
          <w:sz w:val="24"/>
          <w:szCs w:val="24"/>
          <w:highlight w:val="none"/>
        </w:rPr>
        <w:t>0.7 暂估价</w:t>
      </w:r>
    </w:p>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14:paraId="0F087AD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暂</w:t>
      </w:r>
      <w:bookmarkStart w:id="346" w:name="_Toc318581176"/>
      <w:bookmarkStart w:id="347" w:name="_Toc312678034"/>
      <w:bookmarkStart w:id="348" w:name="_Toc312677508"/>
      <w:r>
        <w:rPr>
          <w:rFonts w:hint="eastAsia" w:ascii="宋体" w:hAnsi="宋体" w:eastAsia="宋体" w:cs="宋体"/>
          <w:color w:val="auto"/>
          <w:kern w:val="0"/>
          <w:sz w:val="24"/>
          <w:szCs w:val="24"/>
          <w:highlight w:val="none"/>
        </w:rPr>
        <w:t>估价材料和工程设备的明细详见附件11：《</w:t>
      </w:r>
      <w:r>
        <w:rPr>
          <w:rFonts w:hint="eastAsia" w:ascii="宋体" w:hAnsi="宋体" w:eastAsia="宋体" w:cs="宋体"/>
          <w:color w:val="auto"/>
          <w:sz w:val="24"/>
          <w:szCs w:val="24"/>
          <w:highlight w:val="none"/>
        </w:rPr>
        <w:t>暂估价一览表》</w:t>
      </w:r>
      <w:r>
        <w:rPr>
          <w:rFonts w:hint="eastAsia" w:ascii="宋体" w:hAnsi="宋体" w:eastAsia="宋体" w:cs="宋体"/>
          <w:color w:val="auto"/>
          <w:kern w:val="0"/>
          <w:sz w:val="24"/>
          <w:szCs w:val="24"/>
          <w:highlight w:val="none"/>
        </w:rPr>
        <w:t>。</w:t>
      </w:r>
    </w:p>
    <w:bookmarkEnd w:id="346"/>
    <w:bookmarkEnd w:id="347"/>
    <w:bookmarkEnd w:id="348"/>
    <w:p w14:paraId="1FF61BE8">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Start w:id="349" w:name="_Toc318581177"/>
      <w:bookmarkStart w:id="350" w:name="_Toc312678035"/>
      <w:bookmarkStart w:id="351" w:name="_Toc312677509"/>
      <w:r>
        <w:rPr>
          <w:rFonts w:hint="eastAsia" w:ascii="宋体" w:hAnsi="宋体" w:eastAsia="宋体" w:cs="宋体"/>
          <w:color w:val="auto"/>
          <w:sz w:val="24"/>
          <w:szCs w:val="24"/>
          <w:highlight w:val="none"/>
        </w:rPr>
        <w:t>0.7.1 依法必须招标的暂估价项目</w:t>
      </w:r>
    </w:p>
    <w:bookmarkEnd w:id="349"/>
    <w:bookmarkEnd w:id="350"/>
    <w:bookmarkEnd w:id="351"/>
    <w:p w14:paraId="0F30F0B1">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对于依法必须招标的暂估价项目的确认和批准采取第</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种方式确定。</w:t>
      </w:r>
    </w:p>
    <w:p w14:paraId="656481E0">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10.7.2 不属于依法必须招标的暂估价项目</w:t>
      </w:r>
    </w:p>
    <w:p w14:paraId="43010737">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对于不属于依法必须招标的暂估价项目的确认和批准采取第</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种方式确定。</w:t>
      </w:r>
    </w:p>
    <w:p w14:paraId="4C18268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第3种方式：</w:t>
      </w:r>
      <w:r>
        <w:rPr>
          <w:rFonts w:hint="eastAsia" w:ascii="宋体" w:hAnsi="宋体" w:eastAsia="宋体" w:cs="宋体"/>
          <w:color w:val="auto"/>
          <w:kern w:val="0"/>
          <w:sz w:val="24"/>
          <w:szCs w:val="24"/>
          <w:highlight w:val="none"/>
        </w:rPr>
        <w:t>承包人直接实施的暂估价项目</w:t>
      </w:r>
    </w:p>
    <w:p w14:paraId="1E82891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88F83E6">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 暂列金额</w:t>
      </w:r>
    </w:p>
    <w:p w14:paraId="40798A17">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合同当事人关于暂列金额使用的约定：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0DE98508">
      <w:pPr>
        <w:pStyle w:val="7"/>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352" w:name="_Toc351203643"/>
      <w:r>
        <w:rPr>
          <w:rFonts w:hint="eastAsia" w:ascii="宋体" w:hAnsi="宋体" w:eastAsia="宋体" w:cs="宋体"/>
          <w:b w:val="0"/>
          <w:color w:val="auto"/>
          <w:sz w:val="24"/>
          <w:szCs w:val="24"/>
          <w:highlight w:val="none"/>
        </w:rPr>
        <w:t>11. 价格调整</w:t>
      </w:r>
      <w:bookmarkEnd w:id="352"/>
    </w:p>
    <w:p w14:paraId="14F8438B">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bookmarkStart w:id="353" w:name="_Toc304295577"/>
      <w:bookmarkStart w:id="354" w:name="_Toc292559911"/>
      <w:bookmarkStart w:id="355" w:name="_Toc300935000"/>
      <w:bookmarkStart w:id="356" w:name="_Toc296891029"/>
      <w:bookmarkStart w:id="357" w:name="_Toc312678039"/>
      <w:bookmarkStart w:id="358" w:name="_Toc296944540"/>
      <w:bookmarkStart w:id="359" w:name="_Toc296503201"/>
      <w:bookmarkStart w:id="360" w:name="_Toc303539157"/>
      <w:bookmarkStart w:id="361" w:name="_Toc296347200"/>
      <w:bookmarkStart w:id="362" w:name="_Toc297048387"/>
      <w:bookmarkStart w:id="363" w:name="_Toc297120501"/>
      <w:bookmarkStart w:id="364" w:name="_Toc297216209"/>
      <w:bookmarkStart w:id="365" w:name="_Toc292559406"/>
      <w:bookmarkStart w:id="366" w:name="_Toc296346702"/>
      <w:bookmarkStart w:id="367" w:name="_Toc296891241"/>
      <w:bookmarkStart w:id="368" w:name="_Toc297123550"/>
      <w:r>
        <w:rPr>
          <w:rFonts w:hint="eastAsia" w:ascii="宋体" w:hAnsi="宋体" w:eastAsia="宋体" w:cs="宋体"/>
          <w:color w:val="auto"/>
          <w:sz w:val="24"/>
          <w:szCs w:val="24"/>
          <w:highlight w:val="none"/>
        </w:rPr>
        <w:t>11.1 市场价格波动引起的调整</w:t>
      </w:r>
    </w:p>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14:paraId="567AE3AA">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市场价格波动是否调整合同价格的约定：</w:t>
      </w:r>
      <w:r>
        <w:rPr>
          <w:rFonts w:hint="eastAsia" w:ascii="宋体" w:hAnsi="宋体" w:eastAsia="宋体" w:cs="宋体"/>
          <w:color w:val="auto"/>
          <w:sz w:val="24"/>
          <w:szCs w:val="24"/>
          <w:highlight w:val="none"/>
          <w:u w:val="single"/>
        </w:rPr>
        <w:t xml:space="preserve">   是  </w:t>
      </w:r>
      <w:r>
        <w:rPr>
          <w:rFonts w:hint="eastAsia" w:ascii="宋体" w:hAnsi="宋体" w:eastAsia="宋体" w:cs="宋体"/>
          <w:color w:val="auto"/>
          <w:sz w:val="24"/>
          <w:szCs w:val="24"/>
          <w:highlight w:val="none"/>
        </w:rPr>
        <w:t>。</w:t>
      </w:r>
    </w:p>
    <w:p w14:paraId="652B847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因市场价格波动调整合同价格，采用以下第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种方式对合同价格进行调整：</w:t>
      </w:r>
    </w:p>
    <w:p w14:paraId="346D44AB">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第1种方式：采用价格指数进行价格调整。</w:t>
      </w:r>
    </w:p>
    <w:p w14:paraId="56333059">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关于各可调因子、定值和变值权重，以及基本价格指数及其来源的约定：</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3BE33E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第2种方式：采用造价信息进行价格调整。</w:t>
      </w:r>
    </w:p>
    <w:p w14:paraId="5323AF5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（2）关于基准价格的约定：</w:t>
      </w:r>
      <w:r>
        <w:rPr>
          <w:rFonts w:hint="eastAsia" w:ascii="宋体" w:hAnsi="宋体" w:eastAsia="宋体" w:cs="宋体"/>
          <w:color w:val="auto"/>
          <w:sz w:val="24"/>
          <w:szCs w:val="24"/>
          <w:highlight w:val="none"/>
          <w:u w:val="single"/>
        </w:rPr>
        <w:t xml:space="preserve"> 根据编制说明中约定的价格信息文件 </w:t>
      </w:r>
      <w:r>
        <w:rPr>
          <w:rFonts w:hint="eastAsia" w:ascii="宋体" w:hAnsi="宋体" w:eastAsia="宋体" w:cs="宋体"/>
          <w:color w:val="auto"/>
          <w:sz w:val="24"/>
          <w:szCs w:val="24"/>
          <w:highlight w:val="none"/>
        </w:rPr>
        <w:t>。</w:t>
      </w:r>
    </w:p>
    <w:p w14:paraId="60262E5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%时，或材料单价跌幅以已标价工程量清单或预算书中载明材料单价为基础超过</w:t>
      </w:r>
      <w:r>
        <w:rPr>
          <w:rFonts w:hint="eastAsia" w:ascii="宋体" w:hAnsi="宋体" w:eastAsia="宋体" w:cs="宋体"/>
          <w:b/>
          <w:color w:val="auto"/>
          <w:sz w:val="24"/>
          <w:szCs w:val="24"/>
          <w:highlight w:val="none"/>
          <w:u w:val="single"/>
        </w:rPr>
        <w:t>5</w:t>
      </w:r>
      <w:r>
        <w:rPr>
          <w:rFonts w:hint="eastAsia" w:ascii="宋体" w:hAnsi="宋体" w:eastAsia="宋体" w:cs="宋体"/>
          <w:color w:val="auto"/>
          <w:sz w:val="24"/>
          <w:szCs w:val="24"/>
          <w:highlight w:val="none"/>
        </w:rPr>
        <w:t>%时，其超过部分据实调整。</w:t>
      </w:r>
    </w:p>
    <w:p w14:paraId="6EBEF1F9">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%时，材料单价涨幅以已标价工程量清单或预算书中载明材料单价为基础超过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%时，其超过部分据实调整。</w:t>
      </w:r>
    </w:p>
    <w:p w14:paraId="337C27B1">
      <w:pPr>
        <w:keepNext w:val="0"/>
        <w:keepLines w:val="0"/>
        <w:pageBreakBefore w:val="0"/>
        <w:widowControl w:val="0"/>
        <w:kinsoku/>
        <w:wordWrap/>
        <w:overflowPunct/>
        <w:topLinePunct w:val="0"/>
        <w:autoSpaceDE w:val="0"/>
        <w:autoSpaceDN w:val="0"/>
        <w:bidi w:val="0"/>
        <w:snapToGrid/>
        <w:spacing w:line="340" w:lineRule="exact"/>
        <w:ind w:firstLine="64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%时，其超过部分据实调整。</w:t>
      </w:r>
    </w:p>
    <w:p w14:paraId="6F79410F">
      <w:pPr>
        <w:keepNext w:val="0"/>
        <w:keepLines w:val="0"/>
        <w:pageBreakBefore w:val="0"/>
        <w:widowControl w:val="0"/>
        <w:kinsoku/>
        <w:wordWrap/>
        <w:overflowPunct/>
        <w:topLinePunct w:val="0"/>
        <w:autoSpaceDE w:val="0"/>
        <w:autoSpaceDN w:val="0"/>
        <w:bidi w:val="0"/>
        <w:snapToGrid/>
        <w:spacing w:line="340" w:lineRule="exact"/>
        <w:ind w:firstLine="64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第3种方式：其他价格调整方式：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256"/>
    <w:bookmarkEnd w:id="257"/>
    <w:bookmarkEnd w:id="258"/>
    <w:bookmarkEnd w:id="259"/>
    <w:bookmarkEnd w:id="260"/>
    <w:bookmarkEnd w:id="261"/>
    <w:p w14:paraId="53DE2C50">
      <w:pPr>
        <w:pStyle w:val="7"/>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369" w:name="_Toc296503205"/>
      <w:bookmarkStart w:id="370" w:name="_Toc292559915"/>
      <w:bookmarkStart w:id="371" w:name="_Toc296346706"/>
      <w:bookmarkStart w:id="372" w:name="_Toc296891033"/>
      <w:bookmarkStart w:id="373" w:name="_Toc297120505"/>
      <w:bookmarkStart w:id="374" w:name="_Toc296944544"/>
      <w:bookmarkStart w:id="375" w:name="_Toc297048391"/>
      <w:bookmarkStart w:id="376" w:name="_Toc292559410"/>
      <w:bookmarkStart w:id="377" w:name="_Toc296891245"/>
      <w:bookmarkStart w:id="378" w:name="_Toc296347204"/>
      <w:bookmarkStart w:id="379" w:name="_Toc351203644"/>
      <w:bookmarkStart w:id="380" w:name="_Toc297123552"/>
      <w:bookmarkStart w:id="381" w:name="_Toc312678040"/>
      <w:bookmarkStart w:id="382" w:name="_Toc297216211"/>
      <w:bookmarkStart w:id="383" w:name="_Toc304295579"/>
      <w:bookmarkStart w:id="384" w:name="_Toc300935002"/>
      <w:bookmarkStart w:id="385" w:name="_Toc303539159"/>
      <w:r>
        <w:rPr>
          <w:rFonts w:hint="eastAsia" w:ascii="宋体" w:hAnsi="宋体" w:eastAsia="宋体" w:cs="宋体"/>
          <w:b w:val="0"/>
          <w:color w:val="auto"/>
          <w:sz w:val="24"/>
          <w:szCs w:val="24"/>
          <w:highlight w:val="none"/>
        </w:rPr>
        <w:t xml:space="preserve">12. </w:t>
      </w:r>
      <w:bookmarkEnd w:id="369"/>
      <w:bookmarkEnd w:id="370"/>
      <w:bookmarkEnd w:id="371"/>
      <w:bookmarkEnd w:id="372"/>
      <w:bookmarkEnd w:id="373"/>
      <w:bookmarkEnd w:id="374"/>
      <w:bookmarkEnd w:id="375"/>
      <w:bookmarkEnd w:id="376"/>
      <w:bookmarkEnd w:id="377"/>
      <w:bookmarkEnd w:id="378"/>
      <w:r>
        <w:rPr>
          <w:rFonts w:hint="eastAsia" w:ascii="宋体" w:hAnsi="宋体" w:eastAsia="宋体" w:cs="宋体"/>
          <w:b w:val="0"/>
          <w:color w:val="auto"/>
          <w:sz w:val="24"/>
          <w:szCs w:val="24"/>
          <w:highlight w:val="none"/>
        </w:rPr>
        <w:t>合同价格、计量与支付</w:t>
      </w:r>
      <w:bookmarkEnd w:id="379"/>
    </w:p>
    <w:bookmarkEnd w:id="380"/>
    <w:bookmarkEnd w:id="381"/>
    <w:bookmarkEnd w:id="382"/>
    <w:bookmarkEnd w:id="383"/>
    <w:bookmarkEnd w:id="384"/>
    <w:bookmarkEnd w:id="385"/>
    <w:p w14:paraId="44BD2A77">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bookmarkStart w:id="386" w:name="_Toc267251461"/>
      <w:bookmarkStart w:id="387" w:name="_Toc292559916"/>
      <w:bookmarkStart w:id="388" w:name="_Toc292559411"/>
      <w:bookmarkStart w:id="389" w:name="_Toc297120506"/>
      <w:bookmarkStart w:id="390" w:name="_Toc296503206"/>
      <w:bookmarkStart w:id="391" w:name="_Toc296891246"/>
      <w:bookmarkStart w:id="392" w:name="_Toc296346707"/>
      <w:bookmarkStart w:id="393" w:name="_Toc296891034"/>
      <w:bookmarkStart w:id="394" w:name="_Toc297048392"/>
      <w:bookmarkStart w:id="395" w:name="_Toc296347205"/>
      <w:bookmarkStart w:id="396" w:name="_Toc296944545"/>
      <w:bookmarkStart w:id="397" w:name="_Toc304295580"/>
      <w:bookmarkStart w:id="398" w:name="_Toc312678041"/>
      <w:bookmarkStart w:id="399" w:name="_Toc297123553"/>
      <w:bookmarkStart w:id="400" w:name="_Toc303539160"/>
      <w:bookmarkStart w:id="401" w:name="_Toc300935003"/>
      <w:bookmarkStart w:id="402" w:name="_Toc297216212"/>
      <w:r>
        <w:rPr>
          <w:rFonts w:hint="eastAsia" w:ascii="宋体" w:hAnsi="宋体" w:eastAsia="宋体" w:cs="宋体"/>
          <w:color w:val="auto"/>
          <w:sz w:val="24"/>
          <w:szCs w:val="24"/>
          <w:highlight w:val="none"/>
        </w:rPr>
        <w:t>12.1 合</w:t>
      </w:r>
      <w:bookmarkEnd w:id="386"/>
      <w:bookmarkEnd w:id="387"/>
      <w:bookmarkEnd w:id="388"/>
      <w:r>
        <w:rPr>
          <w:rFonts w:hint="eastAsia" w:ascii="宋体" w:hAnsi="宋体" w:eastAsia="宋体" w:cs="宋体"/>
          <w:color w:val="auto"/>
          <w:sz w:val="24"/>
          <w:szCs w:val="24"/>
          <w:highlight w:val="none"/>
        </w:rPr>
        <w:t>同价</w:t>
      </w:r>
      <w:bookmarkEnd w:id="389"/>
      <w:bookmarkEnd w:id="390"/>
      <w:bookmarkEnd w:id="391"/>
      <w:bookmarkEnd w:id="392"/>
      <w:bookmarkEnd w:id="393"/>
      <w:bookmarkEnd w:id="394"/>
      <w:bookmarkEnd w:id="395"/>
      <w:bookmarkEnd w:id="396"/>
      <w:r>
        <w:rPr>
          <w:rFonts w:hint="eastAsia" w:ascii="宋体" w:hAnsi="宋体" w:eastAsia="宋体" w:cs="宋体"/>
          <w:color w:val="auto"/>
          <w:sz w:val="24"/>
          <w:szCs w:val="24"/>
          <w:highlight w:val="none"/>
        </w:rPr>
        <w:t>格形式</w:t>
      </w:r>
    </w:p>
    <w:bookmarkEnd w:id="397"/>
    <w:bookmarkEnd w:id="398"/>
    <w:bookmarkEnd w:id="399"/>
    <w:bookmarkEnd w:id="400"/>
    <w:bookmarkEnd w:id="401"/>
    <w:bookmarkEnd w:id="402"/>
    <w:p w14:paraId="09C6BDBF">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w:t>
      </w:r>
    </w:p>
    <w:p w14:paraId="5CC4ED8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综合单价包含的风险范围：</w:t>
      </w:r>
      <w:r>
        <w:rPr>
          <w:rFonts w:hint="eastAsia" w:ascii="宋体" w:hAnsi="宋体" w:eastAsia="宋体" w:cs="宋体"/>
          <w:color w:val="auto"/>
          <w:sz w:val="24"/>
          <w:szCs w:val="24"/>
          <w:highlight w:val="none"/>
          <w:u w:val="single"/>
        </w:rPr>
        <w:t>除经济签证、设计变更、市场因素以外的所有风险</w:t>
      </w:r>
      <w:r>
        <w:rPr>
          <w:rFonts w:hint="eastAsia" w:ascii="宋体" w:hAnsi="宋体" w:eastAsia="宋体" w:cs="宋体"/>
          <w:color w:val="auto"/>
          <w:sz w:val="24"/>
          <w:szCs w:val="24"/>
          <w:highlight w:val="none"/>
        </w:rPr>
        <w:t>。</w:t>
      </w:r>
    </w:p>
    <w:p w14:paraId="3DB2346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C992B32">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w:t>
      </w:r>
    </w:p>
    <w:p w14:paraId="01143CD9">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总价包含的风险范围：</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3CB8957">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D18D21A">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64681A0">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30F0B4CC">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bookmarkStart w:id="403" w:name="_Toc312678042"/>
      <w:bookmarkStart w:id="404" w:name="_Toc303539161"/>
      <w:bookmarkStart w:id="405" w:name="_Toc297123554"/>
      <w:bookmarkStart w:id="406" w:name="_Toc297216213"/>
      <w:bookmarkStart w:id="407" w:name="_Toc300935004"/>
      <w:bookmarkStart w:id="408" w:name="_Toc304295581"/>
      <w:bookmarkStart w:id="409" w:name="_Toc296347206"/>
      <w:bookmarkStart w:id="410" w:name="_Toc297048393"/>
      <w:bookmarkStart w:id="411" w:name="_Toc296891247"/>
      <w:bookmarkStart w:id="412" w:name="_Toc296346708"/>
      <w:bookmarkStart w:id="413" w:name="_Toc296944546"/>
      <w:bookmarkStart w:id="414" w:name="_Toc296891035"/>
      <w:bookmarkStart w:id="415" w:name="_Toc292559917"/>
      <w:bookmarkStart w:id="416" w:name="_Toc297120507"/>
      <w:bookmarkStart w:id="417" w:name="_Toc296503207"/>
      <w:bookmarkStart w:id="418" w:name="_Toc292559412"/>
      <w:r>
        <w:rPr>
          <w:rFonts w:hint="eastAsia" w:ascii="宋体" w:hAnsi="宋体" w:eastAsia="宋体" w:cs="宋体"/>
          <w:color w:val="auto"/>
          <w:sz w:val="24"/>
          <w:szCs w:val="24"/>
          <w:highlight w:val="none"/>
        </w:rPr>
        <w:t>12.2 预付款</w:t>
      </w:r>
    </w:p>
    <w:bookmarkEnd w:id="403"/>
    <w:bookmarkEnd w:id="404"/>
    <w:bookmarkEnd w:id="405"/>
    <w:bookmarkEnd w:id="406"/>
    <w:bookmarkEnd w:id="407"/>
    <w:bookmarkEnd w:id="408"/>
    <w:p w14:paraId="33B516A8">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 预付款的支付</w:t>
      </w:r>
    </w:p>
    <w:p w14:paraId="40F0793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预付款支付比例或金额：</w:t>
      </w:r>
      <w:r>
        <w:rPr>
          <w:rFonts w:hint="eastAsia" w:ascii="宋体" w:hAnsi="宋体" w:eastAsia="宋体" w:cs="宋体"/>
          <w:color w:val="auto"/>
          <w:sz w:val="24"/>
          <w:szCs w:val="24"/>
          <w:highlight w:val="none"/>
          <w:u w:val="single"/>
        </w:rPr>
        <w:t xml:space="preserve">  合同价的</w:t>
      </w:r>
      <w:r>
        <w:rPr>
          <w:rFonts w:hint="eastAsia"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0%   </w:t>
      </w:r>
      <w:r>
        <w:rPr>
          <w:rFonts w:hint="eastAsia" w:ascii="宋体" w:hAnsi="宋体" w:eastAsia="宋体" w:cs="宋体"/>
          <w:color w:val="auto"/>
          <w:sz w:val="24"/>
          <w:szCs w:val="24"/>
          <w:highlight w:val="none"/>
        </w:rPr>
        <w:t>。</w:t>
      </w:r>
    </w:p>
    <w:p w14:paraId="4C7877D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预付款支付期限：</w:t>
      </w:r>
      <w:r>
        <w:rPr>
          <w:rFonts w:hint="eastAsia" w:ascii="宋体" w:hAnsi="宋体" w:eastAsia="宋体" w:cs="宋体"/>
          <w:color w:val="auto"/>
          <w:sz w:val="24"/>
          <w:szCs w:val="24"/>
          <w:highlight w:val="none"/>
          <w:u w:val="single"/>
        </w:rPr>
        <w:t xml:space="preserve">签订合同、承包方提交履约保证金，完成后并在开工以前  </w:t>
      </w:r>
      <w:r>
        <w:rPr>
          <w:rFonts w:hint="eastAsia" w:ascii="宋体" w:hAnsi="宋体" w:eastAsia="宋体" w:cs="宋体"/>
          <w:color w:val="auto"/>
          <w:sz w:val="24"/>
          <w:szCs w:val="24"/>
          <w:highlight w:val="none"/>
        </w:rPr>
        <w:t>。</w:t>
      </w:r>
    </w:p>
    <w:p w14:paraId="0CB108F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预付款扣回的方式：</w:t>
      </w:r>
      <w:r>
        <w:rPr>
          <w:rFonts w:hint="eastAsia"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w:t>
      </w:r>
    </w:p>
    <w:p w14:paraId="7DE2B9B8">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12.2.2 预付款担保</w:t>
      </w:r>
    </w:p>
    <w:p w14:paraId="27D057C7">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承包人提交预付款担保的期限：</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CD22DEA">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预付款担保的形式为：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bookmarkEnd w:id="409"/>
    <w:bookmarkEnd w:id="410"/>
    <w:bookmarkEnd w:id="411"/>
    <w:bookmarkEnd w:id="412"/>
    <w:bookmarkEnd w:id="413"/>
    <w:bookmarkEnd w:id="414"/>
    <w:bookmarkEnd w:id="415"/>
    <w:bookmarkEnd w:id="416"/>
    <w:bookmarkEnd w:id="417"/>
    <w:bookmarkEnd w:id="418"/>
    <w:p w14:paraId="16B741AD">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14:paraId="673D9A24">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14:paraId="586E926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工程量计算规则：</w:t>
      </w:r>
      <w:r>
        <w:rPr>
          <w:rFonts w:hint="eastAsia" w:ascii="宋体" w:hAnsi="宋体" w:eastAsia="宋体" w:cs="宋体"/>
          <w:color w:val="auto"/>
          <w:sz w:val="24"/>
          <w:szCs w:val="24"/>
          <w:highlight w:val="none"/>
          <w:u w:val="single"/>
        </w:rPr>
        <w:t xml:space="preserve">按GB50500-2013建设工程工程量清单计价规范工程量计算规则  </w:t>
      </w:r>
      <w:r>
        <w:rPr>
          <w:rFonts w:hint="eastAsia" w:ascii="宋体" w:hAnsi="宋体" w:eastAsia="宋体" w:cs="宋体"/>
          <w:color w:val="auto"/>
          <w:sz w:val="24"/>
          <w:szCs w:val="24"/>
          <w:highlight w:val="none"/>
        </w:rPr>
        <w:t>。</w:t>
      </w:r>
    </w:p>
    <w:p w14:paraId="7C7DF45D">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14:paraId="378FBE2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color w:val="auto"/>
          <w:sz w:val="24"/>
          <w:szCs w:val="24"/>
          <w:highlight w:val="none"/>
          <w:u w:val="single"/>
        </w:rPr>
        <w:t xml:space="preserve">   按月计量        </w:t>
      </w:r>
      <w:r>
        <w:rPr>
          <w:rFonts w:hint="eastAsia" w:ascii="宋体" w:hAnsi="宋体" w:eastAsia="宋体" w:cs="宋体"/>
          <w:color w:val="auto"/>
          <w:sz w:val="24"/>
          <w:szCs w:val="24"/>
          <w:highlight w:val="none"/>
        </w:rPr>
        <w:t>。</w:t>
      </w:r>
    </w:p>
    <w:p w14:paraId="45B09B64">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14:paraId="0E1DF0B1">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 xml:space="preserve">   按月计量     </w:t>
      </w:r>
      <w:r>
        <w:rPr>
          <w:rFonts w:hint="eastAsia" w:ascii="宋体" w:hAnsi="宋体" w:eastAsia="宋体" w:cs="宋体"/>
          <w:color w:val="auto"/>
          <w:sz w:val="24"/>
          <w:szCs w:val="24"/>
          <w:highlight w:val="none"/>
        </w:rPr>
        <w:t>。</w:t>
      </w:r>
    </w:p>
    <w:p w14:paraId="7268D984">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 总价合同的计量</w:t>
      </w:r>
    </w:p>
    <w:p w14:paraId="55366AEA">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7A42A68">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12.3.5总价合同采用支付分解表计量支付的，是否适用第</w:t>
      </w:r>
      <w:r>
        <w:rPr>
          <w:rFonts w:hint="eastAsia" w:ascii="宋体" w:hAnsi="宋体" w:eastAsia="宋体" w:cs="宋体"/>
          <w:color w:val="auto"/>
          <w:kern w:val="0"/>
          <w:sz w:val="24"/>
          <w:szCs w:val="24"/>
          <w:highlight w:val="none"/>
        </w:rPr>
        <w:t xml:space="preserve">12.3.4 </w:t>
      </w:r>
      <w:r>
        <w:rPr>
          <w:rFonts w:hint="eastAsia" w:ascii="宋体" w:hAnsi="宋体" w:eastAsia="宋体" w:cs="宋体"/>
          <w:color w:val="auto"/>
          <w:sz w:val="24"/>
          <w:szCs w:val="24"/>
          <w:highlight w:val="none"/>
        </w:rPr>
        <w:t>项</w:t>
      </w:r>
      <w:r>
        <w:rPr>
          <w:rFonts w:hint="eastAsia" w:ascii="宋体" w:hAnsi="宋体" w:eastAsia="宋体" w:cs="宋体"/>
          <w:color w:val="auto"/>
          <w:kern w:val="0"/>
          <w:sz w:val="24"/>
          <w:szCs w:val="24"/>
          <w:highlight w:val="none"/>
        </w:rPr>
        <w:t>〔总价合同的计量〕</w:t>
      </w:r>
      <w:r>
        <w:rPr>
          <w:rFonts w:hint="eastAsia" w:ascii="宋体" w:hAnsi="宋体" w:eastAsia="宋体" w:cs="宋体"/>
          <w:color w:val="auto"/>
          <w:sz w:val="24"/>
          <w:szCs w:val="24"/>
          <w:highlight w:val="none"/>
        </w:rPr>
        <w:t>约定进行计量：</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1ECD6F4">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14:paraId="45369C3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7995A0F">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工程进度款支付</w:t>
      </w:r>
    </w:p>
    <w:p w14:paraId="21DF12EA">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bookmarkStart w:id="419" w:name="_Toc296891251"/>
      <w:bookmarkStart w:id="420" w:name="_Toc297048397"/>
      <w:bookmarkStart w:id="421" w:name="_Toc296503211"/>
      <w:bookmarkStart w:id="422" w:name="_Toc296346712"/>
      <w:bookmarkStart w:id="423" w:name="_Toc292559416"/>
      <w:bookmarkStart w:id="424" w:name="_Toc296891039"/>
      <w:bookmarkStart w:id="425" w:name="_Toc297120511"/>
      <w:bookmarkStart w:id="426" w:name="_Toc297216215"/>
      <w:bookmarkStart w:id="427" w:name="_Toc296347210"/>
      <w:bookmarkStart w:id="428" w:name="_Toc297123556"/>
      <w:bookmarkStart w:id="429" w:name="_Toc296944550"/>
      <w:bookmarkStart w:id="430" w:name="_Toc292559921"/>
      <w:bookmarkStart w:id="431" w:name="_Toc303539163"/>
      <w:bookmarkStart w:id="432" w:name="_Toc300935006"/>
      <w:r>
        <w:rPr>
          <w:rFonts w:hint="eastAsia" w:ascii="宋体" w:hAnsi="宋体" w:eastAsia="宋体" w:cs="宋体"/>
          <w:color w:val="auto"/>
          <w:sz w:val="24"/>
          <w:szCs w:val="24"/>
          <w:highlight w:val="none"/>
        </w:rPr>
        <w:t>12.4.1 付款周期</w:t>
      </w:r>
    </w:p>
    <w:p w14:paraId="4414D063">
      <w:pPr>
        <w:keepNext w:val="0"/>
        <w:keepLines w:val="0"/>
        <w:pageBreakBefore w:val="0"/>
        <w:widowControl/>
        <w:suppressLineNumbers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0000FF"/>
          <w:sz w:val="24"/>
          <w:szCs w:val="24"/>
          <w:highlight w:val="none"/>
        </w:rPr>
      </w:pPr>
      <w:r>
        <w:rPr>
          <w:rFonts w:hint="eastAsia" w:ascii="宋体" w:hAnsi="宋体" w:eastAsia="宋体" w:cs="宋体"/>
          <w:color w:val="auto"/>
          <w:sz w:val="24"/>
          <w:szCs w:val="24"/>
          <w:highlight w:val="none"/>
        </w:rPr>
        <w:t>关于付款周期的约定：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施工合同签订开工后，首次按合同价的30%支付预付款。施工过程中根据施工进度支付工程进度款，竣工验收后按审计结算价支付剩余工程款。预留3%作为质量保证金(质保期一年，接受担保机构的保函、保险机构的保单等其他非现金交易担保方式)，质保期满项目承包方提请返还保证金申请，经双方验收无误并签署一致意见后一次性结清。</w:t>
      </w:r>
    </w:p>
    <w:p w14:paraId="7B523ACA">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14:paraId="4BC483D3">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关于进度付款申请单编制的约定：</w:t>
      </w:r>
      <w:r>
        <w:rPr>
          <w:rFonts w:hint="eastAsia" w:ascii="宋体" w:hAnsi="宋体" w:eastAsia="宋体" w:cs="宋体"/>
          <w:color w:val="auto"/>
          <w:sz w:val="24"/>
          <w:szCs w:val="24"/>
          <w:highlight w:val="none"/>
          <w:u w:val="single"/>
        </w:rPr>
        <w:t xml:space="preserve">按发包方工程款支付管理规定执行  </w:t>
      </w:r>
      <w:r>
        <w:rPr>
          <w:rFonts w:hint="eastAsia" w:ascii="宋体" w:hAnsi="宋体" w:eastAsia="宋体" w:cs="宋体"/>
          <w:color w:val="auto"/>
          <w:sz w:val="24"/>
          <w:szCs w:val="24"/>
          <w:highlight w:val="none"/>
        </w:rPr>
        <w:t>。</w:t>
      </w:r>
    </w:p>
    <w:p w14:paraId="7F11A3F6">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Pr>
          <w:rFonts w:hint="eastAsia" w:ascii="宋体" w:hAnsi="宋体" w:eastAsia="宋体" w:cs="宋体"/>
          <w:color w:val="auto"/>
          <w:sz w:val="24"/>
          <w:szCs w:val="24"/>
          <w:highlight w:val="none"/>
        </w:rPr>
        <w:t>2.4.3 进度付款申请单的提交</w:t>
      </w:r>
    </w:p>
    <w:p w14:paraId="637987B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color w:val="auto"/>
          <w:sz w:val="24"/>
          <w:szCs w:val="24"/>
          <w:highlight w:val="none"/>
          <w:u w:val="single"/>
        </w:rPr>
        <w:t xml:space="preserve">    按发包方工程款支付管理规定执行   </w:t>
      </w:r>
      <w:r>
        <w:rPr>
          <w:rFonts w:hint="eastAsia" w:ascii="宋体" w:hAnsi="宋体" w:eastAsia="宋体" w:cs="宋体"/>
          <w:color w:val="auto"/>
          <w:sz w:val="24"/>
          <w:szCs w:val="24"/>
          <w:highlight w:val="none"/>
        </w:rPr>
        <w:t>。</w:t>
      </w:r>
    </w:p>
    <w:p w14:paraId="5F1F9E3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 xml:space="preserve">  按发包方工程款支付管理规定执行  </w:t>
      </w:r>
      <w:r>
        <w:rPr>
          <w:rFonts w:hint="eastAsia" w:ascii="宋体" w:hAnsi="宋体" w:eastAsia="宋体" w:cs="宋体"/>
          <w:color w:val="auto"/>
          <w:sz w:val="24"/>
          <w:szCs w:val="24"/>
          <w:highlight w:val="none"/>
        </w:rPr>
        <w:t>。</w:t>
      </w:r>
    </w:p>
    <w:p w14:paraId="7F0A39D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（3）其他价格形式合同进度付款申请单提交的约定：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59307B59">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 进度款审核和支付</w:t>
      </w:r>
    </w:p>
    <w:p w14:paraId="04A22773">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（1）监理人审查并报送发包人的期限：</w:t>
      </w:r>
      <w:r>
        <w:rPr>
          <w:rFonts w:hint="eastAsia" w:ascii="宋体" w:hAnsi="宋体" w:eastAsia="宋体" w:cs="宋体"/>
          <w:color w:val="auto"/>
          <w:sz w:val="24"/>
          <w:szCs w:val="24"/>
          <w:highlight w:val="none"/>
          <w:u w:val="single"/>
        </w:rPr>
        <w:t xml:space="preserve">  收到申请7日内审查并报送     </w:t>
      </w:r>
      <w:r>
        <w:rPr>
          <w:rFonts w:hint="eastAsia" w:ascii="宋体" w:hAnsi="宋体" w:eastAsia="宋体" w:cs="宋体"/>
          <w:color w:val="auto"/>
          <w:sz w:val="24"/>
          <w:szCs w:val="24"/>
          <w:highlight w:val="none"/>
        </w:rPr>
        <w:t>。</w:t>
      </w:r>
    </w:p>
    <w:p w14:paraId="036756E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发包人完成审批并签发进度款支付证书的期限：</w:t>
      </w:r>
      <w:r>
        <w:rPr>
          <w:rFonts w:hint="eastAsia" w:ascii="宋体" w:hAnsi="宋体" w:eastAsia="宋体" w:cs="宋体"/>
          <w:color w:val="auto"/>
          <w:sz w:val="24"/>
          <w:szCs w:val="24"/>
          <w:highlight w:val="none"/>
          <w:u w:val="single"/>
        </w:rPr>
        <w:t xml:space="preserve"> 收到7日内完成       </w:t>
      </w:r>
      <w:r>
        <w:rPr>
          <w:rFonts w:hint="eastAsia" w:ascii="宋体" w:hAnsi="宋体" w:eastAsia="宋体" w:cs="宋体"/>
          <w:color w:val="auto"/>
          <w:sz w:val="24"/>
          <w:szCs w:val="24"/>
          <w:highlight w:val="none"/>
        </w:rPr>
        <w:t>。</w:t>
      </w:r>
    </w:p>
    <w:p w14:paraId="76D0031B">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（2）发包人支付进度款的期限：</w:t>
      </w:r>
      <w:r>
        <w:rPr>
          <w:rFonts w:hint="eastAsia" w:ascii="宋体" w:hAnsi="宋体" w:eastAsia="宋体" w:cs="宋体"/>
          <w:color w:val="auto"/>
          <w:sz w:val="24"/>
          <w:szCs w:val="24"/>
          <w:highlight w:val="none"/>
          <w:u w:val="single"/>
        </w:rPr>
        <w:t xml:space="preserve">  14日内                         </w:t>
      </w:r>
      <w:r>
        <w:rPr>
          <w:rFonts w:hint="eastAsia" w:ascii="宋体" w:hAnsi="宋体" w:eastAsia="宋体" w:cs="宋体"/>
          <w:color w:val="auto"/>
          <w:sz w:val="24"/>
          <w:szCs w:val="24"/>
          <w:highlight w:val="none"/>
        </w:rPr>
        <w:t>。</w:t>
      </w:r>
    </w:p>
    <w:p w14:paraId="45C4B230">
      <w:pPr>
        <w:keepNext w:val="0"/>
        <w:keepLines w:val="0"/>
        <w:pageBreakBefore w:val="0"/>
        <w:widowControl w:val="0"/>
        <w:kinsoku/>
        <w:wordWrap/>
        <w:overflowPunct/>
        <w:topLinePunct w:val="0"/>
        <w:autoSpaceDE w:val="0"/>
        <w:autoSpaceDN w:val="0"/>
        <w:bidi w:val="0"/>
        <w:snapToGrid/>
        <w:spacing w:line="340" w:lineRule="exact"/>
        <w:ind w:firstLine="600" w:firstLine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发包人逾期支付进度款的违约金的计算方式：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DA0FD56">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12.4.6 支付分解表的编制</w:t>
      </w:r>
    </w:p>
    <w:p w14:paraId="35A1630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2、总价合同支付分解表的编制与审批：</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5875AB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3、单价合同的总价项目支付分解表的编制与审批：</w:t>
      </w:r>
      <w:r>
        <w:rPr>
          <w:rFonts w:hint="eastAsia" w:ascii="宋体" w:hAnsi="宋体" w:eastAsia="宋体" w:cs="宋体"/>
          <w:color w:val="auto"/>
          <w:sz w:val="24"/>
          <w:szCs w:val="24"/>
          <w:highlight w:val="none"/>
          <w:u w:val="single"/>
        </w:rPr>
        <w:t xml:space="preserve">  按合同通用条款     </w:t>
      </w:r>
      <w:r>
        <w:rPr>
          <w:rFonts w:hint="eastAsia" w:ascii="宋体" w:hAnsi="宋体" w:eastAsia="宋体" w:cs="宋体"/>
          <w:color w:val="auto"/>
          <w:sz w:val="24"/>
          <w:szCs w:val="24"/>
          <w:highlight w:val="none"/>
        </w:rPr>
        <w:t>。</w:t>
      </w:r>
    </w:p>
    <w:bookmarkEnd w:id="262"/>
    <w:p w14:paraId="499882D7">
      <w:pPr>
        <w:pStyle w:val="7"/>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433" w:name="_Toc351203645"/>
      <w:bookmarkStart w:id="434" w:name="_Toc304295593"/>
      <w:bookmarkStart w:id="435" w:name="_Toc297048405"/>
      <w:bookmarkStart w:id="436" w:name="_Toc303539172"/>
      <w:bookmarkStart w:id="437" w:name="_Toc292559929"/>
      <w:bookmarkStart w:id="438" w:name="_Toc297216223"/>
      <w:bookmarkStart w:id="439" w:name="_Toc300935015"/>
      <w:bookmarkStart w:id="440" w:name="_Toc297123564"/>
      <w:bookmarkStart w:id="441" w:name="_Toc296347218"/>
      <w:bookmarkStart w:id="442" w:name="_Toc296891259"/>
      <w:bookmarkStart w:id="443" w:name="_Toc292559424"/>
      <w:bookmarkStart w:id="444" w:name="_Toc296503219"/>
      <w:bookmarkStart w:id="445" w:name="_Toc297120519"/>
      <w:bookmarkStart w:id="446" w:name="_Toc296944558"/>
      <w:bookmarkStart w:id="447" w:name="_Toc296346720"/>
      <w:bookmarkStart w:id="448" w:name="_Toc312678053"/>
      <w:bookmarkStart w:id="449" w:name="_Toc296891047"/>
      <w:r>
        <w:rPr>
          <w:rFonts w:hint="eastAsia" w:ascii="宋体" w:hAnsi="宋体" w:eastAsia="宋体" w:cs="宋体"/>
          <w:b w:val="0"/>
          <w:color w:val="auto"/>
          <w:sz w:val="24"/>
          <w:szCs w:val="24"/>
          <w:highlight w:val="none"/>
        </w:rPr>
        <w:t>13. 验收和工程试车</w:t>
      </w:r>
      <w:bookmarkEnd w:id="433"/>
    </w:p>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14:paraId="27F03FA6">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分部分项工程验收</w:t>
      </w:r>
    </w:p>
    <w:p w14:paraId="331560FC">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36035F9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14:paraId="6DB45235">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bookmarkStart w:id="450" w:name="_Toc304295596"/>
      <w:bookmarkStart w:id="451" w:name="_Toc303539173"/>
      <w:bookmarkStart w:id="452" w:name="_Toc296944562"/>
      <w:bookmarkStart w:id="453" w:name="_Toc296347222"/>
      <w:bookmarkStart w:id="454" w:name="_Toc292559933"/>
      <w:bookmarkStart w:id="455" w:name="_Toc296346724"/>
      <w:bookmarkStart w:id="456" w:name="_Toc300935016"/>
      <w:bookmarkStart w:id="457" w:name="_Toc292559428"/>
      <w:bookmarkStart w:id="458" w:name="_Toc312678056"/>
      <w:bookmarkStart w:id="459" w:name="_Toc296891051"/>
      <w:bookmarkStart w:id="460" w:name="_Toc297048409"/>
      <w:bookmarkStart w:id="461" w:name="_Toc297216224"/>
      <w:bookmarkStart w:id="462" w:name="_Toc296891263"/>
      <w:bookmarkStart w:id="463" w:name="_Toc296503223"/>
      <w:bookmarkStart w:id="464" w:name="_Toc297123565"/>
      <w:bookmarkStart w:id="465" w:name="_Toc297120523"/>
      <w:bookmarkStart w:id="466" w:name="_Toc267251470"/>
      <w:bookmarkStart w:id="467" w:name="_Toc267251476"/>
      <w:bookmarkStart w:id="468" w:name="_Toc267251475"/>
      <w:bookmarkStart w:id="469" w:name="_Toc267251473"/>
      <w:bookmarkStart w:id="470" w:name="_Toc267251471"/>
      <w:bookmarkStart w:id="471" w:name="_Toc267251474"/>
      <w:bookmarkStart w:id="472" w:name="_Toc267251472"/>
      <w:r>
        <w:rPr>
          <w:rFonts w:hint="eastAsia" w:ascii="宋体" w:hAnsi="宋体" w:eastAsia="宋体" w:cs="宋体"/>
          <w:color w:val="auto"/>
          <w:sz w:val="24"/>
          <w:szCs w:val="24"/>
          <w:highlight w:val="none"/>
        </w:rPr>
        <w:t>13.2 竣工验收</w:t>
      </w:r>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14:paraId="5AA1B9F6">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bookmarkStart w:id="473" w:name="_Toc280868704"/>
      <w:bookmarkStart w:id="474" w:name="_Toc280868705"/>
      <w:bookmarkStart w:id="475" w:name="_Toc280868706"/>
      <w:bookmarkStart w:id="476" w:name="_Toc280868707"/>
      <w:bookmarkStart w:id="477" w:name="_Toc280868708"/>
      <w:bookmarkStart w:id="478" w:name="_Toc280868709"/>
      <w:r>
        <w:rPr>
          <w:rFonts w:hint="eastAsia" w:ascii="宋体" w:hAnsi="宋体" w:eastAsia="宋体" w:cs="宋体"/>
          <w:color w:val="auto"/>
          <w:sz w:val="24"/>
          <w:szCs w:val="24"/>
          <w:highlight w:val="none"/>
        </w:rPr>
        <w:t>13.2.2竣工验收程序</w:t>
      </w:r>
    </w:p>
    <w:bookmarkEnd w:id="473"/>
    <w:p w14:paraId="47BFC9AD">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关于竣工验收程序的约定：</w:t>
      </w:r>
      <w:r>
        <w:rPr>
          <w:rFonts w:hint="eastAsia" w:ascii="宋体" w:hAnsi="宋体" w:eastAsia="宋体" w:cs="宋体"/>
          <w:color w:val="auto"/>
          <w:sz w:val="24"/>
          <w:szCs w:val="24"/>
          <w:highlight w:val="none"/>
          <w:u w:val="single"/>
        </w:rPr>
        <w:t xml:space="preserve">     按合同通用条款        </w:t>
      </w:r>
      <w:r>
        <w:rPr>
          <w:rFonts w:hint="eastAsia" w:ascii="宋体" w:hAnsi="宋体" w:eastAsia="宋体" w:cs="宋体"/>
          <w:color w:val="auto"/>
          <w:sz w:val="24"/>
          <w:szCs w:val="24"/>
          <w:highlight w:val="none"/>
        </w:rPr>
        <w:t>。</w:t>
      </w:r>
    </w:p>
    <w:p w14:paraId="766F8C6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发包人不按照本项约定组织竣工验收、颁发工程接收证书的违约金的计算方法：</w:t>
      </w:r>
      <w:r>
        <w:rPr>
          <w:rFonts w:hint="eastAsia" w:ascii="宋体" w:hAnsi="宋体" w:eastAsia="宋体" w:cs="宋体"/>
          <w:color w:val="auto"/>
          <w:sz w:val="24"/>
          <w:szCs w:val="24"/>
          <w:highlight w:val="none"/>
          <w:u w:val="single"/>
        </w:rPr>
        <w:t xml:space="preserve"> 按合同通用条款   </w:t>
      </w:r>
      <w:r>
        <w:rPr>
          <w:rFonts w:hint="eastAsia" w:ascii="宋体" w:hAnsi="宋体" w:eastAsia="宋体" w:cs="宋体"/>
          <w:color w:val="auto"/>
          <w:sz w:val="24"/>
          <w:szCs w:val="24"/>
          <w:highlight w:val="none"/>
        </w:rPr>
        <w:t>。</w:t>
      </w:r>
    </w:p>
    <w:bookmarkEnd w:id="474"/>
    <w:p w14:paraId="283F8E12">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13.2.5移交、接收全部与部分工程</w:t>
      </w:r>
    </w:p>
    <w:bookmarkEnd w:id="475"/>
    <w:p w14:paraId="7AFE835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承包人向发包人移交工程的期限：</w:t>
      </w:r>
      <w:r>
        <w:rPr>
          <w:rFonts w:hint="eastAsia" w:ascii="宋体" w:hAnsi="宋体" w:eastAsia="宋体" w:cs="宋体"/>
          <w:color w:val="auto"/>
          <w:sz w:val="24"/>
          <w:szCs w:val="24"/>
          <w:highlight w:val="none"/>
          <w:u w:val="single"/>
        </w:rPr>
        <w:t xml:space="preserve">   颁发工程接收证书后7日内      </w:t>
      </w:r>
      <w:r>
        <w:rPr>
          <w:rFonts w:hint="eastAsia" w:ascii="宋体" w:hAnsi="宋体" w:eastAsia="宋体" w:cs="宋体"/>
          <w:color w:val="auto"/>
          <w:sz w:val="24"/>
          <w:szCs w:val="24"/>
          <w:highlight w:val="none"/>
        </w:rPr>
        <w:t>。</w:t>
      </w:r>
    </w:p>
    <w:p w14:paraId="522256B7">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发包人未按本合同约定接收全部或部分工程的，违约金的计算方法为：</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bookmarkEnd w:id="476"/>
    <w:p w14:paraId="73C875D9">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A31A88C">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工程试车</w:t>
      </w:r>
    </w:p>
    <w:bookmarkEnd w:id="477"/>
    <w:p w14:paraId="1AEC0EE3">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13.3.1 试车程序</w:t>
      </w:r>
    </w:p>
    <w:p w14:paraId="0E7015BE">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工程试车内容：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B12FDAB">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（1）单机无负荷试车费用由</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承担；</w:t>
      </w:r>
    </w:p>
    <w:p w14:paraId="2B1D35F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（2）无负荷联动试车费用由</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承担。</w:t>
      </w:r>
    </w:p>
    <w:p w14:paraId="5811C7D4">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13.3.3 投料试车</w:t>
      </w:r>
    </w:p>
    <w:p w14:paraId="3CE5DBFB">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关于投料试车相关事项的约定：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4595EFC">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竣工退场</w:t>
      </w:r>
    </w:p>
    <w:p w14:paraId="66ACCD3C">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13.6.1 竣工退场</w:t>
      </w:r>
    </w:p>
    <w:p w14:paraId="4B0C9EC1">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承包人完成竣工退场的期限：</w:t>
      </w:r>
      <w:r>
        <w:rPr>
          <w:rFonts w:hint="eastAsia" w:ascii="宋体" w:hAnsi="宋体" w:eastAsia="宋体" w:cs="宋体"/>
          <w:color w:val="auto"/>
          <w:sz w:val="24"/>
          <w:szCs w:val="24"/>
          <w:highlight w:val="none"/>
          <w:u w:val="single"/>
        </w:rPr>
        <w:t xml:space="preserve">   颁发工程接收证书后3日内      </w:t>
      </w:r>
      <w:r>
        <w:rPr>
          <w:rFonts w:hint="eastAsia" w:ascii="宋体" w:hAnsi="宋体" w:eastAsia="宋体" w:cs="宋体"/>
          <w:color w:val="auto"/>
          <w:kern w:val="0"/>
          <w:sz w:val="24"/>
          <w:szCs w:val="24"/>
          <w:highlight w:val="none"/>
        </w:rPr>
        <w:t>。</w:t>
      </w:r>
    </w:p>
    <w:p w14:paraId="2F897E67">
      <w:pPr>
        <w:pStyle w:val="7"/>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479" w:name="_Toc351203646"/>
      <w:r>
        <w:rPr>
          <w:rFonts w:hint="eastAsia" w:ascii="宋体" w:hAnsi="宋体" w:eastAsia="宋体" w:cs="宋体"/>
          <w:b w:val="0"/>
          <w:color w:val="auto"/>
          <w:sz w:val="24"/>
          <w:szCs w:val="24"/>
          <w:highlight w:val="none"/>
        </w:rPr>
        <w:t>14. 竣工结算</w:t>
      </w:r>
      <w:bookmarkEnd w:id="479"/>
    </w:p>
    <w:p w14:paraId="7C061C28">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竣工付款申请</w:t>
      </w:r>
    </w:p>
    <w:p w14:paraId="1A3CA20A">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承包人提交竣工付款申请单的期限：</w:t>
      </w:r>
      <w:r>
        <w:rPr>
          <w:rFonts w:hint="eastAsia" w:ascii="宋体" w:hAnsi="宋体" w:eastAsia="宋体" w:cs="宋体"/>
          <w:color w:val="auto"/>
          <w:sz w:val="24"/>
          <w:szCs w:val="24"/>
          <w:highlight w:val="none"/>
          <w:u w:val="single"/>
        </w:rPr>
        <w:t xml:space="preserve">按合同付款约定执行    </w:t>
      </w:r>
      <w:r>
        <w:rPr>
          <w:rFonts w:hint="eastAsia" w:ascii="宋体" w:hAnsi="宋体" w:eastAsia="宋体" w:cs="宋体"/>
          <w:color w:val="auto"/>
          <w:sz w:val="24"/>
          <w:szCs w:val="24"/>
          <w:highlight w:val="none"/>
        </w:rPr>
        <w:t>。</w:t>
      </w:r>
    </w:p>
    <w:p w14:paraId="7233C4F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竣工付款申请单应包括的内容：</w:t>
      </w:r>
      <w:r>
        <w:rPr>
          <w:rFonts w:hint="eastAsia" w:ascii="宋体" w:hAnsi="宋体" w:eastAsia="宋体" w:cs="宋体"/>
          <w:color w:val="auto"/>
          <w:sz w:val="24"/>
          <w:szCs w:val="24"/>
          <w:highlight w:val="none"/>
          <w:u w:val="single"/>
        </w:rPr>
        <w:t xml:space="preserve">   按合同付款约定执行         </w:t>
      </w:r>
      <w:r>
        <w:rPr>
          <w:rFonts w:hint="eastAsia" w:ascii="宋体" w:hAnsi="宋体" w:eastAsia="宋体" w:cs="宋体"/>
          <w:color w:val="auto"/>
          <w:sz w:val="24"/>
          <w:szCs w:val="24"/>
          <w:highlight w:val="none"/>
        </w:rPr>
        <w:t>。</w:t>
      </w:r>
    </w:p>
    <w:p w14:paraId="5C07DC36">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竣工结算审核</w:t>
      </w:r>
    </w:p>
    <w:p w14:paraId="2201199B">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 xml:space="preserve">  按合同付款约定执行   </w:t>
      </w:r>
      <w:r>
        <w:rPr>
          <w:rFonts w:hint="eastAsia" w:ascii="宋体" w:hAnsi="宋体" w:eastAsia="宋体" w:cs="宋体"/>
          <w:color w:val="auto"/>
          <w:sz w:val="24"/>
          <w:szCs w:val="24"/>
          <w:highlight w:val="none"/>
        </w:rPr>
        <w:t>。</w:t>
      </w:r>
    </w:p>
    <w:p w14:paraId="4A9CDEC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发包人完成竣工付款的期限：</w:t>
      </w:r>
      <w:r>
        <w:rPr>
          <w:rFonts w:hint="eastAsia" w:ascii="宋体" w:hAnsi="宋体" w:eastAsia="宋体" w:cs="宋体"/>
          <w:color w:val="auto"/>
          <w:sz w:val="24"/>
          <w:szCs w:val="24"/>
          <w:highlight w:val="none"/>
          <w:u w:val="single"/>
        </w:rPr>
        <w:t xml:space="preserve">按合同付款约定执行    </w:t>
      </w:r>
      <w:r>
        <w:rPr>
          <w:rFonts w:hint="eastAsia" w:ascii="宋体" w:hAnsi="宋体" w:eastAsia="宋体" w:cs="宋体"/>
          <w:color w:val="auto"/>
          <w:sz w:val="24"/>
          <w:szCs w:val="24"/>
          <w:highlight w:val="none"/>
        </w:rPr>
        <w:t>。</w:t>
      </w:r>
    </w:p>
    <w:p w14:paraId="6A02692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关于竣工付款证书异议部分复核的方式和程序：</w:t>
      </w:r>
      <w:r>
        <w:rPr>
          <w:rFonts w:hint="eastAsia" w:ascii="宋体" w:hAnsi="宋体" w:eastAsia="宋体" w:cs="宋体"/>
          <w:color w:val="auto"/>
          <w:sz w:val="24"/>
          <w:szCs w:val="24"/>
          <w:highlight w:val="none"/>
          <w:u w:val="single"/>
        </w:rPr>
        <w:t xml:space="preserve"> 发包方支付工程款必须进入本合同约定账户     </w:t>
      </w:r>
      <w:r>
        <w:rPr>
          <w:rFonts w:hint="eastAsia" w:ascii="宋体" w:hAnsi="宋体" w:eastAsia="宋体" w:cs="宋体"/>
          <w:color w:val="auto"/>
          <w:sz w:val="24"/>
          <w:szCs w:val="24"/>
          <w:highlight w:val="none"/>
        </w:rPr>
        <w:t>。</w:t>
      </w:r>
    </w:p>
    <w:p w14:paraId="208C845C">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14:paraId="3057ED1C">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14.4.1 最终结清申请单</w:t>
      </w:r>
    </w:p>
    <w:p w14:paraId="061CC64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     肆份        </w:t>
      </w:r>
      <w:r>
        <w:rPr>
          <w:rFonts w:hint="eastAsia" w:ascii="宋体" w:hAnsi="宋体" w:eastAsia="宋体" w:cs="宋体"/>
          <w:color w:val="auto"/>
          <w:sz w:val="24"/>
          <w:szCs w:val="24"/>
          <w:highlight w:val="none"/>
        </w:rPr>
        <w:t>。</w:t>
      </w:r>
    </w:p>
    <w:p w14:paraId="34DDAF6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承包人提交最终结算申请单的期限：</w:t>
      </w:r>
      <w:r>
        <w:rPr>
          <w:rFonts w:hint="eastAsia" w:ascii="宋体" w:hAnsi="宋体" w:eastAsia="宋体" w:cs="宋体"/>
          <w:color w:val="auto"/>
          <w:sz w:val="24"/>
          <w:szCs w:val="24"/>
          <w:highlight w:val="none"/>
          <w:u w:val="single"/>
        </w:rPr>
        <w:t xml:space="preserve">  缺陷责任期终止证书颁发后7天内    </w:t>
      </w:r>
      <w:r>
        <w:rPr>
          <w:rFonts w:hint="eastAsia" w:ascii="宋体" w:hAnsi="宋体" w:eastAsia="宋体" w:cs="宋体"/>
          <w:color w:val="auto"/>
          <w:sz w:val="24"/>
          <w:szCs w:val="24"/>
          <w:highlight w:val="none"/>
        </w:rPr>
        <w:t xml:space="preserve">。 </w:t>
      </w:r>
    </w:p>
    <w:p w14:paraId="2031A1BE">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14:paraId="2591982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（1）发包人完成最终结清申请单的审批并颁发最终结清证书的期限：</w:t>
      </w:r>
      <w:r>
        <w:rPr>
          <w:rFonts w:hint="eastAsia" w:ascii="宋体" w:hAnsi="宋体" w:eastAsia="宋体" w:cs="宋体"/>
          <w:color w:val="auto"/>
          <w:sz w:val="24"/>
          <w:szCs w:val="24"/>
          <w:highlight w:val="none"/>
          <w:u w:val="single"/>
        </w:rPr>
        <w:t xml:space="preserve">  收到最终结算申请单后14天内        </w:t>
      </w:r>
      <w:r>
        <w:rPr>
          <w:rFonts w:hint="eastAsia" w:ascii="宋体" w:hAnsi="宋体" w:eastAsia="宋体" w:cs="宋体"/>
          <w:color w:val="auto"/>
          <w:sz w:val="24"/>
          <w:szCs w:val="24"/>
          <w:highlight w:val="none"/>
        </w:rPr>
        <w:t>。</w:t>
      </w:r>
    </w:p>
    <w:p w14:paraId="33DD59F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（2）发包人完成支付的期限：</w:t>
      </w:r>
      <w:r>
        <w:rPr>
          <w:rFonts w:hint="eastAsia" w:ascii="宋体" w:hAnsi="宋体" w:eastAsia="宋体" w:cs="宋体"/>
          <w:color w:val="auto"/>
          <w:sz w:val="24"/>
          <w:szCs w:val="24"/>
          <w:highlight w:val="none"/>
          <w:u w:val="single"/>
        </w:rPr>
        <w:t xml:space="preserve"> 执行合同通用条款   </w:t>
      </w:r>
      <w:r>
        <w:rPr>
          <w:rFonts w:hint="eastAsia" w:ascii="宋体" w:hAnsi="宋体" w:eastAsia="宋体" w:cs="宋体"/>
          <w:color w:val="auto"/>
          <w:sz w:val="24"/>
          <w:szCs w:val="24"/>
          <w:highlight w:val="none"/>
        </w:rPr>
        <w:t>。</w:t>
      </w:r>
    </w:p>
    <w:bookmarkEnd w:id="466"/>
    <w:bookmarkEnd w:id="467"/>
    <w:bookmarkEnd w:id="468"/>
    <w:bookmarkEnd w:id="469"/>
    <w:bookmarkEnd w:id="470"/>
    <w:bookmarkEnd w:id="471"/>
    <w:bookmarkEnd w:id="472"/>
    <w:bookmarkEnd w:id="478"/>
    <w:p w14:paraId="640751FD">
      <w:pPr>
        <w:pStyle w:val="7"/>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480" w:name="_Toc351203647"/>
      <w:bookmarkStart w:id="481" w:name="_Toc267251483"/>
      <w:bookmarkStart w:id="482" w:name="_Toc267251482"/>
      <w:bookmarkStart w:id="483" w:name="_Toc267251484"/>
      <w:bookmarkStart w:id="484" w:name="_Toc267251485"/>
      <w:bookmarkStart w:id="485" w:name="_Toc267251488"/>
      <w:bookmarkStart w:id="486" w:name="_Toc267251490"/>
      <w:bookmarkStart w:id="487" w:name="_Toc267251486"/>
      <w:bookmarkStart w:id="488" w:name="_Toc267251489"/>
      <w:bookmarkStart w:id="489" w:name="_Toc267251498"/>
      <w:bookmarkStart w:id="490" w:name="_Toc267251491"/>
      <w:bookmarkStart w:id="491" w:name="_Toc267251502"/>
      <w:bookmarkStart w:id="492" w:name="_Toc267251497"/>
      <w:bookmarkStart w:id="493" w:name="_Toc267251501"/>
      <w:bookmarkStart w:id="494" w:name="_Toc267251499"/>
      <w:bookmarkStart w:id="495" w:name="_Toc267251494"/>
      <w:bookmarkStart w:id="496" w:name="_Toc267251495"/>
      <w:bookmarkStart w:id="497" w:name="_Toc267251503"/>
      <w:bookmarkStart w:id="498" w:name="_Toc267251496"/>
      <w:bookmarkStart w:id="499" w:name="_Toc267251492"/>
      <w:bookmarkStart w:id="500" w:name="_Toc267251493"/>
      <w:bookmarkStart w:id="501" w:name="_Toc267251504"/>
      <w:bookmarkStart w:id="502" w:name="_Toc267251506"/>
      <w:bookmarkStart w:id="503" w:name="_Toc267251507"/>
      <w:bookmarkStart w:id="504" w:name="_Toc267251508"/>
      <w:bookmarkStart w:id="505" w:name="_Toc267251515"/>
      <w:bookmarkStart w:id="506" w:name="_Toc267251513"/>
      <w:bookmarkStart w:id="507" w:name="_Toc267251509"/>
      <w:bookmarkStart w:id="508" w:name="_Toc267251514"/>
      <w:bookmarkStart w:id="509" w:name="_Toc267251510"/>
      <w:bookmarkStart w:id="510" w:name="_Toc267251511"/>
      <w:r>
        <w:rPr>
          <w:rFonts w:hint="eastAsia" w:ascii="宋体" w:hAnsi="宋体" w:eastAsia="宋体" w:cs="宋体"/>
          <w:b w:val="0"/>
          <w:color w:val="auto"/>
          <w:sz w:val="24"/>
          <w:szCs w:val="24"/>
          <w:highlight w:val="none"/>
        </w:rPr>
        <w:t>15. 缺陷责任期与保修</w:t>
      </w:r>
      <w:bookmarkEnd w:id="480"/>
    </w:p>
    <w:p w14:paraId="0B820B22">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15.2缺陷责任期</w:t>
      </w:r>
      <w:bookmarkEnd w:id="481"/>
    </w:p>
    <w:p w14:paraId="5990EA9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缺陷责任期的具体期限：</w:t>
      </w:r>
      <w:r>
        <w:rPr>
          <w:rFonts w:hint="eastAsia" w:ascii="宋体" w:hAnsi="宋体" w:eastAsia="宋体" w:cs="宋体"/>
          <w:color w:val="auto"/>
          <w:sz w:val="24"/>
          <w:szCs w:val="24"/>
          <w:highlight w:val="none"/>
          <w:u w:val="single"/>
        </w:rPr>
        <w:t xml:space="preserve">  自实际竣工日期起计算为12个月    </w:t>
      </w:r>
      <w:r>
        <w:rPr>
          <w:rFonts w:hint="eastAsia" w:ascii="宋体" w:hAnsi="宋体" w:eastAsia="宋体" w:cs="宋体"/>
          <w:color w:val="auto"/>
          <w:sz w:val="24"/>
          <w:szCs w:val="24"/>
          <w:highlight w:val="none"/>
        </w:rPr>
        <w:t>。</w:t>
      </w:r>
    </w:p>
    <w:p w14:paraId="5967352F">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质量保证金</w:t>
      </w:r>
    </w:p>
    <w:p w14:paraId="1F56F889">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关于是否扣留质量保证金的约定：</w:t>
      </w:r>
      <w:r>
        <w:rPr>
          <w:rFonts w:hint="eastAsia" w:ascii="宋体" w:hAnsi="宋体" w:eastAsia="宋体" w:cs="宋体"/>
          <w:color w:val="auto"/>
          <w:sz w:val="24"/>
          <w:szCs w:val="24"/>
          <w:highlight w:val="none"/>
          <w:u w:val="single"/>
        </w:rPr>
        <w:t xml:space="preserve">         扣留          </w:t>
      </w:r>
      <w:r>
        <w:rPr>
          <w:rFonts w:hint="eastAsia" w:ascii="宋体" w:hAnsi="宋体" w:eastAsia="宋体" w:cs="宋体"/>
          <w:color w:val="auto"/>
          <w:sz w:val="24"/>
          <w:szCs w:val="24"/>
          <w:highlight w:val="none"/>
        </w:rPr>
        <w:t>。</w:t>
      </w:r>
    </w:p>
    <w:p w14:paraId="02BD1CF6">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承包人提供质量保证金的方式</w:t>
      </w:r>
    </w:p>
    <w:p w14:paraId="2D33BC1D">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w:t>
      </w:r>
    </w:p>
    <w:p w14:paraId="549532EC">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（1）质量保证金保函，保证金额为：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14:paraId="6A9B5CED">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u w:val="single"/>
        </w:rPr>
        <w:t xml:space="preserve">  3  </w:t>
      </w:r>
      <w:r>
        <w:rPr>
          <w:rFonts w:hint="eastAsia" w:ascii="宋体" w:hAnsi="宋体" w:eastAsia="宋体" w:cs="宋体"/>
          <w:color w:val="auto"/>
          <w:kern w:val="0"/>
          <w:sz w:val="24"/>
          <w:szCs w:val="24"/>
          <w:highlight w:val="none"/>
        </w:rPr>
        <w:t>%的工程款；</w:t>
      </w:r>
    </w:p>
    <w:p w14:paraId="2609FE30">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（3）其他方式: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782C45D">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15.3.2 质量保证金的扣留 </w:t>
      </w:r>
    </w:p>
    <w:p w14:paraId="2084090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质量保证金的扣留采取以下第</w:t>
      </w:r>
      <w:r>
        <w:rPr>
          <w:rFonts w:hint="eastAsia" w:ascii="宋体" w:hAnsi="宋体" w:eastAsia="宋体" w:cs="宋体"/>
          <w:color w:val="auto"/>
          <w:sz w:val="24"/>
          <w:szCs w:val="24"/>
          <w:highlight w:val="none"/>
          <w:u w:val="single"/>
        </w:rPr>
        <w:t xml:space="preserve">   </w:t>
      </w:r>
      <w:r>
        <w:rPr>
          <w:rFonts w:hint="eastAsia" w:cs="宋体"/>
          <w:b/>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w:t>
      </w:r>
    </w:p>
    <w:p w14:paraId="445F7782">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（1）在支付工程进度款时逐次扣留，在此情形下，质量保证金的计算基数不包括预付款的支付、扣回以及价格调整的金额；</w:t>
      </w:r>
    </w:p>
    <w:p w14:paraId="79680A7D">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（2）工程竣工结算时一次性扣留质量保证金；</w:t>
      </w:r>
    </w:p>
    <w:p w14:paraId="6C950AE4">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（3）其他扣留方式: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以保函形式缴纳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06B921D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关于质量保证金的补充约定：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按照国家、自治区现行规定执行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bookmarkEnd w:id="482"/>
    <w:bookmarkEnd w:id="483"/>
    <w:p w14:paraId="757E01FD">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15.4保修</w:t>
      </w:r>
    </w:p>
    <w:bookmarkEnd w:id="484"/>
    <w:p w14:paraId="1F0A9F92">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 保修责任</w:t>
      </w:r>
    </w:p>
    <w:p w14:paraId="053BA32A">
      <w:pPr>
        <w:keepNext w:val="0"/>
        <w:keepLines w:val="0"/>
        <w:pageBreakBefore w:val="0"/>
        <w:widowControl w:val="0"/>
        <w:kinsoku/>
        <w:wordWrap/>
        <w:overflowPunct/>
        <w:topLinePunct w:val="0"/>
        <w:autoSpaceDE w:val="0"/>
        <w:autoSpaceDN w:val="0"/>
        <w:bidi w:val="0"/>
        <w:snapToGrid/>
        <w:spacing w:line="340" w:lineRule="exact"/>
        <w:ind w:firstLine="468" w:firstLineChars="19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工程保修期为：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见工程质量保修书</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8891393">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14:paraId="772889E9">
      <w:pPr>
        <w:keepNext w:val="0"/>
        <w:keepLines w:val="0"/>
        <w:pageBreakBefore w:val="0"/>
        <w:widowControl w:val="0"/>
        <w:kinsoku/>
        <w:wordWrap/>
        <w:overflowPunct/>
        <w:topLinePunct w:val="0"/>
        <w:autoSpaceDE w:val="0"/>
        <w:autoSpaceDN w:val="0"/>
        <w:bidi w:val="0"/>
        <w:snapToGrid/>
        <w:spacing w:line="340" w:lineRule="exact"/>
        <w:ind w:firstLine="468" w:firstLineChars="19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承包人收到保修通知并到达工程现场的合理时间：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24小时内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bookmarkEnd w:id="485"/>
    <w:bookmarkEnd w:id="486"/>
    <w:bookmarkEnd w:id="487"/>
    <w:bookmarkEnd w:id="488"/>
    <w:p w14:paraId="3C68A927">
      <w:pPr>
        <w:pStyle w:val="7"/>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511" w:name="_Toc351203648"/>
      <w:bookmarkStart w:id="512" w:name="_Toc280868717"/>
      <w:bookmarkStart w:id="513" w:name="_Toc280868718"/>
      <w:r>
        <w:rPr>
          <w:rFonts w:hint="eastAsia" w:ascii="宋体" w:hAnsi="宋体" w:eastAsia="宋体" w:cs="宋体"/>
          <w:b w:val="0"/>
          <w:color w:val="auto"/>
          <w:sz w:val="24"/>
          <w:szCs w:val="24"/>
          <w:highlight w:val="none"/>
        </w:rPr>
        <w:t>16. 违约</w:t>
      </w:r>
      <w:bookmarkEnd w:id="511"/>
    </w:p>
    <w:p w14:paraId="232FF1E7">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发包人违约</w:t>
      </w:r>
    </w:p>
    <w:p w14:paraId="22632F7E">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16.1.1发包人违约的情形</w:t>
      </w:r>
    </w:p>
    <w:p w14:paraId="1D5D705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发包人违约的其他情形：</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172B25B">
      <w:pPr>
        <w:keepNext w:val="0"/>
        <w:keepLines w:val="0"/>
        <w:pageBreakBefore w:val="0"/>
        <w:widowControl w:val="0"/>
        <w:kinsoku/>
        <w:wordWrap/>
        <w:overflowPunct/>
        <w:topLinePunct w:val="0"/>
        <w:autoSpaceDE w:val="0"/>
        <w:autoSpaceDN w:val="0"/>
        <w:bidi w:val="0"/>
        <w:snapToGrid/>
        <w:spacing w:line="340" w:lineRule="exact"/>
        <w:ind w:left="1050" w:hanging="1200" w:hangingChars="5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16.1.2 发包人违约的责任</w:t>
      </w:r>
    </w:p>
    <w:p w14:paraId="35269A1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发包人违约责任的承担方式和计算方法：</w:t>
      </w:r>
    </w:p>
    <w:p w14:paraId="635F96E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（1）因发包人原因未能在计划开工日期前7天内下达开工通知的违约责任：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6D5A18D">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（2）因发包人原因未能按合同约定支付合同价款的违约责任：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0128053">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（3）发包人违反第10.1款〔变更的范围〕第（2）项约定，自行实施被取消的工作或转由他人实施的违约责任：</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00FF10A1">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7769720">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（5）因发包人违反合同约定造成暂停施工的违约责任：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511BB296">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（6）发包人无正当理由没有在约定期限内发出复工指示，导致承包人无法复工的违约责任：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74547A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（7）其他：</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20F7221">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 因发包人违约解除合同</w:t>
      </w:r>
    </w:p>
    <w:p w14:paraId="3CD6C26F">
      <w:pPr>
        <w:keepNext w:val="0"/>
        <w:keepLines w:val="0"/>
        <w:pageBreakBefore w:val="0"/>
        <w:widowControl w:val="0"/>
        <w:kinsoku/>
        <w:wordWrap/>
        <w:overflowPunct/>
        <w:topLinePunct w:val="0"/>
        <w:autoSpaceDE w:val="0"/>
        <w:autoSpaceDN w:val="0"/>
        <w:bidi w:val="0"/>
        <w:adjustRightInd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承包人按16.1.1项〔发包人违约的情形〕约定暂停施工满</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天后发包人仍不纠正其违约行为并致使合同目的不能实现的，承包人有权解除合同。</w:t>
      </w:r>
    </w:p>
    <w:p w14:paraId="5A45A38E">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14:paraId="42407B6C">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16.2.1 承包人违约的情形</w:t>
      </w:r>
    </w:p>
    <w:p w14:paraId="55EB1DB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承包人违约的其他情形：</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执行合同通用条款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025DD8F">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16.2.2承包人违约的责任</w:t>
      </w:r>
    </w:p>
    <w:p w14:paraId="448CB48A">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承包人违约责任的承担方式和计算方法：</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执行合同通用条款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 xml:space="preserve">    </w:t>
      </w:r>
    </w:p>
    <w:p w14:paraId="76F3C39D">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因承包人违约解除合同</w:t>
      </w:r>
    </w:p>
    <w:p w14:paraId="048A2ACF">
      <w:pPr>
        <w:keepNext w:val="0"/>
        <w:keepLines w:val="0"/>
        <w:pageBreakBefore w:val="0"/>
        <w:widowControl w:val="0"/>
        <w:kinsoku/>
        <w:wordWrap/>
        <w:overflowPunct/>
        <w:topLinePunct w:val="0"/>
        <w:autoSpaceDE w:val="0"/>
        <w:autoSpaceDN w:val="0"/>
        <w:bidi w:val="0"/>
        <w:snapToGrid/>
        <w:spacing w:before="120" w:after="120"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关于承包人违约解除合同的特别约定：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 执行合同通用条款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1C3E9E28">
      <w:pPr>
        <w:keepNext w:val="0"/>
        <w:keepLines w:val="0"/>
        <w:pageBreakBefore w:val="0"/>
        <w:widowControl w:val="0"/>
        <w:kinsoku/>
        <w:wordWrap/>
        <w:overflowPunct/>
        <w:topLinePunct w:val="0"/>
        <w:autoSpaceDE w:val="0"/>
        <w:autoSpaceDN w:val="0"/>
        <w:bidi w:val="0"/>
        <w:snapToGrid/>
        <w:spacing w:before="120" w:after="120"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由发包人承担</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5D4B28E">
      <w:pPr>
        <w:pStyle w:val="7"/>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514" w:name="_Toc351203649"/>
      <w:r>
        <w:rPr>
          <w:rFonts w:hint="eastAsia" w:ascii="宋体" w:hAnsi="宋体" w:eastAsia="宋体" w:cs="宋体"/>
          <w:b w:val="0"/>
          <w:color w:val="auto"/>
          <w:sz w:val="24"/>
          <w:szCs w:val="24"/>
          <w:highlight w:val="none"/>
        </w:rPr>
        <w:t>17. 不可抗力</w:t>
      </w:r>
      <w:bookmarkEnd w:id="514"/>
      <w:r>
        <w:rPr>
          <w:rFonts w:hint="eastAsia" w:ascii="宋体" w:hAnsi="宋体" w:eastAsia="宋体" w:cs="宋体"/>
          <w:b w:val="0"/>
          <w:color w:val="auto"/>
          <w:sz w:val="24"/>
          <w:szCs w:val="24"/>
          <w:highlight w:val="none"/>
        </w:rPr>
        <w:t xml:space="preserve"> </w:t>
      </w:r>
      <w:bookmarkEnd w:id="512"/>
    </w:p>
    <w:p w14:paraId="5E537F35">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不可抗力的确认</w:t>
      </w:r>
    </w:p>
    <w:p w14:paraId="3D8B4EFC">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rPr>
        <w:t xml:space="preserve">除通用合同条款约定的不可抗力事件之外，视为不可抗力的其他情形：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2CE6CBA4">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因不可抗力解除合同</w:t>
      </w:r>
    </w:p>
    <w:p w14:paraId="0614ED61">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天内完成款项的支付。</w:t>
      </w:r>
    </w:p>
    <w:p w14:paraId="6B0DBF7C">
      <w:pPr>
        <w:pStyle w:val="7"/>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515" w:name="_Toc351203650"/>
      <w:r>
        <w:rPr>
          <w:rFonts w:hint="eastAsia" w:ascii="宋体" w:hAnsi="宋体" w:eastAsia="宋体" w:cs="宋体"/>
          <w:b w:val="0"/>
          <w:color w:val="auto"/>
          <w:sz w:val="24"/>
          <w:szCs w:val="24"/>
          <w:highlight w:val="none"/>
        </w:rPr>
        <w:t>18. 保险</w:t>
      </w:r>
      <w:bookmarkEnd w:id="515"/>
    </w:p>
    <w:bookmarkEnd w:id="513"/>
    <w:p w14:paraId="3538A149">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工程保险</w:t>
      </w:r>
    </w:p>
    <w:p w14:paraId="4D3C6D00">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sz w:val="24"/>
          <w:szCs w:val="24"/>
          <w:highlight w:val="none"/>
          <w:u w:val="single"/>
        </w:rPr>
        <w:t>执行合同通用条款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6F8493DA">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其他保险</w:t>
      </w:r>
    </w:p>
    <w:p w14:paraId="01FC81A7">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9B91379">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color w:val="auto"/>
          <w:sz w:val="24"/>
          <w:szCs w:val="24"/>
          <w:highlight w:val="none"/>
          <w:u w:val="single"/>
        </w:rPr>
        <w:t xml:space="preserve">    执行合同通用条款        </w:t>
      </w:r>
      <w:r>
        <w:rPr>
          <w:rFonts w:hint="eastAsia" w:ascii="宋体" w:hAnsi="宋体" w:eastAsia="宋体" w:cs="宋体"/>
          <w:color w:val="auto"/>
          <w:sz w:val="24"/>
          <w:szCs w:val="24"/>
          <w:highlight w:val="none"/>
        </w:rPr>
        <w:t>。</w:t>
      </w:r>
    </w:p>
    <w:p w14:paraId="5D1E2F39">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 通知义务</w:t>
      </w:r>
    </w:p>
    <w:p w14:paraId="550A5A44">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关于变更保险合同时的通知义务的约定：</w:t>
      </w:r>
      <w:r>
        <w:rPr>
          <w:rFonts w:hint="eastAsia" w:ascii="宋体" w:hAnsi="宋体" w:eastAsia="宋体" w:cs="宋体"/>
          <w:color w:val="auto"/>
          <w:sz w:val="24"/>
          <w:szCs w:val="24"/>
          <w:highlight w:val="none"/>
          <w:u w:val="single"/>
        </w:rPr>
        <w:t xml:space="preserve">    执行合同通用条款           </w:t>
      </w:r>
      <w:r>
        <w:rPr>
          <w:rFonts w:hint="eastAsia" w:ascii="宋体" w:hAnsi="宋体" w:eastAsia="宋体" w:cs="宋体"/>
          <w:color w:val="auto"/>
          <w:sz w:val="24"/>
          <w:szCs w:val="24"/>
          <w:highlight w:val="none"/>
        </w:rPr>
        <w:t>。</w:t>
      </w:r>
    </w:p>
    <w:bookmarkEnd w:id="489"/>
    <w:bookmarkEnd w:id="490"/>
    <w:bookmarkEnd w:id="491"/>
    <w:bookmarkEnd w:id="492"/>
    <w:bookmarkEnd w:id="493"/>
    <w:bookmarkEnd w:id="494"/>
    <w:bookmarkEnd w:id="495"/>
    <w:bookmarkEnd w:id="496"/>
    <w:bookmarkEnd w:id="497"/>
    <w:bookmarkEnd w:id="498"/>
    <w:bookmarkEnd w:id="499"/>
    <w:bookmarkEnd w:id="500"/>
    <w:p w14:paraId="3CEF1497">
      <w:pPr>
        <w:pStyle w:val="7"/>
        <w:keepNext w:val="0"/>
        <w:keepLines w:val="0"/>
        <w:pageBreakBefore w:val="0"/>
        <w:widowControl w:val="0"/>
        <w:kinsoku/>
        <w:wordWrap/>
        <w:overflowPunct/>
        <w:topLinePunct w:val="0"/>
        <w:autoSpaceDE w:val="0"/>
        <w:autoSpaceDN w:val="0"/>
        <w:bidi w:val="0"/>
        <w:snapToGrid/>
        <w:spacing w:before="120" w:after="120" w:line="340" w:lineRule="exact"/>
        <w:jc w:val="left"/>
        <w:textAlignment w:val="auto"/>
        <w:rPr>
          <w:rFonts w:hint="eastAsia" w:ascii="宋体" w:hAnsi="宋体" w:eastAsia="宋体" w:cs="宋体"/>
          <w:b w:val="0"/>
          <w:color w:val="auto"/>
          <w:sz w:val="24"/>
          <w:szCs w:val="24"/>
          <w:highlight w:val="none"/>
        </w:rPr>
      </w:pPr>
      <w:bookmarkStart w:id="516" w:name="_Toc351203651"/>
      <w:r>
        <w:rPr>
          <w:rFonts w:hint="eastAsia" w:ascii="宋体" w:hAnsi="宋体" w:eastAsia="宋体" w:cs="宋体"/>
          <w:b w:val="0"/>
          <w:color w:val="auto"/>
          <w:sz w:val="24"/>
          <w:szCs w:val="24"/>
          <w:highlight w:val="none"/>
        </w:rPr>
        <w:t>20. 争议解决</w:t>
      </w:r>
      <w:bookmarkEnd w:id="516"/>
    </w:p>
    <w:bookmarkEnd w:id="501"/>
    <w:bookmarkEnd w:id="502"/>
    <w:p w14:paraId="0317A5AF">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争</w:t>
      </w:r>
      <w:bookmarkEnd w:id="503"/>
      <w:r>
        <w:rPr>
          <w:rFonts w:hint="eastAsia" w:ascii="宋体" w:hAnsi="宋体" w:eastAsia="宋体" w:cs="宋体"/>
          <w:color w:val="auto"/>
          <w:sz w:val="24"/>
          <w:szCs w:val="24"/>
          <w:highlight w:val="none"/>
        </w:rPr>
        <w:t>议评审</w:t>
      </w:r>
    </w:p>
    <w:p w14:paraId="6367D055">
      <w:pPr>
        <w:keepNext w:val="0"/>
        <w:keepLines w:val="0"/>
        <w:pageBreakBefore w:val="0"/>
        <w:widowControl w:val="0"/>
        <w:kinsoku/>
        <w:wordWrap/>
        <w:overflowPunct/>
        <w:topLinePunct w:val="0"/>
        <w:autoSpaceDE w:val="0"/>
        <w:autoSpaceDN w:val="0"/>
        <w:bidi w:val="0"/>
        <w:snapToGrid/>
        <w:spacing w:line="340" w:lineRule="exact"/>
        <w:ind w:left="156" w:leftChars="71"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合同当事人是否同意将工程争议提交争议评审小组决定：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BDBD6CE">
      <w:pPr>
        <w:keepNext w:val="0"/>
        <w:keepLines w:val="0"/>
        <w:pageBreakBefore w:val="0"/>
        <w:widowControl w:val="0"/>
        <w:kinsoku/>
        <w:wordWrap/>
        <w:overflowPunct/>
        <w:topLinePunct w:val="0"/>
        <w:autoSpaceDE w:val="0"/>
        <w:autoSpaceDN w:val="0"/>
        <w:bidi w:val="0"/>
        <w:snapToGrid/>
        <w:spacing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20.3.1 争议评审小组的确定</w:t>
      </w:r>
    </w:p>
    <w:p w14:paraId="2DD550F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争议评审小组成员的确定：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290D51B">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4D6581A">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争议评审小组成员的报酬承担方式：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C9BC345">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2313E25">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20.3.2 争议评审小组的决定</w:t>
      </w:r>
    </w:p>
    <w:p w14:paraId="6915ABF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3319211">
      <w:pPr>
        <w:keepNext w:val="0"/>
        <w:keepLines w:val="0"/>
        <w:pageBreakBefore w:val="0"/>
        <w:widowControl w:val="0"/>
        <w:kinsoku/>
        <w:wordWrap/>
        <w:overflowPunct/>
        <w:topLinePunct w:val="0"/>
        <w:autoSpaceDE w:val="0"/>
        <w:autoSpaceDN w:val="0"/>
        <w:bidi w:val="0"/>
        <w:snapToGrid/>
        <w:spacing w:after="120"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20.4仲裁或诉讼</w:t>
      </w:r>
      <w:bookmarkEnd w:id="504"/>
    </w:p>
    <w:p w14:paraId="020E1F70">
      <w:pPr>
        <w:keepNext w:val="0"/>
        <w:keepLines w:val="0"/>
        <w:pageBreakBefore w:val="0"/>
        <w:widowControl w:val="0"/>
        <w:kinsoku/>
        <w:wordWrap/>
        <w:overflowPunct/>
        <w:topLinePunct w:val="0"/>
        <w:autoSpaceDE w:val="0"/>
        <w:autoSpaceDN w:val="0"/>
        <w:bidi w:val="0"/>
        <w:snapToGrid/>
        <w:spacing w:after="120"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种方式解决：</w:t>
      </w:r>
    </w:p>
    <w:p w14:paraId="0DCDC802">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仲裁委员会申请仲裁；</w:t>
      </w:r>
    </w:p>
    <w:p w14:paraId="787AF1D8">
      <w:pPr>
        <w:keepNext w:val="0"/>
        <w:keepLines w:val="0"/>
        <w:pageBreakBefore w:val="0"/>
        <w:widowControl w:val="0"/>
        <w:kinsoku/>
        <w:wordWrap/>
        <w:overflowPunct/>
        <w:topLinePunct w:val="0"/>
        <w:autoSpaceDE w:val="0"/>
        <w:autoSpaceDN w:val="0"/>
        <w:bidi w:val="0"/>
        <w:snapToGrid/>
        <w:spacing w:line="3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工程所在地      </w:t>
      </w:r>
      <w:r>
        <w:rPr>
          <w:rFonts w:hint="eastAsia" w:ascii="宋体" w:hAnsi="宋体" w:eastAsia="宋体" w:cs="宋体"/>
          <w:color w:val="auto"/>
          <w:sz w:val="24"/>
          <w:szCs w:val="24"/>
          <w:highlight w:val="none"/>
        </w:rPr>
        <w:t>人民法院起诉。</w:t>
      </w:r>
      <w:bookmarkEnd w:id="505"/>
      <w:bookmarkEnd w:id="506"/>
      <w:bookmarkEnd w:id="507"/>
      <w:bookmarkEnd w:id="508"/>
      <w:bookmarkEnd w:id="509"/>
      <w:bookmarkEnd w:id="510"/>
    </w:p>
    <w:p w14:paraId="5F04919A">
      <w:pPr>
        <w:pStyle w:val="4"/>
        <w:keepNext w:val="0"/>
        <w:keepLines w:val="0"/>
        <w:pageBreakBefore w:val="0"/>
        <w:widowControl w:val="0"/>
        <w:numPr>
          <w:ilvl w:val="0"/>
          <w:numId w:val="0"/>
        </w:numPr>
        <w:kinsoku/>
        <w:wordWrap/>
        <w:overflowPunct/>
        <w:topLinePunct w:val="0"/>
        <w:autoSpaceDE w:val="0"/>
        <w:autoSpaceDN w:val="0"/>
        <w:bidi w:val="0"/>
        <w:snapToGrid/>
        <w:spacing w:line="340" w:lineRule="exact"/>
        <w:ind w:right="0" w:rightChars="0" w:firstLine="3012" w:firstLineChars="1000"/>
        <w:jc w:val="both"/>
        <w:textAlignment w:val="auto"/>
        <w:rPr>
          <w:rFonts w:hint="eastAsia" w:ascii="宋体" w:hAnsi="宋体" w:eastAsia="宋体" w:cs="宋体"/>
          <w:color w:val="auto"/>
          <w:sz w:val="30"/>
          <w:szCs w:val="30"/>
          <w:highlight w:val="none"/>
          <w:lang w:val="en-US" w:eastAsia="zh-CN"/>
        </w:rPr>
      </w:pPr>
      <w:bookmarkStart w:id="517" w:name="_Toc495501807"/>
      <w:bookmarkStart w:id="518" w:name="_Toc418164812"/>
    </w:p>
    <w:p w14:paraId="210E6ED9">
      <w:pPr>
        <w:pStyle w:val="4"/>
        <w:keepNext w:val="0"/>
        <w:keepLines w:val="0"/>
        <w:pageBreakBefore w:val="0"/>
        <w:widowControl w:val="0"/>
        <w:numPr>
          <w:ilvl w:val="0"/>
          <w:numId w:val="0"/>
        </w:numPr>
        <w:kinsoku/>
        <w:wordWrap/>
        <w:overflowPunct/>
        <w:topLinePunct w:val="0"/>
        <w:autoSpaceDE w:val="0"/>
        <w:autoSpaceDN w:val="0"/>
        <w:bidi w:val="0"/>
        <w:snapToGrid/>
        <w:spacing w:line="340" w:lineRule="exact"/>
        <w:ind w:right="0" w:rightChars="0" w:firstLine="3012" w:firstLineChars="1000"/>
        <w:jc w:val="both"/>
        <w:textAlignment w:val="auto"/>
        <w:rPr>
          <w:rFonts w:hint="eastAsia" w:ascii="宋体" w:hAnsi="宋体" w:eastAsia="宋体" w:cs="宋体"/>
          <w:color w:val="auto"/>
          <w:sz w:val="30"/>
          <w:szCs w:val="30"/>
          <w:highlight w:val="none"/>
          <w:lang w:val="en-US" w:eastAsia="zh-CN"/>
        </w:rPr>
      </w:pPr>
    </w:p>
    <w:p w14:paraId="42FEFD56">
      <w:pPr>
        <w:pStyle w:val="4"/>
        <w:keepNext w:val="0"/>
        <w:keepLines w:val="0"/>
        <w:pageBreakBefore w:val="0"/>
        <w:widowControl w:val="0"/>
        <w:numPr>
          <w:ilvl w:val="0"/>
          <w:numId w:val="0"/>
        </w:numPr>
        <w:kinsoku/>
        <w:wordWrap/>
        <w:overflowPunct/>
        <w:topLinePunct w:val="0"/>
        <w:autoSpaceDE w:val="0"/>
        <w:autoSpaceDN w:val="0"/>
        <w:bidi w:val="0"/>
        <w:snapToGrid/>
        <w:spacing w:line="340" w:lineRule="exact"/>
        <w:ind w:right="0" w:rightChars="0" w:firstLine="3012" w:firstLineChars="1000"/>
        <w:jc w:val="both"/>
        <w:textAlignment w:val="auto"/>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第三节 合同文件格式</w:t>
      </w:r>
      <w:bookmarkEnd w:id="517"/>
      <w:bookmarkEnd w:id="518"/>
    </w:p>
    <w:p w14:paraId="3A5E8DF6">
      <w:pPr>
        <w:keepNext w:val="0"/>
        <w:keepLines w:val="0"/>
        <w:pageBreakBefore w:val="0"/>
        <w:widowControl w:val="0"/>
        <w:kinsoku/>
        <w:wordWrap/>
        <w:overflowPunct/>
        <w:topLinePunct w:val="0"/>
        <w:autoSpaceDE w:val="0"/>
        <w:autoSpaceDN w:val="0"/>
        <w:bidi w:val="0"/>
        <w:snapToGrid/>
        <w:spacing w:line="3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1.合同文件格式</w:t>
      </w:r>
    </w:p>
    <w:p w14:paraId="44D54D42">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 依据设计文件的要求，本工程</w:t>
      </w:r>
      <w:r>
        <w:rPr>
          <w:rFonts w:hint="eastAsia" w:ascii="宋体" w:hAnsi="宋体" w:eastAsia="宋体" w:cs="宋体"/>
          <w:color w:val="auto"/>
          <w:kern w:val="0"/>
          <w:sz w:val="24"/>
          <w:szCs w:val="24"/>
          <w:highlight w:val="none"/>
          <w:lang w:eastAsia="zh-CN"/>
        </w:rPr>
        <w:t>采购项目</w:t>
      </w:r>
      <w:r>
        <w:rPr>
          <w:rFonts w:hint="eastAsia" w:ascii="宋体" w:hAnsi="宋体" w:eastAsia="宋体" w:cs="宋体"/>
          <w:color w:val="auto"/>
          <w:kern w:val="0"/>
          <w:sz w:val="24"/>
          <w:szCs w:val="24"/>
          <w:highlight w:val="none"/>
        </w:rPr>
        <w:t>的材料、设备、施工必须达到现行中华人民共和国以及自治区和行业的工程建设标准、规范的要求。</w:t>
      </w:r>
    </w:p>
    <w:p w14:paraId="588EF49B">
      <w:pPr>
        <w:keepNext w:val="0"/>
        <w:keepLines w:val="0"/>
        <w:pageBreakBefore w:val="0"/>
        <w:widowControl w:val="0"/>
        <w:kinsoku/>
        <w:wordWrap/>
        <w:overflowPunct/>
        <w:topLinePunct w:val="0"/>
        <w:autoSpaceDE w:val="0"/>
        <w:autoSpaceDN w:val="0"/>
        <w:bidi w:val="0"/>
        <w:adjustRightInd w:val="0"/>
        <w:snapToGrid/>
        <w:spacing w:line="340" w:lineRule="exact"/>
        <w:ind w:left="2" w:firstLine="482" w:firstLineChars="201"/>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 建设工程施工合同的“合同条件”采用国家工商行政管理局和建设部颁发的《建设工程施工合同》（</w:t>
      </w:r>
      <w:r>
        <w:rPr>
          <w:rFonts w:hint="eastAsia" w:ascii="宋体" w:hAnsi="宋体" w:eastAsia="宋体" w:cs="宋体"/>
          <w:b/>
          <w:color w:val="auto"/>
          <w:kern w:val="0"/>
          <w:sz w:val="24"/>
          <w:szCs w:val="24"/>
          <w:highlight w:val="none"/>
        </w:rPr>
        <w:t xml:space="preserve"> </w:t>
      </w:r>
      <w:r>
        <w:rPr>
          <w:rFonts w:hint="eastAsia" w:ascii="宋体" w:hAnsi="宋体" w:eastAsia="宋体" w:cs="宋体"/>
          <w:b/>
          <w:color w:val="auto"/>
          <w:kern w:val="0"/>
          <w:sz w:val="24"/>
          <w:szCs w:val="24"/>
          <w:highlight w:val="none"/>
          <w:u w:val="single"/>
        </w:rPr>
        <w:t>GF-201</w:t>
      </w:r>
      <w:r>
        <w:rPr>
          <w:rFonts w:hint="eastAsia" w:cs="宋体"/>
          <w:b/>
          <w:color w:val="auto"/>
          <w:kern w:val="0"/>
          <w:sz w:val="24"/>
          <w:szCs w:val="24"/>
          <w:highlight w:val="none"/>
          <w:u w:val="single"/>
          <w:lang w:val="en-US" w:eastAsia="zh-CN"/>
        </w:rPr>
        <w:t>7</w:t>
      </w:r>
      <w:r>
        <w:rPr>
          <w:rFonts w:hint="eastAsia" w:ascii="宋体" w:hAnsi="宋体" w:eastAsia="宋体" w:cs="宋体"/>
          <w:b/>
          <w:color w:val="auto"/>
          <w:kern w:val="0"/>
          <w:sz w:val="24"/>
          <w:szCs w:val="24"/>
          <w:highlight w:val="none"/>
          <w:u w:val="single"/>
        </w:rPr>
        <w:t>-0201</w:t>
      </w:r>
      <w:r>
        <w:rPr>
          <w:rFonts w:hint="eastAsia" w:ascii="宋体" w:hAnsi="宋体" w:eastAsia="宋体" w:cs="宋体"/>
          <w:color w:val="auto"/>
          <w:kern w:val="0"/>
          <w:sz w:val="24"/>
          <w:szCs w:val="24"/>
          <w:highlight w:val="none"/>
        </w:rPr>
        <w:t xml:space="preserve"> ）的合同条件。</w:t>
      </w:r>
    </w:p>
    <w:p w14:paraId="6047A459">
      <w:pPr>
        <w:keepNext w:val="0"/>
        <w:keepLines w:val="0"/>
        <w:pageBreakBefore w:val="0"/>
        <w:widowControl w:val="0"/>
        <w:kinsoku/>
        <w:wordWrap/>
        <w:overflowPunct/>
        <w:topLinePunct w:val="0"/>
        <w:autoSpaceDE w:val="0"/>
        <w:autoSpaceDN w:val="0"/>
        <w:bidi w:val="0"/>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1.3 合同协议条款将由建设单位（发包人）与中标单位（承包人）结合本工程具体情况协商后签订。</w:t>
      </w:r>
      <w:bookmarkEnd w:id="55"/>
      <w:bookmarkEnd w:id="56"/>
      <w:bookmarkEnd w:id="57"/>
      <w:bookmarkEnd w:id="58"/>
    </w:p>
    <w:p w14:paraId="485F168F">
      <w:pPr>
        <w:pStyle w:val="16"/>
        <w:rPr>
          <w:rFonts w:hint="eastAsia" w:ascii="宋体" w:hAnsi="宋体" w:eastAsia="宋体" w:cs="宋体"/>
          <w:color w:val="auto"/>
          <w:sz w:val="24"/>
          <w:szCs w:val="24"/>
          <w:highlight w:val="none"/>
        </w:rPr>
      </w:pPr>
    </w:p>
    <w:p w14:paraId="48966618">
      <w:pPr>
        <w:pStyle w:val="16"/>
        <w:rPr>
          <w:rFonts w:hint="eastAsia" w:ascii="宋体" w:hAnsi="宋体" w:eastAsia="宋体" w:cs="宋体"/>
          <w:color w:val="auto"/>
          <w:sz w:val="24"/>
          <w:szCs w:val="24"/>
          <w:highlight w:val="none"/>
        </w:rPr>
      </w:pPr>
    </w:p>
    <w:p w14:paraId="21D110CE">
      <w:pPr>
        <w:pStyle w:val="16"/>
        <w:rPr>
          <w:rFonts w:hint="eastAsia" w:ascii="宋体" w:hAnsi="宋体" w:eastAsia="宋体" w:cs="宋体"/>
          <w:color w:val="auto"/>
          <w:sz w:val="24"/>
          <w:szCs w:val="24"/>
          <w:highlight w:val="none"/>
        </w:rPr>
      </w:pPr>
    </w:p>
    <w:p w14:paraId="4A488E08">
      <w:pPr>
        <w:pStyle w:val="16"/>
        <w:rPr>
          <w:rFonts w:hint="eastAsia" w:ascii="宋体" w:hAnsi="宋体" w:eastAsia="宋体" w:cs="宋体"/>
          <w:color w:val="auto"/>
          <w:sz w:val="24"/>
          <w:szCs w:val="24"/>
          <w:highlight w:val="none"/>
        </w:rPr>
        <w:sectPr>
          <w:headerReference r:id="rId16" w:type="default"/>
          <w:pgSz w:w="11910" w:h="16840"/>
          <w:pgMar w:top="1984" w:right="1531" w:bottom="2098" w:left="1531" w:header="670" w:footer="1041" w:gutter="0"/>
          <w:pgNumType w:fmt="decimal"/>
          <w:cols w:space="720" w:num="1"/>
          <w:rtlGutter w:val="0"/>
          <w:docGrid w:linePitch="1" w:charSpace="0"/>
        </w:sectPr>
      </w:pPr>
    </w:p>
    <w:p w14:paraId="6E97E67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2561" w:firstLineChars="800"/>
        <w:jc w:val="both"/>
        <w:textAlignment w:val="auto"/>
        <w:rPr>
          <w:rFonts w:hint="eastAsia" w:ascii="微软雅黑" w:hAnsi="微软雅黑" w:eastAsia="微软雅黑" w:cs="微软雅黑"/>
          <w:b/>
          <w:bCs/>
          <w:color w:val="auto"/>
          <w:sz w:val="32"/>
          <w:szCs w:val="32"/>
          <w:highlight w:val="none"/>
        </w:rPr>
      </w:pPr>
      <w:bookmarkStart w:id="519" w:name="_bookmark4"/>
      <w:bookmarkEnd w:id="519"/>
      <w:bookmarkStart w:id="520" w:name="_Toc10386_WPSOffice_Level1"/>
      <w:r>
        <w:rPr>
          <w:rFonts w:hint="eastAsia" w:ascii="微软雅黑" w:hAnsi="微软雅黑" w:eastAsia="微软雅黑" w:cs="微软雅黑"/>
          <w:b/>
          <w:bCs/>
          <w:color w:val="auto"/>
          <w:sz w:val="32"/>
          <w:szCs w:val="32"/>
          <w:highlight w:val="none"/>
        </w:rPr>
        <w:t>第五部分</w:t>
      </w:r>
      <w:r>
        <w:rPr>
          <w:rFonts w:hint="eastAsia" w:ascii="微软雅黑" w:hAnsi="微软雅黑" w:eastAsia="微软雅黑" w:cs="微软雅黑"/>
          <w:b/>
          <w:bCs/>
          <w:color w:val="auto"/>
          <w:sz w:val="32"/>
          <w:szCs w:val="32"/>
          <w:highlight w:val="none"/>
        </w:rPr>
        <w:tab/>
      </w:r>
      <w:r>
        <w:rPr>
          <w:rFonts w:hint="eastAsia" w:ascii="微软雅黑" w:hAnsi="微软雅黑" w:eastAsia="微软雅黑" w:cs="微软雅黑"/>
          <w:b/>
          <w:bCs/>
          <w:color w:val="auto"/>
          <w:sz w:val="32"/>
          <w:szCs w:val="32"/>
          <w:highlight w:val="none"/>
        </w:rPr>
        <w:t>响应文件格式</w:t>
      </w:r>
      <w:bookmarkEnd w:id="520"/>
    </w:p>
    <w:p w14:paraId="27A00190">
      <w:pPr>
        <w:keepNext w:val="0"/>
        <w:keepLines w:val="0"/>
        <w:pageBreakBefore w:val="0"/>
        <w:widowControl w:val="0"/>
        <w:kinsoku/>
        <w:wordWrap/>
        <w:overflowPunct/>
        <w:topLinePunct w:val="0"/>
        <w:autoSpaceDE w:val="0"/>
        <w:autoSpaceDN w:val="0"/>
        <w:bidi w:val="0"/>
        <w:adjustRightInd/>
        <w:snapToGrid/>
        <w:spacing w:line="440" w:lineRule="exact"/>
        <w:ind w:firstLine="3092" w:firstLineChars="1100"/>
        <w:jc w:val="both"/>
        <w:textAlignment w:val="auto"/>
        <w:rPr>
          <w:rFonts w:hint="eastAsia" w:ascii="宋体" w:hAnsi="宋体" w:eastAsia="宋体" w:cs="宋体"/>
          <w:b/>
          <w:bCs/>
          <w:color w:val="auto"/>
          <w:sz w:val="28"/>
          <w:szCs w:val="28"/>
          <w:highlight w:val="none"/>
          <w:lang w:eastAsia="zh-CN"/>
        </w:rPr>
      </w:pPr>
      <w:bookmarkStart w:id="521" w:name="_Toc8063_WPSOffice_Level1"/>
      <w:r>
        <w:rPr>
          <w:rFonts w:hint="eastAsia" w:ascii="宋体" w:hAnsi="宋体" w:eastAsia="宋体" w:cs="宋体"/>
          <w:b/>
          <w:bCs/>
          <w:color w:val="auto"/>
          <w:sz w:val="28"/>
          <w:szCs w:val="28"/>
          <w:highlight w:val="none"/>
          <w:lang w:val="en-US" w:eastAsia="zh-CN"/>
        </w:rPr>
        <w:t>磋商</w:t>
      </w:r>
      <w:r>
        <w:rPr>
          <w:rFonts w:hint="eastAsia" w:ascii="宋体" w:hAnsi="宋体" w:eastAsia="宋体" w:cs="宋体"/>
          <w:b/>
          <w:bCs/>
          <w:color w:val="auto"/>
          <w:sz w:val="28"/>
          <w:szCs w:val="28"/>
          <w:highlight w:val="none"/>
        </w:rPr>
        <w:t>响应文件封面</w:t>
      </w:r>
      <w:r>
        <w:rPr>
          <w:rFonts w:hint="eastAsia" w:ascii="宋体" w:hAnsi="宋体" w:eastAsia="宋体" w:cs="宋体"/>
          <w:b/>
          <w:bCs/>
          <w:color w:val="auto"/>
          <w:sz w:val="28"/>
          <w:szCs w:val="28"/>
          <w:highlight w:val="none"/>
          <w:lang w:val="en-US" w:eastAsia="zh-CN"/>
        </w:rPr>
        <w:t>格式</w:t>
      </w:r>
      <w:bookmarkEnd w:id="521"/>
    </w:p>
    <w:p w14:paraId="7D7B00F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g">
            <w:drawing>
              <wp:anchor distT="0" distB="0" distL="114300" distR="114300" simplePos="0" relativeHeight="251659264" behindDoc="1" locked="0" layoutInCell="1" allowOverlap="1">
                <wp:simplePos x="0" y="0"/>
                <wp:positionH relativeFrom="page">
                  <wp:posOffset>781050</wp:posOffset>
                </wp:positionH>
                <wp:positionV relativeFrom="page">
                  <wp:posOffset>1869440</wp:posOffset>
                </wp:positionV>
                <wp:extent cx="6102985" cy="5979160"/>
                <wp:effectExtent l="1905" t="2540" r="10160" b="19050"/>
                <wp:wrapNone/>
                <wp:docPr id="7" name="组合 7"/>
                <wp:cNvGraphicFramePr/>
                <a:graphic xmlns:a="http://schemas.openxmlformats.org/drawingml/2006/main">
                  <a:graphicData uri="http://schemas.microsoft.com/office/word/2010/wordprocessingGroup">
                    <wpg:wgp>
                      <wpg:cNvGrpSpPr/>
                      <wpg:grpSpPr>
                        <a:xfrm>
                          <a:off x="0" y="0"/>
                          <a:ext cx="6102985" cy="5979160"/>
                          <a:chOff x="1020" y="2302"/>
                          <a:chExt cx="9866" cy="12278"/>
                        </a:xfrm>
                      </wpg:grpSpPr>
                      <wps:wsp>
                        <wps:cNvPr id="1" name="矩形 1"/>
                        <wps:cNvSpPr/>
                        <wps:spPr>
                          <a:xfrm>
                            <a:off x="1020" y="2302"/>
                            <a:ext cx="10" cy="10"/>
                          </a:xfrm>
                          <a:prstGeom prst="rect">
                            <a:avLst/>
                          </a:prstGeom>
                          <a:solidFill>
                            <a:srgbClr val="000000"/>
                          </a:solidFill>
                          <a:ln>
                            <a:noFill/>
                          </a:ln>
                        </wps:spPr>
                        <wps:bodyPr upright="1"/>
                      </wps:wsp>
                      <wps:wsp>
                        <wps:cNvPr id="2" name="直接连接符 2"/>
                        <wps:cNvCnPr/>
                        <wps:spPr>
                          <a:xfrm>
                            <a:off x="1030" y="2307"/>
                            <a:ext cx="9846" cy="0"/>
                          </a:xfrm>
                          <a:prstGeom prst="line">
                            <a:avLst/>
                          </a:prstGeom>
                          <a:ln w="6096" cap="flat" cmpd="sng">
                            <a:solidFill>
                              <a:srgbClr val="000000"/>
                            </a:solidFill>
                            <a:prstDash val="solid"/>
                            <a:headEnd type="none" w="med" len="med"/>
                            <a:tailEnd type="none" w="med" len="med"/>
                          </a:ln>
                        </wps:spPr>
                        <wps:bodyPr upright="1"/>
                      </wps:wsp>
                      <wps:wsp>
                        <wps:cNvPr id="3" name="矩形 3"/>
                        <wps:cNvSpPr/>
                        <wps:spPr>
                          <a:xfrm>
                            <a:off x="10876" y="2302"/>
                            <a:ext cx="10" cy="10"/>
                          </a:xfrm>
                          <a:prstGeom prst="rect">
                            <a:avLst/>
                          </a:prstGeom>
                          <a:solidFill>
                            <a:srgbClr val="000000"/>
                          </a:solidFill>
                          <a:ln>
                            <a:noFill/>
                          </a:ln>
                        </wps:spPr>
                        <wps:bodyPr upright="1"/>
                      </wps:wsp>
                      <wps:wsp>
                        <wps:cNvPr id="4" name="直接连接符 4"/>
                        <wps:cNvCnPr/>
                        <wps:spPr>
                          <a:xfrm>
                            <a:off x="1025" y="2312"/>
                            <a:ext cx="0" cy="12268"/>
                          </a:xfrm>
                          <a:prstGeom prst="line">
                            <a:avLst/>
                          </a:prstGeom>
                          <a:ln w="6096" cap="flat" cmpd="sng">
                            <a:solidFill>
                              <a:srgbClr val="000000"/>
                            </a:solidFill>
                            <a:prstDash val="solid"/>
                            <a:headEnd type="none" w="med" len="med"/>
                            <a:tailEnd type="none" w="med" len="med"/>
                          </a:ln>
                        </wps:spPr>
                        <wps:bodyPr upright="1"/>
                      </wps:wsp>
                      <wps:wsp>
                        <wps:cNvPr id="5" name="直接连接符 5"/>
                        <wps:cNvCnPr/>
                        <wps:spPr>
                          <a:xfrm>
                            <a:off x="1030" y="14575"/>
                            <a:ext cx="9846" cy="0"/>
                          </a:xfrm>
                          <a:prstGeom prst="line">
                            <a:avLst/>
                          </a:prstGeom>
                          <a:ln w="6096" cap="flat" cmpd="sng">
                            <a:solidFill>
                              <a:srgbClr val="000000"/>
                            </a:solidFill>
                            <a:prstDash val="solid"/>
                            <a:headEnd type="none" w="med" len="med"/>
                            <a:tailEnd type="none" w="med" len="med"/>
                          </a:ln>
                        </wps:spPr>
                        <wps:bodyPr upright="1"/>
                      </wps:wsp>
                      <wps:wsp>
                        <wps:cNvPr id="6" name="直接连接符 6"/>
                        <wps:cNvCnPr/>
                        <wps:spPr>
                          <a:xfrm>
                            <a:off x="10881" y="2312"/>
                            <a:ext cx="0" cy="12268"/>
                          </a:xfrm>
                          <a:prstGeom prst="line">
                            <a:avLst/>
                          </a:prstGeom>
                          <a:ln w="6096"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61.5pt;margin-top:147.2pt;height:470.8pt;width:480.55pt;mso-position-horizontal-relative:page;mso-position-vertical-relative:page;z-index:-251657216;mso-width-relative:page;mso-height-relative:page;" coordorigin="1020,2302" coordsize="9866,12278" o:gfxdata="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CeTlS12wAAAA0BAAAPAAAA&#10;AAAAAAEAIAAAACIAAABkcnMvZG93bnJldi54bWxQSwECFAAUAAAACACHTuJAp0Zkei8DAAA1DgAA&#10;DgAAAAAAAAABACAAAAAqAQAAZHJzL2Uyb0RvYy54bWxQSwUGAAAAAAYABgBZAQAAywYAAAAA&#10;">
                <o:lock v:ext="edit" aspectratio="f"/>
                <v:rect id="_x0000_s1026" o:spid="_x0000_s1026" o:spt="1" style="position:absolute;left:1020;top:2302;height:10;width:10;" fillcolor="#000000" filled="t" stroked="f" coordsize="21600,21600" o:gfxdata="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8Uk7sAAADa&#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1030;top:2307;height:0;width:9846;"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rect id="_x0000_s1026" o:spid="_x0000_s1026" o:spt="1" style="position:absolute;left:10876;top:2302;height:10;width:10;" fillcolor="#000000" filled="t" stroked="f" coordsize="21600,21600" o:gfxdata="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Evf74A&#10;AADa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1025;top:2312;height:12268;width:0;"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1030;top:14575;height:0;width:9846;" filled="f" stroked="t" coordsize="21600,21600" o:gfxdata="UEsDBAoAAAAAAIdO4kAAAAAAAAAAAAAAAAAEAAAAZHJzL1BLAwQUAAAACACHTuJAt1VsCrwAAADa&#10;AAAADwAAAGRycy9kb3ducmV2LnhtbEWPQYvCMBSE74L/ITzBm6YKur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VbAq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10881;top:2312;height:12268;width:0;"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p>
    <w:p w14:paraId="168E56E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44"/>
          <w:szCs w:val="44"/>
          <w:highlight w:val="none"/>
        </w:rPr>
      </w:pPr>
    </w:p>
    <w:p w14:paraId="73C66EE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36"/>
          <w:szCs w:val="36"/>
          <w:highlight w:val="none"/>
        </w:rPr>
      </w:pPr>
      <w:bookmarkStart w:id="522" w:name="_Toc28255_WPSOffice_Level1"/>
      <w:r>
        <w:rPr>
          <w:rFonts w:hint="eastAsia" w:ascii="宋体" w:hAnsi="宋体" w:eastAsia="宋体" w:cs="宋体"/>
          <w:b/>
          <w:bCs/>
          <w:color w:val="auto"/>
          <w:sz w:val="36"/>
          <w:szCs w:val="36"/>
          <w:highlight w:val="none"/>
        </w:rPr>
        <w:t>项目名称：</w:t>
      </w:r>
      <w:bookmarkEnd w:id="522"/>
    </w:p>
    <w:p w14:paraId="2F2CA38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36"/>
          <w:szCs w:val="36"/>
          <w:highlight w:val="none"/>
        </w:rPr>
      </w:pPr>
      <w:bookmarkStart w:id="523" w:name="_Toc11066_WPSOffice_Level1"/>
      <w:r>
        <w:rPr>
          <w:rFonts w:hint="eastAsia" w:ascii="宋体" w:hAnsi="宋体" w:eastAsia="宋体" w:cs="宋体"/>
          <w:b/>
          <w:bCs/>
          <w:color w:val="auto"/>
          <w:sz w:val="36"/>
          <w:szCs w:val="36"/>
          <w:highlight w:val="none"/>
        </w:rPr>
        <w:t>项目编号：</w:t>
      </w:r>
      <w:bookmarkEnd w:id="523"/>
    </w:p>
    <w:p w14:paraId="41CAD66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1B503475">
      <w:pPr>
        <w:keepNext w:val="0"/>
        <w:keepLines w:val="0"/>
        <w:pageBreakBefore w:val="0"/>
        <w:widowControl w:val="0"/>
        <w:kinsoku/>
        <w:wordWrap/>
        <w:overflowPunct/>
        <w:topLinePunct w:val="0"/>
        <w:autoSpaceDE w:val="0"/>
        <w:autoSpaceDN w:val="0"/>
        <w:bidi w:val="0"/>
        <w:adjustRightInd/>
        <w:snapToGrid/>
        <w:spacing w:line="800" w:lineRule="exact"/>
        <w:ind w:firstLine="2891" w:firstLineChars="600"/>
        <w:textAlignment w:val="auto"/>
        <w:rPr>
          <w:rFonts w:hint="eastAsia" w:ascii="宋体" w:hAnsi="宋体" w:eastAsia="宋体" w:cs="宋体"/>
          <w:b/>
          <w:bCs/>
          <w:color w:val="auto"/>
          <w:sz w:val="48"/>
          <w:szCs w:val="48"/>
          <w:highlight w:val="none"/>
          <w:lang w:val="en-US" w:eastAsia="zh-CN"/>
        </w:rPr>
      </w:pPr>
    </w:p>
    <w:p w14:paraId="7D24BA88">
      <w:pPr>
        <w:keepNext w:val="0"/>
        <w:keepLines w:val="0"/>
        <w:pageBreakBefore w:val="0"/>
        <w:widowControl w:val="0"/>
        <w:kinsoku/>
        <w:wordWrap/>
        <w:overflowPunct/>
        <w:topLinePunct w:val="0"/>
        <w:autoSpaceDE w:val="0"/>
        <w:autoSpaceDN w:val="0"/>
        <w:bidi w:val="0"/>
        <w:adjustRightInd/>
        <w:snapToGrid/>
        <w:spacing w:line="800" w:lineRule="exact"/>
        <w:ind w:firstLine="2891" w:firstLineChars="600"/>
        <w:textAlignment w:val="auto"/>
        <w:rPr>
          <w:rFonts w:hint="eastAsia" w:ascii="宋体" w:hAnsi="宋体" w:eastAsia="宋体" w:cs="宋体"/>
          <w:b/>
          <w:bCs/>
          <w:color w:val="auto"/>
          <w:sz w:val="48"/>
          <w:szCs w:val="48"/>
          <w:highlight w:val="none"/>
          <w:lang w:val="en-US" w:eastAsia="zh-CN"/>
        </w:rPr>
      </w:pPr>
    </w:p>
    <w:p w14:paraId="131E7FE7">
      <w:pPr>
        <w:keepNext w:val="0"/>
        <w:keepLines w:val="0"/>
        <w:pageBreakBefore w:val="0"/>
        <w:widowControl w:val="0"/>
        <w:kinsoku/>
        <w:wordWrap/>
        <w:overflowPunct/>
        <w:topLinePunct w:val="0"/>
        <w:autoSpaceDE w:val="0"/>
        <w:autoSpaceDN w:val="0"/>
        <w:bidi w:val="0"/>
        <w:adjustRightInd/>
        <w:snapToGrid/>
        <w:spacing w:line="800" w:lineRule="exact"/>
        <w:ind w:firstLine="2891" w:firstLineChars="600"/>
        <w:textAlignment w:val="auto"/>
        <w:rPr>
          <w:rFonts w:hint="eastAsia" w:ascii="宋体" w:hAnsi="宋体" w:eastAsia="宋体" w:cs="宋体"/>
          <w:b/>
          <w:bCs/>
          <w:color w:val="auto"/>
          <w:sz w:val="72"/>
          <w:szCs w:val="72"/>
          <w:highlight w:val="none"/>
        </w:rPr>
      </w:pPr>
      <w:bookmarkStart w:id="524" w:name="_Toc27361_WPSOffice_Level1"/>
      <w:r>
        <w:rPr>
          <w:rFonts w:hint="eastAsia" w:ascii="宋体" w:hAnsi="宋体" w:eastAsia="宋体" w:cs="宋体"/>
          <w:b/>
          <w:bCs/>
          <w:color w:val="auto"/>
          <w:sz w:val="48"/>
          <w:szCs w:val="48"/>
          <w:highlight w:val="none"/>
          <w:lang w:val="en-US" w:eastAsia="zh-CN"/>
        </w:rPr>
        <w:t>磋商</w:t>
      </w:r>
      <w:r>
        <w:rPr>
          <w:rFonts w:hint="eastAsia" w:ascii="宋体" w:hAnsi="宋体" w:eastAsia="宋体" w:cs="宋体"/>
          <w:b/>
          <w:bCs/>
          <w:color w:val="auto"/>
          <w:sz w:val="48"/>
          <w:szCs w:val="48"/>
          <w:highlight w:val="none"/>
        </w:rPr>
        <w:t>响应文件</w:t>
      </w:r>
      <w:bookmarkEnd w:id="524"/>
      <w:r>
        <w:rPr>
          <w:rFonts w:hint="eastAsia" w:ascii="宋体" w:hAnsi="宋体" w:eastAsia="宋体" w:cs="宋体"/>
          <w:b/>
          <w:bCs/>
          <w:color w:val="auto"/>
          <w:sz w:val="72"/>
          <w:szCs w:val="72"/>
          <w:highlight w:val="none"/>
        </w:rPr>
        <w:t xml:space="preserve"> </w:t>
      </w:r>
    </w:p>
    <w:p w14:paraId="2CD44237">
      <w:pPr>
        <w:keepNext w:val="0"/>
        <w:keepLines w:val="0"/>
        <w:pageBreakBefore w:val="0"/>
        <w:widowControl w:val="0"/>
        <w:kinsoku/>
        <w:wordWrap/>
        <w:overflowPunct/>
        <w:topLinePunct w:val="0"/>
        <w:autoSpaceDE w:val="0"/>
        <w:autoSpaceDN w:val="0"/>
        <w:bidi w:val="0"/>
        <w:adjustRightInd/>
        <w:snapToGrid/>
        <w:spacing w:line="440" w:lineRule="exact"/>
        <w:ind w:firstLine="3534" w:firstLineChars="800"/>
        <w:jc w:val="both"/>
        <w:textAlignment w:val="auto"/>
        <w:rPr>
          <w:rFonts w:hint="eastAsia" w:ascii="宋体" w:hAnsi="宋体" w:eastAsia="宋体" w:cs="宋体"/>
          <w:b/>
          <w:bCs/>
          <w:color w:val="auto"/>
          <w:sz w:val="44"/>
          <w:szCs w:val="44"/>
          <w:highlight w:val="none"/>
        </w:rPr>
      </w:pPr>
    </w:p>
    <w:p w14:paraId="39B62DFF">
      <w:pPr>
        <w:keepNext w:val="0"/>
        <w:keepLines w:val="0"/>
        <w:pageBreakBefore w:val="0"/>
        <w:widowControl w:val="0"/>
        <w:kinsoku/>
        <w:wordWrap/>
        <w:overflowPunct/>
        <w:topLinePunct w:val="0"/>
        <w:autoSpaceDE w:val="0"/>
        <w:autoSpaceDN w:val="0"/>
        <w:bidi w:val="0"/>
        <w:adjustRightInd/>
        <w:snapToGrid/>
        <w:spacing w:line="440" w:lineRule="exact"/>
        <w:ind w:firstLine="3534" w:firstLineChars="800"/>
        <w:jc w:val="both"/>
        <w:textAlignment w:val="auto"/>
        <w:rPr>
          <w:rFonts w:hint="eastAsia" w:ascii="宋体" w:hAnsi="宋体" w:eastAsia="宋体" w:cs="宋体"/>
          <w:b/>
          <w:bCs/>
          <w:color w:val="auto"/>
          <w:sz w:val="44"/>
          <w:szCs w:val="44"/>
          <w:highlight w:val="none"/>
        </w:rPr>
      </w:pPr>
      <w:bookmarkStart w:id="525" w:name="_Toc12593_WPSOffice_Level1"/>
      <w:r>
        <w:rPr>
          <w:rFonts w:hint="eastAsia" w:ascii="宋体" w:hAnsi="宋体" w:eastAsia="宋体" w:cs="宋体"/>
          <w:b/>
          <w:bCs/>
          <w:color w:val="auto"/>
          <w:sz w:val="44"/>
          <w:szCs w:val="44"/>
          <w:highlight w:val="none"/>
        </w:rPr>
        <w:t>正 本</w:t>
      </w:r>
      <w:bookmarkEnd w:id="525"/>
    </w:p>
    <w:p w14:paraId="4D7C4D00">
      <w:pPr>
        <w:keepNext w:val="0"/>
        <w:keepLines w:val="0"/>
        <w:pageBreakBefore w:val="0"/>
        <w:widowControl w:val="0"/>
        <w:kinsoku/>
        <w:wordWrap/>
        <w:overflowPunct/>
        <w:topLinePunct w:val="0"/>
        <w:autoSpaceDE w:val="0"/>
        <w:autoSpaceDN w:val="0"/>
        <w:bidi w:val="0"/>
        <w:adjustRightInd/>
        <w:snapToGrid/>
        <w:spacing w:line="440" w:lineRule="exact"/>
        <w:ind w:firstLine="3534" w:firstLineChars="800"/>
        <w:jc w:val="both"/>
        <w:textAlignment w:val="auto"/>
        <w:rPr>
          <w:rFonts w:hint="eastAsia" w:ascii="宋体" w:hAnsi="宋体" w:eastAsia="宋体" w:cs="宋体"/>
          <w:b/>
          <w:bCs/>
          <w:color w:val="auto"/>
          <w:sz w:val="24"/>
          <w:szCs w:val="24"/>
          <w:highlight w:val="none"/>
        </w:rPr>
      </w:pPr>
      <w:bookmarkStart w:id="526" w:name="_Toc22182_WPSOffice_Level1"/>
      <w:r>
        <w:rPr>
          <w:rFonts w:hint="eastAsia" w:ascii="宋体" w:hAnsi="宋体" w:eastAsia="宋体" w:cs="宋体"/>
          <w:b/>
          <w:bCs/>
          <w:color w:val="auto"/>
          <w:sz w:val="44"/>
          <w:szCs w:val="44"/>
          <w:highlight w:val="none"/>
        </w:rPr>
        <w:t>副 本</w:t>
      </w:r>
      <w:bookmarkEnd w:id="526"/>
    </w:p>
    <w:p w14:paraId="7B4D7CA7">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p>
    <w:p w14:paraId="73DAF68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45E97095">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p>
    <w:p w14:paraId="0BEF4CA6">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p>
    <w:p w14:paraId="07E4B3F2">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rPr>
        <w:t>供应商名称（加盖公章）：</w:t>
      </w:r>
      <w:r>
        <w:rPr>
          <w:rFonts w:hint="eastAsia" w:ascii="宋体" w:hAnsi="宋体" w:eastAsia="宋体" w:cs="宋体"/>
          <w:b/>
          <w:bCs/>
          <w:color w:val="auto"/>
          <w:sz w:val="24"/>
          <w:szCs w:val="24"/>
          <w:highlight w:val="none"/>
          <w:u w:val="single"/>
          <w:lang w:val="en-US" w:eastAsia="zh-CN"/>
        </w:rPr>
        <w:t xml:space="preserve">                                </w:t>
      </w:r>
    </w:p>
    <w:p w14:paraId="47A0B9EC">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p>
    <w:p w14:paraId="2EE5F6DF">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cs="宋体"/>
          <w:b/>
          <w:bCs/>
          <w:color w:val="auto"/>
          <w:sz w:val="24"/>
          <w:szCs w:val="24"/>
          <w:highlight w:val="none"/>
          <w:lang w:val="en-US" w:eastAsia="zh-CN"/>
        </w:rPr>
        <w:t>在</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 月</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 日</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 时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 xml:space="preserve">分  之 前 不 得 启 封 </w:t>
      </w:r>
    </w:p>
    <w:p w14:paraId="5585ADCB">
      <w:pPr>
        <w:rPr>
          <w:rFonts w:hint="eastAsia"/>
          <w:color w:val="auto"/>
          <w:highlight w:val="none"/>
        </w:rPr>
      </w:pPr>
    </w:p>
    <w:p w14:paraId="1D60C982">
      <w:pPr>
        <w:bidi w:val="0"/>
        <w:rPr>
          <w:rFonts w:hint="eastAsia" w:ascii="宋体" w:hAnsi="宋体" w:eastAsia="宋体" w:cs="宋体"/>
          <w:color w:val="auto"/>
          <w:sz w:val="22"/>
          <w:szCs w:val="22"/>
          <w:highlight w:val="none"/>
          <w:lang w:val="zh-CN" w:eastAsia="zh-CN" w:bidi="zh-CN"/>
        </w:rPr>
      </w:pPr>
    </w:p>
    <w:p w14:paraId="56A3444E">
      <w:pPr>
        <w:bidi w:val="0"/>
        <w:rPr>
          <w:rFonts w:hint="eastAsia"/>
          <w:color w:val="auto"/>
          <w:highlight w:val="none"/>
          <w:lang w:val="zh-CN" w:eastAsia="zh-CN"/>
        </w:rPr>
      </w:pPr>
    </w:p>
    <w:p w14:paraId="638E6D30">
      <w:pPr>
        <w:spacing w:line="440" w:lineRule="exact"/>
        <w:ind w:firstLine="3213" w:firstLineChars="1000"/>
        <w:jc w:val="both"/>
        <w:rPr>
          <w:rFonts w:hint="eastAsia" w:ascii="宋体" w:hAnsi="宋体"/>
          <w:b/>
          <w:bCs/>
          <w:color w:val="auto"/>
          <w:sz w:val="32"/>
          <w:szCs w:val="32"/>
          <w:highlight w:val="none"/>
        </w:rPr>
      </w:pPr>
      <w:bookmarkStart w:id="527" w:name="_Toc9356_WPSOffice_Level1"/>
    </w:p>
    <w:p w14:paraId="0BD8C0B0">
      <w:pPr>
        <w:spacing w:line="440" w:lineRule="exact"/>
        <w:ind w:firstLine="3213" w:firstLineChars="1000"/>
        <w:jc w:val="both"/>
        <w:rPr>
          <w:rFonts w:hint="eastAsia" w:ascii="宋体" w:hAnsi="宋体"/>
          <w:b/>
          <w:bCs/>
          <w:color w:val="auto"/>
          <w:sz w:val="32"/>
          <w:szCs w:val="32"/>
          <w:highlight w:val="none"/>
        </w:rPr>
      </w:pPr>
    </w:p>
    <w:p w14:paraId="528EA309">
      <w:pPr>
        <w:spacing w:line="440" w:lineRule="exact"/>
        <w:ind w:firstLine="3213" w:firstLineChars="1000"/>
        <w:jc w:val="both"/>
        <w:rPr>
          <w:rFonts w:hint="eastAsia" w:ascii="宋体" w:hAnsi="宋体"/>
          <w:b/>
          <w:bCs/>
          <w:color w:val="auto"/>
          <w:sz w:val="32"/>
          <w:szCs w:val="32"/>
          <w:highlight w:val="none"/>
        </w:rPr>
      </w:pPr>
    </w:p>
    <w:p w14:paraId="4D2677C9">
      <w:pPr>
        <w:spacing w:line="440" w:lineRule="exact"/>
        <w:ind w:firstLine="3213" w:firstLineChars="1000"/>
        <w:jc w:val="both"/>
        <w:rPr>
          <w:rFonts w:hint="eastAsia" w:ascii="宋体" w:hAnsi="宋体"/>
          <w:b/>
          <w:bCs/>
          <w:color w:val="auto"/>
          <w:sz w:val="32"/>
          <w:szCs w:val="32"/>
          <w:highlight w:val="none"/>
        </w:rPr>
      </w:pPr>
    </w:p>
    <w:p w14:paraId="6C685953">
      <w:pPr>
        <w:spacing w:line="440" w:lineRule="exact"/>
        <w:ind w:firstLine="3213" w:firstLineChars="1000"/>
        <w:jc w:val="both"/>
        <w:rPr>
          <w:rFonts w:hint="eastAsia" w:ascii="宋体" w:hAnsi="宋体"/>
          <w:b/>
          <w:bCs/>
          <w:color w:val="auto"/>
          <w:sz w:val="32"/>
          <w:szCs w:val="32"/>
          <w:highlight w:val="none"/>
        </w:rPr>
      </w:pPr>
      <w:r>
        <w:rPr>
          <w:rFonts w:hint="eastAsia" w:ascii="宋体" w:hAnsi="宋体"/>
          <w:b/>
          <w:bCs/>
          <w:color w:val="auto"/>
          <w:sz w:val="32"/>
          <w:szCs w:val="32"/>
          <w:highlight w:val="none"/>
        </w:rPr>
        <w:t>响应文件主要目录</w:t>
      </w:r>
      <w:bookmarkEnd w:id="527"/>
    </w:p>
    <w:p w14:paraId="2BB63079">
      <w:pPr>
        <w:spacing w:line="440" w:lineRule="exact"/>
        <w:ind w:firstLine="643"/>
        <w:jc w:val="center"/>
        <w:rPr>
          <w:rFonts w:hint="eastAsia" w:ascii="宋体" w:hAnsi="宋体"/>
          <w:b/>
          <w:bCs/>
          <w:color w:val="auto"/>
          <w:sz w:val="32"/>
          <w:szCs w:val="32"/>
          <w:highlight w:val="none"/>
        </w:rPr>
      </w:pPr>
    </w:p>
    <w:p w14:paraId="556540A1">
      <w:pPr>
        <w:rPr>
          <w:b/>
          <w:bCs/>
          <w:color w:val="auto"/>
          <w:sz w:val="24"/>
          <w:szCs w:val="24"/>
          <w:highlight w:val="none"/>
        </w:rPr>
      </w:pPr>
      <w:r>
        <w:rPr>
          <w:rFonts w:hint="eastAsia"/>
          <w:b/>
          <w:bCs/>
          <w:color w:val="auto"/>
          <w:sz w:val="24"/>
          <w:szCs w:val="24"/>
          <w:highlight w:val="none"/>
          <w:lang w:val="en-US" w:eastAsia="zh-CN"/>
        </w:rPr>
        <w:t xml:space="preserve">一、自查表 </w:t>
      </w:r>
    </w:p>
    <w:p w14:paraId="73F121A8">
      <w:pPr>
        <w:rPr>
          <w:rFonts w:hint="eastAsia"/>
          <w:color w:val="auto"/>
          <w:sz w:val="24"/>
          <w:szCs w:val="24"/>
          <w:highlight w:val="none"/>
          <w:lang w:val="en-US" w:eastAsia="zh-CN"/>
        </w:rPr>
      </w:pPr>
      <w:r>
        <w:rPr>
          <w:rFonts w:hint="eastAsia"/>
          <w:color w:val="auto"/>
          <w:sz w:val="24"/>
          <w:szCs w:val="24"/>
          <w:highlight w:val="none"/>
          <w:lang w:val="en-US" w:eastAsia="zh-CN"/>
        </w:rPr>
        <w:t xml:space="preserve">1.1 资格审查自查表 </w:t>
      </w:r>
    </w:p>
    <w:p w14:paraId="2EC90884">
      <w:pPr>
        <w:pStyle w:val="9"/>
        <w:ind w:left="0" w:leftChars="0" w:firstLine="0" w:firstLineChars="0"/>
        <w:rPr>
          <w:color w:val="auto"/>
          <w:highlight w:val="none"/>
        </w:rPr>
      </w:pPr>
      <w:r>
        <w:rPr>
          <w:rFonts w:hint="eastAsia"/>
          <w:color w:val="auto"/>
          <w:sz w:val="24"/>
          <w:szCs w:val="24"/>
          <w:highlight w:val="none"/>
          <w:lang w:val="en-US" w:eastAsia="zh-CN"/>
        </w:rPr>
        <w:t>1.2 符合性审查自查表</w:t>
      </w:r>
    </w:p>
    <w:p w14:paraId="1AC2AB94">
      <w:pPr>
        <w:rPr>
          <w:color w:val="auto"/>
          <w:sz w:val="24"/>
          <w:szCs w:val="24"/>
          <w:highlight w:val="none"/>
        </w:rPr>
      </w:pPr>
      <w:r>
        <w:rPr>
          <w:rFonts w:hint="eastAsia"/>
          <w:color w:val="auto"/>
          <w:sz w:val="24"/>
          <w:szCs w:val="24"/>
          <w:highlight w:val="none"/>
          <w:lang w:val="en-US" w:eastAsia="zh-CN"/>
        </w:rPr>
        <w:t xml:space="preserve">1.3 评分索引表 </w:t>
      </w:r>
    </w:p>
    <w:p w14:paraId="149115E7">
      <w:pPr>
        <w:rPr>
          <w:rFonts w:hint="eastAsia"/>
          <w:b/>
          <w:bCs/>
          <w:color w:val="auto"/>
          <w:sz w:val="24"/>
          <w:szCs w:val="24"/>
          <w:highlight w:val="none"/>
          <w:lang w:val="en-US" w:eastAsia="zh-CN"/>
        </w:rPr>
      </w:pPr>
      <w:r>
        <w:rPr>
          <w:rFonts w:hint="eastAsia"/>
          <w:b/>
          <w:bCs/>
          <w:color w:val="auto"/>
          <w:sz w:val="24"/>
          <w:szCs w:val="24"/>
          <w:highlight w:val="none"/>
          <w:lang w:val="en-US" w:eastAsia="zh-CN"/>
        </w:rPr>
        <w:t>二、商务文件</w:t>
      </w:r>
    </w:p>
    <w:p w14:paraId="5258C514">
      <w:pPr>
        <w:rPr>
          <w:color w:val="auto"/>
          <w:sz w:val="24"/>
          <w:szCs w:val="24"/>
          <w:highlight w:val="none"/>
        </w:rPr>
      </w:pPr>
      <w:r>
        <w:rPr>
          <w:rFonts w:hint="eastAsia"/>
          <w:color w:val="auto"/>
          <w:sz w:val="24"/>
          <w:szCs w:val="24"/>
          <w:highlight w:val="none"/>
          <w:lang w:val="en-US" w:eastAsia="zh-CN"/>
        </w:rPr>
        <w:t xml:space="preserve">2.1 磋商响应函 </w:t>
      </w:r>
    </w:p>
    <w:p w14:paraId="4F019C66">
      <w:pPr>
        <w:rPr>
          <w:color w:val="auto"/>
          <w:sz w:val="24"/>
          <w:szCs w:val="24"/>
          <w:highlight w:val="none"/>
        </w:rPr>
      </w:pPr>
      <w:r>
        <w:rPr>
          <w:rFonts w:hint="eastAsia"/>
          <w:color w:val="auto"/>
          <w:sz w:val="24"/>
          <w:szCs w:val="24"/>
          <w:highlight w:val="none"/>
          <w:lang w:val="en-US" w:eastAsia="zh-CN"/>
        </w:rPr>
        <w:t xml:space="preserve">2.2 商务需求条款响应表 </w:t>
      </w:r>
    </w:p>
    <w:p w14:paraId="0C30342B">
      <w:pPr>
        <w:pStyle w:val="34"/>
        <w:bidi w:val="0"/>
        <w:rPr>
          <w:color w:val="auto"/>
          <w:highlight w:val="none"/>
        </w:rPr>
      </w:pPr>
      <w:r>
        <w:rPr>
          <w:rFonts w:hint="eastAsia" w:ascii="宋体" w:hAnsi="宋体" w:eastAsia="宋体" w:cs="宋体"/>
          <w:color w:val="auto"/>
          <w:kern w:val="0"/>
          <w:sz w:val="24"/>
          <w:szCs w:val="24"/>
          <w:highlight w:val="none"/>
          <w:lang w:val="en-US" w:eastAsia="zh-CN" w:bidi="zh-CN"/>
        </w:rPr>
        <w:t>2.3 拟派项目负责人及管理技术人员一览表</w:t>
      </w:r>
      <w:r>
        <w:rPr>
          <w:rFonts w:hint="eastAsia"/>
          <w:color w:val="auto"/>
          <w:highlight w:val="none"/>
          <w:lang w:val="en-US" w:eastAsia="zh-CN"/>
        </w:rPr>
        <w:t xml:space="preserve"> </w:t>
      </w:r>
    </w:p>
    <w:p w14:paraId="786E1E1F">
      <w:pPr>
        <w:rPr>
          <w:color w:val="auto"/>
          <w:sz w:val="24"/>
          <w:szCs w:val="24"/>
          <w:highlight w:val="none"/>
        </w:rPr>
      </w:pPr>
      <w:r>
        <w:rPr>
          <w:rFonts w:hint="eastAsia"/>
          <w:color w:val="auto"/>
          <w:sz w:val="24"/>
          <w:szCs w:val="24"/>
          <w:highlight w:val="none"/>
          <w:lang w:val="en-US" w:eastAsia="zh-CN"/>
        </w:rPr>
        <w:t xml:space="preserve">2.4 企业管理体系认证 </w:t>
      </w:r>
    </w:p>
    <w:p w14:paraId="1F34BA3C">
      <w:pPr>
        <w:rPr>
          <w:color w:val="auto"/>
          <w:sz w:val="24"/>
          <w:szCs w:val="24"/>
          <w:highlight w:val="none"/>
        </w:rPr>
      </w:pPr>
      <w:r>
        <w:rPr>
          <w:rFonts w:hint="eastAsia"/>
          <w:color w:val="auto"/>
          <w:sz w:val="24"/>
          <w:szCs w:val="24"/>
          <w:highlight w:val="none"/>
          <w:lang w:val="en-US" w:eastAsia="zh-CN"/>
        </w:rPr>
        <w:t xml:space="preserve">2.5 同类项目业绩情况一览表 </w:t>
      </w:r>
    </w:p>
    <w:p w14:paraId="75E8855F">
      <w:pPr>
        <w:rPr>
          <w:rFonts w:hint="eastAsia"/>
          <w:color w:val="auto"/>
          <w:sz w:val="24"/>
          <w:szCs w:val="24"/>
          <w:highlight w:val="none"/>
          <w:lang w:val="en-US" w:eastAsia="zh-CN"/>
        </w:rPr>
      </w:pPr>
      <w:r>
        <w:rPr>
          <w:rFonts w:hint="eastAsia"/>
          <w:color w:val="auto"/>
          <w:sz w:val="24"/>
          <w:szCs w:val="24"/>
          <w:highlight w:val="none"/>
          <w:lang w:val="en-US" w:eastAsia="zh-CN"/>
        </w:rPr>
        <w:t>2.6 项目团队</w:t>
      </w:r>
    </w:p>
    <w:p w14:paraId="1AE9AC51">
      <w:pPr>
        <w:rPr>
          <w:rFonts w:hint="eastAsia"/>
          <w:color w:val="auto"/>
          <w:sz w:val="24"/>
          <w:szCs w:val="24"/>
          <w:highlight w:val="none"/>
          <w:lang w:val="en-US" w:eastAsia="zh-CN"/>
        </w:rPr>
      </w:pPr>
      <w:r>
        <w:rPr>
          <w:rFonts w:hint="eastAsia"/>
          <w:color w:val="auto"/>
          <w:sz w:val="24"/>
          <w:szCs w:val="24"/>
          <w:highlight w:val="none"/>
          <w:lang w:val="en-US" w:eastAsia="zh-CN"/>
        </w:rPr>
        <w:t xml:space="preserve">2.7 中小企业声明函 </w:t>
      </w:r>
    </w:p>
    <w:p w14:paraId="6A1DA92D">
      <w:pPr>
        <w:pStyle w:val="9"/>
        <w:ind w:left="0" w:leftChars="0" w:firstLine="0" w:firstLineChars="0"/>
        <w:rPr>
          <w:rFonts w:hint="eastAsia" w:ascii="宋体" w:hAnsi="宋体" w:eastAsia="宋体" w:cs="宋体"/>
          <w:color w:val="auto"/>
          <w:sz w:val="24"/>
          <w:szCs w:val="24"/>
          <w:highlight w:val="none"/>
          <w:lang w:val="en-US" w:eastAsia="zh-CN" w:bidi="zh-CN"/>
        </w:rPr>
      </w:pPr>
      <w:r>
        <w:rPr>
          <w:rFonts w:hint="eastAsia" w:cs="宋体"/>
          <w:color w:val="auto"/>
          <w:sz w:val="24"/>
          <w:szCs w:val="24"/>
          <w:highlight w:val="none"/>
          <w:lang w:val="en-US" w:eastAsia="zh-CN" w:bidi="zh-CN"/>
        </w:rPr>
        <w:t>2</w:t>
      </w:r>
      <w:r>
        <w:rPr>
          <w:rFonts w:hint="eastAsia" w:ascii="宋体" w:hAnsi="宋体" w:eastAsia="宋体" w:cs="宋体"/>
          <w:color w:val="auto"/>
          <w:sz w:val="24"/>
          <w:szCs w:val="24"/>
          <w:highlight w:val="none"/>
          <w:lang w:val="en-US" w:eastAsia="zh-CN" w:bidi="zh-CN"/>
        </w:rPr>
        <w:t>.</w:t>
      </w:r>
      <w:r>
        <w:rPr>
          <w:rFonts w:hint="eastAsia" w:cs="宋体"/>
          <w:color w:val="auto"/>
          <w:sz w:val="24"/>
          <w:szCs w:val="24"/>
          <w:highlight w:val="none"/>
          <w:lang w:val="en-US" w:eastAsia="zh-CN" w:bidi="zh-CN"/>
        </w:rPr>
        <w:t xml:space="preserve">8 </w:t>
      </w:r>
      <w:r>
        <w:rPr>
          <w:rFonts w:hint="eastAsia" w:ascii="宋体" w:hAnsi="宋体" w:eastAsia="宋体" w:cs="宋体"/>
          <w:color w:val="auto"/>
          <w:sz w:val="24"/>
          <w:szCs w:val="24"/>
          <w:highlight w:val="none"/>
          <w:lang w:val="en-US" w:eastAsia="zh-CN" w:bidi="zh-CN"/>
        </w:rPr>
        <w:t>残疾人福利性单位声明函</w:t>
      </w:r>
      <w:r>
        <w:rPr>
          <w:rFonts w:hint="eastAsia"/>
          <w:color w:val="auto"/>
          <w:highlight w:val="none"/>
          <w:lang w:val="en-US" w:eastAsia="zh-CN"/>
        </w:rPr>
        <w:t>（可选）</w:t>
      </w:r>
    </w:p>
    <w:p w14:paraId="4FFDD648">
      <w:pPr>
        <w:rPr>
          <w:color w:val="auto"/>
          <w:sz w:val="24"/>
          <w:szCs w:val="24"/>
          <w:highlight w:val="none"/>
        </w:rPr>
      </w:pPr>
      <w:r>
        <w:rPr>
          <w:rFonts w:hint="eastAsia" w:cs="宋体"/>
          <w:color w:val="auto"/>
          <w:sz w:val="24"/>
          <w:szCs w:val="24"/>
          <w:highlight w:val="none"/>
          <w:lang w:val="en-US" w:eastAsia="zh-CN" w:bidi="zh-CN"/>
        </w:rPr>
        <w:t>2.9 监狱企业证明</w:t>
      </w:r>
      <w:r>
        <w:rPr>
          <w:rFonts w:hint="eastAsia"/>
          <w:color w:val="auto"/>
          <w:highlight w:val="none"/>
          <w:lang w:val="en-US" w:eastAsia="zh-CN"/>
        </w:rPr>
        <w:t>（可选）</w:t>
      </w:r>
    </w:p>
    <w:p w14:paraId="65567058">
      <w:pPr>
        <w:rPr>
          <w:color w:val="auto"/>
          <w:sz w:val="24"/>
          <w:szCs w:val="24"/>
          <w:highlight w:val="none"/>
        </w:rPr>
      </w:pPr>
      <w:r>
        <w:rPr>
          <w:rFonts w:hint="eastAsia"/>
          <w:b/>
          <w:bCs/>
          <w:color w:val="auto"/>
          <w:sz w:val="24"/>
          <w:szCs w:val="24"/>
          <w:highlight w:val="none"/>
          <w:lang w:val="en-US" w:eastAsia="zh-CN"/>
        </w:rPr>
        <w:t>三、技术文件</w:t>
      </w:r>
      <w:r>
        <w:rPr>
          <w:rFonts w:hint="eastAsia"/>
          <w:color w:val="auto"/>
          <w:sz w:val="24"/>
          <w:szCs w:val="24"/>
          <w:highlight w:val="none"/>
          <w:lang w:val="en-US" w:eastAsia="zh-CN"/>
        </w:rPr>
        <w:t xml:space="preserve"> </w:t>
      </w:r>
    </w:p>
    <w:p w14:paraId="722FBF16">
      <w:pPr>
        <w:rPr>
          <w:color w:val="auto"/>
          <w:sz w:val="24"/>
          <w:szCs w:val="24"/>
          <w:highlight w:val="none"/>
        </w:rPr>
      </w:pPr>
      <w:r>
        <w:rPr>
          <w:rFonts w:hint="eastAsia"/>
          <w:color w:val="auto"/>
          <w:sz w:val="24"/>
          <w:szCs w:val="24"/>
          <w:highlight w:val="none"/>
          <w:lang w:val="en-US" w:eastAsia="zh-CN"/>
        </w:rPr>
        <w:t xml:space="preserve">3.1 技术服务内容 </w:t>
      </w:r>
    </w:p>
    <w:p w14:paraId="06252454">
      <w:pPr>
        <w:rPr>
          <w:color w:val="auto"/>
          <w:sz w:val="24"/>
          <w:szCs w:val="24"/>
          <w:highlight w:val="none"/>
        </w:rPr>
      </w:pPr>
      <w:r>
        <w:rPr>
          <w:rFonts w:hint="eastAsia"/>
          <w:b/>
          <w:bCs/>
          <w:color w:val="auto"/>
          <w:sz w:val="24"/>
          <w:szCs w:val="24"/>
          <w:highlight w:val="none"/>
          <w:lang w:val="en-US" w:eastAsia="zh-CN"/>
        </w:rPr>
        <w:t>四、价格文件</w:t>
      </w:r>
      <w:r>
        <w:rPr>
          <w:rFonts w:hint="eastAsia"/>
          <w:color w:val="auto"/>
          <w:sz w:val="24"/>
          <w:szCs w:val="24"/>
          <w:highlight w:val="none"/>
          <w:lang w:val="en-US" w:eastAsia="zh-CN"/>
        </w:rPr>
        <w:t xml:space="preserve"> </w:t>
      </w:r>
    </w:p>
    <w:p w14:paraId="33A5F308">
      <w:pPr>
        <w:rPr>
          <w:rFonts w:hint="eastAsia"/>
          <w:color w:val="auto"/>
          <w:sz w:val="24"/>
          <w:szCs w:val="24"/>
          <w:highlight w:val="none"/>
          <w:lang w:val="en-US" w:eastAsia="zh-CN"/>
        </w:rPr>
      </w:pPr>
      <w:r>
        <w:rPr>
          <w:rFonts w:hint="eastAsia"/>
          <w:color w:val="auto"/>
          <w:sz w:val="24"/>
          <w:szCs w:val="24"/>
          <w:highlight w:val="none"/>
          <w:lang w:val="en-US" w:eastAsia="zh-CN"/>
        </w:rPr>
        <w:t xml:space="preserve">4.1 报价一览表 </w:t>
      </w:r>
    </w:p>
    <w:p w14:paraId="5D9F8C7F">
      <w:pPr>
        <w:rPr>
          <w:color w:val="auto"/>
          <w:sz w:val="24"/>
          <w:szCs w:val="24"/>
          <w:highlight w:val="none"/>
        </w:rPr>
      </w:pPr>
      <w:r>
        <w:rPr>
          <w:rFonts w:hint="eastAsia"/>
          <w:color w:val="auto"/>
          <w:sz w:val="24"/>
          <w:szCs w:val="24"/>
          <w:highlight w:val="none"/>
          <w:lang w:val="en-US" w:eastAsia="zh-CN"/>
        </w:rPr>
        <w:t xml:space="preserve">4.2 标价的工程量清单。 </w:t>
      </w:r>
    </w:p>
    <w:p w14:paraId="224BB8C4">
      <w:pPr>
        <w:rPr>
          <w:rFonts w:hint="default"/>
          <w:b/>
          <w:bCs/>
          <w:color w:val="auto"/>
          <w:sz w:val="24"/>
          <w:szCs w:val="24"/>
          <w:highlight w:val="none"/>
          <w:lang w:val="en-US" w:eastAsia="zh-CN"/>
        </w:rPr>
      </w:pPr>
      <w:r>
        <w:rPr>
          <w:rFonts w:hint="eastAsia"/>
          <w:b/>
          <w:bCs/>
          <w:color w:val="auto"/>
          <w:sz w:val="24"/>
          <w:szCs w:val="24"/>
          <w:highlight w:val="none"/>
          <w:lang w:val="en-US" w:eastAsia="zh-CN"/>
        </w:rPr>
        <w:t>五、供应商认为需要提供的其他资料</w:t>
      </w:r>
    </w:p>
    <w:p w14:paraId="57053632">
      <w:pPr>
        <w:rPr>
          <w:rFonts w:hint="eastAsia"/>
          <w:color w:val="auto"/>
          <w:sz w:val="24"/>
          <w:szCs w:val="24"/>
          <w:highlight w:val="none"/>
          <w:lang w:val="en-US" w:eastAsia="zh-CN"/>
        </w:rPr>
      </w:pPr>
      <w:r>
        <w:rPr>
          <w:rFonts w:hint="eastAsia"/>
          <w:b/>
          <w:bCs/>
          <w:color w:val="auto"/>
          <w:sz w:val="24"/>
          <w:szCs w:val="24"/>
          <w:highlight w:val="none"/>
          <w:lang w:val="en-US" w:eastAsia="zh-CN"/>
        </w:rPr>
        <w:t>六、其他文件格式</w:t>
      </w:r>
      <w:r>
        <w:rPr>
          <w:rFonts w:hint="eastAsia"/>
          <w:color w:val="auto"/>
          <w:sz w:val="24"/>
          <w:szCs w:val="24"/>
          <w:highlight w:val="none"/>
          <w:lang w:val="en-US" w:eastAsia="zh-CN"/>
        </w:rPr>
        <w:t xml:space="preserve"> </w:t>
      </w:r>
    </w:p>
    <w:p w14:paraId="77863B7C">
      <w:pPr>
        <w:rPr>
          <w:rFonts w:hint="eastAsia"/>
          <w:color w:val="auto"/>
          <w:sz w:val="24"/>
          <w:szCs w:val="24"/>
          <w:highlight w:val="none"/>
          <w:lang w:val="en-US" w:eastAsia="zh-CN"/>
        </w:rPr>
      </w:pPr>
      <w:r>
        <w:rPr>
          <w:rFonts w:hint="eastAsia"/>
          <w:color w:val="auto"/>
          <w:sz w:val="24"/>
          <w:szCs w:val="24"/>
          <w:highlight w:val="none"/>
          <w:lang w:val="en-US" w:eastAsia="zh-CN"/>
        </w:rPr>
        <w:t xml:space="preserve">6.1 法定代表人授权委托书  </w:t>
      </w:r>
    </w:p>
    <w:p w14:paraId="50A0E6A8">
      <w:pPr>
        <w:rPr>
          <w:rFonts w:hint="eastAsia"/>
          <w:color w:val="auto"/>
          <w:sz w:val="24"/>
          <w:szCs w:val="24"/>
          <w:highlight w:val="none"/>
          <w:lang w:val="en-US" w:eastAsia="zh-CN"/>
        </w:rPr>
      </w:pPr>
      <w:r>
        <w:rPr>
          <w:rFonts w:hint="eastAsia"/>
          <w:color w:val="auto"/>
          <w:sz w:val="24"/>
          <w:szCs w:val="24"/>
          <w:highlight w:val="none"/>
          <w:lang w:val="en-US" w:eastAsia="zh-CN"/>
        </w:rPr>
        <w:t xml:space="preserve">6.2 供应商资格声明函 </w:t>
      </w:r>
    </w:p>
    <w:p w14:paraId="309F3EA3">
      <w:pPr>
        <w:rPr>
          <w:rFonts w:hint="eastAsia"/>
          <w:color w:val="auto"/>
          <w:sz w:val="24"/>
          <w:szCs w:val="24"/>
          <w:highlight w:val="none"/>
          <w:lang w:val="en-US" w:eastAsia="zh-CN"/>
        </w:rPr>
      </w:pPr>
      <w:r>
        <w:rPr>
          <w:rFonts w:hint="eastAsia"/>
          <w:color w:val="auto"/>
          <w:sz w:val="24"/>
          <w:szCs w:val="24"/>
          <w:highlight w:val="none"/>
          <w:lang w:val="en-US" w:eastAsia="zh-CN"/>
        </w:rPr>
        <w:t>6.3 具备履行合同所必需的设备和专业技术能力的书面声明</w:t>
      </w:r>
    </w:p>
    <w:p w14:paraId="764D4325">
      <w:pPr>
        <w:rPr>
          <w:rFonts w:hint="eastAsia"/>
          <w:color w:val="auto"/>
          <w:sz w:val="24"/>
          <w:szCs w:val="24"/>
          <w:highlight w:val="none"/>
          <w:lang w:val="en-US" w:eastAsia="zh-CN"/>
        </w:rPr>
      </w:pPr>
      <w:r>
        <w:rPr>
          <w:rFonts w:hint="eastAsia"/>
          <w:color w:val="auto"/>
          <w:sz w:val="24"/>
          <w:szCs w:val="24"/>
          <w:highlight w:val="none"/>
          <w:lang w:val="en-US" w:eastAsia="zh-CN"/>
        </w:rPr>
        <w:t>6.4 参加政府采购活动前 3 年内在经营活动中没有重大违法记录的书面声明</w:t>
      </w:r>
    </w:p>
    <w:p w14:paraId="35773F4E">
      <w:pPr>
        <w:rPr>
          <w:rFonts w:hint="eastAsia"/>
          <w:color w:val="auto"/>
          <w:sz w:val="24"/>
          <w:szCs w:val="24"/>
          <w:highlight w:val="none"/>
          <w:lang w:val="en-US" w:eastAsia="zh-CN"/>
        </w:rPr>
      </w:pPr>
      <w:r>
        <w:rPr>
          <w:rFonts w:hint="eastAsia"/>
          <w:color w:val="auto"/>
          <w:sz w:val="24"/>
          <w:szCs w:val="24"/>
          <w:highlight w:val="none"/>
          <w:lang w:val="en-US" w:eastAsia="zh-CN"/>
        </w:rPr>
        <w:t>6.5 政府采购供应商质疑函范本</w:t>
      </w:r>
    </w:p>
    <w:p w14:paraId="2D36D5A5">
      <w:pPr>
        <w:rPr>
          <w:rFonts w:hint="eastAsia"/>
          <w:color w:val="auto"/>
          <w:sz w:val="24"/>
          <w:szCs w:val="24"/>
          <w:highlight w:val="none"/>
          <w:lang w:val="en-US" w:eastAsia="zh-CN"/>
        </w:rPr>
      </w:pPr>
      <w:r>
        <w:rPr>
          <w:rFonts w:hint="eastAsia"/>
          <w:color w:val="auto"/>
          <w:sz w:val="24"/>
          <w:szCs w:val="24"/>
          <w:highlight w:val="none"/>
          <w:lang w:val="en-US" w:eastAsia="zh-CN"/>
        </w:rPr>
        <w:t>6.6 联合体共同投标合同书（可选）</w:t>
      </w:r>
    </w:p>
    <w:p w14:paraId="2E9F7A1E">
      <w:pPr>
        <w:rPr>
          <w:color w:val="auto"/>
          <w:sz w:val="24"/>
          <w:szCs w:val="24"/>
          <w:highlight w:val="none"/>
        </w:rPr>
      </w:pPr>
      <w:r>
        <w:rPr>
          <w:rFonts w:hint="eastAsia"/>
          <w:color w:val="auto"/>
          <w:sz w:val="24"/>
          <w:szCs w:val="24"/>
          <w:highlight w:val="none"/>
          <w:lang w:val="en-US" w:eastAsia="zh-CN"/>
        </w:rPr>
        <w:t xml:space="preserve">注：请供应商按照以下文件的要求格式、内容，顺序制作磋商响应文件，并请 </w:t>
      </w:r>
    </w:p>
    <w:p w14:paraId="5CB9FFF2">
      <w:pPr>
        <w:rPr>
          <w:rFonts w:hint="default"/>
          <w:color w:val="auto"/>
          <w:sz w:val="24"/>
          <w:szCs w:val="24"/>
          <w:highlight w:val="none"/>
          <w:lang w:val="en-US"/>
        </w:rPr>
      </w:pPr>
      <w:r>
        <w:rPr>
          <w:rFonts w:hint="eastAsia"/>
          <w:color w:val="auto"/>
          <w:sz w:val="24"/>
          <w:szCs w:val="24"/>
          <w:highlight w:val="none"/>
          <w:lang w:val="en-US" w:eastAsia="zh-CN"/>
        </w:rPr>
        <w:t>编制目录及页码，否则可能将影响对磋商响应文件的评价。</w:t>
      </w:r>
    </w:p>
    <w:p w14:paraId="761203BA">
      <w:pPr>
        <w:keepNext w:val="0"/>
        <w:keepLines w:val="0"/>
        <w:pageBreakBefore w:val="0"/>
        <w:widowControl w:val="0"/>
        <w:kinsoku/>
        <w:wordWrap/>
        <w:overflowPunct/>
        <w:topLinePunct w:val="0"/>
        <w:autoSpaceDE w:val="0"/>
        <w:autoSpaceDN w:val="0"/>
        <w:bidi w:val="0"/>
        <w:adjustRightInd/>
        <w:snapToGrid/>
        <w:spacing w:line="440" w:lineRule="exact"/>
        <w:ind w:firstLine="3373" w:firstLineChars="1200"/>
        <w:textAlignment w:val="auto"/>
        <w:rPr>
          <w:rFonts w:hint="eastAsia" w:ascii="宋体" w:hAnsi="宋体" w:eastAsia="宋体" w:cs="宋体"/>
          <w:b/>
          <w:bCs/>
          <w:color w:val="auto"/>
          <w:sz w:val="28"/>
          <w:szCs w:val="28"/>
          <w:highlight w:val="none"/>
        </w:rPr>
      </w:pPr>
    </w:p>
    <w:p w14:paraId="77C12895">
      <w:pPr>
        <w:pStyle w:val="9"/>
        <w:rPr>
          <w:rFonts w:hint="eastAsia" w:ascii="宋体" w:hAnsi="宋体" w:eastAsia="宋体" w:cs="宋体"/>
          <w:b/>
          <w:bCs/>
          <w:color w:val="auto"/>
          <w:sz w:val="28"/>
          <w:szCs w:val="28"/>
          <w:highlight w:val="none"/>
        </w:rPr>
      </w:pPr>
    </w:p>
    <w:p w14:paraId="69B6B1AE">
      <w:pPr>
        <w:rPr>
          <w:rFonts w:hint="eastAsia"/>
          <w:color w:val="auto"/>
          <w:highlight w:val="none"/>
        </w:rPr>
      </w:pPr>
    </w:p>
    <w:p w14:paraId="4A48448E">
      <w:pPr>
        <w:rPr>
          <w:rFonts w:hint="eastAsia"/>
          <w:color w:val="auto"/>
          <w:highlight w:val="none"/>
        </w:rPr>
      </w:pPr>
    </w:p>
    <w:p w14:paraId="5D2A9F85">
      <w:pPr>
        <w:pStyle w:val="9"/>
        <w:rPr>
          <w:rFonts w:hint="eastAsia"/>
          <w:color w:val="auto"/>
          <w:highlight w:val="none"/>
        </w:rPr>
      </w:pPr>
    </w:p>
    <w:p w14:paraId="312379B9">
      <w:pPr>
        <w:rPr>
          <w:rFonts w:hint="eastAsia"/>
        </w:rPr>
      </w:pPr>
    </w:p>
    <w:p w14:paraId="19783639">
      <w:pPr>
        <w:pStyle w:val="9"/>
        <w:rPr>
          <w:rFonts w:hint="eastAsia"/>
          <w:color w:val="auto"/>
          <w:highlight w:val="none"/>
        </w:rPr>
      </w:pPr>
    </w:p>
    <w:p w14:paraId="3EB640DA">
      <w:pPr>
        <w:rPr>
          <w:rFonts w:hint="eastAsia"/>
          <w:color w:val="auto"/>
          <w:highlight w:val="none"/>
        </w:rPr>
      </w:pPr>
    </w:p>
    <w:p w14:paraId="3166B5AD">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b/>
          <w:bCs/>
          <w:color w:val="auto"/>
          <w:sz w:val="36"/>
          <w:szCs w:val="36"/>
          <w:highlight w:val="none"/>
          <w:lang w:val="en-US" w:eastAsia="zh-CN"/>
        </w:rPr>
      </w:pPr>
      <w:bookmarkStart w:id="528" w:name="_Toc18871_WPSOffice_Level1"/>
      <w:r>
        <w:rPr>
          <w:rFonts w:hint="eastAsia"/>
          <w:b/>
          <w:bCs/>
          <w:color w:val="auto"/>
          <w:sz w:val="36"/>
          <w:szCs w:val="36"/>
          <w:highlight w:val="none"/>
          <w:lang w:val="en-US" w:eastAsia="zh-CN"/>
        </w:rPr>
        <w:t>一、自查表</w:t>
      </w:r>
      <w:bookmarkEnd w:id="528"/>
    </w:p>
    <w:p w14:paraId="4A4E6569">
      <w:pPr>
        <w:pStyle w:val="9"/>
        <w:ind w:left="0" w:leftChars="0" w:firstLine="0" w:firstLineChars="0"/>
        <w:rPr>
          <w:rFonts w:hint="eastAsia" w:ascii="宋体" w:hAnsi="宋体" w:eastAsia="宋体" w:cs="宋体"/>
          <w:b/>
          <w:bCs/>
          <w:color w:val="auto"/>
          <w:sz w:val="24"/>
          <w:szCs w:val="24"/>
          <w:highlight w:val="none"/>
        </w:rPr>
      </w:pPr>
    </w:p>
    <w:p w14:paraId="541477EE">
      <w:pPr>
        <w:keepNext w:val="0"/>
        <w:keepLines w:val="0"/>
        <w:pageBreakBefore w:val="0"/>
        <w:widowControl w:val="0"/>
        <w:kinsoku/>
        <w:wordWrap/>
        <w:overflowPunct/>
        <w:topLinePunct w:val="0"/>
        <w:autoSpaceDE w:val="0"/>
        <w:autoSpaceDN w:val="0"/>
        <w:bidi w:val="0"/>
        <w:adjustRightInd/>
        <w:snapToGrid/>
        <w:spacing w:line="440" w:lineRule="exact"/>
        <w:ind w:firstLine="3373" w:firstLineChars="1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 xml:space="preserve">1.1 </w:t>
      </w:r>
      <w:r>
        <w:rPr>
          <w:rFonts w:hint="eastAsia" w:ascii="宋体" w:hAnsi="宋体" w:eastAsia="宋体" w:cs="宋体"/>
          <w:b/>
          <w:bCs/>
          <w:color w:val="auto"/>
          <w:sz w:val="28"/>
          <w:szCs w:val="28"/>
          <w:highlight w:val="none"/>
        </w:rPr>
        <w:t xml:space="preserve">资格审查自查表 </w:t>
      </w:r>
    </w:p>
    <w:p w14:paraId="0327810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tbl>
      <w:tblPr>
        <w:tblStyle w:val="20"/>
        <w:tblW w:w="86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6002"/>
        <w:gridCol w:w="2057"/>
      </w:tblGrid>
      <w:tr w14:paraId="70620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72" w:type="dxa"/>
            <w:noWrap w:val="0"/>
            <w:vAlign w:val="top"/>
          </w:tcPr>
          <w:p w14:paraId="16889100">
            <w:pPr>
              <w:keepNext w:val="0"/>
              <w:keepLines w:val="0"/>
              <w:pageBreakBefore w:val="0"/>
              <w:widowControl w:val="0"/>
              <w:kinsoku/>
              <w:wordWrap/>
              <w:overflowPunct/>
              <w:topLinePunct w:val="0"/>
              <w:autoSpaceDE w:val="0"/>
              <w:autoSpaceDN w:val="0"/>
              <w:bidi w:val="0"/>
              <w:adjustRightInd/>
              <w:snapToGrid/>
              <w:spacing w:line="440" w:lineRule="exact"/>
              <w:ind w:firstLine="241" w:firstLineChars="1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w:t>
            </w:r>
          </w:p>
          <w:p w14:paraId="3827A913">
            <w:pPr>
              <w:keepNext w:val="0"/>
              <w:keepLines w:val="0"/>
              <w:pageBreakBefore w:val="0"/>
              <w:widowControl w:val="0"/>
              <w:kinsoku/>
              <w:wordWrap/>
              <w:overflowPunct/>
              <w:topLinePunct w:val="0"/>
              <w:autoSpaceDE w:val="0"/>
              <w:autoSpaceDN w:val="0"/>
              <w:bidi w:val="0"/>
              <w:adjustRightInd/>
              <w:snapToGrid/>
              <w:spacing w:line="440" w:lineRule="exact"/>
              <w:ind w:firstLine="241" w:firstLineChars="1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号</w:t>
            </w:r>
          </w:p>
        </w:tc>
        <w:tc>
          <w:tcPr>
            <w:tcW w:w="6002" w:type="dxa"/>
            <w:noWrap w:val="0"/>
            <w:vAlign w:val="top"/>
          </w:tcPr>
          <w:p w14:paraId="79DD8BDA">
            <w:pPr>
              <w:keepNext w:val="0"/>
              <w:keepLines w:val="0"/>
              <w:pageBreakBefore w:val="0"/>
              <w:widowControl w:val="0"/>
              <w:kinsoku/>
              <w:wordWrap/>
              <w:overflowPunct/>
              <w:topLinePunct w:val="0"/>
              <w:autoSpaceDE w:val="0"/>
              <w:autoSpaceDN w:val="0"/>
              <w:bidi w:val="0"/>
              <w:adjustRightInd/>
              <w:snapToGrid/>
              <w:spacing w:line="440" w:lineRule="exact"/>
              <w:ind w:firstLine="1928" w:firstLineChars="8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磋商文件要求 </w:t>
            </w:r>
          </w:p>
          <w:p w14:paraId="6D2ABA9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审查内容</w:t>
            </w:r>
            <w:r>
              <w:rPr>
                <w:rFonts w:hint="eastAsia" w:ascii="宋体" w:hAnsi="宋体" w:eastAsia="宋体" w:cs="宋体"/>
                <w:b/>
                <w:bCs/>
                <w:color w:val="auto"/>
                <w:sz w:val="24"/>
                <w:szCs w:val="24"/>
                <w:highlight w:val="none"/>
              </w:rPr>
              <w:t>详见</w:t>
            </w:r>
            <w:r>
              <w:rPr>
                <w:rFonts w:hint="eastAsia" w:ascii="宋体" w:hAnsi="宋体" w:eastAsia="宋体" w:cs="宋体"/>
                <w:b/>
                <w:bCs/>
                <w:color w:val="auto"/>
                <w:sz w:val="24"/>
                <w:szCs w:val="24"/>
                <w:highlight w:val="none"/>
                <w:lang w:val="en-US" w:eastAsia="zh-CN"/>
              </w:rPr>
              <w:t>磋商须知第七</w:t>
            </w:r>
            <w:r>
              <w:rPr>
                <w:rFonts w:hint="eastAsia" w:cs="宋体"/>
                <w:b/>
                <w:bCs/>
                <w:color w:val="auto"/>
                <w:sz w:val="24"/>
                <w:szCs w:val="24"/>
                <w:highlight w:val="none"/>
                <w:lang w:val="en-US" w:eastAsia="zh-CN"/>
              </w:rPr>
              <w:t>部分</w:t>
            </w:r>
            <w:r>
              <w:rPr>
                <w:rFonts w:hint="eastAsia" w:ascii="宋体" w:hAnsi="宋体" w:eastAsia="宋体" w:cs="宋体"/>
                <w:b/>
                <w:bCs/>
                <w:color w:val="auto"/>
                <w:sz w:val="24"/>
                <w:szCs w:val="24"/>
                <w:highlight w:val="none"/>
                <w:lang w:val="en-US" w:eastAsia="zh-CN"/>
              </w:rPr>
              <w:t>：</w:t>
            </w:r>
            <w:r>
              <w:rPr>
                <w:rFonts w:hint="eastAsia" w:cs="宋体"/>
                <w:b/>
                <w:bCs/>
                <w:color w:val="auto"/>
                <w:sz w:val="24"/>
                <w:szCs w:val="24"/>
                <w:highlight w:val="none"/>
                <w:lang w:val="en-US" w:eastAsia="zh-CN"/>
              </w:rPr>
              <w:t>《资格审查表》</w:t>
            </w:r>
          </w:p>
        </w:tc>
        <w:tc>
          <w:tcPr>
            <w:tcW w:w="2057" w:type="dxa"/>
            <w:noWrap w:val="0"/>
            <w:vAlign w:val="top"/>
          </w:tcPr>
          <w:p w14:paraId="48C9A2CD">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p>
          <w:p w14:paraId="2ED6C6D3">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自查结论 </w:t>
            </w:r>
          </w:p>
        </w:tc>
      </w:tr>
      <w:tr w14:paraId="520DB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jc w:val="center"/>
        </w:trPr>
        <w:tc>
          <w:tcPr>
            <w:tcW w:w="572" w:type="dxa"/>
            <w:noWrap w:val="0"/>
            <w:vAlign w:val="top"/>
          </w:tcPr>
          <w:p w14:paraId="0E113125">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002" w:type="dxa"/>
            <w:noWrap w:val="0"/>
            <w:vAlign w:val="top"/>
          </w:tcPr>
          <w:p w14:paraId="457B13D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6FA17CC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通过 □不通过 </w:t>
            </w:r>
          </w:p>
        </w:tc>
      </w:tr>
      <w:tr w14:paraId="7F9B1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72" w:type="dxa"/>
            <w:noWrap w:val="0"/>
            <w:vAlign w:val="top"/>
          </w:tcPr>
          <w:p w14:paraId="183B051F">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002" w:type="dxa"/>
            <w:noWrap w:val="0"/>
            <w:vAlign w:val="top"/>
          </w:tcPr>
          <w:p w14:paraId="0DB519D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57FFD29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r>
      <w:tr w14:paraId="0A450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572" w:type="dxa"/>
            <w:noWrap w:val="0"/>
            <w:vAlign w:val="top"/>
          </w:tcPr>
          <w:p w14:paraId="0D95781E">
            <w:pPr>
              <w:jc w:val="both"/>
              <w:rPr>
                <w:rFonts w:hint="eastAsia"/>
                <w:color w:val="auto"/>
                <w:highlight w:val="none"/>
                <w:lang w:val="en-US" w:eastAsia="zh-CN"/>
              </w:rPr>
            </w:pPr>
          </w:p>
          <w:p w14:paraId="2DE3AE08">
            <w:pPr>
              <w:ind w:firstLine="220" w:firstLineChars="100"/>
              <w:jc w:val="both"/>
              <w:rPr>
                <w:rFonts w:hint="eastAsia"/>
                <w:color w:val="auto"/>
                <w:highlight w:val="none"/>
              </w:rPr>
            </w:pPr>
            <w:r>
              <w:rPr>
                <w:rFonts w:hint="eastAsia"/>
                <w:color w:val="auto"/>
                <w:highlight w:val="none"/>
                <w:lang w:val="en-US" w:eastAsia="zh-CN"/>
              </w:rPr>
              <w:t>3</w:t>
            </w:r>
          </w:p>
          <w:p w14:paraId="004DC74E">
            <w:pPr>
              <w:pStyle w:val="9"/>
              <w:rPr>
                <w:rFonts w:hint="eastAsia"/>
                <w:color w:val="auto"/>
                <w:highlight w:val="none"/>
              </w:rPr>
            </w:pPr>
          </w:p>
        </w:tc>
        <w:tc>
          <w:tcPr>
            <w:tcW w:w="6002" w:type="dxa"/>
            <w:noWrap w:val="0"/>
            <w:vAlign w:val="top"/>
          </w:tcPr>
          <w:p w14:paraId="2F7E6EA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3DEC01B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r>
      <w:tr w14:paraId="60848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jc w:val="center"/>
        </w:trPr>
        <w:tc>
          <w:tcPr>
            <w:tcW w:w="572" w:type="dxa"/>
            <w:noWrap w:val="0"/>
            <w:vAlign w:val="top"/>
          </w:tcPr>
          <w:p w14:paraId="00389156">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002" w:type="dxa"/>
            <w:noWrap w:val="0"/>
            <w:vAlign w:val="top"/>
          </w:tcPr>
          <w:p w14:paraId="79F7AA9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44412E4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r>
      <w:tr w14:paraId="3720A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572" w:type="dxa"/>
            <w:noWrap w:val="0"/>
            <w:vAlign w:val="top"/>
          </w:tcPr>
          <w:p w14:paraId="0FE512B5">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002" w:type="dxa"/>
            <w:noWrap w:val="0"/>
            <w:vAlign w:val="top"/>
          </w:tcPr>
          <w:p w14:paraId="4D5627E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7E04DA3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r>
      <w:tr w14:paraId="179B5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572" w:type="dxa"/>
            <w:noWrap w:val="0"/>
            <w:vAlign w:val="top"/>
          </w:tcPr>
          <w:p w14:paraId="55DE1AF1">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002" w:type="dxa"/>
            <w:noWrap w:val="0"/>
            <w:vAlign w:val="top"/>
          </w:tcPr>
          <w:p w14:paraId="2AFA1D3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17522FB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r>
      <w:tr w14:paraId="3F190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572" w:type="dxa"/>
            <w:noWrap w:val="0"/>
            <w:vAlign w:val="top"/>
          </w:tcPr>
          <w:p w14:paraId="34FEF1AC">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002" w:type="dxa"/>
            <w:noWrap w:val="0"/>
            <w:vAlign w:val="top"/>
          </w:tcPr>
          <w:p w14:paraId="0EAAE2F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3DB4BB52">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r>
      <w:tr w14:paraId="03ECE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572" w:type="dxa"/>
            <w:noWrap w:val="0"/>
            <w:vAlign w:val="top"/>
          </w:tcPr>
          <w:p w14:paraId="5009D770">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002" w:type="dxa"/>
            <w:noWrap w:val="0"/>
            <w:vAlign w:val="top"/>
          </w:tcPr>
          <w:p w14:paraId="7CC89D5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45BAF21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r>
      <w:tr w14:paraId="3219B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jc w:val="center"/>
        </w:trPr>
        <w:tc>
          <w:tcPr>
            <w:tcW w:w="572" w:type="dxa"/>
            <w:noWrap w:val="0"/>
            <w:vAlign w:val="top"/>
          </w:tcPr>
          <w:p w14:paraId="67C74824">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6002" w:type="dxa"/>
            <w:noWrap w:val="0"/>
            <w:vAlign w:val="top"/>
          </w:tcPr>
          <w:p w14:paraId="3A52EA0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57" w:type="dxa"/>
            <w:noWrap w:val="0"/>
            <w:vAlign w:val="top"/>
          </w:tcPr>
          <w:p w14:paraId="0589A62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bl>
    <w:p w14:paraId="5A1D996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注：供应商应按照磋商文件《资格性审查表》 中的内容逐条在上表中填写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在对应的□打“√”。 </w:t>
      </w:r>
    </w:p>
    <w:p w14:paraId="69695421">
      <w:pPr>
        <w:pStyle w:val="9"/>
        <w:rPr>
          <w:rFonts w:hint="eastAsia" w:ascii="宋体" w:hAnsi="宋体" w:eastAsia="宋体" w:cs="宋体"/>
          <w:color w:val="auto"/>
          <w:sz w:val="24"/>
          <w:szCs w:val="24"/>
          <w:highlight w:val="none"/>
        </w:rPr>
      </w:pPr>
    </w:p>
    <w:p w14:paraId="371B3BF8">
      <w:pPr>
        <w:rPr>
          <w:rFonts w:hint="eastAsia" w:ascii="宋体" w:hAnsi="宋体" w:eastAsia="宋体" w:cs="宋体"/>
          <w:color w:val="auto"/>
          <w:sz w:val="24"/>
          <w:szCs w:val="24"/>
          <w:highlight w:val="none"/>
        </w:rPr>
      </w:pPr>
    </w:p>
    <w:p w14:paraId="01CCED0B">
      <w:pPr>
        <w:pStyle w:val="9"/>
        <w:rPr>
          <w:rFonts w:hint="eastAsia" w:ascii="宋体" w:hAnsi="宋体" w:eastAsia="宋体" w:cs="宋体"/>
          <w:color w:val="auto"/>
          <w:sz w:val="24"/>
          <w:szCs w:val="24"/>
          <w:highlight w:val="none"/>
        </w:rPr>
      </w:pPr>
    </w:p>
    <w:p w14:paraId="5315B0BE">
      <w:pPr>
        <w:rPr>
          <w:rFonts w:hint="eastAsia" w:ascii="宋体" w:hAnsi="宋体" w:eastAsia="宋体" w:cs="宋体"/>
          <w:color w:val="auto"/>
          <w:sz w:val="24"/>
          <w:szCs w:val="24"/>
          <w:highlight w:val="none"/>
        </w:rPr>
      </w:pPr>
    </w:p>
    <w:p w14:paraId="763F6ACF">
      <w:pPr>
        <w:pStyle w:val="9"/>
        <w:rPr>
          <w:rFonts w:hint="eastAsia"/>
          <w:color w:val="auto"/>
          <w:highlight w:val="none"/>
        </w:rPr>
      </w:pPr>
    </w:p>
    <w:p w14:paraId="6DB2909B">
      <w:pPr>
        <w:pStyle w:val="9"/>
        <w:rPr>
          <w:rFonts w:hint="eastAsia" w:ascii="宋体" w:hAnsi="宋体" w:eastAsia="宋体" w:cs="宋体"/>
          <w:color w:val="auto"/>
          <w:sz w:val="24"/>
          <w:szCs w:val="24"/>
          <w:highlight w:val="none"/>
        </w:rPr>
      </w:pPr>
    </w:p>
    <w:p w14:paraId="1FEFE7B8">
      <w:pPr>
        <w:rPr>
          <w:rFonts w:hint="eastAsia" w:ascii="宋体" w:hAnsi="宋体" w:eastAsia="宋体" w:cs="宋体"/>
          <w:color w:val="auto"/>
          <w:sz w:val="24"/>
          <w:szCs w:val="24"/>
          <w:highlight w:val="none"/>
        </w:rPr>
      </w:pPr>
    </w:p>
    <w:p w14:paraId="2D4D87BA">
      <w:pPr>
        <w:keepNext w:val="0"/>
        <w:keepLines w:val="0"/>
        <w:pageBreakBefore w:val="0"/>
        <w:widowControl w:val="0"/>
        <w:kinsoku/>
        <w:wordWrap/>
        <w:overflowPunct/>
        <w:topLinePunct w:val="0"/>
        <w:autoSpaceDE w:val="0"/>
        <w:autoSpaceDN w:val="0"/>
        <w:bidi w:val="0"/>
        <w:adjustRightInd/>
        <w:snapToGrid/>
        <w:spacing w:line="440" w:lineRule="exact"/>
        <w:ind w:firstLine="3373" w:firstLineChars="1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w:t>
      </w:r>
      <w:r>
        <w:rPr>
          <w:rFonts w:hint="eastAsia" w:cs="宋体"/>
          <w:b/>
          <w:bCs/>
          <w:color w:val="auto"/>
          <w:sz w:val="28"/>
          <w:szCs w:val="28"/>
          <w:highlight w:val="none"/>
          <w:lang w:val="en-US" w:eastAsia="zh-CN"/>
        </w:rPr>
        <w:t>2</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 xml:space="preserve">符合性审查自查表 </w:t>
      </w:r>
    </w:p>
    <w:p w14:paraId="34B4DB5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tbl>
      <w:tblPr>
        <w:tblStyle w:val="20"/>
        <w:tblW w:w="88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4650"/>
        <w:gridCol w:w="2085"/>
        <w:gridCol w:w="1567"/>
      </w:tblGrid>
      <w:tr w14:paraId="439EC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jc w:val="center"/>
        </w:trPr>
        <w:tc>
          <w:tcPr>
            <w:tcW w:w="572" w:type="dxa"/>
            <w:noWrap w:val="0"/>
            <w:vAlign w:val="top"/>
          </w:tcPr>
          <w:p w14:paraId="153708DF">
            <w:pPr>
              <w:keepNext w:val="0"/>
              <w:keepLines w:val="0"/>
              <w:pageBreakBefore w:val="0"/>
              <w:widowControl w:val="0"/>
              <w:kinsoku/>
              <w:wordWrap/>
              <w:overflowPunct/>
              <w:topLinePunct w:val="0"/>
              <w:autoSpaceDE w:val="0"/>
              <w:autoSpaceDN w:val="0"/>
              <w:bidi w:val="0"/>
              <w:adjustRightInd/>
              <w:snapToGrid/>
              <w:spacing w:line="440" w:lineRule="exact"/>
              <w:ind w:firstLine="241" w:firstLineChars="1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w:t>
            </w:r>
          </w:p>
          <w:p w14:paraId="75E1CE1A">
            <w:pPr>
              <w:keepNext w:val="0"/>
              <w:keepLines w:val="0"/>
              <w:pageBreakBefore w:val="0"/>
              <w:widowControl w:val="0"/>
              <w:kinsoku/>
              <w:wordWrap/>
              <w:overflowPunct/>
              <w:topLinePunct w:val="0"/>
              <w:autoSpaceDE w:val="0"/>
              <w:autoSpaceDN w:val="0"/>
              <w:bidi w:val="0"/>
              <w:adjustRightInd/>
              <w:snapToGrid/>
              <w:spacing w:line="440" w:lineRule="exact"/>
              <w:ind w:firstLine="241" w:firstLineChars="1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号</w:t>
            </w:r>
          </w:p>
        </w:tc>
        <w:tc>
          <w:tcPr>
            <w:tcW w:w="4650" w:type="dxa"/>
            <w:noWrap w:val="0"/>
            <w:vAlign w:val="top"/>
          </w:tcPr>
          <w:p w14:paraId="2567919E">
            <w:pPr>
              <w:keepNext w:val="0"/>
              <w:keepLines w:val="0"/>
              <w:pageBreakBefore w:val="0"/>
              <w:widowControl w:val="0"/>
              <w:kinsoku/>
              <w:wordWrap/>
              <w:overflowPunct/>
              <w:topLinePunct w:val="0"/>
              <w:autoSpaceDE w:val="0"/>
              <w:autoSpaceDN w:val="0"/>
              <w:bidi w:val="0"/>
              <w:adjustRightInd/>
              <w:snapToGrid/>
              <w:spacing w:line="440" w:lineRule="exact"/>
              <w:ind w:firstLine="1928" w:firstLineChars="8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磋商文件要求 </w:t>
            </w:r>
          </w:p>
          <w:p w14:paraId="24AC9A0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审查内容</w:t>
            </w:r>
            <w:r>
              <w:rPr>
                <w:rFonts w:hint="eastAsia" w:ascii="宋体" w:hAnsi="宋体" w:eastAsia="宋体" w:cs="宋体"/>
                <w:b/>
                <w:bCs/>
                <w:color w:val="auto"/>
                <w:sz w:val="24"/>
                <w:szCs w:val="24"/>
                <w:highlight w:val="none"/>
              </w:rPr>
              <w:t>详见</w:t>
            </w:r>
            <w:r>
              <w:rPr>
                <w:rFonts w:hint="eastAsia" w:ascii="宋体" w:hAnsi="宋体" w:eastAsia="宋体" w:cs="宋体"/>
                <w:b/>
                <w:bCs/>
                <w:color w:val="auto"/>
                <w:sz w:val="24"/>
                <w:szCs w:val="24"/>
                <w:highlight w:val="none"/>
                <w:lang w:val="en-US" w:eastAsia="zh-CN"/>
              </w:rPr>
              <w:t>磋商须知第七</w:t>
            </w:r>
            <w:r>
              <w:rPr>
                <w:rFonts w:hint="eastAsia" w:cs="宋体"/>
                <w:b/>
                <w:bCs/>
                <w:color w:val="auto"/>
                <w:sz w:val="24"/>
                <w:szCs w:val="24"/>
                <w:highlight w:val="none"/>
                <w:lang w:val="en-US" w:eastAsia="zh-CN"/>
              </w:rPr>
              <w:t>部分：</w:t>
            </w:r>
            <w:r>
              <w:rPr>
                <w:rFonts w:hint="eastAsia" w:ascii="宋体" w:hAnsi="宋体" w:eastAsia="宋体" w:cs="宋体"/>
                <w:b/>
                <w:bCs/>
                <w:color w:val="auto"/>
                <w:sz w:val="24"/>
                <w:szCs w:val="24"/>
                <w:highlight w:val="none"/>
              </w:rPr>
              <w:t>《符合性审查表》</w:t>
            </w:r>
          </w:p>
        </w:tc>
        <w:tc>
          <w:tcPr>
            <w:tcW w:w="2085" w:type="dxa"/>
            <w:noWrap w:val="0"/>
            <w:vAlign w:val="top"/>
          </w:tcPr>
          <w:p w14:paraId="1778E6CE">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p>
          <w:p w14:paraId="1755239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自查结论 </w:t>
            </w:r>
          </w:p>
        </w:tc>
        <w:tc>
          <w:tcPr>
            <w:tcW w:w="1567" w:type="dxa"/>
            <w:noWrap w:val="0"/>
            <w:vAlign w:val="top"/>
          </w:tcPr>
          <w:p w14:paraId="212B153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69108DA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证明资料 </w:t>
            </w:r>
          </w:p>
        </w:tc>
      </w:tr>
      <w:tr w14:paraId="53978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noWrap w:val="0"/>
            <w:vAlign w:val="top"/>
          </w:tcPr>
          <w:p w14:paraId="630CC3D1">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650" w:type="dxa"/>
            <w:noWrap w:val="0"/>
            <w:vAlign w:val="top"/>
          </w:tcPr>
          <w:p w14:paraId="6BC64FA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5B4F856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c>
          <w:tcPr>
            <w:tcW w:w="1567" w:type="dxa"/>
            <w:noWrap w:val="0"/>
            <w:vAlign w:val="top"/>
          </w:tcPr>
          <w:p w14:paraId="504C827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w:t>
            </w:r>
          </w:p>
          <w:p w14:paraId="6AA247A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第（）页 </w:t>
            </w:r>
          </w:p>
        </w:tc>
      </w:tr>
      <w:tr w14:paraId="28522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noWrap w:val="0"/>
            <w:vAlign w:val="top"/>
          </w:tcPr>
          <w:p w14:paraId="304E66A4">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650" w:type="dxa"/>
            <w:noWrap w:val="0"/>
            <w:vAlign w:val="top"/>
          </w:tcPr>
          <w:p w14:paraId="4C3F4D5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4FA7332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c>
          <w:tcPr>
            <w:tcW w:w="1567" w:type="dxa"/>
            <w:noWrap w:val="0"/>
            <w:vAlign w:val="top"/>
          </w:tcPr>
          <w:p w14:paraId="4E3CA7E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见响应文件第（）页 </w:t>
            </w:r>
          </w:p>
        </w:tc>
      </w:tr>
      <w:tr w14:paraId="348F4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jc w:val="center"/>
        </w:trPr>
        <w:tc>
          <w:tcPr>
            <w:tcW w:w="572" w:type="dxa"/>
            <w:noWrap w:val="0"/>
            <w:vAlign w:val="top"/>
          </w:tcPr>
          <w:p w14:paraId="272DF581">
            <w:pPr>
              <w:jc w:val="both"/>
              <w:rPr>
                <w:rFonts w:hint="eastAsia"/>
                <w:color w:val="auto"/>
                <w:highlight w:val="none"/>
                <w:lang w:val="en-US" w:eastAsia="zh-CN"/>
              </w:rPr>
            </w:pPr>
          </w:p>
          <w:p w14:paraId="0701978A">
            <w:pPr>
              <w:ind w:firstLine="220" w:firstLineChars="100"/>
              <w:jc w:val="both"/>
              <w:rPr>
                <w:rFonts w:hint="eastAsia"/>
                <w:color w:val="auto"/>
                <w:highlight w:val="none"/>
              </w:rPr>
            </w:pPr>
            <w:r>
              <w:rPr>
                <w:rFonts w:hint="eastAsia"/>
                <w:color w:val="auto"/>
                <w:highlight w:val="none"/>
                <w:lang w:val="en-US" w:eastAsia="zh-CN"/>
              </w:rPr>
              <w:t>3</w:t>
            </w:r>
          </w:p>
          <w:p w14:paraId="48C93A9A">
            <w:pPr>
              <w:pStyle w:val="9"/>
              <w:rPr>
                <w:rFonts w:hint="eastAsia"/>
                <w:color w:val="auto"/>
                <w:highlight w:val="none"/>
              </w:rPr>
            </w:pPr>
          </w:p>
        </w:tc>
        <w:tc>
          <w:tcPr>
            <w:tcW w:w="4650" w:type="dxa"/>
            <w:noWrap w:val="0"/>
            <w:vAlign w:val="top"/>
          </w:tcPr>
          <w:p w14:paraId="02CA03C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6D06CA2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c>
          <w:tcPr>
            <w:tcW w:w="1567" w:type="dxa"/>
            <w:noWrap w:val="0"/>
            <w:vAlign w:val="top"/>
          </w:tcPr>
          <w:p w14:paraId="5D9FB92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见响应文件第（）页 </w:t>
            </w:r>
          </w:p>
        </w:tc>
      </w:tr>
      <w:tr w14:paraId="48918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noWrap w:val="0"/>
            <w:vAlign w:val="top"/>
          </w:tcPr>
          <w:p w14:paraId="727425C0">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650" w:type="dxa"/>
            <w:noWrap w:val="0"/>
            <w:vAlign w:val="top"/>
          </w:tcPr>
          <w:p w14:paraId="0B99DBE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5D35963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c>
          <w:tcPr>
            <w:tcW w:w="1567" w:type="dxa"/>
            <w:noWrap w:val="0"/>
            <w:vAlign w:val="top"/>
          </w:tcPr>
          <w:p w14:paraId="247C882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见响应文件第（）页 </w:t>
            </w:r>
          </w:p>
        </w:tc>
      </w:tr>
      <w:tr w14:paraId="7A481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noWrap w:val="0"/>
            <w:vAlign w:val="top"/>
          </w:tcPr>
          <w:p w14:paraId="15025F4C">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650" w:type="dxa"/>
            <w:noWrap w:val="0"/>
            <w:vAlign w:val="top"/>
          </w:tcPr>
          <w:p w14:paraId="62528FF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24E6B25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c>
          <w:tcPr>
            <w:tcW w:w="1567" w:type="dxa"/>
            <w:noWrap w:val="0"/>
            <w:vAlign w:val="top"/>
          </w:tcPr>
          <w:p w14:paraId="2A4919A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见响应文件第（）页 </w:t>
            </w:r>
          </w:p>
        </w:tc>
      </w:tr>
      <w:tr w14:paraId="325EB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572" w:type="dxa"/>
            <w:noWrap w:val="0"/>
            <w:vAlign w:val="top"/>
          </w:tcPr>
          <w:p w14:paraId="6E6478AD">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4650" w:type="dxa"/>
            <w:noWrap w:val="0"/>
            <w:vAlign w:val="top"/>
          </w:tcPr>
          <w:p w14:paraId="407DF93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464C384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c>
          <w:tcPr>
            <w:tcW w:w="1567" w:type="dxa"/>
            <w:noWrap w:val="0"/>
            <w:vAlign w:val="top"/>
          </w:tcPr>
          <w:p w14:paraId="45C112E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w:t>
            </w:r>
          </w:p>
          <w:p w14:paraId="592E06C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第（）页 </w:t>
            </w:r>
          </w:p>
        </w:tc>
      </w:tr>
      <w:tr w14:paraId="563E7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noWrap w:val="0"/>
            <w:vAlign w:val="top"/>
          </w:tcPr>
          <w:p w14:paraId="446AAC40">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4650" w:type="dxa"/>
            <w:noWrap w:val="0"/>
            <w:vAlign w:val="top"/>
          </w:tcPr>
          <w:p w14:paraId="3493E6A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0CDE41F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c>
          <w:tcPr>
            <w:tcW w:w="1567" w:type="dxa"/>
            <w:noWrap w:val="0"/>
            <w:vAlign w:val="top"/>
          </w:tcPr>
          <w:p w14:paraId="2FC85DB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w:t>
            </w:r>
          </w:p>
          <w:p w14:paraId="3307F8C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第（）页 </w:t>
            </w:r>
          </w:p>
        </w:tc>
      </w:tr>
      <w:tr w14:paraId="65F8D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72" w:type="dxa"/>
            <w:noWrap w:val="0"/>
            <w:vAlign w:val="top"/>
          </w:tcPr>
          <w:p w14:paraId="3F9D43CE">
            <w:pPr>
              <w:keepNext w:val="0"/>
              <w:keepLines w:val="0"/>
              <w:pageBreakBefore w:val="0"/>
              <w:widowControl w:val="0"/>
              <w:kinsoku/>
              <w:wordWrap/>
              <w:overflowPunct/>
              <w:topLinePunct w:val="0"/>
              <w:autoSpaceDE w:val="0"/>
              <w:autoSpaceDN w:val="0"/>
              <w:bidi w:val="0"/>
              <w:adjustRightInd/>
              <w:snapToGrid/>
              <w:spacing w:line="440" w:lineRule="exact"/>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4650" w:type="dxa"/>
            <w:noWrap w:val="0"/>
            <w:vAlign w:val="top"/>
          </w:tcPr>
          <w:p w14:paraId="448B6E4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0909876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□通过 □不通过 </w:t>
            </w:r>
          </w:p>
        </w:tc>
        <w:tc>
          <w:tcPr>
            <w:tcW w:w="1567" w:type="dxa"/>
            <w:noWrap w:val="0"/>
            <w:vAlign w:val="top"/>
          </w:tcPr>
          <w:p w14:paraId="3AF1C58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见响应文件第（）页 </w:t>
            </w:r>
          </w:p>
        </w:tc>
      </w:tr>
      <w:tr w14:paraId="13ED8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572" w:type="dxa"/>
            <w:noWrap w:val="0"/>
            <w:vAlign w:val="top"/>
          </w:tcPr>
          <w:p w14:paraId="6B7E3F02">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4650" w:type="dxa"/>
            <w:noWrap w:val="0"/>
            <w:vAlign w:val="top"/>
          </w:tcPr>
          <w:p w14:paraId="39496B9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2085" w:type="dxa"/>
            <w:noWrap w:val="0"/>
            <w:vAlign w:val="top"/>
          </w:tcPr>
          <w:p w14:paraId="01BCB16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c>
          <w:tcPr>
            <w:tcW w:w="1567" w:type="dxa"/>
            <w:noWrap w:val="0"/>
            <w:vAlign w:val="top"/>
          </w:tcPr>
          <w:p w14:paraId="6684498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bl>
    <w:p w14:paraId="09911E4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注：供应商应按照磋商文件《符合性审查表》中的内容逐条在上表中填写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在对应的□打“√”，并注明证明资料所在响应文件的页码。 </w:t>
      </w:r>
    </w:p>
    <w:p w14:paraId="50D0399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eastAsia="zh-CN"/>
        </w:rPr>
      </w:pPr>
    </w:p>
    <w:p w14:paraId="6CDB6B16">
      <w:pPr>
        <w:pStyle w:val="9"/>
        <w:rPr>
          <w:rFonts w:hint="eastAsia" w:ascii="宋体" w:hAnsi="宋体" w:eastAsia="宋体" w:cs="宋体"/>
          <w:color w:val="auto"/>
          <w:sz w:val="24"/>
          <w:szCs w:val="24"/>
          <w:highlight w:val="none"/>
          <w:lang w:val="zh-CN" w:eastAsia="zh-CN"/>
        </w:rPr>
      </w:pPr>
    </w:p>
    <w:p w14:paraId="2AC3FE87">
      <w:pPr>
        <w:rPr>
          <w:rFonts w:hint="eastAsia" w:ascii="宋体" w:hAnsi="宋体" w:eastAsia="宋体" w:cs="宋体"/>
          <w:color w:val="auto"/>
          <w:sz w:val="24"/>
          <w:szCs w:val="24"/>
          <w:highlight w:val="none"/>
          <w:lang w:val="zh-CN" w:eastAsia="zh-CN"/>
        </w:rPr>
      </w:pPr>
    </w:p>
    <w:p w14:paraId="6CC5FED6">
      <w:pPr>
        <w:pStyle w:val="9"/>
        <w:rPr>
          <w:rFonts w:hint="eastAsia" w:ascii="宋体" w:hAnsi="宋体" w:eastAsia="宋体" w:cs="宋体"/>
          <w:color w:val="auto"/>
          <w:sz w:val="24"/>
          <w:szCs w:val="24"/>
          <w:highlight w:val="none"/>
          <w:lang w:val="zh-CN" w:eastAsia="zh-CN"/>
        </w:rPr>
      </w:pPr>
    </w:p>
    <w:p w14:paraId="4AFA2B12">
      <w:pPr>
        <w:rPr>
          <w:rFonts w:hint="eastAsia"/>
          <w:color w:val="auto"/>
          <w:highlight w:val="none"/>
          <w:lang w:val="zh-CN" w:eastAsia="zh-CN"/>
        </w:rPr>
      </w:pPr>
    </w:p>
    <w:p w14:paraId="347F0573">
      <w:pPr>
        <w:pStyle w:val="9"/>
        <w:rPr>
          <w:rFonts w:hint="eastAsia"/>
          <w:color w:val="auto"/>
          <w:highlight w:val="none"/>
          <w:lang w:val="zh-CN" w:eastAsia="zh-CN"/>
        </w:rPr>
      </w:pPr>
    </w:p>
    <w:p w14:paraId="03109233">
      <w:pPr>
        <w:jc w:val="center"/>
        <w:rPr>
          <w:rFonts w:ascii="宋体" w:hAnsi="宋体"/>
          <w:b/>
          <w:color w:val="auto"/>
          <w:sz w:val="30"/>
          <w:szCs w:val="30"/>
          <w:highlight w:val="none"/>
        </w:rPr>
      </w:pPr>
      <w:r>
        <w:rPr>
          <w:rFonts w:hint="eastAsia"/>
          <w:b/>
          <w:color w:val="auto"/>
          <w:sz w:val="30"/>
          <w:szCs w:val="30"/>
          <w:highlight w:val="none"/>
          <w:lang w:val="en-US" w:eastAsia="zh-CN"/>
        </w:rPr>
        <w:t xml:space="preserve">1.3 </w:t>
      </w:r>
      <w:r>
        <w:rPr>
          <w:rFonts w:hint="eastAsia" w:ascii="宋体" w:hAnsi="宋体"/>
          <w:b/>
          <w:color w:val="auto"/>
          <w:sz w:val="30"/>
          <w:szCs w:val="30"/>
          <w:highlight w:val="none"/>
        </w:rPr>
        <w:t>评分索引表</w:t>
      </w:r>
    </w:p>
    <w:p w14:paraId="5956F0D7">
      <w:pPr>
        <w:rPr>
          <w:rFonts w:ascii="宋体" w:hAnsi="宋体"/>
          <w:color w:val="auto"/>
          <w:highlight w:val="none"/>
        </w:rPr>
      </w:pPr>
    </w:p>
    <w:tbl>
      <w:tblPr>
        <w:tblStyle w:val="20"/>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3711"/>
      </w:tblGrid>
      <w:tr w14:paraId="0582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center"/>
          </w:tcPr>
          <w:p w14:paraId="008FC0B1">
            <w:pPr>
              <w:pStyle w:val="35"/>
              <w:shd w:val="clear" w:color="auto" w:fill="FFFFFF"/>
              <w:spacing w:line="480" w:lineRule="auto"/>
              <w:ind w:left="420"/>
              <w:jc w:val="center"/>
              <w:rPr>
                <w:rFonts w:ascii="宋体" w:hAnsi="宋体" w:eastAsia="Times New Roman"/>
                <w:b/>
                <w:bCs/>
                <w:color w:val="auto"/>
                <w:highlight w:val="none"/>
                <w:lang w:val="en-US" w:eastAsia="zh-CN"/>
              </w:rPr>
            </w:pPr>
            <w:r>
              <w:rPr>
                <w:rFonts w:hint="eastAsia" w:ascii="宋体" w:hAnsi="宋体" w:eastAsia="Times New Roman"/>
                <w:b/>
                <w:color w:val="auto"/>
                <w:highlight w:val="none"/>
                <w:lang w:val="en-US"/>
              </w:rPr>
              <w:t>评分项目</w:t>
            </w:r>
          </w:p>
        </w:tc>
        <w:tc>
          <w:tcPr>
            <w:tcW w:w="3711" w:type="dxa"/>
            <w:noWrap w:val="0"/>
            <w:vAlign w:val="top"/>
          </w:tcPr>
          <w:p w14:paraId="32909978">
            <w:pPr>
              <w:spacing w:line="480" w:lineRule="auto"/>
              <w:jc w:val="center"/>
              <w:rPr>
                <w:rFonts w:ascii="宋体" w:hAnsi="宋体"/>
                <w:b/>
                <w:color w:val="auto"/>
                <w:highlight w:val="none"/>
              </w:rPr>
            </w:pPr>
            <w:r>
              <w:rPr>
                <w:rFonts w:hint="eastAsia" w:ascii="宋体" w:hAnsi="宋体"/>
                <w:b/>
                <w:color w:val="auto"/>
                <w:kern w:val="0"/>
                <w:sz w:val="24"/>
                <w:highlight w:val="none"/>
                <w:lang w:bidi="en-US"/>
              </w:rPr>
              <w:t>在</w:t>
            </w:r>
            <w:r>
              <w:rPr>
                <w:rFonts w:hint="eastAsia" w:ascii="宋体" w:hAnsi="宋体"/>
                <w:b/>
                <w:color w:val="auto"/>
                <w:kern w:val="0"/>
                <w:sz w:val="24"/>
                <w:highlight w:val="none"/>
                <w:lang w:val="en-US" w:eastAsia="zh-CN" w:bidi="en-US"/>
              </w:rPr>
              <w:t>响应</w:t>
            </w:r>
            <w:r>
              <w:rPr>
                <w:rFonts w:hint="eastAsia" w:ascii="宋体" w:hAnsi="宋体"/>
                <w:b/>
                <w:color w:val="auto"/>
                <w:kern w:val="0"/>
                <w:sz w:val="24"/>
                <w:highlight w:val="none"/>
                <w:lang w:bidi="en-US"/>
              </w:rPr>
              <w:t>文件中的页码位置（注明在**节点下第**页）</w:t>
            </w:r>
          </w:p>
        </w:tc>
      </w:tr>
      <w:tr w14:paraId="25DF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529" w:type="dxa"/>
            <w:noWrap w:val="0"/>
            <w:vAlign w:val="top"/>
          </w:tcPr>
          <w:p w14:paraId="46655668">
            <w:pPr>
              <w:pStyle w:val="35"/>
              <w:shd w:val="clear" w:color="auto" w:fill="FFFFFF"/>
              <w:spacing w:line="480" w:lineRule="auto"/>
              <w:ind w:left="420"/>
              <w:jc w:val="both"/>
              <w:rPr>
                <w:rFonts w:ascii="宋体" w:hAnsi="宋体" w:eastAsia="Times New Roman"/>
                <w:b/>
                <w:color w:val="auto"/>
                <w:highlight w:val="none"/>
                <w:lang w:val="en-US" w:eastAsia="zh-CN"/>
              </w:rPr>
            </w:pPr>
          </w:p>
        </w:tc>
        <w:tc>
          <w:tcPr>
            <w:tcW w:w="3711" w:type="dxa"/>
            <w:noWrap w:val="0"/>
            <w:vAlign w:val="top"/>
          </w:tcPr>
          <w:p w14:paraId="1BE469C8">
            <w:pPr>
              <w:spacing w:line="480" w:lineRule="auto"/>
              <w:rPr>
                <w:rFonts w:ascii="宋体" w:hAnsi="宋体"/>
                <w:b/>
                <w:color w:val="auto"/>
                <w:kern w:val="0"/>
                <w:sz w:val="24"/>
                <w:highlight w:val="none"/>
                <w:lang w:bidi="en-US"/>
              </w:rPr>
            </w:pPr>
          </w:p>
        </w:tc>
      </w:tr>
      <w:tr w14:paraId="5D46C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240" w:type="dxa"/>
            <w:gridSpan w:val="2"/>
            <w:noWrap w:val="0"/>
            <w:vAlign w:val="top"/>
          </w:tcPr>
          <w:p w14:paraId="6B4AB50E">
            <w:pPr>
              <w:pStyle w:val="35"/>
              <w:shd w:val="clear" w:color="auto" w:fill="FFFFFF"/>
              <w:spacing w:line="480" w:lineRule="auto"/>
              <w:ind w:left="420"/>
              <w:jc w:val="both"/>
              <w:rPr>
                <w:rFonts w:ascii="宋体" w:hAnsi="宋体" w:eastAsia="Times New Roman"/>
                <w:color w:val="auto"/>
                <w:highlight w:val="none"/>
                <w:lang w:val="en-US" w:eastAsia="zh-CN"/>
              </w:rPr>
            </w:pPr>
          </w:p>
        </w:tc>
      </w:tr>
      <w:tr w14:paraId="27DE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529" w:type="dxa"/>
            <w:noWrap w:val="0"/>
            <w:vAlign w:val="top"/>
          </w:tcPr>
          <w:p w14:paraId="4040703C">
            <w:pPr>
              <w:pStyle w:val="35"/>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4D89046C">
            <w:pPr>
              <w:spacing w:line="480" w:lineRule="auto"/>
              <w:rPr>
                <w:rFonts w:ascii="宋体" w:hAnsi="宋体"/>
                <w:color w:val="auto"/>
                <w:highlight w:val="none"/>
              </w:rPr>
            </w:pPr>
          </w:p>
        </w:tc>
      </w:tr>
      <w:tr w14:paraId="1292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14:paraId="7D226A11">
            <w:pPr>
              <w:pStyle w:val="35"/>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5D837C29">
            <w:pPr>
              <w:spacing w:line="480" w:lineRule="auto"/>
              <w:rPr>
                <w:rFonts w:ascii="宋体" w:hAnsi="宋体"/>
                <w:color w:val="auto"/>
                <w:highlight w:val="none"/>
              </w:rPr>
            </w:pPr>
          </w:p>
        </w:tc>
      </w:tr>
      <w:tr w14:paraId="702F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top"/>
          </w:tcPr>
          <w:p w14:paraId="7D682B38">
            <w:pPr>
              <w:pStyle w:val="35"/>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3441242B">
            <w:pPr>
              <w:spacing w:line="480" w:lineRule="auto"/>
              <w:rPr>
                <w:rFonts w:ascii="宋体" w:hAnsi="宋体"/>
                <w:color w:val="auto"/>
                <w:highlight w:val="none"/>
              </w:rPr>
            </w:pPr>
          </w:p>
        </w:tc>
      </w:tr>
      <w:tr w14:paraId="555F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529" w:type="dxa"/>
            <w:noWrap w:val="0"/>
            <w:vAlign w:val="top"/>
          </w:tcPr>
          <w:p w14:paraId="6A00B9B0">
            <w:pPr>
              <w:pStyle w:val="35"/>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15C37F2B">
            <w:pPr>
              <w:spacing w:line="480" w:lineRule="auto"/>
              <w:rPr>
                <w:rFonts w:ascii="宋体" w:hAnsi="宋体"/>
                <w:color w:val="auto"/>
                <w:highlight w:val="none"/>
              </w:rPr>
            </w:pPr>
          </w:p>
        </w:tc>
      </w:tr>
      <w:tr w14:paraId="64C2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14:paraId="4E1A7E5E">
            <w:pPr>
              <w:pStyle w:val="35"/>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7732D9CE">
            <w:pPr>
              <w:spacing w:line="480" w:lineRule="auto"/>
              <w:rPr>
                <w:rFonts w:ascii="宋体" w:hAnsi="宋体"/>
                <w:color w:val="auto"/>
                <w:highlight w:val="none"/>
              </w:rPr>
            </w:pPr>
          </w:p>
        </w:tc>
      </w:tr>
      <w:tr w14:paraId="6A08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noWrap w:val="0"/>
            <w:vAlign w:val="top"/>
          </w:tcPr>
          <w:p w14:paraId="615B6E8D">
            <w:pPr>
              <w:pStyle w:val="35"/>
              <w:shd w:val="clear" w:color="auto" w:fill="FFFFFF"/>
              <w:spacing w:line="480" w:lineRule="auto"/>
              <w:ind w:left="420"/>
              <w:jc w:val="both"/>
              <w:rPr>
                <w:rFonts w:ascii="宋体" w:hAnsi="宋体" w:eastAsia="Times New Roman"/>
                <w:color w:val="auto"/>
                <w:highlight w:val="none"/>
                <w:lang w:val="en-US" w:eastAsia="zh-CN"/>
              </w:rPr>
            </w:pPr>
          </w:p>
        </w:tc>
      </w:tr>
      <w:tr w14:paraId="00C9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529" w:type="dxa"/>
            <w:noWrap w:val="0"/>
            <w:vAlign w:val="top"/>
          </w:tcPr>
          <w:p w14:paraId="709A2273">
            <w:pPr>
              <w:pStyle w:val="35"/>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6A8AEC8F">
            <w:pPr>
              <w:spacing w:line="480" w:lineRule="auto"/>
              <w:rPr>
                <w:rFonts w:ascii="宋体" w:hAnsi="宋体"/>
                <w:color w:val="auto"/>
                <w:highlight w:val="none"/>
              </w:rPr>
            </w:pPr>
          </w:p>
        </w:tc>
      </w:tr>
      <w:tr w14:paraId="4E9B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529" w:type="dxa"/>
            <w:noWrap w:val="0"/>
            <w:vAlign w:val="top"/>
          </w:tcPr>
          <w:p w14:paraId="639D3598">
            <w:pPr>
              <w:pStyle w:val="35"/>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0900D283">
            <w:pPr>
              <w:spacing w:line="480" w:lineRule="auto"/>
              <w:rPr>
                <w:rFonts w:ascii="宋体" w:hAnsi="宋体"/>
                <w:color w:val="auto"/>
                <w:highlight w:val="none"/>
              </w:rPr>
            </w:pPr>
          </w:p>
        </w:tc>
      </w:tr>
      <w:tr w14:paraId="56567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29" w:type="dxa"/>
            <w:noWrap w:val="0"/>
            <w:vAlign w:val="top"/>
          </w:tcPr>
          <w:p w14:paraId="40B7057F">
            <w:pPr>
              <w:pStyle w:val="35"/>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70EF6429">
            <w:pPr>
              <w:spacing w:line="480" w:lineRule="auto"/>
              <w:rPr>
                <w:rFonts w:ascii="宋体" w:hAnsi="宋体"/>
                <w:color w:val="auto"/>
                <w:highlight w:val="none"/>
              </w:rPr>
            </w:pPr>
          </w:p>
        </w:tc>
      </w:tr>
      <w:tr w14:paraId="41F5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529" w:type="dxa"/>
            <w:noWrap w:val="0"/>
            <w:vAlign w:val="top"/>
          </w:tcPr>
          <w:p w14:paraId="7E9BFFD0">
            <w:pPr>
              <w:pStyle w:val="35"/>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51786145">
            <w:pPr>
              <w:spacing w:line="480" w:lineRule="auto"/>
              <w:rPr>
                <w:rFonts w:ascii="宋体" w:hAnsi="宋体"/>
                <w:color w:val="auto"/>
                <w:highlight w:val="none"/>
              </w:rPr>
            </w:pPr>
          </w:p>
        </w:tc>
      </w:tr>
      <w:tr w14:paraId="28A71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noWrap w:val="0"/>
            <w:vAlign w:val="top"/>
          </w:tcPr>
          <w:p w14:paraId="461CF709">
            <w:pPr>
              <w:pStyle w:val="35"/>
              <w:shd w:val="clear" w:color="auto" w:fill="FFFFFF"/>
              <w:spacing w:line="480" w:lineRule="auto"/>
              <w:ind w:left="420"/>
              <w:jc w:val="both"/>
              <w:rPr>
                <w:rFonts w:ascii="宋体" w:hAnsi="宋体" w:eastAsia="Times New Roman"/>
                <w:b/>
                <w:color w:val="auto"/>
                <w:highlight w:val="none"/>
                <w:lang w:val="en-US" w:eastAsia="zh-CN"/>
              </w:rPr>
            </w:pPr>
          </w:p>
        </w:tc>
      </w:tr>
      <w:tr w14:paraId="42FC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529" w:type="dxa"/>
            <w:noWrap w:val="0"/>
            <w:vAlign w:val="top"/>
          </w:tcPr>
          <w:p w14:paraId="729C2DA1">
            <w:pPr>
              <w:pStyle w:val="35"/>
              <w:shd w:val="clear" w:color="auto" w:fill="FFFFFF"/>
              <w:spacing w:line="480" w:lineRule="auto"/>
              <w:ind w:left="420"/>
              <w:rPr>
                <w:rFonts w:ascii="宋体" w:hAnsi="宋体" w:eastAsia="Times New Roman"/>
                <w:b/>
                <w:bCs/>
                <w:color w:val="auto"/>
                <w:highlight w:val="none"/>
                <w:lang w:val="en-US" w:eastAsia="zh-CN"/>
              </w:rPr>
            </w:pPr>
          </w:p>
        </w:tc>
        <w:tc>
          <w:tcPr>
            <w:tcW w:w="3711" w:type="dxa"/>
            <w:noWrap w:val="0"/>
            <w:vAlign w:val="top"/>
          </w:tcPr>
          <w:p w14:paraId="5D33DFFB">
            <w:pPr>
              <w:spacing w:line="480" w:lineRule="auto"/>
              <w:rPr>
                <w:rFonts w:ascii="宋体" w:hAnsi="宋体"/>
                <w:color w:val="auto"/>
                <w:highlight w:val="none"/>
              </w:rPr>
            </w:pPr>
          </w:p>
        </w:tc>
      </w:tr>
      <w:tr w14:paraId="2DC1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529" w:type="dxa"/>
            <w:noWrap w:val="0"/>
            <w:vAlign w:val="top"/>
          </w:tcPr>
          <w:p w14:paraId="43804925">
            <w:pPr>
              <w:pStyle w:val="35"/>
              <w:shd w:val="clear" w:color="auto" w:fill="FFFFFF"/>
              <w:spacing w:line="480" w:lineRule="auto"/>
              <w:ind w:left="420"/>
              <w:rPr>
                <w:rFonts w:ascii="宋体" w:hAnsi="宋体" w:eastAsia="Times New Roman"/>
                <w:color w:val="auto"/>
                <w:highlight w:val="none"/>
                <w:lang w:val="en-US" w:eastAsia="zh-CN"/>
              </w:rPr>
            </w:pPr>
          </w:p>
        </w:tc>
        <w:tc>
          <w:tcPr>
            <w:tcW w:w="3711" w:type="dxa"/>
            <w:noWrap w:val="0"/>
            <w:vAlign w:val="top"/>
          </w:tcPr>
          <w:p w14:paraId="2E24B327">
            <w:pPr>
              <w:spacing w:line="480" w:lineRule="auto"/>
              <w:rPr>
                <w:rFonts w:ascii="宋体" w:hAnsi="宋体"/>
                <w:color w:val="auto"/>
                <w:highlight w:val="none"/>
              </w:rPr>
            </w:pPr>
          </w:p>
        </w:tc>
      </w:tr>
    </w:tbl>
    <w:p w14:paraId="34A2E74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注：供应商应按照磋商文件《评分标准》中技术、商务评分表的内容，列明各评审 </w:t>
      </w:r>
    </w:p>
    <w:p w14:paraId="48360E7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分项在磋商响应文件中所在位置，以便查对。</w:t>
      </w:r>
    </w:p>
    <w:p w14:paraId="5C7A4DF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zh-CN" w:eastAsia="zh-CN"/>
        </w:rPr>
        <w:sectPr>
          <w:headerReference r:id="rId17" w:type="default"/>
          <w:pgSz w:w="11910" w:h="16840"/>
          <w:pgMar w:top="1984" w:right="1531" w:bottom="2098" w:left="1531" w:header="670" w:footer="1041" w:gutter="0"/>
          <w:pgNumType w:fmt="decimal"/>
          <w:cols w:space="720" w:num="1"/>
          <w:rtlGutter w:val="0"/>
          <w:docGrid w:linePitch="1" w:charSpace="0"/>
        </w:sectPr>
      </w:pPr>
    </w:p>
    <w:p w14:paraId="7A1A4868">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b/>
          <w:bCs/>
          <w:color w:val="auto"/>
          <w:sz w:val="36"/>
          <w:szCs w:val="36"/>
          <w:highlight w:val="none"/>
          <w:lang w:val="en-US" w:eastAsia="zh-CN"/>
        </w:rPr>
      </w:pPr>
      <w:bookmarkStart w:id="529" w:name="_Toc4242_WPSOffice_Level1"/>
      <w:r>
        <w:rPr>
          <w:rFonts w:hint="eastAsia"/>
          <w:b/>
          <w:bCs/>
          <w:color w:val="auto"/>
          <w:sz w:val="36"/>
          <w:szCs w:val="36"/>
          <w:highlight w:val="none"/>
          <w:lang w:val="en-US" w:eastAsia="zh-CN"/>
        </w:rPr>
        <w:t>二、商务文件</w:t>
      </w:r>
      <w:bookmarkEnd w:id="529"/>
    </w:p>
    <w:p w14:paraId="620BCE0B">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b/>
          <w:bCs/>
          <w:color w:val="auto"/>
          <w:sz w:val="36"/>
          <w:szCs w:val="36"/>
          <w:highlight w:val="none"/>
          <w:lang w:val="en-US" w:eastAsia="zh-CN"/>
        </w:rPr>
      </w:pPr>
    </w:p>
    <w:p w14:paraId="0C069D41">
      <w:pPr>
        <w:pStyle w:val="5"/>
        <w:bidi w:val="0"/>
        <w:jc w:val="center"/>
        <w:rPr>
          <w:rFonts w:hint="eastAsia" w:ascii="宋体" w:hAnsi="宋体" w:eastAsia="宋体" w:cs="宋体"/>
          <w:b/>
          <w:color w:val="auto"/>
          <w:kern w:val="0"/>
          <w:sz w:val="30"/>
          <w:szCs w:val="30"/>
          <w:highlight w:val="none"/>
          <w:lang w:val="zh-CN" w:eastAsia="zh-CN" w:bidi="zh-CN"/>
        </w:rPr>
      </w:pPr>
      <w:r>
        <w:rPr>
          <w:rFonts w:hint="eastAsia" w:cs="宋体"/>
          <w:b/>
          <w:color w:val="auto"/>
          <w:kern w:val="0"/>
          <w:sz w:val="30"/>
          <w:szCs w:val="30"/>
          <w:highlight w:val="none"/>
          <w:lang w:val="en-US" w:eastAsia="zh-CN" w:bidi="zh-CN"/>
        </w:rPr>
        <w:t>2</w:t>
      </w:r>
      <w:r>
        <w:rPr>
          <w:rFonts w:hint="eastAsia" w:ascii="宋体" w:hAnsi="宋体" w:eastAsia="宋体" w:cs="宋体"/>
          <w:b/>
          <w:color w:val="auto"/>
          <w:kern w:val="0"/>
          <w:sz w:val="30"/>
          <w:szCs w:val="30"/>
          <w:highlight w:val="none"/>
          <w:lang w:val="en-US" w:eastAsia="zh-CN" w:bidi="zh-CN"/>
        </w:rPr>
        <w:t>.</w:t>
      </w:r>
      <w:r>
        <w:rPr>
          <w:rFonts w:hint="eastAsia" w:cs="宋体"/>
          <w:b/>
          <w:color w:val="auto"/>
          <w:kern w:val="0"/>
          <w:sz w:val="30"/>
          <w:szCs w:val="30"/>
          <w:highlight w:val="none"/>
          <w:lang w:val="en-US" w:eastAsia="zh-CN" w:bidi="zh-CN"/>
        </w:rPr>
        <w:t xml:space="preserve">1 </w:t>
      </w:r>
      <w:r>
        <w:rPr>
          <w:rFonts w:hint="eastAsia" w:ascii="宋体" w:hAnsi="宋体" w:eastAsia="宋体" w:cs="宋体"/>
          <w:b/>
          <w:color w:val="auto"/>
          <w:kern w:val="0"/>
          <w:sz w:val="30"/>
          <w:szCs w:val="30"/>
          <w:highlight w:val="none"/>
          <w:lang w:val="en-US" w:eastAsia="zh-CN" w:bidi="zh-CN"/>
        </w:rPr>
        <w:t>磋商响应函</w:t>
      </w:r>
    </w:p>
    <w:p w14:paraId="69B4F59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F41996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cs="宋体"/>
          <w:b/>
          <w:bCs/>
          <w:color w:val="auto"/>
          <w:sz w:val="24"/>
          <w:szCs w:val="24"/>
          <w:highlight w:val="none"/>
          <w:lang w:val="en-US" w:eastAsia="zh-CN"/>
        </w:rPr>
      </w:pPr>
      <w:r>
        <w:rPr>
          <w:rFonts w:hint="eastAsia" w:ascii="宋体" w:hAnsi="宋体" w:eastAsia="宋体" w:cs="宋体"/>
          <w:b/>
          <w:bCs/>
          <w:color w:val="auto"/>
          <w:sz w:val="24"/>
          <w:szCs w:val="24"/>
          <w:highlight w:val="none"/>
        </w:rPr>
        <w:t>致：</w:t>
      </w:r>
      <w:r>
        <w:rPr>
          <w:rFonts w:hint="eastAsia" w:cs="宋体"/>
          <w:b/>
          <w:bCs/>
          <w:color w:val="auto"/>
          <w:sz w:val="24"/>
          <w:szCs w:val="24"/>
          <w:highlight w:val="none"/>
          <w:lang w:val="en-US" w:eastAsia="zh-CN"/>
        </w:rPr>
        <w:t>鄯善县吐峪沟乡人民政府</w:t>
      </w:r>
    </w:p>
    <w:p w14:paraId="7A92B992">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default" w:ascii="宋体" w:hAnsi="宋体" w:eastAsia="宋体" w:cs="宋体"/>
          <w:color w:val="auto"/>
          <w:sz w:val="24"/>
          <w:szCs w:val="24"/>
          <w:highlight w:val="none"/>
          <w:lang w:val="en-US"/>
        </w:rPr>
      </w:pPr>
      <w:r>
        <w:rPr>
          <w:rFonts w:hint="eastAsia" w:cs="宋体"/>
          <w:b/>
          <w:bCs/>
          <w:color w:val="auto"/>
          <w:sz w:val="24"/>
          <w:szCs w:val="24"/>
          <w:highlight w:val="none"/>
          <w:lang w:val="en-US" w:eastAsia="zh-CN"/>
        </w:rPr>
        <w:t>新疆华域天恒工程管理有限公司</w:t>
      </w:r>
    </w:p>
    <w:p w14:paraId="41DD062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我方确认收到贵方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采购相关</w:t>
      </w:r>
      <w:r>
        <w:rPr>
          <w:rFonts w:hint="eastAsia" w:cs="宋体"/>
          <w:color w:val="auto"/>
          <w:sz w:val="24"/>
          <w:szCs w:val="24"/>
          <w:highlight w:val="none"/>
          <w:lang w:val="en-US" w:eastAsia="zh-CN"/>
        </w:rPr>
        <w:t>工程</w:t>
      </w:r>
      <w:r>
        <w:rPr>
          <w:rFonts w:hint="eastAsia" w:ascii="宋体" w:hAnsi="宋体" w:eastAsia="宋体" w:cs="宋体"/>
          <w:color w:val="auto"/>
          <w:sz w:val="24"/>
          <w:szCs w:val="24"/>
          <w:highlight w:val="none"/>
        </w:rPr>
        <w:t>的磋商文件（</w:t>
      </w:r>
      <w:r>
        <w:rPr>
          <w:rFonts w:hint="eastAsia" w:ascii="宋体" w:hAnsi="宋体" w:eastAsia="宋体" w:cs="宋体"/>
          <w:color w:val="auto"/>
          <w:sz w:val="24"/>
          <w:szCs w:val="24"/>
          <w:highlight w:val="none"/>
          <w:lang w:eastAsia="zh-CN"/>
        </w:rPr>
        <w:t>采购项目编号：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(供应商名称、地址)  </w:t>
      </w:r>
      <w:r>
        <w:rPr>
          <w:rFonts w:hint="eastAsia" w:ascii="宋体" w:hAnsi="宋体" w:eastAsia="宋体" w:cs="宋体"/>
          <w:color w:val="auto"/>
          <w:sz w:val="24"/>
          <w:szCs w:val="24"/>
          <w:highlight w:val="none"/>
        </w:rPr>
        <w:t xml:space="preserve">作为供应商已正式授权 </w:t>
      </w:r>
      <w:r>
        <w:rPr>
          <w:rFonts w:hint="eastAsia" w:ascii="宋体" w:hAnsi="宋体" w:eastAsia="宋体" w:cs="宋体"/>
          <w:color w:val="auto"/>
          <w:sz w:val="24"/>
          <w:szCs w:val="24"/>
          <w:highlight w:val="none"/>
          <w:u w:val="single"/>
        </w:rPr>
        <w:t xml:space="preserve">(被供应商授权代表全名、职务) </w:t>
      </w:r>
      <w:r>
        <w:rPr>
          <w:rFonts w:hint="eastAsia" w:ascii="宋体" w:hAnsi="宋体" w:eastAsia="宋体" w:cs="宋体"/>
          <w:color w:val="auto"/>
          <w:sz w:val="24"/>
          <w:szCs w:val="24"/>
          <w:highlight w:val="none"/>
        </w:rPr>
        <w:t xml:space="preserve">为我方签名代表，签名代表在此声明并同意： </w:t>
      </w:r>
    </w:p>
    <w:p w14:paraId="079FE5E6">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我们愿意遵守</w:t>
      </w:r>
      <w:r>
        <w:rPr>
          <w:rFonts w:hint="eastAsia" w:cs="宋体"/>
          <w:b/>
          <w:bCs/>
          <w:color w:val="auto"/>
          <w:sz w:val="24"/>
          <w:szCs w:val="24"/>
          <w:highlight w:val="none"/>
          <w:lang w:val="en-US" w:eastAsia="zh-CN"/>
        </w:rPr>
        <w:t>招标代理公司</w:t>
      </w:r>
      <w:r>
        <w:rPr>
          <w:rFonts w:hint="eastAsia" w:ascii="宋体" w:hAnsi="宋体" w:eastAsia="宋体" w:cs="宋体"/>
          <w:b/>
          <w:bCs/>
          <w:color w:val="auto"/>
          <w:sz w:val="24"/>
          <w:szCs w:val="24"/>
          <w:highlight w:val="none"/>
        </w:rPr>
        <w:t xml:space="preserve">磋商文件的各项规定，自愿参加磋商，并已清楚磋商文件的要求及有关文件规定，并严格按照磋商文件的规定履行全部责任和义务。 </w:t>
      </w:r>
    </w:p>
    <w:p w14:paraId="24CA07EF">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我们同意本响应文件自</w:t>
      </w:r>
      <w:r>
        <w:rPr>
          <w:rFonts w:hint="eastAsia" w:ascii="宋体" w:hAnsi="宋体" w:eastAsia="宋体" w:cs="宋体"/>
          <w:b/>
          <w:bCs/>
          <w:color w:val="auto"/>
          <w:sz w:val="24"/>
          <w:szCs w:val="24"/>
          <w:highlight w:val="none"/>
          <w:lang w:val="en-US" w:eastAsia="zh-CN"/>
        </w:rPr>
        <w:t>磋商</w:t>
      </w:r>
      <w:r>
        <w:rPr>
          <w:rFonts w:hint="eastAsia" w:ascii="宋体" w:hAnsi="宋体" w:eastAsia="宋体" w:cs="宋体"/>
          <w:b/>
          <w:bCs/>
          <w:color w:val="auto"/>
          <w:sz w:val="24"/>
          <w:szCs w:val="24"/>
          <w:highlight w:val="none"/>
        </w:rPr>
        <w:t xml:space="preserve">截止之日起 </w:t>
      </w:r>
      <w:r>
        <w:rPr>
          <w:rFonts w:hint="eastAsia" w:cs="宋体"/>
          <w:b/>
          <w:bCs/>
          <w:color w:val="auto"/>
          <w:sz w:val="24"/>
          <w:szCs w:val="24"/>
          <w:highlight w:val="none"/>
          <w:lang w:val="en-US" w:eastAsia="zh-CN"/>
        </w:rPr>
        <w:t>9</w:t>
      </w:r>
      <w:r>
        <w:rPr>
          <w:rFonts w:hint="eastAsia" w:ascii="宋体" w:hAnsi="宋体" w:eastAsia="宋体" w:cs="宋体"/>
          <w:b/>
          <w:bCs/>
          <w:color w:val="auto"/>
          <w:sz w:val="24"/>
          <w:szCs w:val="24"/>
          <w:highlight w:val="none"/>
        </w:rPr>
        <w:t xml:space="preserve">0 天内有效。如果我们的响应文件被接受，则直至合同生效时止，本响应文件始终有效并不撤回已递交的响应文件。 </w:t>
      </w:r>
    </w:p>
    <w:p w14:paraId="310108A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 xml:space="preserve">我们已经详细地阅读并完全明白了全部磋商文件及附件，包括澄清（如有）及参考文件，我们完全理解本磋商文件的要求，我们同意放弃对磋商文件提出不明或误解的一切权力。 </w:t>
      </w:r>
    </w:p>
    <w:p w14:paraId="3127BB6B">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我们同意提供采购人、</w:t>
      </w:r>
      <w:r>
        <w:rPr>
          <w:rFonts w:hint="eastAsia" w:cs="宋体"/>
          <w:b/>
          <w:bCs/>
          <w:color w:val="auto"/>
          <w:sz w:val="24"/>
          <w:szCs w:val="24"/>
          <w:highlight w:val="none"/>
          <w:lang w:val="en-US" w:eastAsia="zh-CN"/>
        </w:rPr>
        <w:t>招标代理公司</w:t>
      </w:r>
      <w:r>
        <w:rPr>
          <w:rFonts w:hint="eastAsia" w:ascii="宋体" w:hAnsi="宋体" w:eastAsia="宋体" w:cs="宋体"/>
          <w:b/>
          <w:bCs/>
          <w:color w:val="auto"/>
          <w:sz w:val="24"/>
          <w:szCs w:val="24"/>
          <w:highlight w:val="none"/>
        </w:rPr>
        <w:t xml:space="preserve">及磋商小组要求的有关磋商的一切数据或资料。 </w:t>
      </w:r>
    </w:p>
    <w:p w14:paraId="38BA4BFB">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我们理解采购人、</w:t>
      </w:r>
      <w:r>
        <w:rPr>
          <w:rFonts w:hint="eastAsia" w:cs="宋体"/>
          <w:b/>
          <w:bCs/>
          <w:color w:val="auto"/>
          <w:sz w:val="24"/>
          <w:szCs w:val="24"/>
          <w:highlight w:val="none"/>
          <w:lang w:val="en-US" w:eastAsia="zh-CN"/>
        </w:rPr>
        <w:t>招标代理公司</w:t>
      </w:r>
      <w:r>
        <w:rPr>
          <w:rFonts w:hint="eastAsia" w:ascii="宋体" w:hAnsi="宋体" w:eastAsia="宋体" w:cs="宋体"/>
          <w:b/>
          <w:bCs/>
          <w:color w:val="auto"/>
          <w:sz w:val="24"/>
          <w:szCs w:val="24"/>
          <w:highlight w:val="none"/>
        </w:rPr>
        <w:t>及磋商小组与磋商小组并无义务必须接受最低报价的磋商或其它任何投标，完全理解</w:t>
      </w:r>
      <w:r>
        <w:rPr>
          <w:rFonts w:hint="eastAsia" w:cs="宋体"/>
          <w:b/>
          <w:bCs/>
          <w:color w:val="auto"/>
          <w:sz w:val="24"/>
          <w:szCs w:val="24"/>
          <w:highlight w:val="none"/>
          <w:lang w:val="en-US" w:eastAsia="zh-CN"/>
        </w:rPr>
        <w:t>招标代理公司</w:t>
      </w:r>
      <w:r>
        <w:rPr>
          <w:rFonts w:hint="eastAsia" w:ascii="宋体" w:hAnsi="宋体" w:eastAsia="宋体" w:cs="宋体"/>
          <w:b/>
          <w:bCs/>
          <w:color w:val="auto"/>
          <w:sz w:val="24"/>
          <w:szCs w:val="24"/>
          <w:highlight w:val="none"/>
        </w:rPr>
        <w:t xml:space="preserve">拒绝迟到的任何磋商和最低磋商报价不是被授予成交的唯一条件。 </w:t>
      </w:r>
    </w:p>
    <w:p w14:paraId="57C86FC8">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 xml:space="preserve">如果我们未对磋商文件全部要求作出实质性响应，则完全同意并接受按无效响应处理。  </w:t>
      </w:r>
    </w:p>
    <w:p w14:paraId="4960393C">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 xml:space="preserve">我们证明提交的一切文件，无论是原件还是复印件均为准确、真实、有效、完整的，绝无任何虚假、伪造或者夸大。我们在此郑重承诺：在本次采购活动中，如有违法、违规、弄虚作假行为，所造成的损失、不良后果及法律责任，一律由我公司（企业）承担。 </w:t>
      </w:r>
    </w:p>
    <w:p w14:paraId="11E21889">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 xml:space="preserve">如果我们提供的声明或承诺不真实，则完全同意认定为我司提供虚假材料，并同意作相应处理。 </w:t>
      </w:r>
    </w:p>
    <w:p w14:paraId="4FCC0EBB">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我们是依法注册的法人，在法律、财务及运作上完全独立于本项目采购人</w:t>
      </w:r>
    </w:p>
    <w:p w14:paraId="00A1C503">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所有有关本次投标的函电请寄：</w:t>
      </w:r>
      <w:r>
        <w:rPr>
          <w:rFonts w:hint="eastAsia" w:ascii="宋体" w:hAnsi="宋体" w:eastAsia="宋体" w:cs="宋体"/>
          <w:b/>
          <w:bCs/>
          <w:color w:val="auto"/>
          <w:sz w:val="24"/>
          <w:szCs w:val="24"/>
          <w:highlight w:val="none"/>
          <w:u w:val="single"/>
        </w:rPr>
        <w:t xml:space="preserve"> （供应商地址）</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408AFCD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35A05B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备注：本函内容不得擅自删改，否则视为无效投标。  </w:t>
      </w:r>
    </w:p>
    <w:p w14:paraId="2933AE9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57BE7B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供应商名称（单位盖公章）：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00F217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56635C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8CF23A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法定代表人或供应商授权代表（签名或盖章）：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14:paraId="0ECDD23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F6E4DA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1F8C24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5D9CAA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电 话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日 期 :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4B2CE8B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center"/>
        <w:textAlignment w:val="auto"/>
        <w:rPr>
          <w:rFonts w:hint="eastAsia" w:ascii="宋体" w:hAnsi="宋体" w:eastAsia="宋体" w:cs="宋体"/>
          <w:color w:val="auto"/>
          <w:sz w:val="24"/>
          <w:szCs w:val="24"/>
          <w:highlight w:val="none"/>
        </w:rPr>
      </w:pPr>
    </w:p>
    <w:p w14:paraId="3270A61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center"/>
        <w:textAlignment w:val="auto"/>
        <w:rPr>
          <w:rFonts w:hint="eastAsia" w:ascii="宋体" w:hAnsi="宋体" w:eastAsia="宋体" w:cs="宋体"/>
          <w:color w:val="auto"/>
          <w:sz w:val="24"/>
          <w:szCs w:val="24"/>
          <w:highlight w:val="none"/>
        </w:rPr>
      </w:pPr>
    </w:p>
    <w:p w14:paraId="39802C28">
      <w:pPr>
        <w:pStyle w:val="9"/>
        <w:rPr>
          <w:rFonts w:hint="eastAsia" w:ascii="宋体" w:hAnsi="宋体" w:eastAsia="宋体" w:cs="宋体"/>
          <w:color w:val="auto"/>
          <w:sz w:val="24"/>
          <w:szCs w:val="24"/>
          <w:highlight w:val="none"/>
        </w:rPr>
      </w:pPr>
    </w:p>
    <w:p w14:paraId="71E4D6C7">
      <w:pPr>
        <w:rPr>
          <w:rFonts w:hint="eastAsia" w:ascii="宋体" w:hAnsi="宋体" w:eastAsia="宋体" w:cs="宋体"/>
          <w:color w:val="auto"/>
          <w:sz w:val="24"/>
          <w:szCs w:val="24"/>
          <w:highlight w:val="none"/>
        </w:rPr>
      </w:pPr>
    </w:p>
    <w:p w14:paraId="4295838F">
      <w:pPr>
        <w:pStyle w:val="9"/>
        <w:rPr>
          <w:rFonts w:hint="eastAsia" w:ascii="宋体" w:hAnsi="宋体" w:eastAsia="宋体" w:cs="宋体"/>
          <w:color w:val="auto"/>
          <w:sz w:val="24"/>
          <w:szCs w:val="24"/>
          <w:highlight w:val="none"/>
        </w:rPr>
      </w:pPr>
    </w:p>
    <w:p w14:paraId="6C9EB28F">
      <w:pPr>
        <w:rPr>
          <w:rFonts w:hint="eastAsia" w:ascii="宋体" w:hAnsi="宋体" w:eastAsia="宋体" w:cs="宋体"/>
          <w:color w:val="auto"/>
          <w:sz w:val="24"/>
          <w:szCs w:val="24"/>
          <w:highlight w:val="none"/>
        </w:rPr>
      </w:pPr>
    </w:p>
    <w:p w14:paraId="300187B3">
      <w:pPr>
        <w:pStyle w:val="9"/>
        <w:rPr>
          <w:rFonts w:hint="eastAsia" w:ascii="宋体" w:hAnsi="宋体" w:eastAsia="宋体" w:cs="宋体"/>
          <w:color w:val="auto"/>
          <w:sz w:val="24"/>
          <w:szCs w:val="24"/>
          <w:highlight w:val="none"/>
        </w:rPr>
      </w:pPr>
    </w:p>
    <w:p w14:paraId="356C62EA">
      <w:pPr>
        <w:rPr>
          <w:rFonts w:hint="eastAsia" w:ascii="宋体" w:hAnsi="宋体" w:eastAsia="宋体" w:cs="宋体"/>
          <w:color w:val="auto"/>
          <w:sz w:val="24"/>
          <w:szCs w:val="24"/>
          <w:highlight w:val="none"/>
        </w:rPr>
      </w:pPr>
    </w:p>
    <w:p w14:paraId="1D951BDC">
      <w:pPr>
        <w:pStyle w:val="9"/>
        <w:rPr>
          <w:rFonts w:hint="eastAsia" w:ascii="宋体" w:hAnsi="宋体" w:eastAsia="宋体" w:cs="宋体"/>
          <w:color w:val="auto"/>
          <w:sz w:val="24"/>
          <w:szCs w:val="24"/>
          <w:highlight w:val="none"/>
        </w:rPr>
      </w:pPr>
    </w:p>
    <w:p w14:paraId="48CAC92F">
      <w:pPr>
        <w:rPr>
          <w:rFonts w:hint="eastAsia" w:ascii="宋体" w:hAnsi="宋体" w:eastAsia="宋体" w:cs="宋体"/>
          <w:color w:val="auto"/>
          <w:sz w:val="24"/>
          <w:szCs w:val="24"/>
          <w:highlight w:val="none"/>
        </w:rPr>
      </w:pPr>
    </w:p>
    <w:p w14:paraId="74E82D3B">
      <w:pPr>
        <w:pStyle w:val="9"/>
        <w:rPr>
          <w:rFonts w:hint="eastAsia" w:ascii="宋体" w:hAnsi="宋体" w:eastAsia="宋体" w:cs="宋体"/>
          <w:color w:val="auto"/>
          <w:sz w:val="24"/>
          <w:szCs w:val="24"/>
          <w:highlight w:val="none"/>
        </w:rPr>
      </w:pPr>
    </w:p>
    <w:p w14:paraId="7EB8BBAC">
      <w:pPr>
        <w:rPr>
          <w:rFonts w:hint="eastAsia" w:ascii="宋体" w:hAnsi="宋体" w:eastAsia="宋体" w:cs="宋体"/>
          <w:color w:val="auto"/>
          <w:sz w:val="24"/>
          <w:szCs w:val="24"/>
          <w:highlight w:val="none"/>
        </w:rPr>
      </w:pPr>
    </w:p>
    <w:p w14:paraId="291B455A">
      <w:pPr>
        <w:pStyle w:val="9"/>
        <w:rPr>
          <w:rFonts w:hint="eastAsia" w:ascii="宋体" w:hAnsi="宋体" w:eastAsia="宋体" w:cs="宋体"/>
          <w:color w:val="auto"/>
          <w:sz w:val="24"/>
          <w:szCs w:val="24"/>
          <w:highlight w:val="none"/>
        </w:rPr>
      </w:pPr>
    </w:p>
    <w:p w14:paraId="16A3E590">
      <w:pPr>
        <w:rPr>
          <w:rFonts w:hint="eastAsia" w:ascii="宋体" w:hAnsi="宋体" w:eastAsia="宋体" w:cs="宋体"/>
          <w:color w:val="auto"/>
          <w:sz w:val="24"/>
          <w:szCs w:val="24"/>
          <w:highlight w:val="none"/>
        </w:rPr>
      </w:pPr>
    </w:p>
    <w:p w14:paraId="2FEF01B7">
      <w:pPr>
        <w:pStyle w:val="9"/>
        <w:rPr>
          <w:rFonts w:hint="eastAsia" w:ascii="宋体" w:hAnsi="宋体" w:eastAsia="宋体" w:cs="宋体"/>
          <w:color w:val="auto"/>
          <w:sz w:val="24"/>
          <w:szCs w:val="24"/>
          <w:highlight w:val="none"/>
        </w:rPr>
      </w:pPr>
    </w:p>
    <w:p w14:paraId="14A8453B">
      <w:pPr>
        <w:rPr>
          <w:rFonts w:hint="eastAsia" w:ascii="宋体" w:hAnsi="宋体" w:eastAsia="宋体" w:cs="宋体"/>
          <w:color w:val="auto"/>
          <w:sz w:val="24"/>
          <w:szCs w:val="24"/>
          <w:highlight w:val="none"/>
        </w:rPr>
      </w:pPr>
    </w:p>
    <w:p w14:paraId="7F9A8594">
      <w:pPr>
        <w:pStyle w:val="17"/>
        <w:rPr>
          <w:rFonts w:hint="eastAsia"/>
        </w:rPr>
      </w:pPr>
    </w:p>
    <w:p w14:paraId="72FAE6BA">
      <w:pPr>
        <w:pStyle w:val="12"/>
        <w:rPr>
          <w:rFonts w:hint="eastAsia"/>
        </w:rPr>
      </w:pPr>
    </w:p>
    <w:p w14:paraId="6037D77F">
      <w:pPr>
        <w:pStyle w:val="12"/>
        <w:rPr>
          <w:rFonts w:hint="eastAsia"/>
        </w:rPr>
      </w:pPr>
    </w:p>
    <w:p w14:paraId="0EECF4EC">
      <w:pPr>
        <w:pStyle w:val="9"/>
        <w:rPr>
          <w:rFonts w:hint="eastAsia"/>
          <w:color w:val="auto"/>
          <w:highlight w:val="none"/>
        </w:rPr>
      </w:pPr>
    </w:p>
    <w:p w14:paraId="670C7302">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color w:val="auto"/>
          <w:sz w:val="24"/>
          <w:szCs w:val="24"/>
          <w:highlight w:val="none"/>
        </w:rPr>
      </w:pPr>
      <w:r>
        <w:rPr>
          <w:rFonts w:hint="eastAsia" w:cs="宋体"/>
          <w:b/>
          <w:bCs/>
          <w:color w:val="auto"/>
          <w:sz w:val="30"/>
          <w:szCs w:val="30"/>
          <w:highlight w:val="none"/>
          <w:lang w:val="en-US" w:eastAsia="zh-CN"/>
        </w:rPr>
        <w:t xml:space="preserve">2.2 </w:t>
      </w:r>
      <w:r>
        <w:rPr>
          <w:rFonts w:hint="eastAsia" w:ascii="宋体" w:hAnsi="宋体" w:eastAsia="宋体" w:cs="宋体"/>
          <w:b/>
          <w:bCs/>
          <w:color w:val="auto"/>
          <w:sz w:val="30"/>
          <w:szCs w:val="30"/>
          <w:highlight w:val="none"/>
          <w:lang w:val="en-US" w:eastAsia="zh-CN"/>
        </w:rPr>
        <w:t>商务</w:t>
      </w:r>
      <w:r>
        <w:rPr>
          <w:rFonts w:hint="eastAsia" w:cs="宋体"/>
          <w:b/>
          <w:bCs/>
          <w:color w:val="auto"/>
          <w:sz w:val="30"/>
          <w:szCs w:val="30"/>
          <w:highlight w:val="none"/>
          <w:lang w:val="en-US" w:eastAsia="zh-CN"/>
        </w:rPr>
        <w:t>需求</w:t>
      </w:r>
      <w:r>
        <w:rPr>
          <w:rFonts w:hint="eastAsia" w:ascii="宋体" w:hAnsi="宋体" w:eastAsia="宋体" w:cs="宋体"/>
          <w:b/>
          <w:bCs/>
          <w:color w:val="auto"/>
          <w:sz w:val="30"/>
          <w:szCs w:val="30"/>
          <w:highlight w:val="none"/>
          <w:lang w:val="en-US" w:eastAsia="zh-CN"/>
        </w:rPr>
        <w:t xml:space="preserve">条款响应表 </w:t>
      </w:r>
    </w:p>
    <w:p w14:paraId="31B67C2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采购项目名称：</w:t>
      </w:r>
    </w:p>
    <w:p w14:paraId="52F1A25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 xml:space="preserve">  </w:t>
      </w:r>
    </w:p>
    <w:tbl>
      <w:tblPr>
        <w:tblStyle w:val="21"/>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280"/>
        <w:gridCol w:w="1590"/>
        <w:gridCol w:w="1494"/>
      </w:tblGrid>
      <w:tr w14:paraId="24CA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22B78F7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序号</w:t>
            </w:r>
          </w:p>
        </w:tc>
        <w:tc>
          <w:tcPr>
            <w:tcW w:w="5280" w:type="dxa"/>
            <w:noWrap w:val="0"/>
            <w:vAlign w:val="top"/>
          </w:tcPr>
          <w:p w14:paraId="39BC5ADF">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商务条款要求</w:t>
            </w:r>
          </w:p>
        </w:tc>
        <w:tc>
          <w:tcPr>
            <w:tcW w:w="1590" w:type="dxa"/>
            <w:noWrap w:val="0"/>
            <w:vAlign w:val="top"/>
          </w:tcPr>
          <w:p w14:paraId="694592C4">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是否响应</w:t>
            </w:r>
          </w:p>
        </w:tc>
        <w:tc>
          <w:tcPr>
            <w:tcW w:w="1494" w:type="dxa"/>
            <w:noWrap w:val="0"/>
            <w:vAlign w:val="top"/>
          </w:tcPr>
          <w:p w14:paraId="77864AD0">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偏离说明</w:t>
            </w:r>
          </w:p>
        </w:tc>
      </w:tr>
      <w:tr w14:paraId="74D7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676B798A">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1</w:t>
            </w:r>
          </w:p>
        </w:tc>
        <w:tc>
          <w:tcPr>
            <w:tcW w:w="5280" w:type="dxa"/>
            <w:noWrap w:val="0"/>
            <w:vAlign w:val="top"/>
          </w:tcPr>
          <w:p w14:paraId="5712E7C1">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完全理解并接受合同条款要求</w:t>
            </w:r>
          </w:p>
        </w:tc>
        <w:tc>
          <w:tcPr>
            <w:tcW w:w="1590" w:type="dxa"/>
            <w:noWrap w:val="0"/>
            <w:vAlign w:val="top"/>
          </w:tcPr>
          <w:p w14:paraId="2ABEBD9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449BA24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608C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7EE81065">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2</w:t>
            </w:r>
          </w:p>
        </w:tc>
        <w:tc>
          <w:tcPr>
            <w:tcW w:w="5280" w:type="dxa"/>
            <w:noWrap w:val="0"/>
            <w:vAlign w:val="top"/>
          </w:tcPr>
          <w:p w14:paraId="03230BC7">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完全理解并接受对合格供应商、合格的服务要求</w:t>
            </w:r>
          </w:p>
        </w:tc>
        <w:tc>
          <w:tcPr>
            <w:tcW w:w="1590" w:type="dxa"/>
            <w:noWrap w:val="0"/>
            <w:vAlign w:val="top"/>
          </w:tcPr>
          <w:p w14:paraId="07D9E65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5DCD3E92">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7D05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0D8885AC">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3</w:t>
            </w:r>
          </w:p>
        </w:tc>
        <w:tc>
          <w:tcPr>
            <w:tcW w:w="5280" w:type="dxa"/>
            <w:noWrap w:val="0"/>
            <w:vAlign w:val="top"/>
          </w:tcPr>
          <w:p w14:paraId="500772AA">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完全理解并接受对供应商的各项须知、规约要求和责任义务，包括带“★”条款的全部内容。</w:t>
            </w:r>
          </w:p>
        </w:tc>
        <w:tc>
          <w:tcPr>
            <w:tcW w:w="1590" w:type="dxa"/>
            <w:noWrap w:val="0"/>
            <w:vAlign w:val="top"/>
          </w:tcPr>
          <w:p w14:paraId="3B653EA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0CD6F67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4692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6EB5E0E3">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4</w:t>
            </w:r>
          </w:p>
        </w:tc>
        <w:tc>
          <w:tcPr>
            <w:tcW w:w="5280" w:type="dxa"/>
            <w:noWrap w:val="0"/>
            <w:vAlign w:val="top"/>
          </w:tcPr>
          <w:p w14:paraId="58F26A6F">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拟派项目负责人的要求</w:t>
            </w:r>
          </w:p>
        </w:tc>
        <w:tc>
          <w:tcPr>
            <w:tcW w:w="1590" w:type="dxa"/>
            <w:noWrap w:val="0"/>
            <w:vAlign w:val="top"/>
          </w:tcPr>
          <w:p w14:paraId="055AB9C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7EFCE99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36E7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615E3B6F">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5</w:t>
            </w:r>
          </w:p>
        </w:tc>
        <w:tc>
          <w:tcPr>
            <w:tcW w:w="5280" w:type="dxa"/>
            <w:noWrap w:val="0"/>
            <w:vAlign w:val="top"/>
          </w:tcPr>
          <w:p w14:paraId="09732621">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 xml:space="preserve">磋商有效期：磋商有效期为自递交投标文件起至确定正式成交供应商止不少于 </w:t>
            </w:r>
            <w:r>
              <w:rPr>
                <w:rFonts w:hint="default" w:ascii="Times New Roman" w:hAnsi="Times New Roman" w:eastAsia="宋体" w:cs="Times New Roman"/>
                <w:color w:val="auto"/>
                <w:kern w:val="0"/>
                <w:sz w:val="24"/>
                <w:szCs w:val="24"/>
                <w:highlight w:val="none"/>
                <w:lang w:val="en-US" w:eastAsia="zh-CN" w:bidi="ar"/>
              </w:rPr>
              <w:t xml:space="preserve">90 </w:t>
            </w:r>
            <w:r>
              <w:rPr>
                <w:rFonts w:hint="eastAsia" w:ascii="宋体" w:hAnsi="宋体" w:eastAsia="宋体" w:cs="宋体"/>
                <w:color w:val="auto"/>
                <w:kern w:val="0"/>
                <w:sz w:val="24"/>
                <w:szCs w:val="24"/>
                <w:highlight w:val="none"/>
                <w:lang w:val="en-US" w:eastAsia="zh-CN" w:bidi="ar"/>
              </w:rPr>
              <w:t>天</w:t>
            </w:r>
          </w:p>
        </w:tc>
        <w:tc>
          <w:tcPr>
            <w:tcW w:w="1590" w:type="dxa"/>
            <w:noWrap w:val="0"/>
            <w:vAlign w:val="top"/>
          </w:tcPr>
          <w:p w14:paraId="25401DC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61AB0DF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0094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0A61117D">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6</w:t>
            </w:r>
          </w:p>
        </w:tc>
        <w:tc>
          <w:tcPr>
            <w:tcW w:w="5280" w:type="dxa"/>
            <w:noWrap w:val="0"/>
            <w:vAlign w:val="top"/>
          </w:tcPr>
          <w:p w14:paraId="4C2F7B55">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报价内容均涵盖报价要求之一切费用和伴随服务</w:t>
            </w:r>
          </w:p>
        </w:tc>
        <w:tc>
          <w:tcPr>
            <w:tcW w:w="1590" w:type="dxa"/>
            <w:noWrap w:val="0"/>
            <w:vAlign w:val="top"/>
          </w:tcPr>
          <w:p w14:paraId="721BFF3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3E71A25E">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3801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5D3202B2">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7</w:t>
            </w:r>
          </w:p>
        </w:tc>
        <w:tc>
          <w:tcPr>
            <w:tcW w:w="5280" w:type="dxa"/>
            <w:noWrap w:val="0"/>
            <w:vAlign w:val="top"/>
          </w:tcPr>
          <w:p w14:paraId="089A634C">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同意接受招标文件的各项要求</w:t>
            </w:r>
          </w:p>
        </w:tc>
        <w:tc>
          <w:tcPr>
            <w:tcW w:w="1590" w:type="dxa"/>
            <w:noWrap w:val="0"/>
            <w:vAlign w:val="top"/>
          </w:tcPr>
          <w:p w14:paraId="6565E37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5B505A4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34E9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3A3929EF">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8</w:t>
            </w:r>
          </w:p>
        </w:tc>
        <w:tc>
          <w:tcPr>
            <w:tcW w:w="5280" w:type="dxa"/>
            <w:noWrap w:val="0"/>
            <w:vAlign w:val="top"/>
          </w:tcPr>
          <w:p w14:paraId="22C24619">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同意接受合同范本所列的各项条款</w:t>
            </w:r>
          </w:p>
        </w:tc>
        <w:tc>
          <w:tcPr>
            <w:tcW w:w="1590" w:type="dxa"/>
            <w:noWrap w:val="0"/>
            <w:vAlign w:val="top"/>
          </w:tcPr>
          <w:p w14:paraId="06EF57C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1547EC7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6E56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66FBEDE3">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9</w:t>
            </w:r>
          </w:p>
        </w:tc>
        <w:tc>
          <w:tcPr>
            <w:tcW w:w="5280" w:type="dxa"/>
            <w:noWrap w:val="0"/>
            <w:vAlign w:val="top"/>
          </w:tcPr>
          <w:p w14:paraId="728F94F1">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同意按本项目要求缴付相关款项</w:t>
            </w:r>
          </w:p>
        </w:tc>
        <w:tc>
          <w:tcPr>
            <w:tcW w:w="1590" w:type="dxa"/>
            <w:noWrap w:val="0"/>
            <w:vAlign w:val="top"/>
          </w:tcPr>
          <w:p w14:paraId="54949E7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374CFF0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7E38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2942F915">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10</w:t>
            </w:r>
          </w:p>
        </w:tc>
        <w:tc>
          <w:tcPr>
            <w:tcW w:w="5280" w:type="dxa"/>
            <w:noWrap w:val="0"/>
            <w:vAlign w:val="top"/>
          </w:tcPr>
          <w:p w14:paraId="52805953">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同意采购人以任何形式对我方投标文件内容的真实性 和有效性进行审查、验证</w:t>
            </w:r>
          </w:p>
        </w:tc>
        <w:tc>
          <w:tcPr>
            <w:tcW w:w="1590" w:type="dxa"/>
            <w:noWrap w:val="0"/>
            <w:vAlign w:val="top"/>
          </w:tcPr>
          <w:p w14:paraId="5B84129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051C1792">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r w14:paraId="5EA4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noWrap w:val="0"/>
            <w:vAlign w:val="top"/>
          </w:tcPr>
          <w:p w14:paraId="3066B57F">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color w:val="auto"/>
                <w:sz w:val="24"/>
                <w:szCs w:val="24"/>
                <w:highlight w:val="none"/>
                <w:vertAlign w:val="baseline"/>
                <w:lang w:val="en-US" w:eastAsia="zh-CN"/>
              </w:rPr>
            </w:pPr>
            <w:r>
              <w:rPr>
                <w:rFonts w:hint="eastAsia" w:cs="宋体"/>
                <w:color w:val="auto"/>
                <w:sz w:val="24"/>
                <w:szCs w:val="24"/>
                <w:highlight w:val="none"/>
                <w:vertAlign w:val="baseline"/>
                <w:lang w:val="en-US" w:eastAsia="zh-CN"/>
              </w:rPr>
              <w:t>11</w:t>
            </w:r>
          </w:p>
        </w:tc>
        <w:tc>
          <w:tcPr>
            <w:tcW w:w="5280" w:type="dxa"/>
            <w:noWrap w:val="0"/>
            <w:vAlign w:val="top"/>
          </w:tcPr>
          <w:p w14:paraId="7BFF3243">
            <w:pPr>
              <w:keepNext w:val="0"/>
              <w:keepLines w:val="0"/>
              <w:widowControl/>
              <w:suppressLineNumbers w:val="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kern w:val="0"/>
                <w:sz w:val="24"/>
                <w:szCs w:val="24"/>
                <w:highlight w:val="none"/>
                <w:lang w:val="en-US" w:eastAsia="zh-CN" w:bidi="ar"/>
              </w:rPr>
              <w:t>其它商务条款偏离说明（若有）：</w:t>
            </w:r>
          </w:p>
        </w:tc>
        <w:tc>
          <w:tcPr>
            <w:tcW w:w="1590" w:type="dxa"/>
            <w:noWrap w:val="0"/>
            <w:vAlign w:val="top"/>
          </w:tcPr>
          <w:p w14:paraId="61811F4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c>
          <w:tcPr>
            <w:tcW w:w="1494" w:type="dxa"/>
            <w:noWrap w:val="0"/>
            <w:vAlign w:val="top"/>
          </w:tcPr>
          <w:p w14:paraId="293904F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vertAlign w:val="baseline"/>
              </w:rPr>
            </w:pPr>
          </w:p>
        </w:tc>
      </w:tr>
    </w:tbl>
    <w:p w14:paraId="0F75437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6641990">
      <w:pPr>
        <w:rPr>
          <w:rFonts w:hint="eastAsia" w:ascii="宋体" w:hAnsi="宋体" w:eastAsia="宋体" w:cs="宋体"/>
          <w:b/>
          <w:bCs/>
          <w:color w:val="auto"/>
          <w:sz w:val="30"/>
          <w:szCs w:val="30"/>
          <w:highlight w:val="none"/>
          <w:lang w:val="en-US" w:eastAsia="zh-CN"/>
        </w:rPr>
      </w:pPr>
    </w:p>
    <w:p w14:paraId="622460CA">
      <w:pPr>
        <w:rPr>
          <w:rFonts w:hint="eastAsia"/>
          <w:color w:val="auto"/>
          <w:highlight w:val="none"/>
          <w:lang w:val="en-US" w:eastAsia="zh-CN"/>
        </w:rPr>
      </w:pPr>
      <w:r>
        <w:rPr>
          <w:rFonts w:hint="eastAsia"/>
          <w:color w:val="auto"/>
          <w:highlight w:val="none"/>
          <w:lang w:val="en-US" w:eastAsia="zh-CN"/>
        </w:rPr>
        <w:t>注：</w:t>
      </w:r>
    </w:p>
    <w:p w14:paraId="204E8F4B">
      <w:pPr>
        <w:rPr>
          <w:color w:val="auto"/>
          <w:highlight w:val="none"/>
        </w:rPr>
      </w:pPr>
      <w:r>
        <w:rPr>
          <w:rFonts w:hint="eastAsia"/>
          <w:color w:val="auto"/>
          <w:highlight w:val="none"/>
          <w:lang w:val="en-US" w:eastAsia="zh-CN"/>
        </w:rPr>
        <w:t xml:space="preserve">1. 对于上述要求，如供应商完全响应，则请在“是否响应”栏内打“√”，对空白或 </w:t>
      </w:r>
    </w:p>
    <w:p w14:paraId="213E3DD2">
      <w:pPr>
        <w:rPr>
          <w:color w:val="auto"/>
          <w:highlight w:val="none"/>
        </w:rPr>
      </w:pPr>
      <w:r>
        <w:rPr>
          <w:rFonts w:hint="eastAsia"/>
          <w:color w:val="auto"/>
          <w:highlight w:val="none"/>
          <w:lang w:val="en-US" w:eastAsia="zh-CN"/>
        </w:rPr>
        <w:t xml:space="preserve">打“×”视为偏离，请在“偏离说明”栏内扼要说明偏离情况。 </w:t>
      </w:r>
    </w:p>
    <w:p w14:paraId="6C7717A2">
      <w:pPr>
        <w:rPr>
          <w:color w:val="auto"/>
          <w:highlight w:val="none"/>
        </w:rPr>
      </w:pPr>
      <w:r>
        <w:rPr>
          <w:rFonts w:hint="eastAsia"/>
          <w:color w:val="auto"/>
          <w:highlight w:val="none"/>
          <w:lang w:val="en-US" w:eastAsia="zh-CN"/>
        </w:rPr>
        <w:t xml:space="preserve">2. 此表内容必须与实施方案中所介绍的内容一致，打“★”项为不可负偏离(劣于)的重要 </w:t>
      </w:r>
    </w:p>
    <w:p w14:paraId="36F7DB69">
      <w:pPr>
        <w:rPr>
          <w:color w:val="auto"/>
          <w:highlight w:val="none"/>
        </w:rPr>
      </w:pPr>
      <w:r>
        <w:rPr>
          <w:rFonts w:hint="eastAsia"/>
          <w:color w:val="auto"/>
          <w:highlight w:val="none"/>
          <w:lang w:val="en-US" w:eastAsia="zh-CN"/>
        </w:rPr>
        <w:t>项。</w:t>
      </w:r>
    </w:p>
    <w:p w14:paraId="5CD971EC">
      <w:pPr>
        <w:rPr>
          <w:rFonts w:hint="eastAsia"/>
          <w:color w:val="auto"/>
          <w:highlight w:val="none"/>
          <w:lang w:val="en-US" w:eastAsia="zh-CN"/>
        </w:rPr>
      </w:pPr>
    </w:p>
    <w:p w14:paraId="521B62C7">
      <w:pPr>
        <w:rPr>
          <w:color w:val="auto"/>
          <w:highlight w:val="none"/>
        </w:rPr>
      </w:pPr>
      <w:r>
        <w:rPr>
          <w:rFonts w:hint="eastAsia"/>
          <w:color w:val="auto"/>
          <w:highlight w:val="none"/>
          <w:lang w:val="en-US" w:eastAsia="zh-CN"/>
        </w:rPr>
        <w:t xml:space="preserve">供应商法定代表人（或法定代表人授权代表）签字或盖章： </w:t>
      </w:r>
    </w:p>
    <w:p w14:paraId="6FD6D13E">
      <w:pPr>
        <w:rPr>
          <w:rFonts w:hint="eastAsia"/>
          <w:color w:val="auto"/>
          <w:highlight w:val="none"/>
          <w:lang w:val="en-US" w:eastAsia="zh-CN"/>
        </w:rPr>
      </w:pPr>
    </w:p>
    <w:p w14:paraId="7CB4A12F">
      <w:pPr>
        <w:rPr>
          <w:color w:val="auto"/>
          <w:highlight w:val="none"/>
        </w:rPr>
      </w:pPr>
      <w:r>
        <w:rPr>
          <w:rFonts w:hint="eastAsia"/>
          <w:color w:val="auto"/>
          <w:highlight w:val="none"/>
          <w:lang w:val="en-US" w:eastAsia="zh-CN"/>
        </w:rPr>
        <w:t xml:space="preserve">供应商名称（盖公章）： </w:t>
      </w:r>
    </w:p>
    <w:p w14:paraId="20FEE95C">
      <w:pPr>
        <w:rPr>
          <w:rFonts w:hint="eastAsia"/>
          <w:color w:val="auto"/>
          <w:highlight w:val="none"/>
          <w:lang w:val="en-US" w:eastAsia="zh-CN"/>
        </w:rPr>
      </w:pPr>
    </w:p>
    <w:p w14:paraId="5F5FE855">
      <w:pPr>
        <w:rPr>
          <w:color w:val="auto"/>
          <w:highlight w:val="none"/>
        </w:rPr>
      </w:pPr>
      <w:r>
        <w:rPr>
          <w:rFonts w:hint="eastAsia"/>
          <w:color w:val="auto"/>
          <w:highlight w:val="none"/>
          <w:lang w:val="en-US" w:eastAsia="zh-CN"/>
        </w:rPr>
        <w:t>日 期： 年 月 日</w:t>
      </w:r>
    </w:p>
    <w:p w14:paraId="05CB6AB9">
      <w:pPr>
        <w:pStyle w:val="9"/>
        <w:rPr>
          <w:rFonts w:hint="eastAsia" w:ascii="宋体" w:hAnsi="宋体" w:eastAsia="宋体" w:cs="宋体"/>
          <w:b/>
          <w:bCs/>
          <w:color w:val="auto"/>
          <w:sz w:val="30"/>
          <w:szCs w:val="30"/>
          <w:highlight w:val="none"/>
          <w:lang w:val="en-US" w:eastAsia="zh-CN"/>
        </w:rPr>
      </w:pPr>
    </w:p>
    <w:p w14:paraId="29FD1B09">
      <w:pPr>
        <w:rPr>
          <w:rFonts w:hint="eastAsia" w:ascii="宋体" w:hAnsi="宋体" w:eastAsia="宋体" w:cs="宋体"/>
          <w:b/>
          <w:bCs/>
          <w:color w:val="auto"/>
          <w:sz w:val="30"/>
          <w:szCs w:val="30"/>
          <w:highlight w:val="none"/>
          <w:lang w:val="en-US" w:eastAsia="zh-CN"/>
        </w:rPr>
      </w:pPr>
    </w:p>
    <w:p w14:paraId="182BC16D">
      <w:pPr>
        <w:pStyle w:val="9"/>
        <w:rPr>
          <w:rFonts w:hint="eastAsia" w:ascii="宋体" w:hAnsi="宋体" w:eastAsia="宋体" w:cs="宋体"/>
          <w:b/>
          <w:bCs/>
          <w:color w:val="auto"/>
          <w:sz w:val="30"/>
          <w:szCs w:val="30"/>
          <w:highlight w:val="none"/>
          <w:lang w:val="en-US" w:eastAsia="zh-CN"/>
        </w:rPr>
      </w:pPr>
    </w:p>
    <w:p w14:paraId="6C9F5FE9">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color w:val="auto"/>
          <w:sz w:val="24"/>
          <w:szCs w:val="24"/>
          <w:highlight w:val="none"/>
        </w:rPr>
      </w:pPr>
      <w:r>
        <w:rPr>
          <w:rFonts w:hint="eastAsia" w:cs="宋体"/>
          <w:b/>
          <w:bCs/>
          <w:color w:val="auto"/>
          <w:sz w:val="30"/>
          <w:szCs w:val="30"/>
          <w:highlight w:val="none"/>
          <w:lang w:val="en-US" w:eastAsia="zh-CN"/>
        </w:rPr>
        <w:t>2.3 拟派</w:t>
      </w:r>
      <w:r>
        <w:rPr>
          <w:rFonts w:hint="eastAsia" w:ascii="宋体" w:hAnsi="宋体" w:eastAsia="宋体" w:cs="宋体"/>
          <w:b/>
          <w:bCs/>
          <w:color w:val="auto"/>
          <w:sz w:val="30"/>
          <w:szCs w:val="30"/>
          <w:highlight w:val="none"/>
          <w:lang w:val="en-US" w:eastAsia="zh-CN"/>
        </w:rPr>
        <w:t>项目负责人及管理技术人员一览表</w:t>
      </w:r>
    </w:p>
    <w:p w14:paraId="72227D0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371FDB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6432" behindDoc="0" locked="0" layoutInCell="1" allowOverlap="1">
                <wp:simplePos x="0" y="0"/>
                <wp:positionH relativeFrom="page">
                  <wp:posOffset>642620</wp:posOffset>
                </wp:positionH>
                <wp:positionV relativeFrom="paragraph">
                  <wp:posOffset>576580</wp:posOffset>
                </wp:positionV>
                <wp:extent cx="6283325" cy="411099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6283325" cy="4110990"/>
                        </a:xfrm>
                        <a:prstGeom prst="rect">
                          <a:avLst/>
                        </a:prstGeom>
                        <a:noFill/>
                        <a:ln>
                          <a:noFill/>
                        </a:ln>
                      </wps:spPr>
                      <wps:txbx>
                        <w:txbxContent>
                          <w:tbl>
                            <w:tblPr>
                              <w:tblStyle w:val="20"/>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14:paraId="290629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noWrap w:val="0"/>
                                  <w:vAlign w:val="top"/>
                                </w:tcPr>
                                <w:p w14:paraId="01951466">
                                  <w:pPr>
                                    <w:pStyle w:val="32"/>
                                    <w:spacing w:before="163"/>
                                    <w:ind w:left="258" w:right="143"/>
                                    <w:jc w:val="center"/>
                                    <w:rPr>
                                      <w:sz w:val="21"/>
                                    </w:rPr>
                                  </w:pP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14:paraId="5B1F7127">
                                  <w:pPr>
                                    <w:pStyle w:val="32"/>
                                    <w:spacing w:before="163"/>
                                    <w:ind w:left="628" w:right="493"/>
                                    <w:jc w:val="center"/>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14:paraId="168572E4">
                                  <w:pPr>
                                    <w:pStyle w:val="32"/>
                                    <w:spacing w:before="163"/>
                                    <w:ind w:left="465" w:right="330"/>
                                    <w:jc w:val="center"/>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14:paraId="3EF775DD">
                                  <w:pPr>
                                    <w:pStyle w:val="32"/>
                                    <w:spacing w:before="163"/>
                                    <w:ind w:left="640" w:right="506"/>
                                    <w:jc w:val="center"/>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14:paraId="4557C6D0">
                                  <w:pPr>
                                    <w:pStyle w:val="32"/>
                                    <w:spacing w:before="163"/>
                                    <w:ind w:left="581" w:right="438"/>
                                    <w:jc w:val="center"/>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14:paraId="04196705">
                                  <w:pPr>
                                    <w:pStyle w:val="32"/>
                                    <w:spacing w:before="26" w:line="270" w:lineRule="atLeast"/>
                                    <w:ind w:left="1200" w:right="98" w:hanging="1050"/>
                                    <w:rPr>
                                      <w:sz w:val="21"/>
                                    </w:rPr>
                                  </w:pPr>
                                  <w:r>
                                    <w:rPr>
                                      <w:sz w:val="21"/>
                                    </w:rPr>
                                    <w:t xml:space="preserve">拟担任职务或承担工作内容 </w:t>
                                  </w:r>
                                </w:p>
                              </w:tc>
                            </w:tr>
                            <w:tr w14:paraId="58E808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14:paraId="4F7422DB">
                                  <w:pPr>
                                    <w:pStyle w:val="32"/>
                                    <w:spacing w:before="9"/>
                                    <w:rPr>
                                      <w:sz w:val="21"/>
                                    </w:rPr>
                                  </w:pPr>
                                </w:p>
                                <w:p w14:paraId="46B0E650">
                                  <w:pPr>
                                    <w:pStyle w:val="32"/>
                                    <w:spacing w:before="1"/>
                                    <w:ind w:left="127"/>
                                    <w:jc w:val="center"/>
                                    <w:rPr>
                                      <w:sz w:val="21"/>
                                    </w:rPr>
                                  </w:pPr>
                                  <w:r>
                                    <w:rPr>
                                      <w:w w:val="100"/>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14:paraId="27B05421">
                                  <w:pPr>
                                    <w:pStyle w:val="32"/>
                                    <w:spacing w:before="9"/>
                                    <w:rPr>
                                      <w:sz w:val="21"/>
                                    </w:rPr>
                                  </w:pPr>
                                </w:p>
                                <w:p w14:paraId="78EEEFD7">
                                  <w:pPr>
                                    <w:pStyle w:val="32"/>
                                    <w:spacing w:before="1"/>
                                    <w:ind w:left="137"/>
                                    <w:jc w:val="center"/>
                                    <w:rPr>
                                      <w:sz w:val="21"/>
                                    </w:rPr>
                                  </w:pPr>
                                  <w:r>
                                    <w:rPr>
                                      <w:w w:val="100"/>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14:paraId="22E998CF">
                                  <w:pPr>
                                    <w:pStyle w:val="32"/>
                                    <w:spacing w:before="9"/>
                                    <w:rPr>
                                      <w:sz w:val="21"/>
                                    </w:rPr>
                                  </w:pPr>
                                </w:p>
                                <w:p w14:paraId="19E49111">
                                  <w:pPr>
                                    <w:pStyle w:val="32"/>
                                    <w:spacing w:before="1"/>
                                    <w:ind w:left="133"/>
                                    <w:jc w:val="center"/>
                                    <w:rPr>
                                      <w:sz w:val="21"/>
                                    </w:rPr>
                                  </w:pPr>
                                  <w:r>
                                    <w:rPr>
                                      <w:w w:val="100"/>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14:paraId="256698DC">
                                  <w:pPr>
                                    <w:pStyle w:val="32"/>
                                    <w:spacing w:before="9"/>
                                    <w:rPr>
                                      <w:sz w:val="21"/>
                                    </w:rPr>
                                  </w:pPr>
                                </w:p>
                                <w:p w14:paraId="2E5E37A8">
                                  <w:pPr>
                                    <w:pStyle w:val="32"/>
                                    <w:spacing w:before="1"/>
                                    <w:ind w:left="136"/>
                                    <w:jc w:val="center"/>
                                    <w:rPr>
                                      <w:sz w:val="21"/>
                                    </w:rPr>
                                  </w:pPr>
                                  <w:r>
                                    <w:rPr>
                                      <w:w w:val="100"/>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14:paraId="5AC6FD62">
                                  <w:pPr>
                                    <w:pStyle w:val="32"/>
                                    <w:spacing w:before="9"/>
                                    <w:rPr>
                                      <w:sz w:val="21"/>
                                    </w:rPr>
                                  </w:pPr>
                                </w:p>
                                <w:p w14:paraId="1136178E">
                                  <w:pPr>
                                    <w:pStyle w:val="32"/>
                                    <w:spacing w:before="1"/>
                                    <w:ind w:left="143"/>
                                    <w:jc w:val="center"/>
                                    <w:rPr>
                                      <w:sz w:val="21"/>
                                    </w:rPr>
                                  </w:pPr>
                                  <w:r>
                                    <w:rPr>
                                      <w:w w:val="100"/>
                                      <w:sz w:val="21"/>
                                    </w:rPr>
                                    <w:t xml:space="preserve"> </w:t>
                                  </w:r>
                                </w:p>
                              </w:tc>
                              <w:tc>
                                <w:tcPr>
                                  <w:tcW w:w="2585" w:type="dxa"/>
                                  <w:tcBorders>
                                    <w:top w:val="double" w:color="000000" w:sz="0" w:space="0"/>
                                    <w:left w:val="single" w:color="000000" w:sz="4" w:space="0"/>
                                    <w:bottom w:val="single" w:color="000000" w:sz="4" w:space="0"/>
                                  </w:tcBorders>
                                  <w:noWrap w:val="0"/>
                                  <w:vAlign w:val="top"/>
                                </w:tcPr>
                                <w:p w14:paraId="4B032F8B">
                                  <w:pPr>
                                    <w:pStyle w:val="32"/>
                                    <w:spacing w:before="9"/>
                                    <w:rPr>
                                      <w:sz w:val="21"/>
                                    </w:rPr>
                                  </w:pPr>
                                </w:p>
                                <w:p w14:paraId="49F8F639">
                                  <w:pPr>
                                    <w:pStyle w:val="32"/>
                                    <w:spacing w:before="1"/>
                                    <w:ind w:right="1151"/>
                                    <w:jc w:val="right"/>
                                    <w:rPr>
                                      <w:sz w:val="21"/>
                                    </w:rPr>
                                  </w:pPr>
                                  <w:r>
                                    <w:rPr>
                                      <w:w w:val="100"/>
                                      <w:sz w:val="21"/>
                                    </w:rPr>
                                    <w:t xml:space="preserve"> </w:t>
                                  </w:r>
                                </w:p>
                              </w:tc>
                            </w:tr>
                            <w:tr w14:paraId="752B83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07962D29">
                                  <w:pPr>
                                    <w:pStyle w:val="32"/>
                                    <w:spacing w:before="11"/>
                                    <w:rPr>
                                      <w:sz w:val="20"/>
                                    </w:rPr>
                                  </w:pPr>
                                </w:p>
                                <w:p w14:paraId="21637ED2">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4CEB9138">
                                  <w:pPr>
                                    <w:pStyle w:val="32"/>
                                    <w:spacing w:before="11"/>
                                    <w:rPr>
                                      <w:sz w:val="20"/>
                                    </w:rPr>
                                  </w:pPr>
                                </w:p>
                                <w:p w14:paraId="40E66CFC">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64CBC3F5">
                                  <w:pPr>
                                    <w:pStyle w:val="32"/>
                                    <w:spacing w:before="11"/>
                                    <w:rPr>
                                      <w:sz w:val="20"/>
                                    </w:rPr>
                                  </w:pPr>
                                </w:p>
                                <w:p w14:paraId="2E6FBC0F">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6F06005C">
                                  <w:pPr>
                                    <w:pStyle w:val="32"/>
                                    <w:spacing w:before="11"/>
                                    <w:rPr>
                                      <w:sz w:val="20"/>
                                    </w:rPr>
                                  </w:pPr>
                                </w:p>
                                <w:p w14:paraId="5E3F23CB">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09770AFC">
                                  <w:pPr>
                                    <w:pStyle w:val="32"/>
                                    <w:spacing w:before="11"/>
                                    <w:rPr>
                                      <w:sz w:val="20"/>
                                    </w:rPr>
                                  </w:pPr>
                                </w:p>
                                <w:p w14:paraId="5FF65BB0">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6AE69A25">
                                  <w:pPr>
                                    <w:pStyle w:val="32"/>
                                    <w:spacing w:before="11"/>
                                    <w:rPr>
                                      <w:sz w:val="20"/>
                                    </w:rPr>
                                  </w:pPr>
                                </w:p>
                                <w:p w14:paraId="43567DED">
                                  <w:pPr>
                                    <w:pStyle w:val="32"/>
                                    <w:ind w:right="1151"/>
                                    <w:jc w:val="right"/>
                                    <w:rPr>
                                      <w:sz w:val="21"/>
                                    </w:rPr>
                                  </w:pPr>
                                  <w:r>
                                    <w:rPr>
                                      <w:w w:val="100"/>
                                      <w:sz w:val="21"/>
                                    </w:rPr>
                                    <w:t xml:space="preserve"> </w:t>
                                  </w:r>
                                </w:p>
                              </w:tc>
                            </w:tr>
                            <w:tr w14:paraId="5B41C7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14:paraId="55C712FD">
                                  <w:pPr>
                                    <w:pStyle w:val="32"/>
                                    <w:spacing w:before="11"/>
                                    <w:rPr>
                                      <w:sz w:val="20"/>
                                    </w:rPr>
                                  </w:pPr>
                                </w:p>
                                <w:p w14:paraId="72C545F1">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59E3F2F5">
                                  <w:pPr>
                                    <w:pStyle w:val="32"/>
                                    <w:spacing w:before="11"/>
                                    <w:rPr>
                                      <w:sz w:val="20"/>
                                    </w:rPr>
                                  </w:pPr>
                                </w:p>
                                <w:p w14:paraId="703A2CEC">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44137738">
                                  <w:pPr>
                                    <w:pStyle w:val="32"/>
                                    <w:spacing w:before="11"/>
                                    <w:rPr>
                                      <w:sz w:val="20"/>
                                    </w:rPr>
                                  </w:pPr>
                                </w:p>
                                <w:p w14:paraId="64EE50FE">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517F3D4">
                                  <w:pPr>
                                    <w:pStyle w:val="32"/>
                                    <w:spacing w:before="11"/>
                                    <w:rPr>
                                      <w:sz w:val="20"/>
                                    </w:rPr>
                                  </w:pPr>
                                </w:p>
                                <w:p w14:paraId="4705ABAD">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0522EBA">
                                  <w:pPr>
                                    <w:pStyle w:val="32"/>
                                    <w:spacing w:before="11"/>
                                    <w:rPr>
                                      <w:sz w:val="20"/>
                                    </w:rPr>
                                  </w:pPr>
                                </w:p>
                                <w:p w14:paraId="5C425A2D">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0F32BE77">
                                  <w:pPr>
                                    <w:pStyle w:val="32"/>
                                    <w:spacing w:before="11"/>
                                    <w:rPr>
                                      <w:sz w:val="20"/>
                                    </w:rPr>
                                  </w:pPr>
                                </w:p>
                                <w:p w14:paraId="67440800">
                                  <w:pPr>
                                    <w:pStyle w:val="32"/>
                                    <w:ind w:right="1151"/>
                                    <w:jc w:val="right"/>
                                    <w:rPr>
                                      <w:sz w:val="21"/>
                                    </w:rPr>
                                  </w:pPr>
                                  <w:r>
                                    <w:rPr>
                                      <w:w w:val="100"/>
                                      <w:sz w:val="21"/>
                                    </w:rPr>
                                    <w:t xml:space="preserve"> </w:t>
                                  </w:r>
                                </w:p>
                              </w:tc>
                            </w:tr>
                            <w:tr w14:paraId="3D099B6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3248320F">
                                  <w:pPr>
                                    <w:pStyle w:val="32"/>
                                    <w:spacing w:before="11"/>
                                    <w:rPr>
                                      <w:sz w:val="20"/>
                                    </w:rPr>
                                  </w:pPr>
                                </w:p>
                                <w:p w14:paraId="614EE05B">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11BB4E5F">
                                  <w:pPr>
                                    <w:pStyle w:val="32"/>
                                    <w:spacing w:before="11"/>
                                    <w:rPr>
                                      <w:sz w:val="20"/>
                                    </w:rPr>
                                  </w:pPr>
                                </w:p>
                                <w:p w14:paraId="2014FD99">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6875127D">
                                  <w:pPr>
                                    <w:pStyle w:val="32"/>
                                    <w:spacing w:before="11"/>
                                    <w:rPr>
                                      <w:sz w:val="20"/>
                                    </w:rPr>
                                  </w:pPr>
                                </w:p>
                                <w:p w14:paraId="5301A467">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2BE78ABF">
                                  <w:pPr>
                                    <w:pStyle w:val="32"/>
                                    <w:spacing w:before="11"/>
                                    <w:rPr>
                                      <w:sz w:val="20"/>
                                    </w:rPr>
                                  </w:pPr>
                                </w:p>
                                <w:p w14:paraId="5FE8CAA4">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2A3A00D1">
                                  <w:pPr>
                                    <w:pStyle w:val="32"/>
                                    <w:spacing w:before="11"/>
                                    <w:rPr>
                                      <w:sz w:val="20"/>
                                    </w:rPr>
                                  </w:pPr>
                                </w:p>
                                <w:p w14:paraId="438BC121">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54878E2B">
                                  <w:pPr>
                                    <w:pStyle w:val="32"/>
                                    <w:spacing w:before="11"/>
                                    <w:rPr>
                                      <w:sz w:val="20"/>
                                    </w:rPr>
                                  </w:pPr>
                                </w:p>
                                <w:p w14:paraId="1AB911C6">
                                  <w:pPr>
                                    <w:pStyle w:val="32"/>
                                    <w:ind w:right="1151"/>
                                    <w:jc w:val="right"/>
                                    <w:rPr>
                                      <w:sz w:val="21"/>
                                    </w:rPr>
                                  </w:pPr>
                                  <w:r>
                                    <w:rPr>
                                      <w:w w:val="100"/>
                                      <w:sz w:val="21"/>
                                    </w:rPr>
                                    <w:t xml:space="preserve"> </w:t>
                                  </w:r>
                                </w:p>
                              </w:tc>
                            </w:tr>
                            <w:tr w14:paraId="27C239E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52E0C8E5">
                                  <w:pPr>
                                    <w:pStyle w:val="32"/>
                                    <w:spacing w:before="11"/>
                                    <w:rPr>
                                      <w:sz w:val="20"/>
                                    </w:rPr>
                                  </w:pPr>
                                </w:p>
                                <w:p w14:paraId="2D9504C4">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65372E4">
                                  <w:pPr>
                                    <w:pStyle w:val="32"/>
                                    <w:spacing w:before="11"/>
                                    <w:rPr>
                                      <w:sz w:val="20"/>
                                    </w:rPr>
                                  </w:pPr>
                                </w:p>
                                <w:p w14:paraId="64C53CEA">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1B7DE112">
                                  <w:pPr>
                                    <w:pStyle w:val="32"/>
                                    <w:spacing w:before="11"/>
                                    <w:rPr>
                                      <w:sz w:val="20"/>
                                    </w:rPr>
                                  </w:pPr>
                                </w:p>
                                <w:p w14:paraId="65AA696A">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6EF9686A">
                                  <w:pPr>
                                    <w:pStyle w:val="32"/>
                                    <w:spacing w:before="11"/>
                                    <w:rPr>
                                      <w:sz w:val="20"/>
                                    </w:rPr>
                                  </w:pPr>
                                </w:p>
                                <w:p w14:paraId="3914E36F">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57CDDED4">
                                  <w:pPr>
                                    <w:pStyle w:val="32"/>
                                    <w:spacing w:before="11"/>
                                    <w:rPr>
                                      <w:sz w:val="20"/>
                                    </w:rPr>
                                  </w:pPr>
                                </w:p>
                                <w:p w14:paraId="67733CE1">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104EC45">
                                  <w:pPr>
                                    <w:pStyle w:val="32"/>
                                    <w:spacing w:before="11"/>
                                    <w:rPr>
                                      <w:sz w:val="20"/>
                                    </w:rPr>
                                  </w:pPr>
                                </w:p>
                                <w:p w14:paraId="353A30F2">
                                  <w:pPr>
                                    <w:pStyle w:val="32"/>
                                    <w:ind w:right="1151"/>
                                    <w:jc w:val="right"/>
                                    <w:rPr>
                                      <w:sz w:val="21"/>
                                    </w:rPr>
                                  </w:pPr>
                                  <w:r>
                                    <w:rPr>
                                      <w:w w:val="100"/>
                                      <w:sz w:val="21"/>
                                    </w:rPr>
                                    <w:t xml:space="preserve"> </w:t>
                                  </w:r>
                                </w:p>
                              </w:tc>
                            </w:tr>
                            <w:tr w14:paraId="36C7C1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7AB1C19D">
                                  <w:pPr>
                                    <w:pStyle w:val="32"/>
                                    <w:spacing w:before="11"/>
                                    <w:rPr>
                                      <w:sz w:val="20"/>
                                    </w:rPr>
                                  </w:pPr>
                                </w:p>
                                <w:p w14:paraId="5378E01C">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79C79DAB">
                                  <w:pPr>
                                    <w:pStyle w:val="32"/>
                                    <w:spacing w:before="11"/>
                                    <w:rPr>
                                      <w:sz w:val="20"/>
                                    </w:rPr>
                                  </w:pPr>
                                </w:p>
                                <w:p w14:paraId="75DBB9E1">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33CB6EC2">
                                  <w:pPr>
                                    <w:pStyle w:val="32"/>
                                    <w:spacing w:before="11"/>
                                    <w:rPr>
                                      <w:sz w:val="20"/>
                                    </w:rPr>
                                  </w:pPr>
                                </w:p>
                                <w:p w14:paraId="71BF2A58">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526D5CBE">
                                  <w:pPr>
                                    <w:pStyle w:val="32"/>
                                    <w:spacing w:before="11"/>
                                    <w:rPr>
                                      <w:sz w:val="20"/>
                                    </w:rPr>
                                  </w:pPr>
                                </w:p>
                                <w:p w14:paraId="040FC1D6">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66DF6D33">
                                  <w:pPr>
                                    <w:pStyle w:val="32"/>
                                    <w:spacing w:before="11"/>
                                    <w:rPr>
                                      <w:sz w:val="20"/>
                                    </w:rPr>
                                  </w:pPr>
                                </w:p>
                                <w:p w14:paraId="0370B073">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6B2B752C">
                                  <w:pPr>
                                    <w:pStyle w:val="32"/>
                                    <w:spacing w:before="11"/>
                                    <w:rPr>
                                      <w:sz w:val="20"/>
                                    </w:rPr>
                                  </w:pPr>
                                </w:p>
                                <w:p w14:paraId="7848BD31">
                                  <w:pPr>
                                    <w:pStyle w:val="32"/>
                                    <w:ind w:right="1151"/>
                                    <w:jc w:val="right"/>
                                    <w:rPr>
                                      <w:sz w:val="21"/>
                                    </w:rPr>
                                  </w:pPr>
                                  <w:r>
                                    <w:rPr>
                                      <w:w w:val="100"/>
                                      <w:sz w:val="21"/>
                                    </w:rPr>
                                    <w:t xml:space="preserve"> </w:t>
                                  </w:r>
                                </w:p>
                              </w:tc>
                            </w:tr>
                            <w:tr w14:paraId="625402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1DB97D3E">
                                  <w:pPr>
                                    <w:pStyle w:val="32"/>
                                    <w:spacing w:before="11"/>
                                    <w:rPr>
                                      <w:sz w:val="20"/>
                                    </w:rPr>
                                  </w:pPr>
                                </w:p>
                                <w:p w14:paraId="254820E2">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3C7FF339">
                                  <w:pPr>
                                    <w:pStyle w:val="32"/>
                                    <w:spacing w:before="11"/>
                                    <w:rPr>
                                      <w:sz w:val="20"/>
                                    </w:rPr>
                                  </w:pPr>
                                </w:p>
                                <w:p w14:paraId="142521A8">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CBDBF1E">
                                  <w:pPr>
                                    <w:pStyle w:val="32"/>
                                    <w:spacing w:before="11"/>
                                    <w:rPr>
                                      <w:sz w:val="20"/>
                                    </w:rPr>
                                  </w:pPr>
                                </w:p>
                                <w:p w14:paraId="4ACC8247">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C606BCF">
                                  <w:pPr>
                                    <w:pStyle w:val="32"/>
                                    <w:spacing w:before="11"/>
                                    <w:rPr>
                                      <w:sz w:val="20"/>
                                    </w:rPr>
                                  </w:pPr>
                                </w:p>
                                <w:p w14:paraId="1AF00F89">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28F1279E">
                                  <w:pPr>
                                    <w:pStyle w:val="32"/>
                                    <w:spacing w:before="11"/>
                                    <w:rPr>
                                      <w:sz w:val="20"/>
                                    </w:rPr>
                                  </w:pPr>
                                </w:p>
                                <w:p w14:paraId="2424F270">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22E86664">
                                  <w:pPr>
                                    <w:pStyle w:val="32"/>
                                    <w:spacing w:before="11"/>
                                    <w:rPr>
                                      <w:sz w:val="20"/>
                                    </w:rPr>
                                  </w:pPr>
                                </w:p>
                                <w:p w14:paraId="155F1CDB">
                                  <w:pPr>
                                    <w:pStyle w:val="32"/>
                                    <w:ind w:right="1151"/>
                                    <w:jc w:val="right"/>
                                    <w:rPr>
                                      <w:sz w:val="21"/>
                                    </w:rPr>
                                  </w:pPr>
                                  <w:r>
                                    <w:rPr>
                                      <w:w w:val="100"/>
                                      <w:sz w:val="21"/>
                                    </w:rPr>
                                    <w:t xml:space="preserve"> </w:t>
                                  </w:r>
                                </w:p>
                              </w:tc>
                            </w:tr>
                            <w:tr w14:paraId="400282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14:paraId="1DA74C9C">
                                  <w:pPr>
                                    <w:pStyle w:val="32"/>
                                    <w:spacing w:before="11"/>
                                    <w:rPr>
                                      <w:sz w:val="20"/>
                                    </w:rPr>
                                  </w:pPr>
                                </w:p>
                                <w:p w14:paraId="6175EB46">
                                  <w:pPr>
                                    <w:pStyle w:val="32"/>
                                    <w:ind w:left="127"/>
                                    <w:jc w:val="center"/>
                                    <w:rPr>
                                      <w:sz w:val="21"/>
                                    </w:rPr>
                                  </w:pPr>
                                  <w:r>
                                    <w:rPr>
                                      <w:w w:val="100"/>
                                      <w:sz w:val="21"/>
                                    </w:rPr>
                                    <w:t xml:space="preserve"> </w:t>
                                  </w:r>
                                </w:p>
                              </w:tc>
                              <w:tc>
                                <w:tcPr>
                                  <w:tcW w:w="1591" w:type="dxa"/>
                                  <w:tcBorders>
                                    <w:top w:val="single" w:color="000000" w:sz="4" w:space="0"/>
                                    <w:left w:val="single" w:color="000000" w:sz="4" w:space="0"/>
                                    <w:right w:val="single" w:color="000000" w:sz="4" w:space="0"/>
                                  </w:tcBorders>
                                  <w:noWrap w:val="0"/>
                                  <w:vAlign w:val="top"/>
                                </w:tcPr>
                                <w:p w14:paraId="2562274C">
                                  <w:pPr>
                                    <w:pStyle w:val="32"/>
                                    <w:spacing w:before="11"/>
                                    <w:rPr>
                                      <w:sz w:val="20"/>
                                    </w:rPr>
                                  </w:pPr>
                                </w:p>
                                <w:p w14:paraId="6937079C">
                                  <w:pPr>
                                    <w:pStyle w:val="32"/>
                                    <w:ind w:left="137"/>
                                    <w:jc w:val="center"/>
                                    <w:rPr>
                                      <w:sz w:val="21"/>
                                    </w:rPr>
                                  </w:pPr>
                                  <w:r>
                                    <w:rPr>
                                      <w:w w:val="100"/>
                                      <w:sz w:val="21"/>
                                    </w:rPr>
                                    <w:t xml:space="preserve"> </w:t>
                                  </w:r>
                                </w:p>
                              </w:tc>
                              <w:tc>
                                <w:tcPr>
                                  <w:tcW w:w="1265" w:type="dxa"/>
                                  <w:tcBorders>
                                    <w:top w:val="single" w:color="000000" w:sz="4" w:space="0"/>
                                    <w:left w:val="single" w:color="000000" w:sz="4" w:space="0"/>
                                    <w:right w:val="single" w:color="000000" w:sz="4" w:space="0"/>
                                  </w:tcBorders>
                                  <w:noWrap w:val="0"/>
                                  <w:vAlign w:val="top"/>
                                </w:tcPr>
                                <w:p w14:paraId="6BC246D2">
                                  <w:pPr>
                                    <w:pStyle w:val="32"/>
                                    <w:spacing w:before="11"/>
                                    <w:rPr>
                                      <w:sz w:val="20"/>
                                    </w:rPr>
                                  </w:pPr>
                                </w:p>
                                <w:p w14:paraId="7B57B3EB">
                                  <w:pPr>
                                    <w:pStyle w:val="32"/>
                                    <w:ind w:left="133"/>
                                    <w:jc w:val="center"/>
                                    <w:rPr>
                                      <w:sz w:val="21"/>
                                    </w:rPr>
                                  </w:pPr>
                                  <w:r>
                                    <w:rPr>
                                      <w:w w:val="100"/>
                                      <w:sz w:val="21"/>
                                    </w:rPr>
                                    <w:t xml:space="preserve"> </w:t>
                                  </w:r>
                                </w:p>
                              </w:tc>
                              <w:tc>
                                <w:tcPr>
                                  <w:tcW w:w="1617" w:type="dxa"/>
                                  <w:tcBorders>
                                    <w:top w:val="single" w:color="000000" w:sz="4" w:space="0"/>
                                    <w:left w:val="single" w:color="000000" w:sz="4" w:space="0"/>
                                    <w:right w:val="single" w:color="000000" w:sz="4" w:space="0"/>
                                  </w:tcBorders>
                                  <w:noWrap w:val="0"/>
                                  <w:vAlign w:val="top"/>
                                </w:tcPr>
                                <w:p w14:paraId="1CC8B8EB">
                                  <w:pPr>
                                    <w:pStyle w:val="32"/>
                                    <w:spacing w:before="11"/>
                                    <w:rPr>
                                      <w:sz w:val="20"/>
                                    </w:rPr>
                                  </w:pPr>
                                </w:p>
                                <w:p w14:paraId="02E2798F">
                                  <w:pPr>
                                    <w:pStyle w:val="32"/>
                                    <w:ind w:left="136"/>
                                    <w:jc w:val="center"/>
                                    <w:rPr>
                                      <w:sz w:val="21"/>
                                    </w:rPr>
                                  </w:pPr>
                                  <w:r>
                                    <w:rPr>
                                      <w:w w:val="100"/>
                                      <w:sz w:val="21"/>
                                    </w:rPr>
                                    <w:t xml:space="preserve"> </w:t>
                                  </w:r>
                                </w:p>
                              </w:tc>
                              <w:tc>
                                <w:tcPr>
                                  <w:tcW w:w="1910" w:type="dxa"/>
                                  <w:tcBorders>
                                    <w:top w:val="single" w:color="000000" w:sz="4" w:space="0"/>
                                    <w:left w:val="single" w:color="000000" w:sz="4" w:space="0"/>
                                    <w:right w:val="single" w:color="000000" w:sz="4" w:space="0"/>
                                  </w:tcBorders>
                                  <w:noWrap w:val="0"/>
                                  <w:vAlign w:val="top"/>
                                </w:tcPr>
                                <w:p w14:paraId="6988C12E">
                                  <w:pPr>
                                    <w:pStyle w:val="32"/>
                                    <w:spacing w:before="11"/>
                                    <w:rPr>
                                      <w:sz w:val="20"/>
                                    </w:rPr>
                                  </w:pPr>
                                </w:p>
                                <w:p w14:paraId="32F90409">
                                  <w:pPr>
                                    <w:pStyle w:val="32"/>
                                    <w:ind w:left="143"/>
                                    <w:jc w:val="center"/>
                                    <w:rPr>
                                      <w:sz w:val="21"/>
                                    </w:rPr>
                                  </w:pPr>
                                  <w:r>
                                    <w:rPr>
                                      <w:w w:val="100"/>
                                      <w:sz w:val="21"/>
                                    </w:rPr>
                                    <w:t xml:space="preserve"> </w:t>
                                  </w:r>
                                </w:p>
                              </w:tc>
                              <w:tc>
                                <w:tcPr>
                                  <w:tcW w:w="2585" w:type="dxa"/>
                                  <w:tcBorders>
                                    <w:top w:val="single" w:color="000000" w:sz="4" w:space="0"/>
                                    <w:left w:val="single" w:color="000000" w:sz="4" w:space="0"/>
                                  </w:tcBorders>
                                  <w:noWrap w:val="0"/>
                                  <w:vAlign w:val="top"/>
                                </w:tcPr>
                                <w:p w14:paraId="0F9DD587">
                                  <w:pPr>
                                    <w:pStyle w:val="32"/>
                                    <w:spacing w:before="11"/>
                                    <w:rPr>
                                      <w:sz w:val="20"/>
                                    </w:rPr>
                                  </w:pPr>
                                </w:p>
                                <w:p w14:paraId="5B6A077E">
                                  <w:pPr>
                                    <w:pStyle w:val="32"/>
                                    <w:ind w:right="1151"/>
                                    <w:jc w:val="right"/>
                                    <w:rPr>
                                      <w:sz w:val="21"/>
                                    </w:rPr>
                                  </w:pPr>
                                  <w:r>
                                    <w:rPr>
                                      <w:w w:val="100"/>
                                      <w:sz w:val="21"/>
                                    </w:rPr>
                                    <w:t xml:space="preserve"> </w:t>
                                  </w:r>
                                </w:p>
                              </w:tc>
                            </w:tr>
                          </w:tbl>
                          <w:p w14:paraId="2875D8EF">
                            <w:pPr>
                              <w:pStyle w:val="10"/>
                            </w:pPr>
                          </w:p>
                        </w:txbxContent>
                      </wps:txbx>
                      <wps:bodyPr lIns="0" tIns="0" rIns="0" bIns="0" upright="1"/>
                    </wps:wsp>
                  </a:graphicData>
                </a:graphic>
              </wp:anchor>
            </w:drawing>
          </mc:Choice>
          <mc:Fallback>
            <w:pict>
              <v:shape id="_x0000_s1026" o:spid="_x0000_s1026" o:spt="202" type="#_x0000_t202" style="position:absolute;left:0pt;margin-left:50.6pt;margin-top:45.4pt;height:323.7pt;width:494.75pt;mso-position-horizontal-relative:page;z-index:251666432;mso-width-relative:page;mso-height-relative:page;" filled="f" stroked="f" coordsize="21600,21600" o:gfxdata="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ZQvZI2AAAAAsBAAAPAAAAAAAAAAEAIAAAACIAAABkcnMvZG93bnJldi54bWxQ&#10;SwECFAAUAAAACACHTuJADsL9pb4BAAB1AwAADgAAAAAAAAABACAAAAAnAQAAZHJzL2Uyb0RvYy54&#10;bWxQSwUGAAAAAAYABgBZAQAAVwUAAAAA&#10;">
                <v:fill on="f" focussize="0,0"/>
                <v:stroke on="f"/>
                <v:imagedata o:title=""/>
                <o:lock v:ext="edit" aspectratio="f"/>
                <v:textbox inset="0mm,0mm,0mm,0mm">
                  <w:txbxContent>
                    <w:tbl>
                      <w:tblPr>
                        <w:tblStyle w:val="20"/>
                        <w:tblW w:w="984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1"/>
                        <w:gridCol w:w="1591"/>
                        <w:gridCol w:w="1265"/>
                        <w:gridCol w:w="1617"/>
                        <w:gridCol w:w="1910"/>
                        <w:gridCol w:w="2585"/>
                      </w:tblGrid>
                      <w:tr w14:paraId="2906292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1" w:type="dxa"/>
                            <w:tcBorders>
                              <w:bottom w:val="double" w:color="000000" w:sz="0" w:space="0"/>
                              <w:right w:val="single" w:color="000000" w:sz="4" w:space="0"/>
                            </w:tcBorders>
                            <w:shd w:val="clear" w:color="auto" w:fill="EDEBE0"/>
                            <w:noWrap w:val="0"/>
                            <w:vAlign w:val="top"/>
                          </w:tcPr>
                          <w:p w14:paraId="01951466">
                            <w:pPr>
                              <w:pStyle w:val="32"/>
                              <w:spacing w:before="163"/>
                              <w:ind w:left="258" w:right="143"/>
                              <w:jc w:val="center"/>
                              <w:rPr>
                                <w:sz w:val="21"/>
                              </w:rPr>
                            </w:pPr>
                            <w:r>
                              <w:rPr>
                                <w:sz w:val="21"/>
                              </w:rPr>
                              <w:t xml:space="preserve">序号 </w:t>
                            </w:r>
                          </w:p>
                        </w:tc>
                        <w:tc>
                          <w:tcPr>
                            <w:tcW w:w="1591" w:type="dxa"/>
                            <w:tcBorders>
                              <w:left w:val="single" w:color="000000" w:sz="4" w:space="0"/>
                              <w:bottom w:val="double" w:color="000000" w:sz="0" w:space="0"/>
                              <w:right w:val="single" w:color="000000" w:sz="4" w:space="0"/>
                            </w:tcBorders>
                            <w:shd w:val="clear" w:color="auto" w:fill="EDEBE0"/>
                            <w:noWrap w:val="0"/>
                            <w:vAlign w:val="top"/>
                          </w:tcPr>
                          <w:p w14:paraId="5B1F7127">
                            <w:pPr>
                              <w:pStyle w:val="32"/>
                              <w:spacing w:before="163"/>
                              <w:ind w:left="628" w:right="493"/>
                              <w:jc w:val="center"/>
                              <w:rPr>
                                <w:sz w:val="21"/>
                              </w:rPr>
                            </w:pPr>
                            <w:r>
                              <w:rPr>
                                <w:sz w:val="21"/>
                              </w:rPr>
                              <w:t xml:space="preserve">姓名 </w:t>
                            </w:r>
                          </w:p>
                        </w:tc>
                        <w:tc>
                          <w:tcPr>
                            <w:tcW w:w="1265" w:type="dxa"/>
                            <w:tcBorders>
                              <w:left w:val="single" w:color="000000" w:sz="4" w:space="0"/>
                              <w:bottom w:val="double" w:color="000000" w:sz="0" w:space="0"/>
                              <w:right w:val="single" w:color="000000" w:sz="4" w:space="0"/>
                            </w:tcBorders>
                            <w:shd w:val="clear" w:color="auto" w:fill="EDEBE0"/>
                            <w:noWrap w:val="0"/>
                            <w:vAlign w:val="top"/>
                          </w:tcPr>
                          <w:p w14:paraId="168572E4">
                            <w:pPr>
                              <w:pStyle w:val="32"/>
                              <w:spacing w:before="163"/>
                              <w:ind w:left="465" w:right="330"/>
                              <w:jc w:val="center"/>
                              <w:rPr>
                                <w:sz w:val="21"/>
                              </w:rPr>
                            </w:pPr>
                            <w:r>
                              <w:rPr>
                                <w:sz w:val="21"/>
                              </w:rPr>
                              <w:t xml:space="preserve">学历 </w:t>
                            </w:r>
                          </w:p>
                        </w:tc>
                        <w:tc>
                          <w:tcPr>
                            <w:tcW w:w="1617" w:type="dxa"/>
                            <w:tcBorders>
                              <w:left w:val="single" w:color="000000" w:sz="4" w:space="0"/>
                              <w:bottom w:val="double" w:color="000000" w:sz="0" w:space="0"/>
                              <w:right w:val="single" w:color="000000" w:sz="4" w:space="0"/>
                            </w:tcBorders>
                            <w:shd w:val="clear" w:color="auto" w:fill="EDEBE0"/>
                            <w:noWrap w:val="0"/>
                            <w:vAlign w:val="top"/>
                          </w:tcPr>
                          <w:p w14:paraId="3EF775DD">
                            <w:pPr>
                              <w:pStyle w:val="32"/>
                              <w:spacing w:before="163"/>
                              <w:ind w:left="640" w:right="506"/>
                              <w:jc w:val="center"/>
                              <w:rPr>
                                <w:sz w:val="21"/>
                              </w:rPr>
                            </w:pPr>
                            <w:r>
                              <w:rPr>
                                <w:sz w:val="21"/>
                              </w:rPr>
                              <w:t xml:space="preserve">职称 </w:t>
                            </w:r>
                          </w:p>
                        </w:tc>
                        <w:tc>
                          <w:tcPr>
                            <w:tcW w:w="1910" w:type="dxa"/>
                            <w:tcBorders>
                              <w:left w:val="single" w:color="000000" w:sz="4" w:space="0"/>
                              <w:bottom w:val="double" w:color="000000" w:sz="0" w:space="0"/>
                              <w:right w:val="single" w:color="000000" w:sz="4" w:space="0"/>
                            </w:tcBorders>
                            <w:shd w:val="clear" w:color="auto" w:fill="EDEBE0"/>
                            <w:noWrap w:val="0"/>
                            <w:vAlign w:val="top"/>
                          </w:tcPr>
                          <w:p w14:paraId="4557C6D0">
                            <w:pPr>
                              <w:pStyle w:val="32"/>
                              <w:spacing w:before="163"/>
                              <w:ind w:left="581" w:right="438"/>
                              <w:jc w:val="center"/>
                              <w:rPr>
                                <w:sz w:val="21"/>
                              </w:rPr>
                            </w:pPr>
                            <w:r>
                              <w:rPr>
                                <w:sz w:val="21"/>
                              </w:rPr>
                              <w:t xml:space="preserve">经验年限 </w:t>
                            </w:r>
                          </w:p>
                        </w:tc>
                        <w:tc>
                          <w:tcPr>
                            <w:tcW w:w="2585" w:type="dxa"/>
                            <w:tcBorders>
                              <w:left w:val="single" w:color="000000" w:sz="4" w:space="0"/>
                              <w:bottom w:val="double" w:color="000000" w:sz="0" w:space="0"/>
                            </w:tcBorders>
                            <w:shd w:val="clear" w:color="auto" w:fill="EDEBE0"/>
                            <w:noWrap w:val="0"/>
                            <w:vAlign w:val="top"/>
                          </w:tcPr>
                          <w:p w14:paraId="04196705">
                            <w:pPr>
                              <w:pStyle w:val="32"/>
                              <w:spacing w:before="26" w:line="270" w:lineRule="atLeast"/>
                              <w:ind w:left="1200" w:right="98" w:hanging="1050"/>
                              <w:rPr>
                                <w:sz w:val="21"/>
                              </w:rPr>
                            </w:pPr>
                            <w:r>
                              <w:rPr>
                                <w:sz w:val="21"/>
                              </w:rPr>
                              <w:t xml:space="preserve">拟担任职务或承担工作内容 </w:t>
                            </w:r>
                          </w:p>
                        </w:tc>
                      </w:tr>
                      <w:tr w14:paraId="58E808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881" w:type="dxa"/>
                            <w:tcBorders>
                              <w:top w:val="double" w:color="000000" w:sz="0" w:space="0"/>
                              <w:bottom w:val="single" w:color="000000" w:sz="4" w:space="0"/>
                              <w:right w:val="single" w:color="000000" w:sz="4" w:space="0"/>
                            </w:tcBorders>
                            <w:noWrap w:val="0"/>
                            <w:vAlign w:val="top"/>
                          </w:tcPr>
                          <w:p w14:paraId="4F7422DB">
                            <w:pPr>
                              <w:pStyle w:val="32"/>
                              <w:spacing w:before="9"/>
                              <w:rPr>
                                <w:sz w:val="21"/>
                              </w:rPr>
                            </w:pPr>
                          </w:p>
                          <w:p w14:paraId="46B0E650">
                            <w:pPr>
                              <w:pStyle w:val="32"/>
                              <w:spacing w:before="1"/>
                              <w:ind w:left="127"/>
                              <w:jc w:val="center"/>
                              <w:rPr>
                                <w:sz w:val="21"/>
                              </w:rPr>
                            </w:pPr>
                            <w:r>
                              <w:rPr>
                                <w:w w:val="100"/>
                                <w:sz w:val="21"/>
                              </w:rPr>
                              <w:t xml:space="preserve"> </w:t>
                            </w:r>
                          </w:p>
                        </w:tc>
                        <w:tc>
                          <w:tcPr>
                            <w:tcW w:w="1591" w:type="dxa"/>
                            <w:tcBorders>
                              <w:top w:val="double" w:color="000000" w:sz="0" w:space="0"/>
                              <w:left w:val="single" w:color="000000" w:sz="4" w:space="0"/>
                              <w:bottom w:val="single" w:color="000000" w:sz="4" w:space="0"/>
                              <w:right w:val="single" w:color="000000" w:sz="4" w:space="0"/>
                            </w:tcBorders>
                            <w:noWrap w:val="0"/>
                            <w:vAlign w:val="top"/>
                          </w:tcPr>
                          <w:p w14:paraId="27B05421">
                            <w:pPr>
                              <w:pStyle w:val="32"/>
                              <w:spacing w:before="9"/>
                              <w:rPr>
                                <w:sz w:val="21"/>
                              </w:rPr>
                            </w:pPr>
                          </w:p>
                          <w:p w14:paraId="78EEEFD7">
                            <w:pPr>
                              <w:pStyle w:val="32"/>
                              <w:spacing w:before="1"/>
                              <w:ind w:left="137"/>
                              <w:jc w:val="center"/>
                              <w:rPr>
                                <w:sz w:val="21"/>
                              </w:rPr>
                            </w:pPr>
                            <w:r>
                              <w:rPr>
                                <w:w w:val="100"/>
                                <w:sz w:val="21"/>
                              </w:rPr>
                              <w:t xml:space="preserve"> </w:t>
                            </w:r>
                          </w:p>
                        </w:tc>
                        <w:tc>
                          <w:tcPr>
                            <w:tcW w:w="1265" w:type="dxa"/>
                            <w:tcBorders>
                              <w:top w:val="double" w:color="000000" w:sz="0" w:space="0"/>
                              <w:left w:val="single" w:color="000000" w:sz="4" w:space="0"/>
                              <w:bottom w:val="single" w:color="000000" w:sz="4" w:space="0"/>
                              <w:right w:val="single" w:color="000000" w:sz="4" w:space="0"/>
                            </w:tcBorders>
                            <w:noWrap w:val="0"/>
                            <w:vAlign w:val="top"/>
                          </w:tcPr>
                          <w:p w14:paraId="22E998CF">
                            <w:pPr>
                              <w:pStyle w:val="32"/>
                              <w:spacing w:before="9"/>
                              <w:rPr>
                                <w:sz w:val="21"/>
                              </w:rPr>
                            </w:pPr>
                          </w:p>
                          <w:p w14:paraId="19E49111">
                            <w:pPr>
                              <w:pStyle w:val="32"/>
                              <w:spacing w:before="1"/>
                              <w:ind w:left="133"/>
                              <w:jc w:val="center"/>
                              <w:rPr>
                                <w:sz w:val="21"/>
                              </w:rPr>
                            </w:pPr>
                            <w:r>
                              <w:rPr>
                                <w:w w:val="100"/>
                                <w:sz w:val="21"/>
                              </w:rPr>
                              <w:t xml:space="preserve"> </w:t>
                            </w:r>
                          </w:p>
                        </w:tc>
                        <w:tc>
                          <w:tcPr>
                            <w:tcW w:w="1617" w:type="dxa"/>
                            <w:tcBorders>
                              <w:top w:val="double" w:color="000000" w:sz="0" w:space="0"/>
                              <w:left w:val="single" w:color="000000" w:sz="4" w:space="0"/>
                              <w:bottom w:val="single" w:color="000000" w:sz="4" w:space="0"/>
                              <w:right w:val="single" w:color="000000" w:sz="4" w:space="0"/>
                            </w:tcBorders>
                            <w:noWrap w:val="0"/>
                            <w:vAlign w:val="top"/>
                          </w:tcPr>
                          <w:p w14:paraId="256698DC">
                            <w:pPr>
                              <w:pStyle w:val="32"/>
                              <w:spacing w:before="9"/>
                              <w:rPr>
                                <w:sz w:val="21"/>
                              </w:rPr>
                            </w:pPr>
                          </w:p>
                          <w:p w14:paraId="2E5E37A8">
                            <w:pPr>
                              <w:pStyle w:val="32"/>
                              <w:spacing w:before="1"/>
                              <w:ind w:left="136"/>
                              <w:jc w:val="center"/>
                              <w:rPr>
                                <w:sz w:val="21"/>
                              </w:rPr>
                            </w:pPr>
                            <w:r>
                              <w:rPr>
                                <w:w w:val="100"/>
                                <w:sz w:val="21"/>
                              </w:rPr>
                              <w:t xml:space="preserve"> </w:t>
                            </w:r>
                          </w:p>
                        </w:tc>
                        <w:tc>
                          <w:tcPr>
                            <w:tcW w:w="1910" w:type="dxa"/>
                            <w:tcBorders>
                              <w:top w:val="double" w:color="000000" w:sz="0" w:space="0"/>
                              <w:left w:val="single" w:color="000000" w:sz="4" w:space="0"/>
                              <w:bottom w:val="single" w:color="000000" w:sz="4" w:space="0"/>
                              <w:right w:val="single" w:color="000000" w:sz="4" w:space="0"/>
                            </w:tcBorders>
                            <w:noWrap w:val="0"/>
                            <w:vAlign w:val="top"/>
                          </w:tcPr>
                          <w:p w14:paraId="5AC6FD62">
                            <w:pPr>
                              <w:pStyle w:val="32"/>
                              <w:spacing w:before="9"/>
                              <w:rPr>
                                <w:sz w:val="21"/>
                              </w:rPr>
                            </w:pPr>
                          </w:p>
                          <w:p w14:paraId="1136178E">
                            <w:pPr>
                              <w:pStyle w:val="32"/>
                              <w:spacing w:before="1"/>
                              <w:ind w:left="143"/>
                              <w:jc w:val="center"/>
                              <w:rPr>
                                <w:sz w:val="21"/>
                              </w:rPr>
                            </w:pPr>
                            <w:r>
                              <w:rPr>
                                <w:w w:val="100"/>
                                <w:sz w:val="21"/>
                              </w:rPr>
                              <w:t xml:space="preserve"> </w:t>
                            </w:r>
                          </w:p>
                        </w:tc>
                        <w:tc>
                          <w:tcPr>
                            <w:tcW w:w="2585" w:type="dxa"/>
                            <w:tcBorders>
                              <w:top w:val="double" w:color="000000" w:sz="0" w:space="0"/>
                              <w:left w:val="single" w:color="000000" w:sz="4" w:space="0"/>
                              <w:bottom w:val="single" w:color="000000" w:sz="4" w:space="0"/>
                            </w:tcBorders>
                            <w:noWrap w:val="0"/>
                            <w:vAlign w:val="top"/>
                          </w:tcPr>
                          <w:p w14:paraId="4B032F8B">
                            <w:pPr>
                              <w:pStyle w:val="32"/>
                              <w:spacing w:before="9"/>
                              <w:rPr>
                                <w:sz w:val="21"/>
                              </w:rPr>
                            </w:pPr>
                          </w:p>
                          <w:p w14:paraId="49F8F639">
                            <w:pPr>
                              <w:pStyle w:val="32"/>
                              <w:spacing w:before="1"/>
                              <w:ind w:right="1151"/>
                              <w:jc w:val="right"/>
                              <w:rPr>
                                <w:sz w:val="21"/>
                              </w:rPr>
                            </w:pPr>
                            <w:r>
                              <w:rPr>
                                <w:w w:val="100"/>
                                <w:sz w:val="21"/>
                              </w:rPr>
                              <w:t xml:space="preserve"> </w:t>
                            </w:r>
                          </w:p>
                        </w:tc>
                      </w:tr>
                      <w:tr w14:paraId="752B83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07962D29">
                            <w:pPr>
                              <w:pStyle w:val="32"/>
                              <w:spacing w:before="11"/>
                              <w:rPr>
                                <w:sz w:val="20"/>
                              </w:rPr>
                            </w:pPr>
                          </w:p>
                          <w:p w14:paraId="21637ED2">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4CEB9138">
                            <w:pPr>
                              <w:pStyle w:val="32"/>
                              <w:spacing w:before="11"/>
                              <w:rPr>
                                <w:sz w:val="20"/>
                              </w:rPr>
                            </w:pPr>
                          </w:p>
                          <w:p w14:paraId="40E66CFC">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64CBC3F5">
                            <w:pPr>
                              <w:pStyle w:val="32"/>
                              <w:spacing w:before="11"/>
                              <w:rPr>
                                <w:sz w:val="20"/>
                              </w:rPr>
                            </w:pPr>
                          </w:p>
                          <w:p w14:paraId="2E6FBC0F">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6F06005C">
                            <w:pPr>
                              <w:pStyle w:val="32"/>
                              <w:spacing w:before="11"/>
                              <w:rPr>
                                <w:sz w:val="20"/>
                              </w:rPr>
                            </w:pPr>
                          </w:p>
                          <w:p w14:paraId="5E3F23CB">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09770AFC">
                            <w:pPr>
                              <w:pStyle w:val="32"/>
                              <w:spacing w:before="11"/>
                              <w:rPr>
                                <w:sz w:val="20"/>
                              </w:rPr>
                            </w:pPr>
                          </w:p>
                          <w:p w14:paraId="5FF65BB0">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6AE69A25">
                            <w:pPr>
                              <w:pStyle w:val="32"/>
                              <w:spacing w:before="11"/>
                              <w:rPr>
                                <w:sz w:val="20"/>
                              </w:rPr>
                            </w:pPr>
                          </w:p>
                          <w:p w14:paraId="43567DED">
                            <w:pPr>
                              <w:pStyle w:val="32"/>
                              <w:ind w:right="1151"/>
                              <w:jc w:val="right"/>
                              <w:rPr>
                                <w:sz w:val="21"/>
                              </w:rPr>
                            </w:pPr>
                            <w:r>
                              <w:rPr>
                                <w:w w:val="100"/>
                                <w:sz w:val="21"/>
                              </w:rPr>
                              <w:t xml:space="preserve"> </w:t>
                            </w:r>
                          </w:p>
                        </w:tc>
                      </w:tr>
                      <w:tr w14:paraId="5B41C7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trPr>
                        <w:tc>
                          <w:tcPr>
                            <w:tcW w:w="881" w:type="dxa"/>
                            <w:tcBorders>
                              <w:top w:val="single" w:color="000000" w:sz="4" w:space="0"/>
                              <w:bottom w:val="single" w:color="000000" w:sz="4" w:space="0"/>
                              <w:right w:val="single" w:color="000000" w:sz="4" w:space="0"/>
                            </w:tcBorders>
                            <w:noWrap w:val="0"/>
                            <w:vAlign w:val="top"/>
                          </w:tcPr>
                          <w:p w14:paraId="55C712FD">
                            <w:pPr>
                              <w:pStyle w:val="32"/>
                              <w:spacing w:before="11"/>
                              <w:rPr>
                                <w:sz w:val="20"/>
                              </w:rPr>
                            </w:pPr>
                          </w:p>
                          <w:p w14:paraId="72C545F1">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59E3F2F5">
                            <w:pPr>
                              <w:pStyle w:val="32"/>
                              <w:spacing w:before="11"/>
                              <w:rPr>
                                <w:sz w:val="20"/>
                              </w:rPr>
                            </w:pPr>
                          </w:p>
                          <w:p w14:paraId="703A2CEC">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44137738">
                            <w:pPr>
                              <w:pStyle w:val="32"/>
                              <w:spacing w:before="11"/>
                              <w:rPr>
                                <w:sz w:val="20"/>
                              </w:rPr>
                            </w:pPr>
                          </w:p>
                          <w:p w14:paraId="64EE50FE">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517F3D4">
                            <w:pPr>
                              <w:pStyle w:val="32"/>
                              <w:spacing w:before="11"/>
                              <w:rPr>
                                <w:sz w:val="20"/>
                              </w:rPr>
                            </w:pPr>
                          </w:p>
                          <w:p w14:paraId="4705ABAD">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30522EBA">
                            <w:pPr>
                              <w:pStyle w:val="32"/>
                              <w:spacing w:before="11"/>
                              <w:rPr>
                                <w:sz w:val="20"/>
                              </w:rPr>
                            </w:pPr>
                          </w:p>
                          <w:p w14:paraId="5C425A2D">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0F32BE77">
                            <w:pPr>
                              <w:pStyle w:val="32"/>
                              <w:spacing w:before="11"/>
                              <w:rPr>
                                <w:sz w:val="20"/>
                              </w:rPr>
                            </w:pPr>
                          </w:p>
                          <w:p w14:paraId="67440800">
                            <w:pPr>
                              <w:pStyle w:val="32"/>
                              <w:ind w:right="1151"/>
                              <w:jc w:val="right"/>
                              <w:rPr>
                                <w:sz w:val="21"/>
                              </w:rPr>
                            </w:pPr>
                            <w:r>
                              <w:rPr>
                                <w:w w:val="100"/>
                                <w:sz w:val="21"/>
                              </w:rPr>
                              <w:t xml:space="preserve"> </w:t>
                            </w:r>
                          </w:p>
                        </w:tc>
                      </w:tr>
                      <w:tr w14:paraId="3D099B6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3248320F">
                            <w:pPr>
                              <w:pStyle w:val="32"/>
                              <w:spacing w:before="11"/>
                              <w:rPr>
                                <w:sz w:val="20"/>
                              </w:rPr>
                            </w:pPr>
                          </w:p>
                          <w:p w14:paraId="614EE05B">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11BB4E5F">
                            <w:pPr>
                              <w:pStyle w:val="32"/>
                              <w:spacing w:before="11"/>
                              <w:rPr>
                                <w:sz w:val="20"/>
                              </w:rPr>
                            </w:pPr>
                          </w:p>
                          <w:p w14:paraId="2014FD99">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6875127D">
                            <w:pPr>
                              <w:pStyle w:val="32"/>
                              <w:spacing w:before="11"/>
                              <w:rPr>
                                <w:sz w:val="20"/>
                              </w:rPr>
                            </w:pPr>
                          </w:p>
                          <w:p w14:paraId="5301A467">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2BE78ABF">
                            <w:pPr>
                              <w:pStyle w:val="32"/>
                              <w:spacing w:before="11"/>
                              <w:rPr>
                                <w:sz w:val="20"/>
                              </w:rPr>
                            </w:pPr>
                          </w:p>
                          <w:p w14:paraId="5FE8CAA4">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2A3A00D1">
                            <w:pPr>
                              <w:pStyle w:val="32"/>
                              <w:spacing w:before="11"/>
                              <w:rPr>
                                <w:sz w:val="20"/>
                              </w:rPr>
                            </w:pPr>
                          </w:p>
                          <w:p w14:paraId="438BC121">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54878E2B">
                            <w:pPr>
                              <w:pStyle w:val="32"/>
                              <w:spacing w:before="11"/>
                              <w:rPr>
                                <w:sz w:val="20"/>
                              </w:rPr>
                            </w:pPr>
                          </w:p>
                          <w:p w14:paraId="1AB911C6">
                            <w:pPr>
                              <w:pStyle w:val="32"/>
                              <w:ind w:right="1151"/>
                              <w:jc w:val="right"/>
                              <w:rPr>
                                <w:sz w:val="21"/>
                              </w:rPr>
                            </w:pPr>
                            <w:r>
                              <w:rPr>
                                <w:w w:val="100"/>
                                <w:sz w:val="21"/>
                              </w:rPr>
                              <w:t xml:space="preserve"> </w:t>
                            </w:r>
                          </w:p>
                        </w:tc>
                      </w:tr>
                      <w:tr w14:paraId="27C239E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52E0C8E5">
                            <w:pPr>
                              <w:pStyle w:val="32"/>
                              <w:spacing w:before="11"/>
                              <w:rPr>
                                <w:sz w:val="20"/>
                              </w:rPr>
                            </w:pPr>
                          </w:p>
                          <w:p w14:paraId="2D9504C4">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265372E4">
                            <w:pPr>
                              <w:pStyle w:val="32"/>
                              <w:spacing w:before="11"/>
                              <w:rPr>
                                <w:sz w:val="20"/>
                              </w:rPr>
                            </w:pPr>
                          </w:p>
                          <w:p w14:paraId="64C53CEA">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1B7DE112">
                            <w:pPr>
                              <w:pStyle w:val="32"/>
                              <w:spacing w:before="11"/>
                              <w:rPr>
                                <w:sz w:val="20"/>
                              </w:rPr>
                            </w:pPr>
                          </w:p>
                          <w:p w14:paraId="65AA696A">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6EF9686A">
                            <w:pPr>
                              <w:pStyle w:val="32"/>
                              <w:spacing w:before="11"/>
                              <w:rPr>
                                <w:sz w:val="20"/>
                              </w:rPr>
                            </w:pPr>
                          </w:p>
                          <w:p w14:paraId="3914E36F">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57CDDED4">
                            <w:pPr>
                              <w:pStyle w:val="32"/>
                              <w:spacing w:before="11"/>
                              <w:rPr>
                                <w:sz w:val="20"/>
                              </w:rPr>
                            </w:pPr>
                          </w:p>
                          <w:p w14:paraId="67733CE1">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4104EC45">
                            <w:pPr>
                              <w:pStyle w:val="32"/>
                              <w:spacing w:before="11"/>
                              <w:rPr>
                                <w:sz w:val="20"/>
                              </w:rPr>
                            </w:pPr>
                          </w:p>
                          <w:p w14:paraId="353A30F2">
                            <w:pPr>
                              <w:pStyle w:val="32"/>
                              <w:ind w:right="1151"/>
                              <w:jc w:val="right"/>
                              <w:rPr>
                                <w:sz w:val="21"/>
                              </w:rPr>
                            </w:pPr>
                            <w:r>
                              <w:rPr>
                                <w:w w:val="100"/>
                                <w:sz w:val="21"/>
                              </w:rPr>
                              <w:t xml:space="preserve"> </w:t>
                            </w:r>
                          </w:p>
                        </w:tc>
                      </w:tr>
                      <w:tr w14:paraId="36C7C1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7AB1C19D">
                            <w:pPr>
                              <w:pStyle w:val="32"/>
                              <w:spacing w:before="11"/>
                              <w:rPr>
                                <w:sz w:val="20"/>
                              </w:rPr>
                            </w:pPr>
                          </w:p>
                          <w:p w14:paraId="5378E01C">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79C79DAB">
                            <w:pPr>
                              <w:pStyle w:val="32"/>
                              <w:spacing w:before="11"/>
                              <w:rPr>
                                <w:sz w:val="20"/>
                              </w:rPr>
                            </w:pPr>
                          </w:p>
                          <w:p w14:paraId="75DBB9E1">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33CB6EC2">
                            <w:pPr>
                              <w:pStyle w:val="32"/>
                              <w:spacing w:before="11"/>
                              <w:rPr>
                                <w:sz w:val="20"/>
                              </w:rPr>
                            </w:pPr>
                          </w:p>
                          <w:p w14:paraId="71BF2A58">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526D5CBE">
                            <w:pPr>
                              <w:pStyle w:val="32"/>
                              <w:spacing w:before="11"/>
                              <w:rPr>
                                <w:sz w:val="20"/>
                              </w:rPr>
                            </w:pPr>
                          </w:p>
                          <w:p w14:paraId="040FC1D6">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66DF6D33">
                            <w:pPr>
                              <w:pStyle w:val="32"/>
                              <w:spacing w:before="11"/>
                              <w:rPr>
                                <w:sz w:val="20"/>
                              </w:rPr>
                            </w:pPr>
                          </w:p>
                          <w:p w14:paraId="0370B073">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6B2B752C">
                            <w:pPr>
                              <w:pStyle w:val="32"/>
                              <w:spacing w:before="11"/>
                              <w:rPr>
                                <w:sz w:val="20"/>
                              </w:rPr>
                            </w:pPr>
                          </w:p>
                          <w:p w14:paraId="7848BD31">
                            <w:pPr>
                              <w:pStyle w:val="32"/>
                              <w:ind w:right="1151"/>
                              <w:jc w:val="right"/>
                              <w:rPr>
                                <w:sz w:val="21"/>
                              </w:rPr>
                            </w:pPr>
                            <w:r>
                              <w:rPr>
                                <w:w w:val="100"/>
                                <w:sz w:val="21"/>
                              </w:rPr>
                              <w:t xml:space="preserve"> </w:t>
                            </w:r>
                          </w:p>
                        </w:tc>
                      </w:tr>
                      <w:tr w14:paraId="6254029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bottom w:val="single" w:color="000000" w:sz="4" w:space="0"/>
                              <w:right w:val="single" w:color="000000" w:sz="4" w:space="0"/>
                            </w:tcBorders>
                            <w:noWrap w:val="0"/>
                            <w:vAlign w:val="top"/>
                          </w:tcPr>
                          <w:p w14:paraId="1DB97D3E">
                            <w:pPr>
                              <w:pStyle w:val="32"/>
                              <w:spacing w:before="11"/>
                              <w:rPr>
                                <w:sz w:val="20"/>
                              </w:rPr>
                            </w:pPr>
                          </w:p>
                          <w:p w14:paraId="254820E2">
                            <w:pPr>
                              <w:pStyle w:val="32"/>
                              <w:ind w:left="127"/>
                              <w:jc w:val="center"/>
                              <w:rPr>
                                <w:sz w:val="21"/>
                              </w:rPr>
                            </w:pPr>
                            <w:r>
                              <w:rPr>
                                <w:w w:val="100"/>
                                <w:sz w:val="21"/>
                              </w:rPr>
                              <w:t xml:space="preserve"> </w:t>
                            </w:r>
                          </w:p>
                        </w:tc>
                        <w:tc>
                          <w:tcPr>
                            <w:tcW w:w="1591" w:type="dxa"/>
                            <w:tcBorders>
                              <w:top w:val="single" w:color="000000" w:sz="4" w:space="0"/>
                              <w:left w:val="single" w:color="000000" w:sz="4" w:space="0"/>
                              <w:bottom w:val="single" w:color="000000" w:sz="4" w:space="0"/>
                              <w:right w:val="single" w:color="000000" w:sz="4" w:space="0"/>
                            </w:tcBorders>
                            <w:noWrap w:val="0"/>
                            <w:vAlign w:val="top"/>
                          </w:tcPr>
                          <w:p w14:paraId="3C7FF339">
                            <w:pPr>
                              <w:pStyle w:val="32"/>
                              <w:spacing w:before="11"/>
                              <w:rPr>
                                <w:sz w:val="20"/>
                              </w:rPr>
                            </w:pPr>
                          </w:p>
                          <w:p w14:paraId="142521A8">
                            <w:pPr>
                              <w:pStyle w:val="32"/>
                              <w:ind w:left="137"/>
                              <w:jc w:val="center"/>
                              <w:rPr>
                                <w:sz w:val="21"/>
                              </w:rPr>
                            </w:pPr>
                            <w:r>
                              <w:rPr>
                                <w:w w:val="100"/>
                                <w:sz w:val="21"/>
                              </w:rPr>
                              <w:t xml:space="preserve"> </w:t>
                            </w:r>
                          </w:p>
                        </w:tc>
                        <w:tc>
                          <w:tcPr>
                            <w:tcW w:w="1265" w:type="dxa"/>
                            <w:tcBorders>
                              <w:top w:val="single" w:color="000000" w:sz="4" w:space="0"/>
                              <w:left w:val="single" w:color="000000" w:sz="4" w:space="0"/>
                              <w:bottom w:val="single" w:color="000000" w:sz="4" w:space="0"/>
                              <w:right w:val="single" w:color="000000" w:sz="4" w:space="0"/>
                            </w:tcBorders>
                            <w:noWrap w:val="0"/>
                            <w:vAlign w:val="top"/>
                          </w:tcPr>
                          <w:p w14:paraId="2CBDBF1E">
                            <w:pPr>
                              <w:pStyle w:val="32"/>
                              <w:spacing w:before="11"/>
                              <w:rPr>
                                <w:sz w:val="20"/>
                              </w:rPr>
                            </w:pPr>
                          </w:p>
                          <w:p w14:paraId="4ACC8247">
                            <w:pPr>
                              <w:pStyle w:val="32"/>
                              <w:ind w:left="133"/>
                              <w:jc w:val="center"/>
                              <w:rPr>
                                <w:sz w:val="21"/>
                              </w:rPr>
                            </w:pPr>
                            <w:r>
                              <w:rPr>
                                <w:w w:val="100"/>
                                <w:sz w:val="21"/>
                              </w:rPr>
                              <w:t xml:space="preserve"> </w:t>
                            </w:r>
                          </w:p>
                        </w:tc>
                        <w:tc>
                          <w:tcPr>
                            <w:tcW w:w="1617" w:type="dxa"/>
                            <w:tcBorders>
                              <w:top w:val="single" w:color="000000" w:sz="4" w:space="0"/>
                              <w:left w:val="single" w:color="000000" w:sz="4" w:space="0"/>
                              <w:bottom w:val="single" w:color="000000" w:sz="4" w:space="0"/>
                              <w:right w:val="single" w:color="000000" w:sz="4" w:space="0"/>
                            </w:tcBorders>
                            <w:noWrap w:val="0"/>
                            <w:vAlign w:val="top"/>
                          </w:tcPr>
                          <w:p w14:paraId="4C606BCF">
                            <w:pPr>
                              <w:pStyle w:val="32"/>
                              <w:spacing w:before="11"/>
                              <w:rPr>
                                <w:sz w:val="20"/>
                              </w:rPr>
                            </w:pPr>
                          </w:p>
                          <w:p w14:paraId="1AF00F89">
                            <w:pPr>
                              <w:pStyle w:val="32"/>
                              <w:ind w:left="136"/>
                              <w:jc w:val="center"/>
                              <w:rPr>
                                <w:sz w:val="21"/>
                              </w:rPr>
                            </w:pPr>
                            <w:r>
                              <w:rPr>
                                <w:w w:val="100"/>
                                <w:sz w:val="21"/>
                              </w:rPr>
                              <w:t xml:space="preserve"> </w:t>
                            </w:r>
                          </w:p>
                        </w:tc>
                        <w:tc>
                          <w:tcPr>
                            <w:tcW w:w="1910" w:type="dxa"/>
                            <w:tcBorders>
                              <w:top w:val="single" w:color="000000" w:sz="4" w:space="0"/>
                              <w:left w:val="single" w:color="000000" w:sz="4" w:space="0"/>
                              <w:bottom w:val="single" w:color="000000" w:sz="4" w:space="0"/>
                              <w:right w:val="single" w:color="000000" w:sz="4" w:space="0"/>
                            </w:tcBorders>
                            <w:noWrap w:val="0"/>
                            <w:vAlign w:val="top"/>
                          </w:tcPr>
                          <w:p w14:paraId="28F1279E">
                            <w:pPr>
                              <w:pStyle w:val="32"/>
                              <w:spacing w:before="11"/>
                              <w:rPr>
                                <w:sz w:val="20"/>
                              </w:rPr>
                            </w:pPr>
                          </w:p>
                          <w:p w14:paraId="2424F270">
                            <w:pPr>
                              <w:pStyle w:val="32"/>
                              <w:ind w:left="143"/>
                              <w:jc w:val="center"/>
                              <w:rPr>
                                <w:sz w:val="21"/>
                              </w:rPr>
                            </w:pPr>
                            <w:r>
                              <w:rPr>
                                <w:w w:val="100"/>
                                <w:sz w:val="21"/>
                              </w:rPr>
                              <w:t xml:space="preserve"> </w:t>
                            </w:r>
                          </w:p>
                        </w:tc>
                        <w:tc>
                          <w:tcPr>
                            <w:tcW w:w="2585" w:type="dxa"/>
                            <w:tcBorders>
                              <w:top w:val="single" w:color="000000" w:sz="4" w:space="0"/>
                              <w:left w:val="single" w:color="000000" w:sz="4" w:space="0"/>
                              <w:bottom w:val="single" w:color="000000" w:sz="4" w:space="0"/>
                            </w:tcBorders>
                            <w:noWrap w:val="0"/>
                            <w:vAlign w:val="top"/>
                          </w:tcPr>
                          <w:p w14:paraId="22E86664">
                            <w:pPr>
                              <w:pStyle w:val="32"/>
                              <w:spacing w:before="11"/>
                              <w:rPr>
                                <w:sz w:val="20"/>
                              </w:rPr>
                            </w:pPr>
                          </w:p>
                          <w:p w14:paraId="155F1CDB">
                            <w:pPr>
                              <w:pStyle w:val="32"/>
                              <w:ind w:right="1151"/>
                              <w:jc w:val="right"/>
                              <w:rPr>
                                <w:sz w:val="21"/>
                              </w:rPr>
                            </w:pPr>
                            <w:r>
                              <w:rPr>
                                <w:w w:val="100"/>
                                <w:sz w:val="21"/>
                              </w:rPr>
                              <w:t xml:space="preserve"> </w:t>
                            </w:r>
                          </w:p>
                        </w:tc>
                      </w:tr>
                      <w:tr w14:paraId="400282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881" w:type="dxa"/>
                            <w:tcBorders>
                              <w:top w:val="single" w:color="000000" w:sz="4" w:space="0"/>
                              <w:right w:val="single" w:color="000000" w:sz="4" w:space="0"/>
                            </w:tcBorders>
                            <w:noWrap w:val="0"/>
                            <w:vAlign w:val="top"/>
                          </w:tcPr>
                          <w:p w14:paraId="1DA74C9C">
                            <w:pPr>
                              <w:pStyle w:val="32"/>
                              <w:spacing w:before="11"/>
                              <w:rPr>
                                <w:sz w:val="20"/>
                              </w:rPr>
                            </w:pPr>
                          </w:p>
                          <w:p w14:paraId="6175EB46">
                            <w:pPr>
                              <w:pStyle w:val="32"/>
                              <w:ind w:left="127"/>
                              <w:jc w:val="center"/>
                              <w:rPr>
                                <w:sz w:val="21"/>
                              </w:rPr>
                            </w:pPr>
                            <w:r>
                              <w:rPr>
                                <w:w w:val="100"/>
                                <w:sz w:val="21"/>
                              </w:rPr>
                              <w:t xml:space="preserve"> </w:t>
                            </w:r>
                          </w:p>
                        </w:tc>
                        <w:tc>
                          <w:tcPr>
                            <w:tcW w:w="1591" w:type="dxa"/>
                            <w:tcBorders>
                              <w:top w:val="single" w:color="000000" w:sz="4" w:space="0"/>
                              <w:left w:val="single" w:color="000000" w:sz="4" w:space="0"/>
                              <w:right w:val="single" w:color="000000" w:sz="4" w:space="0"/>
                            </w:tcBorders>
                            <w:noWrap w:val="0"/>
                            <w:vAlign w:val="top"/>
                          </w:tcPr>
                          <w:p w14:paraId="2562274C">
                            <w:pPr>
                              <w:pStyle w:val="32"/>
                              <w:spacing w:before="11"/>
                              <w:rPr>
                                <w:sz w:val="20"/>
                              </w:rPr>
                            </w:pPr>
                          </w:p>
                          <w:p w14:paraId="6937079C">
                            <w:pPr>
                              <w:pStyle w:val="32"/>
                              <w:ind w:left="137"/>
                              <w:jc w:val="center"/>
                              <w:rPr>
                                <w:sz w:val="21"/>
                              </w:rPr>
                            </w:pPr>
                            <w:r>
                              <w:rPr>
                                <w:w w:val="100"/>
                                <w:sz w:val="21"/>
                              </w:rPr>
                              <w:t xml:space="preserve"> </w:t>
                            </w:r>
                          </w:p>
                        </w:tc>
                        <w:tc>
                          <w:tcPr>
                            <w:tcW w:w="1265" w:type="dxa"/>
                            <w:tcBorders>
                              <w:top w:val="single" w:color="000000" w:sz="4" w:space="0"/>
                              <w:left w:val="single" w:color="000000" w:sz="4" w:space="0"/>
                              <w:right w:val="single" w:color="000000" w:sz="4" w:space="0"/>
                            </w:tcBorders>
                            <w:noWrap w:val="0"/>
                            <w:vAlign w:val="top"/>
                          </w:tcPr>
                          <w:p w14:paraId="6BC246D2">
                            <w:pPr>
                              <w:pStyle w:val="32"/>
                              <w:spacing w:before="11"/>
                              <w:rPr>
                                <w:sz w:val="20"/>
                              </w:rPr>
                            </w:pPr>
                          </w:p>
                          <w:p w14:paraId="7B57B3EB">
                            <w:pPr>
                              <w:pStyle w:val="32"/>
                              <w:ind w:left="133"/>
                              <w:jc w:val="center"/>
                              <w:rPr>
                                <w:sz w:val="21"/>
                              </w:rPr>
                            </w:pPr>
                            <w:r>
                              <w:rPr>
                                <w:w w:val="100"/>
                                <w:sz w:val="21"/>
                              </w:rPr>
                              <w:t xml:space="preserve"> </w:t>
                            </w:r>
                          </w:p>
                        </w:tc>
                        <w:tc>
                          <w:tcPr>
                            <w:tcW w:w="1617" w:type="dxa"/>
                            <w:tcBorders>
                              <w:top w:val="single" w:color="000000" w:sz="4" w:space="0"/>
                              <w:left w:val="single" w:color="000000" w:sz="4" w:space="0"/>
                              <w:right w:val="single" w:color="000000" w:sz="4" w:space="0"/>
                            </w:tcBorders>
                            <w:noWrap w:val="0"/>
                            <w:vAlign w:val="top"/>
                          </w:tcPr>
                          <w:p w14:paraId="1CC8B8EB">
                            <w:pPr>
                              <w:pStyle w:val="32"/>
                              <w:spacing w:before="11"/>
                              <w:rPr>
                                <w:sz w:val="20"/>
                              </w:rPr>
                            </w:pPr>
                          </w:p>
                          <w:p w14:paraId="02E2798F">
                            <w:pPr>
                              <w:pStyle w:val="32"/>
                              <w:ind w:left="136"/>
                              <w:jc w:val="center"/>
                              <w:rPr>
                                <w:sz w:val="21"/>
                              </w:rPr>
                            </w:pPr>
                            <w:r>
                              <w:rPr>
                                <w:w w:val="100"/>
                                <w:sz w:val="21"/>
                              </w:rPr>
                              <w:t xml:space="preserve"> </w:t>
                            </w:r>
                          </w:p>
                        </w:tc>
                        <w:tc>
                          <w:tcPr>
                            <w:tcW w:w="1910" w:type="dxa"/>
                            <w:tcBorders>
                              <w:top w:val="single" w:color="000000" w:sz="4" w:space="0"/>
                              <w:left w:val="single" w:color="000000" w:sz="4" w:space="0"/>
                              <w:right w:val="single" w:color="000000" w:sz="4" w:space="0"/>
                            </w:tcBorders>
                            <w:noWrap w:val="0"/>
                            <w:vAlign w:val="top"/>
                          </w:tcPr>
                          <w:p w14:paraId="6988C12E">
                            <w:pPr>
                              <w:pStyle w:val="32"/>
                              <w:spacing w:before="11"/>
                              <w:rPr>
                                <w:sz w:val="20"/>
                              </w:rPr>
                            </w:pPr>
                          </w:p>
                          <w:p w14:paraId="32F90409">
                            <w:pPr>
                              <w:pStyle w:val="32"/>
                              <w:ind w:left="143"/>
                              <w:jc w:val="center"/>
                              <w:rPr>
                                <w:sz w:val="21"/>
                              </w:rPr>
                            </w:pPr>
                            <w:r>
                              <w:rPr>
                                <w:w w:val="100"/>
                                <w:sz w:val="21"/>
                              </w:rPr>
                              <w:t xml:space="preserve"> </w:t>
                            </w:r>
                          </w:p>
                        </w:tc>
                        <w:tc>
                          <w:tcPr>
                            <w:tcW w:w="2585" w:type="dxa"/>
                            <w:tcBorders>
                              <w:top w:val="single" w:color="000000" w:sz="4" w:space="0"/>
                              <w:left w:val="single" w:color="000000" w:sz="4" w:space="0"/>
                            </w:tcBorders>
                            <w:noWrap w:val="0"/>
                            <w:vAlign w:val="top"/>
                          </w:tcPr>
                          <w:p w14:paraId="0F9DD587">
                            <w:pPr>
                              <w:pStyle w:val="32"/>
                              <w:spacing w:before="11"/>
                              <w:rPr>
                                <w:sz w:val="20"/>
                              </w:rPr>
                            </w:pPr>
                          </w:p>
                          <w:p w14:paraId="5B6A077E">
                            <w:pPr>
                              <w:pStyle w:val="32"/>
                              <w:ind w:right="1151"/>
                              <w:jc w:val="right"/>
                              <w:rPr>
                                <w:sz w:val="21"/>
                              </w:rPr>
                            </w:pPr>
                            <w:r>
                              <w:rPr>
                                <w:w w:val="100"/>
                                <w:sz w:val="21"/>
                              </w:rPr>
                              <w:t xml:space="preserve"> </w:t>
                            </w:r>
                          </w:p>
                        </w:tc>
                      </w:tr>
                    </w:tbl>
                    <w:p w14:paraId="2875D8EF">
                      <w:pPr>
                        <w:pStyle w:val="10"/>
                      </w:pPr>
                    </w:p>
                  </w:txbxContent>
                </v:textbox>
              </v:shape>
            </w:pict>
          </mc:Fallback>
        </mc:AlternateContent>
      </w:r>
      <w:r>
        <w:rPr>
          <w:rFonts w:hint="eastAsia" w:ascii="宋体" w:hAnsi="宋体" w:eastAsia="宋体" w:cs="宋体"/>
          <w:color w:val="auto"/>
          <w:sz w:val="24"/>
          <w:szCs w:val="24"/>
          <w:highlight w:val="none"/>
        </w:rPr>
        <w:t>采购项目名称：</w:t>
      </w:r>
    </w:p>
    <w:p w14:paraId="5EC39E9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 xml:space="preserve">  </w:t>
      </w:r>
    </w:p>
    <w:p w14:paraId="4877B01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7D3A95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3BA2C3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5C6F7C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07B5AC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ABE031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FB4745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BD7AA7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0941EB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785E35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DB81CF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CF571C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904167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201E9D1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3607C3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5CA2884">
      <w:pPr>
        <w:rPr>
          <w:rFonts w:hint="eastAsia"/>
          <w:color w:val="auto"/>
          <w:highlight w:val="none"/>
          <w:lang w:val="en-US" w:eastAsia="zh-CN"/>
        </w:rPr>
      </w:pPr>
      <w:r>
        <w:rPr>
          <w:rFonts w:hint="eastAsia"/>
          <w:color w:val="auto"/>
          <w:highlight w:val="none"/>
          <w:lang w:val="en-US" w:eastAsia="zh-CN"/>
        </w:rPr>
        <w:t xml:space="preserve">备注：根据评审表的要求提交相应证明资料复印件加盖企业公章：身份证、资格证（注册建造师执业资格证书）、安全生产考核合格证、社保证明（需提供近3个月，扣除发布采购公告当月往前顺推3个月）、拟派项目负责人没有在其他在建项目中担任项目负责人的书面承诺。 </w:t>
      </w:r>
    </w:p>
    <w:p w14:paraId="28310EC4">
      <w:pPr>
        <w:rPr>
          <w:rFonts w:hint="eastAsia"/>
          <w:color w:val="auto"/>
          <w:highlight w:val="none"/>
          <w:lang w:val="en-US" w:eastAsia="zh-CN"/>
        </w:rPr>
      </w:pPr>
      <w:r>
        <w:rPr>
          <w:rFonts w:hint="eastAsia"/>
          <w:color w:val="auto"/>
          <w:highlight w:val="none"/>
          <w:lang w:val="en-US" w:eastAsia="zh-CN"/>
        </w:rPr>
        <w:t>技术负责人、五大员相关资料。</w:t>
      </w:r>
    </w:p>
    <w:p w14:paraId="73C8DD02">
      <w:pPr>
        <w:rPr>
          <w:rFonts w:hint="eastAsia"/>
          <w:color w:val="auto"/>
          <w:highlight w:val="none"/>
          <w:lang w:val="en-US" w:eastAsia="zh-CN"/>
        </w:rPr>
      </w:pPr>
    </w:p>
    <w:p w14:paraId="69C5B92B">
      <w:pPr>
        <w:rPr>
          <w:rFonts w:hint="eastAsia"/>
          <w:color w:val="auto"/>
          <w:highlight w:val="none"/>
          <w:lang w:val="en-US" w:eastAsia="zh-CN"/>
        </w:rPr>
      </w:pPr>
    </w:p>
    <w:p w14:paraId="6C5B8215">
      <w:pPr>
        <w:rPr>
          <w:rFonts w:hint="eastAsia"/>
          <w:color w:val="auto"/>
          <w:highlight w:val="none"/>
          <w:lang w:val="en-US" w:eastAsia="zh-CN"/>
        </w:rPr>
      </w:pPr>
      <w:r>
        <w:rPr>
          <w:rFonts w:hint="eastAsia"/>
          <w:color w:val="auto"/>
          <w:highlight w:val="none"/>
          <w:lang w:val="en-US" w:eastAsia="zh-CN"/>
        </w:rPr>
        <w:t xml:space="preserve">供应商名称（单位盖公章）：                              </w:t>
      </w:r>
    </w:p>
    <w:p w14:paraId="243E8F59">
      <w:pPr>
        <w:rPr>
          <w:rFonts w:hint="eastAsia"/>
          <w:color w:val="auto"/>
          <w:highlight w:val="none"/>
          <w:lang w:val="en-US" w:eastAsia="zh-CN"/>
        </w:rPr>
      </w:pPr>
      <w:r>
        <w:rPr>
          <w:rFonts w:hint="eastAsia"/>
          <w:color w:val="auto"/>
          <w:highlight w:val="none"/>
          <w:lang w:val="en-US" w:eastAsia="zh-CN"/>
        </w:rPr>
        <w:t xml:space="preserve"> </w:t>
      </w:r>
    </w:p>
    <w:p w14:paraId="1EF64115">
      <w:pPr>
        <w:rPr>
          <w:rFonts w:hint="eastAsia" w:ascii="宋体" w:hAnsi="宋体" w:eastAsia="宋体" w:cs="宋体"/>
          <w:color w:val="auto"/>
          <w:sz w:val="24"/>
          <w:szCs w:val="24"/>
          <w:highlight w:val="none"/>
        </w:rPr>
      </w:pPr>
      <w:r>
        <w:rPr>
          <w:rFonts w:hint="eastAsia"/>
          <w:color w:val="auto"/>
          <w:highlight w:val="none"/>
          <w:lang w:val="en-US" w:eastAsia="zh-CN"/>
        </w:rPr>
        <w:t xml:space="preserve">日期:   </w:t>
      </w:r>
      <w:r>
        <w:rPr>
          <w:rFonts w:hint="eastAsia" w:ascii="宋体" w:hAnsi="宋体" w:eastAsia="宋体" w:cs="宋体"/>
          <w:color w:val="auto"/>
          <w:sz w:val="24"/>
          <w:szCs w:val="24"/>
          <w:highlight w:val="none"/>
        </w:rPr>
        <w:t xml:space="preserve">     </w:t>
      </w:r>
    </w:p>
    <w:p w14:paraId="65BAE726">
      <w:pPr>
        <w:rPr>
          <w:rFonts w:hint="eastAsia" w:ascii="宋体" w:hAnsi="宋体" w:eastAsia="宋体" w:cs="宋体"/>
          <w:b/>
          <w:bCs/>
          <w:color w:val="auto"/>
          <w:sz w:val="30"/>
          <w:szCs w:val="30"/>
          <w:highlight w:val="none"/>
          <w:lang w:val="en-US" w:eastAsia="zh-CN"/>
        </w:rPr>
      </w:pPr>
    </w:p>
    <w:p w14:paraId="0582A9F7">
      <w:pPr>
        <w:pStyle w:val="9"/>
        <w:rPr>
          <w:rFonts w:hint="eastAsia"/>
          <w:color w:val="auto"/>
          <w:highlight w:val="none"/>
          <w:lang w:val="en-US" w:eastAsia="zh-CN"/>
        </w:rPr>
      </w:pPr>
    </w:p>
    <w:p w14:paraId="4186F80A">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b/>
          <w:bCs/>
          <w:color w:val="auto"/>
          <w:sz w:val="30"/>
          <w:szCs w:val="30"/>
          <w:highlight w:val="none"/>
          <w:lang w:val="en-US" w:eastAsia="zh-CN"/>
        </w:rPr>
      </w:pPr>
    </w:p>
    <w:p w14:paraId="4DEE5BC5">
      <w:pPr>
        <w:pStyle w:val="9"/>
        <w:rPr>
          <w:rFonts w:hint="eastAsia"/>
          <w:color w:val="auto"/>
          <w:highlight w:val="none"/>
          <w:lang w:val="en-US" w:eastAsia="zh-CN"/>
        </w:rPr>
      </w:pPr>
    </w:p>
    <w:p w14:paraId="74CDBC82">
      <w:pPr>
        <w:rPr>
          <w:rFonts w:hint="eastAsia"/>
          <w:lang w:val="en-US" w:eastAsia="zh-CN"/>
        </w:rPr>
      </w:pPr>
    </w:p>
    <w:p w14:paraId="0783266A">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b/>
          <w:bCs/>
          <w:color w:val="auto"/>
          <w:sz w:val="30"/>
          <w:szCs w:val="30"/>
          <w:highlight w:val="none"/>
          <w:lang w:val="en-US" w:eastAsia="zh-CN"/>
        </w:rPr>
      </w:pPr>
      <w:r>
        <w:rPr>
          <w:rFonts w:hint="eastAsia" w:cs="宋体"/>
          <w:b/>
          <w:bCs/>
          <w:color w:val="auto"/>
          <w:sz w:val="30"/>
          <w:szCs w:val="30"/>
          <w:highlight w:val="none"/>
          <w:lang w:val="en-US" w:eastAsia="zh-CN"/>
        </w:rPr>
        <w:t>2</w:t>
      </w:r>
      <w:r>
        <w:rPr>
          <w:rFonts w:hint="eastAsia" w:ascii="宋体" w:hAnsi="宋体" w:eastAsia="宋体" w:cs="宋体"/>
          <w:b/>
          <w:bCs/>
          <w:color w:val="auto"/>
          <w:sz w:val="30"/>
          <w:szCs w:val="30"/>
          <w:highlight w:val="none"/>
          <w:lang w:val="en-US" w:eastAsia="zh-CN"/>
        </w:rPr>
        <w:t xml:space="preserve">.4 企业管理体系认证 </w:t>
      </w:r>
    </w:p>
    <w:p w14:paraId="286BEE6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p>
    <w:p w14:paraId="1DB9BF1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注：根据</w:t>
      </w:r>
      <w:r>
        <w:rPr>
          <w:rFonts w:hint="eastAsia"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须知第</w:t>
      </w:r>
      <w:r>
        <w:rPr>
          <w:rFonts w:hint="eastAsia" w:cs="宋体"/>
          <w:color w:val="auto"/>
          <w:sz w:val="24"/>
          <w:szCs w:val="24"/>
          <w:highlight w:val="none"/>
          <w:lang w:val="en-US" w:eastAsia="zh-CN"/>
        </w:rPr>
        <w:t>七部分</w:t>
      </w:r>
      <w:r>
        <w:rPr>
          <w:rFonts w:hint="eastAsia" w:ascii="宋体" w:hAnsi="宋体" w:eastAsia="宋体" w:cs="宋体"/>
          <w:color w:val="auto"/>
          <w:sz w:val="24"/>
          <w:szCs w:val="24"/>
          <w:highlight w:val="none"/>
          <w:lang w:val="en-US" w:eastAsia="zh-CN"/>
        </w:rPr>
        <w:t>评审</w:t>
      </w:r>
      <w:r>
        <w:rPr>
          <w:rFonts w:hint="eastAsia" w:cs="宋体"/>
          <w:color w:val="auto"/>
          <w:sz w:val="24"/>
          <w:szCs w:val="24"/>
          <w:highlight w:val="none"/>
          <w:lang w:val="en-US" w:eastAsia="zh-CN"/>
        </w:rPr>
        <w:t>标准</w:t>
      </w:r>
      <w:r>
        <w:rPr>
          <w:rFonts w:hint="eastAsia" w:ascii="宋体" w:hAnsi="宋体" w:eastAsia="宋体" w:cs="宋体"/>
          <w:color w:val="auto"/>
          <w:sz w:val="24"/>
          <w:szCs w:val="24"/>
          <w:highlight w:val="none"/>
          <w:lang w:val="en-US" w:eastAsia="zh-CN"/>
        </w:rPr>
        <w:t>“商务部</w:t>
      </w:r>
      <w:r>
        <w:rPr>
          <w:rFonts w:hint="eastAsia" w:cs="宋体"/>
          <w:color w:val="auto"/>
          <w:sz w:val="24"/>
          <w:szCs w:val="24"/>
          <w:highlight w:val="none"/>
          <w:lang w:val="en-US" w:eastAsia="zh-CN"/>
        </w:rPr>
        <w:t>分</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评审内容</w:t>
      </w:r>
      <w:r>
        <w:rPr>
          <w:rFonts w:hint="eastAsia" w:ascii="宋体" w:hAnsi="宋体" w:eastAsia="宋体" w:cs="宋体"/>
          <w:color w:val="auto"/>
          <w:sz w:val="24"/>
          <w:szCs w:val="24"/>
          <w:highlight w:val="none"/>
          <w:lang w:val="en-US" w:eastAsia="zh-CN"/>
        </w:rPr>
        <w:t xml:space="preserve">的要求编写及提供相关资料，复印件均要求加盖公章。 </w:t>
      </w:r>
    </w:p>
    <w:p w14:paraId="3FE0BA8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p>
    <w:p w14:paraId="7C71FC6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p>
    <w:p w14:paraId="5B218C8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p>
    <w:p w14:paraId="58F8C6D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p>
    <w:p w14:paraId="6B67EFE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供应商法定代表人（或法定代表人授权代表）签名或签章： </w:t>
      </w:r>
    </w:p>
    <w:p w14:paraId="04C664C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供应商名称（盖公章）： </w:t>
      </w:r>
    </w:p>
    <w:p w14:paraId="551A28BD">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日 期： 年 月 日</w:t>
      </w:r>
    </w:p>
    <w:p w14:paraId="1D5FDE09">
      <w:pPr>
        <w:pStyle w:val="9"/>
        <w:rPr>
          <w:rFonts w:hint="eastAsia" w:ascii="宋体" w:hAnsi="宋体" w:eastAsia="宋体" w:cs="宋体"/>
          <w:b/>
          <w:bCs/>
          <w:color w:val="auto"/>
          <w:sz w:val="30"/>
          <w:szCs w:val="30"/>
          <w:highlight w:val="none"/>
          <w:lang w:val="en-US" w:eastAsia="zh-CN"/>
        </w:rPr>
      </w:pPr>
    </w:p>
    <w:p w14:paraId="7F02579E">
      <w:pPr>
        <w:rPr>
          <w:rFonts w:hint="eastAsia" w:ascii="宋体" w:hAnsi="宋体" w:eastAsia="宋体" w:cs="宋体"/>
          <w:b/>
          <w:bCs/>
          <w:color w:val="auto"/>
          <w:sz w:val="30"/>
          <w:szCs w:val="30"/>
          <w:highlight w:val="none"/>
          <w:lang w:val="en-US" w:eastAsia="zh-CN"/>
        </w:rPr>
      </w:pPr>
    </w:p>
    <w:p w14:paraId="7B8DC8CB">
      <w:pPr>
        <w:pStyle w:val="9"/>
        <w:rPr>
          <w:rFonts w:hint="eastAsia" w:ascii="宋体" w:hAnsi="宋体" w:eastAsia="宋体" w:cs="宋体"/>
          <w:b/>
          <w:bCs/>
          <w:color w:val="auto"/>
          <w:sz w:val="30"/>
          <w:szCs w:val="30"/>
          <w:highlight w:val="none"/>
          <w:lang w:val="en-US" w:eastAsia="zh-CN"/>
        </w:rPr>
      </w:pPr>
    </w:p>
    <w:p w14:paraId="15AEBC9B">
      <w:pPr>
        <w:rPr>
          <w:rFonts w:hint="eastAsia" w:ascii="宋体" w:hAnsi="宋体" w:eastAsia="宋体" w:cs="宋体"/>
          <w:b/>
          <w:bCs/>
          <w:color w:val="auto"/>
          <w:sz w:val="30"/>
          <w:szCs w:val="30"/>
          <w:highlight w:val="none"/>
          <w:lang w:val="en-US" w:eastAsia="zh-CN"/>
        </w:rPr>
      </w:pPr>
    </w:p>
    <w:p w14:paraId="4E2E8F32">
      <w:pPr>
        <w:pStyle w:val="9"/>
        <w:rPr>
          <w:rFonts w:hint="eastAsia" w:ascii="宋体" w:hAnsi="宋体" w:eastAsia="宋体" w:cs="宋体"/>
          <w:b/>
          <w:bCs/>
          <w:color w:val="auto"/>
          <w:sz w:val="30"/>
          <w:szCs w:val="30"/>
          <w:highlight w:val="none"/>
          <w:lang w:val="en-US" w:eastAsia="zh-CN"/>
        </w:rPr>
      </w:pPr>
    </w:p>
    <w:p w14:paraId="2001768E">
      <w:pPr>
        <w:rPr>
          <w:rFonts w:hint="eastAsia" w:ascii="宋体" w:hAnsi="宋体" w:eastAsia="宋体" w:cs="宋体"/>
          <w:b/>
          <w:bCs/>
          <w:color w:val="auto"/>
          <w:sz w:val="30"/>
          <w:szCs w:val="30"/>
          <w:highlight w:val="none"/>
          <w:lang w:val="en-US" w:eastAsia="zh-CN"/>
        </w:rPr>
      </w:pPr>
    </w:p>
    <w:p w14:paraId="47B7531A">
      <w:pPr>
        <w:pStyle w:val="9"/>
        <w:rPr>
          <w:rFonts w:hint="eastAsia" w:ascii="宋体" w:hAnsi="宋体" w:eastAsia="宋体" w:cs="宋体"/>
          <w:b/>
          <w:bCs/>
          <w:color w:val="auto"/>
          <w:sz w:val="30"/>
          <w:szCs w:val="30"/>
          <w:highlight w:val="none"/>
          <w:lang w:val="en-US" w:eastAsia="zh-CN"/>
        </w:rPr>
      </w:pPr>
    </w:p>
    <w:p w14:paraId="0B9300FF">
      <w:pPr>
        <w:rPr>
          <w:rFonts w:hint="eastAsia" w:ascii="宋体" w:hAnsi="宋体" w:eastAsia="宋体" w:cs="宋体"/>
          <w:b/>
          <w:bCs/>
          <w:color w:val="auto"/>
          <w:sz w:val="30"/>
          <w:szCs w:val="30"/>
          <w:highlight w:val="none"/>
          <w:lang w:val="en-US" w:eastAsia="zh-CN"/>
        </w:rPr>
      </w:pPr>
    </w:p>
    <w:p w14:paraId="664876C7">
      <w:pPr>
        <w:pStyle w:val="9"/>
        <w:rPr>
          <w:rFonts w:hint="eastAsia" w:ascii="宋体" w:hAnsi="宋体" w:eastAsia="宋体" w:cs="宋体"/>
          <w:b/>
          <w:bCs/>
          <w:color w:val="auto"/>
          <w:sz w:val="30"/>
          <w:szCs w:val="30"/>
          <w:highlight w:val="none"/>
          <w:lang w:val="en-US" w:eastAsia="zh-CN"/>
        </w:rPr>
      </w:pPr>
    </w:p>
    <w:p w14:paraId="3F5A0393">
      <w:pPr>
        <w:rPr>
          <w:rFonts w:hint="eastAsia" w:ascii="宋体" w:hAnsi="宋体" w:eastAsia="宋体" w:cs="宋体"/>
          <w:b/>
          <w:bCs/>
          <w:color w:val="auto"/>
          <w:sz w:val="30"/>
          <w:szCs w:val="30"/>
          <w:highlight w:val="none"/>
          <w:lang w:val="en-US" w:eastAsia="zh-CN"/>
        </w:rPr>
      </w:pPr>
    </w:p>
    <w:p w14:paraId="69C7C1D6">
      <w:pPr>
        <w:pStyle w:val="9"/>
        <w:rPr>
          <w:rFonts w:hint="eastAsia" w:ascii="宋体" w:hAnsi="宋体" w:eastAsia="宋体" w:cs="宋体"/>
          <w:b/>
          <w:bCs/>
          <w:color w:val="auto"/>
          <w:sz w:val="30"/>
          <w:szCs w:val="30"/>
          <w:highlight w:val="none"/>
          <w:lang w:val="en-US" w:eastAsia="zh-CN"/>
        </w:rPr>
      </w:pPr>
    </w:p>
    <w:p w14:paraId="5170F54F">
      <w:pPr>
        <w:rPr>
          <w:rFonts w:hint="eastAsia" w:ascii="宋体" w:hAnsi="宋体" w:eastAsia="宋体" w:cs="宋体"/>
          <w:b/>
          <w:bCs/>
          <w:color w:val="auto"/>
          <w:sz w:val="30"/>
          <w:szCs w:val="30"/>
          <w:highlight w:val="none"/>
          <w:lang w:val="en-US" w:eastAsia="zh-CN"/>
        </w:rPr>
      </w:pPr>
    </w:p>
    <w:p w14:paraId="39C3E62C">
      <w:pPr>
        <w:pStyle w:val="9"/>
        <w:rPr>
          <w:rFonts w:hint="eastAsia" w:ascii="宋体" w:hAnsi="宋体" w:eastAsia="宋体" w:cs="宋体"/>
          <w:b/>
          <w:bCs/>
          <w:color w:val="auto"/>
          <w:sz w:val="30"/>
          <w:szCs w:val="30"/>
          <w:highlight w:val="none"/>
          <w:lang w:val="en-US" w:eastAsia="zh-CN"/>
        </w:rPr>
      </w:pPr>
    </w:p>
    <w:p w14:paraId="1778C0FF">
      <w:pPr>
        <w:rPr>
          <w:rFonts w:hint="eastAsia" w:ascii="宋体" w:hAnsi="宋体" w:eastAsia="宋体" w:cs="宋体"/>
          <w:b/>
          <w:bCs/>
          <w:color w:val="auto"/>
          <w:sz w:val="30"/>
          <w:szCs w:val="30"/>
          <w:highlight w:val="none"/>
          <w:lang w:val="en-US" w:eastAsia="zh-CN"/>
        </w:rPr>
      </w:pPr>
    </w:p>
    <w:p w14:paraId="7B53A850">
      <w:pPr>
        <w:pStyle w:val="9"/>
        <w:rPr>
          <w:rFonts w:hint="eastAsia" w:ascii="宋体" w:hAnsi="宋体" w:eastAsia="宋体" w:cs="宋体"/>
          <w:b/>
          <w:bCs/>
          <w:color w:val="auto"/>
          <w:sz w:val="30"/>
          <w:szCs w:val="30"/>
          <w:highlight w:val="none"/>
          <w:lang w:val="en-US" w:eastAsia="zh-CN"/>
        </w:rPr>
      </w:pPr>
    </w:p>
    <w:p w14:paraId="78CD5478">
      <w:pPr>
        <w:rPr>
          <w:rFonts w:hint="eastAsia" w:ascii="宋体" w:hAnsi="宋体" w:eastAsia="宋体" w:cs="宋体"/>
          <w:b/>
          <w:bCs/>
          <w:color w:val="auto"/>
          <w:sz w:val="30"/>
          <w:szCs w:val="30"/>
          <w:highlight w:val="none"/>
          <w:lang w:val="en-US" w:eastAsia="zh-CN"/>
        </w:rPr>
      </w:pPr>
    </w:p>
    <w:p w14:paraId="153A4077">
      <w:pPr>
        <w:pStyle w:val="9"/>
        <w:rPr>
          <w:rFonts w:hint="eastAsia" w:ascii="宋体" w:hAnsi="宋体" w:eastAsia="宋体" w:cs="宋体"/>
          <w:b/>
          <w:bCs/>
          <w:color w:val="auto"/>
          <w:sz w:val="30"/>
          <w:szCs w:val="30"/>
          <w:highlight w:val="none"/>
          <w:lang w:val="en-US" w:eastAsia="zh-CN"/>
        </w:rPr>
      </w:pPr>
    </w:p>
    <w:p w14:paraId="36A4EE2B">
      <w:pPr>
        <w:rPr>
          <w:rFonts w:hint="eastAsia" w:ascii="宋体" w:hAnsi="宋体" w:eastAsia="宋体" w:cs="宋体"/>
          <w:b/>
          <w:bCs/>
          <w:color w:val="auto"/>
          <w:sz w:val="30"/>
          <w:szCs w:val="30"/>
          <w:highlight w:val="none"/>
          <w:lang w:val="en-US" w:eastAsia="zh-CN"/>
        </w:rPr>
      </w:pPr>
    </w:p>
    <w:p w14:paraId="47DC44A5">
      <w:pPr>
        <w:pStyle w:val="9"/>
        <w:rPr>
          <w:rFonts w:hint="eastAsia" w:ascii="宋体" w:hAnsi="宋体" w:eastAsia="宋体" w:cs="宋体"/>
          <w:b/>
          <w:bCs/>
          <w:color w:val="auto"/>
          <w:sz w:val="30"/>
          <w:szCs w:val="30"/>
          <w:highlight w:val="none"/>
          <w:lang w:val="en-US" w:eastAsia="zh-CN"/>
        </w:rPr>
      </w:pPr>
    </w:p>
    <w:p w14:paraId="661E7C78">
      <w:pPr>
        <w:rPr>
          <w:rFonts w:hint="eastAsia" w:ascii="宋体" w:hAnsi="宋体" w:eastAsia="宋体" w:cs="宋体"/>
          <w:b/>
          <w:bCs/>
          <w:color w:val="auto"/>
          <w:sz w:val="30"/>
          <w:szCs w:val="30"/>
          <w:highlight w:val="none"/>
          <w:lang w:val="en-US" w:eastAsia="zh-CN"/>
        </w:rPr>
      </w:pPr>
    </w:p>
    <w:p w14:paraId="0765F465">
      <w:pPr>
        <w:pStyle w:val="9"/>
        <w:rPr>
          <w:rFonts w:hint="eastAsia"/>
          <w:color w:val="auto"/>
          <w:highlight w:val="none"/>
          <w:lang w:val="en-US" w:eastAsia="zh-CN"/>
        </w:rPr>
      </w:pPr>
    </w:p>
    <w:p w14:paraId="08949F9E">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color w:val="auto"/>
          <w:sz w:val="24"/>
          <w:szCs w:val="24"/>
          <w:highlight w:val="none"/>
        </w:rPr>
      </w:pPr>
      <w:r>
        <w:rPr>
          <w:rFonts w:hint="eastAsia" w:cs="宋体"/>
          <w:b/>
          <w:bCs/>
          <w:color w:val="auto"/>
          <w:sz w:val="30"/>
          <w:szCs w:val="30"/>
          <w:highlight w:val="none"/>
          <w:lang w:val="en-US" w:eastAsia="zh-CN"/>
        </w:rPr>
        <w:t xml:space="preserve">2.5 </w:t>
      </w:r>
      <w:r>
        <w:rPr>
          <w:rFonts w:hint="eastAsia" w:ascii="宋体" w:hAnsi="宋体" w:eastAsia="宋体" w:cs="宋体"/>
          <w:b/>
          <w:bCs/>
          <w:color w:val="auto"/>
          <w:sz w:val="30"/>
          <w:szCs w:val="30"/>
          <w:highlight w:val="none"/>
          <w:lang w:val="en-US" w:eastAsia="zh-CN"/>
        </w:rPr>
        <w:t>同类项目业绩情况一览表</w:t>
      </w:r>
    </w:p>
    <w:p w14:paraId="3BD6823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4EA5C52">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采购项目名称：</w:t>
      </w:r>
    </w:p>
    <w:p w14:paraId="275123E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 xml:space="preserve">  </w:t>
      </w:r>
    </w:p>
    <w:p w14:paraId="56AB2C5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7456" behindDoc="0" locked="0" layoutInCell="1" allowOverlap="1">
                <wp:simplePos x="0" y="0"/>
                <wp:positionH relativeFrom="page">
                  <wp:posOffset>622300</wp:posOffset>
                </wp:positionH>
                <wp:positionV relativeFrom="paragraph">
                  <wp:posOffset>113030</wp:posOffset>
                </wp:positionV>
                <wp:extent cx="6285230" cy="262064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6285230" cy="2620645"/>
                        </a:xfrm>
                        <a:prstGeom prst="rect">
                          <a:avLst/>
                        </a:prstGeom>
                        <a:noFill/>
                        <a:ln>
                          <a:noFill/>
                        </a:ln>
                      </wps:spPr>
                      <wps:txbx>
                        <w:txbxContent>
                          <w:tbl>
                            <w:tblPr>
                              <w:tblStyle w:val="20"/>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1878"/>
                              <w:gridCol w:w="2115"/>
                              <w:gridCol w:w="1755"/>
                              <w:gridCol w:w="1723"/>
                              <w:gridCol w:w="1721"/>
                            </w:tblGrid>
                            <w:tr w14:paraId="6F53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492" w:type="dxa"/>
                                  <w:shd w:val="clear" w:color="auto" w:fill="EDEBE0"/>
                                  <w:noWrap w:val="0"/>
                                  <w:vAlign w:val="top"/>
                                </w:tcPr>
                                <w:p w14:paraId="407D5270">
                                  <w:pPr>
                                    <w:pStyle w:val="32"/>
                                    <w:spacing w:before="137"/>
                                    <w:ind w:left="170" w:right="10"/>
                                    <w:jc w:val="center"/>
                                    <w:rPr>
                                      <w:sz w:val="21"/>
                                    </w:rPr>
                                  </w:pPr>
                                  <w:r>
                                    <w:rPr>
                                      <w:sz w:val="21"/>
                                    </w:rPr>
                                    <w:t xml:space="preserve">序号 </w:t>
                                  </w:r>
                                </w:p>
                              </w:tc>
                              <w:tc>
                                <w:tcPr>
                                  <w:tcW w:w="1878" w:type="dxa"/>
                                  <w:shd w:val="clear" w:color="auto" w:fill="EDEBE0"/>
                                  <w:noWrap w:val="0"/>
                                  <w:vAlign w:val="top"/>
                                </w:tcPr>
                                <w:p w14:paraId="75455539">
                                  <w:pPr>
                                    <w:pStyle w:val="32"/>
                                    <w:spacing w:before="137"/>
                                    <w:ind w:left="366" w:right="228"/>
                                    <w:jc w:val="center"/>
                                    <w:rPr>
                                      <w:sz w:val="21"/>
                                    </w:rPr>
                                  </w:pPr>
                                  <w:r>
                                    <w:rPr>
                                      <w:sz w:val="21"/>
                                    </w:rPr>
                                    <w:t xml:space="preserve">采购单位名称 </w:t>
                                  </w:r>
                                </w:p>
                              </w:tc>
                              <w:tc>
                                <w:tcPr>
                                  <w:tcW w:w="2115" w:type="dxa"/>
                                  <w:shd w:val="clear" w:color="auto" w:fill="EDEBE0"/>
                                  <w:noWrap w:val="0"/>
                                  <w:vAlign w:val="top"/>
                                </w:tcPr>
                                <w:p w14:paraId="3950877D">
                                  <w:pPr>
                                    <w:pStyle w:val="32"/>
                                    <w:spacing w:before="137"/>
                                    <w:ind w:left="456" w:right="319"/>
                                    <w:jc w:val="center"/>
                                    <w:rPr>
                                      <w:sz w:val="21"/>
                                    </w:rPr>
                                  </w:pPr>
                                  <w:r>
                                    <w:rPr>
                                      <w:sz w:val="21"/>
                                    </w:rPr>
                                    <w:t xml:space="preserve">采购项目名称 </w:t>
                                  </w:r>
                                </w:p>
                              </w:tc>
                              <w:tc>
                                <w:tcPr>
                                  <w:tcW w:w="1755" w:type="dxa"/>
                                  <w:shd w:val="clear" w:color="auto" w:fill="EDEBE0"/>
                                  <w:noWrap w:val="0"/>
                                  <w:vAlign w:val="top"/>
                                </w:tcPr>
                                <w:p w14:paraId="3B55C8BF">
                                  <w:pPr>
                                    <w:pStyle w:val="32"/>
                                    <w:spacing w:before="137"/>
                                    <w:ind w:left="492" w:right="353"/>
                                    <w:jc w:val="center"/>
                                    <w:rPr>
                                      <w:sz w:val="21"/>
                                    </w:rPr>
                                  </w:pPr>
                                  <w:r>
                                    <w:rPr>
                                      <w:sz w:val="21"/>
                                    </w:rPr>
                                    <w:t xml:space="preserve">合同总价 </w:t>
                                  </w:r>
                                </w:p>
                              </w:tc>
                              <w:tc>
                                <w:tcPr>
                                  <w:tcW w:w="1723" w:type="dxa"/>
                                  <w:shd w:val="clear" w:color="auto" w:fill="EDEBE0"/>
                                  <w:noWrap w:val="0"/>
                                  <w:vAlign w:val="top"/>
                                </w:tcPr>
                                <w:p w14:paraId="4B9F14A5">
                                  <w:pPr>
                                    <w:pStyle w:val="32"/>
                                    <w:spacing w:before="137"/>
                                    <w:ind w:left="490" w:right="355"/>
                                    <w:jc w:val="center"/>
                                    <w:rPr>
                                      <w:sz w:val="21"/>
                                    </w:rPr>
                                  </w:pPr>
                                  <w:r>
                                    <w:rPr>
                                      <w:sz w:val="21"/>
                                    </w:rPr>
                                    <w:t xml:space="preserve">签订日期 </w:t>
                                  </w:r>
                                </w:p>
                              </w:tc>
                              <w:tc>
                                <w:tcPr>
                                  <w:tcW w:w="1721" w:type="dxa"/>
                                  <w:shd w:val="clear" w:color="auto" w:fill="EDEBE0"/>
                                  <w:noWrap w:val="0"/>
                                  <w:vAlign w:val="top"/>
                                </w:tcPr>
                                <w:p w14:paraId="28AC086B">
                                  <w:pPr>
                                    <w:pStyle w:val="32"/>
                                    <w:ind w:left="118" w:right="73"/>
                                    <w:jc w:val="center"/>
                                    <w:rPr>
                                      <w:sz w:val="21"/>
                                    </w:rPr>
                                  </w:pPr>
                                  <w:r>
                                    <w:rPr>
                                      <w:sz w:val="21"/>
                                    </w:rPr>
                                    <w:t>单位联系人及电</w:t>
                                  </w:r>
                                </w:p>
                                <w:p w14:paraId="0A30F7B3">
                                  <w:pPr>
                                    <w:pStyle w:val="32"/>
                                    <w:spacing w:before="5" w:line="240" w:lineRule="exact"/>
                                    <w:ind w:left="219" w:right="73"/>
                                    <w:jc w:val="center"/>
                                    <w:rPr>
                                      <w:sz w:val="21"/>
                                    </w:rPr>
                                  </w:pPr>
                                  <w:r>
                                    <w:rPr>
                                      <w:sz w:val="21"/>
                                    </w:rPr>
                                    <w:t xml:space="preserve">话 </w:t>
                                  </w:r>
                                </w:p>
                              </w:tc>
                            </w:tr>
                            <w:tr w14:paraId="5E34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492" w:type="dxa"/>
                                  <w:noWrap w:val="0"/>
                                  <w:vAlign w:val="top"/>
                                </w:tcPr>
                                <w:p w14:paraId="7C2E764F">
                                  <w:pPr>
                                    <w:pStyle w:val="32"/>
                                    <w:spacing w:before="120"/>
                                    <w:ind w:left="122"/>
                                    <w:jc w:val="center"/>
                                    <w:rPr>
                                      <w:sz w:val="21"/>
                                    </w:rPr>
                                  </w:pPr>
                                  <w:r>
                                    <w:rPr>
                                      <w:w w:val="100"/>
                                      <w:sz w:val="21"/>
                                    </w:rPr>
                                    <w:t xml:space="preserve"> </w:t>
                                  </w:r>
                                </w:p>
                              </w:tc>
                              <w:tc>
                                <w:tcPr>
                                  <w:tcW w:w="1878" w:type="dxa"/>
                                  <w:noWrap w:val="0"/>
                                  <w:vAlign w:val="top"/>
                                </w:tcPr>
                                <w:p w14:paraId="5EDCC99E">
                                  <w:pPr>
                                    <w:pStyle w:val="32"/>
                                    <w:spacing w:before="120"/>
                                    <w:ind w:left="135"/>
                                    <w:jc w:val="center"/>
                                    <w:rPr>
                                      <w:sz w:val="21"/>
                                    </w:rPr>
                                  </w:pPr>
                                  <w:r>
                                    <w:rPr>
                                      <w:w w:val="100"/>
                                      <w:sz w:val="21"/>
                                    </w:rPr>
                                    <w:t xml:space="preserve"> </w:t>
                                  </w:r>
                                </w:p>
                              </w:tc>
                              <w:tc>
                                <w:tcPr>
                                  <w:tcW w:w="2115" w:type="dxa"/>
                                  <w:noWrap w:val="0"/>
                                  <w:vAlign w:val="top"/>
                                </w:tcPr>
                                <w:p w14:paraId="53A67E89">
                                  <w:pPr>
                                    <w:pStyle w:val="32"/>
                                    <w:spacing w:before="120"/>
                                    <w:ind w:left="139"/>
                                    <w:jc w:val="center"/>
                                    <w:rPr>
                                      <w:sz w:val="21"/>
                                    </w:rPr>
                                  </w:pPr>
                                  <w:r>
                                    <w:rPr>
                                      <w:w w:val="100"/>
                                      <w:sz w:val="21"/>
                                    </w:rPr>
                                    <w:t xml:space="preserve"> </w:t>
                                  </w:r>
                                </w:p>
                              </w:tc>
                              <w:tc>
                                <w:tcPr>
                                  <w:tcW w:w="1755" w:type="dxa"/>
                                  <w:noWrap w:val="0"/>
                                  <w:vAlign w:val="top"/>
                                </w:tcPr>
                                <w:p w14:paraId="2BF62894">
                                  <w:pPr>
                                    <w:pStyle w:val="32"/>
                                    <w:spacing w:before="120"/>
                                    <w:ind w:left="139"/>
                                    <w:jc w:val="center"/>
                                    <w:rPr>
                                      <w:sz w:val="21"/>
                                    </w:rPr>
                                  </w:pPr>
                                  <w:r>
                                    <w:rPr>
                                      <w:w w:val="100"/>
                                      <w:sz w:val="21"/>
                                    </w:rPr>
                                    <w:t xml:space="preserve"> </w:t>
                                  </w:r>
                                </w:p>
                              </w:tc>
                              <w:tc>
                                <w:tcPr>
                                  <w:tcW w:w="1723" w:type="dxa"/>
                                  <w:noWrap w:val="0"/>
                                  <w:vAlign w:val="top"/>
                                </w:tcPr>
                                <w:p w14:paraId="40CDD260">
                                  <w:pPr>
                                    <w:pStyle w:val="32"/>
                                    <w:spacing w:before="120"/>
                                    <w:ind w:left="135"/>
                                    <w:jc w:val="center"/>
                                    <w:rPr>
                                      <w:sz w:val="21"/>
                                    </w:rPr>
                                  </w:pPr>
                                  <w:r>
                                    <w:rPr>
                                      <w:w w:val="100"/>
                                      <w:sz w:val="21"/>
                                    </w:rPr>
                                    <w:t xml:space="preserve"> </w:t>
                                  </w:r>
                                </w:p>
                              </w:tc>
                              <w:tc>
                                <w:tcPr>
                                  <w:tcW w:w="1721" w:type="dxa"/>
                                  <w:noWrap w:val="0"/>
                                  <w:vAlign w:val="top"/>
                                </w:tcPr>
                                <w:p w14:paraId="20852DF3">
                                  <w:pPr>
                                    <w:pStyle w:val="32"/>
                                    <w:spacing w:before="120"/>
                                    <w:ind w:right="722"/>
                                    <w:jc w:val="right"/>
                                    <w:rPr>
                                      <w:sz w:val="21"/>
                                    </w:rPr>
                                  </w:pPr>
                                  <w:r>
                                    <w:rPr>
                                      <w:w w:val="100"/>
                                      <w:sz w:val="21"/>
                                    </w:rPr>
                                    <w:t xml:space="preserve"> </w:t>
                                  </w:r>
                                </w:p>
                              </w:tc>
                            </w:tr>
                            <w:tr w14:paraId="4B40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noWrap w:val="0"/>
                                  <w:vAlign w:val="top"/>
                                </w:tcPr>
                                <w:p w14:paraId="115E4727">
                                  <w:pPr>
                                    <w:pStyle w:val="32"/>
                                    <w:spacing w:before="109"/>
                                    <w:ind w:left="122"/>
                                    <w:jc w:val="center"/>
                                    <w:rPr>
                                      <w:sz w:val="21"/>
                                    </w:rPr>
                                  </w:pPr>
                                  <w:r>
                                    <w:rPr>
                                      <w:w w:val="100"/>
                                      <w:sz w:val="21"/>
                                    </w:rPr>
                                    <w:t xml:space="preserve"> </w:t>
                                  </w:r>
                                </w:p>
                              </w:tc>
                              <w:tc>
                                <w:tcPr>
                                  <w:tcW w:w="1878" w:type="dxa"/>
                                  <w:noWrap w:val="0"/>
                                  <w:vAlign w:val="top"/>
                                </w:tcPr>
                                <w:p w14:paraId="0D1BF479">
                                  <w:pPr>
                                    <w:pStyle w:val="32"/>
                                    <w:spacing w:before="109"/>
                                    <w:ind w:left="135"/>
                                    <w:jc w:val="center"/>
                                    <w:rPr>
                                      <w:sz w:val="21"/>
                                    </w:rPr>
                                  </w:pPr>
                                  <w:r>
                                    <w:rPr>
                                      <w:w w:val="100"/>
                                      <w:sz w:val="21"/>
                                    </w:rPr>
                                    <w:t xml:space="preserve"> </w:t>
                                  </w:r>
                                </w:p>
                              </w:tc>
                              <w:tc>
                                <w:tcPr>
                                  <w:tcW w:w="2115" w:type="dxa"/>
                                  <w:noWrap w:val="0"/>
                                  <w:vAlign w:val="top"/>
                                </w:tcPr>
                                <w:p w14:paraId="462D3CAB">
                                  <w:pPr>
                                    <w:pStyle w:val="32"/>
                                    <w:spacing w:before="109"/>
                                    <w:ind w:left="139"/>
                                    <w:jc w:val="center"/>
                                    <w:rPr>
                                      <w:sz w:val="21"/>
                                    </w:rPr>
                                  </w:pPr>
                                  <w:r>
                                    <w:rPr>
                                      <w:w w:val="100"/>
                                      <w:sz w:val="21"/>
                                    </w:rPr>
                                    <w:t xml:space="preserve"> </w:t>
                                  </w:r>
                                </w:p>
                              </w:tc>
                              <w:tc>
                                <w:tcPr>
                                  <w:tcW w:w="1755" w:type="dxa"/>
                                  <w:noWrap w:val="0"/>
                                  <w:vAlign w:val="top"/>
                                </w:tcPr>
                                <w:p w14:paraId="174D5639">
                                  <w:pPr>
                                    <w:pStyle w:val="32"/>
                                    <w:spacing w:before="109"/>
                                    <w:ind w:left="139"/>
                                    <w:jc w:val="center"/>
                                    <w:rPr>
                                      <w:sz w:val="21"/>
                                    </w:rPr>
                                  </w:pPr>
                                  <w:r>
                                    <w:rPr>
                                      <w:w w:val="100"/>
                                      <w:sz w:val="21"/>
                                    </w:rPr>
                                    <w:t xml:space="preserve"> </w:t>
                                  </w:r>
                                </w:p>
                              </w:tc>
                              <w:tc>
                                <w:tcPr>
                                  <w:tcW w:w="1723" w:type="dxa"/>
                                  <w:noWrap w:val="0"/>
                                  <w:vAlign w:val="top"/>
                                </w:tcPr>
                                <w:p w14:paraId="1E22A852">
                                  <w:pPr>
                                    <w:pStyle w:val="32"/>
                                    <w:spacing w:before="109"/>
                                    <w:ind w:left="135"/>
                                    <w:jc w:val="center"/>
                                    <w:rPr>
                                      <w:sz w:val="21"/>
                                    </w:rPr>
                                  </w:pPr>
                                  <w:r>
                                    <w:rPr>
                                      <w:w w:val="100"/>
                                      <w:sz w:val="21"/>
                                    </w:rPr>
                                    <w:t xml:space="preserve"> </w:t>
                                  </w:r>
                                </w:p>
                              </w:tc>
                              <w:tc>
                                <w:tcPr>
                                  <w:tcW w:w="1721" w:type="dxa"/>
                                  <w:noWrap w:val="0"/>
                                  <w:vAlign w:val="top"/>
                                </w:tcPr>
                                <w:p w14:paraId="71D0F854">
                                  <w:pPr>
                                    <w:pStyle w:val="32"/>
                                    <w:spacing w:before="109"/>
                                    <w:ind w:right="722"/>
                                    <w:jc w:val="right"/>
                                    <w:rPr>
                                      <w:sz w:val="21"/>
                                    </w:rPr>
                                  </w:pPr>
                                  <w:r>
                                    <w:rPr>
                                      <w:w w:val="100"/>
                                      <w:sz w:val="21"/>
                                    </w:rPr>
                                    <w:t xml:space="preserve"> </w:t>
                                  </w:r>
                                </w:p>
                              </w:tc>
                            </w:tr>
                            <w:tr w14:paraId="7FC2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noWrap w:val="0"/>
                                  <w:vAlign w:val="top"/>
                                </w:tcPr>
                                <w:p w14:paraId="4EB9F2C4">
                                  <w:pPr>
                                    <w:pStyle w:val="32"/>
                                    <w:spacing w:before="111"/>
                                    <w:ind w:left="122"/>
                                    <w:jc w:val="center"/>
                                    <w:rPr>
                                      <w:sz w:val="21"/>
                                    </w:rPr>
                                  </w:pPr>
                                  <w:r>
                                    <w:rPr>
                                      <w:w w:val="100"/>
                                      <w:sz w:val="21"/>
                                    </w:rPr>
                                    <w:t xml:space="preserve"> </w:t>
                                  </w:r>
                                </w:p>
                              </w:tc>
                              <w:tc>
                                <w:tcPr>
                                  <w:tcW w:w="1878" w:type="dxa"/>
                                  <w:noWrap w:val="0"/>
                                  <w:vAlign w:val="top"/>
                                </w:tcPr>
                                <w:p w14:paraId="17ABAE61">
                                  <w:pPr>
                                    <w:pStyle w:val="32"/>
                                    <w:spacing w:before="111"/>
                                    <w:ind w:left="135"/>
                                    <w:jc w:val="center"/>
                                    <w:rPr>
                                      <w:sz w:val="21"/>
                                    </w:rPr>
                                  </w:pPr>
                                  <w:r>
                                    <w:rPr>
                                      <w:w w:val="100"/>
                                      <w:sz w:val="21"/>
                                    </w:rPr>
                                    <w:t xml:space="preserve"> </w:t>
                                  </w:r>
                                </w:p>
                              </w:tc>
                              <w:tc>
                                <w:tcPr>
                                  <w:tcW w:w="2115" w:type="dxa"/>
                                  <w:noWrap w:val="0"/>
                                  <w:vAlign w:val="top"/>
                                </w:tcPr>
                                <w:p w14:paraId="2F441EE9">
                                  <w:pPr>
                                    <w:pStyle w:val="32"/>
                                    <w:spacing w:before="111"/>
                                    <w:ind w:left="139"/>
                                    <w:jc w:val="center"/>
                                    <w:rPr>
                                      <w:sz w:val="21"/>
                                    </w:rPr>
                                  </w:pPr>
                                  <w:r>
                                    <w:rPr>
                                      <w:w w:val="100"/>
                                      <w:sz w:val="21"/>
                                    </w:rPr>
                                    <w:t xml:space="preserve"> </w:t>
                                  </w:r>
                                </w:p>
                              </w:tc>
                              <w:tc>
                                <w:tcPr>
                                  <w:tcW w:w="1755" w:type="dxa"/>
                                  <w:noWrap w:val="0"/>
                                  <w:vAlign w:val="top"/>
                                </w:tcPr>
                                <w:p w14:paraId="3518DFBE">
                                  <w:pPr>
                                    <w:pStyle w:val="32"/>
                                    <w:spacing w:before="111"/>
                                    <w:ind w:left="139"/>
                                    <w:jc w:val="center"/>
                                    <w:rPr>
                                      <w:sz w:val="21"/>
                                    </w:rPr>
                                  </w:pPr>
                                  <w:r>
                                    <w:rPr>
                                      <w:w w:val="100"/>
                                      <w:sz w:val="21"/>
                                    </w:rPr>
                                    <w:t xml:space="preserve"> </w:t>
                                  </w:r>
                                </w:p>
                              </w:tc>
                              <w:tc>
                                <w:tcPr>
                                  <w:tcW w:w="1723" w:type="dxa"/>
                                  <w:noWrap w:val="0"/>
                                  <w:vAlign w:val="top"/>
                                </w:tcPr>
                                <w:p w14:paraId="3C72D780">
                                  <w:pPr>
                                    <w:pStyle w:val="32"/>
                                    <w:spacing w:before="111"/>
                                    <w:ind w:left="135"/>
                                    <w:jc w:val="center"/>
                                    <w:rPr>
                                      <w:sz w:val="21"/>
                                    </w:rPr>
                                  </w:pPr>
                                  <w:r>
                                    <w:rPr>
                                      <w:w w:val="100"/>
                                      <w:sz w:val="21"/>
                                    </w:rPr>
                                    <w:t xml:space="preserve"> </w:t>
                                  </w:r>
                                </w:p>
                              </w:tc>
                              <w:tc>
                                <w:tcPr>
                                  <w:tcW w:w="1721" w:type="dxa"/>
                                  <w:noWrap w:val="0"/>
                                  <w:vAlign w:val="top"/>
                                </w:tcPr>
                                <w:p w14:paraId="6CFDDCA9">
                                  <w:pPr>
                                    <w:pStyle w:val="32"/>
                                    <w:spacing w:before="111"/>
                                    <w:ind w:right="722"/>
                                    <w:jc w:val="right"/>
                                    <w:rPr>
                                      <w:sz w:val="21"/>
                                    </w:rPr>
                                  </w:pPr>
                                  <w:r>
                                    <w:rPr>
                                      <w:w w:val="100"/>
                                      <w:sz w:val="21"/>
                                    </w:rPr>
                                    <w:t xml:space="preserve"> </w:t>
                                  </w:r>
                                </w:p>
                              </w:tc>
                            </w:tr>
                            <w:tr w14:paraId="3072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492" w:type="dxa"/>
                                  <w:noWrap w:val="0"/>
                                  <w:vAlign w:val="top"/>
                                </w:tcPr>
                                <w:p w14:paraId="00B8D671">
                                  <w:pPr>
                                    <w:pStyle w:val="32"/>
                                    <w:spacing w:before="109"/>
                                    <w:ind w:left="122"/>
                                    <w:jc w:val="center"/>
                                    <w:rPr>
                                      <w:sz w:val="21"/>
                                    </w:rPr>
                                  </w:pPr>
                                  <w:r>
                                    <w:rPr>
                                      <w:w w:val="100"/>
                                      <w:sz w:val="21"/>
                                    </w:rPr>
                                    <w:t xml:space="preserve"> </w:t>
                                  </w:r>
                                </w:p>
                              </w:tc>
                              <w:tc>
                                <w:tcPr>
                                  <w:tcW w:w="1878" w:type="dxa"/>
                                  <w:noWrap w:val="0"/>
                                  <w:vAlign w:val="top"/>
                                </w:tcPr>
                                <w:p w14:paraId="0BF16FA0">
                                  <w:pPr>
                                    <w:pStyle w:val="32"/>
                                    <w:spacing w:before="109"/>
                                    <w:ind w:left="135"/>
                                    <w:jc w:val="center"/>
                                    <w:rPr>
                                      <w:sz w:val="21"/>
                                    </w:rPr>
                                  </w:pPr>
                                  <w:r>
                                    <w:rPr>
                                      <w:w w:val="100"/>
                                      <w:sz w:val="21"/>
                                    </w:rPr>
                                    <w:t xml:space="preserve"> </w:t>
                                  </w:r>
                                </w:p>
                              </w:tc>
                              <w:tc>
                                <w:tcPr>
                                  <w:tcW w:w="2115" w:type="dxa"/>
                                  <w:noWrap w:val="0"/>
                                  <w:vAlign w:val="top"/>
                                </w:tcPr>
                                <w:p w14:paraId="6704C0E3">
                                  <w:pPr>
                                    <w:pStyle w:val="32"/>
                                    <w:spacing w:before="109"/>
                                    <w:ind w:left="139"/>
                                    <w:jc w:val="center"/>
                                    <w:rPr>
                                      <w:sz w:val="21"/>
                                    </w:rPr>
                                  </w:pPr>
                                  <w:r>
                                    <w:rPr>
                                      <w:w w:val="100"/>
                                      <w:sz w:val="21"/>
                                    </w:rPr>
                                    <w:t xml:space="preserve"> </w:t>
                                  </w:r>
                                </w:p>
                              </w:tc>
                              <w:tc>
                                <w:tcPr>
                                  <w:tcW w:w="1755" w:type="dxa"/>
                                  <w:noWrap w:val="0"/>
                                  <w:vAlign w:val="top"/>
                                </w:tcPr>
                                <w:p w14:paraId="21258494">
                                  <w:pPr>
                                    <w:pStyle w:val="32"/>
                                    <w:spacing w:before="109"/>
                                    <w:ind w:left="139"/>
                                    <w:jc w:val="center"/>
                                    <w:rPr>
                                      <w:sz w:val="21"/>
                                    </w:rPr>
                                  </w:pPr>
                                  <w:r>
                                    <w:rPr>
                                      <w:w w:val="100"/>
                                      <w:sz w:val="21"/>
                                    </w:rPr>
                                    <w:t xml:space="preserve"> </w:t>
                                  </w:r>
                                </w:p>
                              </w:tc>
                              <w:tc>
                                <w:tcPr>
                                  <w:tcW w:w="1723" w:type="dxa"/>
                                  <w:noWrap w:val="0"/>
                                  <w:vAlign w:val="top"/>
                                </w:tcPr>
                                <w:p w14:paraId="220F6F9E">
                                  <w:pPr>
                                    <w:pStyle w:val="32"/>
                                    <w:spacing w:before="109"/>
                                    <w:ind w:left="135"/>
                                    <w:jc w:val="center"/>
                                    <w:rPr>
                                      <w:sz w:val="21"/>
                                    </w:rPr>
                                  </w:pPr>
                                  <w:r>
                                    <w:rPr>
                                      <w:w w:val="100"/>
                                      <w:sz w:val="21"/>
                                    </w:rPr>
                                    <w:t xml:space="preserve"> </w:t>
                                  </w:r>
                                </w:p>
                              </w:tc>
                              <w:tc>
                                <w:tcPr>
                                  <w:tcW w:w="1721" w:type="dxa"/>
                                  <w:noWrap w:val="0"/>
                                  <w:vAlign w:val="top"/>
                                </w:tcPr>
                                <w:p w14:paraId="73F16979">
                                  <w:pPr>
                                    <w:pStyle w:val="32"/>
                                    <w:spacing w:before="109"/>
                                    <w:ind w:right="722"/>
                                    <w:jc w:val="right"/>
                                    <w:rPr>
                                      <w:sz w:val="21"/>
                                    </w:rPr>
                                  </w:pPr>
                                  <w:r>
                                    <w:rPr>
                                      <w:w w:val="100"/>
                                      <w:sz w:val="21"/>
                                    </w:rPr>
                                    <w:t xml:space="preserve"> </w:t>
                                  </w:r>
                                </w:p>
                              </w:tc>
                            </w:tr>
                            <w:tr w14:paraId="54DD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noWrap w:val="0"/>
                                  <w:vAlign w:val="top"/>
                                </w:tcPr>
                                <w:p w14:paraId="4AF43608">
                                  <w:pPr>
                                    <w:pStyle w:val="32"/>
                                    <w:spacing w:before="109"/>
                                    <w:ind w:left="122"/>
                                    <w:jc w:val="center"/>
                                    <w:rPr>
                                      <w:sz w:val="21"/>
                                    </w:rPr>
                                  </w:pPr>
                                  <w:r>
                                    <w:rPr>
                                      <w:w w:val="100"/>
                                      <w:sz w:val="21"/>
                                    </w:rPr>
                                    <w:t xml:space="preserve"> </w:t>
                                  </w:r>
                                </w:p>
                              </w:tc>
                              <w:tc>
                                <w:tcPr>
                                  <w:tcW w:w="1878" w:type="dxa"/>
                                  <w:noWrap w:val="0"/>
                                  <w:vAlign w:val="top"/>
                                </w:tcPr>
                                <w:p w14:paraId="73726242">
                                  <w:pPr>
                                    <w:pStyle w:val="32"/>
                                    <w:spacing w:before="109"/>
                                    <w:ind w:left="135"/>
                                    <w:jc w:val="center"/>
                                    <w:rPr>
                                      <w:sz w:val="21"/>
                                    </w:rPr>
                                  </w:pPr>
                                  <w:r>
                                    <w:rPr>
                                      <w:w w:val="100"/>
                                      <w:sz w:val="21"/>
                                    </w:rPr>
                                    <w:t xml:space="preserve"> </w:t>
                                  </w:r>
                                </w:p>
                              </w:tc>
                              <w:tc>
                                <w:tcPr>
                                  <w:tcW w:w="2115" w:type="dxa"/>
                                  <w:noWrap w:val="0"/>
                                  <w:vAlign w:val="top"/>
                                </w:tcPr>
                                <w:p w14:paraId="6A0FB917">
                                  <w:pPr>
                                    <w:pStyle w:val="32"/>
                                    <w:spacing w:before="109"/>
                                    <w:ind w:left="139"/>
                                    <w:jc w:val="center"/>
                                    <w:rPr>
                                      <w:sz w:val="21"/>
                                    </w:rPr>
                                  </w:pPr>
                                  <w:r>
                                    <w:rPr>
                                      <w:w w:val="100"/>
                                      <w:sz w:val="21"/>
                                    </w:rPr>
                                    <w:t xml:space="preserve"> </w:t>
                                  </w:r>
                                </w:p>
                              </w:tc>
                              <w:tc>
                                <w:tcPr>
                                  <w:tcW w:w="1755" w:type="dxa"/>
                                  <w:noWrap w:val="0"/>
                                  <w:vAlign w:val="top"/>
                                </w:tcPr>
                                <w:p w14:paraId="577DF54B">
                                  <w:pPr>
                                    <w:pStyle w:val="32"/>
                                    <w:spacing w:before="109"/>
                                    <w:ind w:left="139"/>
                                    <w:jc w:val="center"/>
                                    <w:rPr>
                                      <w:sz w:val="21"/>
                                    </w:rPr>
                                  </w:pPr>
                                  <w:r>
                                    <w:rPr>
                                      <w:w w:val="100"/>
                                      <w:sz w:val="21"/>
                                    </w:rPr>
                                    <w:t xml:space="preserve"> </w:t>
                                  </w:r>
                                </w:p>
                              </w:tc>
                              <w:tc>
                                <w:tcPr>
                                  <w:tcW w:w="1723" w:type="dxa"/>
                                  <w:noWrap w:val="0"/>
                                  <w:vAlign w:val="top"/>
                                </w:tcPr>
                                <w:p w14:paraId="2F08D25B">
                                  <w:pPr>
                                    <w:pStyle w:val="32"/>
                                    <w:spacing w:before="109"/>
                                    <w:ind w:left="135"/>
                                    <w:jc w:val="center"/>
                                    <w:rPr>
                                      <w:sz w:val="21"/>
                                    </w:rPr>
                                  </w:pPr>
                                  <w:r>
                                    <w:rPr>
                                      <w:w w:val="100"/>
                                      <w:sz w:val="21"/>
                                    </w:rPr>
                                    <w:t xml:space="preserve"> </w:t>
                                  </w:r>
                                </w:p>
                              </w:tc>
                              <w:tc>
                                <w:tcPr>
                                  <w:tcW w:w="1721" w:type="dxa"/>
                                  <w:noWrap w:val="0"/>
                                  <w:vAlign w:val="top"/>
                                </w:tcPr>
                                <w:p w14:paraId="2FDD09E4">
                                  <w:pPr>
                                    <w:pStyle w:val="32"/>
                                    <w:spacing w:before="109"/>
                                    <w:ind w:right="722"/>
                                    <w:jc w:val="right"/>
                                    <w:rPr>
                                      <w:sz w:val="21"/>
                                    </w:rPr>
                                  </w:pPr>
                                  <w:r>
                                    <w:rPr>
                                      <w:w w:val="100"/>
                                      <w:sz w:val="21"/>
                                    </w:rPr>
                                    <w:t xml:space="preserve"> </w:t>
                                  </w:r>
                                </w:p>
                              </w:tc>
                            </w:tr>
                            <w:tr w14:paraId="0314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noWrap w:val="0"/>
                                  <w:vAlign w:val="top"/>
                                </w:tcPr>
                                <w:p w14:paraId="14B14C29">
                                  <w:pPr>
                                    <w:pStyle w:val="32"/>
                                    <w:spacing w:before="109"/>
                                    <w:ind w:left="122"/>
                                    <w:jc w:val="center"/>
                                    <w:rPr>
                                      <w:sz w:val="21"/>
                                    </w:rPr>
                                  </w:pPr>
                                  <w:r>
                                    <w:rPr>
                                      <w:w w:val="100"/>
                                      <w:sz w:val="21"/>
                                    </w:rPr>
                                    <w:t xml:space="preserve"> </w:t>
                                  </w:r>
                                </w:p>
                              </w:tc>
                              <w:tc>
                                <w:tcPr>
                                  <w:tcW w:w="1878" w:type="dxa"/>
                                  <w:noWrap w:val="0"/>
                                  <w:vAlign w:val="top"/>
                                </w:tcPr>
                                <w:p w14:paraId="2CA62393">
                                  <w:pPr>
                                    <w:pStyle w:val="32"/>
                                    <w:spacing w:before="109"/>
                                    <w:ind w:left="135"/>
                                    <w:jc w:val="center"/>
                                    <w:rPr>
                                      <w:sz w:val="21"/>
                                    </w:rPr>
                                  </w:pPr>
                                  <w:r>
                                    <w:rPr>
                                      <w:w w:val="100"/>
                                      <w:sz w:val="21"/>
                                    </w:rPr>
                                    <w:t xml:space="preserve"> </w:t>
                                  </w:r>
                                </w:p>
                              </w:tc>
                              <w:tc>
                                <w:tcPr>
                                  <w:tcW w:w="2115" w:type="dxa"/>
                                  <w:noWrap w:val="0"/>
                                  <w:vAlign w:val="top"/>
                                </w:tcPr>
                                <w:p w14:paraId="39DE8CCA">
                                  <w:pPr>
                                    <w:pStyle w:val="32"/>
                                    <w:spacing w:before="109"/>
                                    <w:ind w:left="139"/>
                                    <w:jc w:val="center"/>
                                    <w:rPr>
                                      <w:sz w:val="21"/>
                                    </w:rPr>
                                  </w:pPr>
                                  <w:r>
                                    <w:rPr>
                                      <w:w w:val="100"/>
                                      <w:sz w:val="21"/>
                                    </w:rPr>
                                    <w:t xml:space="preserve"> </w:t>
                                  </w:r>
                                </w:p>
                              </w:tc>
                              <w:tc>
                                <w:tcPr>
                                  <w:tcW w:w="1755" w:type="dxa"/>
                                  <w:noWrap w:val="0"/>
                                  <w:vAlign w:val="top"/>
                                </w:tcPr>
                                <w:p w14:paraId="62A8499E">
                                  <w:pPr>
                                    <w:pStyle w:val="32"/>
                                    <w:spacing w:before="109"/>
                                    <w:ind w:left="139"/>
                                    <w:jc w:val="center"/>
                                    <w:rPr>
                                      <w:sz w:val="21"/>
                                    </w:rPr>
                                  </w:pPr>
                                  <w:r>
                                    <w:rPr>
                                      <w:w w:val="100"/>
                                      <w:sz w:val="21"/>
                                    </w:rPr>
                                    <w:t xml:space="preserve"> </w:t>
                                  </w:r>
                                </w:p>
                              </w:tc>
                              <w:tc>
                                <w:tcPr>
                                  <w:tcW w:w="1723" w:type="dxa"/>
                                  <w:noWrap w:val="0"/>
                                  <w:vAlign w:val="top"/>
                                </w:tcPr>
                                <w:p w14:paraId="4B9EC7D2">
                                  <w:pPr>
                                    <w:pStyle w:val="32"/>
                                    <w:spacing w:before="109"/>
                                    <w:ind w:left="135"/>
                                    <w:jc w:val="center"/>
                                    <w:rPr>
                                      <w:sz w:val="21"/>
                                    </w:rPr>
                                  </w:pPr>
                                  <w:r>
                                    <w:rPr>
                                      <w:w w:val="100"/>
                                      <w:sz w:val="21"/>
                                    </w:rPr>
                                    <w:t xml:space="preserve"> </w:t>
                                  </w:r>
                                </w:p>
                              </w:tc>
                              <w:tc>
                                <w:tcPr>
                                  <w:tcW w:w="1721" w:type="dxa"/>
                                  <w:noWrap w:val="0"/>
                                  <w:vAlign w:val="top"/>
                                </w:tcPr>
                                <w:p w14:paraId="4A25781B">
                                  <w:pPr>
                                    <w:pStyle w:val="32"/>
                                    <w:spacing w:before="109"/>
                                    <w:ind w:right="722"/>
                                    <w:jc w:val="right"/>
                                    <w:rPr>
                                      <w:sz w:val="21"/>
                                    </w:rPr>
                                  </w:pPr>
                                  <w:r>
                                    <w:rPr>
                                      <w:w w:val="100"/>
                                      <w:sz w:val="21"/>
                                    </w:rPr>
                                    <w:t xml:space="preserve"> </w:t>
                                  </w:r>
                                </w:p>
                              </w:tc>
                            </w:tr>
                            <w:tr w14:paraId="6911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noWrap w:val="0"/>
                                  <w:vAlign w:val="top"/>
                                </w:tcPr>
                                <w:p w14:paraId="351F0CE6">
                                  <w:pPr>
                                    <w:pStyle w:val="32"/>
                                    <w:spacing w:before="109"/>
                                    <w:ind w:left="122"/>
                                    <w:jc w:val="center"/>
                                    <w:rPr>
                                      <w:sz w:val="21"/>
                                    </w:rPr>
                                  </w:pPr>
                                  <w:r>
                                    <w:rPr>
                                      <w:w w:val="100"/>
                                      <w:sz w:val="21"/>
                                    </w:rPr>
                                    <w:t xml:space="preserve"> </w:t>
                                  </w:r>
                                </w:p>
                              </w:tc>
                              <w:tc>
                                <w:tcPr>
                                  <w:tcW w:w="1878" w:type="dxa"/>
                                  <w:noWrap w:val="0"/>
                                  <w:vAlign w:val="top"/>
                                </w:tcPr>
                                <w:p w14:paraId="42B447CF">
                                  <w:pPr>
                                    <w:pStyle w:val="32"/>
                                    <w:spacing w:before="109"/>
                                    <w:ind w:left="135"/>
                                    <w:jc w:val="center"/>
                                    <w:rPr>
                                      <w:sz w:val="21"/>
                                    </w:rPr>
                                  </w:pPr>
                                  <w:r>
                                    <w:rPr>
                                      <w:w w:val="100"/>
                                      <w:sz w:val="21"/>
                                    </w:rPr>
                                    <w:t xml:space="preserve"> </w:t>
                                  </w:r>
                                </w:p>
                              </w:tc>
                              <w:tc>
                                <w:tcPr>
                                  <w:tcW w:w="2115" w:type="dxa"/>
                                  <w:noWrap w:val="0"/>
                                  <w:vAlign w:val="top"/>
                                </w:tcPr>
                                <w:p w14:paraId="436D70B6">
                                  <w:pPr>
                                    <w:pStyle w:val="32"/>
                                    <w:spacing w:before="109"/>
                                    <w:ind w:left="139"/>
                                    <w:jc w:val="center"/>
                                    <w:rPr>
                                      <w:sz w:val="21"/>
                                    </w:rPr>
                                  </w:pPr>
                                  <w:r>
                                    <w:rPr>
                                      <w:w w:val="100"/>
                                      <w:sz w:val="21"/>
                                    </w:rPr>
                                    <w:t xml:space="preserve"> </w:t>
                                  </w:r>
                                </w:p>
                              </w:tc>
                              <w:tc>
                                <w:tcPr>
                                  <w:tcW w:w="1755" w:type="dxa"/>
                                  <w:noWrap w:val="0"/>
                                  <w:vAlign w:val="top"/>
                                </w:tcPr>
                                <w:p w14:paraId="34C84EC1">
                                  <w:pPr>
                                    <w:pStyle w:val="32"/>
                                    <w:spacing w:before="109"/>
                                    <w:ind w:left="139"/>
                                    <w:jc w:val="center"/>
                                    <w:rPr>
                                      <w:sz w:val="21"/>
                                    </w:rPr>
                                  </w:pPr>
                                  <w:r>
                                    <w:rPr>
                                      <w:w w:val="100"/>
                                      <w:sz w:val="21"/>
                                    </w:rPr>
                                    <w:t xml:space="preserve"> </w:t>
                                  </w:r>
                                </w:p>
                              </w:tc>
                              <w:tc>
                                <w:tcPr>
                                  <w:tcW w:w="1723" w:type="dxa"/>
                                  <w:noWrap w:val="0"/>
                                  <w:vAlign w:val="top"/>
                                </w:tcPr>
                                <w:p w14:paraId="1D996C64">
                                  <w:pPr>
                                    <w:pStyle w:val="32"/>
                                    <w:spacing w:before="109"/>
                                    <w:ind w:left="135"/>
                                    <w:jc w:val="center"/>
                                    <w:rPr>
                                      <w:sz w:val="21"/>
                                    </w:rPr>
                                  </w:pPr>
                                  <w:r>
                                    <w:rPr>
                                      <w:w w:val="100"/>
                                      <w:sz w:val="21"/>
                                    </w:rPr>
                                    <w:t xml:space="preserve"> </w:t>
                                  </w:r>
                                </w:p>
                              </w:tc>
                              <w:tc>
                                <w:tcPr>
                                  <w:tcW w:w="1721" w:type="dxa"/>
                                  <w:noWrap w:val="0"/>
                                  <w:vAlign w:val="top"/>
                                </w:tcPr>
                                <w:p w14:paraId="60A48D67">
                                  <w:pPr>
                                    <w:pStyle w:val="32"/>
                                    <w:spacing w:before="109"/>
                                    <w:ind w:right="722"/>
                                    <w:jc w:val="right"/>
                                    <w:rPr>
                                      <w:sz w:val="21"/>
                                    </w:rPr>
                                  </w:pPr>
                                  <w:r>
                                    <w:rPr>
                                      <w:w w:val="100"/>
                                      <w:sz w:val="21"/>
                                    </w:rPr>
                                    <w:t xml:space="preserve"> </w:t>
                                  </w:r>
                                </w:p>
                              </w:tc>
                            </w:tr>
                            <w:tr w14:paraId="18E6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noWrap w:val="0"/>
                                  <w:vAlign w:val="top"/>
                                </w:tcPr>
                                <w:p w14:paraId="090C83E3">
                                  <w:pPr>
                                    <w:pStyle w:val="32"/>
                                    <w:spacing w:before="109" w:line="269" w:lineRule="exact"/>
                                    <w:ind w:left="122"/>
                                    <w:jc w:val="center"/>
                                    <w:rPr>
                                      <w:sz w:val="21"/>
                                    </w:rPr>
                                  </w:pPr>
                                  <w:r>
                                    <w:rPr>
                                      <w:w w:val="100"/>
                                      <w:sz w:val="21"/>
                                    </w:rPr>
                                    <w:t xml:space="preserve"> </w:t>
                                  </w:r>
                                </w:p>
                              </w:tc>
                              <w:tc>
                                <w:tcPr>
                                  <w:tcW w:w="1878" w:type="dxa"/>
                                  <w:noWrap w:val="0"/>
                                  <w:vAlign w:val="top"/>
                                </w:tcPr>
                                <w:p w14:paraId="385D596D">
                                  <w:pPr>
                                    <w:pStyle w:val="32"/>
                                    <w:spacing w:before="109" w:line="269" w:lineRule="exact"/>
                                    <w:ind w:left="135"/>
                                    <w:jc w:val="center"/>
                                    <w:rPr>
                                      <w:sz w:val="21"/>
                                    </w:rPr>
                                  </w:pPr>
                                  <w:r>
                                    <w:rPr>
                                      <w:w w:val="100"/>
                                      <w:sz w:val="21"/>
                                    </w:rPr>
                                    <w:t xml:space="preserve"> </w:t>
                                  </w:r>
                                </w:p>
                              </w:tc>
                              <w:tc>
                                <w:tcPr>
                                  <w:tcW w:w="2115" w:type="dxa"/>
                                  <w:noWrap w:val="0"/>
                                  <w:vAlign w:val="top"/>
                                </w:tcPr>
                                <w:p w14:paraId="16ACC73B">
                                  <w:pPr>
                                    <w:pStyle w:val="32"/>
                                    <w:spacing w:before="109" w:line="269" w:lineRule="exact"/>
                                    <w:ind w:left="139"/>
                                    <w:jc w:val="center"/>
                                    <w:rPr>
                                      <w:sz w:val="21"/>
                                    </w:rPr>
                                  </w:pPr>
                                  <w:r>
                                    <w:rPr>
                                      <w:w w:val="100"/>
                                      <w:sz w:val="21"/>
                                    </w:rPr>
                                    <w:t xml:space="preserve"> </w:t>
                                  </w:r>
                                </w:p>
                              </w:tc>
                              <w:tc>
                                <w:tcPr>
                                  <w:tcW w:w="1755" w:type="dxa"/>
                                  <w:noWrap w:val="0"/>
                                  <w:vAlign w:val="top"/>
                                </w:tcPr>
                                <w:p w14:paraId="76FA310C">
                                  <w:pPr>
                                    <w:pStyle w:val="32"/>
                                    <w:spacing w:before="109" w:line="269" w:lineRule="exact"/>
                                    <w:ind w:left="139"/>
                                    <w:jc w:val="center"/>
                                    <w:rPr>
                                      <w:sz w:val="21"/>
                                    </w:rPr>
                                  </w:pPr>
                                  <w:r>
                                    <w:rPr>
                                      <w:w w:val="100"/>
                                      <w:sz w:val="21"/>
                                    </w:rPr>
                                    <w:t xml:space="preserve"> </w:t>
                                  </w:r>
                                </w:p>
                              </w:tc>
                              <w:tc>
                                <w:tcPr>
                                  <w:tcW w:w="1723" w:type="dxa"/>
                                  <w:noWrap w:val="0"/>
                                  <w:vAlign w:val="top"/>
                                </w:tcPr>
                                <w:p w14:paraId="7CBF1188">
                                  <w:pPr>
                                    <w:pStyle w:val="32"/>
                                    <w:spacing w:before="109" w:line="269" w:lineRule="exact"/>
                                    <w:ind w:left="135"/>
                                    <w:jc w:val="center"/>
                                    <w:rPr>
                                      <w:sz w:val="21"/>
                                    </w:rPr>
                                  </w:pPr>
                                  <w:r>
                                    <w:rPr>
                                      <w:w w:val="100"/>
                                      <w:sz w:val="21"/>
                                    </w:rPr>
                                    <w:t xml:space="preserve"> </w:t>
                                  </w:r>
                                </w:p>
                              </w:tc>
                              <w:tc>
                                <w:tcPr>
                                  <w:tcW w:w="1721" w:type="dxa"/>
                                  <w:noWrap w:val="0"/>
                                  <w:vAlign w:val="top"/>
                                </w:tcPr>
                                <w:p w14:paraId="4E6A06EA">
                                  <w:pPr>
                                    <w:pStyle w:val="32"/>
                                    <w:spacing w:before="109" w:line="269" w:lineRule="exact"/>
                                    <w:ind w:right="722"/>
                                    <w:jc w:val="right"/>
                                    <w:rPr>
                                      <w:sz w:val="21"/>
                                    </w:rPr>
                                  </w:pPr>
                                  <w:r>
                                    <w:rPr>
                                      <w:w w:val="100"/>
                                      <w:sz w:val="21"/>
                                    </w:rPr>
                                    <w:t xml:space="preserve"> </w:t>
                                  </w:r>
                                </w:p>
                              </w:tc>
                            </w:tr>
                          </w:tbl>
                          <w:p w14:paraId="64A18F1F">
                            <w:pPr>
                              <w:pStyle w:val="10"/>
                            </w:pPr>
                          </w:p>
                        </w:txbxContent>
                      </wps:txbx>
                      <wps:bodyPr lIns="0" tIns="0" rIns="0" bIns="0" upright="1"/>
                    </wps:wsp>
                  </a:graphicData>
                </a:graphic>
              </wp:anchor>
            </w:drawing>
          </mc:Choice>
          <mc:Fallback>
            <w:pict>
              <v:shape id="_x0000_s1026" o:spid="_x0000_s1026" o:spt="202" type="#_x0000_t202" style="position:absolute;left:0pt;margin-left:49pt;margin-top:8.9pt;height:206.35pt;width:494.9pt;mso-position-horizontal-relative:page;z-index:251667456;mso-width-relative:page;mso-height-relative:page;" filled="f" stroked="f" coordsize="21600,21600" o:gfxdata="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EJ0dI2AAAAAoBAAAPAAAAAAAAAAEAIAAAACIAAABkcnMvZG93bnJldi54bWxQSwEC&#10;FAAUAAAACACHTuJA8l5M1rsBAAB1AwAADgAAAAAAAAABACAAAAAnAQAAZHJzL2Uyb0RvYy54bWxQ&#10;SwUGAAAAAAYABgBZAQAAVAUAAAAA&#10;">
                <v:fill on="f" focussize="0,0"/>
                <v:stroke on="f"/>
                <v:imagedata o:title=""/>
                <o:lock v:ext="edit" aspectratio="f"/>
                <v:textbox inset="0mm,0mm,0mm,0mm">
                  <w:txbxContent>
                    <w:tbl>
                      <w:tblPr>
                        <w:tblStyle w:val="20"/>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2"/>
                        <w:gridCol w:w="1878"/>
                        <w:gridCol w:w="2115"/>
                        <w:gridCol w:w="1755"/>
                        <w:gridCol w:w="1723"/>
                        <w:gridCol w:w="1721"/>
                      </w:tblGrid>
                      <w:tr w14:paraId="6F53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492" w:type="dxa"/>
                            <w:shd w:val="clear" w:color="auto" w:fill="EDEBE0"/>
                            <w:noWrap w:val="0"/>
                            <w:vAlign w:val="top"/>
                          </w:tcPr>
                          <w:p w14:paraId="407D5270">
                            <w:pPr>
                              <w:pStyle w:val="32"/>
                              <w:spacing w:before="137"/>
                              <w:ind w:left="170" w:right="10"/>
                              <w:jc w:val="center"/>
                              <w:rPr>
                                <w:sz w:val="21"/>
                              </w:rPr>
                            </w:pPr>
                            <w:r>
                              <w:rPr>
                                <w:sz w:val="21"/>
                              </w:rPr>
                              <w:t xml:space="preserve">序号 </w:t>
                            </w:r>
                          </w:p>
                        </w:tc>
                        <w:tc>
                          <w:tcPr>
                            <w:tcW w:w="1878" w:type="dxa"/>
                            <w:shd w:val="clear" w:color="auto" w:fill="EDEBE0"/>
                            <w:noWrap w:val="0"/>
                            <w:vAlign w:val="top"/>
                          </w:tcPr>
                          <w:p w14:paraId="75455539">
                            <w:pPr>
                              <w:pStyle w:val="32"/>
                              <w:spacing w:before="137"/>
                              <w:ind w:left="366" w:right="228"/>
                              <w:jc w:val="center"/>
                              <w:rPr>
                                <w:sz w:val="21"/>
                              </w:rPr>
                            </w:pPr>
                            <w:r>
                              <w:rPr>
                                <w:sz w:val="21"/>
                              </w:rPr>
                              <w:t xml:space="preserve">采购单位名称 </w:t>
                            </w:r>
                          </w:p>
                        </w:tc>
                        <w:tc>
                          <w:tcPr>
                            <w:tcW w:w="2115" w:type="dxa"/>
                            <w:shd w:val="clear" w:color="auto" w:fill="EDEBE0"/>
                            <w:noWrap w:val="0"/>
                            <w:vAlign w:val="top"/>
                          </w:tcPr>
                          <w:p w14:paraId="3950877D">
                            <w:pPr>
                              <w:pStyle w:val="32"/>
                              <w:spacing w:before="137"/>
                              <w:ind w:left="456" w:right="319"/>
                              <w:jc w:val="center"/>
                              <w:rPr>
                                <w:sz w:val="21"/>
                              </w:rPr>
                            </w:pPr>
                            <w:r>
                              <w:rPr>
                                <w:sz w:val="21"/>
                              </w:rPr>
                              <w:t xml:space="preserve">采购项目名称 </w:t>
                            </w:r>
                          </w:p>
                        </w:tc>
                        <w:tc>
                          <w:tcPr>
                            <w:tcW w:w="1755" w:type="dxa"/>
                            <w:shd w:val="clear" w:color="auto" w:fill="EDEBE0"/>
                            <w:noWrap w:val="0"/>
                            <w:vAlign w:val="top"/>
                          </w:tcPr>
                          <w:p w14:paraId="3B55C8BF">
                            <w:pPr>
                              <w:pStyle w:val="32"/>
                              <w:spacing w:before="137"/>
                              <w:ind w:left="492" w:right="353"/>
                              <w:jc w:val="center"/>
                              <w:rPr>
                                <w:sz w:val="21"/>
                              </w:rPr>
                            </w:pPr>
                            <w:r>
                              <w:rPr>
                                <w:sz w:val="21"/>
                              </w:rPr>
                              <w:t xml:space="preserve">合同总价 </w:t>
                            </w:r>
                          </w:p>
                        </w:tc>
                        <w:tc>
                          <w:tcPr>
                            <w:tcW w:w="1723" w:type="dxa"/>
                            <w:shd w:val="clear" w:color="auto" w:fill="EDEBE0"/>
                            <w:noWrap w:val="0"/>
                            <w:vAlign w:val="top"/>
                          </w:tcPr>
                          <w:p w14:paraId="4B9F14A5">
                            <w:pPr>
                              <w:pStyle w:val="32"/>
                              <w:spacing w:before="137"/>
                              <w:ind w:left="490" w:right="355"/>
                              <w:jc w:val="center"/>
                              <w:rPr>
                                <w:sz w:val="21"/>
                              </w:rPr>
                            </w:pPr>
                            <w:r>
                              <w:rPr>
                                <w:sz w:val="21"/>
                              </w:rPr>
                              <w:t xml:space="preserve">签订日期 </w:t>
                            </w:r>
                          </w:p>
                        </w:tc>
                        <w:tc>
                          <w:tcPr>
                            <w:tcW w:w="1721" w:type="dxa"/>
                            <w:shd w:val="clear" w:color="auto" w:fill="EDEBE0"/>
                            <w:noWrap w:val="0"/>
                            <w:vAlign w:val="top"/>
                          </w:tcPr>
                          <w:p w14:paraId="28AC086B">
                            <w:pPr>
                              <w:pStyle w:val="32"/>
                              <w:ind w:left="118" w:right="73"/>
                              <w:jc w:val="center"/>
                              <w:rPr>
                                <w:sz w:val="21"/>
                              </w:rPr>
                            </w:pPr>
                            <w:r>
                              <w:rPr>
                                <w:sz w:val="21"/>
                              </w:rPr>
                              <w:t>单位联系人及电</w:t>
                            </w:r>
                          </w:p>
                          <w:p w14:paraId="0A30F7B3">
                            <w:pPr>
                              <w:pStyle w:val="32"/>
                              <w:spacing w:before="5" w:line="240" w:lineRule="exact"/>
                              <w:ind w:left="219" w:right="73"/>
                              <w:jc w:val="center"/>
                              <w:rPr>
                                <w:sz w:val="21"/>
                              </w:rPr>
                            </w:pPr>
                            <w:r>
                              <w:rPr>
                                <w:sz w:val="21"/>
                              </w:rPr>
                              <w:t xml:space="preserve">话 </w:t>
                            </w:r>
                          </w:p>
                        </w:tc>
                      </w:tr>
                      <w:tr w14:paraId="5E34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492" w:type="dxa"/>
                            <w:noWrap w:val="0"/>
                            <w:vAlign w:val="top"/>
                          </w:tcPr>
                          <w:p w14:paraId="7C2E764F">
                            <w:pPr>
                              <w:pStyle w:val="32"/>
                              <w:spacing w:before="120"/>
                              <w:ind w:left="122"/>
                              <w:jc w:val="center"/>
                              <w:rPr>
                                <w:sz w:val="21"/>
                              </w:rPr>
                            </w:pPr>
                            <w:r>
                              <w:rPr>
                                <w:w w:val="100"/>
                                <w:sz w:val="21"/>
                              </w:rPr>
                              <w:t xml:space="preserve"> </w:t>
                            </w:r>
                          </w:p>
                        </w:tc>
                        <w:tc>
                          <w:tcPr>
                            <w:tcW w:w="1878" w:type="dxa"/>
                            <w:noWrap w:val="0"/>
                            <w:vAlign w:val="top"/>
                          </w:tcPr>
                          <w:p w14:paraId="5EDCC99E">
                            <w:pPr>
                              <w:pStyle w:val="32"/>
                              <w:spacing w:before="120"/>
                              <w:ind w:left="135"/>
                              <w:jc w:val="center"/>
                              <w:rPr>
                                <w:sz w:val="21"/>
                              </w:rPr>
                            </w:pPr>
                            <w:r>
                              <w:rPr>
                                <w:w w:val="100"/>
                                <w:sz w:val="21"/>
                              </w:rPr>
                              <w:t xml:space="preserve"> </w:t>
                            </w:r>
                          </w:p>
                        </w:tc>
                        <w:tc>
                          <w:tcPr>
                            <w:tcW w:w="2115" w:type="dxa"/>
                            <w:noWrap w:val="0"/>
                            <w:vAlign w:val="top"/>
                          </w:tcPr>
                          <w:p w14:paraId="53A67E89">
                            <w:pPr>
                              <w:pStyle w:val="32"/>
                              <w:spacing w:before="120"/>
                              <w:ind w:left="139"/>
                              <w:jc w:val="center"/>
                              <w:rPr>
                                <w:sz w:val="21"/>
                              </w:rPr>
                            </w:pPr>
                            <w:r>
                              <w:rPr>
                                <w:w w:val="100"/>
                                <w:sz w:val="21"/>
                              </w:rPr>
                              <w:t xml:space="preserve"> </w:t>
                            </w:r>
                          </w:p>
                        </w:tc>
                        <w:tc>
                          <w:tcPr>
                            <w:tcW w:w="1755" w:type="dxa"/>
                            <w:noWrap w:val="0"/>
                            <w:vAlign w:val="top"/>
                          </w:tcPr>
                          <w:p w14:paraId="2BF62894">
                            <w:pPr>
                              <w:pStyle w:val="32"/>
                              <w:spacing w:before="120"/>
                              <w:ind w:left="139"/>
                              <w:jc w:val="center"/>
                              <w:rPr>
                                <w:sz w:val="21"/>
                              </w:rPr>
                            </w:pPr>
                            <w:r>
                              <w:rPr>
                                <w:w w:val="100"/>
                                <w:sz w:val="21"/>
                              </w:rPr>
                              <w:t xml:space="preserve"> </w:t>
                            </w:r>
                          </w:p>
                        </w:tc>
                        <w:tc>
                          <w:tcPr>
                            <w:tcW w:w="1723" w:type="dxa"/>
                            <w:noWrap w:val="0"/>
                            <w:vAlign w:val="top"/>
                          </w:tcPr>
                          <w:p w14:paraId="40CDD260">
                            <w:pPr>
                              <w:pStyle w:val="32"/>
                              <w:spacing w:before="120"/>
                              <w:ind w:left="135"/>
                              <w:jc w:val="center"/>
                              <w:rPr>
                                <w:sz w:val="21"/>
                              </w:rPr>
                            </w:pPr>
                            <w:r>
                              <w:rPr>
                                <w:w w:val="100"/>
                                <w:sz w:val="21"/>
                              </w:rPr>
                              <w:t xml:space="preserve"> </w:t>
                            </w:r>
                          </w:p>
                        </w:tc>
                        <w:tc>
                          <w:tcPr>
                            <w:tcW w:w="1721" w:type="dxa"/>
                            <w:noWrap w:val="0"/>
                            <w:vAlign w:val="top"/>
                          </w:tcPr>
                          <w:p w14:paraId="20852DF3">
                            <w:pPr>
                              <w:pStyle w:val="32"/>
                              <w:spacing w:before="120"/>
                              <w:ind w:right="722"/>
                              <w:jc w:val="right"/>
                              <w:rPr>
                                <w:sz w:val="21"/>
                              </w:rPr>
                            </w:pPr>
                            <w:r>
                              <w:rPr>
                                <w:w w:val="100"/>
                                <w:sz w:val="21"/>
                              </w:rPr>
                              <w:t xml:space="preserve"> </w:t>
                            </w:r>
                          </w:p>
                        </w:tc>
                      </w:tr>
                      <w:tr w14:paraId="4B40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noWrap w:val="0"/>
                            <w:vAlign w:val="top"/>
                          </w:tcPr>
                          <w:p w14:paraId="115E4727">
                            <w:pPr>
                              <w:pStyle w:val="32"/>
                              <w:spacing w:before="109"/>
                              <w:ind w:left="122"/>
                              <w:jc w:val="center"/>
                              <w:rPr>
                                <w:sz w:val="21"/>
                              </w:rPr>
                            </w:pPr>
                            <w:r>
                              <w:rPr>
                                <w:w w:val="100"/>
                                <w:sz w:val="21"/>
                              </w:rPr>
                              <w:t xml:space="preserve"> </w:t>
                            </w:r>
                          </w:p>
                        </w:tc>
                        <w:tc>
                          <w:tcPr>
                            <w:tcW w:w="1878" w:type="dxa"/>
                            <w:noWrap w:val="0"/>
                            <w:vAlign w:val="top"/>
                          </w:tcPr>
                          <w:p w14:paraId="0D1BF479">
                            <w:pPr>
                              <w:pStyle w:val="32"/>
                              <w:spacing w:before="109"/>
                              <w:ind w:left="135"/>
                              <w:jc w:val="center"/>
                              <w:rPr>
                                <w:sz w:val="21"/>
                              </w:rPr>
                            </w:pPr>
                            <w:r>
                              <w:rPr>
                                <w:w w:val="100"/>
                                <w:sz w:val="21"/>
                              </w:rPr>
                              <w:t xml:space="preserve"> </w:t>
                            </w:r>
                          </w:p>
                        </w:tc>
                        <w:tc>
                          <w:tcPr>
                            <w:tcW w:w="2115" w:type="dxa"/>
                            <w:noWrap w:val="0"/>
                            <w:vAlign w:val="top"/>
                          </w:tcPr>
                          <w:p w14:paraId="462D3CAB">
                            <w:pPr>
                              <w:pStyle w:val="32"/>
                              <w:spacing w:before="109"/>
                              <w:ind w:left="139"/>
                              <w:jc w:val="center"/>
                              <w:rPr>
                                <w:sz w:val="21"/>
                              </w:rPr>
                            </w:pPr>
                            <w:r>
                              <w:rPr>
                                <w:w w:val="100"/>
                                <w:sz w:val="21"/>
                              </w:rPr>
                              <w:t xml:space="preserve"> </w:t>
                            </w:r>
                          </w:p>
                        </w:tc>
                        <w:tc>
                          <w:tcPr>
                            <w:tcW w:w="1755" w:type="dxa"/>
                            <w:noWrap w:val="0"/>
                            <w:vAlign w:val="top"/>
                          </w:tcPr>
                          <w:p w14:paraId="174D5639">
                            <w:pPr>
                              <w:pStyle w:val="32"/>
                              <w:spacing w:before="109"/>
                              <w:ind w:left="139"/>
                              <w:jc w:val="center"/>
                              <w:rPr>
                                <w:sz w:val="21"/>
                              </w:rPr>
                            </w:pPr>
                            <w:r>
                              <w:rPr>
                                <w:w w:val="100"/>
                                <w:sz w:val="21"/>
                              </w:rPr>
                              <w:t xml:space="preserve"> </w:t>
                            </w:r>
                          </w:p>
                        </w:tc>
                        <w:tc>
                          <w:tcPr>
                            <w:tcW w:w="1723" w:type="dxa"/>
                            <w:noWrap w:val="0"/>
                            <w:vAlign w:val="top"/>
                          </w:tcPr>
                          <w:p w14:paraId="1E22A852">
                            <w:pPr>
                              <w:pStyle w:val="32"/>
                              <w:spacing w:before="109"/>
                              <w:ind w:left="135"/>
                              <w:jc w:val="center"/>
                              <w:rPr>
                                <w:sz w:val="21"/>
                              </w:rPr>
                            </w:pPr>
                            <w:r>
                              <w:rPr>
                                <w:w w:val="100"/>
                                <w:sz w:val="21"/>
                              </w:rPr>
                              <w:t xml:space="preserve"> </w:t>
                            </w:r>
                          </w:p>
                        </w:tc>
                        <w:tc>
                          <w:tcPr>
                            <w:tcW w:w="1721" w:type="dxa"/>
                            <w:noWrap w:val="0"/>
                            <w:vAlign w:val="top"/>
                          </w:tcPr>
                          <w:p w14:paraId="71D0F854">
                            <w:pPr>
                              <w:pStyle w:val="32"/>
                              <w:spacing w:before="109"/>
                              <w:ind w:right="722"/>
                              <w:jc w:val="right"/>
                              <w:rPr>
                                <w:sz w:val="21"/>
                              </w:rPr>
                            </w:pPr>
                            <w:r>
                              <w:rPr>
                                <w:w w:val="100"/>
                                <w:sz w:val="21"/>
                              </w:rPr>
                              <w:t xml:space="preserve"> </w:t>
                            </w:r>
                          </w:p>
                        </w:tc>
                      </w:tr>
                      <w:tr w14:paraId="7FC2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noWrap w:val="0"/>
                            <w:vAlign w:val="top"/>
                          </w:tcPr>
                          <w:p w14:paraId="4EB9F2C4">
                            <w:pPr>
                              <w:pStyle w:val="32"/>
                              <w:spacing w:before="111"/>
                              <w:ind w:left="122"/>
                              <w:jc w:val="center"/>
                              <w:rPr>
                                <w:sz w:val="21"/>
                              </w:rPr>
                            </w:pPr>
                            <w:r>
                              <w:rPr>
                                <w:w w:val="100"/>
                                <w:sz w:val="21"/>
                              </w:rPr>
                              <w:t xml:space="preserve"> </w:t>
                            </w:r>
                          </w:p>
                        </w:tc>
                        <w:tc>
                          <w:tcPr>
                            <w:tcW w:w="1878" w:type="dxa"/>
                            <w:noWrap w:val="0"/>
                            <w:vAlign w:val="top"/>
                          </w:tcPr>
                          <w:p w14:paraId="17ABAE61">
                            <w:pPr>
                              <w:pStyle w:val="32"/>
                              <w:spacing w:before="111"/>
                              <w:ind w:left="135"/>
                              <w:jc w:val="center"/>
                              <w:rPr>
                                <w:sz w:val="21"/>
                              </w:rPr>
                            </w:pPr>
                            <w:r>
                              <w:rPr>
                                <w:w w:val="100"/>
                                <w:sz w:val="21"/>
                              </w:rPr>
                              <w:t xml:space="preserve"> </w:t>
                            </w:r>
                          </w:p>
                        </w:tc>
                        <w:tc>
                          <w:tcPr>
                            <w:tcW w:w="2115" w:type="dxa"/>
                            <w:noWrap w:val="0"/>
                            <w:vAlign w:val="top"/>
                          </w:tcPr>
                          <w:p w14:paraId="2F441EE9">
                            <w:pPr>
                              <w:pStyle w:val="32"/>
                              <w:spacing w:before="111"/>
                              <w:ind w:left="139"/>
                              <w:jc w:val="center"/>
                              <w:rPr>
                                <w:sz w:val="21"/>
                              </w:rPr>
                            </w:pPr>
                            <w:r>
                              <w:rPr>
                                <w:w w:val="100"/>
                                <w:sz w:val="21"/>
                              </w:rPr>
                              <w:t xml:space="preserve"> </w:t>
                            </w:r>
                          </w:p>
                        </w:tc>
                        <w:tc>
                          <w:tcPr>
                            <w:tcW w:w="1755" w:type="dxa"/>
                            <w:noWrap w:val="0"/>
                            <w:vAlign w:val="top"/>
                          </w:tcPr>
                          <w:p w14:paraId="3518DFBE">
                            <w:pPr>
                              <w:pStyle w:val="32"/>
                              <w:spacing w:before="111"/>
                              <w:ind w:left="139"/>
                              <w:jc w:val="center"/>
                              <w:rPr>
                                <w:sz w:val="21"/>
                              </w:rPr>
                            </w:pPr>
                            <w:r>
                              <w:rPr>
                                <w:w w:val="100"/>
                                <w:sz w:val="21"/>
                              </w:rPr>
                              <w:t xml:space="preserve"> </w:t>
                            </w:r>
                          </w:p>
                        </w:tc>
                        <w:tc>
                          <w:tcPr>
                            <w:tcW w:w="1723" w:type="dxa"/>
                            <w:noWrap w:val="0"/>
                            <w:vAlign w:val="top"/>
                          </w:tcPr>
                          <w:p w14:paraId="3C72D780">
                            <w:pPr>
                              <w:pStyle w:val="32"/>
                              <w:spacing w:before="111"/>
                              <w:ind w:left="135"/>
                              <w:jc w:val="center"/>
                              <w:rPr>
                                <w:sz w:val="21"/>
                              </w:rPr>
                            </w:pPr>
                            <w:r>
                              <w:rPr>
                                <w:w w:val="100"/>
                                <w:sz w:val="21"/>
                              </w:rPr>
                              <w:t xml:space="preserve"> </w:t>
                            </w:r>
                          </w:p>
                        </w:tc>
                        <w:tc>
                          <w:tcPr>
                            <w:tcW w:w="1721" w:type="dxa"/>
                            <w:noWrap w:val="0"/>
                            <w:vAlign w:val="top"/>
                          </w:tcPr>
                          <w:p w14:paraId="6CFDDCA9">
                            <w:pPr>
                              <w:pStyle w:val="32"/>
                              <w:spacing w:before="111"/>
                              <w:ind w:right="722"/>
                              <w:jc w:val="right"/>
                              <w:rPr>
                                <w:sz w:val="21"/>
                              </w:rPr>
                            </w:pPr>
                            <w:r>
                              <w:rPr>
                                <w:w w:val="100"/>
                                <w:sz w:val="21"/>
                              </w:rPr>
                              <w:t xml:space="preserve"> </w:t>
                            </w:r>
                          </w:p>
                        </w:tc>
                      </w:tr>
                      <w:tr w14:paraId="3072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jc w:val="center"/>
                        </w:trPr>
                        <w:tc>
                          <w:tcPr>
                            <w:tcW w:w="492" w:type="dxa"/>
                            <w:noWrap w:val="0"/>
                            <w:vAlign w:val="top"/>
                          </w:tcPr>
                          <w:p w14:paraId="00B8D671">
                            <w:pPr>
                              <w:pStyle w:val="32"/>
                              <w:spacing w:before="109"/>
                              <w:ind w:left="122"/>
                              <w:jc w:val="center"/>
                              <w:rPr>
                                <w:sz w:val="21"/>
                              </w:rPr>
                            </w:pPr>
                            <w:r>
                              <w:rPr>
                                <w:w w:val="100"/>
                                <w:sz w:val="21"/>
                              </w:rPr>
                              <w:t xml:space="preserve"> </w:t>
                            </w:r>
                          </w:p>
                        </w:tc>
                        <w:tc>
                          <w:tcPr>
                            <w:tcW w:w="1878" w:type="dxa"/>
                            <w:noWrap w:val="0"/>
                            <w:vAlign w:val="top"/>
                          </w:tcPr>
                          <w:p w14:paraId="0BF16FA0">
                            <w:pPr>
                              <w:pStyle w:val="32"/>
                              <w:spacing w:before="109"/>
                              <w:ind w:left="135"/>
                              <w:jc w:val="center"/>
                              <w:rPr>
                                <w:sz w:val="21"/>
                              </w:rPr>
                            </w:pPr>
                            <w:r>
                              <w:rPr>
                                <w:w w:val="100"/>
                                <w:sz w:val="21"/>
                              </w:rPr>
                              <w:t xml:space="preserve"> </w:t>
                            </w:r>
                          </w:p>
                        </w:tc>
                        <w:tc>
                          <w:tcPr>
                            <w:tcW w:w="2115" w:type="dxa"/>
                            <w:noWrap w:val="0"/>
                            <w:vAlign w:val="top"/>
                          </w:tcPr>
                          <w:p w14:paraId="6704C0E3">
                            <w:pPr>
                              <w:pStyle w:val="32"/>
                              <w:spacing w:before="109"/>
                              <w:ind w:left="139"/>
                              <w:jc w:val="center"/>
                              <w:rPr>
                                <w:sz w:val="21"/>
                              </w:rPr>
                            </w:pPr>
                            <w:r>
                              <w:rPr>
                                <w:w w:val="100"/>
                                <w:sz w:val="21"/>
                              </w:rPr>
                              <w:t xml:space="preserve"> </w:t>
                            </w:r>
                          </w:p>
                        </w:tc>
                        <w:tc>
                          <w:tcPr>
                            <w:tcW w:w="1755" w:type="dxa"/>
                            <w:noWrap w:val="0"/>
                            <w:vAlign w:val="top"/>
                          </w:tcPr>
                          <w:p w14:paraId="21258494">
                            <w:pPr>
                              <w:pStyle w:val="32"/>
                              <w:spacing w:before="109"/>
                              <w:ind w:left="139"/>
                              <w:jc w:val="center"/>
                              <w:rPr>
                                <w:sz w:val="21"/>
                              </w:rPr>
                            </w:pPr>
                            <w:r>
                              <w:rPr>
                                <w:w w:val="100"/>
                                <w:sz w:val="21"/>
                              </w:rPr>
                              <w:t xml:space="preserve"> </w:t>
                            </w:r>
                          </w:p>
                        </w:tc>
                        <w:tc>
                          <w:tcPr>
                            <w:tcW w:w="1723" w:type="dxa"/>
                            <w:noWrap w:val="0"/>
                            <w:vAlign w:val="top"/>
                          </w:tcPr>
                          <w:p w14:paraId="220F6F9E">
                            <w:pPr>
                              <w:pStyle w:val="32"/>
                              <w:spacing w:before="109"/>
                              <w:ind w:left="135"/>
                              <w:jc w:val="center"/>
                              <w:rPr>
                                <w:sz w:val="21"/>
                              </w:rPr>
                            </w:pPr>
                            <w:r>
                              <w:rPr>
                                <w:w w:val="100"/>
                                <w:sz w:val="21"/>
                              </w:rPr>
                              <w:t xml:space="preserve"> </w:t>
                            </w:r>
                          </w:p>
                        </w:tc>
                        <w:tc>
                          <w:tcPr>
                            <w:tcW w:w="1721" w:type="dxa"/>
                            <w:noWrap w:val="0"/>
                            <w:vAlign w:val="top"/>
                          </w:tcPr>
                          <w:p w14:paraId="73F16979">
                            <w:pPr>
                              <w:pStyle w:val="32"/>
                              <w:spacing w:before="109"/>
                              <w:ind w:right="722"/>
                              <w:jc w:val="right"/>
                              <w:rPr>
                                <w:sz w:val="21"/>
                              </w:rPr>
                            </w:pPr>
                            <w:r>
                              <w:rPr>
                                <w:w w:val="100"/>
                                <w:sz w:val="21"/>
                              </w:rPr>
                              <w:t xml:space="preserve"> </w:t>
                            </w:r>
                          </w:p>
                        </w:tc>
                      </w:tr>
                      <w:tr w14:paraId="54DD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noWrap w:val="0"/>
                            <w:vAlign w:val="top"/>
                          </w:tcPr>
                          <w:p w14:paraId="4AF43608">
                            <w:pPr>
                              <w:pStyle w:val="32"/>
                              <w:spacing w:before="109"/>
                              <w:ind w:left="122"/>
                              <w:jc w:val="center"/>
                              <w:rPr>
                                <w:sz w:val="21"/>
                              </w:rPr>
                            </w:pPr>
                            <w:r>
                              <w:rPr>
                                <w:w w:val="100"/>
                                <w:sz w:val="21"/>
                              </w:rPr>
                              <w:t xml:space="preserve"> </w:t>
                            </w:r>
                          </w:p>
                        </w:tc>
                        <w:tc>
                          <w:tcPr>
                            <w:tcW w:w="1878" w:type="dxa"/>
                            <w:noWrap w:val="0"/>
                            <w:vAlign w:val="top"/>
                          </w:tcPr>
                          <w:p w14:paraId="73726242">
                            <w:pPr>
                              <w:pStyle w:val="32"/>
                              <w:spacing w:before="109"/>
                              <w:ind w:left="135"/>
                              <w:jc w:val="center"/>
                              <w:rPr>
                                <w:sz w:val="21"/>
                              </w:rPr>
                            </w:pPr>
                            <w:r>
                              <w:rPr>
                                <w:w w:val="100"/>
                                <w:sz w:val="21"/>
                              </w:rPr>
                              <w:t xml:space="preserve"> </w:t>
                            </w:r>
                          </w:p>
                        </w:tc>
                        <w:tc>
                          <w:tcPr>
                            <w:tcW w:w="2115" w:type="dxa"/>
                            <w:noWrap w:val="0"/>
                            <w:vAlign w:val="top"/>
                          </w:tcPr>
                          <w:p w14:paraId="6A0FB917">
                            <w:pPr>
                              <w:pStyle w:val="32"/>
                              <w:spacing w:before="109"/>
                              <w:ind w:left="139"/>
                              <w:jc w:val="center"/>
                              <w:rPr>
                                <w:sz w:val="21"/>
                              </w:rPr>
                            </w:pPr>
                            <w:r>
                              <w:rPr>
                                <w:w w:val="100"/>
                                <w:sz w:val="21"/>
                              </w:rPr>
                              <w:t xml:space="preserve"> </w:t>
                            </w:r>
                          </w:p>
                        </w:tc>
                        <w:tc>
                          <w:tcPr>
                            <w:tcW w:w="1755" w:type="dxa"/>
                            <w:noWrap w:val="0"/>
                            <w:vAlign w:val="top"/>
                          </w:tcPr>
                          <w:p w14:paraId="577DF54B">
                            <w:pPr>
                              <w:pStyle w:val="32"/>
                              <w:spacing w:before="109"/>
                              <w:ind w:left="139"/>
                              <w:jc w:val="center"/>
                              <w:rPr>
                                <w:sz w:val="21"/>
                              </w:rPr>
                            </w:pPr>
                            <w:r>
                              <w:rPr>
                                <w:w w:val="100"/>
                                <w:sz w:val="21"/>
                              </w:rPr>
                              <w:t xml:space="preserve"> </w:t>
                            </w:r>
                          </w:p>
                        </w:tc>
                        <w:tc>
                          <w:tcPr>
                            <w:tcW w:w="1723" w:type="dxa"/>
                            <w:noWrap w:val="0"/>
                            <w:vAlign w:val="top"/>
                          </w:tcPr>
                          <w:p w14:paraId="2F08D25B">
                            <w:pPr>
                              <w:pStyle w:val="32"/>
                              <w:spacing w:before="109"/>
                              <w:ind w:left="135"/>
                              <w:jc w:val="center"/>
                              <w:rPr>
                                <w:sz w:val="21"/>
                              </w:rPr>
                            </w:pPr>
                            <w:r>
                              <w:rPr>
                                <w:w w:val="100"/>
                                <w:sz w:val="21"/>
                              </w:rPr>
                              <w:t xml:space="preserve"> </w:t>
                            </w:r>
                          </w:p>
                        </w:tc>
                        <w:tc>
                          <w:tcPr>
                            <w:tcW w:w="1721" w:type="dxa"/>
                            <w:noWrap w:val="0"/>
                            <w:vAlign w:val="top"/>
                          </w:tcPr>
                          <w:p w14:paraId="2FDD09E4">
                            <w:pPr>
                              <w:pStyle w:val="32"/>
                              <w:spacing w:before="109"/>
                              <w:ind w:right="722"/>
                              <w:jc w:val="right"/>
                              <w:rPr>
                                <w:sz w:val="21"/>
                              </w:rPr>
                            </w:pPr>
                            <w:r>
                              <w:rPr>
                                <w:w w:val="100"/>
                                <w:sz w:val="21"/>
                              </w:rPr>
                              <w:t xml:space="preserve"> </w:t>
                            </w:r>
                          </w:p>
                        </w:tc>
                      </w:tr>
                      <w:tr w14:paraId="0314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noWrap w:val="0"/>
                            <w:vAlign w:val="top"/>
                          </w:tcPr>
                          <w:p w14:paraId="14B14C29">
                            <w:pPr>
                              <w:pStyle w:val="32"/>
                              <w:spacing w:before="109"/>
                              <w:ind w:left="122"/>
                              <w:jc w:val="center"/>
                              <w:rPr>
                                <w:sz w:val="21"/>
                              </w:rPr>
                            </w:pPr>
                            <w:r>
                              <w:rPr>
                                <w:w w:val="100"/>
                                <w:sz w:val="21"/>
                              </w:rPr>
                              <w:t xml:space="preserve"> </w:t>
                            </w:r>
                          </w:p>
                        </w:tc>
                        <w:tc>
                          <w:tcPr>
                            <w:tcW w:w="1878" w:type="dxa"/>
                            <w:noWrap w:val="0"/>
                            <w:vAlign w:val="top"/>
                          </w:tcPr>
                          <w:p w14:paraId="2CA62393">
                            <w:pPr>
                              <w:pStyle w:val="32"/>
                              <w:spacing w:before="109"/>
                              <w:ind w:left="135"/>
                              <w:jc w:val="center"/>
                              <w:rPr>
                                <w:sz w:val="21"/>
                              </w:rPr>
                            </w:pPr>
                            <w:r>
                              <w:rPr>
                                <w:w w:val="100"/>
                                <w:sz w:val="21"/>
                              </w:rPr>
                              <w:t xml:space="preserve"> </w:t>
                            </w:r>
                          </w:p>
                        </w:tc>
                        <w:tc>
                          <w:tcPr>
                            <w:tcW w:w="2115" w:type="dxa"/>
                            <w:noWrap w:val="0"/>
                            <w:vAlign w:val="top"/>
                          </w:tcPr>
                          <w:p w14:paraId="39DE8CCA">
                            <w:pPr>
                              <w:pStyle w:val="32"/>
                              <w:spacing w:before="109"/>
                              <w:ind w:left="139"/>
                              <w:jc w:val="center"/>
                              <w:rPr>
                                <w:sz w:val="21"/>
                              </w:rPr>
                            </w:pPr>
                            <w:r>
                              <w:rPr>
                                <w:w w:val="100"/>
                                <w:sz w:val="21"/>
                              </w:rPr>
                              <w:t xml:space="preserve"> </w:t>
                            </w:r>
                          </w:p>
                        </w:tc>
                        <w:tc>
                          <w:tcPr>
                            <w:tcW w:w="1755" w:type="dxa"/>
                            <w:noWrap w:val="0"/>
                            <w:vAlign w:val="top"/>
                          </w:tcPr>
                          <w:p w14:paraId="62A8499E">
                            <w:pPr>
                              <w:pStyle w:val="32"/>
                              <w:spacing w:before="109"/>
                              <w:ind w:left="139"/>
                              <w:jc w:val="center"/>
                              <w:rPr>
                                <w:sz w:val="21"/>
                              </w:rPr>
                            </w:pPr>
                            <w:r>
                              <w:rPr>
                                <w:w w:val="100"/>
                                <w:sz w:val="21"/>
                              </w:rPr>
                              <w:t xml:space="preserve"> </w:t>
                            </w:r>
                          </w:p>
                        </w:tc>
                        <w:tc>
                          <w:tcPr>
                            <w:tcW w:w="1723" w:type="dxa"/>
                            <w:noWrap w:val="0"/>
                            <w:vAlign w:val="top"/>
                          </w:tcPr>
                          <w:p w14:paraId="4B9EC7D2">
                            <w:pPr>
                              <w:pStyle w:val="32"/>
                              <w:spacing w:before="109"/>
                              <w:ind w:left="135"/>
                              <w:jc w:val="center"/>
                              <w:rPr>
                                <w:sz w:val="21"/>
                              </w:rPr>
                            </w:pPr>
                            <w:r>
                              <w:rPr>
                                <w:w w:val="100"/>
                                <w:sz w:val="21"/>
                              </w:rPr>
                              <w:t xml:space="preserve"> </w:t>
                            </w:r>
                          </w:p>
                        </w:tc>
                        <w:tc>
                          <w:tcPr>
                            <w:tcW w:w="1721" w:type="dxa"/>
                            <w:noWrap w:val="0"/>
                            <w:vAlign w:val="top"/>
                          </w:tcPr>
                          <w:p w14:paraId="4A25781B">
                            <w:pPr>
                              <w:pStyle w:val="32"/>
                              <w:spacing w:before="109"/>
                              <w:ind w:right="722"/>
                              <w:jc w:val="right"/>
                              <w:rPr>
                                <w:sz w:val="21"/>
                              </w:rPr>
                            </w:pPr>
                            <w:r>
                              <w:rPr>
                                <w:w w:val="100"/>
                                <w:sz w:val="21"/>
                              </w:rPr>
                              <w:t xml:space="preserve"> </w:t>
                            </w:r>
                          </w:p>
                        </w:tc>
                      </w:tr>
                      <w:tr w14:paraId="6911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92" w:type="dxa"/>
                            <w:noWrap w:val="0"/>
                            <w:vAlign w:val="top"/>
                          </w:tcPr>
                          <w:p w14:paraId="351F0CE6">
                            <w:pPr>
                              <w:pStyle w:val="32"/>
                              <w:spacing w:before="109"/>
                              <w:ind w:left="122"/>
                              <w:jc w:val="center"/>
                              <w:rPr>
                                <w:sz w:val="21"/>
                              </w:rPr>
                            </w:pPr>
                            <w:r>
                              <w:rPr>
                                <w:w w:val="100"/>
                                <w:sz w:val="21"/>
                              </w:rPr>
                              <w:t xml:space="preserve"> </w:t>
                            </w:r>
                          </w:p>
                        </w:tc>
                        <w:tc>
                          <w:tcPr>
                            <w:tcW w:w="1878" w:type="dxa"/>
                            <w:noWrap w:val="0"/>
                            <w:vAlign w:val="top"/>
                          </w:tcPr>
                          <w:p w14:paraId="42B447CF">
                            <w:pPr>
                              <w:pStyle w:val="32"/>
                              <w:spacing w:before="109"/>
                              <w:ind w:left="135"/>
                              <w:jc w:val="center"/>
                              <w:rPr>
                                <w:sz w:val="21"/>
                              </w:rPr>
                            </w:pPr>
                            <w:r>
                              <w:rPr>
                                <w:w w:val="100"/>
                                <w:sz w:val="21"/>
                              </w:rPr>
                              <w:t xml:space="preserve"> </w:t>
                            </w:r>
                          </w:p>
                        </w:tc>
                        <w:tc>
                          <w:tcPr>
                            <w:tcW w:w="2115" w:type="dxa"/>
                            <w:noWrap w:val="0"/>
                            <w:vAlign w:val="top"/>
                          </w:tcPr>
                          <w:p w14:paraId="436D70B6">
                            <w:pPr>
                              <w:pStyle w:val="32"/>
                              <w:spacing w:before="109"/>
                              <w:ind w:left="139"/>
                              <w:jc w:val="center"/>
                              <w:rPr>
                                <w:sz w:val="21"/>
                              </w:rPr>
                            </w:pPr>
                            <w:r>
                              <w:rPr>
                                <w:w w:val="100"/>
                                <w:sz w:val="21"/>
                              </w:rPr>
                              <w:t xml:space="preserve"> </w:t>
                            </w:r>
                          </w:p>
                        </w:tc>
                        <w:tc>
                          <w:tcPr>
                            <w:tcW w:w="1755" w:type="dxa"/>
                            <w:noWrap w:val="0"/>
                            <w:vAlign w:val="top"/>
                          </w:tcPr>
                          <w:p w14:paraId="34C84EC1">
                            <w:pPr>
                              <w:pStyle w:val="32"/>
                              <w:spacing w:before="109"/>
                              <w:ind w:left="139"/>
                              <w:jc w:val="center"/>
                              <w:rPr>
                                <w:sz w:val="21"/>
                              </w:rPr>
                            </w:pPr>
                            <w:r>
                              <w:rPr>
                                <w:w w:val="100"/>
                                <w:sz w:val="21"/>
                              </w:rPr>
                              <w:t xml:space="preserve"> </w:t>
                            </w:r>
                          </w:p>
                        </w:tc>
                        <w:tc>
                          <w:tcPr>
                            <w:tcW w:w="1723" w:type="dxa"/>
                            <w:noWrap w:val="0"/>
                            <w:vAlign w:val="top"/>
                          </w:tcPr>
                          <w:p w14:paraId="1D996C64">
                            <w:pPr>
                              <w:pStyle w:val="32"/>
                              <w:spacing w:before="109"/>
                              <w:ind w:left="135"/>
                              <w:jc w:val="center"/>
                              <w:rPr>
                                <w:sz w:val="21"/>
                              </w:rPr>
                            </w:pPr>
                            <w:r>
                              <w:rPr>
                                <w:w w:val="100"/>
                                <w:sz w:val="21"/>
                              </w:rPr>
                              <w:t xml:space="preserve"> </w:t>
                            </w:r>
                          </w:p>
                        </w:tc>
                        <w:tc>
                          <w:tcPr>
                            <w:tcW w:w="1721" w:type="dxa"/>
                            <w:noWrap w:val="0"/>
                            <w:vAlign w:val="top"/>
                          </w:tcPr>
                          <w:p w14:paraId="60A48D67">
                            <w:pPr>
                              <w:pStyle w:val="32"/>
                              <w:spacing w:before="109"/>
                              <w:ind w:right="722"/>
                              <w:jc w:val="right"/>
                              <w:rPr>
                                <w:sz w:val="21"/>
                              </w:rPr>
                            </w:pPr>
                            <w:r>
                              <w:rPr>
                                <w:w w:val="100"/>
                                <w:sz w:val="21"/>
                              </w:rPr>
                              <w:t xml:space="preserve"> </w:t>
                            </w:r>
                          </w:p>
                        </w:tc>
                      </w:tr>
                      <w:tr w14:paraId="18E6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92" w:type="dxa"/>
                            <w:noWrap w:val="0"/>
                            <w:vAlign w:val="top"/>
                          </w:tcPr>
                          <w:p w14:paraId="090C83E3">
                            <w:pPr>
                              <w:pStyle w:val="32"/>
                              <w:spacing w:before="109" w:line="269" w:lineRule="exact"/>
                              <w:ind w:left="122"/>
                              <w:jc w:val="center"/>
                              <w:rPr>
                                <w:sz w:val="21"/>
                              </w:rPr>
                            </w:pPr>
                            <w:r>
                              <w:rPr>
                                <w:w w:val="100"/>
                                <w:sz w:val="21"/>
                              </w:rPr>
                              <w:t xml:space="preserve"> </w:t>
                            </w:r>
                          </w:p>
                        </w:tc>
                        <w:tc>
                          <w:tcPr>
                            <w:tcW w:w="1878" w:type="dxa"/>
                            <w:noWrap w:val="0"/>
                            <w:vAlign w:val="top"/>
                          </w:tcPr>
                          <w:p w14:paraId="385D596D">
                            <w:pPr>
                              <w:pStyle w:val="32"/>
                              <w:spacing w:before="109" w:line="269" w:lineRule="exact"/>
                              <w:ind w:left="135"/>
                              <w:jc w:val="center"/>
                              <w:rPr>
                                <w:sz w:val="21"/>
                              </w:rPr>
                            </w:pPr>
                            <w:r>
                              <w:rPr>
                                <w:w w:val="100"/>
                                <w:sz w:val="21"/>
                              </w:rPr>
                              <w:t xml:space="preserve"> </w:t>
                            </w:r>
                          </w:p>
                        </w:tc>
                        <w:tc>
                          <w:tcPr>
                            <w:tcW w:w="2115" w:type="dxa"/>
                            <w:noWrap w:val="0"/>
                            <w:vAlign w:val="top"/>
                          </w:tcPr>
                          <w:p w14:paraId="16ACC73B">
                            <w:pPr>
                              <w:pStyle w:val="32"/>
                              <w:spacing w:before="109" w:line="269" w:lineRule="exact"/>
                              <w:ind w:left="139"/>
                              <w:jc w:val="center"/>
                              <w:rPr>
                                <w:sz w:val="21"/>
                              </w:rPr>
                            </w:pPr>
                            <w:r>
                              <w:rPr>
                                <w:w w:val="100"/>
                                <w:sz w:val="21"/>
                              </w:rPr>
                              <w:t xml:space="preserve"> </w:t>
                            </w:r>
                          </w:p>
                        </w:tc>
                        <w:tc>
                          <w:tcPr>
                            <w:tcW w:w="1755" w:type="dxa"/>
                            <w:noWrap w:val="0"/>
                            <w:vAlign w:val="top"/>
                          </w:tcPr>
                          <w:p w14:paraId="76FA310C">
                            <w:pPr>
                              <w:pStyle w:val="32"/>
                              <w:spacing w:before="109" w:line="269" w:lineRule="exact"/>
                              <w:ind w:left="139"/>
                              <w:jc w:val="center"/>
                              <w:rPr>
                                <w:sz w:val="21"/>
                              </w:rPr>
                            </w:pPr>
                            <w:r>
                              <w:rPr>
                                <w:w w:val="100"/>
                                <w:sz w:val="21"/>
                              </w:rPr>
                              <w:t xml:space="preserve"> </w:t>
                            </w:r>
                          </w:p>
                        </w:tc>
                        <w:tc>
                          <w:tcPr>
                            <w:tcW w:w="1723" w:type="dxa"/>
                            <w:noWrap w:val="0"/>
                            <w:vAlign w:val="top"/>
                          </w:tcPr>
                          <w:p w14:paraId="7CBF1188">
                            <w:pPr>
                              <w:pStyle w:val="32"/>
                              <w:spacing w:before="109" w:line="269" w:lineRule="exact"/>
                              <w:ind w:left="135"/>
                              <w:jc w:val="center"/>
                              <w:rPr>
                                <w:sz w:val="21"/>
                              </w:rPr>
                            </w:pPr>
                            <w:r>
                              <w:rPr>
                                <w:w w:val="100"/>
                                <w:sz w:val="21"/>
                              </w:rPr>
                              <w:t xml:space="preserve"> </w:t>
                            </w:r>
                          </w:p>
                        </w:tc>
                        <w:tc>
                          <w:tcPr>
                            <w:tcW w:w="1721" w:type="dxa"/>
                            <w:noWrap w:val="0"/>
                            <w:vAlign w:val="top"/>
                          </w:tcPr>
                          <w:p w14:paraId="4E6A06EA">
                            <w:pPr>
                              <w:pStyle w:val="32"/>
                              <w:spacing w:before="109" w:line="269" w:lineRule="exact"/>
                              <w:ind w:right="722"/>
                              <w:jc w:val="right"/>
                              <w:rPr>
                                <w:sz w:val="21"/>
                              </w:rPr>
                            </w:pPr>
                            <w:r>
                              <w:rPr>
                                <w:w w:val="100"/>
                                <w:sz w:val="21"/>
                              </w:rPr>
                              <w:t xml:space="preserve"> </w:t>
                            </w:r>
                          </w:p>
                        </w:tc>
                      </w:tr>
                    </w:tbl>
                    <w:p w14:paraId="64A18F1F">
                      <w:pPr>
                        <w:pStyle w:val="10"/>
                      </w:pPr>
                    </w:p>
                  </w:txbxContent>
                </v:textbox>
              </v:shape>
            </w:pict>
          </mc:Fallback>
        </mc:AlternateContent>
      </w:r>
    </w:p>
    <w:p w14:paraId="42D267B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9D3E09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83B227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26595A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09C711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B48FB0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14B7F6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3B90AA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BC3FA9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1A1C52E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备注：根据评审表的要求提交相应资料。 </w:t>
      </w:r>
    </w:p>
    <w:p w14:paraId="627ADCB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9F62F7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F04A3B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42AD68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3B4B19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p>
    <w:p w14:paraId="45320B0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供应商名称（单位盖公章）：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1523D0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98BFCE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35D44E0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sectPr>
          <w:headerReference r:id="rId18" w:type="default"/>
          <w:footerReference r:id="rId19" w:type="default"/>
          <w:pgSz w:w="11910" w:h="16840"/>
          <w:pgMar w:top="1984" w:right="1531" w:bottom="2098" w:left="1531" w:header="670" w:footer="1041" w:gutter="0"/>
          <w:pgNumType w:fmt="decimal"/>
          <w:cols w:space="720" w:num="1"/>
          <w:rtlGutter w:val="0"/>
          <w:docGrid w:linePitch="1" w:charSpace="0"/>
        </w:sectPr>
      </w:pPr>
    </w:p>
    <w:p w14:paraId="41A7D53E">
      <w:pPr>
        <w:jc w:val="center"/>
        <w:rPr>
          <w:rFonts w:hint="eastAsia" w:ascii="宋体" w:hAnsi="宋体" w:eastAsia="宋体" w:cs="宋体"/>
          <w:b/>
          <w:bCs/>
          <w:color w:val="auto"/>
          <w:sz w:val="30"/>
          <w:szCs w:val="30"/>
          <w:highlight w:val="none"/>
          <w:lang w:val="en-US" w:eastAsia="zh-CN"/>
        </w:rPr>
      </w:pPr>
      <w:r>
        <w:rPr>
          <w:rFonts w:hint="eastAsia" w:cs="宋体"/>
          <w:b/>
          <w:bCs/>
          <w:color w:val="auto"/>
          <w:sz w:val="30"/>
          <w:szCs w:val="30"/>
          <w:highlight w:val="none"/>
          <w:lang w:val="en-US" w:eastAsia="zh-CN"/>
        </w:rPr>
        <w:t>2</w:t>
      </w:r>
      <w:r>
        <w:rPr>
          <w:rFonts w:hint="eastAsia" w:ascii="宋体" w:hAnsi="宋体" w:eastAsia="宋体" w:cs="宋体"/>
          <w:b/>
          <w:bCs/>
          <w:color w:val="auto"/>
          <w:sz w:val="30"/>
          <w:szCs w:val="30"/>
          <w:highlight w:val="none"/>
          <w:lang w:val="en-US" w:eastAsia="zh-CN"/>
        </w:rPr>
        <w:t>.</w:t>
      </w:r>
      <w:r>
        <w:rPr>
          <w:rFonts w:hint="eastAsia" w:cs="宋体"/>
          <w:b/>
          <w:bCs/>
          <w:color w:val="auto"/>
          <w:sz w:val="30"/>
          <w:szCs w:val="30"/>
          <w:highlight w:val="none"/>
          <w:lang w:val="en-US" w:eastAsia="zh-CN"/>
        </w:rPr>
        <w:t xml:space="preserve">6 </w:t>
      </w:r>
      <w:r>
        <w:rPr>
          <w:rFonts w:hint="eastAsia" w:ascii="宋体" w:hAnsi="宋体" w:eastAsia="宋体" w:cs="宋体"/>
          <w:b/>
          <w:bCs/>
          <w:color w:val="auto"/>
          <w:sz w:val="30"/>
          <w:szCs w:val="30"/>
          <w:highlight w:val="none"/>
          <w:lang w:val="en-US" w:eastAsia="zh-CN"/>
        </w:rPr>
        <w:t>项目团队</w:t>
      </w:r>
    </w:p>
    <w:p w14:paraId="2EA5A234">
      <w:pPr>
        <w:pStyle w:val="9"/>
        <w:rPr>
          <w:color w:val="auto"/>
          <w:highlight w:val="none"/>
        </w:rPr>
      </w:pPr>
    </w:p>
    <w:p w14:paraId="60BB0BD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注：根据</w:t>
      </w:r>
      <w:r>
        <w:rPr>
          <w:rFonts w:hint="eastAsia"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须知</w:t>
      </w:r>
      <w:r>
        <w:rPr>
          <w:rFonts w:hint="eastAsia" w:cs="宋体"/>
          <w:color w:val="auto"/>
          <w:sz w:val="24"/>
          <w:szCs w:val="24"/>
          <w:highlight w:val="none"/>
          <w:lang w:val="en-US" w:eastAsia="zh-CN"/>
        </w:rPr>
        <w:t>第七部分</w:t>
      </w:r>
      <w:r>
        <w:rPr>
          <w:rFonts w:hint="eastAsia" w:ascii="宋体" w:hAnsi="宋体" w:eastAsia="宋体" w:cs="宋体"/>
          <w:color w:val="auto"/>
          <w:sz w:val="24"/>
          <w:szCs w:val="24"/>
          <w:highlight w:val="none"/>
          <w:lang w:val="en-US" w:eastAsia="zh-CN"/>
        </w:rPr>
        <w:t>评审</w:t>
      </w:r>
      <w:r>
        <w:rPr>
          <w:rFonts w:hint="eastAsia" w:cs="宋体"/>
          <w:color w:val="auto"/>
          <w:sz w:val="24"/>
          <w:szCs w:val="24"/>
          <w:highlight w:val="none"/>
          <w:lang w:val="en-US" w:eastAsia="zh-CN"/>
        </w:rPr>
        <w:t>标准</w:t>
      </w:r>
      <w:r>
        <w:rPr>
          <w:rFonts w:hint="eastAsia" w:ascii="宋体" w:hAnsi="宋体" w:eastAsia="宋体" w:cs="宋体"/>
          <w:color w:val="auto"/>
          <w:sz w:val="24"/>
          <w:szCs w:val="24"/>
          <w:highlight w:val="none"/>
          <w:lang w:val="en-US" w:eastAsia="zh-CN"/>
        </w:rPr>
        <w:t>“商务部</w:t>
      </w:r>
      <w:r>
        <w:rPr>
          <w:rFonts w:hint="eastAsia" w:cs="宋体"/>
          <w:color w:val="auto"/>
          <w:sz w:val="24"/>
          <w:szCs w:val="24"/>
          <w:highlight w:val="none"/>
          <w:lang w:val="en-US" w:eastAsia="zh-CN"/>
        </w:rPr>
        <w:t>分</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评审内容</w:t>
      </w:r>
      <w:r>
        <w:rPr>
          <w:rFonts w:hint="eastAsia" w:ascii="宋体" w:hAnsi="宋体" w:eastAsia="宋体" w:cs="宋体"/>
          <w:color w:val="auto"/>
          <w:sz w:val="24"/>
          <w:szCs w:val="24"/>
          <w:highlight w:val="none"/>
          <w:lang w:val="en-US" w:eastAsia="zh-CN"/>
        </w:rPr>
        <w:t xml:space="preserve">的要求编写及提供相关资料，复印件均要求加盖公章。 </w:t>
      </w:r>
    </w:p>
    <w:p w14:paraId="369429D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供应商法定代表人（或法定代表人授权代表）签名或签章： </w:t>
      </w:r>
    </w:p>
    <w:p w14:paraId="62A8F58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供应商名称（盖公章）： </w:t>
      </w:r>
    </w:p>
    <w:p w14:paraId="15C7F6C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日 期： 年 月 日</w:t>
      </w:r>
    </w:p>
    <w:p w14:paraId="27C583AC">
      <w:pPr>
        <w:rPr>
          <w:rFonts w:hint="eastAsia"/>
          <w:color w:val="auto"/>
          <w:highlight w:val="none"/>
          <w:lang w:val="en-US" w:eastAsia="zh-CN"/>
        </w:rPr>
      </w:pPr>
    </w:p>
    <w:p w14:paraId="448500C7">
      <w:pPr>
        <w:pStyle w:val="9"/>
        <w:rPr>
          <w:rFonts w:hint="eastAsia" w:ascii="宋体" w:hAnsi="宋体" w:eastAsia="宋体" w:cs="宋体"/>
          <w:b/>
          <w:bCs/>
          <w:color w:val="auto"/>
          <w:sz w:val="30"/>
          <w:szCs w:val="30"/>
          <w:highlight w:val="none"/>
          <w:lang w:val="en-US" w:eastAsia="zh-CN"/>
        </w:rPr>
      </w:pPr>
    </w:p>
    <w:p w14:paraId="2B89D9D0">
      <w:pPr>
        <w:rPr>
          <w:rFonts w:hint="eastAsia" w:ascii="宋体" w:hAnsi="宋体" w:eastAsia="宋体" w:cs="宋体"/>
          <w:b/>
          <w:bCs/>
          <w:color w:val="auto"/>
          <w:sz w:val="30"/>
          <w:szCs w:val="30"/>
          <w:highlight w:val="none"/>
          <w:lang w:val="en-US" w:eastAsia="zh-CN"/>
        </w:rPr>
      </w:pPr>
    </w:p>
    <w:p w14:paraId="79B9174C">
      <w:pPr>
        <w:pStyle w:val="9"/>
        <w:rPr>
          <w:rFonts w:hint="eastAsia" w:ascii="宋体" w:hAnsi="宋体" w:eastAsia="宋体" w:cs="宋体"/>
          <w:b/>
          <w:bCs/>
          <w:color w:val="auto"/>
          <w:sz w:val="30"/>
          <w:szCs w:val="30"/>
          <w:highlight w:val="none"/>
          <w:lang w:val="en-US" w:eastAsia="zh-CN"/>
        </w:rPr>
      </w:pPr>
    </w:p>
    <w:p w14:paraId="38AC2056">
      <w:pPr>
        <w:rPr>
          <w:rFonts w:hint="eastAsia" w:ascii="宋体" w:hAnsi="宋体" w:eastAsia="宋体" w:cs="宋体"/>
          <w:b/>
          <w:bCs/>
          <w:color w:val="auto"/>
          <w:sz w:val="30"/>
          <w:szCs w:val="30"/>
          <w:highlight w:val="none"/>
          <w:lang w:val="en-US" w:eastAsia="zh-CN"/>
        </w:rPr>
      </w:pPr>
    </w:p>
    <w:p w14:paraId="16834CD0">
      <w:pPr>
        <w:pStyle w:val="9"/>
        <w:rPr>
          <w:rFonts w:hint="eastAsia" w:ascii="宋体" w:hAnsi="宋体" w:eastAsia="宋体" w:cs="宋体"/>
          <w:b/>
          <w:bCs/>
          <w:color w:val="auto"/>
          <w:sz w:val="30"/>
          <w:szCs w:val="30"/>
          <w:highlight w:val="none"/>
          <w:lang w:val="en-US" w:eastAsia="zh-CN"/>
        </w:rPr>
      </w:pPr>
    </w:p>
    <w:p w14:paraId="7BCACFCB">
      <w:pPr>
        <w:rPr>
          <w:rFonts w:hint="eastAsia" w:ascii="宋体" w:hAnsi="宋体" w:eastAsia="宋体" w:cs="宋体"/>
          <w:b/>
          <w:bCs/>
          <w:color w:val="auto"/>
          <w:sz w:val="30"/>
          <w:szCs w:val="30"/>
          <w:highlight w:val="none"/>
          <w:lang w:val="en-US" w:eastAsia="zh-CN"/>
        </w:rPr>
      </w:pPr>
    </w:p>
    <w:p w14:paraId="691ECD72">
      <w:pPr>
        <w:pStyle w:val="9"/>
        <w:rPr>
          <w:rFonts w:hint="eastAsia" w:ascii="宋体" w:hAnsi="宋体" w:eastAsia="宋体" w:cs="宋体"/>
          <w:b/>
          <w:bCs/>
          <w:color w:val="auto"/>
          <w:sz w:val="30"/>
          <w:szCs w:val="30"/>
          <w:highlight w:val="none"/>
          <w:lang w:val="en-US" w:eastAsia="zh-CN"/>
        </w:rPr>
      </w:pPr>
    </w:p>
    <w:p w14:paraId="4FBA74C3">
      <w:pPr>
        <w:rPr>
          <w:rFonts w:hint="eastAsia" w:ascii="宋体" w:hAnsi="宋体" w:eastAsia="宋体" w:cs="宋体"/>
          <w:b/>
          <w:bCs/>
          <w:color w:val="auto"/>
          <w:sz w:val="30"/>
          <w:szCs w:val="30"/>
          <w:highlight w:val="none"/>
          <w:lang w:val="en-US" w:eastAsia="zh-CN"/>
        </w:rPr>
      </w:pPr>
    </w:p>
    <w:p w14:paraId="782C26C0">
      <w:pPr>
        <w:pStyle w:val="9"/>
        <w:rPr>
          <w:rFonts w:hint="eastAsia" w:ascii="宋体" w:hAnsi="宋体" w:eastAsia="宋体" w:cs="宋体"/>
          <w:b/>
          <w:bCs/>
          <w:color w:val="auto"/>
          <w:sz w:val="30"/>
          <w:szCs w:val="30"/>
          <w:highlight w:val="none"/>
          <w:lang w:val="en-US" w:eastAsia="zh-CN"/>
        </w:rPr>
      </w:pPr>
    </w:p>
    <w:p w14:paraId="11F68B94">
      <w:pPr>
        <w:rPr>
          <w:rFonts w:hint="eastAsia" w:ascii="宋体" w:hAnsi="宋体" w:eastAsia="宋体" w:cs="宋体"/>
          <w:b/>
          <w:bCs/>
          <w:color w:val="auto"/>
          <w:sz w:val="30"/>
          <w:szCs w:val="30"/>
          <w:highlight w:val="none"/>
          <w:lang w:val="en-US" w:eastAsia="zh-CN"/>
        </w:rPr>
      </w:pPr>
    </w:p>
    <w:p w14:paraId="321018A7">
      <w:pPr>
        <w:pStyle w:val="9"/>
        <w:rPr>
          <w:rFonts w:hint="eastAsia" w:ascii="宋体" w:hAnsi="宋体" w:eastAsia="宋体" w:cs="宋体"/>
          <w:b/>
          <w:bCs/>
          <w:color w:val="auto"/>
          <w:sz w:val="30"/>
          <w:szCs w:val="30"/>
          <w:highlight w:val="none"/>
          <w:lang w:val="en-US" w:eastAsia="zh-CN"/>
        </w:rPr>
      </w:pPr>
    </w:p>
    <w:p w14:paraId="32E71BA7">
      <w:pPr>
        <w:rPr>
          <w:rFonts w:hint="eastAsia" w:ascii="宋体" w:hAnsi="宋体" w:eastAsia="宋体" w:cs="宋体"/>
          <w:b/>
          <w:bCs/>
          <w:color w:val="auto"/>
          <w:sz w:val="30"/>
          <w:szCs w:val="30"/>
          <w:highlight w:val="none"/>
          <w:lang w:val="en-US" w:eastAsia="zh-CN"/>
        </w:rPr>
      </w:pPr>
    </w:p>
    <w:p w14:paraId="0B291027">
      <w:pPr>
        <w:pStyle w:val="9"/>
        <w:rPr>
          <w:rFonts w:hint="eastAsia" w:ascii="宋体" w:hAnsi="宋体" w:eastAsia="宋体" w:cs="宋体"/>
          <w:b/>
          <w:bCs/>
          <w:color w:val="auto"/>
          <w:sz w:val="30"/>
          <w:szCs w:val="30"/>
          <w:highlight w:val="none"/>
          <w:lang w:val="en-US" w:eastAsia="zh-CN"/>
        </w:rPr>
      </w:pPr>
    </w:p>
    <w:p w14:paraId="4E1FC3DB">
      <w:pPr>
        <w:rPr>
          <w:rFonts w:hint="eastAsia" w:ascii="宋体" w:hAnsi="宋体" w:eastAsia="宋体" w:cs="宋体"/>
          <w:b/>
          <w:bCs/>
          <w:color w:val="auto"/>
          <w:sz w:val="30"/>
          <w:szCs w:val="30"/>
          <w:highlight w:val="none"/>
          <w:lang w:val="en-US" w:eastAsia="zh-CN"/>
        </w:rPr>
      </w:pPr>
    </w:p>
    <w:p w14:paraId="0B366FAC">
      <w:pPr>
        <w:pStyle w:val="9"/>
        <w:rPr>
          <w:rFonts w:hint="eastAsia" w:ascii="宋体" w:hAnsi="宋体" w:eastAsia="宋体" w:cs="宋体"/>
          <w:b/>
          <w:bCs/>
          <w:color w:val="auto"/>
          <w:sz w:val="30"/>
          <w:szCs w:val="30"/>
          <w:highlight w:val="none"/>
          <w:lang w:val="en-US" w:eastAsia="zh-CN"/>
        </w:rPr>
      </w:pPr>
    </w:p>
    <w:p w14:paraId="2C0087F7">
      <w:pPr>
        <w:rPr>
          <w:rFonts w:hint="eastAsia" w:ascii="宋体" w:hAnsi="宋体" w:eastAsia="宋体" w:cs="宋体"/>
          <w:b/>
          <w:bCs/>
          <w:color w:val="auto"/>
          <w:sz w:val="30"/>
          <w:szCs w:val="30"/>
          <w:highlight w:val="none"/>
          <w:lang w:val="en-US" w:eastAsia="zh-CN"/>
        </w:rPr>
      </w:pPr>
    </w:p>
    <w:p w14:paraId="2CC40B3D">
      <w:pPr>
        <w:pStyle w:val="9"/>
        <w:rPr>
          <w:rFonts w:hint="eastAsia" w:ascii="宋体" w:hAnsi="宋体" w:eastAsia="宋体" w:cs="宋体"/>
          <w:b/>
          <w:bCs/>
          <w:color w:val="auto"/>
          <w:sz w:val="30"/>
          <w:szCs w:val="30"/>
          <w:highlight w:val="none"/>
          <w:lang w:val="en-US" w:eastAsia="zh-CN"/>
        </w:rPr>
      </w:pPr>
    </w:p>
    <w:p w14:paraId="3216CB3E">
      <w:pPr>
        <w:rPr>
          <w:rFonts w:hint="eastAsia" w:ascii="宋体" w:hAnsi="宋体" w:eastAsia="宋体" w:cs="宋体"/>
          <w:b/>
          <w:bCs/>
          <w:color w:val="auto"/>
          <w:sz w:val="30"/>
          <w:szCs w:val="30"/>
          <w:highlight w:val="none"/>
          <w:lang w:val="en-US" w:eastAsia="zh-CN"/>
        </w:rPr>
      </w:pPr>
    </w:p>
    <w:p w14:paraId="4758C868">
      <w:pPr>
        <w:pStyle w:val="9"/>
        <w:rPr>
          <w:rFonts w:hint="eastAsia" w:ascii="宋体" w:hAnsi="宋体" w:eastAsia="宋体" w:cs="宋体"/>
          <w:b/>
          <w:bCs/>
          <w:color w:val="auto"/>
          <w:sz w:val="30"/>
          <w:szCs w:val="30"/>
          <w:highlight w:val="none"/>
          <w:lang w:val="en-US" w:eastAsia="zh-CN"/>
        </w:rPr>
      </w:pPr>
    </w:p>
    <w:p w14:paraId="70DDED9D">
      <w:pPr>
        <w:rPr>
          <w:rFonts w:hint="eastAsia" w:ascii="宋体" w:hAnsi="宋体" w:eastAsia="宋体" w:cs="宋体"/>
          <w:b/>
          <w:bCs/>
          <w:color w:val="auto"/>
          <w:sz w:val="30"/>
          <w:szCs w:val="30"/>
          <w:highlight w:val="none"/>
          <w:lang w:val="en-US" w:eastAsia="zh-CN"/>
        </w:rPr>
      </w:pPr>
    </w:p>
    <w:p w14:paraId="14624DC3">
      <w:pPr>
        <w:pStyle w:val="9"/>
        <w:rPr>
          <w:rFonts w:hint="eastAsia" w:ascii="宋体" w:hAnsi="宋体" w:eastAsia="宋体" w:cs="宋体"/>
          <w:b/>
          <w:bCs/>
          <w:color w:val="auto"/>
          <w:sz w:val="30"/>
          <w:szCs w:val="30"/>
          <w:highlight w:val="none"/>
          <w:lang w:val="en-US" w:eastAsia="zh-CN"/>
        </w:rPr>
      </w:pPr>
    </w:p>
    <w:p w14:paraId="6F275E07">
      <w:pPr>
        <w:rPr>
          <w:rFonts w:hint="eastAsia" w:ascii="宋体" w:hAnsi="宋体" w:eastAsia="宋体" w:cs="宋体"/>
          <w:b/>
          <w:bCs/>
          <w:color w:val="auto"/>
          <w:sz w:val="30"/>
          <w:szCs w:val="30"/>
          <w:highlight w:val="none"/>
          <w:lang w:val="en-US" w:eastAsia="zh-CN"/>
        </w:rPr>
      </w:pPr>
    </w:p>
    <w:p w14:paraId="15899241">
      <w:pPr>
        <w:pStyle w:val="9"/>
        <w:rPr>
          <w:rFonts w:hint="eastAsia" w:ascii="宋体" w:hAnsi="宋体" w:eastAsia="宋体" w:cs="宋体"/>
          <w:b/>
          <w:bCs/>
          <w:color w:val="auto"/>
          <w:sz w:val="30"/>
          <w:szCs w:val="30"/>
          <w:highlight w:val="none"/>
          <w:lang w:val="en-US" w:eastAsia="zh-CN"/>
        </w:rPr>
      </w:pPr>
    </w:p>
    <w:p w14:paraId="7E61215D">
      <w:pPr>
        <w:rPr>
          <w:rFonts w:hint="eastAsia"/>
          <w:color w:val="auto"/>
          <w:highlight w:val="none"/>
          <w:lang w:val="en-US" w:eastAsia="zh-CN"/>
        </w:rPr>
      </w:pPr>
    </w:p>
    <w:p w14:paraId="5554E9B4">
      <w:pPr>
        <w:rPr>
          <w:rFonts w:hint="eastAsia" w:ascii="宋体" w:hAnsi="宋体" w:eastAsia="宋体" w:cs="宋体"/>
          <w:b/>
          <w:bCs/>
          <w:color w:val="auto"/>
          <w:sz w:val="30"/>
          <w:szCs w:val="30"/>
          <w:highlight w:val="none"/>
          <w:lang w:val="en-US" w:eastAsia="zh-CN"/>
        </w:rPr>
      </w:pPr>
    </w:p>
    <w:p w14:paraId="388F7CCD">
      <w:pPr>
        <w:pStyle w:val="9"/>
        <w:rPr>
          <w:rFonts w:hint="eastAsia" w:ascii="宋体" w:hAnsi="宋体" w:eastAsia="宋体" w:cs="宋体"/>
          <w:b/>
          <w:bCs/>
          <w:color w:val="auto"/>
          <w:sz w:val="30"/>
          <w:szCs w:val="30"/>
          <w:highlight w:val="none"/>
          <w:lang w:val="en-US" w:eastAsia="zh-CN"/>
        </w:rPr>
      </w:pPr>
    </w:p>
    <w:p w14:paraId="21AB4A90">
      <w:pPr>
        <w:rPr>
          <w:rFonts w:hint="eastAsia"/>
          <w:color w:val="auto"/>
          <w:highlight w:val="none"/>
          <w:lang w:val="en-US" w:eastAsia="zh-CN"/>
        </w:rPr>
      </w:pPr>
    </w:p>
    <w:p w14:paraId="296A78EB">
      <w:pPr>
        <w:pStyle w:val="9"/>
        <w:rPr>
          <w:rFonts w:hint="eastAsia"/>
          <w:color w:val="auto"/>
          <w:highlight w:val="none"/>
          <w:lang w:val="en-US" w:eastAsia="zh-CN"/>
        </w:rPr>
      </w:pPr>
    </w:p>
    <w:p w14:paraId="7DAD04B0">
      <w:pPr>
        <w:keepNext w:val="0"/>
        <w:keepLines w:val="0"/>
        <w:pageBreakBefore w:val="0"/>
        <w:widowControl w:val="0"/>
        <w:kinsoku/>
        <w:wordWrap/>
        <w:overflowPunct/>
        <w:topLinePunct w:val="0"/>
        <w:autoSpaceDE w:val="0"/>
        <w:autoSpaceDN w:val="0"/>
        <w:bidi w:val="0"/>
        <w:adjustRightInd/>
        <w:snapToGrid/>
        <w:spacing w:line="440" w:lineRule="exact"/>
        <w:ind w:firstLine="1205" w:firstLineChars="400"/>
        <w:jc w:val="both"/>
        <w:textAlignment w:val="auto"/>
        <w:rPr>
          <w:rFonts w:hint="eastAsia" w:ascii="宋体" w:hAnsi="宋体" w:eastAsia="宋体" w:cs="宋体"/>
          <w:b/>
          <w:bCs/>
          <w:color w:val="auto"/>
          <w:sz w:val="30"/>
          <w:szCs w:val="30"/>
          <w:highlight w:val="none"/>
        </w:rPr>
      </w:pPr>
      <w:r>
        <w:rPr>
          <w:rFonts w:hint="eastAsia" w:cs="宋体"/>
          <w:b/>
          <w:bCs/>
          <w:color w:val="auto"/>
          <w:sz w:val="30"/>
          <w:szCs w:val="30"/>
          <w:highlight w:val="none"/>
          <w:lang w:val="en-US" w:eastAsia="zh-CN"/>
        </w:rPr>
        <w:t xml:space="preserve">2.7  </w:t>
      </w:r>
      <w:r>
        <w:rPr>
          <w:rFonts w:hint="eastAsia" w:ascii="宋体" w:hAnsi="宋体" w:eastAsia="宋体" w:cs="宋体"/>
          <w:b/>
          <w:bCs/>
          <w:color w:val="auto"/>
          <w:sz w:val="30"/>
          <w:szCs w:val="30"/>
          <w:highlight w:val="none"/>
        </w:rPr>
        <w:t>中小企业声明函</w:t>
      </w:r>
      <w:r>
        <w:rPr>
          <w:rFonts w:hint="eastAsia" w:cs="宋体"/>
          <w:b/>
          <w:bCs/>
          <w:color w:val="auto"/>
          <w:sz w:val="30"/>
          <w:szCs w:val="30"/>
          <w:highlight w:val="none"/>
          <w:lang w:eastAsia="zh-CN"/>
        </w:rPr>
        <w:t>（</w:t>
      </w:r>
      <w:r>
        <w:rPr>
          <w:rFonts w:hint="eastAsia" w:cs="宋体"/>
          <w:b/>
          <w:bCs/>
          <w:color w:val="auto"/>
          <w:sz w:val="30"/>
          <w:szCs w:val="30"/>
          <w:highlight w:val="none"/>
          <w:lang w:val="en-US" w:eastAsia="zh-CN"/>
        </w:rPr>
        <w:t>实质性条款必须提供</w:t>
      </w:r>
      <w:r>
        <w:rPr>
          <w:rFonts w:hint="eastAsia" w:cs="宋体"/>
          <w:b/>
          <w:bCs/>
          <w:color w:val="auto"/>
          <w:sz w:val="30"/>
          <w:szCs w:val="30"/>
          <w:highlight w:val="none"/>
          <w:lang w:eastAsia="zh-CN"/>
        </w:rPr>
        <w:t>）</w:t>
      </w:r>
      <w:r>
        <w:rPr>
          <w:rFonts w:hint="eastAsia" w:ascii="宋体" w:hAnsi="宋体" w:eastAsia="宋体" w:cs="宋体"/>
          <w:b/>
          <w:bCs/>
          <w:color w:val="auto"/>
          <w:sz w:val="30"/>
          <w:szCs w:val="30"/>
          <w:highlight w:val="none"/>
        </w:rPr>
        <w:t xml:space="preserve"> </w:t>
      </w:r>
    </w:p>
    <w:p w14:paraId="37B357F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7B67323">
      <w:pPr>
        <w:pStyle w:val="18"/>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lang w:val="zh-CN" w:eastAsia="zh-CN" w:bidi="zh-CN"/>
        </w:rPr>
      </w:pPr>
      <w:r>
        <w:rPr>
          <w:rFonts w:hint="eastAsia" w:ascii="宋体" w:hAnsi="宋体" w:eastAsia="宋体" w:cs="宋体"/>
          <w:color w:val="auto"/>
          <w:spacing w:val="6"/>
          <w:kern w:val="0"/>
          <w:sz w:val="24"/>
          <w:szCs w:val="24"/>
          <w:highlight w:val="none"/>
          <w:lang w:val="zh-CN" w:eastAsia="zh-CN" w:bidi="zh-CN"/>
        </w:rPr>
        <w:t>本公司（联合体）郑重声明，根据《政府采购促进中小企业发展管理办法》（财库〔2020〕46号）的规定，</w:t>
      </w:r>
      <w:r>
        <w:rPr>
          <w:rFonts w:hint="eastAsia" w:ascii="宋体" w:hAnsi="宋体" w:eastAsia="宋体" w:cs="宋体"/>
          <w:color w:val="auto"/>
          <w:spacing w:val="6"/>
          <w:kern w:val="0"/>
          <w:sz w:val="24"/>
          <w:szCs w:val="24"/>
          <w:highlight w:val="none"/>
          <w:u w:val="single"/>
          <w:lang w:val="zh-CN" w:eastAsia="zh-CN" w:bidi="zh-CN"/>
        </w:rPr>
        <w:t>本公司（联合体）参加（单位名称）的（项目名称）采购活动，工程的施工单位全部为符合政策要求的中小企业（或者：服务全部由符合政策要求的中小企业承接）。相关企业（含联合体中的中小企业、签订分包意向协议的中小企业）</w:t>
      </w:r>
      <w:r>
        <w:rPr>
          <w:rFonts w:hint="eastAsia" w:ascii="宋体" w:hAnsi="宋体" w:eastAsia="宋体" w:cs="宋体"/>
          <w:color w:val="auto"/>
          <w:spacing w:val="6"/>
          <w:kern w:val="0"/>
          <w:sz w:val="24"/>
          <w:szCs w:val="24"/>
          <w:highlight w:val="none"/>
          <w:lang w:val="zh-CN" w:eastAsia="zh-CN" w:bidi="zh-CN"/>
        </w:rPr>
        <w:t>的具体情况如下：</w:t>
      </w:r>
    </w:p>
    <w:p w14:paraId="28708939">
      <w:pPr>
        <w:pStyle w:val="18"/>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u w:val="single"/>
          <w:lang w:val="zh-CN" w:eastAsia="zh-CN" w:bidi="zh-CN"/>
        </w:rPr>
      </w:pPr>
      <w:r>
        <w:rPr>
          <w:rFonts w:hint="eastAsia" w:ascii="宋体" w:hAnsi="宋体" w:eastAsia="宋体" w:cs="宋体"/>
          <w:color w:val="auto"/>
          <w:spacing w:val="6"/>
          <w:kern w:val="0"/>
          <w:sz w:val="24"/>
          <w:szCs w:val="24"/>
          <w:highlight w:val="none"/>
          <w:lang w:val="zh-CN" w:eastAsia="zh-CN" w:bidi="zh-CN"/>
        </w:rPr>
        <w:t>1.</w:t>
      </w:r>
      <w:r>
        <w:rPr>
          <w:rFonts w:hint="eastAsia" w:ascii="宋体" w:hAnsi="宋体" w:eastAsia="宋体" w:cs="宋体"/>
          <w:color w:val="auto"/>
          <w:spacing w:val="6"/>
          <w:kern w:val="0"/>
          <w:sz w:val="24"/>
          <w:szCs w:val="24"/>
          <w:highlight w:val="none"/>
          <w:u w:val="single"/>
          <w:lang w:val="zh-CN" w:eastAsia="zh-CN" w:bidi="zh-CN"/>
        </w:rPr>
        <w:t>（标的名称），属于（采购文件中明确的所属行业）；承建（承接）企业为（企业名称），从业人员  人，营业收入为  万元，资产总额为  万元，属于（中型企业、小型企业、微型企业）；</w:t>
      </w:r>
    </w:p>
    <w:p w14:paraId="0B3C2350">
      <w:pPr>
        <w:pStyle w:val="18"/>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u w:val="single"/>
          <w:lang w:val="zh-CN" w:eastAsia="zh-CN" w:bidi="zh-CN"/>
        </w:rPr>
      </w:pPr>
      <w:r>
        <w:rPr>
          <w:rFonts w:hint="eastAsia" w:ascii="宋体" w:hAnsi="宋体" w:eastAsia="宋体" w:cs="宋体"/>
          <w:color w:val="auto"/>
          <w:spacing w:val="6"/>
          <w:kern w:val="0"/>
          <w:sz w:val="24"/>
          <w:szCs w:val="24"/>
          <w:highlight w:val="none"/>
          <w:lang w:val="zh-CN" w:eastAsia="zh-CN" w:bidi="zh-CN"/>
        </w:rPr>
        <w:t>2.</w:t>
      </w:r>
      <w:r>
        <w:rPr>
          <w:rFonts w:hint="eastAsia" w:ascii="宋体" w:hAnsi="宋体" w:eastAsia="宋体" w:cs="宋体"/>
          <w:color w:val="auto"/>
          <w:spacing w:val="6"/>
          <w:kern w:val="0"/>
          <w:sz w:val="24"/>
          <w:szCs w:val="24"/>
          <w:highlight w:val="none"/>
          <w:u w:val="single"/>
          <w:lang w:val="zh-CN" w:eastAsia="zh-CN" w:bidi="zh-CN"/>
        </w:rPr>
        <w:t>（标的名称），属于（采购文件中明确的所属行业）；承建（承接）企业为（企业名称），从业人员  人，营业收入为  万元，资产总额为  万元，属于（中型企业、小型企业、微型企业）；</w:t>
      </w:r>
    </w:p>
    <w:p w14:paraId="6BCC00EE">
      <w:pPr>
        <w:pStyle w:val="18"/>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lang w:val="zh-CN" w:eastAsia="zh-CN" w:bidi="zh-CN"/>
        </w:rPr>
      </w:pPr>
      <w:r>
        <w:rPr>
          <w:rFonts w:hint="eastAsia" w:ascii="宋体" w:hAnsi="宋体" w:eastAsia="宋体" w:cs="宋体"/>
          <w:color w:val="auto"/>
          <w:spacing w:val="6"/>
          <w:kern w:val="0"/>
          <w:sz w:val="24"/>
          <w:szCs w:val="24"/>
          <w:highlight w:val="none"/>
          <w:lang w:val="zh-CN" w:eastAsia="zh-CN" w:bidi="zh-CN"/>
        </w:rPr>
        <w:t>……</w:t>
      </w:r>
    </w:p>
    <w:p w14:paraId="511419BD">
      <w:pPr>
        <w:pStyle w:val="18"/>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lang w:val="zh-CN" w:eastAsia="zh-CN" w:bidi="zh-CN"/>
        </w:rPr>
      </w:pPr>
      <w:r>
        <w:rPr>
          <w:rFonts w:hint="eastAsia" w:ascii="宋体" w:hAnsi="宋体" w:eastAsia="宋体" w:cs="宋体"/>
          <w:color w:val="auto"/>
          <w:spacing w:val="6"/>
          <w:kern w:val="0"/>
          <w:sz w:val="24"/>
          <w:szCs w:val="24"/>
          <w:highlight w:val="none"/>
          <w:lang w:val="zh-CN" w:eastAsia="zh-CN" w:bidi="zh-CN"/>
        </w:rPr>
        <w:t>以上企业，不属于大企业的分支机构，不存在控股股东为大企业的情形，也不存在与大企业的负责人为同一人的情形。</w:t>
      </w:r>
    </w:p>
    <w:p w14:paraId="5A2B4256">
      <w:pPr>
        <w:pStyle w:val="18"/>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lang w:val="zh-CN" w:eastAsia="zh-CN" w:bidi="zh-CN"/>
        </w:rPr>
      </w:pPr>
      <w:r>
        <w:rPr>
          <w:rFonts w:hint="eastAsia" w:ascii="宋体" w:hAnsi="宋体" w:eastAsia="宋体" w:cs="宋体"/>
          <w:color w:val="auto"/>
          <w:spacing w:val="6"/>
          <w:kern w:val="0"/>
          <w:sz w:val="24"/>
          <w:szCs w:val="24"/>
          <w:highlight w:val="none"/>
          <w:lang w:val="zh-CN" w:eastAsia="zh-CN" w:bidi="zh-CN"/>
        </w:rPr>
        <w:t>本企业对上述声明内容的真实性负责。如有虚假，将依法承担相应责任。</w:t>
      </w:r>
    </w:p>
    <w:p w14:paraId="6BBDAFAE">
      <w:pPr>
        <w:pStyle w:val="18"/>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lang w:val="zh-CN" w:eastAsia="zh-CN" w:bidi="zh-CN"/>
        </w:rPr>
      </w:pPr>
      <w:r>
        <w:rPr>
          <w:rFonts w:hint="eastAsia" w:ascii="宋体" w:hAnsi="宋体" w:eastAsia="宋体" w:cs="宋体"/>
          <w:color w:val="auto"/>
          <w:spacing w:val="6"/>
          <w:kern w:val="0"/>
          <w:sz w:val="24"/>
          <w:szCs w:val="24"/>
          <w:highlight w:val="none"/>
          <w:lang w:val="zh-CN" w:eastAsia="zh-CN" w:bidi="zh-CN"/>
        </w:rPr>
        <w:t> </w:t>
      </w:r>
    </w:p>
    <w:p w14:paraId="1F9078AC">
      <w:pPr>
        <w:pStyle w:val="18"/>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lang w:val="zh-CN" w:eastAsia="zh-CN" w:bidi="zh-CN"/>
        </w:rPr>
      </w:pPr>
      <w:r>
        <w:rPr>
          <w:rFonts w:hint="eastAsia" w:ascii="宋体" w:hAnsi="宋体" w:eastAsia="宋体" w:cs="宋体"/>
          <w:color w:val="auto"/>
          <w:spacing w:val="6"/>
          <w:kern w:val="0"/>
          <w:sz w:val="24"/>
          <w:szCs w:val="24"/>
          <w:highlight w:val="none"/>
          <w:lang w:val="zh-CN" w:eastAsia="zh-CN" w:bidi="zh-CN"/>
        </w:rPr>
        <w:t>                      企业名称（盖章）：</w:t>
      </w:r>
    </w:p>
    <w:p w14:paraId="7FB184F5">
      <w:pPr>
        <w:pStyle w:val="18"/>
        <w:keepNext w:val="0"/>
        <w:keepLines w:val="0"/>
        <w:widowControl/>
        <w:suppressLineNumbers w:val="0"/>
        <w:spacing w:before="75" w:beforeAutospacing="0" w:after="75" w:afterAutospacing="0" w:line="555" w:lineRule="atLeast"/>
        <w:ind w:left="0" w:right="0" w:firstLine="645"/>
        <w:rPr>
          <w:rFonts w:hint="eastAsia" w:ascii="宋体" w:hAnsi="宋体" w:eastAsia="宋体" w:cs="宋体"/>
          <w:color w:val="auto"/>
          <w:spacing w:val="6"/>
          <w:kern w:val="0"/>
          <w:sz w:val="24"/>
          <w:szCs w:val="24"/>
          <w:highlight w:val="none"/>
          <w:lang w:val="zh-CN" w:eastAsia="zh-CN" w:bidi="zh-CN"/>
        </w:rPr>
      </w:pPr>
      <w:r>
        <w:rPr>
          <w:rFonts w:hint="eastAsia" w:ascii="宋体" w:hAnsi="宋体" w:eastAsia="宋体" w:cs="宋体"/>
          <w:color w:val="auto"/>
          <w:spacing w:val="6"/>
          <w:kern w:val="0"/>
          <w:sz w:val="24"/>
          <w:szCs w:val="24"/>
          <w:highlight w:val="none"/>
          <w:lang w:val="zh-CN" w:eastAsia="zh-CN" w:bidi="zh-CN"/>
        </w:rPr>
        <w:t>                      日期：</w:t>
      </w:r>
    </w:p>
    <w:p w14:paraId="52DB5DB7">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b/>
          <w:bCs/>
          <w:color w:val="auto"/>
          <w:sz w:val="18"/>
          <w:highlight w:val="none"/>
        </w:rPr>
      </w:pPr>
      <w:r>
        <w:rPr>
          <w:rFonts w:hint="eastAsia" w:ascii="宋体" w:hAnsi="宋体"/>
          <w:b/>
          <w:bCs/>
          <w:color w:val="auto"/>
          <w:sz w:val="18"/>
          <w:highlight w:val="none"/>
          <w:lang w:val="en-US" w:eastAsia="zh-CN"/>
        </w:rPr>
        <w:t>备注：1、</w:t>
      </w:r>
      <w:r>
        <w:rPr>
          <w:rFonts w:hint="eastAsia" w:ascii="宋体" w:hAnsi="宋体" w:eastAsia="宋体"/>
          <w:b/>
          <w:bCs/>
          <w:color w:val="auto"/>
          <w:sz w:val="18"/>
          <w:highlight w:val="none"/>
        </w:rPr>
        <w:t>从业人员、营业收入、资产总额填报上一年度数据，无上一年度数据的新成立企业可不填报。</w:t>
      </w:r>
    </w:p>
    <w:p w14:paraId="57402E77">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300" w:right="0" w:rightChars="0"/>
        <w:jc w:val="both"/>
        <w:textAlignment w:val="auto"/>
        <w:rPr>
          <w:rFonts w:hint="eastAsia" w:ascii="宋体" w:hAnsi="宋体" w:eastAsia="宋体" w:cs="宋体"/>
          <w:b/>
          <w:bCs/>
          <w:color w:val="auto"/>
          <w:sz w:val="30"/>
          <w:szCs w:val="30"/>
          <w:highlight w:val="none"/>
          <w:lang w:val="en-US" w:eastAsia="zh-CN"/>
        </w:rPr>
      </w:pPr>
      <w:r>
        <w:rPr>
          <w:rFonts w:hint="eastAsia"/>
          <w:b/>
          <w:bCs/>
          <w:color w:val="auto"/>
          <w:sz w:val="18"/>
          <w:szCs w:val="22"/>
          <w:highlight w:val="none"/>
          <w:lang w:val="en-US" w:eastAsia="zh-CN"/>
        </w:rPr>
        <w:t>2、</w:t>
      </w:r>
      <w:r>
        <w:rPr>
          <w:rFonts w:hint="eastAsia" w:ascii="宋体" w:hAnsi="宋体" w:eastAsia="宋体"/>
          <w:b/>
          <w:bCs/>
          <w:color w:val="auto"/>
          <w:sz w:val="18"/>
          <w:szCs w:val="22"/>
          <w:highlight w:val="none"/>
          <w:lang w:val="en-US" w:eastAsia="zh-CN"/>
        </w:rPr>
        <w:t>投标人为中小企业时需提供本声明函，并完整填写从业人员、营业收入、资产总额等内容，否则评审时不能享受相应的价格扣除。</w:t>
      </w:r>
    </w:p>
    <w:p w14:paraId="0AA55F56">
      <w:pPr>
        <w:pStyle w:val="2"/>
        <w:rPr>
          <w:rFonts w:hint="eastAsia"/>
          <w:lang w:val="en-US" w:eastAsia="zh-CN"/>
        </w:rPr>
      </w:pPr>
    </w:p>
    <w:p w14:paraId="05AF2671">
      <w:pPr>
        <w:spacing w:line="360" w:lineRule="auto"/>
        <w:jc w:val="center"/>
        <w:rPr>
          <w:rFonts w:ascii="仿宋_GB2312" w:hAnsi="仿宋_GB2312" w:eastAsia="仿宋_GB2312"/>
          <w:b/>
          <w:bCs/>
          <w:color w:val="auto"/>
          <w:sz w:val="32"/>
          <w:szCs w:val="32"/>
          <w:highlight w:val="none"/>
        </w:rPr>
      </w:pPr>
      <w:r>
        <w:rPr>
          <w:rFonts w:hint="eastAsia" w:ascii="仿宋_GB2312" w:hAnsi="仿宋_GB2312" w:eastAsia="仿宋_GB2312" w:cs="仿宋"/>
          <w:b/>
          <w:bCs/>
          <w:color w:val="auto"/>
          <w:sz w:val="32"/>
          <w:szCs w:val="32"/>
          <w:highlight w:val="none"/>
          <w:lang w:val="en-US" w:eastAsia="zh-CN"/>
        </w:rPr>
        <w:t xml:space="preserve">2.8 </w:t>
      </w:r>
      <w:r>
        <w:rPr>
          <w:rFonts w:hint="eastAsia" w:ascii="宋体" w:hAnsi="宋体" w:eastAsia="宋体" w:cs="宋体"/>
          <w:b/>
          <w:bCs/>
          <w:color w:val="auto"/>
          <w:sz w:val="30"/>
          <w:szCs w:val="30"/>
          <w:highlight w:val="none"/>
        </w:rPr>
        <w:t>残疾人福利性单位声明函</w:t>
      </w:r>
      <w:r>
        <w:rPr>
          <w:rFonts w:hint="eastAsia" w:cs="宋体"/>
          <w:b/>
          <w:bCs/>
          <w:color w:val="auto"/>
          <w:sz w:val="30"/>
          <w:szCs w:val="30"/>
          <w:highlight w:val="none"/>
          <w:lang w:eastAsia="zh-CN"/>
        </w:rPr>
        <w:t>（</w:t>
      </w:r>
      <w:r>
        <w:rPr>
          <w:rFonts w:hint="eastAsia" w:cs="宋体"/>
          <w:b/>
          <w:bCs/>
          <w:color w:val="auto"/>
          <w:sz w:val="30"/>
          <w:szCs w:val="30"/>
          <w:highlight w:val="none"/>
          <w:lang w:val="en-US" w:eastAsia="zh-CN"/>
        </w:rPr>
        <w:t>可选</w:t>
      </w:r>
      <w:r>
        <w:rPr>
          <w:rFonts w:hint="eastAsia" w:cs="宋体"/>
          <w:b/>
          <w:bCs/>
          <w:color w:val="auto"/>
          <w:sz w:val="30"/>
          <w:szCs w:val="30"/>
          <w:highlight w:val="none"/>
          <w:lang w:eastAsia="zh-CN"/>
        </w:rPr>
        <w:t>）</w:t>
      </w:r>
    </w:p>
    <w:p w14:paraId="0F054179">
      <w:pPr>
        <w:spacing w:line="360" w:lineRule="auto"/>
        <w:rPr>
          <w:rFonts w:ascii="仿宋_GB2312" w:hAnsi="仿宋_GB2312" w:eastAsia="仿宋_GB2312"/>
          <w:b/>
          <w:bCs/>
          <w:color w:val="auto"/>
          <w:spacing w:val="6"/>
          <w:highlight w:val="none"/>
        </w:rPr>
      </w:pPr>
    </w:p>
    <w:p w14:paraId="0240EB80">
      <w:pPr>
        <w:spacing w:line="360" w:lineRule="auto"/>
        <w:ind w:firstLine="504" w:firstLineChars="200"/>
        <w:jc w:val="both"/>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本单位郑重声明，根据《财政部民政部中国残疾人联合会关于促进残疾人就业政府采购政策的通知》（财库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号）的规定，本单位为符合条件的残疾人福利性单位，且本单位参加</w:t>
      </w:r>
      <w:r>
        <w:rPr>
          <w:rFonts w:hint="eastAsia" w:ascii="宋体" w:hAnsi="宋体" w:eastAsia="宋体" w:cs="宋体"/>
          <w:color w:val="auto"/>
          <w:sz w:val="24"/>
          <w:szCs w:val="24"/>
          <w:highlight w:val="none"/>
          <w:u w:val="single"/>
        </w:rPr>
        <w:t>XXXX</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z w:val="24"/>
          <w:szCs w:val="24"/>
          <w:highlight w:val="none"/>
          <w:u w:val="single"/>
        </w:rPr>
        <w:t>XXXX</w:t>
      </w:r>
      <w:r>
        <w:rPr>
          <w:rFonts w:hint="eastAsia" w:ascii="宋体" w:hAnsi="宋体" w:eastAsia="宋体" w:cs="宋体"/>
          <w:color w:val="auto"/>
          <w:spacing w:val="6"/>
          <w:sz w:val="24"/>
          <w:szCs w:val="24"/>
          <w:highlight w:val="none"/>
        </w:rPr>
        <w:t>项目采购活动由本单位承担工程。</w:t>
      </w:r>
    </w:p>
    <w:p w14:paraId="66CD8D9B">
      <w:pPr>
        <w:spacing w:line="360" w:lineRule="auto"/>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2E9CECB7">
      <w:pPr>
        <w:spacing w:line="360" w:lineRule="auto"/>
        <w:rPr>
          <w:rFonts w:hint="eastAsia" w:ascii="宋体" w:hAnsi="宋体" w:eastAsia="宋体" w:cs="宋体"/>
          <w:color w:val="auto"/>
          <w:spacing w:val="6"/>
          <w:sz w:val="24"/>
          <w:szCs w:val="24"/>
          <w:highlight w:val="none"/>
        </w:rPr>
      </w:pPr>
    </w:p>
    <w:p w14:paraId="78527BF0">
      <w:pPr>
        <w:spacing w:line="360" w:lineRule="auto"/>
        <w:rPr>
          <w:rFonts w:hint="eastAsia" w:ascii="宋体" w:hAnsi="宋体" w:eastAsia="宋体" w:cs="宋体"/>
          <w:color w:val="auto"/>
          <w:spacing w:val="6"/>
          <w:sz w:val="24"/>
          <w:szCs w:val="24"/>
          <w:highlight w:val="none"/>
        </w:rPr>
      </w:pPr>
    </w:p>
    <w:p w14:paraId="7794D1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供应商名称：XXXX（加盖公章）</w:t>
      </w:r>
    </w:p>
    <w:p w14:paraId="6B1D065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日期：XXX年XXX月XXX日</w:t>
      </w:r>
    </w:p>
    <w:p w14:paraId="2AB9522D">
      <w:pPr>
        <w:spacing w:line="360" w:lineRule="auto"/>
        <w:ind w:firstLine="480" w:firstLineChars="200"/>
        <w:rPr>
          <w:rFonts w:hint="eastAsia" w:ascii="宋体" w:hAnsi="宋体" w:eastAsia="宋体" w:cs="宋体"/>
          <w:color w:val="auto"/>
          <w:sz w:val="24"/>
          <w:szCs w:val="24"/>
          <w:highlight w:val="none"/>
        </w:rPr>
      </w:pPr>
    </w:p>
    <w:p w14:paraId="00981AB0">
      <w:pPr>
        <w:spacing w:line="360" w:lineRule="auto"/>
        <w:rPr>
          <w:rFonts w:hint="eastAsia" w:ascii="宋体" w:hAnsi="宋体" w:eastAsia="宋体" w:cs="宋体"/>
          <w:color w:val="auto"/>
          <w:sz w:val="24"/>
          <w:szCs w:val="24"/>
          <w:highlight w:val="none"/>
        </w:rPr>
      </w:pPr>
    </w:p>
    <w:p w14:paraId="4F8F6F32">
      <w:pPr>
        <w:spacing w:line="360" w:lineRule="auto"/>
        <w:rPr>
          <w:rFonts w:hint="eastAsia" w:ascii="宋体" w:hAnsi="宋体" w:eastAsia="宋体" w:cs="宋体"/>
          <w:color w:val="auto"/>
          <w:sz w:val="24"/>
          <w:szCs w:val="24"/>
          <w:highlight w:val="none"/>
        </w:rPr>
      </w:pPr>
    </w:p>
    <w:p w14:paraId="3357CA3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245D437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1.残疾人福利性单位视同小型、微型企业，享受预留份额、评审中价格扣除等促进中小企业发展的政府采购政策。残疾人福利性单位属于小型、微型企业的，不重复享受政策。</w:t>
      </w:r>
    </w:p>
    <w:p w14:paraId="73B056D2">
      <w:pPr>
        <w:spacing w:line="360" w:lineRule="auto"/>
        <w:rPr>
          <w:rFonts w:ascii="仿宋_GB2312" w:hAnsi="仿宋_GB2312" w:eastAsia="仿宋_GB2312" w:cs="仿宋"/>
          <w:color w:val="auto"/>
          <w:highlight w:val="none"/>
        </w:rPr>
      </w:pPr>
      <w:r>
        <w:rPr>
          <w:rFonts w:hint="eastAsia" w:ascii="宋体" w:hAnsi="宋体" w:eastAsia="宋体" w:cs="宋体"/>
          <w:color w:val="auto"/>
          <w:sz w:val="24"/>
          <w:szCs w:val="24"/>
          <w:highlight w:val="none"/>
        </w:rPr>
        <w:t>2.供应商为非残疾人福利性单位的，不得提供此声明，提供此声明的，声明无效。</w:t>
      </w:r>
    </w:p>
    <w:p w14:paraId="59C34F07">
      <w:pPr>
        <w:spacing w:line="360" w:lineRule="auto"/>
        <w:ind w:firstLine="431" w:firstLineChars="196"/>
        <w:outlineLvl w:val="1"/>
        <w:rPr>
          <w:rFonts w:ascii="仿宋_GB2312" w:hAnsi="仿宋_GB2312" w:eastAsia="仿宋_GB2312"/>
          <w:color w:val="auto"/>
          <w:highlight w:val="none"/>
        </w:rPr>
      </w:pPr>
    </w:p>
    <w:p w14:paraId="5D289738">
      <w:pPr>
        <w:spacing w:line="360" w:lineRule="auto"/>
        <w:rPr>
          <w:rFonts w:ascii="仿宋_GB2312" w:hAnsi="仿宋_GB2312" w:eastAsia="仿宋_GB2312"/>
          <w:b/>
          <w:bCs/>
          <w:color w:val="auto"/>
          <w:sz w:val="28"/>
          <w:szCs w:val="28"/>
          <w:highlight w:val="none"/>
        </w:rPr>
        <w:sectPr>
          <w:headerReference r:id="rId20" w:type="default"/>
          <w:footerReference r:id="rId21" w:type="default"/>
          <w:footerReference r:id="rId22" w:type="even"/>
          <w:pgSz w:w="11907" w:h="16840"/>
          <w:pgMar w:top="1440" w:right="1797" w:bottom="1440" w:left="1797" w:header="851" w:footer="992" w:gutter="0"/>
          <w:pgNumType w:fmt="decimal"/>
          <w:cols w:space="720" w:num="1"/>
          <w:docGrid w:linePitch="312" w:charSpace="0"/>
        </w:sectPr>
      </w:pPr>
    </w:p>
    <w:p w14:paraId="688A7840">
      <w:pPr>
        <w:spacing w:line="360" w:lineRule="auto"/>
        <w:jc w:val="center"/>
        <w:rPr>
          <w:rFonts w:hint="eastAsia" w:ascii="宋体" w:hAnsi="宋体" w:eastAsia="宋体" w:cs="宋体"/>
          <w:b/>
          <w:bCs/>
          <w:color w:val="auto"/>
          <w:sz w:val="30"/>
          <w:szCs w:val="30"/>
          <w:highlight w:val="none"/>
          <w:lang w:eastAsia="zh-CN"/>
        </w:rPr>
      </w:pPr>
      <w:r>
        <w:rPr>
          <w:rFonts w:hint="eastAsia" w:cs="宋体"/>
          <w:b/>
          <w:bCs/>
          <w:color w:val="auto"/>
          <w:sz w:val="30"/>
          <w:szCs w:val="30"/>
          <w:highlight w:val="none"/>
          <w:lang w:val="en-US" w:eastAsia="zh-CN"/>
        </w:rPr>
        <w:t xml:space="preserve">2.9 </w:t>
      </w:r>
      <w:r>
        <w:rPr>
          <w:rFonts w:hint="eastAsia" w:ascii="宋体" w:hAnsi="宋体" w:eastAsia="宋体" w:cs="宋体"/>
          <w:b/>
          <w:bCs/>
          <w:color w:val="auto"/>
          <w:sz w:val="30"/>
          <w:szCs w:val="30"/>
          <w:highlight w:val="none"/>
        </w:rPr>
        <w:t>监狱企业证明</w:t>
      </w:r>
      <w:r>
        <w:rPr>
          <w:rFonts w:hint="eastAsia" w:cs="宋体"/>
          <w:b/>
          <w:bCs/>
          <w:color w:val="auto"/>
          <w:sz w:val="30"/>
          <w:szCs w:val="30"/>
          <w:highlight w:val="none"/>
          <w:lang w:eastAsia="zh-CN"/>
        </w:rPr>
        <w:t>（</w:t>
      </w:r>
      <w:r>
        <w:rPr>
          <w:rFonts w:hint="eastAsia" w:cs="宋体"/>
          <w:b/>
          <w:bCs/>
          <w:color w:val="auto"/>
          <w:sz w:val="30"/>
          <w:szCs w:val="30"/>
          <w:highlight w:val="none"/>
          <w:lang w:val="en-US" w:eastAsia="zh-CN"/>
        </w:rPr>
        <w:t>可选</w:t>
      </w:r>
      <w:r>
        <w:rPr>
          <w:rFonts w:hint="eastAsia" w:cs="宋体"/>
          <w:b/>
          <w:bCs/>
          <w:color w:val="auto"/>
          <w:sz w:val="30"/>
          <w:szCs w:val="30"/>
          <w:highlight w:val="none"/>
          <w:lang w:eastAsia="zh-CN"/>
        </w:rPr>
        <w:t>）</w:t>
      </w:r>
    </w:p>
    <w:p w14:paraId="643542BF">
      <w:pPr>
        <w:spacing w:line="360" w:lineRule="auto"/>
        <w:jc w:val="center"/>
        <w:rPr>
          <w:rFonts w:ascii="仿宋_GB2312" w:hAnsi="仿宋_GB2312" w:eastAsia="仿宋_GB2312" w:cs="仿宋"/>
          <w:b/>
          <w:bCs/>
          <w:color w:val="auto"/>
          <w:sz w:val="32"/>
          <w:szCs w:val="32"/>
          <w:highlight w:val="none"/>
        </w:rPr>
      </w:pPr>
    </w:p>
    <w:p w14:paraId="7B945666">
      <w:pPr>
        <w:spacing w:line="360" w:lineRule="auto"/>
        <w:jc w:val="center"/>
        <w:rPr>
          <w:rFonts w:ascii="仿宋_GB2312" w:hAnsi="仿宋_GB2312" w:eastAsia="仿宋_GB2312" w:cs="仿宋"/>
          <w:b/>
          <w:bCs/>
          <w:color w:val="auto"/>
          <w:sz w:val="32"/>
          <w:szCs w:val="32"/>
          <w:highlight w:val="none"/>
        </w:rPr>
      </w:pPr>
    </w:p>
    <w:p w14:paraId="1EA0080E">
      <w:pPr>
        <w:spacing w:after="16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注：1.监狱企业参加政府采购活动时，应当提供由省级以上监狱管理局、戒毒管理局（含新疆生产建设兵团）出具的属于监狱企业的证明文件，并加盖单位公章。</w:t>
      </w:r>
    </w:p>
    <w:p w14:paraId="2F236B56">
      <w:pPr>
        <w:spacing w:after="160"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2.监狱企业视同小型、微型企业，享受预留份额、评审中价格扣除等政府采购促进中小企业发展的政府采购政策。监狱企业属于小型、微型企业的，不重复享受政策。</w:t>
      </w:r>
    </w:p>
    <w:p w14:paraId="438E93A8">
      <w:pPr>
        <w:rPr>
          <w:rFonts w:hint="eastAsia"/>
          <w:color w:val="auto"/>
          <w:highlight w:val="none"/>
          <w:lang w:val="en-US" w:eastAsia="zh-CN"/>
        </w:rPr>
      </w:pPr>
    </w:p>
    <w:p w14:paraId="21822272">
      <w:pPr>
        <w:pStyle w:val="9"/>
        <w:rPr>
          <w:rFonts w:hint="eastAsia"/>
          <w:color w:val="auto"/>
          <w:highlight w:val="none"/>
          <w:lang w:val="en-US" w:eastAsia="zh-CN"/>
        </w:rPr>
      </w:pPr>
    </w:p>
    <w:p w14:paraId="0612CB6B">
      <w:pPr>
        <w:rPr>
          <w:rFonts w:hint="eastAsia"/>
          <w:color w:val="auto"/>
          <w:highlight w:val="none"/>
          <w:lang w:val="en-US" w:eastAsia="zh-CN"/>
        </w:rPr>
      </w:pPr>
    </w:p>
    <w:p w14:paraId="025473FB">
      <w:pPr>
        <w:pStyle w:val="9"/>
        <w:rPr>
          <w:rFonts w:hint="eastAsia"/>
          <w:color w:val="auto"/>
          <w:highlight w:val="none"/>
          <w:lang w:val="en-US" w:eastAsia="zh-CN"/>
        </w:rPr>
      </w:pPr>
    </w:p>
    <w:p w14:paraId="725006F4">
      <w:pPr>
        <w:rPr>
          <w:rFonts w:hint="eastAsia"/>
          <w:color w:val="auto"/>
          <w:highlight w:val="none"/>
          <w:lang w:val="en-US" w:eastAsia="zh-CN"/>
        </w:rPr>
      </w:pPr>
    </w:p>
    <w:p w14:paraId="191F9659">
      <w:pPr>
        <w:pStyle w:val="9"/>
        <w:rPr>
          <w:rFonts w:hint="eastAsia"/>
          <w:color w:val="auto"/>
          <w:highlight w:val="none"/>
          <w:lang w:val="en-US" w:eastAsia="zh-CN"/>
        </w:rPr>
      </w:pPr>
    </w:p>
    <w:p w14:paraId="5D6B46B0">
      <w:pPr>
        <w:rPr>
          <w:rFonts w:hint="eastAsia"/>
          <w:color w:val="auto"/>
          <w:highlight w:val="none"/>
          <w:lang w:val="en-US" w:eastAsia="zh-CN"/>
        </w:rPr>
      </w:pPr>
    </w:p>
    <w:p w14:paraId="5EFA2C72">
      <w:pPr>
        <w:pStyle w:val="9"/>
        <w:rPr>
          <w:rFonts w:hint="eastAsia"/>
          <w:color w:val="auto"/>
          <w:highlight w:val="none"/>
          <w:lang w:val="en-US" w:eastAsia="zh-CN"/>
        </w:rPr>
      </w:pPr>
    </w:p>
    <w:p w14:paraId="2EA25CE8">
      <w:pPr>
        <w:rPr>
          <w:rFonts w:hint="eastAsia"/>
          <w:color w:val="auto"/>
          <w:highlight w:val="none"/>
          <w:lang w:val="en-US" w:eastAsia="zh-CN"/>
        </w:rPr>
      </w:pPr>
    </w:p>
    <w:p w14:paraId="4541897D">
      <w:pPr>
        <w:pStyle w:val="9"/>
        <w:rPr>
          <w:rFonts w:hint="eastAsia"/>
          <w:color w:val="auto"/>
          <w:highlight w:val="none"/>
          <w:lang w:val="en-US" w:eastAsia="zh-CN"/>
        </w:rPr>
      </w:pPr>
    </w:p>
    <w:p w14:paraId="04E4F952">
      <w:pPr>
        <w:rPr>
          <w:rFonts w:hint="eastAsia"/>
          <w:color w:val="auto"/>
          <w:highlight w:val="none"/>
          <w:lang w:val="en-US" w:eastAsia="zh-CN"/>
        </w:rPr>
      </w:pPr>
    </w:p>
    <w:p w14:paraId="197C3F34">
      <w:pPr>
        <w:pStyle w:val="9"/>
        <w:rPr>
          <w:rFonts w:hint="eastAsia"/>
          <w:color w:val="auto"/>
          <w:highlight w:val="none"/>
          <w:lang w:val="en-US" w:eastAsia="zh-CN"/>
        </w:rPr>
      </w:pPr>
    </w:p>
    <w:p w14:paraId="79568861">
      <w:pPr>
        <w:rPr>
          <w:rFonts w:hint="eastAsia"/>
          <w:color w:val="auto"/>
          <w:highlight w:val="none"/>
          <w:lang w:val="en-US" w:eastAsia="zh-CN"/>
        </w:rPr>
      </w:pPr>
    </w:p>
    <w:p w14:paraId="1FD986B3">
      <w:pPr>
        <w:pStyle w:val="9"/>
        <w:rPr>
          <w:rFonts w:hint="eastAsia"/>
          <w:color w:val="auto"/>
          <w:highlight w:val="none"/>
          <w:lang w:val="en-US" w:eastAsia="zh-CN"/>
        </w:rPr>
      </w:pPr>
    </w:p>
    <w:p w14:paraId="1F25DFDE">
      <w:pPr>
        <w:rPr>
          <w:rFonts w:hint="eastAsia"/>
          <w:color w:val="auto"/>
          <w:highlight w:val="none"/>
          <w:lang w:val="en-US" w:eastAsia="zh-CN"/>
        </w:rPr>
      </w:pPr>
    </w:p>
    <w:p w14:paraId="32B8D497">
      <w:pPr>
        <w:pStyle w:val="9"/>
        <w:rPr>
          <w:rFonts w:hint="eastAsia"/>
          <w:color w:val="auto"/>
          <w:highlight w:val="none"/>
          <w:lang w:val="en-US" w:eastAsia="zh-CN"/>
        </w:rPr>
      </w:pPr>
    </w:p>
    <w:p w14:paraId="3B382ED1">
      <w:pPr>
        <w:rPr>
          <w:rFonts w:hint="eastAsia"/>
          <w:color w:val="auto"/>
          <w:highlight w:val="none"/>
          <w:lang w:val="en-US" w:eastAsia="zh-CN"/>
        </w:rPr>
      </w:pPr>
    </w:p>
    <w:p w14:paraId="11B7D951">
      <w:pPr>
        <w:pStyle w:val="9"/>
        <w:rPr>
          <w:rFonts w:hint="eastAsia"/>
          <w:color w:val="auto"/>
          <w:highlight w:val="none"/>
          <w:lang w:val="en-US" w:eastAsia="zh-CN"/>
        </w:rPr>
      </w:pPr>
    </w:p>
    <w:p w14:paraId="2A358D76">
      <w:pPr>
        <w:rPr>
          <w:rFonts w:hint="eastAsia"/>
          <w:color w:val="auto"/>
          <w:highlight w:val="none"/>
          <w:lang w:val="en-US" w:eastAsia="zh-CN"/>
        </w:rPr>
      </w:pPr>
    </w:p>
    <w:p w14:paraId="1FCF7AAF">
      <w:pPr>
        <w:pStyle w:val="9"/>
        <w:rPr>
          <w:rFonts w:hint="eastAsia"/>
          <w:color w:val="auto"/>
          <w:highlight w:val="none"/>
          <w:lang w:val="en-US" w:eastAsia="zh-CN"/>
        </w:rPr>
      </w:pPr>
    </w:p>
    <w:p w14:paraId="4E5D17D7">
      <w:pPr>
        <w:rPr>
          <w:rFonts w:hint="eastAsia"/>
          <w:color w:val="auto"/>
          <w:highlight w:val="none"/>
          <w:lang w:val="en-US" w:eastAsia="zh-CN"/>
        </w:rPr>
      </w:pPr>
    </w:p>
    <w:p w14:paraId="66D2E6C9">
      <w:pPr>
        <w:pStyle w:val="9"/>
        <w:rPr>
          <w:rFonts w:hint="eastAsia"/>
          <w:color w:val="auto"/>
          <w:highlight w:val="none"/>
          <w:lang w:val="en-US" w:eastAsia="zh-CN"/>
        </w:rPr>
      </w:pPr>
    </w:p>
    <w:p w14:paraId="7B9D9AA4">
      <w:pPr>
        <w:rPr>
          <w:rFonts w:hint="eastAsia"/>
          <w:color w:val="auto"/>
          <w:highlight w:val="none"/>
          <w:lang w:val="en-US" w:eastAsia="zh-CN"/>
        </w:rPr>
      </w:pPr>
    </w:p>
    <w:p w14:paraId="2BB009F5">
      <w:pPr>
        <w:pStyle w:val="9"/>
        <w:rPr>
          <w:rFonts w:hint="eastAsia"/>
          <w:color w:val="auto"/>
          <w:highlight w:val="none"/>
          <w:lang w:val="en-US" w:eastAsia="zh-CN"/>
        </w:rPr>
      </w:pPr>
    </w:p>
    <w:p w14:paraId="427141D5">
      <w:pPr>
        <w:rPr>
          <w:rFonts w:hint="eastAsia"/>
          <w:color w:val="auto"/>
          <w:highlight w:val="none"/>
          <w:lang w:val="en-US" w:eastAsia="zh-CN"/>
        </w:rPr>
      </w:pPr>
    </w:p>
    <w:p w14:paraId="10B3DA1D">
      <w:pPr>
        <w:pStyle w:val="17"/>
        <w:rPr>
          <w:rFonts w:hint="eastAsia"/>
          <w:color w:val="auto"/>
          <w:highlight w:val="none"/>
          <w:lang w:val="en-US" w:eastAsia="zh-CN"/>
        </w:rPr>
      </w:pPr>
    </w:p>
    <w:p w14:paraId="7E02E6ED">
      <w:pPr>
        <w:pStyle w:val="12"/>
        <w:rPr>
          <w:rFonts w:hint="eastAsia"/>
          <w:color w:val="auto"/>
          <w:highlight w:val="none"/>
          <w:lang w:val="en-US" w:eastAsia="zh-CN"/>
        </w:rPr>
      </w:pPr>
    </w:p>
    <w:p w14:paraId="3D0626F1">
      <w:pPr>
        <w:pStyle w:val="12"/>
        <w:rPr>
          <w:rFonts w:hint="eastAsia"/>
          <w:color w:val="auto"/>
          <w:highlight w:val="none"/>
          <w:lang w:val="en-US" w:eastAsia="zh-CN"/>
        </w:rPr>
      </w:pPr>
    </w:p>
    <w:p w14:paraId="451ABDBE">
      <w:pPr>
        <w:pStyle w:val="12"/>
        <w:rPr>
          <w:rFonts w:hint="eastAsia"/>
          <w:color w:val="auto"/>
          <w:highlight w:val="none"/>
          <w:lang w:val="en-US" w:eastAsia="zh-CN"/>
        </w:rPr>
      </w:pPr>
    </w:p>
    <w:p w14:paraId="3B9F05CA">
      <w:pPr>
        <w:pStyle w:val="12"/>
        <w:rPr>
          <w:rFonts w:hint="eastAsia"/>
          <w:color w:val="auto"/>
          <w:highlight w:val="none"/>
          <w:lang w:val="en-US" w:eastAsia="zh-CN"/>
        </w:rPr>
      </w:pPr>
    </w:p>
    <w:p w14:paraId="082890BC">
      <w:pPr>
        <w:pStyle w:val="9"/>
        <w:rPr>
          <w:rFonts w:hint="eastAsia"/>
          <w:color w:val="auto"/>
          <w:highlight w:val="none"/>
          <w:lang w:val="en-US" w:eastAsia="zh-CN"/>
        </w:rPr>
      </w:pPr>
    </w:p>
    <w:p w14:paraId="521DB7F7">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color w:val="auto"/>
          <w:sz w:val="36"/>
          <w:szCs w:val="36"/>
          <w:highlight w:val="none"/>
        </w:rPr>
      </w:pPr>
      <w:bookmarkStart w:id="530" w:name="_Toc12316_WPSOffice_Level1"/>
      <w:r>
        <w:rPr>
          <w:rFonts w:hint="eastAsia"/>
          <w:b/>
          <w:bCs/>
          <w:color w:val="auto"/>
          <w:sz w:val="36"/>
          <w:szCs w:val="36"/>
          <w:highlight w:val="none"/>
          <w:lang w:val="en-US" w:eastAsia="zh-CN"/>
        </w:rPr>
        <w:t>三、技术文件</w:t>
      </w:r>
      <w:bookmarkEnd w:id="530"/>
    </w:p>
    <w:p w14:paraId="3FA1594C">
      <w:pPr>
        <w:rPr>
          <w:rFonts w:hint="eastAsia"/>
          <w:color w:val="auto"/>
          <w:highlight w:val="none"/>
          <w:lang w:val="en-US" w:eastAsia="zh-CN"/>
        </w:rPr>
      </w:pPr>
    </w:p>
    <w:p w14:paraId="27405DA9">
      <w:pPr>
        <w:rPr>
          <w:rFonts w:hint="eastAsia"/>
          <w:color w:val="auto"/>
          <w:highlight w:val="none"/>
          <w:lang w:val="en-US" w:eastAsia="zh-CN"/>
        </w:rPr>
      </w:pPr>
    </w:p>
    <w:p w14:paraId="7AE7553C">
      <w:pPr>
        <w:pStyle w:val="9"/>
        <w:rPr>
          <w:rFonts w:hint="eastAsia"/>
          <w:color w:val="auto"/>
          <w:highlight w:val="none"/>
          <w:lang w:val="en-US" w:eastAsia="zh-CN"/>
        </w:rPr>
      </w:pPr>
    </w:p>
    <w:p w14:paraId="2B6B873E">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cs="宋体"/>
          <w:b/>
          <w:bCs/>
          <w:color w:val="auto"/>
          <w:sz w:val="30"/>
          <w:szCs w:val="30"/>
          <w:highlight w:val="none"/>
          <w:lang w:val="en-US" w:eastAsia="zh-CN"/>
        </w:rPr>
      </w:pPr>
      <w:r>
        <w:rPr>
          <w:rFonts w:hint="eastAsia" w:cs="宋体"/>
          <w:b/>
          <w:bCs/>
          <w:color w:val="auto"/>
          <w:sz w:val="30"/>
          <w:szCs w:val="30"/>
          <w:highlight w:val="none"/>
          <w:lang w:val="en-US" w:eastAsia="zh-CN"/>
        </w:rPr>
        <w:t xml:space="preserve">3.1  技术服务内容 </w:t>
      </w:r>
    </w:p>
    <w:p w14:paraId="25DDEE7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lang w:val="en-US" w:eastAsia="zh-CN"/>
        </w:rPr>
      </w:pPr>
    </w:p>
    <w:p w14:paraId="48B4F21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应包括但不局限于以下内容 </w:t>
      </w:r>
    </w:p>
    <w:p w14:paraId="3D94E65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技术方案必须科学合理、真实可行，能充分体现出自身技术和专业优势。其要点和主要内容不限于如下内容： </w:t>
      </w:r>
    </w:p>
    <w:p w14:paraId="25DCE31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4.2.1 项目实施方案； </w:t>
      </w:r>
    </w:p>
    <w:p w14:paraId="0955F61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4.2.2 施工工期保证措施； </w:t>
      </w:r>
    </w:p>
    <w:p w14:paraId="79A9CD9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4.2.3 质量管理及质量保证措施； </w:t>
      </w:r>
    </w:p>
    <w:p w14:paraId="1AA2AF2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4.2.4 施工安全及文明施工措施； </w:t>
      </w:r>
    </w:p>
    <w:p w14:paraId="694BCCC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4.2.5 应急服务方案； </w:t>
      </w:r>
    </w:p>
    <w:p w14:paraId="5D3F40CE">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4.2.6 员工权益保障方案； </w:t>
      </w:r>
    </w:p>
    <w:p w14:paraId="5D8F4FE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4.2.7 企业规章制度情况。 </w:t>
      </w:r>
    </w:p>
    <w:p w14:paraId="1F589F69">
      <w:pPr>
        <w:pStyle w:val="9"/>
        <w:rPr>
          <w:rFonts w:hint="eastAsia" w:ascii="宋体" w:hAnsi="宋体" w:eastAsia="宋体" w:cs="宋体"/>
          <w:color w:val="auto"/>
          <w:sz w:val="24"/>
          <w:szCs w:val="24"/>
          <w:highlight w:val="none"/>
          <w:lang w:val="en-US" w:eastAsia="zh-CN"/>
        </w:rPr>
      </w:pPr>
    </w:p>
    <w:p w14:paraId="23C8E75C">
      <w:pPr>
        <w:rPr>
          <w:rFonts w:hint="eastAsia"/>
          <w:color w:val="auto"/>
          <w:highlight w:val="none"/>
          <w:lang w:val="en-US" w:eastAsia="zh-CN"/>
        </w:rPr>
      </w:pPr>
    </w:p>
    <w:p w14:paraId="5B94B97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注：根据</w:t>
      </w:r>
      <w:r>
        <w:rPr>
          <w:rFonts w:hint="eastAsia"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须知</w:t>
      </w:r>
      <w:r>
        <w:rPr>
          <w:rFonts w:hint="eastAsia" w:cs="宋体"/>
          <w:color w:val="auto"/>
          <w:sz w:val="24"/>
          <w:szCs w:val="24"/>
          <w:highlight w:val="none"/>
          <w:lang w:val="en-US" w:eastAsia="zh-CN"/>
        </w:rPr>
        <w:t>第七部分</w:t>
      </w:r>
      <w:r>
        <w:rPr>
          <w:rFonts w:hint="eastAsia" w:ascii="宋体" w:hAnsi="宋体" w:eastAsia="宋体" w:cs="宋体"/>
          <w:color w:val="auto"/>
          <w:sz w:val="24"/>
          <w:szCs w:val="24"/>
          <w:highlight w:val="none"/>
          <w:lang w:val="en-US" w:eastAsia="zh-CN"/>
        </w:rPr>
        <w:t>评审</w:t>
      </w:r>
      <w:r>
        <w:rPr>
          <w:rFonts w:hint="eastAsia" w:cs="宋体"/>
          <w:color w:val="auto"/>
          <w:sz w:val="24"/>
          <w:szCs w:val="24"/>
          <w:highlight w:val="none"/>
          <w:lang w:val="en-US" w:eastAsia="zh-CN"/>
        </w:rPr>
        <w:t>标准</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技术</w:t>
      </w:r>
      <w:r>
        <w:rPr>
          <w:rFonts w:hint="eastAsia" w:ascii="宋体" w:hAnsi="宋体" w:eastAsia="宋体" w:cs="宋体"/>
          <w:color w:val="auto"/>
          <w:sz w:val="24"/>
          <w:szCs w:val="24"/>
          <w:highlight w:val="none"/>
          <w:lang w:val="en-US" w:eastAsia="zh-CN"/>
        </w:rPr>
        <w:t>部</w:t>
      </w:r>
      <w:r>
        <w:rPr>
          <w:rFonts w:hint="eastAsia" w:cs="宋体"/>
          <w:color w:val="auto"/>
          <w:sz w:val="24"/>
          <w:szCs w:val="24"/>
          <w:highlight w:val="none"/>
          <w:lang w:val="en-US" w:eastAsia="zh-CN"/>
        </w:rPr>
        <w:t>分</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评审内容</w:t>
      </w:r>
      <w:r>
        <w:rPr>
          <w:rFonts w:hint="eastAsia" w:ascii="宋体" w:hAnsi="宋体" w:eastAsia="宋体" w:cs="宋体"/>
          <w:color w:val="auto"/>
          <w:sz w:val="24"/>
          <w:szCs w:val="24"/>
          <w:highlight w:val="none"/>
          <w:lang w:val="en-US" w:eastAsia="zh-CN"/>
        </w:rPr>
        <w:t>提供相应证明材料。</w:t>
      </w:r>
    </w:p>
    <w:p w14:paraId="2C5AB31E">
      <w:pPr>
        <w:pStyle w:val="9"/>
        <w:rPr>
          <w:rFonts w:hint="eastAsia"/>
          <w:color w:val="auto"/>
          <w:highlight w:val="none"/>
          <w:lang w:val="en-US" w:eastAsia="zh-CN"/>
        </w:rPr>
      </w:pPr>
    </w:p>
    <w:p w14:paraId="41ABB021">
      <w:pPr>
        <w:rPr>
          <w:rFonts w:hint="eastAsia"/>
          <w:color w:val="auto"/>
          <w:highlight w:val="none"/>
          <w:lang w:val="en-US" w:eastAsia="zh-CN"/>
        </w:rPr>
      </w:pPr>
    </w:p>
    <w:p w14:paraId="6550F42E">
      <w:pPr>
        <w:pStyle w:val="9"/>
        <w:rPr>
          <w:rFonts w:hint="eastAsia"/>
          <w:color w:val="auto"/>
          <w:highlight w:val="none"/>
          <w:lang w:val="en-US" w:eastAsia="zh-CN"/>
        </w:rPr>
      </w:pPr>
    </w:p>
    <w:p w14:paraId="179736D6">
      <w:pPr>
        <w:rPr>
          <w:rFonts w:hint="eastAsia"/>
          <w:color w:val="auto"/>
          <w:highlight w:val="none"/>
          <w:lang w:val="en-US" w:eastAsia="zh-CN"/>
        </w:rPr>
      </w:pPr>
    </w:p>
    <w:p w14:paraId="28BDA092">
      <w:pPr>
        <w:pStyle w:val="9"/>
        <w:rPr>
          <w:rFonts w:hint="eastAsia"/>
          <w:color w:val="auto"/>
          <w:highlight w:val="none"/>
          <w:lang w:val="en-US" w:eastAsia="zh-CN"/>
        </w:rPr>
      </w:pPr>
    </w:p>
    <w:p w14:paraId="6FEBA996">
      <w:pPr>
        <w:rPr>
          <w:rFonts w:hint="eastAsia"/>
          <w:color w:val="auto"/>
          <w:highlight w:val="none"/>
          <w:lang w:val="en-US" w:eastAsia="zh-CN"/>
        </w:rPr>
      </w:pPr>
    </w:p>
    <w:p w14:paraId="1D333716">
      <w:pPr>
        <w:pStyle w:val="9"/>
        <w:rPr>
          <w:rFonts w:hint="eastAsia"/>
          <w:color w:val="auto"/>
          <w:highlight w:val="none"/>
          <w:lang w:val="en-US" w:eastAsia="zh-CN"/>
        </w:rPr>
      </w:pPr>
    </w:p>
    <w:p w14:paraId="70753DBF">
      <w:pPr>
        <w:rPr>
          <w:rFonts w:hint="eastAsia"/>
          <w:color w:val="auto"/>
          <w:highlight w:val="none"/>
          <w:lang w:val="en-US" w:eastAsia="zh-CN"/>
        </w:rPr>
      </w:pPr>
    </w:p>
    <w:p w14:paraId="54BE95D7">
      <w:pPr>
        <w:pStyle w:val="9"/>
        <w:rPr>
          <w:rFonts w:hint="eastAsia"/>
          <w:color w:val="auto"/>
          <w:highlight w:val="none"/>
          <w:lang w:val="en-US" w:eastAsia="zh-CN"/>
        </w:rPr>
      </w:pPr>
    </w:p>
    <w:p w14:paraId="216071BA">
      <w:pPr>
        <w:rPr>
          <w:rFonts w:hint="eastAsia"/>
          <w:color w:val="auto"/>
          <w:highlight w:val="none"/>
          <w:lang w:val="en-US" w:eastAsia="zh-CN"/>
        </w:rPr>
      </w:pPr>
    </w:p>
    <w:p w14:paraId="36FE55D9">
      <w:pPr>
        <w:pStyle w:val="9"/>
        <w:rPr>
          <w:rFonts w:hint="eastAsia"/>
          <w:color w:val="auto"/>
          <w:highlight w:val="none"/>
          <w:lang w:val="en-US" w:eastAsia="zh-CN"/>
        </w:rPr>
      </w:pPr>
    </w:p>
    <w:p w14:paraId="306AAB1E">
      <w:pPr>
        <w:rPr>
          <w:rFonts w:hint="eastAsia"/>
          <w:color w:val="auto"/>
          <w:highlight w:val="none"/>
          <w:lang w:val="en-US" w:eastAsia="zh-CN"/>
        </w:rPr>
      </w:pPr>
    </w:p>
    <w:p w14:paraId="33CEE700">
      <w:pPr>
        <w:pStyle w:val="9"/>
        <w:rPr>
          <w:rFonts w:hint="eastAsia"/>
          <w:color w:val="auto"/>
          <w:highlight w:val="none"/>
          <w:lang w:val="en-US" w:eastAsia="zh-CN"/>
        </w:rPr>
      </w:pPr>
    </w:p>
    <w:p w14:paraId="471D0E14">
      <w:pPr>
        <w:rPr>
          <w:rFonts w:hint="eastAsia"/>
          <w:color w:val="auto"/>
          <w:highlight w:val="none"/>
          <w:lang w:val="en-US" w:eastAsia="zh-CN"/>
        </w:rPr>
      </w:pPr>
    </w:p>
    <w:p w14:paraId="2F03802A">
      <w:pPr>
        <w:pStyle w:val="9"/>
        <w:rPr>
          <w:rFonts w:hint="eastAsia"/>
          <w:color w:val="auto"/>
          <w:highlight w:val="none"/>
          <w:lang w:val="en-US" w:eastAsia="zh-CN"/>
        </w:rPr>
      </w:pPr>
    </w:p>
    <w:p w14:paraId="0E9F298A">
      <w:pPr>
        <w:rPr>
          <w:rFonts w:hint="eastAsia"/>
          <w:color w:val="auto"/>
          <w:highlight w:val="none"/>
          <w:lang w:val="en-US" w:eastAsia="zh-CN"/>
        </w:rPr>
      </w:pPr>
    </w:p>
    <w:p w14:paraId="2E10AFFB">
      <w:pPr>
        <w:pStyle w:val="9"/>
        <w:rPr>
          <w:rFonts w:hint="eastAsia"/>
          <w:color w:val="auto"/>
          <w:highlight w:val="none"/>
          <w:lang w:val="en-US" w:eastAsia="zh-CN"/>
        </w:rPr>
      </w:pPr>
    </w:p>
    <w:p w14:paraId="7A0FE2F9">
      <w:pPr>
        <w:rPr>
          <w:rFonts w:hint="eastAsia"/>
          <w:color w:val="auto"/>
          <w:highlight w:val="none"/>
          <w:lang w:val="en-US" w:eastAsia="zh-CN"/>
        </w:rPr>
      </w:pPr>
    </w:p>
    <w:p w14:paraId="74AFC521">
      <w:pPr>
        <w:pStyle w:val="9"/>
        <w:rPr>
          <w:rFonts w:hint="eastAsia"/>
          <w:color w:val="auto"/>
          <w:highlight w:val="none"/>
          <w:lang w:val="en-US" w:eastAsia="zh-CN"/>
        </w:rPr>
      </w:pPr>
    </w:p>
    <w:p w14:paraId="4D233992">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b/>
          <w:bCs/>
          <w:color w:val="auto"/>
          <w:sz w:val="36"/>
          <w:szCs w:val="36"/>
          <w:highlight w:val="none"/>
          <w:lang w:val="en-US" w:eastAsia="zh-CN"/>
        </w:rPr>
      </w:pPr>
      <w:bookmarkStart w:id="531" w:name="_Toc28570_WPSOffice_Level1"/>
      <w:r>
        <w:rPr>
          <w:rFonts w:hint="eastAsia"/>
          <w:b/>
          <w:bCs/>
          <w:color w:val="auto"/>
          <w:sz w:val="36"/>
          <w:szCs w:val="36"/>
          <w:highlight w:val="none"/>
          <w:lang w:val="en-US" w:eastAsia="zh-CN"/>
        </w:rPr>
        <w:t>四、价格部分</w:t>
      </w:r>
      <w:bookmarkEnd w:id="531"/>
    </w:p>
    <w:p w14:paraId="76468BA2">
      <w:pPr>
        <w:rPr>
          <w:rFonts w:hint="eastAsia"/>
          <w:color w:val="auto"/>
          <w:highlight w:val="none"/>
          <w:lang w:val="en-US" w:eastAsia="zh-CN"/>
        </w:rPr>
      </w:pPr>
    </w:p>
    <w:p w14:paraId="0BE282D1">
      <w:pPr>
        <w:pStyle w:val="9"/>
        <w:rPr>
          <w:rFonts w:hint="eastAsia"/>
          <w:color w:val="auto"/>
          <w:highlight w:val="none"/>
          <w:lang w:val="en-US" w:eastAsia="zh-CN"/>
        </w:rPr>
      </w:pPr>
    </w:p>
    <w:p w14:paraId="09B732CC">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4.1 报价</w:t>
      </w:r>
      <w:r>
        <w:rPr>
          <w:rFonts w:hint="eastAsia" w:ascii="宋体" w:hAnsi="宋体" w:eastAsia="宋体" w:cs="宋体"/>
          <w:b/>
          <w:bCs/>
          <w:color w:val="auto"/>
          <w:sz w:val="30"/>
          <w:szCs w:val="30"/>
          <w:highlight w:val="none"/>
        </w:rPr>
        <w:t>一览表(首次报价表)</w:t>
      </w:r>
    </w:p>
    <w:p w14:paraId="517BC88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0A139A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page">
                  <wp:posOffset>641350</wp:posOffset>
                </wp:positionH>
                <wp:positionV relativeFrom="paragraph">
                  <wp:posOffset>576580</wp:posOffset>
                </wp:positionV>
                <wp:extent cx="6286500" cy="175895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6286500" cy="1758950"/>
                        </a:xfrm>
                        <a:prstGeom prst="rect">
                          <a:avLst/>
                        </a:prstGeom>
                        <a:noFill/>
                        <a:ln>
                          <a:noFill/>
                        </a:ln>
                      </wps:spPr>
                      <wps:txbx>
                        <w:txbxContent>
                          <w:tbl>
                            <w:tblPr>
                              <w:tblStyle w:val="20"/>
                              <w:tblW w:w="971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653"/>
                              <w:gridCol w:w="5066"/>
                            </w:tblGrid>
                            <w:tr w14:paraId="3C55ECB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6" w:hRule="atLeast"/>
                              </w:trPr>
                              <w:tc>
                                <w:tcPr>
                                  <w:tcW w:w="4653" w:type="dxa"/>
                                  <w:tcBorders>
                                    <w:bottom w:val="double" w:color="000000" w:sz="0" w:space="0"/>
                                    <w:right w:val="single" w:color="000000" w:sz="4" w:space="0"/>
                                  </w:tcBorders>
                                  <w:shd w:val="clear" w:color="auto" w:fill="EDEBE0"/>
                                  <w:noWrap w:val="0"/>
                                  <w:vAlign w:val="top"/>
                                </w:tcPr>
                                <w:p w14:paraId="513C8408">
                                  <w:pPr>
                                    <w:pStyle w:val="32"/>
                                    <w:spacing w:before="101"/>
                                    <w:ind w:left="606" w:right="479"/>
                                    <w:jc w:val="center"/>
                                    <w:rPr>
                                      <w:rFonts w:hint="eastAsia" w:ascii="微软雅黑" w:eastAsia="微软雅黑"/>
                                      <w:b/>
                                      <w:sz w:val="21"/>
                                    </w:rPr>
                                  </w:pPr>
                                  <w:r>
                                    <w:rPr>
                                      <w:rFonts w:hint="eastAsia" w:ascii="微软雅黑" w:eastAsia="微软雅黑"/>
                                      <w:b/>
                                      <w:sz w:val="21"/>
                                      <w:lang w:val="en-US" w:eastAsia="zh-CN"/>
                                    </w:rPr>
                                    <w:t>项目</w:t>
                                  </w:r>
                                  <w:r>
                                    <w:rPr>
                                      <w:rFonts w:hint="eastAsia" w:ascii="微软雅黑" w:eastAsia="微软雅黑"/>
                                      <w:b/>
                                      <w:sz w:val="21"/>
                                    </w:rPr>
                                    <w:t>内容</w:t>
                                  </w:r>
                                  <w:r>
                                    <w:rPr>
                                      <w:rFonts w:hint="eastAsia" w:ascii="微软雅黑" w:eastAsia="微软雅黑"/>
                                      <w:b/>
                                      <w:w w:val="168"/>
                                      <w:sz w:val="21"/>
                                    </w:rPr>
                                    <w:t xml:space="preserve"> </w:t>
                                  </w:r>
                                </w:p>
                              </w:tc>
                              <w:tc>
                                <w:tcPr>
                                  <w:tcW w:w="5066" w:type="dxa"/>
                                  <w:tcBorders>
                                    <w:left w:val="single" w:color="000000" w:sz="4" w:space="0"/>
                                    <w:bottom w:val="double" w:color="000000" w:sz="0" w:space="0"/>
                                  </w:tcBorders>
                                  <w:shd w:val="clear" w:color="auto" w:fill="EDEBE0"/>
                                  <w:noWrap w:val="0"/>
                                  <w:vAlign w:val="top"/>
                                </w:tcPr>
                                <w:p w14:paraId="2C43ED4C">
                                  <w:pPr>
                                    <w:pStyle w:val="32"/>
                                    <w:spacing w:line="296" w:lineRule="exact"/>
                                    <w:ind w:left="1950" w:right="1803"/>
                                    <w:jc w:val="center"/>
                                    <w:rPr>
                                      <w:rFonts w:hint="eastAsia" w:ascii="微软雅黑" w:eastAsia="微软雅黑"/>
                                      <w:b/>
                                      <w:sz w:val="21"/>
                                    </w:rPr>
                                  </w:pPr>
                                  <w:r>
                                    <w:rPr>
                                      <w:rFonts w:hint="eastAsia" w:ascii="微软雅黑" w:eastAsia="微软雅黑"/>
                                      <w:b/>
                                      <w:sz w:val="21"/>
                                    </w:rPr>
                                    <w:t>磋商报价</w:t>
                                  </w:r>
                                  <w:r>
                                    <w:rPr>
                                      <w:rFonts w:hint="eastAsia" w:ascii="微软雅黑" w:eastAsia="微软雅黑"/>
                                      <w:b/>
                                      <w:w w:val="168"/>
                                      <w:sz w:val="21"/>
                                    </w:rPr>
                                    <w:t xml:space="preserve"> </w:t>
                                  </w:r>
                                </w:p>
                                <w:p w14:paraId="662AF829">
                                  <w:pPr>
                                    <w:pStyle w:val="32"/>
                                    <w:spacing w:line="280" w:lineRule="exact"/>
                                    <w:ind w:left="1950" w:right="1803"/>
                                    <w:jc w:val="center"/>
                                    <w:rPr>
                                      <w:rFonts w:hint="eastAsia" w:ascii="微软雅黑" w:eastAsia="微软雅黑"/>
                                      <w:b/>
                                      <w:sz w:val="21"/>
                                    </w:rPr>
                                  </w:pPr>
                                  <w:r>
                                    <w:rPr>
                                      <w:rFonts w:hint="eastAsia" w:ascii="微软雅黑" w:eastAsia="微软雅黑"/>
                                      <w:b/>
                                      <w:sz w:val="21"/>
                                    </w:rPr>
                                    <w:t>（人民币 元）</w:t>
                                  </w:r>
                                  <w:r>
                                    <w:rPr>
                                      <w:rFonts w:hint="eastAsia" w:ascii="微软雅黑" w:eastAsia="微软雅黑"/>
                                      <w:b/>
                                      <w:w w:val="168"/>
                                      <w:sz w:val="21"/>
                                    </w:rPr>
                                    <w:t xml:space="preserve"> </w:t>
                                  </w:r>
                                </w:p>
                              </w:tc>
                            </w:tr>
                            <w:tr w14:paraId="2E8F465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48" w:hRule="atLeast"/>
                              </w:trPr>
                              <w:tc>
                                <w:tcPr>
                                  <w:tcW w:w="4653" w:type="dxa"/>
                                  <w:tcBorders>
                                    <w:top w:val="double" w:color="000000" w:sz="0" w:space="0"/>
                                    <w:bottom w:val="double" w:color="000000" w:sz="0" w:space="0"/>
                                    <w:right w:val="single" w:color="000000" w:sz="4" w:space="0"/>
                                  </w:tcBorders>
                                  <w:noWrap w:val="0"/>
                                  <w:vAlign w:val="top"/>
                                </w:tcPr>
                                <w:p w14:paraId="4B3D40CD">
                                  <w:pPr>
                                    <w:pStyle w:val="32"/>
                                    <w:rPr>
                                      <w:rFonts w:ascii="微软雅黑"/>
                                      <w:b/>
                                      <w:sz w:val="20"/>
                                    </w:rPr>
                                  </w:pPr>
                                </w:p>
                                <w:p w14:paraId="4ED6E339">
                                  <w:pPr>
                                    <w:pStyle w:val="32"/>
                                    <w:spacing w:before="9"/>
                                    <w:rPr>
                                      <w:rFonts w:ascii="微软雅黑"/>
                                      <w:b/>
                                      <w:sz w:val="14"/>
                                    </w:rPr>
                                  </w:pPr>
                                </w:p>
                                <w:p w14:paraId="05D3A4DE">
                                  <w:pPr>
                                    <w:pStyle w:val="32"/>
                                    <w:spacing w:before="1"/>
                                    <w:ind w:left="609" w:right="479"/>
                                    <w:jc w:val="center"/>
                                    <w:rPr>
                                      <w:sz w:val="21"/>
                                    </w:rPr>
                                  </w:pPr>
                                </w:p>
                              </w:tc>
                              <w:tc>
                                <w:tcPr>
                                  <w:tcW w:w="5066" w:type="dxa"/>
                                  <w:tcBorders>
                                    <w:top w:val="double" w:color="000000" w:sz="0" w:space="0"/>
                                    <w:left w:val="single" w:color="000000" w:sz="4" w:space="0"/>
                                    <w:bottom w:val="single" w:color="000000" w:sz="4" w:space="0"/>
                                  </w:tcBorders>
                                  <w:noWrap w:val="0"/>
                                  <w:vAlign w:val="top"/>
                                </w:tcPr>
                                <w:p w14:paraId="72492474">
                                  <w:pPr>
                                    <w:pStyle w:val="32"/>
                                    <w:spacing w:before="2"/>
                                    <w:rPr>
                                      <w:rFonts w:ascii="微软雅黑"/>
                                      <w:b/>
                                      <w:sz w:val="27"/>
                                    </w:rPr>
                                  </w:pPr>
                                </w:p>
                                <w:p w14:paraId="5989694B">
                                  <w:pPr>
                                    <w:pStyle w:val="32"/>
                                    <w:spacing w:line="381" w:lineRule="auto"/>
                                    <w:ind w:left="120" w:right="2161"/>
                                    <w:rPr>
                                      <w:spacing w:val="-1"/>
                                      <w:sz w:val="21"/>
                                      <w:u w:val="single"/>
                                    </w:rPr>
                                  </w:pPr>
                                  <w:r>
                                    <w:rPr>
                                      <w:spacing w:val="-1"/>
                                      <w:sz w:val="21"/>
                                    </w:rPr>
                                    <w:t>小 写 ：</w:t>
                                  </w:r>
                                  <w:r>
                                    <w:rPr>
                                      <w:spacing w:val="-1"/>
                                      <w:sz w:val="21"/>
                                      <w:u w:val="single"/>
                                    </w:rPr>
                                    <w:t xml:space="preserve">                 </w:t>
                                  </w:r>
                                </w:p>
                                <w:p w14:paraId="4340DCE0">
                                  <w:pPr>
                                    <w:pStyle w:val="32"/>
                                    <w:spacing w:line="381" w:lineRule="auto"/>
                                    <w:ind w:left="120" w:right="2161"/>
                                    <w:rPr>
                                      <w:sz w:val="21"/>
                                    </w:rPr>
                                  </w:pPr>
                                  <w:r>
                                    <w:rPr>
                                      <w:spacing w:val="-1"/>
                                      <w:sz w:val="21"/>
                                    </w:rPr>
                                    <w:t>大</w:t>
                                  </w:r>
                                  <w:r>
                                    <w:rPr>
                                      <w:rFonts w:hint="eastAsia"/>
                                      <w:spacing w:val="-1"/>
                                      <w:sz w:val="21"/>
                                      <w:lang w:val="en-US" w:eastAsia="zh-CN"/>
                                    </w:rPr>
                                    <w:t xml:space="preserve"> </w:t>
                                  </w:r>
                                  <w:r>
                                    <w:rPr>
                                      <w:spacing w:val="-1"/>
                                      <w:sz w:val="21"/>
                                    </w:rPr>
                                    <w:t>写：</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p w14:paraId="5B210EED">
                                  <w:pPr>
                                    <w:pStyle w:val="32"/>
                                    <w:spacing w:line="381" w:lineRule="auto"/>
                                    <w:ind w:left="120" w:right="2161"/>
                                    <w:rPr>
                                      <w:rFonts w:hint="eastAsia" w:eastAsia="宋体"/>
                                      <w:sz w:val="21"/>
                                      <w:lang w:val="en-US" w:eastAsia="zh-CN"/>
                                    </w:rPr>
                                  </w:pPr>
                                  <w:r>
                                    <w:rPr>
                                      <w:rFonts w:hint="eastAsia"/>
                                      <w:sz w:val="21"/>
                                      <w:lang w:val="en-US" w:eastAsia="zh-CN"/>
                                    </w:rPr>
                                    <w:t>完工期：</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rFonts w:hint="eastAsia"/>
                                      <w:sz w:val="21"/>
                                      <w:u w:val="single"/>
                                      <w:lang w:val="en-US" w:eastAsia="zh-CN"/>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tc>
                            </w:tr>
                          </w:tbl>
                          <w:p w14:paraId="1337E98A">
                            <w:pPr>
                              <w:pStyle w:val="10"/>
                            </w:pPr>
                          </w:p>
                        </w:txbxContent>
                      </wps:txbx>
                      <wps:bodyPr lIns="0" tIns="0" rIns="0" bIns="0" upright="1"/>
                    </wps:wsp>
                  </a:graphicData>
                </a:graphic>
              </wp:anchor>
            </w:drawing>
          </mc:Choice>
          <mc:Fallback>
            <w:pict>
              <v:shape id="_x0000_s1026" o:spid="_x0000_s1026" o:spt="202" type="#_x0000_t202" style="position:absolute;left:0pt;margin-left:50.5pt;margin-top:45.4pt;height:138.5pt;width:495pt;mso-position-horizontal-relative:page;z-index:251665408;mso-width-relative:page;mso-height-relative:page;" filled="f" stroked="f" coordsize="21600,21600" o:gfxdata="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BjANcAAAALAQAADwAAAAAAAAABACAAAAAiAAAAZHJzL2Rvd25yZXYueG1sUEsB&#10;AhQAFAAAAAgAh07iQBkkqaG9AQAAdQMAAA4AAAAAAAAAAQAgAAAAJgEAAGRycy9lMm9Eb2MueG1s&#10;UEsFBgAAAAAGAAYAWQEAAFUFAAAAAA==&#10;">
                <v:fill on="f" focussize="0,0"/>
                <v:stroke on="f"/>
                <v:imagedata o:title=""/>
                <o:lock v:ext="edit" aspectratio="f"/>
                <v:textbox inset="0mm,0mm,0mm,0mm">
                  <w:txbxContent>
                    <w:tbl>
                      <w:tblPr>
                        <w:tblStyle w:val="20"/>
                        <w:tblW w:w="971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653"/>
                        <w:gridCol w:w="5066"/>
                      </w:tblGrid>
                      <w:tr w14:paraId="3C55ECB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6" w:hRule="atLeast"/>
                        </w:trPr>
                        <w:tc>
                          <w:tcPr>
                            <w:tcW w:w="4653" w:type="dxa"/>
                            <w:tcBorders>
                              <w:bottom w:val="double" w:color="000000" w:sz="0" w:space="0"/>
                              <w:right w:val="single" w:color="000000" w:sz="4" w:space="0"/>
                            </w:tcBorders>
                            <w:shd w:val="clear" w:color="auto" w:fill="EDEBE0"/>
                            <w:noWrap w:val="0"/>
                            <w:vAlign w:val="top"/>
                          </w:tcPr>
                          <w:p w14:paraId="513C8408">
                            <w:pPr>
                              <w:pStyle w:val="32"/>
                              <w:spacing w:before="101"/>
                              <w:ind w:left="606" w:right="479"/>
                              <w:jc w:val="center"/>
                              <w:rPr>
                                <w:rFonts w:hint="eastAsia" w:ascii="微软雅黑" w:eastAsia="微软雅黑"/>
                                <w:b/>
                                <w:sz w:val="21"/>
                              </w:rPr>
                            </w:pPr>
                            <w:r>
                              <w:rPr>
                                <w:rFonts w:hint="eastAsia" w:ascii="微软雅黑" w:eastAsia="微软雅黑"/>
                                <w:b/>
                                <w:sz w:val="21"/>
                                <w:lang w:val="en-US" w:eastAsia="zh-CN"/>
                              </w:rPr>
                              <w:t>项目</w:t>
                            </w:r>
                            <w:r>
                              <w:rPr>
                                <w:rFonts w:hint="eastAsia" w:ascii="微软雅黑" w:eastAsia="微软雅黑"/>
                                <w:b/>
                                <w:sz w:val="21"/>
                              </w:rPr>
                              <w:t>内容</w:t>
                            </w:r>
                            <w:r>
                              <w:rPr>
                                <w:rFonts w:hint="eastAsia" w:ascii="微软雅黑" w:eastAsia="微软雅黑"/>
                                <w:b/>
                                <w:w w:val="168"/>
                                <w:sz w:val="21"/>
                              </w:rPr>
                              <w:t xml:space="preserve"> </w:t>
                            </w:r>
                          </w:p>
                        </w:tc>
                        <w:tc>
                          <w:tcPr>
                            <w:tcW w:w="5066" w:type="dxa"/>
                            <w:tcBorders>
                              <w:left w:val="single" w:color="000000" w:sz="4" w:space="0"/>
                              <w:bottom w:val="double" w:color="000000" w:sz="0" w:space="0"/>
                            </w:tcBorders>
                            <w:shd w:val="clear" w:color="auto" w:fill="EDEBE0"/>
                            <w:noWrap w:val="0"/>
                            <w:vAlign w:val="top"/>
                          </w:tcPr>
                          <w:p w14:paraId="2C43ED4C">
                            <w:pPr>
                              <w:pStyle w:val="32"/>
                              <w:spacing w:line="296" w:lineRule="exact"/>
                              <w:ind w:left="1950" w:right="1803"/>
                              <w:jc w:val="center"/>
                              <w:rPr>
                                <w:rFonts w:hint="eastAsia" w:ascii="微软雅黑" w:eastAsia="微软雅黑"/>
                                <w:b/>
                                <w:sz w:val="21"/>
                              </w:rPr>
                            </w:pPr>
                            <w:r>
                              <w:rPr>
                                <w:rFonts w:hint="eastAsia" w:ascii="微软雅黑" w:eastAsia="微软雅黑"/>
                                <w:b/>
                                <w:sz w:val="21"/>
                              </w:rPr>
                              <w:t>磋商报价</w:t>
                            </w:r>
                            <w:r>
                              <w:rPr>
                                <w:rFonts w:hint="eastAsia" w:ascii="微软雅黑" w:eastAsia="微软雅黑"/>
                                <w:b/>
                                <w:w w:val="168"/>
                                <w:sz w:val="21"/>
                              </w:rPr>
                              <w:t xml:space="preserve"> </w:t>
                            </w:r>
                          </w:p>
                          <w:p w14:paraId="662AF829">
                            <w:pPr>
                              <w:pStyle w:val="32"/>
                              <w:spacing w:line="280" w:lineRule="exact"/>
                              <w:ind w:left="1950" w:right="1803"/>
                              <w:jc w:val="center"/>
                              <w:rPr>
                                <w:rFonts w:hint="eastAsia" w:ascii="微软雅黑" w:eastAsia="微软雅黑"/>
                                <w:b/>
                                <w:sz w:val="21"/>
                              </w:rPr>
                            </w:pPr>
                            <w:r>
                              <w:rPr>
                                <w:rFonts w:hint="eastAsia" w:ascii="微软雅黑" w:eastAsia="微软雅黑"/>
                                <w:b/>
                                <w:sz w:val="21"/>
                              </w:rPr>
                              <w:t>（人民币 元）</w:t>
                            </w:r>
                            <w:r>
                              <w:rPr>
                                <w:rFonts w:hint="eastAsia" w:ascii="微软雅黑" w:eastAsia="微软雅黑"/>
                                <w:b/>
                                <w:w w:val="168"/>
                                <w:sz w:val="21"/>
                              </w:rPr>
                              <w:t xml:space="preserve"> </w:t>
                            </w:r>
                          </w:p>
                        </w:tc>
                      </w:tr>
                      <w:tr w14:paraId="2E8F465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48" w:hRule="atLeast"/>
                        </w:trPr>
                        <w:tc>
                          <w:tcPr>
                            <w:tcW w:w="4653" w:type="dxa"/>
                            <w:tcBorders>
                              <w:top w:val="double" w:color="000000" w:sz="0" w:space="0"/>
                              <w:bottom w:val="double" w:color="000000" w:sz="0" w:space="0"/>
                              <w:right w:val="single" w:color="000000" w:sz="4" w:space="0"/>
                            </w:tcBorders>
                            <w:noWrap w:val="0"/>
                            <w:vAlign w:val="top"/>
                          </w:tcPr>
                          <w:p w14:paraId="4B3D40CD">
                            <w:pPr>
                              <w:pStyle w:val="32"/>
                              <w:rPr>
                                <w:rFonts w:ascii="微软雅黑"/>
                                <w:b/>
                                <w:sz w:val="20"/>
                              </w:rPr>
                            </w:pPr>
                          </w:p>
                          <w:p w14:paraId="4ED6E339">
                            <w:pPr>
                              <w:pStyle w:val="32"/>
                              <w:spacing w:before="9"/>
                              <w:rPr>
                                <w:rFonts w:ascii="微软雅黑"/>
                                <w:b/>
                                <w:sz w:val="14"/>
                              </w:rPr>
                            </w:pPr>
                          </w:p>
                          <w:p w14:paraId="05D3A4DE">
                            <w:pPr>
                              <w:pStyle w:val="32"/>
                              <w:spacing w:before="1"/>
                              <w:ind w:left="609" w:right="479"/>
                              <w:jc w:val="center"/>
                              <w:rPr>
                                <w:sz w:val="21"/>
                              </w:rPr>
                            </w:pPr>
                          </w:p>
                        </w:tc>
                        <w:tc>
                          <w:tcPr>
                            <w:tcW w:w="5066" w:type="dxa"/>
                            <w:tcBorders>
                              <w:top w:val="double" w:color="000000" w:sz="0" w:space="0"/>
                              <w:left w:val="single" w:color="000000" w:sz="4" w:space="0"/>
                              <w:bottom w:val="single" w:color="000000" w:sz="4" w:space="0"/>
                            </w:tcBorders>
                            <w:noWrap w:val="0"/>
                            <w:vAlign w:val="top"/>
                          </w:tcPr>
                          <w:p w14:paraId="72492474">
                            <w:pPr>
                              <w:pStyle w:val="32"/>
                              <w:spacing w:before="2"/>
                              <w:rPr>
                                <w:rFonts w:ascii="微软雅黑"/>
                                <w:b/>
                                <w:sz w:val="27"/>
                              </w:rPr>
                            </w:pPr>
                          </w:p>
                          <w:p w14:paraId="5989694B">
                            <w:pPr>
                              <w:pStyle w:val="32"/>
                              <w:spacing w:line="381" w:lineRule="auto"/>
                              <w:ind w:left="120" w:right="2161"/>
                              <w:rPr>
                                <w:spacing w:val="-1"/>
                                <w:sz w:val="21"/>
                                <w:u w:val="single"/>
                              </w:rPr>
                            </w:pPr>
                            <w:r>
                              <w:rPr>
                                <w:spacing w:val="-1"/>
                                <w:sz w:val="21"/>
                              </w:rPr>
                              <w:t>小 写 ：</w:t>
                            </w:r>
                            <w:r>
                              <w:rPr>
                                <w:spacing w:val="-1"/>
                                <w:sz w:val="21"/>
                                <w:u w:val="single"/>
                              </w:rPr>
                              <w:t xml:space="preserve">                 </w:t>
                            </w:r>
                          </w:p>
                          <w:p w14:paraId="4340DCE0">
                            <w:pPr>
                              <w:pStyle w:val="32"/>
                              <w:spacing w:line="381" w:lineRule="auto"/>
                              <w:ind w:left="120" w:right="2161"/>
                              <w:rPr>
                                <w:sz w:val="21"/>
                              </w:rPr>
                            </w:pPr>
                            <w:r>
                              <w:rPr>
                                <w:spacing w:val="-1"/>
                                <w:sz w:val="21"/>
                              </w:rPr>
                              <w:t>大</w:t>
                            </w:r>
                            <w:r>
                              <w:rPr>
                                <w:rFonts w:hint="eastAsia"/>
                                <w:spacing w:val="-1"/>
                                <w:sz w:val="21"/>
                                <w:lang w:val="en-US" w:eastAsia="zh-CN"/>
                              </w:rPr>
                              <w:t xml:space="preserve"> </w:t>
                            </w:r>
                            <w:r>
                              <w:rPr>
                                <w:spacing w:val="-1"/>
                                <w:sz w:val="21"/>
                              </w:rPr>
                              <w:t>写：</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p w14:paraId="5B210EED">
                            <w:pPr>
                              <w:pStyle w:val="32"/>
                              <w:spacing w:line="381" w:lineRule="auto"/>
                              <w:ind w:left="120" w:right="2161"/>
                              <w:rPr>
                                <w:rFonts w:hint="eastAsia" w:eastAsia="宋体"/>
                                <w:sz w:val="21"/>
                                <w:lang w:val="en-US" w:eastAsia="zh-CN"/>
                              </w:rPr>
                            </w:pPr>
                            <w:r>
                              <w:rPr>
                                <w:rFonts w:hint="eastAsia"/>
                                <w:sz w:val="21"/>
                                <w:lang w:val="en-US" w:eastAsia="zh-CN"/>
                              </w:rPr>
                              <w:t>完工期：</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rFonts w:hint="eastAsia"/>
                                <w:sz w:val="21"/>
                                <w:u w:val="single"/>
                                <w:lang w:val="en-US" w:eastAsia="zh-CN"/>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tc>
                      </w:tr>
                    </w:tbl>
                    <w:p w14:paraId="1337E98A">
                      <w:pPr>
                        <w:pStyle w:val="10"/>
                      </w:pPr>
                    </w:p>
                  </w:txbxContent>
                </v:textbox>
              </v:shape>
            </w:pict>
          </mc:Fallback>
        </mc:AlternateContent>
      </w:r>
      <w:r>
        <w:rPr>
          <w:rFonts w:hint="eastAsia" w:ascii="宋体" w:hAnsi="宋体" w:eastAsia="宋体" w:cs="宋体"/>
          <w:color w:val="auto"/>
          <w:sz w:val="24"/>
          <w:szCs w:val="24"/>
          <w:highlight w:val="none"/>
        </w:rPr>
        <w:t>采购项目名称：</w:t>
      </w:r>
    </w:p>
    <w:p w14:paraId="6910629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 xml:space="preserve">  </w:t>
      </w:r>
    </w:p>
    <w:p w14:paraId="0243C15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2FF714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94FB2C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A85A18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EDEEAD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4A4A5E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CFA3589">
      <w:pPr>
        <w:rPr>
          <w:rFonts w:hint="eastAsia"/>
          <w:color w:val="auto"/>
          <w:highlight w:val="none"/>
          <w:lang w:val="en-US" w:eastAsia="zh-CN"/>
        </w:rPr>
      </w:pPr>
    </w:p>
    <w:p w14:paraId="53894A19">
      <w:pPr>
        <w:rPr>
          <w:rFonts w:hint="eastAsia"/>
          <w:color w:val="auto"/>
          <w:highlight w:val="none"/>
          <w:lang w:val="en-US" w:eastAsia="zh-CN"/>
        </w:rPr>
      </w:pPr>
    </w:p>
    <w:p w14:paraId="0C3026F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w:t>
      </w:r>
    </w:p>
    <w:p w14:paraId="3B072FE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 xml:space="preserve">供应商须按要求填写所有信息。政采云填报必须与本格式一致，本表格式内容不得改动。 </w:t>
      </w:r>
    </w:p>
    <w:p w14:paraId="341E8A6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lang w:val="en-US" w:eastAsia="zh-CN"/>
        </w:rPr>
        <w:t>总报价不得超出本项目采购预算价，否则视作无效响应文件。</w:t>
      </w:r>
    </w:p>
    <w:p w14:paraId="1C17892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59A93E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供应商名称（单位盖公章）：                              </w:t>
      </w:r>
    </w:p>
    <w:p w14:paraId="6ECD77A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AAC60D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法定代表人或供应商授权代表（签名或盖章）：</w:t>
      </w:r>
      <w:r>
        <w:rPr>
          <w:rFonts w:hint="eastAsia" w:ascii="宋体" w:hAnsi="宋体" w:eastAsia="宋体" w:cs="宋体"/>
          <w:color w:val="auto"/>
          <w:sz w:val="24"/>
          <w:szCs w:val="24"/>
          <w:highlight w:val="none"/>
          <w:u w:val="single"/>
        </w:rPr>
        <w:t xml:space="preserve">       </w:t>
      </w:r>
    </w:p>
    <w:p w14:paraId="1D36EF52">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6D7E05DC">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B3F80B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F11001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CB466D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sectPr>
          <w:headerReference r:id="rId23" w:type="default"/>
          <w:pgSz w:w="11910" w:h="16840"/>
          <w:pgMar w:top="1984" w:right="1531" w:bottom="2098" w:left="1531" w:header="670" w:footer="1041" w:gutter="0"/>
          <w:pgNumType w:fmt="decimal"/>
          <w:cols w:space="720" w:num="1"/>
          <w:rtlGutter w:val="0"/>
          <w:docGrid w:linePitch="1" w:charSpace="0"/>
        </w:sectPr>
      </w:pPr>
    </w:p>
    <w:p w14:paraId="34D7634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9B42E68">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4.2 标价的工程量清单</w:t>
      </w:r>
      <w:r>
        <w:rPr>
          <w:rFonts w:hint="eastAsia" w:ascii="宋体" w:hAnsi="宋体" w:eastAsia="宋体" w:cs="宋体"/>
          <w:b/>
          <w:bCs/>
          <w:color w:val="auto"/>
          <w:sz w:val="30"/>
          <w:szCs w:val="30"/>
          <w:highlight w:val="none"/>
        </w:rPr>
        <w:t xml:space="preserve"> </w:t>
      </w:r>
    </w:p>
    <w:p w14:paraId="704AB48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p>
    <w:p w14:paraId="58DDB2F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采购项目名称：</w:t>
      </w:r>
    </w:p>
    <w:p w14:paraId="4A19798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采购项目编号：</w:t>
      </w:r>
      <w:r>
        <w:rPr>
          <w:rFonts w:hint="eastAsia" w:ascii="宋体" w:hAnsi="宋体" w:eastAsia="宋体" w:cs="宋体"/>
          <w:color w:val="auto"/>
          <w:sz w:val="24"/>
          <w:szCs w:val="24"/>
          <w:highlight w:val="none"/>
        </w:rPr>
        <w:t xml:space="preserve">  </w:t>
      </w:r>
    </w:p>
    <w:p w14:paraId="1756578B">
      <w:pPr>
        <w:pStyle w:val="9"/>
        <w:ind w:left="0" w:leftChars="0" w:firstLine="0" w:firstLineChars="0"/>
        <w:rPr>
          <w:rFonts w:hint="eastAsia" w:ascii="宋体" w:hAnsi="宋体" w:eastAsia="宋体" w:cs="宋体"/>
          <w:color w:val="auto"/>
          <w:sz w:val="24"/>
          <w:szCs w:val="24"/>
          <w:highlight w:val="none"/>
          <w:lang w:val="en-US" w:eastAsia="zh-CN"/>
        </w:rPr>
      </w:pPr>
    </w:p>
    <w:p w14:paraId="44804763">
      <w:pPr>
        <w:pStyle w:val="9"/>
        <w:ind w:left="0" w:leftChars="0" w:firstLine="1440" w:firstLineChars="6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14:paraId="3CC9095D">
      <w:pPr>
        <w:rPr>
          <w:rFonts w:hint="eastAsia" w:ascii="宋体" w:hAnsi="宋体" w:eastAsia="宋体" w:cs="宋体"/>
          <w:color w:val="auto"/>
          <w:sz w:val="24"/>
          <w:szCs w:val="24"/>
          <w:highlight w:val="none"/>
        </w:rPr>
      </w:pPr>
    </w:p>
    <w:p w14:paraId="23966891">
      <w:pPr>
        <w:pStyle w:val="9"/>
        <w:ind w:left="0" w:leftChars="0" w:firstLine="1440" w:firstLineChars="6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14:paraId="163BE803">
      <w:pPr>
        <w:pStyle w:val="9"/>
        <w:rPr>
          <w:rFonts w:hint="eastAsia" w:ascii="宋体" w:hAnsi="宋体" w:eastAsia="宋体" w:cs="宋体"/>
          <w:color w:val="auto"/>
          <w:sz w:val="24"/>
          <w:szCs w:val="24"/>
          <w:highlight w:val="none"/>
        </w:rPr>
      </w:pPr>
    </w:p>
    <w:p w14:paraId="7B10F5DE">
      <w:pPr>
        <w:pStyle w:val="9"/>
        <w:ind w:left="0" w:leftChars="0" w:firstLine="1440" w:firstLineChars="6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p w14:paraId="65F3EEB7">
      <w:pPr>
        <w:rPr>
          <w:rFonts w:hint="eastAsia" w:ascii="宋体" w:hAnsi="宋体" w:eastAsia="宋体" w:cs="宋体"/>
          <w:color w:val="auto"/>
          <w:sz w:val="24"/>
          <w:szCs w:val="24"/>
          <w:highlight w:val="none"/>
        </w:rPr>
      </w:pPr>
    </w:p>
    <w:p w14:paraId="5DBE33CF">
      <w:pPr>
        <w:pStyle w:val="9"/>
        <w:rPr>
          <w:rFonts w:hint="eastAsia" w:ascii="宋体" w:hAnsi="宋体" w:eastAsia="宋体" w:cs="宋体"/>
          <w:color w:val="auto"/>
          <w:sz w:val="24"/>
          <w:szCs w:val="24"/>
          <w:highlight w:val="none"/>
        </w:rPr>
      </w:pPr>
    </w:p>
    <w:p w14:paraId="29D5B94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注： </w:t>
      </w:r>
    </w:p>
    <w:p w14:paraId="0433E0E2">
      <w:pPr>
        <w:keepNext w:val="0"/>
        <w:keepLines w:val="0"/>
        <w:pageBreakBefore w:val="0"/>
        <w:widowControl w:val="0"/>
        <w:kinsoku/>
        <w:wordWrap/>
        <w:overflowPunct/>
        <w:topLinePunct w:val="0"/>
        <w:autoSpaceDE w:val="0"/>
        <w:autoSpaceDN w:val="0"/>
        <w:bidi w:val="0"/>
        <w:adjustRightInd/>
        <w:snapToGrid/>
        <w:spacing w:line="440" w:lineRule="exact"/>
        <w:textAlignment w:val="auto"/>
        <w:rPr>
          <w:color w:val="auto"/>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此表为《</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一览表(首次报价表)》的报价明细表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bidi="ar"/>
        </w:rPr>
        <w:t>具体内容及所需的表格，以</w:t>
      </w:r>
      <w:r>
        <w:rPr>
          <w:rFonts w:hint="eastAsia" w:cs="宋体"/>
          <w:color w:val="auto"/>
          <w:kern w:val="0"/>
          <w:sz w:val="24"/>
          <w:szCs w:val="24"/>
          <w:highlight w:val="none"/>
          <w:lang w:val="en-US" w:eastAsia="zh-CN" w:bidi="ar"/>
        </w:rPr>
        <w:t>磋商</w:t>
      </w:r>
      <w:r>
        <w:rPr>
          <w:rFonts w:hint="eastAsia" w:ascii="宋体" w:hAnsi="宋体" w:eastAsia="宋体" w:cs="宋体"/>
          <w:color w:val="auto"/>
          <w:kern w:val="0"/>
          <w:sz w:val="24"/>
          <w:szCs w:val="24"/>
          <w:highlight w:val="none"/>
          <w:lang w:val="en-US" w:eastAsia="zh-CN" w:bidi="ar"/>
        </w:rPr>
        <w:t>文件的“附件</w:t>
      </w:r>
      <w:r>
        <w:rPr>
          <w:rFonts w:hint="eastAsia"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工程量清单”为准。</w:t>
      </w:r>
    </w:p>
    <w:p w14:paraId="6CF7F70C">
      <w:pPr>
        <w:rPr>
          <w:rFonts w:hint="eastAsia" w:ascii="宋体" w:hAnsi="宋体" w:eastAsia="宋体" w:cs="宋体"/>
          <w:color w:val="auto"/>
          <w:sz w:val="24"/>
          <w:szCs w:val="24"/>
          <w:highlight w:val="none"/>
        </w:rPr>
      </w:pPr>
    </w:p>
    <w:p w14:paraId="4FC1D107">
      <w:pPr>
        <w:pStyle w:val="9"/>
        <w:ind w:left="0" w:leftChars="0" w:firstLine="0" w:firstLineChars="0"/>
        <w:jc w:val="both"/>
        <w:rPr>
          <w:rFonts w:hint="eastAsia" w:ascii="宋体" w:hAnsi="宋体" w:eastAsia="宋体" w:cs="宋体"/>
          <w:color w:val="auto"/>
          <w:sz w:val="24"/>
          <w:szCs w:val="24"/>
          <w:highlight w:val="none"/>
        </w:rPr>
      </w:pPr>
      <w:r>
        <w:rPr>
          <w:rFonts w:hint="eastAsia" w:ascii="仿宋" w:hAnsi="仿宋" w:eastAsia="仿宋" w:cs="仿宋"/>
          <w:b w:val="0"/>
          <w:bCs w:val="0"/>
          <w:color w:val="auto"/>
          <w:kern w:val="2"/>
          <w:sz w:val="24"/>
          <w:szCs w:val="24"/>
          <w:u w:val="none"/>
          <w:lang w:val="en-US" w:eastAsia="zh-CN" w:bidi="ar-SA"/>
        </w:rPr>
        <w:t>2、</w:t>
      </w:r>
      <w:r>
        <w:rPr>
          <w:rFonts w:hint="eastAsia" w:ascii="宋体" w:hAnsi="宋体" w:eastAsia="宋体" w:cs="宋体"/>
          <w:color w:val="auto"/>
          <w:sz w:val="24"/>
          <w:szCs w:val="24"/>
          <w:highlight w:val="none"/>
          <w:lang w:val="en-US" w:eastAsia="zh-CN" w:bidi="zh-CN"/>
        </w:rPr>
        <w:t>本项目招磋商文件中投标总价单必须由投标单位注册造价工程师签字并盖专用章</w:t>
      </w:r>
    </w:p>
    <w:p w14:paraId="2742C93F">
      <w:pPr>
        <w:rPr>
          <w:rFonts w:hint="eastAsia" w:ascii="宋体" w:hAnsi="宋体" w:eastAsia="宋体" w:cs="宋体"/>
          <w:color w:val="auto"/>
          <w:sz w:val="24"/>
          <w:szCs w:val="24"/>
          <w:highlight w:val="none"/>
        </w:rPr>
      </w:pPr>
    </w:p>
    <w:p w14:paraId="373CA20E">
      <w:pPr>
        <w:pStyle w:val="9"/>
        <w:rPr>
          <w:rFonts w:hint="eastAsia"/>
          <w:color w:val="auto"/>
          <w:highlight w:val="none"/>
        </w:rPr>
      </w:pPr>
    </w:p>
    <w:p w14:paraId="3A399DB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供应商名称（单位盖公章）：                              </w:t>
      </w:r>
    </w:p>
    <w:p w14:paraId="5EEE549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DD81A85">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法定代表人或供应商授权代表（签名或盖章）：</w:t>
      </w:r>
      <w:r>
        <w:rPr>
          <w:rFonts w:hint="eastAsia" w:ascii="宋体" w:hAnsi="宋体" w:eastAsia="宋体" w:cs="宋体"/>
          <w:color w:val="auto"/>
          <w:sz w:val="24"/>
          <w:szCs w:val="24"/>
          <w:highlight w:val="none"/>
          <w:u w:val="single"/>
        </w:rPr>
        <w:t xml:space="preserve">       </w:t>
      </w:r>
    </w:p>
    <w:p w14:paraId="78FB369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5E48087E">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2F0A278">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EEE1E3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6ABEFA1F">
      <w:pPr>
        <w:pStyle w:val="8"/>
        <w:rPr>
          <w:rFonts w:hint="eastAsia" w:ascii="宋体" w:hAnsi="宋体" w:eastAsia="宋体" w:cs="宋体"/>
          <w:color w:val="auto"/>
          <w:sz w:val="24"/>
          <w:szCs w:val="24"/>
          <w:highlight w:val="none"/>
        </w:rPr>
      </w:pPr>
    </w:p>
    <w:p w14:paraId="4C32D058">
      <w:pPr>
        <w:rPr>
          <w:rFonts w:hint="eastAsia" w:ascii="宋体" w:hAnsi="宋体" w:eastAsia="宋体" w:cs="宋体"/>
          <w:color w:val="auto"/>
          <w:sz w:val="24"/>
          <w:szCs w:val="24"/>
          <w:highlight w:val="none"/>
        </w:rPr>
      </w:pPr>
    </w:p>
    <w:p w14:paraId="79CE4AFF">
      <w:pPr>
        <w:pStyle w:val="8"/>
        <w:rPr>
          <w:rFonts w:hint="eastAsia" w:ascii="宋体" w:hAnsi="宋体" w:eastAsia="宋体" w:cs="宋体"/>
          <w:color w:val="auto"/>
          <w:sz w:val="24"/>
          <w:szCs w:val="24"/>
          <w:highlight w:val="none"/>
        </w:rPr>
      </w:pPr>
    </w:p>
    <w:p w14:paraId="5E091711">
      <w:pPr>
        <w:rPr>
          <w:rFonts w:hint="eastAsia" w:ascii="宋体" w:hAnsi="宋体" w:eastAsia="宋体" w:cs="宋体"/>
          <w:color w:val="auto"/>
          <w:sz w:val="24"/>
          <w:szCs w:val="24"/>
          <w:highlight w:val="none"/>
        </w:rPr>
      </w:pPr>
    </w:p>
    <w:p w14:paraId="0348E8E8">
      <w:pPr>
        <w:pStyle w:val="8"/>
        <w:rPr>
          <w:rFonts w:hint="eastAsia" w:ascii="宋体" w:hAnsi="宋体" w:eastAsia="宋体" w:cs="宋体"/>
          <w:color w:val="auto"/>
          <w:sz w:val="24"/>
          <w:szCs w:val="24"/>
          <w:highlight w:val="none"/>
        </w:rPr>
      </w:pPr>
    </w:p>
    <w:p w14:paraId="4F20936E">
      <w:pPr>
        <w:rPr>
          <w:rFonts w:hint="eastAsia" w:ascii="宋体" w:hAnsi="宋体" w:eastAsia="宋体" w:cs="宋体"/>
          <w:color w:val="auto"/>
          <w:sz w:val="24"/>
          <w:szCs w:val="24"/>
          <w:highlight w:val="none"/>
        </w:rPr>
      </w:pPr>
    </w:p>
    <w:p w14:paraId="2CC2DA3E">
      <w:pPr>
        <w:pStyle w:val="8"/>
        <w:rPr>
          <w:rFonts w:hint="eastAsia" w:ascii="宋体" w:hAnsi="宋体" w:eastAsia="宋体" w:cs="宋体"/>
          <w:color w:val="auto"/>
          <w:sz w:val="24"/>
          <w:szCs w:val="24"/>
          <w:highlight w:val="none"/>
        </w:rPr>
      </w:pPr>
    </w:p>
    <w:p w14:paraId="15A52DBF">
      <w:pPr>
        <w:rPr>
          <w:rFonts w:hint="eastAsia" w:ascii="宋体" w:hAnsi="宋体" w:eastAsia="宋体" w:cs="宋体"/>
          <w:color w:val="auto"/>
          <w:sz w:val="24"/>
          <w:szCs w:val="24"/>
          <w:highlight w:val="none"/>
        </w:rPr>
      </w:pPr>
    </w:p>
    <w:p w14:paraId="00DE99D7">
      <w:pPr>
        <w:pStyle w:val="8"/>
        <w:rPr>
          <w:rFonts w:hint="eastAsia" w:ascii="宋体" w:hAnsi="宋体" w:eastAsia="宋体" w:cs="宋体"/>
          <w:color w:val="auto"/>
          <w:sz w:val="24"/>
          <w:szCs w:val="24"/>
          <w:highlight w:val="none"/>
        </w:rPr>
      </w:pPr>
    </w:p>
    <w:p w14:paraId="3BF7A3EF">
      <w:pPr>
        <w:rPr>
          <w:rFonts w:hint="eastAsia" w:ascii="宋体" w:hAnsi="宋体" w:eastAsia="宋体" w:cs="宋体"/>
          <w:color w:val="auto"/>
          <w:sz w:val="24"/>
          <w:szCs w:val="24"/>
          <w:highlight w:val="none"/>
        </w:rPr>
      </w:pPr>
    </w:p>
    <w:p w14:paraId="5CA522FE">
      <w:pPr>
        <w:jc w:val="center"/>
        <w:rPr>
          <w:rFonts w:hint="eastAsia"/>
          <w:sz w:val="48"/>
          <w:szCs w:val="56"/>
          <w:lang w:val="en-US" w:eastAsia="zh-CN"/>
        </w:rPr>
      </w:pPr>
      <w:r>
        <w:rPr>
          <w:rFonts w:hint="eastAsia"/>
          <w:sz w:val="48"/>
          <w:szCs w:val="56"/>
          <w:lang w:val="en-US" w:eastAsia="zh-CN"/>
        </w:rPr>
        <w:t>投标总价单</w:t>
      </w:r>
    </w:p>
    <w:p w14:paraId="18488C18">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default"/>
          <w:sz w:val="24"/>
          <w:szCs w:val="32"/>
          <w:u w:val="single"/>
          <w:lang w:val="en-US" w:eastAsia="zh-CN"/>
        </w:rPr>
      </w:pPr>
      <w:r>
        <w:rPr>
          <w:rFonts w:hint="eastAsia"/>
          <w:sz w:val="24"/>
          <w:szCs w:val="32"/>
          <w:lang w:val="en-US" w:eastAsia="zh-CN"/>
        </w:rPr>
        <w:t>投标总价：</w:t>
      </w:r>
      <w:r>
        <w:rPr>
          <w:rFonts w:hint="eastAsia"/>
          <w:sz w:val="24"/>
          <w:szCs w:val="32"/>
          <w:u w:val="single"/>
          <w:lang w:val="en-US" w:eastAsia="zh-CN"/>
        </w:rPr>
        <w:t xml:space="preserve">                                              </w:t>
      </w:r>
    </w:p>
    <w:p w14:paraId="62CC766F">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default"/>
          <w:sz w:val="24"/>
          <w:szCs w:val="32"/>
          <w:u w:val="single"/>
          <w:lang w:val="en-US" w:eastAsia="zh-CN"/>
        </w:rPr>
      </w:pPr>
      <w:r>
        <w:rPr>
          <w:rFonts w:hint="eastAsia"/>
          <w:sz w:val="24"/>
          <w:szCs w:val="32"/>
          <w:lang w:val="en-US" w:eastAsia="zh-CN"/>
        </w:rPr>
        <w:t>招标人：</w:t>
      </w:r>
      <w:r>
        <w:rPr>
          <w:rFonts w:hint="eastAsia"/>
          <w:sz w:val="24"/>
          <w:szCs w:val="32"/>
          <w:u w:val="single"/>
          <w:lang w:val="en-US" w:eastAsia="zh-CN"/>
        </w:rPr>
        <w:t xml:space="preserve">                                                 </w:t>
      </w:r>
    </w:p>
    <w:p w14:paraId="58158476">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default"/>
          <w:sz w:val="24"/>
          <w:szCs w:val="32"/>
          <w:u w:val="single"/>
          <w:lang w:val="en-US" w:eastAsia="zh-CN"/>
        </w:rPr>
      </w:pPr>
      <w:r>
        <w:rPr>
          <w:rFonts w:hint="eastAsia"/>
          <w:sz w:val="24"/>
          <w:szCs w:val="32"/>
          <w:lang w:val="en-US" w:eastAsia="zh-CN"/>
        </w:rPr>
        <w:t>工程名称：</w:t>
      </w:r>
      <w:r>
        <w:rPr>
          <w:rFonts w:hint="eastAsia"/>
          <w:sz w:val="24"/>
          <w:szCs w:val="32"/>
          <w:u w:val="single"/>
          <w:lang w:val="en-US" w:eastAsia="zh-CN"/>
        </w:rPr>
        <w:t xml:space="preserve">                                               </w:t>
      </w:r>
    </w:p>
    <w:p w14:paraId="2163AA27">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default"/>
          <w:sz w:val="24"/>
          <w:szCs w:val="32"/>
          <w:u w:val="single"/>
          <w:lang w:val="en-US" w:eastAsia="zh-CN"/>
        </w:rPr>
      </w:pPr>
      <w:r>
        <w:rPr>
          <w:rFonts w:hint="eastAsia"/>
          <w:sz w:val="24"/>
          <w:szCs w:val="32"/>
          <w:lang w:val="en-US" w:eastAsia="zh-CN"/>
        </w:rPr>
        <w:t>投标总价：（小写）</w:t>
      </w:r>
      <w:r>
        <w:rPr>
          <w:rFonts w:hint="eastAsia"/>
          <w:sz w:val="24"/>
          <w:szCs w:val="32"/>
          <w:u w:val="single"/>
          <w:lang w:val="en-US" w:eastAsia="zh-CN"/>
        </w:rPr>
        <w:t xml:space="preserve">                                        </w:t>
      </w:r>
    </w:p>
    <w:p w14:paraId="130E11E7">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sz w:val="24"/>
          <w:szCs w:val="32"/>
          <w:u w:val="single"/>
          <w:lang w:val="en-US" w:eastAsia="zh-CN"/>
        </w:rPr>
      </w:pPr>
      <w:r>
        <w:rPr>
          <w:rFonts w:hint="eastAsia"/>
          <w:sz w:val="24"/>
          <w:szCs w:val="32"/>
          <w:lang w:val="en-US" w:eastAsia="zh-CN"/>
        </w:rPr>
        <w:t xml:space="preserve">             （大写） </w:t>
      </w:r>
      <w:r>
        <w:rPr>
          <w:rFonts w:hint="eastAsia"/>
          <w:sz w:val="24"/>
          <w:szCs w:val="32"/>
          <w:u w:val="single"/>
          <w:lang w:val="en-US" w:eastAsia="zh-CN"/>
        </w:rPr>
        <w:t xml:space="preserve">                                        </w:t>
      </w:r>
    </w:p>
    <w:p w14:paraId="5DC75C39">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default"/>
          <w:sz w:val="24"/>
          <w:szCs w:val="32"/>
          <w:u w:val="single"/>
          <w:lang w:val="en-US" w:eastAsia="zh-CN"/>
        </w:rPr>
      </w:pPr>
      <w:r>
        <w:rPr>
          <w:rFonts w:hint="eastAsia"/>
          <w:sz w:val="24"/>
          <w:szCs w:val="32"/>
          <w:lang w:val="en-US" w:eastAsia="zh-CN"/>
        </w:rPr>
        <w:t>投标人：</w:t>
      </w:r>
      <w:r>
        <w:rPr>
          <w:rFonts w:hint="eastAsia"/>
          <w:sz w:val="24"/>
          <w:szCs w:val="32"/>
          <w:u w:val="single"/>
          <w:lang w:val="en-US" w:eastAsia="zh-CN"/>
        </w:rPr>
        <w:t xml:space="preserve">                                                 </w:t>
      </w:r>
    </w:p>
    <w:p w14:paraId="68D51CD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sz w:val="24"/>
          <w:szCs w:val="32"/>
          <w:lang w:val="en-US" w:eastAsia="zh-CN"/>
        </w:rPr>
      </w:pPr>
      <w:r>
        <w:rPr>
          <w:rFonts w:hint="eastAsia"/>
          <w:sz w:val="24"/>
          <w:szCs w:val="32"/>
          <w:lang w:val="en-US" w:eastAsia="zh-CN"/>
        </w:rPr>
        <w:t>（单位盖章）</w:t>
      </w:r>
    </w:p>
    <w:p w14:paraId="00EF6873">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default"/>
          <w:sz w:val="24"/>
          <w:szCs w:val="32"/>
          <w:u w:val="single"/>
          <w:lang w:val="en-US" w:eastAsia="zh-CN"/>
        </w:rPr>
      </w:pPr>
      <w:r>
        <w:rPr>
          <w:rFonts w:hint="eastAsia"/>
          <w:sz w:val="24"/>
          <w:szCs w:val="32"/>
          <w:lang w:val="en-US" w:eastAsia="zh-CN"/>
        </w:rPr>
        <w:t>法定代表人：</w:t>
      </w:r>
      <w:r>
        <w:rPr>
          <w:rFonts w:hint="eastAsia"/>
          <w:sz w:val="24"/>
          <w:szCs w:val="32"/>
          <w:u w:val="single"/>
          <w:lang w:val="en-US" w:eastAsia="zh-CN"/>
        </w:rPr>
        <w:t xml:space="preserve">                                             </w:t>
      </w:r>
    </w:p>
    <w:p w14:paraId="3EE1A8C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sz w:val="24"/>
          <w:szCs w:val="32"/>
          <w:lang w:val="en-US" w:eastAsia="zh-CN"/>
        </w:rPr>
      </w:pPr>
      <w:r>
        <w:rPr>
          <w:rFonts w:hint="eastAsia"/>
          <w:sz w:val="24"/>
          <w:szCs w:val="32"/>
          <w:lang w:val="en-US" w:eastAsia="zh-CN"/>
        </w:rPr>
        <w:t>（盖章）</w:t>
      </w:r>
    </w:p>
    <w:p w14:paraId="3497ABBE">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default"/>
          <w:sz w:val="24"/>
          <w:szCs w:val="32"/>
          <w:u w:val="single"/>
          <w:lang w:val="en-US" w:eastAsia="zh-CN"/>
        </w:rPr>
      </w:pPr>
      <w:r>
        <w:rPr>
          <w:rFonts w:hint="eastAsia"/>
          <w:sz w:val="24"/>
          <w:szCs w:val="32"/>
          <w:lang w:val="en-US" w:eastAsia="zh-CN"/>
        </w:rPr>
        <w:t>编制人：</w:t>
      </w:r>
      <w:r>
        <w:rPr>
          <w:rFonts w:hint="eastAsia"/>
          <w:sz w:val="24"/>
          <w:szCs w:val="32"/>
          <w:u w:val="single"/>
          <w:lang w:val="en-US" w:eastAsia="zh-CN"/>
        </w:rPr>
        <w:t xml:space="preserve">                                                  </w:t>
      </w:r>
    </w:p>
    <w:p w14:paraId="6B86DA2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sz w:val="24"/>
          <w:szCs w:val="32"/>
          <w:lang w:val="en-US" w:eastAsia="zh-CN"/>
        </w:rPr>
      </w:pPr>
      <w:r>
        <w:rPr>
          <w:rFonts w:hint="eastAsia"/>
          <w:sz w:val="24"/>
          <w:szCs w:val="32"/>
          <w:lang w:val="en-US" w:eastAsia="zh-CN"/>
        </w:rPr>
        <w:t>（注册造价师盖专业章）</w:t>
      </w:r>
    </w:p>
    <w:p w14:paraId="4B4FA347">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24"/>
          <w:szCs w:val="32"/>
          <w:lang w:val="en-US" w:eastAsia="zh-CN"/>
        </w:rPr>
      </w:pPr>
    </w:p>
    <w:p w14:paraId="59675D08">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24"/>
          <w:szCs w:val="32"/>
          <w:lang w:val="en-US" w:eastAsia="zh-CN"/>
        </w:rPr>
      </w:pPr>
    </w:p>
    <w:p w14:paraId="5207CBE0">
      <w:pPr>
        <w:keepNext w:val="0"/>
        <w:keepLines w:val="0"/>
        <w:pageBreakBefore w:val="0"/>
        <w:widowControl w:val="0"/>
        <w:kinsoku/>
        <w:wordWrap/>
        <w:overflowPunct/>
        <w:topLinePunct w:val="0"/>
        <w:autoSpaceDE/>
        <w:autoSpaceDN/>
        <w:bidi w:val="0"/>
        <w:adjustRightInd/>
        <w:snapToGrid/>
        <w:spacing w:line="700" w:lineRule="exact"/>
        <w:ind w:firstLine="240" w:firstLineChars="100"/>
        <w:textAlignment w:val="auto"/>
        <w:rPr>
          <w:rFonts w:hint="default"/>
          <w:sz w:val="24"/>
          <w:szCs w:val="32"/>
          <w:lang w:val="en-US" w:eastAsia="zh-CN"/>
        </w:rPr>
      </w:pPr>
      <w:r>
        <w:rPr>
          <w:rFonts w:hint="eastAsia"/>
          <w:sz w:val="24"/>
          <w:szCs w:val="32"/>
          <w:lang w:val="en-US" w:eastAsia="zh-CN"/>
        </w:rPr>
        <w:t>时间：   年   月    日</w:t>
      </w:r>
    </w:p>
    <w:p w14:paraId="6740B7BC">
      <w:pPr>
        <w:pStyle w:val="8"/>
        <w:rPr>
          <w:rFonts w:hint="eastAsia"/>
        </w:rPr>
        <w:sectPr>
          <w:pgSz w:w="11910" w:h="16840"/>
          <w:pgMar w:top="1984" w:right="1531" w:bottom="2098" w:left="1531" w:header="670" w:footer="1041" w:gutter="0"/>
          <w:pgNumType w:fmt="decimal"/>
          <w:cols w:space="720" w:num="1"/>
          <w:rtlGutter w:val="0"/>
          <w:docGrid w:linePitch="1" w:charSpace="0"/>
        </w:sectPr>
      </w:pPr>
    </w:p>
    <w:p w14:paraId="0DC5A512">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b/>
          <w:bCs/>
          <w:color w:val="auto"/>
          <w:sz w:val="36"/>
          <w:szCs w:val="36"/>
          <w:highlight w:val="none"/>
          <w:lang w:val="en-US" w:eastAsia="zh-CN"/>
        </w:rPr>
      </w:pPr>
      <w:bookmarkStart w:id="532" w:name="_Toc10107_WPSOffice_Level1"/>
      <w:r>
        <w:rPr>
          <w:rFonts w:hint="eastAsia"/>
          <w:b/>
          <w:bCs/>
          <w:color w:val="auto"/>
          <w:sz w:val="36"/>
          <w:szCs w:val="36"/>
          <w:highlight w:val="none"/>
          <w:lang w:val="en-US" w:eastAsia="zh-CN"/>
        </w:rPr>
        <w:t>五、供应商认为需要提供的其他资料</w:t>
      </w:r>
      <w:bookmarkEnd w:id="532"/>
    </w:p>
    <w:p w14:paraId="7233B22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C1EBA1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4EA9ED35">
      <w:pPr>
        <w:keepNext w:val="0"/>
        <w:keepLines w:val="0"/>
        <w:widowControl/>
        <w:suppressLineNumbers w:val="0"/>
        <w:jc w:val="left"/>
        <w:rPr>
          <w:color w:val="auto"/>
          <w:highlight w:val="none"/>
        </w:rPr>
      </w:pPr>
      <w:r>
        <w:rPr>
          <w:rFonts w:hint="eastAsia" w:ascii="宋体" w:hAnsi="宋体" w:eastAsia="宋体" w:cs="宋体"/>
          <w:b/>
          <w:bCs/>
          <w:color w:val="auto"/>
          <w:kern w:val="0"/>
          <w:sz w:val="28"/>
          <w:szCs w:val="28"/>
          <w:highlight w:val="none"/>
          <w:lang w:val="en-US" w:eastAsia="zh-CN" w:bidi="ar"/>
        </w:rPr>
        <w:t xml:space="preserve"> </w:t>
      </w:r>
    </w:p>
    <w:p w14:paraId="215E495D">
      <w:pPr>
        <w:keepNext w:val="0"/>
        <w:keepLines w:val="0"/>
        <w:widowControl/>
        <w:suppressLineNumbers w:val="0"/>
        <w:ind w:firstLine="480" w:firstLineChars="20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供应商认为需要提供的其他证明文件或图片、文字说明等其他资料。 </w:t>
      </w:r>
    </w:p>
    <w:p w14:paraId="46953306">
      <w:pPr>
        <w:keepNext w:val="0"/>
        <w:keepLines w:val="0"/>
        <w:widowControl/>
        <w:suppressLineNumbers w:val="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注：本项内容由供应商根据本磋商文件的内容自行决定。 </w:t>
      </w:r>
    </w:p>
    <w:p w14:paraId="17825A30">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44962341">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102DB2A6">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6B0389E4">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3028C044">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7A768A8E">
      <w:pPr>
        <w:keepNext w:val="0"/>
        <w:keepLines w:val="0"/>
        <w:widowControl/>
        <w:suppressLineNumbers w:val="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供应商法定代表人（或法定代表人授权代表）签字或签章： </w:t>
      </w:r>
    </w:p>
    <w:p w14:paraId="2B4F05EE">
      <w:pPr>
        <w:keepNext w:val="0"/>
        <w:keepLines w:val="0"/>
        <w:widowControl/>
        <w:suppressLineNumbers w:val="0"/>
        <w:jc w:val="left"/>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供应商名称（盖公章）： </w:t>
      </w:r>
    </w:p>
    <w:p w14:paraId="64F4E45C">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 年 月 日</w:t>
      </w:r>
    </w:p>
    <w:p w14:paraId="2A2B36F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06B0852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0285D40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26AEE3CF">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2CFC3A3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102E686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1B87F63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4387510E">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619DD4EE">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522954B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2FA06237">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12362009">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24C4A291">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4262AEBE">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6C616C44">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490C54B2">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779F28B6">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699221C0">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b/>
          <w:bCs/>
          <w:color w:val="auto"/>
          <w:sz w:val="24"/>
          <w:szCs w:val="24"/>
          <w:highlight w:val="none"/>
        </w:rPr>
      </w:pPr>
    </w:p>
    <w:p w14:paraId="0FCA28AA">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b/>
          <w:bCs/>
          <w:color w:val="auto"/>
          <w:sz w:val="36"/>
          <w:szCs w:val="36"/>
          <w:highlight w:val="none"/>
          <w:lang w:val="en-US" w:eastAsia="zh-CN"/>
        </w:rPr>
      </w:pPr>
      <w:bookmarkStart w:id="533" w:name="_Toc27321_WPSOffice_Level1"/>
      <w:r>
        <w:rPr>
          <w:rFonts w:hint="eastAsia"/>
          <w:b/>
          <w:bCs/>
          <w:color w:val="auto"/>
          <w:sz w:val="36"/>
          <w:szCs w:val="36"/>
          <w:highlight w:val="none"/>
          <w:lang w:val="en-US" w:eastAsia="zh-CN"/>
        </w:rPr>
        <w:t>六、其他文件格式</w:t>
      </w:r>
      <w:bookmarkEnd w:id="533"/>
    </w:p>
    <w:p w14:paraId="2039AA95">
      <w:pPr>
        <w:pStyle w:val="5"/>
        <w:bidi w:val="0"/>
        <w:jc w:val="center"/>
        <w:rPr>
          <w:rFonts w:hint="eastAsia" w:ascii="宋体" w:hAnsi="宋体" w:eastAsia="宋体" w:cs="宋体"/>
          <w:b/>
          <w:bCs/>
          <w:color w:val="auto"/>
          <w:sz w:val="30"/>
          <w:szCs w:val="30"/>
          <w:highlight w:val="none"/>
          <w:lang w:val="en-US" w:eastAsia="zh-CN"/>
        </w:rPr>
      </w:pPr>
      <w:r>
        <w:rPr>
          <w:rFonts w:hint="eastAsia" w:cs="宋体"/>
          <w:b/>
          <w:color w:val="auto"/>
          <w:kern w:val="0"/>
          <w:sz w:val="30"/>
          <w:szCs w:val="30"/>
          <w:highlight w:val="none"/>
          <w:lang w:val="en-US" w:eastAsia="zh-CN" w:bidi="zh-CN"/>
        </w:rPr>
        <w:t>6</w:t>
      </w:r>
      <w:r>
        <w:rPr>
          <w:rFonts w:hint="eastAsia" w:ascii="宋体" w:hAnsi="宋体" w:eastAsia="宋体" w:cs="宋体"/>
          <w:b/>
          <w:color w:val="auto"/>
          <w:kern w:val="0"/>
          <w:sz w:val="30"/>
          <w:szCs w:val="30"/>
          <w:highlight w:val="none"/>
          <w:lang w:val="en-US" w:eastAsia="zh-CN" w:bidi="zh-CN"/>
        </w:rPr>
        <w:t>.</w:t>
      </w:r>
      <w:r>
        <w:rPr>
          <w:rFonts w:hint="eastAsia" w:cs="宋体"/>
          <w:b/>
          <w:color w:val="auto"/>
          <w:kern w:val="0"/>
          <w:sz w:val="30"/>
          <w:szCs w:val="30"/>
          <w:highlight w:val="none"/>
          <w:lang w:val="en-US" w:eastAsia="zh-CN" w:bidi="zh-CN"/>
        </w:rPr>
        <w:t>1</w:t>
      </w:r>
      <w:r>
        <w:rPr>
          <w:rFonts w:hint="eastAsia" w:ascii="宋体" w:hAnsi="宋体" w:eastAsia="宋体" w:cs="宋体"/>
          <w:b/>
          <w:color w:val="auto"/>
          <w:kern w:val="0"/>
          <w:sz w:val="30"/>
          <w:szCs w:val="30"/>
          <w:highlight w:val="none"/>
          <w:lang w:val="en-US" w:eastAsia="zh-CN" w:bidi="zh-CN"/>
        </w:rPr>
        <w:t xml:space="preserve"> 法定代表人授权委托书</w:t>
      </w:r>
      <w:r>
        <w:rPr>
          <w:rFonts w:hint="eastAsia" w:ascii="宋体" w:hAnsi="宋体" w:eastAsia="宋体" w:cs="宋体"/>
          <w:b/>
          <w:bCs/>
          <w:color w:val="auto"/>
          <w:sz w:val="30"/>
          <w:szCs w:val="30"/>
          <w:highlight w:val="none"/>
          <w:lang w:val="en-US" w:eastAsia="zh-CN"/>
        </w:rPr>
        <w:t xml:space="preserve"> </w:t>
      </w:r>
    </w:p>
    <w:p w14:paraId="680EE1C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00A243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本授权委托书声明：注册于</w:t>
      </w:r>
      <w:r>
        <w:rPr>
          <w:rFonts w:hint="eastAsia" w:ascii="宋体" w:hAnsi="宋体" w:eastAsia="宋体" w:cs="宋体"/>
          <w:color w:val="auto"/>
          <w:sz w:val="24"/>
          <w:szCs w:val="24"/>
          <w:highlight w:val="none"/>
          <w:u w:val="single"/>
        </w:rPr>
        <w:t xml:space="preserve"> （供应商地址） </w:t>
      </w:r>
      <w:r>
        <w:rPr>
          <w:rFonts w:hint="eastAsia" w:ascii="宋体" w:hAnsi="宋体" w:eastAsia="宋体" w:cs="宋体"/>
          <w:color w:val="auto"/>
          <w:sz w:val="24"/>
          <w:szCs w:val="24"/>
          <w:highlight w:val="none"/>
        </w:rPr>
        <w:t xml:space="preserve"> 的 </w:t>
      </w:r>
      <w:r>
        <w:rPr>
          <w:rFonts w:hint="eastAsia" w:ascii="宋体" w:hAnsi="宋体" w:eastAsia="宋体" w:cs="宋体"/>
          <w:color w:val="auto"/>
          <w:sz w:val="24"/>
          <w:szCs w:val="24"/>
          <w:highlight w:val="none"/>
          <w:u w:val="single"/>
        </w:rPr>
        <w:t xml:space="preserve"> （供应商名称）    </w:t>
      </w:r>
      <w:r>
        <w:rPr>
          <w:rFonts w:hint="eastAsia" w:ascii="宋体" w:hAnsi="宋体" w:eastAsia="宋体" w:cs="宋体"/>
          <w:color w:val="auto"/>
          <w:sz w:val="24"/>
          <w:szCs w:val="24"/>
          <w:highlight w:val="none"/>
        </w:rPr>
        <w:t>在下面签名的（</w:t>
      </w:r>
      <w:r>
        <w:rPr>
          <w:rFonts w:hint="eastAsia" w:ascii="宋体" w:hAnsi="宋体" w:eastAsia="宋体" w:cs="宋体"/>
          <w:color w:val="auto"/>
          <w:sz w:val="24"/>
          <w:szCs w:val="24"/>
          <w:highlight w:val="none"/>
          <w:u w:val="single"/>
        </w:rPr>
        <w:t>法定代表人姓名、职务</w:t>
      </w:r>
      <w:r>
        <w:rPr>
          <w:rFonts w:hint="eastAsia" w:ascii="宋体" w:hAnsi="宋体" w:eastAsia="宋体" w:cs="宋体"/>
          <w:color w:val="auto"/>
          <w:sz w:val="24"/>
          <w:szCs w:val="24"/>
          <w:highlight w:val="none"/>
        </w:rPr>
        <w:t>），现任我单位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职务，为法定代表人。在此授权（</w:t>
      </w:r>
      <w:r>
        <w:rPr>
          <w:rFonts w:hint="eastAsia" w:ascii="宋体" w:hAnsi="宋体" w:eastAsia="宋体" w:cs="宋体"/>
          <w:color w:val="auto"/>
          <w:sz w:val="24"/>
          <w:szCs w:val="24"/>
          <w:highlight w:val="none"/>
          <w:u w:val="single"/>
        </w:rPr>
        <w:t>被授权人姓名、职务</w:t>
      </w:r>
      <w:r>
        <w:rPr>
          <w:rFonts w:hint="eastAsia" w:ascii="宋体" w:hAnsi="宋体" w:eastAsia="宋体" w:cs="宋体"/>
          <w:color w:val="auto"/>
          <w:sz w:val="24"/>
          <w:szCs w:val="24"/>
          <w:highlight w:val="none"/>
        </w:rPr>
        <w:t>）作为我公司的合法代理人，就（</w:t>
      </w:r>
      <w:r>
        <w:rPr>
          <w:rFonts w:hint="eastAsia" w:ascii="宋体" w:hAnsi="宋体" w:eastAsia="宋体" w:cs="宋体"/>
          <w:color w:val="auto"/>
          <w:sz w:val="24"/>
          <w:szCs w:val="24"/>
          <w:highlight w:val="none"/>
          <w:u w:val="single"/>
        </w:rPr>
        <w:t>采购项目名称、采购项目编号</w:t>
      </w:r>
      <w:r>
        <w:rPr>
          <w:rFonts w:hint="eastAsia" w:ascii="宋体" w:hAnsi="宋体" w:eastAsia="宋体" w:cs="宋体"/>
          <w:color w:val="auto"/>
          <w:sz w:val="24"/>
          <w:szCs w:val="24"/>
          <w:highlight w:val="none"/>
        </w:rPr>
        <w:t>）采购活动相关的响应、</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 xml:space="preserve">、合同执行，以我公司的名义处理一切与之有关的事务。 </w:t>
      </w:r>
    </w:p>
    <w:p w14:paraId="55218D0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被授权人（供应商授权代表）无转委托权限。 </w:t>
      </w:r>
    </w:p>
    <w:p w14:paraId="7D6FD71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67310" cy="134620"/>
                        </a:xfrm>
                        <a:prstGeom prst="rect">
                          <a:avLst/>
                        </a:prstGeom>
                        <a:noFill/>
                        <a:ln>
                          <a:noFill/>
                        </a:ln>
                      </wps:spPr>
                      <wps:txbx>
                        <w:txbxContent>
                          <w:p w14:paraId="69D293B8">
                            <w:pPr>
                              <w:pStyle w:val="10"/>
                              <w:spacing w:line="211"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98.65pt;margin-top:52.2pt;height:10.6pt;width:5.3pt;mso-position-horizontal-relative:page;z-index:-251656192;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RQMvo2QAAAAsBAAAPAAAAAAAAAAEAIAAAACIAAABkcnMvZG93bnJldi54bWxQSwEC&#10;FAAUAAAACACHTuJAR+xR1LoBAAByAwAADgAAAAAAAAABACAAAAAoAQAAZHJzL2Uyb0RvYy54bWxQ&#10;SwUGAAAAAAYABgBZAQAAVAUAAAAA&#10;">
                <v:fill on="f" focussize="0,0"/>
                <v:stroke on="f"/>
                <v:imagedata o:title=""/>
                <o:lock v:ext="edit" aspectratio="f"/>
                <v:textbox inset="0mm,0mm,0mm,0mm">
                  <w:txbxContent>
                    <w:p w14:paraId="69D293B8">
                      <w:pPr>
                        <w:pStyle w:val="10"/>
                        <w:spacing w:line="211" w:lineRule="exact"/>
                      </w:pPr>
                      <w:r>
                        <w:rPr>
                          <w:w w:val="100"/>
                        </w:rPr>
                        <w:t xml:space="preserve"> </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3360"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26" name="文本框 26"/>
                <wp:cNvGraphicFramePr/>
                <a:graphic xmlns:a="http://schemas.openxmlformats.org/drawingml/2006/main">
                  <a:graphicData uri="http://schemas.microsoft.com/office/word/2010/wordprocessingShape">
                    <wps:wsp>
                      <wps:cNvSpPr txBox="1"/>
                      <wps:spPr>
                        <a:xfrm>
                          <a:off x="0" y="0"/>
                          <a:ext cx="2723515" cy="1511300"/>
                        </a:xfrm>
                        <a:prstGeom prst="rect">
                          <a:avLst/>
                        </a:prstGeom>
                        <a:noFill/>
                        <a:ln w="9525" cap="flat" cmpd="sng">
                          <a:solidFill>
                            <a:srgbClr val="000000"/>
                          </a:solidFill>
                          <a:prstDash val="solid"/>
                          <a:miter/>
                          <a:headEnd type="none" w="med" len="med"/>
                          <a:tailEnd type="none" w="med" len="med"/>
                        </a:ln>
                      </wps:spPr>
                      <wps:txbx>
                        <w:txbxContent>
                          <w:p w14:paraId="126ACE3E">
                            <w:pPr>
                              <w:pStyle w:val="10"/>
                              <w:rPr>
                                <w:sz w:val="20"/>
                              </w:rPr>
                            </w:pPr>
                          </w:p>
                          <w:p w14:paraId="7D941862">
                            <w:pPr>
                              <w:pStyle w:val="10"/>
                              <w:rPr>
                                <w:sz w:val="20"/>
                              </w:rPr>
                            </w:pPr>
                          </w:p>
                          <w:p w14:paraId="114ED667">
                            <w:pPr>
                              <w:pStyle w:val="10"/>
                              <w:spacing w:before="1"/>
                              <w:rPr>
                                <w:sz w:val="16"/>
                              </w:rPr>
                            </w:pPr>
                          </w:p>
                          <w:p w14:paraId="040E651D">
                            <w:pPr>
                              <w:pStyle w:val="10"/>
                              <w:spacing w:line="278" w:lineRule="auto"/>
                              <w:ind w:left="1091" w:right="1498" w:firstLine="314"/>
                            </w:pPr>
                            <w:r>
                              <w:rPr>
                                <w:spacing w:val="-1"/>
                              </w:rPr>
                              <w:t xml:space="preserve">法定代表人  </w:t>
                            </w:r>
                            <w:r>
                              <w:rPr>
                                <w:spacing w:val="-5"/>
                              </w:rPr>
                              <w:t>居民身份证复印件</w:t>
                            </w:r>
                          </w:p>
                          <w:p w14:paraId="13BAE7E4">
                            <w:pPr>
                              <w:pStyle w:val="10"/>
                              <w:spacing w:before="4"/>
                              <w:rPr>
                                <w:sz w:val="24"/>
                              </w:rPr>
                            </w:pPr>
                          </w:p>
                          <w:p w14:paraId="5B29944B">
                            <w:pPr>
                              <w:pStyle w:val="10"/>
                              <w:spacing w:before="1"/>
                              <w:ind w:left="1405"/>
                            </w:pPr>
                            <w:r>
                              <w:t>（反面）</w:t>
                            </w:r>
                          </w:p>
                        </w:txbxContent>
                      </wps:txbx>
                      <wps:bodyPr lIns="0" tIns="0" rIns="0" bIns="0" upright="1"/>
                    </wps:wsp>
                  </a:graphicData>
                </a:graphic>
              </wp:anchor>
            </w:drawing>
          </mc:Choice>
          <mc:Fallback>
            <w:pict>
              <v:shape id="_x0000_s1026" o:spid="_x0000_s1026" o:spt="202" type="#_x0000_t202" style="position:absolute;left:0pt;margin-left:283.85pt;margin-top:44.8pt;height:119pt;width:214.45pt;mso-position-horizontal-relative:page;z-index:-251653120;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1UC1l2gAAAAoBAAAP&#10;AAAAAAAAAAEAIAAAACIAAABkcnMvZG93bnJldi54bWxQSwECFAAUAAAACACHTuJA5GGz7hYCAAA0&#10;BAAADgAAAAAAAAABACAAAAApAQAAZHJzL2Uyb0RvYy54bWxQSwUGAAAAAAYABgBZAQAAsQUAAAAA&#10;">
                <v:fill on="f" focussize="0,0"/>
                <v:stroke color="#000000" joinstyle="miter"/>
                <v:imagedata o:title=""/>
                <o:lock v:ext="edit" aspectratio="f"/>
                <v:textbox inset="0mm,0mm,0mm,0mm">
                  <w:txbxContent>
                    <w:p w14:paraId="126ACE3E">
                      <w:pPr>
                        <w:pStyle w:val="10"/>
                        <w:rPr>
                          <w:sz w:val="20"/>
                        </w:rPr>
                      </w:pPr>
                    </w:p>
                    <w:p w14:paraId="7D941862">
                      <w:pPr>
                        <w:pStyle w:val="10"/>
                        <w:rPr>
                          <w:sz w:val="20"/>
                        </w:rPr>
                      </w:pPr>
                    </w:p>
                    <w:p w14:paraId="114ED667">
                      <w:pPr>
                        <w:pStyle w:val="10"/>
                        <w:spacing w:before="1"/>
                        <w:rPr>
                          <w:sz w:val="16"/>
                        </w:rPr>
                      </w:pPr>
                    </w:p>
                    <w:p w14:paraId="040E651D">
                      <w:pPr>
                        <w:pStyle w:val="10"/>
                        <w:spacing w:line="278" w:lineRule="auto"/>
                        <w:ind w:left="1091" w:right="1498" w:firstLine="314"/>
                      </w:pPr>
                      <w:r>
                        <w:rPr>
                          <w:spacing w:val="-1"/>
                        </w:rPr>
                        <w:t xml:space="preserve">法定代表人  </w:t>
                      </w:r>
                      <w:r>
                        <w:rPr>
                          <w:spacing w:val="-5"/>
                        </w:rPr>
                        <w:t>居民身份证复印件</w:t>
                      </w:r>
                    </w:p>
                    <w:p w14:paraId="13BAE7E4">
                      <w:pPr>
                        <w:pStyle w:val="10"/>
                        <w:spacing w:before="4"/>
                        <w:rPr>
                          <w:sz w:val="24"/>
                        </w:rPr>
                      </w:pPr>
                    </w:p>
                    <w:p w14:paraId="5B29944B">
                      <w:pPr>
                        <w:pStyle w:val="10"/>
                        <w:spacing w:before="1"/>
                        <w:ind w:left="1405"/>
                      </w:pPr>
                      <w:r>
                        <w:t>（反面）</w:t>
                      </w:r>
                    </w:p>
                  </w:txbxContent>
                </v:textbox>
              </v:shape>
            </w:pict>
          </mc:Fallback>
        </mc:AlternateContent>
      </w:r>
      <w:r>
        <w:rPr>
          <w:rFonts w:hint="eastAsia" w:ascii="宋体" w:hAnsi="宋体" w:eastAsia="宋体" w:cs="宋体"/>
          <w:color w:val="auto"/>
          <w:sz w:val="24"/>
          <w:szCs w:val="24"/>
          <w:highlight w:val="none"/>
        </w:rPr>
        <w:t>本授权书自法定代表人签字之日起生效，特此声明。</w:t>
      </w:r>
    </w:p>
    <w:p w14:paraId="59B9BE2B">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g">
            <w:drawing>
              <wp:anchor distT="0" distB="0" distL="114300" distR="114300" simplePos="0" relativeHeight="251662336" behindDoc="1" locked="0" layoutInCell="1" allowOverlap="1">
                <wp:simplePos x="0" y="0"/>
                <wp:positionH relativeFrom="page">
                  <wp:posOffset>789940</wp:posOffset>
                </wp:positionH>
                <wp:positionV relativeFrom="paragraph">
                  <wp:posOffset>274955</wp:posOffset>
                </wp:positionV>
                <wp:extent cx="2724150" cy="1539240"/>
                <wp:effectExtent l="0" t="635" r="635" b="3175"/>
                <wp:wrapNone/>
                <wp:docPr id="10" name="组合 10"/>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8" name="矩形 8"/>
                        <wps:cNvSpPr/>
                        <wps:spPr>
                          <a:xfrm>
                            <a:off x="1222" y="896"/>
                            <a:ext cx="4275" cy="2754"/>
                          </a:xfrm>
                          <a:prstGeom prst="rect">
                            <a:avLst/>
                          </a:prstGeom>
                          <a:solidFill>
                            <a:srgbClr val="FFFFFF"/>
                          </a:solidFill>
                          <a:ln>
                            <a:noFill/>
                          </a:ln>
                        </wps:spPr>
                        <wps:bodyPr upright="1"/>
                      </wps:wsp>
                      <wps:wsp>
                        <wps:cNvPr id="9" name="文本框 9"/>
                        <wps:cNvSpPr txBox="1"/>
                        <wps:spPr>
                          <a:xfrm>
                            <a:off x="1222" y="896"/>
                            <a:ext cx="4275" cy="2754"/>
                          </a:xfrm>
                          <a:prstGeom prst="rect">
                            <a:avLst/>
                          </a:prstGeom>
                          <a:noFill/>
                          <a:ln w="9525" cap="flat" cmpd="sng">
                            <a:solidFill>
                              <a:srgbClr val="000000"/>
                            </a:solidFill>
                            <a:prstDash val="solid"/>
                            <a:miter/>
                            <a:headEnd type="none" w="med" len="med"/>
                            <a:tailEnd type="none" w="med" len="med"/>
                          </a:ln>
                        </wps:spPr>
                        <wps:txbx>
                          <w:txbxContent>
                            <w:p w14:paraId="5469E859">
                              <w:pPr>
                                <w:spacing w:before="0" w:line="240" w:lineRule="auto"/>
                                <w:rPr>
                                  <w:sz w:val="20"/>
                                </w:rPr>
                              </w:pPr>
                            </w:p>
                            <w:p w14:paraId="088E2B70">
                              <w:pPr>
                                <w:spacing w:before="0" w:line="240" w:lineRule="auto"/>
                                <w:rPr>
                                  <w:sz w:val="20"/>
                                </w:rPr>
                              </w:pPr>
                            </w:p>
                            <w:p w14:paraId="695300DA">
                              <w:pPr>
                                <w:spacing w:before="1" w:line="240" w:lineRule="auto"/>
                                <w:rPr>
                                  <w:sz w:val="16"/>
                                </w:rPr>
                              </w:pPr>
                            </w:p>
                            <w:p w14:paraId="07DF4F0D">
                              <w:pPr>
                                <w:spacing w:before="0" w:line="278" w:lineRule="auto"/>
                                <w:ind w:left="1194" w:right="1380" w:firstLine="314"/>
                                <w:jc w:val="left"/>
                                <w:rPr>
                                  <w:sz w:val="21"/>
                                </w:rPr>
                              </w:pPr>
                              <w:r>
                                <w:rPr>
                                  <w:spacing w:val="-1"/>
                                  <w:sz w:val="21"/>
                                </w:rPr>
                                <w:t xml:space="preserve">法定代表人  </w:t>
                              </w:r>
                              <w:r>
                                <w:rPr>
                                  <w:spacing w:val="-5"/>
                                  <w:sz w:val="21"/>
                                </w:rPr>
                                <w:t>居民身份证复印件</w:t>
                              </w:r>
                            </w:p>
                            <w:p w14:paraId="4E1C90A3">
                              <w:pPr>
                                <w:spacing w:before="4" w:line="240" w:lineRule="auto"/>
                                <w:rPr>
                                  <w:sz w:val="24"/>
                                </w:rPr>
                              </w:pPr>
                            </w:p>
                            <w:p w14:paraId="7993E60A">
                              <w:pPr>
                                <w:spacing w:before="1"/>
                                <w:ind w:left="1491" w:right="1888" w:firstLine="0"/>
                                <w:jc w:val="center"/>
                                <w:rPr>
                                  <w:sz w:val="21"/>
                                </w:rPr>
                              </w:pPr>
                              <w:r>
                                <w:rPr>
                                  <w:sz w:val="21"/>
                                </w:rPr>
                                <w:t>（</w:t>
                              </w:r>
                              <w:r>
                                <w:rPr>
                                  <w:spacing w:val="-2"/>
                                  <w:sz w:val="21"/>
                                </w:rPr>
                                <w:t>正面</w:t>
                              </w:r>
                              <w:r>
                                <w:rPr>
                                  <w:sz w:val="21"/>
                                </w:rPr>
                                <w:t>）</w:t>
                              </w:r>
                            </w:p>
                          </w:txbxContent>
                        </wps:txbx>
                        <wps:bodyPr lIns="0" tIns="0" rIns="0" bIns="0" upright="1"/>
                      </wps:wsp>
                    </wpg:wgp>
                  </a:graphicData>
                </a:graphic>
              </wp:anchor>
            </w:drawing>
          </mc:Choice>
          <mc:Fallback>
            <w:pict>
              <v:group id="_x0000_s1026" o:spid="_x0000_s1026" o:spt="203" style="position:absolute;left:0pt;margin-left:62.2pt;margin-top:21.65pt;height:121.2pt;width:214.5pt;mso-position-horizontal-relative:page;z-index:-251654144;mso-width-relative:page;mso-height-relative:page;" coordorigin="1214,889" coordsize="4290,2769" o:gfxdata="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ShMiwdkAAAAK&#10;AQAADwAAAAAAAAABACAAAAAiAAAAZHJzL2Rvd25yZXYueG1sUEsBAhQAFAAAAAgAh07iQKU+DaHG&#10;AgAA5AYAAA4AAAAAAAAAAQAgAAAAKAEAAGRycy9lMm9Eb2MueG1sUEsFBgAAAAAGAAYAWQEAAGAG&#10;AAAAAA==&#10;">
                <o:lock v:ext="edit" aspectratio="f"/>
                <v:rect id="_x0000_s1026" o:spid="_x0000_s1026" o:spt="1" style="position:absolute;left:1222;top:896;height:2754;width:4275;" fillcolor="#FFFFFF" filled="t" stroked="f" coordsize="21600,21600" o:gfxdata="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5217+5AAAA2gAA&#10;AA8AAAAAAAAAAQAgAAAAIgAAAGRycy9kb3ducmV2LnhtbFBLAQIUABQAAAAIAIdO4kAzLwWeOwAA&#10;ADkAAAAQAAAAAAAAAAEAIAAAAAgBAABkcnMvc2hhcGV4bWwueG1sUEsFBgAAAAAGAAYAWwEAALID&#10;AAAAAA==&#10;">
                  <v:fill on="t" focussize="0,0"/>
                  <v:stroke on="f"/>
                  <v:imagedata o:title=""/>
                  <o:lock v:ext="edit" aspectratio="f"/>
                </v:rect>
                <v:shape id="_x0000_s1026" o:spid="_x0000_s1026" o:spt="202" type="#_x0000_t202" style="position:absolute;left:1222;top:896;height:2754;width:4275;" filled="f" stroked="t" coordsize="21600,21600" o:gfxdata="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nmXu8AAAA&#10;2g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0mm,0mm,0mm,0mm">
                    <w:txbxContent>
                      <w:p w14:paraId="5469E859">
                        <w:pPr>
                          <w:spacing w:before="0" w:line="240" w:lineRule="auto"/>
                          <w:rPr>
                            <w:sz w:val="20"/>
                          </w:rPr>
                        </w:pPr>
                      </w:p>
                      <w:p w14:paraId="088E2B70">
                        <w:pPr>
                          <w:spacing w:before="0" w:line="240" w:lineRule="auto"/>
                          <w:rPr>
                            <w:sz w:val="20"/>
                          </w:rPr>
                        </w:pPr>
                      </w:p>
                      <w:p w14:paraId="695300DA">
                        <w:pPr>
                          <w:spacing w:before="1" w:line="240" w:lineRule="auto"/>
                          <w:rPr>
                            <w:sz w:val="16"/>
                          </w:rPr>
                        </w:pPr>
                      </w:p>
                      <w:p w14:paraId="07DF4F0D">
                        <w:pPr>
                          <w:spacing w:before="0" w:line="278" w:lineRule="auto"/>
                          <w:ind w:left="1194" w:right="1380" w:firstLine="314"/>
                          <w:jc w:val="left"/>
                          <w:rPr>
                            <w:sz w:val="21"/>
                          </w:rPr>
                        </w:pPr>
                        <w:r>
                          <w:rPr>
                            <w:spacing w:val="-1"/>
                            <w:sz w:val="21"/>
                          </w:rPr>
                          <w:t xml:space="preserve">法定代表人  </w:t>
                        </w:r>
                        <w:r>
                          <w:rPr>
                            <w:spacing w:val="-5"/>
                            <w:sz w:val="21"/>
                          </w:rPr>
                          <w:t>居民身份证复印件</w:t>
                        </w:r>
                      </w:p>
                      <w:p w14:paraId="4E1C90A3">
                        <w:pPr>
                          <w:spacing w:before="4" w:line="240" w:lineRule="auto"/>
                          <w:rPr>
                            <w:sz w:val="24"/>
                          </w:rPr>
                        </w:pPr>
                      </w:p>
                      <w:p w14:paraId="7993E60A">
                        <w:pPr>
                          <w:spacing w:before="1"/>
                          <w:ind w:left="1491" w:right="1888" w:firstLine="0"/>
                          <w:jc w:val="center"/>
                          <w:rPr>
                            <w:sz w:val="21"/>
                          </w:rPr>
                        </w:pPr>
                        <w:r>
                          <w:rPr>
                            <w:sz w:val="21"/>
                          </w:rPr>
                          <w:t>（</w:t>
                        </w:r>
                        <w:r>
                          <w:rPr>
                            <w:spacing w:val="-2"/>
                            <w:sz w:val="21"/>
                          </w:rPr>
                          <w:t>正面</w:t>
                        </w:r>
                        <w:r>
                          <w:rPr>
                            <w:sz w:val="21"/>
                          </w:rPr>
                          <w:t>）</w:t>
                        </w:r>
                      </w:p>
                    </w:txbxContent>
                  </v:textbox>
                </v:shape>
              </v:group>
            </w:pict>
          </mc:Fallback>
        </mc:AlternateContent>
      </w:r>
      <w:r>
        <w:rPr>
          <w:rFonts w:hint="eastAsia" w:ascii="宋体" w:hAnsi="宋体" w:eastAsia="宋体" w:cs="宋体"/>
          <w:b/>
          <w:bCs/>
          <w:color w:val="auto"/>
          <w:sz w:val="24"/>
          <w:szCs w:val="24"/>
          <w:highlight w:val="none"/>
        </w:rPr>
        <w:t>附：法定代表人身份证复印件</w:t>
      </w:r>
      <w:r>
        <w:rPr>
          <w:rFonts w:hint="eastAsia" w:ascii="宋体" w:hAnsi="宋体" w:eastAsia="宋体" w:cs="宋体"/>
          <w:color w:val="auto"/>
          <w:sz w:val="24"/>
          <w:szCs w:val="24"/>
          <w:highlight w:val="none"/>
        </w:rPr>
        <w:t xml:space="preserve"> </w:t>
      </w:r>
    </w:p>
    <w:p w14:paraId="73E0D32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F3F89D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15EDFB0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7C03446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3C554BF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C7E47D3">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p>
    <w:p w14:paraId="22E1A07A">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g">
            <w:drawing>
              <wp:anchor distT="0" distB="0" distL="114300" distR="114300" simplePos="0" relativeHeight="251668480" behindDoc="1" locked="0" layoutInCell="1" allowOverlap="1">
                <wp:simplePos x="0" y="0"/>
                <wp:positionH relativeFrom="page">
                  <wp:posOffset>695960</wp:posOffset>
                </wp:positionH>
                <wp:positionV relativeFrom="paragraph">
                  <wp:posOffset>293370</wp:posOffset>
                </wp:positionV>
                <wp:extent cx="2834005" cy="1572260"/>
                <wp:effectExtent l="635" t="635" r="3810" b="8255"/>
                <wp:wrapTopAndBottom/>
                <wp:docPr id="13" name="组合 13"/>
                <wp:cNvGraphicFramePr/>
                <a:graphic xmlns:a="http://schemas.openxmlformats.org/drawingml/2006/main">
                  <a:graphicData uri="http://schemas.microsoft.com/office/word/2010/wordprocessingGroup">
                    <wpg:wgp>
                      <wpg:cNvGrpSpPr/>
                      <wpg:grpSpPr>
                        <a:xfrm>
                          <a:off x="0" y="0"/>
                          <a:ext cx="2834005" cy="1572260"/>
                          <a:chOff x="1097" y="462"/>
                          <a:chExt cx="4463" cy="2790"/>
                        </a:xfrm>
                      </wpg:grpSpPr>
                      <wps:wsp>
                        <wps:cNvPr id="11" name="矩形 11"/>
                        <wps:cNvSpPr/>
                        <wps:spPr>
                          <a:xfrm>
                            <a:off x="1104" y="469"/>
                            <a:ext cx="4448" cy="2775"/>
                          </a:xfrm>
                          <a:prstGeom prst="rect">
                            <a:avLst/>
                          </a:prstGeom>
                          <a:solidFill>
                            <a:srgbClr val="FFFFFF"/>
                          </a:solidFill>
                          <a:ln>
                            <a:noFill/>
                          </a:ln>
                        </wps:spPr>
                        <wps:bodyPr upright="1"/>
                      </wps:wsp>
                      <wps:wsp>
                        <wps:cNvPr id="12" name="文本框 12"/>
                        <wps:cNvSpPr txBox="1"/>
                        <wps:spPr>
                          <a:xfrm>
                            <a:off x="1104" y="469"/>
                            <a:ext cx="4448" cy="2775"/>
                          </a:xfrm>
                          <a:prstGeom prst="rect">
                            <a:avLst/>
                          </a:prstGeom>
                          <a:noFill/>
                          <a:ln w="9525" cap="flat" cmpd="sng">
                            <a:solidFill>
                              <a:srgbClr val="000000"/>
                            </a:solidFill>
                            <a:prstDash val="solid"/>
                            <a:miter/>
                            <a:headEnd type="none" w="med" len="med"/>
                            <a:tailEnd type="none" w="med" len="med"/>
                          </a:ln>
                        </wps:spPr>
                        <wps:txbx>
                          <w:txbxContent>
                            <w:p w14:paraId="49E67486">
                              <w:pPr>
                                <w:spacing w:before="0" w:line="240" w:lineRule="auto"/>
                                <w:rPr>
                                  <w:rFonts w:ascii="微软雅黑"/>
                                  <w:b/>
                                  <w:sz w:val="20"/>
                                </w:rPr>
                              </w:pPr>
                            </w:p>
                            <w:p w14:paraId="6D80EE3F">
                              <w:pPr>
                                <w:spacing w:before="1" w:line="240" w:lineRule="auto"/>
                                <w:rPr>
                                  <w:rFonts w:ascii="微软雅黑"/>
                                  <w:b/>
                                  <w:sz w:val="19"/>
                                </w:rPr>
                              </w:pPr>
                            </w:p>
                            <w:p w14:paraId="28EF255E">
                              <w:pPr>
                                <w:spacing w:before="0" w:line="278" w:lineRule="auto"/>
                                <w:ind w:left="1166" w:right="1161" w:firstLine="0"/>
                                <w:jc w:val="center"/>
                                <w:rPr>
                                  <w:sz w:val="21"/>
                                </w:rPr>
                              </w:pPr>
                              <w:r>
                                <w:rPr>
                                  <w:sz w:val="21"/>
                                </w:rPr>
                                <w:t>被授权人（授权代表） 居民身份证复印件</w:t>
                              </w:r>
                            </w:p>
                            <w:p w14:paraId="0DE6E62D">
                              <w:pPr>
                                <w:spacing w:before="16" w:line="240" w:lineRule="auto"/>
                                <w:rPr>
                                  <w:rFonts w:ascii="微软雅黑"/>
                                  <w:b/>
                                  <w:sz w:val="16"/>
                                </w:rPr>
                              </w:pPr>
                            </w:p>
                            <w:p w14:paraId="08947DCB">
                              <w:pPr>
                                <w:spacing w:before="1"/>
                                <w:ind w:left="1161" w:right="1161" w:firstLine="0"/>
                                <w:jc w:val="center"/>
                                <w:rPr>
                                  <w:sz w:val="21"/>
                                </w:rPr>
                              </w:pPr>
                              <w:r>
                                <w:rPr>
                                  <w:sz w:val="21"/>
                                </w:rPr>
                                <w:t>（正面）</w:t>
                              </w:r>
                            </w:p>
                          </w:txbxContent>
                        </wps:txbx>
                        <wps:bodyPr lIns="0" tIns="0" rIns="0" bIns="0" upright="1"/>
                      </wps:wsp>
                    </wpg:wgp>
                  </a:graphicData>
                </a:graphic>
              </wp:anchor>
            </w:drawing>
          </mc:Choice>
          <mc:Fallback>
            <w:pict>
              <v:group id="_x0000_s1026" o:spid="_x0000_s1026" o:spt="203" style="position:absolute;left:0pt;margin-left:54.8pt;margin-top:23.1pt;height:123.8pt;width:223.15pt;mso-position-horizontal-relative:page;mso-wrap-distance-bottom:0pt;mso-wrap-distance-top:0pt;z-index:-251648000;mso-width-relative:page;mso-height-relative:page;" coordorigin="1097,462" coordsize="4463,2790" o:gfxdata="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Pbevwna&#10;AAAACgEAAA8AAAAAAAAAAQAgAAAAIgAAAGRycy9kb3ducmV2LnhtbFBLAQIUABQAAAAIAIdO4kDd&#10;IPs2yQIAAOgGAAAOAAAAAAAAAAEAIAAAACkBAABkcnMvZTJvRG9jLnhtbFBLBQYAAAAABgAGAFkB&#10;AABkBgAAAAA=&#10;">
                <o:lock v:ext="edit" aspectratio="f"/>
                <v:rect id="_x0000_s1026" o:spid="_x0000_s1026" o:spt="1" style="position:absolute;left:1104;top:469;height:2775;width:4448;" fillcolor="#FFFFFF" filled="t" stroked="f" coordsize="21600,21600" o:gfxdata="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ZdtsrsAAADb&#10;AAAADwAAAAAAAAABACAAAAAiAAAAZHJzL2Rvd25yZXYueG1sUEsBAhQAFAAAAAgAh07iQDMvBZ47&#10;AAAAOQAAABAAAAAAAAAAAQAgAAAACgEAAGRycy9zaGFwZXhtbC54bWxQSwUGAAAAAAYABgBbAQAA&#10;tAMAAAAA&#10;">
                  <v:fill on="t" focussize="0,0"/>
                  <v:stroke on="f"/>
                  <v:imagedata o:title=""/>
                  <o:lock v:ext="edit" aspectratio="f"/>
                </v:rect>
                <v:shape id="_x0000_s1026" o:spid="_x0000_s1026" o:spt="202" type="#_x0000_t202" style="position:absolute;left:1104;top:469;height:2775;width:4448;" filled="f" stroked="t" coordsize="21600,21600" o:gfxdata="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cXfOugAAANs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49E67486">
                        <w:pPr>
                          <w:spacing w:before="0" w:line="240" w:lineRule="auto"/>
                          <w:rPr>
                            <w:rFonts w:ascii="微软雅黑"/>
                            <w:b/>
                            <w:sz w:val="20"/>
                          </w:rPr>
                        </w:pPr>
                      </w:p>
                      <w:p w14:paraId="6D80EE3F">
                        <w:pPr>
                          <w:spacing w:before="1" w:line="240" w:lineRule="auto"/>
                          <w:rPr>
                            <w:rFonts w:ascii="微软雅黑"/>
                            <w:b/>
                            <w:sz w:val="19"/>
                          </w:rPr>
                        </w:pPr>
                      </w:p>
                      <w:p w14:paraId="28EF255E">
                        <w:pPr>
                          <w:spacing w:before="0" w:line="278" w:lineRule="auto"/>
                          <w:ind w:left="1166" w:right="1161" w:firstLine="0"/>
                          <w:jc w:val="center"/>
                          <w:rPr>
                            <w:sz w:val="21"/>
                          </w:rPr>
                        </w:pPr>
                        <w:r>
                          <w:rPr>
                            <w:sz w:val="21"/>
                          </w:rPr>
                          <w:t>被授权人（授权代表） 居民身份证复印件</w:t>
                        </w:r>
                      </w:p>
                      <w:p w14:paraId="0DE6E62D">
                        <w:pPr>
                          <w:spacing w:before="16" w:line="240" w:lineRule="auto"/>
                          <w:rPr>
                            <w:rFonts w:ascii="微软雅黑"/>
                            <w:b/>
                            <w:sz w:val="16"/>
                          </w:rPr>
                        </w:pPr>
                      </w:p>
                      <w:p w14:paraId="08947DCB">
                        <w:pPr>
                          <w:spacing w:before="1"/>
                          <w:ind w:left="1161" w:right="1161" w:firstLine="0"/>
                          <w:jc w:val="center"/>
                          <w:rPr>
                            <w:sz w:val="21"/>
                          </w:rPr>
                        </w:pPr>
                        <w:r>
                          <w:rPr>
                            <w:sz w:val="21"/>
                          </w:rPr>
                          <w:t>（正面）</w:t>
                        </w:r>
                      </w:p>
                    </w:txbxContent>
                  </v:textbox>
                </v:shape>
                <w10:wrap type="topAndBottom"/>
              </v:group>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9504" behindDoc="1" locked="0" layoutInCell="1" allowOverlap="1">
                <wp:simplePos x="0" y="0"/>
                <wp:positionH relativeFrom="page">
                  <wp:posOffset>3603625</wp:posOffset>
                </wp:positionH>
                <wp:positionV relativeFrom="paragraph">
                  <wp:posOffset>297815</wp:posOffset>
                </wp:positionV>
                <wp:extent cx="2824480" cy="1591310"/>
                <wp:effectExtent l="4445" t="4445" r="9525" b="23495"/>
                <wp:wrapTopAndBottom/>
                <wp:docPr id="23" name="文本框 23"/>
                <wp:cNvGraphicFramePr/>
                <a:graphic xmlns:a="http://schemas.openxmlformats.org/drawingml/2006/main">
                  <a:graphicData uri="http://schemas.microsoft.com/office/word/2010/wordprocessingShape">
                    <wps:wsp>
                      <wps:cNvSpPr txBox="1"/>
                      <wps:spPr>
                        <a:xfrm>
                          <a:off x="0" y="0"/>
                          <a:ext cx="2824480" cy="1591310"/>
                        </a:xfrm>
                        <a:prstGeom prst="rect">
                          <a:avLst/>
                        </a:prstGeom>
                        <a:noFill/>
                        <a:ln w="9525" cap="flat" cmpd="sng">
                          <a:solidFill>
                            <a:srgbClr val="000000"/>
                          </a:solidFill>
                          <a:prstDash val="solid"/>
                          <a:miter/>
                          <a:headEnd type="none" w="med" len="med"/>
                          <a:tailEnd type="none" w="med" len="med"/>
                        </a:ln>
                      </wps:spPr>
                      <wps:txbx>
                        <w:txbxContent>
                          <w:p w14:paraId="255A6F10">
                            <w:pPr>
                              <w:pStyle w:val="10"/>
                              <w:rPr>
                                <w:rFonts w:ascii="微软雅黑"/>
                                <w:b/>
                                <w:sz w:val="20"/>
                              </w:rPr>
                            </w:pPr>
                          </w:p>
                          <w:p w14:paraId="6806FD79">
                            <w:pPr>
                              <w:pStyle w:val="10"/>
                              <w:spacing w:before="1"/>
                              <w:rPr>
                                <w:rFonts w:ascii="微软雅黑"/>
                                <w:b/>
                                <w:sz w:val="19"/>
                              </w:rPr>
                            </w:pPr>
                          </w:p>
                          <w:p w14:paraId="6536B9D8">
                            <w:pPr>
                              <w:pStyle w:val="10"/>
                              <w:spacing w:line="278" w:lineRule="auto"/>
                              <w:ind w:left="1168" w:right="1159"/>
                              <w:jc w:val="center"/>
                            </w:pPr>
                            <w:r>
                              <w:t>被授权人（授权代表） 居民身份证复印件</w:t>
                            </w:r>
                          </w:p>
                          <w:p w14:paraId="12070B9E">
                            <w:pPr>
                              <w:pStyle w:val="10"/>
                              <w:spacing w:before="16"/>
                              <w:rPr>
                                <w:rFonts w:ascii="微软雅黑"/>
                                <w:b/>
                                <w:sz w:val="16"/>
                              </w:rPr>
                            </w:pPr>
                          </w:p>
                          <w:p w14:paraId="2FC62FA1">
                            <w:pPr>
                              <w:pStyle w:val="10"/>
                              <w:spacing w:before="1"/>
                              <w:ind w:left="1165" w:right="1161"/>
                              <w:jc w:val="center"/>
                            </w:pPr>
                            <w:r>
                              <w:t>（反面）</w:t>
                            </w:r>
                          </w:p>
                        </w:txbxContent>
                      </wps:txbx>
                      <wps:bodyPr lIns="0" tIns="0" rIns="0" bIns="0" upright="1"/>
                    </wps:wsp>
                  </a:graphicData>
                </a:graphic>
              </wp:anchor>
            </w:drawing>
          </mc:Choice>
          <mc:Fallback>
            <w:pict>
              <v:shape id="_x0000_s1026" o:spid="_x0000_s1026" o:spt="202" type="#_x0000_t202" style="position:absolute;left:0pt;margin-left:283.75pt;margin-top:23.45pt;height:125.3pt;width:222.4pt;mso-position-horizontal-relative:page;mso-wrap-distance-bottom:0pt;mso-wrap-distance-top:0pt;z-index:-251646976;mso-width-relative:page;mso-height-relative:page;" filled="f" stroked="t" coordsize="21600,21600" o:gfxdata="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ecGnDbAAAACwEA&#10;AA8AAAAAAAAAAQAgAAAAIgAAAGRycy9kb3ducmV2LnhtbFBLAQIUABQAAAAIAIdO4kDS/2uYFwIA&#10;ADQEAAAOAAAAAAAAAAEAIAAAACoBAABkcnMvZTJvRG9jLnhtbFBLBQYAAAAABgAGAFkBAACzBQAA&#10;AAA=&#10;">
                <v:fill on="f" focussize="0,0"/>
                <v:stroke color="#000000" joinstyle="miter"/>
                <v:imagedata o:title=""/>
                <o:lock v:ext="edit" aspectratio="f"/>
                <v:textbox inset="0mm,0mm,0mm,0mm">
                  <w:txbxContent>
                    <w:p w14:paraId="255A6F10">
                      <w:pPr>
                        <w:pStyle w:val="10"/>
                        <w:rPr>
                          <w:rFonts w:ascii="微软雅黑"/>
                          <w:b/>
                          <w:sz w:val="20"/>
                        </w:rPr>
                      </w:pPr>
                    </w:p>
                    <w:p w14:paraId="6806FD79">
                      <w:pPr>
                        <w:pStyle w:val="10"/>
                        <w:spacing w:before="1"/>
                        <w:rPr>
                          <w:rFonts w:ascii="微软雅黑"/>
                          <w:b/>
                          <w:sz w:val="19"/>
                        </w:rPr>
                      </w:pPr>
                    </w:p>
                    <w:p w14:paraId="6536B9D8">
                      <w:pPr>
                        <w:pStyle w:val="10"/>
                        <w:spacing w:line="278" w:lineRule="auto"/>
                        <w:ind w:left="1168" w:right="1159"/>
                        <w:jc w:val="center"/>
                      </w:pPr>
                      <w:r>
                        <w:t>被授权人（授权代表） 居民身份证复印件</w:t>
                      </w:r>
                    </w:p>
                    <w:p w14:paraId="12070B9E">
                      <w:pPr>
                        <w:pStyle w:val="10"/>
                        <w:spacing w:before="16"/>
                        <w:rPr>
                          <w:rFonts w:ascii="微软雅黑"/>
                          <w:b/>
                          <w:sz w:val="16"/>
                        </w:rPr>
                      </w:pPr>
                    </w:p>
                    <w:p w14:paraId="2FC62FA1">
                      <w:pPr>
                        <w:pStyle w:val="10"/>
                        <w:spacing w:before="1"/>
                        <w:ind w:left="1165" w:right="1161"/>
                        <w:jc w:val="center"/>
                      </w:pPr>
                      <w:r>
                        <w:t>（反面）</w:t>
                      </w:r>
                    </w:p>
                  </w:txbxContent>
                </v:textbox>
                <w10:wrap type="topAndBottom"/>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1312"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67310" cy="1620520"/>
                        </a:xfrm>
                        <a:prstGeom prst="rect">
                          <a:avLst/>
                        </a:prstGeom>
                        <a:noFill/>
                        <a:ln>
                          <a:noFill/>
                        </a:ln>
                      </wps:spPr>
                      <wps:txbx>
                        <w:txbxContent>
                          <w:p w14:paraId="51304615">
                            <w:pPr>
                              <w:pStyle w:val="10"/>
                              <w:spacing w:line="241" w:lineRule="exact"/>
                            </w:pPr>
                            <w:r>
                              <w:rPr>
                                <w:w w:val="100"/>
                              </w:rPr>
                              <w:t xml:space="preserve"> </w:t>
                            </w:r>
                          </w:p>
                          <w:p w14:paraId="21461EF3">
                            <w:pPr>
                              <w:pStyle w:val="10"/>
                              <w:spacing w:before="6"/>
                              <w:rPr>
                                <w:sz w:val="15"/>
                              </w:rPr>
                            </w:pPr>
                          </w:p>
                          <w:p w14:paraId="47ECF93A">
                            <w:pPr>
                              <w:pStyle w:val="10"/>
                            </w:pPr>
                            <w:r>
                              <w:rPr>
                                <w:w w:val="100"/>
                              </w:rPr>
                              <w:t xml:space="preserve"> </w:t>
                            </w:r>
                          </w:p>
                          <w:p w14:paraId="04E0CDE0">
                            <w:pPr>
                              <w:pStyle w:val="10"/>
                              <w:spacing w:before="7"/>
                              <w:rPr>
                                <w:sz w:val="15"/>
                              </w:rPr>
                            </w:pPr>
                          </w:p>
                          <w:p w14:paraId="7FFEE848">
                            <w:pPr>
                              <w:pStyle w:val="10"/>
                            </w:pPr>
                            <w:r>
                              <w:rPr>
                                <w:w w:val="100"/>
                              </w:rPr>
                              <w:t xml:space="preserve"> </w:t>
                            </w:r>
                          </w:p>
                          <w:p w14:paraId="6F309BE4">
                            <w:pPr>
                              <w:pStyle w:val="10"/>
                              <w:spacing w:before="7"/>
                              <w:rPr>
                                <w:sz w:val="15"/>
                              </w:rPr>
                            </w:pPr>
                          </w:p>
                          <w:p w14:paraId="5AA2775D">
                            <w:pPr>
                              <w:pStyle w:val="10"/>
                            </w:pPr>
                            <w:r>
                              <w:rPr>
                                <w:w w:val="100"/>
                              </w:rPr>
                              <w:t xml:space="preserve"> </w:t>
                            </w:r>
                          </w:p>
                          <w:p w14:paraId="058D6FB8">
                            <w:pPr>
                              <w:pStyle w:val="10"/>
                              <w:spacing w:before="7"/>
                              <w:rPr>
                                <w:sz w:val="15"/>
                              </w:rPr>
                            </w:pPr>
                          </w:p>
                          <w:p w14:paraId="085DDECD">
                            <w:pPr>
                              <w:pStyle w:val="10"/>
                            </w:pPr>
                            <w:r>
                              <w:rPr>
                                <w:w w:val="100"/>
                              </w:rPr>
                              <w:t xml:space="preserve"> </w:t>
                            </w:r>
                          </w:p>
                          <w:p w14:paraId="42E23067">
                            <w:pPr>
                              <w:pStyle w:val="10"/>
                              <w:spacing w:before="6"/>
                              <w:rPr>
                                <w:sz w:val="15"/>
                              </w:rPr>
                            </w:pPr>
                          </w:p>
                          <w:p w14:paraId="40874BFA">
                            <w:pPr>
                              <w:pStyle w:val="10"/>
                              <w:spacing w:line="240" w:lineRule="exact"/>
                            </w:pPr>
                            <w:r>
                              <w:rPr>
                                <w:w w:val="100"/>
                              </w:rPr>
                              <w:t xml:space="preserve"> </w:t>
                            </w:r>
                          </w:p>
                        </w:txbxContent>
                      </wps:txbx>
                      <wps:bodyPr lIns="0" tIns="0" rIns="0" bIns="0" upright="1"/>
                    </wps:wsp>
                  </a:graphicData>
                </a:graphic>
              </wp:anchor>
            </w:drawing>
          </mc:Choice>
          <mc:Fallback>
            <w:pict>
              <v:shape id="_x0000_s1026" o:spid="_x0000_s1026" o:spt="202" type="#_x0000_t202" style="position:absolute;left:0pt;margin-left:56.6pt;margin-top:28.4pt;height:127.6pt;width:5.3pt;mso-position-horizontal-relative:page;z-index:-251655168;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5VDH1wAAAAoBAAAPAAAAAAAAAAEAIAAAACIAAABkcnMvZG93bnJldi54bWxQSwECFAAU&#10;AAAACACHTuJAygahZbkBAABzAwAADgAAAAAAAAABACAAAAAmAQAAZHJzL2Uyb0RvYy54bWxQSwUG&#10;AAAAAAYABgBZAQAAUQUAAAAA&#10;">
                <v:fill on="f" focussize="0,0"/>
                <v:stroke on="f"/>
                <v:imagedata o:title=""/>
                <o:lock v:ext="edit" aspectratio="f"/>
                <v:textbox inset="0mm,0mm,0mm,0mm">
                  <w:txbxContent>
                    <w:p w14:paraId="51304615">
                      <w:pPr>
                        <w:pStyle w:val="10"/>
                        <w:spacing w:line="241" w:lineRule="exact"/>
                      </w:pPr>
                      <w:r>
                        <w:rPr>
                          <w:w w:val="100"/>
                        </w:rPr>
                        <w:t xml:space="preserve"> </w:t>
                      </w:r>
                    </w:p>
                    <w:p w14:paraId="21461EF3">
                      <w:pPr>
                        <w:pStyle w:val="10"/>
                        <w:spacing w:before="6"/>
                        <w:rPr>
                          <w:sz w:val="15"/>
                        </w:rPr>
                      </w:pPr>
                    </w:p>
                    <w:p w14:paraId="47ECF93A">
                      <w:pPr>
                        <w:pStyle w:val="10"/>
                      </w:pPr>
                      <w:r>
                        <w:rPr>
                          <w:w w:val="100"/>
                        </w:rPr>
                        <w:t xml:space="preserve"> </w:t>
                      </w:r>
                    </w:p>
                    <w:p w14:paraId="04E0CDE0">
                      <w:pPr>
                        <w:pStyle w:val="10"/>
                        <w:spacing w:before="7"/>
                        <w:rPr>
                          <w:sz w:val="15"/>
                        </w:rPr>
                      </w:pPr>
                    </w:p>
                    <w:p w14:paraId="7FFEE848">
                      <w:pPr>
                        <w:pStyle w:val="10"/>
                      </w:pPr>
                      <w:r>
                        <w:rPr>
                          <w:w w:val="100"/>
                        </w:rPr>
                        <w:t xml:space="preserve"> </w:t>
                      </w:r>
                    </w:p>
                    <w:p w14:paraId="6F309BE4">
                      <w:pPr>
                        <w:pStyle w:val="10"/>
                        <w:spacing w:before="7"/>
                        <w:rPr>
                          <w:sz w:val="15"/>
                        </w:rPr>
                      </w:pPr>
                    </w:p>
                    <w:p w14:paraId="5AA2775D">
                      <w:pPr>
                        <w:pStyle w:val="10"/>
                      </w:pPr>
                      <w:r>
                        <w:rPr>
                          <w:w w:val="100"/>
                        </w:rPr>
                        <w:t xml:space="preserve"> </w:t>
                      </w:r>
                    </w:p>
                    <w:p w14:paraId="058D6FB8">
                      <w:pPr>
                        <w:pStyle w:val="10"/>
                        <w:spacing w:before="7"/>
                        <w:rPr>
                          <w:sz w:val="15"/>
                        </w:rPr>
                      </w:pPr>
                    </w:p>
                    <w:p w14:paraId="085DDECD">
                      <w:pPr>
                        <w:pStyle w:val="10"/>
                      </w:pPr>
                      <w:r>
                        <w:rPr>
                          <w:w w:val="100"/>
                        </w:rPr>
                        <w:t xml:space="preserve"> </w:t>
                      </w:r>
                    </w:p>
                    <w:p w14:paraId="42E23067">
                      <w:pPr>
                        <w:pStyle w:val="10"/>
                        <w:spacing w:before="6"/>
                        <w:rPr>
                          <w:sz w:val="15"/>
                        </w:rPr>
                      </w:pPr>
                    </w:p>
                    <w:p w14:paraId="40874BFA">
                      <w:pPr>
                        <w:pStyle w:val="10"/>
                        <w:spacing w:line="240" w:lineRule="exact"/>
                      </w:pPr>
                      <w:r>
                        <w:rPr>
                          <w:w w:val="100"/>
                        </w:rPr>
                        <w:t xml:space="preserve"> </w:t>
                      </w:r>
                    </w:p>
                  </w:txbxContent>
                </v:textbox>
              </v:shape>
            </w:pict>
          </mc:Fallback>
        </mc:AlternateContent>
      </w:r>
      <w:r>
        <w:rPr>
          <w:rFonts w:hint="eastAsia" w:ascii="宋体" w:hAnsi="宋体" w:eastAsia="宋体" w:cs="宋体"/>
          <w:color w:val="auto"/>
          <w:sz w:val="24"/>
          <w:szCs w:val="24"/>
          <w:highlight w:val="none"/>
        </w:rPr>
        <w:t xml:space="preserve">附：被授权代表人身份证复印件 </w:t>
      </w:r>
    </w:p>
    <w:p w14:paraId="7BEC8B9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5B65B45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法定代表人（签名或盖章）：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职务：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52D9581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被授权人（签名）：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4FADEDF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供应商名称（单位盖公章）：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74D909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4477A34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sectPr>
          <w:headerReference r:id="rId24" w:type="default"/>
          <w:pgSz w:w="11910" w:h="16840"/>
          <w:pgMar w:top="1984" w:right="1531" w:bottom="2098" w:left="1531" w:header="670" w:footer="1041" w:gutter="0"/>
          <w:pgNumType w:fmt="decimal"/>
          <w:cols w:space="720" w:num="1"/>
          <w:rtlGutter w:val="0"/>
          <w:docGrid w:linePitch="1" w:charSpace="0"/>
        </w:sectPr>
      </w:pPr>
    </w:p>
    <w:p w14:paraId="72443539">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宋体" w:cs="宋体"/>
          <w:b/>
          <w:bCs/>
          <w:color w:val="auto"/>
          <w:sz w:val="30"/>
          <w:szCs w:val="30"/>
          <w:highlight w:val="none"/>
          <w:lang w:val="en-US" w:eastAsia="zh-CN"/>
        </w:rPr>
      </w:pPr>
      <w:r>
        <w:rPr>
          <w:rFonts w:hint="eastAsia" w:cs="宋体"/>
          <w:b/>
          <w:bCs/>
          <w:color w:val="auto"/>
          <w:sz w:val="30"/>
          <w:szCs w:val="30"/>
          <w:highlight w:val="none"/>
          <w:lang w:val="en-US" w:eastAsia="zh-CN"/>
        </w:rPr>
        <w:t>6.2 供应商</w:t>
      </w:r>
      <w:r>
        <w:rPr>
          <w:rFonts w:hint="eastAsia" w:ascii="宋体" w:hAnsi="宋体" w:eastAsia="宋体" w:cs="宋体"/>
          <w:b/>
          <w:bCs/>
          <w:color w:val="auto"/>
          <w:sz w:val="30"/>
          <w:szCs w:val="30"/>
          <w:highlight w:val="none"/>
          <w:lang w:val="en-US" w:eastAsia="zh-CN"/>
        </w:rPr>
        <w:t>资格声明函</w:t>
      </w:r>
    </w:p>
    <w:p w14:paraId="198434A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p>
    <w:p w14:paraId="02456B09">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新疆华域天恒工程管理有限公司</w:t>
      </w:r>
      <w:r>
        <w:rPr>
          <w:rFonts w:hint="eastAsia" w:ascii="宋体" w:hAnsi="宋体" w:eastAsia="宋体" w:cs="宋体"/>
          <w:color w:val="auto"/>
          <w:sz w:val="24"/>
          <w:szCs w:val="24"/>
          <w:highlight w:val="none"/>
        </w:rPr>
        <w:t xml:space="preserve">： </w:t>
      </w:r>
    </w:p>
    <w:p w14:paraId="31F51E1E">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关于贵公司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日发布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采购项目编号：</w:t>
      </w:r>
      <w:r>
        <w:rPr>
          <w:rFonts w:hint="eastAsia" w:ascii="宋体" w:hAnsi="宋体" w:eastAsia="宋体" w:cs="宋体"/>
          <w:color w:val="auto"/>
          <w:sz w:val="24"/>
          <w:szCs w:val="24"/>
          <w:highlight w:val="none"/>
        </w:rPr>
        <w:t xml:space="preserve">）的磋商公告，本公司（企业）愿意参加磋商，并声明： </w:t>
      </w:r>
    </w:p>
    <w:p w14:paraId="41F08E97">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本公司（企业）具备下列《中华人民共和国政府采购法》第二十二条资格条件，并已清楚磋商文件的要求及有关文件规定。 </w:t>
      </w:r>
    </w:p>
    <w:p w14:paraId="3B5AC59B">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（一）具有独立承担民事责任的能力； </w:t>
      </w:r>
    </w:p>
    <w:p w14:paraId="04AEE0E7">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（二）具有良好的商业信誉和健全的财务会计制度； </w:t>
      </w:r>
    </w:p>
    <w:p w14:paraId="42ACF790">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（三）具有履行合同所必需的设备和专业技术能力； </w:t>
      </w:r>
    </w:p>
    <w:p w14:paraId="1DAEF80F">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（四）有依法缴纳税收和社会保障资金的良好记录； </w:t>
      </w:r>
    </w:p>
    <w:p w14:paraId="692C8541">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（五）参加政府采购活动前三年内，在经营活动中没有重大违法记录； </w:t>
      </w:r>
    </w:p>
    <w:p w14:paraId="419AC63D">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（六）法律、行政法规规定的其他条件。 </w:t>
      </w:r>
    </w:p>
    <w:p w14:paraId="57DE53F1">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本公司（企业）已清楚磋商文件的要求及有关文件规定。 </w:t>
      </w:r>
    </w:p>
    <w:p w14:paraId="0DEA5511">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本公司（企业）的法定代表人或单位负责人与本项目其他供应商的法定代表人或单位负责人不为同一人且与其他供应商之间不存在直接控股、管理关系。 </w:t>
      </w:r>
    </w:p>
    <w:p w14:paraId="11ACE0DE">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本公司（企业）承诺：若为本采购项目提供整体设计、规范编制或者项目管理、监理、检测等服务的供应商，将不再参加该采购项目的其他采购活动。 </w:t>
      </w:r>
    </w:p>
    <w:p w14:paraId="0E4DC7D0">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本公司（企业）承诺：参加本次采购活动前 3 年内，我公司（企业）在经营活动中没有重大违法记录。本公司（企业）承诺：本项目标的的所有权和该作品的使用权归采购人所有，知识产权（含该作品的著作权及版权）或专利归作者我公司（企业）所有。本项目我公司（企业）所提供的服务不侵犯任何第三方的专利、商标或版权。否则，我公司（企业）承担对第三方的知识产权（含该作品的著作权及版权）或专利的侵权责任，以及由此产生的后果由我司负责。 </w:t>
      </w:r>
    </w:p>
    <w:p w14:paraId="4FCD12D9">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本公司（企业）承诺在本次采购活动中，如有违法、违规、弄虚作假行为，所造成的损失、不良后果及法律责任，一律由我公司（企业）承担。 </w:t>
      </w:r>
    </w:p>
    <w:p w14:paraId="328FA0A2">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特此声明！ </w:t>
      </w:r>
    </w:p>
    <w:p w14:paraId="285A74AD">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供应商名称（单位盖公章）：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5C15BCF">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492F8CF">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u w:val="single"/>
        </w:rPr>
        <w:t xml:space="preserve">         </w:t>
      </w:r>
    </w:p>
    <w:p w14:paraId="019B0280">
      <w:pPr>
        <w:pStyle w:val="6"/>
        <w:ind w:firstLine="0"/>
        <w:jc w:val="center"/>
        <w:rPr>
          <w:rFonts w:hint="eastAsia" w:cs="宋体"/>
          <w:b/>
          <w:bCs/>
          <w:color w:val="auto"/>
          <w:sz w:val="30"/>
          <w:szCs w:val="30"/>
          <w:highlight w:val="none"/>
          <w:lang w:val="en-US" w:eastAsia="zh-CN"/>
        </w:rPr>
      </w:pPr>
    </w:p>
    <w:p w14:paraId="02902B0F">
      <w:pPr>
        <w:pStyle w:val="6"/>
        <w:ind w:firstLine="0"/>
        <w:jc w:val="center"/>
        <w:rPr>
          <w:rFonts w:hint="eastAsia" w:ascii="黑体" w:hAnsi="宋体" w:eastAsia="黑体"/>
          <w:b/>
          <w:bCs/>
          <w:color w:val="auto"/>
          <w:sz w:val="30"/>
          <w:szCs w:val="30"/>
          <w:highlight w:val="none"/>
        </w:rPr>
      </w:pPr>
      <w:r>
        <w:rPr>
          <w:rFonts w:hint="eastAsia" w:cs="宋体"/>
          <w:b/>
          <w:bCs/>
          <w:color w:val="auto"/>
          <w:sz w:val="30"/>
          <w:szCs w:val="30"/>
          <w:highlight w:val="none"/>
          <w:lang w:val="en-US" w:eastAsia="zh-CN"/>
        </w:rPr>
        <w:t xml:space="preserve">6.3 </w:t>
      </w:r>
      <w:r>
        <w:rPr>
          <w:rFonts w:hint="eastAsia" w:ascii="黑体" w:hAnsi="宋体" w:eastAsia="黑体"/>
          <w:b/>
          <w:bCs/>
          <w:color w:val="auto"/>
          <w:sz w:val="30"/>
          <w:szCs w:val="30"/>
          <w:highlight w:val="none"/>
        </w:rPr>
        <w:t>具备履行合同所必需的设备和专业技术能力的书面声明</w:t>
      </w:r>
    </w:p>
    <w:p w14:paraId="2312B634">
      <w:pPr>
        <w:pStyle w:val="6"/>
        <w:ind w:firstLine="0"/>
        <w:jc w:val="center"/>
        <w:rPr>
          <w:rFonts w:hint="eastAsia" w:ascii="黑体" w:hAnsi="宋体" w:eastAsia="黑体"/>
          <w:b/>
          <w:bCs/>
          <w:color w:val="auto"/>
          <w:sz w:val="30"/>
          <w:szCs w:val="30"/>
          <w:highlight w:val="none"/>
        </w:rPr>
      </w:pPr>
    </w:p>
    <w:p w14:paraId="1C024605">
      <w:pPr>
        <w:spacing w:before="145" w:beforeLines="50" w:after="145" w:afterLines="50" w:line="300" w:lineRule="auto"/>
        <w:ind w:firstLine="492"/>
        <w:rPr>
          <w:rFonts w:hint="eastAsia" w:ascii="宋体" w:hAnsi="宋体"/>
          <w:bCs/>
          <w:color w:val="auto"/>
          <w:sz w:val="24"/>
          <w:highlight w:val="none"/>
        </w:rPr>
      </w:pPr>
      <w:r>
        <w:rPr>
          <w:rFonts w:hint="eastAsia" w:ascii="宋体" w:hAnsi="宋体"/>
          <w:bCs/>
          <w:color w:val="auto"/>
          <w:sz w:val="24"/>
          <w:highlight w:val="none"/>
        </w:rPr>
        <w:t>我单位郑重声明：我单位具备履行本项采购合同所必需的设备和专业技术能力，为履行本项采购合同我公司具备如下主要设备和主要专业技术能力：</w:t>
      </w:r>
    </w:p>
    <w:p w14:paraId="1B57EB9E">
      <w:pPr>
        <w:spacing w:before="145" w:beforeLines="50" w:after="145" w:afterLines="50" w:line="300" w:lineRule="auto"/>
        <w:ind w:firstLine="492"/>
        <w:rPr>
          <w:rFonts w:hint="eastAsia" w:ascii="宋体" w:hAnsi="宋体"/>
          <w:bCs/>
          <w:color w:val="auto"/>
          <w:sz w:val="24"/>
          <w:highlight w:val="none"/>
        </w:rPr>
      </w:pPr>
      <w:r>
        <w:rPr>
          <w:rFonts w:hint="eastAsia" w:ascii="宋体" w:hAnsi="宋体"/>
          <w:bCs/>
          <w:color w:val="auto"/>
          <w:sz w:val="24"/>
          <w:highlight w:val="none"/>
        </w:rPr>
        <w:t>主要设备有：</w:t>
      </w:r>
      <w:r>
        <w:rPr>
          <w:rFonts w:hint="eastAsia" w:ascii="宋体" w:hAnsi="宋体"/>
          <w:bCs/>
          <w:color w:val="auto"/>
          <w:sz w:val="24"/>
          <w:highlight w:val="none"/>
          <w:u w:val="single"/>
        </w:rPr>
        <w:t xml:space="preserve">                                                    </w:t>
      </w:r>
      <w:r>
        <w:rPr>
          <w:rFonts w:hint="eastAsia" w:ascii="宋体" w:hAnsi="宋体"/>
          <w:bCs/>
          <w:color w:val="auto"/>
          <w:sz w:val="24"/>
          <w:highlight w:val="none"/>
        </w:rPr>
        <w:t>。</w:t>
      </w:r>
    </w:p>
    <w:p w14:paraId="1B6163AC">
      <w:pPr>
        <w:spacing w:before="145" w:beforeLines="50" w:after="145" w:afterLines="50" w:line="300" w:lineRule="auto"/>
        <w:ind w:firstLine="492"/>
        <w:rPr>
          <w:rFonts w:hint="eastAsia" w:ascii="宋体" w:hAnsi="宋体"/>
          <w:bCs/>
          <w:color w:val="auto"/>
          <w:sz w:val="24"/>
          <w:highlight w:val="none"/>
        </w:rPr>
      </w:pPr>
      <w:r>
        <w:rPr>
          <w:rFonts w:hint="eastAsia" w:ascii="宋体" w:hAnsi="宋体"/>
          <w:bCs/>
          <w:color w:val="auto"/>
          <w:sz w:val="24"/>
          <w:highlight w:val="none"/>
        </w:rPr>
        <w:t>主要专业技术能力有：</w:t>
      </w:r>
      <w:r>
        <w:rPr>
          <w:rFonts w:hint="eastAsia" w:ascii="宋体" w:hAnsi="宋体"/>
          <w:bCs/>
          <w:color w:val="auto"/>
          <w:sz w:val="24"/>
          <w:highlight w:val="none"/>
          <w:u w:val="single"/>
        </w:rPr>
        <w:t xml:space="preserve">                                            </w:t>
      </w:r>
      <w:r>
        <w:rPr>
          <w:rFonts w:hint="eastAsia" w:ascii="宋体" w:hAnsi="宋体"/>
          <w:bCs/>
          <w:color w:val="auto"/>
          <w:sz w:val="24"/>
          <w:highlight w:val="none"/>
        </w:rPr>
        <w:t>。</w:t>
      </w:r>
    </w:p>
    <w:p w14:paraId="2FA9D14D">
      <w:pPr>
        <w:pStyle w:val="36"/>
        <w:spacing w:before="145" w:beforeLines="50" w:after="145" w:afterLines="50" w:line="300" w:lineRule="auto"/>
        <w:ind w:left="6000" w:leftChars="2400" w:hanging="720" w:hangingChars="300"/>
        <w:rPr>
          <w:rFonts w:hint="eastAsia" w:ascii="宋体" w:hAnsi="宋体"/>
          <w:color w:val="auto"/>
          <w:kern w:val="2"/>
          <w:szCs w:val="21"/>
          <w:highlight w:val="none"/>
        </w:rPr>
      </w:pPr>
      <w:r>
        <w:rPr>
          <w:rFonts w:hint="eastAsia" w:ascii="宋体" w:hAnsi="宋体"/>
          <w:bCs/>
          <w:color w:val="auto"/>
          <w:highlight w:val="none"/>
        </w:rPr>
        <w:t xml:space="preserve">                                     </w:t>
      </w:r>
      <w:r>
        <w:rPr>
          <w:rFonts w:hint="eastAsia" w:ascii="宋体" w:hAnsi="宋体"/>
          <w:color w:val="auto"/>
          <w:kern w:val="2"/>
          <w:szCs w:val="21"/>
          <w:highlight w:val="none"/>
        </w:rPr>
        <w:t xml:space="preserve">投标人名称（盖章）： </w:t>
      </w:r>
    </w:p>
    <w:p w14:paraId="6B239120">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color w:val="auto"/>
          <w:highlight w:val="none"/>
        </w:rPr>
      </w:pPr>
      <w:r>
        <w:rPr>
          <w:rFonts w:hint="eastAsia"/>
          <w:color w:val="auto"/>
          <w:highlight w:val="none"/>
          <w:lang w:val="en-US" w:eastAsia="zh-CN"/>
        </w:rPr>
        <w:t xml:space="preserve">                                             </w:t>
      </w:r>
      <w:r>
        <w:rPr>
          <w:rFonts w:hint="eastAsia" w:ascii="宋体" w:hAnsi="宋体"/>
          <w:color w:val="auto"/>
          <w:highlight w:val="none"/>
        </w:rPr>
        <w:t>______年____月____日</w:t>
      </w:r>
    </w:p>
    <w:p w14:paraId="0AFF0103">
      <w:pPr>
        <w:pStyle w:val="9"/>
        <w:rPr>
          <w:rFonts w:hint="eastAsia" w:ascii="宋体" w:hAnsi="宋体"/>
          <w:color w:val="auto"/>
          <w:highlight w:val="none"/>
        </w:rPr>
      </w:pPr>
    </w:p>
    <w:p w14:paraId="5EE8E017">
      <w:pPr>
        <w:rPr>
          <w:rFonts w:hint="eastAsia" w:ascii="宋体" w:hAnsi="宋体"/>
          <w:color w:val="auto"/>
          <w:highlight w:val="none"/>
        </w:rPr>
      </w:pPr>
    </w:p>
    <w:p w14:paraId="06BE36D7">
      <w:pPr>
        <w:pStyle w:val="9"/>
        <w:rPr>
          <w:rFonts w:hint="eastAsia" w:ascii="宋体" w:hAnsi="宋体"/>
          <w:color w:val="auto"/>
          <w:highlight w:val="none"/>
        </w:rPr>
      </w:pPr>
    </w:p>
    <w:p w14:paraId="19AEBC9E">
      <w:pPr>
        <w:rPr>
          <w:rFonts w:hint="eastAsia" w:ascii="宋体" w:hAnsi="宋体"/>
          <w:color w:val="auto"/>
          <w:highlight w:val="none"/>
        </w:rPr>
      </w:pPr>
    </w:p>
    <w:p w14:paraId="68FA4E99">
      <w:pPr>
        <w:pStyle w:val="9"/>
        <w:rPr>
          <w:rFonts w:hint="eastAsia" w:ascii="宋体" w:hAnsi="宋体"/>
          <w:color w:val="auto"/>
          <w:highlight w:val="none"/>
        </w:rPr>
      </w:pPr>
    </w:p>
    <w:p w14:paraId="1A424991">
      <w:pPr>
        <w:rPr>
          <w:rFonts w:hint="eastAsia" w:ascii="宋体" w:hAnsi="宋体"/>
          <w:color w:val="auto"/>
          <w:highlight w:val="none"/>
        </w:rPr>
      </w:pPr>
    </w:p>
    <w:p w14:paraId="710619E9">
      <w:pPr>
        <w:pStyle w:val="9"/>
        <w:rPr>
          <w:rFonts w:hint="eastAsia" w:ascii="宋体" w:hAnsi="宋体"/>
          <w:color w:val="auto"/>
          <w:highlight w:val="none"/>
        </w:rPr>
      </w:pPr>
    </w:p>
    <w:p w14:paraId="426A7540">
      <w:pPr>
        <w:rPr>
          <w:rFonts w:hint="eastAsia" w:ascii="宋体" w:hAnsi="宋体"/>
          <w:color w:val="auto"/>
          <w:highlight w:val="none"/>
        </w:rPr>
      </w:pPr>
    </w:p>
    <w:p w14:paraId="4C650515">
      <w:pPr>
        <w:pStyle w:val="9"/>
        <w:rPr>
          <w:rFonts w:hint="eastAsia" w:ascii="宋体" w:hAnsi="宋体"/>
          <w:color w:val="auto"/>
          <w:highlight w:val="none"/>
        </w:rPr>
      </w:pPr>
    </w:p>
    <w:p w14:paraId="197BE870">
      <w:pPr>
        <w:rPr>
          <w:rFonts w:hint="eastAsia" w:ascii="宋体" w:hAnsi="宋体"/>
          <w:color w:val="auto"/>
          <w:highlight w:val="none"/>
        </w:rPr>
      </w:pPr>
    </w:p>
    <w:p w14:paraId="78A4676A">
      <w:pPr>
        <w:pStyle w:val="9"/>
        <w:rPr>
          <w:rFonts w:hint="eastAsia" w:ascii="宋体" w:hAnsi="宋体"/>
          <w:color w:val="auto"/>
          <w:highlight w:val="none"/>
        </w:rPr>
      </w:pPr>
    </w:p>
    <w:p w14:paraId="54C78AE4">
      <w:pPr>
        <w:rPr>
          <w:rFonts w:hint="eastAsia" w:ascii="宋体" w:hAnsi="宋体"/>
          <w:color w:val="auto"/>
          <w:highlight w:val="none"/>
        </w:rPr>
      </w:pPr>
    </w:p>
    <w:p w14:paraId="3F67EC25">
      <w:pPr>
        <w:pStyle w:val="9"/>
        <w:rPr>
          <w:rFonts w:hint="eastAsia" w:ascii="宋体" w:hAnsi="宋体"/>
          <w:color w:val="auto"/>
          <w:highlight w:val="none"/>
        </w:rPr>
      </w:pPr>
    </w:p>
    <w:p w14:paraId="232BF60C">
      <w:pPr>
        <w:rPr>
          <w:rFonts w:hint="eastAsia" w:ascii="宋体" w:hAnsi="宋体"/>
          <w:color w:val="auto"/>
          <w:highlight w:val="none"/>
        </w:rPr>
      </w:pPr>
    </w:p>
    <w:p w14:paraId="48DA9699">
      <w:pPr>
        <w:pStyle w:val="9"/>
        <w:rPr>
          <w:rFonts w:hint="eastAsia" w:ascii="宋体" w:hAnsi="宋体"/>
          <w:color w:val="auto"/>
          <w:highlight w:val="none"/>
        </w:rPr>
      </w:pPr>
    </w:p>
    <w:p w14:paraId="2CBCEA34">
      <w:pPr>
        <w:rPr>
          <w:rFonts w:hint="eastAsia" w:ascii="宋体" w:hAnsi="宋体"/>
          <w:color w:val="auto"/>
          <w:highlight w:val="none"/>
        </w:rPr>
      </w:pPr>
    </w:p>
    <w:p w14:paraId="6EB11A4F">
      <w:pPr>
        <w:pStyle w:val="9"/>
        <w:rPr>
          <w:rFonts w:hint="eastAsia" w:ascii="宋体" w:hAnsi="宋体"/>
          <w:color w:val="auto"/>
          <w:highlight w:val="none"/>
        </w:rPr>
      </w:pPr>
    </w:p>
    <w:p w14:paraId="452E0B85">
      <w:pPr>
        <w:rPr>
          <w:rFonts w:hint="eastAsia" w:ascii="宋体" w:hAnsi="宋体"/>
          <w:color w:val="auto"/>
          <w:highlight w:val="none"/>
        </w:rPr>
      </w:pPr>
    </w:p>
    <w:p w14:paraId="65426E55">
      <w:pPr>
        <w:pStyle w:val="9"/>
        <w:rPr>
          <w:rFonts w:hint="eastAsia" w:ascii="宋体" w:hAnsi="宋体"/>
          <w:color w:val="auto"/>
          <w:highlight w:val="none"/>
        </w:rPr>
      </w:pPr>
    </w:p>
    <w:p w14:paraId="0A11059C">
      <w:pPr>
        <w:rPr>
          <w:rFonts w:hint="eastAsia" w:ascii="宋体" w:hAnsi="宋体"/>
          <w:color w:val="auto"/>
          <w:highlight w:val="none"/>
        </w:rPr>
      </w:pPr>
    </w:p>
    <w:p w14:paraId="0D527EAA">
      <w:pPr>
        <w:pStyle w:val="9"/>
        <w:rPr>
          <w:rFonts w:hint="eastAsia" w:ascii="宋体" w:hAnsi="宋体"/>
          <w:color w:val="auto"/>
          <w:highlight w:val="none"/>
        </w:rPr>
      </w:pPr>
    </w:p>
    <w:p w14:paraId="7E5C276E">
      <w:pPr>
        <w:rPr>
          <w:rFonts w:hint="eastAsia" w:ascii="宋体" w:hAnsi="宋体"/>
          <w:color w:val="auto"/>
          <w:highlight w:val="none"/>
        </w:rPr>
      </w:pPr>
    </w:p>
    <w:p w14:paraId="2ABF07F6">
      <w:pPr>
        <w:pStyle w:val="9"/>
        <w:rPr>
          <w:rFonts w:hint="eastAsia" w:ascii="宋体" w:hAnsi="宋体"/>
          <w:color w:val="auto"/>
          <w:highlight w:val="none"/>
        </w:rPr>
      </w:pPr>
    </w:p>
    <w:p w14:paraId="6A745496">
      <w:pPr>
        <w:rPr>
          <w:rFonts w:hint="eastAsia" w:ascii="宋体" w:hAnsi="宋体"/>
          <w:color w:val="auto"/>
          <w:highlight w:val="none"/>
        </w:rPr>
      </w:pPr>
    </w:p>
    <w:p w14:paraId="0E2B16B0">
      <w:pPr>
        <w:pStyle w:val="9"/>
        <w:rPr>
          <w:rFonts w:hint="eastAsia" w:ascii="宋体" w:hAnsi="宋体"/>
          <w:color w:val="auto"/>
          <w:highlight w:val="none"/>
        </w:rPr>
      </w:pPr>
    </w:p>
    <w:p w14:paraId="7E49EA9B">
      <w:pPr>
        <w:rPr>
          <w:rFonts w:hint="eastAsia" w:ascii="宋体" w:hAnsi="宋体"/>
          <w:color w:val="auto"/>
          <w:highlight w:val="none"/>
        </w:rPr>
      </w:pPr>
    </w:p>
    <w:p w14:paraId="7DFD232D">
      <w:pPr>
        <w:pStyle w:val="9"/>
        <w:rPr>
          <w:rFonts w:hint="eastAsia" w:ascii="宋体" w:hAnsi="宋体"/>
          <w:color w:val="auto"/>
          <w:highlight w:val="none"/>
        </w:rPr>
      </w:pPr>
    </w:p>
    <w:p w14:paraId="5180328F">
      <w:pPr>
        <w:rPr>
          <w:rFonts w:hint="eastAsia" w:ascii="宋体" w:hAnsi="宋体"/>
          <w:color w:val="auto"/>
          <w:highlight w:val="none"/>
        </w:rPr>
      </w:pPr>
    </w:p>
    <w:p w14:paraId="7D0516C2">
      <w:pPr>
        <w:pStyle w:val="9"/>
        <w:rPr>
          <w:rFonts w:hint="eastAsia"/>
          <w:color w:val="auto"/>
          <w:highlight w:val="none"/>
        </w:rPr>
      </w:pPr>
    </w:p>
    <w:p w14:paraId="72142C26">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color w:val="auto"/>
          <w:sz w:val="30"/>
          <w:szCs w:val="30"/>
          <w:highlight w:val="none"/>
          <w:lang w:val="en-US" w:eastAsia="zh-CN"/>
        </w:rPr>
      </w:pPr>
      <w:r>
        <w:rPr>
          <w:rFonts w:hint="eastAsia" w:cs="宋体"/>
          <w:b/>
          <w:bCs/>
          <w:color w:val="auto"/>
          <w:sz w:val="30"/>
          <w:szCs w:val="30"/>
          <w:highlight w:val="none"/>
          <w:lang w:val="en-US" w:eastAsia="zh-CN"/>
        </w:rPr>
        <w:t>6.4</w:t>
      </w:r>
      <w:r>
        <w:rPr>
          <w:rFonts w:hint="eastAsia" w:ascii="宋体" w:hAnsi="宋体" w:eastAsia="宋体" w:cs="宋体"/>
          <w:b/>
          <w:bCs/>
          <w:color w:val="auto"/>
          <w:sz w:val="30"/>
          <w:szCs w:val="30"/>
          <w:highlight w:val="none"/>
          <w:lang w:val="en-US" w:eastAsia="zh-CN"/>
        </w:rPr>
        <w:t xml:space="preserve"> 参加政府采购活动前 3 年内在经营活动中没有重大违法记录的书面声明</w:t>
      </w:r>
    </w:p>
    <w:p w14:paraId="2F29921F">
      <w:pPr>
        <w:pStyle w:val="10"/>
        <w:rPr>
          <w:rFonts w:hint="eastAsia"/>
          <w:color w:val="auto"/>
          <w:highlight w:val="none"/>
          <w:lang w:val="en-US" w:eastAsia="zh-CN"/>
        </w:rPr>
      </w:pPr>
    </w:p>
    <w:p w14:paraId="595D8E8F">
      <w:pPr>
        <w:spacing w:before="145" w:beforeLines="50" w:after="145" w:afterLines="50" w:line="300" w:lineRule="auto"/>
        <w:rPr>
          <w:rFonts w:hint="eastAsia" w:ascii="宋体" w:hAnsi="宋体"/>
          <w:bCs/>
          <w:color w:val="auto"/>
          <w:sz w:val="24"/>
          <w:highlight w:val="none"/>
        </w:rPr>
      </w:pPr>
      <w:r>
        <w:rPr>
          <w:rFonts w:hint="eastAsia" w:ascii="宋体" w:hAnsi="宋体"/>
          <w:b/>
          <w:bCs/>
          <w:color w:val="auto"/>
          <w:sz w:val="24"/>
          <w:highlight w:val="none"/>
        </w:rPr>
        <w:t xml:space="preserve">    </w:t>
      </w:r>
      <w:r>
        <w:rPr>
          <w:rFonts w:hint="eastAsia" w:ascii="宋体" w:hAnsi="宋体"/>
          <w:bCs/>
          <w:color w:val="auto"/>
          <w:sz w:val="24"/>
          <w:highlight w:val="none"/>
        </w:rPr>
        <w:t>我单位郑重声明：参加本次政府采购活动前 3 年内，我单位在经营活动中没有因违法经营受到刑事处罚或者责令停产停业、吊销许可证或者执照、较大数额罚款等行政处罚。</w:t>
      </w:r>
    </w:p>
    <w:p w14:paraId="73E41D2F">
      <w:pPr>
        <w:spacing w:before="145" w:beforeLines="50" w:after="145" w:afterLines="50" w:line="300" w:lineRule="auto"/>
        <w:rPr>
          <w:rFonts w:hint="eastAsia" w:ascii="宋体" w:hAnsi="宋体"/>
          <w:bCs/>
          <w:color w:val="auto"/>
          <w:sz w:val="24"/>
          <w:highlight w:val="none"/>
        </w:rPr>
      </w:pPr>
    </w:p>
    <w:p w14:paraId="1D25A6EE">
      <w:pPr>
        <w:pStyle w:val="36"/>
        <w:spacing w:before="145" w:beforeLines="50" w:after="145" w:afterLines="50" w:line="300" w:lineRule="auto"/>
        <w:ind w:left="440" w:leftChars="200" w:firstLine="5280" w:firstLineChars="2200"/>
        <w:rPr>
          <w:rFonts w:hint="eastAsia" w:ascii="宋体" w:hAnsi="宋体"/>
          <w:color w:val="auto"/>
          <w:kern w:val="2"/>
          <w:szCs w:val="21"/>
          <w:highlight w:val="none"/>
        </w:rPr>
      </w:pPr>
      <w:r>
        <w:rPr>
          <w:rFonts w:hint="eastAsia" w:ascii="宋体" w:hAnsi="宋体"/>
          <w:color w:val="auto"/>
          <w:kern w:val="2"/>
          <w:szCs w:val="21"/>
          <w:highlight w:val="none"/>
        </w:rPr>
        <w:t xml:space="preserve">投标人名称（盖章）： </w:t>
      </w:r>
    </w:p>
    <w:p w14:paraId="254CA565">
      <w:pPr>
        <w:spacing w:before="145" w:beforeLines="50" w:after="145" w:afterLines="50" w:line="300" w:lineRule="auto"/>
        <w:ind w:firstLine="5720" w:firstLineChars="2600"/>
        <w:rPr>
          <w:rFonts w:hint="eastAsia" w:ascii="宋体" w:hAnsi="宋体"/>
          <w:bCs/>
          <w:color w:val="auto"/>
          <w:sz w:val="24"/>
          <w:highlight w:val="none"/>
        </w:rPr>
      </w:pPr>
      <w:r>
        <w:rPr>
          <w:rFonts w:hint="eastAsia" w:ascii="宋体" w:hAnsi="宋体"/>
          <w:color w:val="auto"/>
          <w:highlight w:val="none"/>
        </w:rPr>
        <w:t>______年____月____日</w:t>
      </w:r>
    </w:p>
    <w:p w14:paraId="1C3468A4">
      <w:pPr>
        <w:keepNext w:val="0"/>
        <w:keepLines w:val="0"/>
        <w:pageBreakBefore w:val="0"/>
        <w:widowControl w:val="0"/>
        <w:kinsoku/>
        <w:wordWrap/>
        <w:overflowPunct/>
        <w:topLinePunct w:val="0"/>
        <w:autoSpaceDE w:val="0"/>
        <w:autoSpaceDN w:val="0"/>
        <w:bidi w:val="0"/>
        <w:adjustRightInd/>
        <w:snapToGrid/>
        <w:spacing w:line="400" w:lineRule="exact"/>
        <w:ind w:firstLine="602" w:firstLineChars="200"/>
        <w:jc w:val="center"/>
        <w:textAlignment w:val="auto"/>
        <w:rPr>
          <w:rFonts w:hint="eastAsia" w:ascii="宋体" w:hAnsi="宋体" w:eastAsia="宋体" w:cs="宋体"/>
          <w:b/>
          <w:bCs/>
          <w:color w:val="auto"/>
          <w:sz w:val="30"/>
          <w:szCs w:val="30"/>
          <w:highlight w:val="none"/>
          <w:lang w:val="en-US" w:eastAsia="zh-CN"/>
        </w:rPr>
      </w:pPr>
    </w:p>
    <w:p w14:paraId="1058C855">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宋体" w:hAnsi="宋体" w:eastAsia="宋体" w:cs="宋体"/>
          <w:color w:val="auto"/>
          <w:sz w:val="24"/>
          <w:szCs w:val="24"/>
          <w:highlight w:val="none"/>
        </w:rPr>
      </w:pPr>
    </w:p>
    <w:p w14:paraId="6333E9AA">
      <w:pPr>
        <w:pStyle w:val="9"/>
        <w:rPr>
          <w:rFonts w:hint="eastAsia" w:ascii="宋体" w:hAnsi="宋体" w:eastAsia="宋体" w:cs="宋体"/>
          <w:color w:val="auto"/>
          <w:sz w:val="24"/>
          <w:szCs w:val="24"/>
          <w:highlight w:val="none"/>
        </w:rPr>
      </w:pPr>
    </w:p>
    <w:p w14:paraId="72236D50">
      <w:pPr>
        <w:rPr>
          <w:rFonts w:hint="eastAsia" w:ascii="宋体" w:hAnsi="宋体" w:eastAsia="宋体" w:cs="宋体"/>
          <w:color w:val="auto"/>
          <w:sz w:val="24"/>
          <w:szCs w:val="24"/>
          <w:highlight w:val="none"/>
        </w:rPr>
      </w:pPr>
    </w:p>
    <w:p w14:paraId="4E1EAC04">
      <w:pPr>
        <w:pStyle w:val="9"/>
        <w:rPr>
          <w:rFonts w:hint="eastAsia" w:ascii="宋体" w:hAnsi="宋体" w:eastAsia="宋体" w:cs="宋体"/>
          <w:color w:val="auto"/>
          <w:sz w:val="24"/>
          <w:szCs w:val="24"/>
          <w:highlight w:val="none"/>
        </w:rPr>
      </w:pPr>
    </w:p>
    <w:p w14:paraId="738AC67D">
      <w:pPr>
        <w:rPr>
          <w:rFonts w:hint="eastAsia" w:ascii="宋体" w:hAnsi="宋体" w:eastAsia="宋体" w:cs="宋体"/>
          <w:color w:val="auto"/>
          <w:sz w:val="24"/>
          <w:szCs w:val="24"/>
          <w:highlight w:val="none"/>
        </w:rPr>
      </w:pPr>
    </w:p>
    <w:p w14:paraId="6AE84C24">
      <w:pPr>
        <w:pStyle w:val="9"/>
        <w:rPr>
          <w:rFonts w:hint="eastAsia" w:ascii="宋体" w:hAnsi="宋体" w:eastAsia="宋体" w:cs="宋体"/>
          <w:color w:val="auto"/>
          <w:sz w:val="24"/>
          <w:szCs w:val="24"/>
          <w:highlight w:val="none"/>
        </w:rPr>
      </w:pPr>
    </w:p>
    <w:p w14:paraId="402EDE1B">
      <w:pPr>
        <w:rPr>
          <w:rFonts w:hint="eastAsia" w:ascii="宋体" w:hAnsi="宋体" w:eastAsia="宋体" w:cs="宋体"/>
          <w:color w:val="auto"/>
          <w:sz w:val="24"/>
          <w:szCs w:val="24"/>
          <w:highlight w:val="none"/>
        </w:rPr>
      </w:pPr>
    </w:p>
    <w:p w14:paraId="3A0F4CF6">
      <w:pPr>
        <w:pStyle w:val="9"/>
        <w:rPr>
          <w:rFonts w:hint="eastAsia" w:ascii="宋体" w:hAnsi="宋体" w:eastAsia="宋体" w:cs="宋体"/>
          <w:color w:val="auto"/>
          <w:sz w:val="24"/>
          <w:szCs w:val="24"/>
          <w:highlight w:val="none"/>
        </w:rPr>
      </w:pPr>
    </w:p>
    <w:p w14:paraId="22874DE2">
      <w:pPr>
        <w:rPr>
          <w:rFonts w:hint="eastAsia" w:ascii="宋体" w:hAnsi="宋体" w:eastAsia="宋体" w:cs="宋体"/>
          <w:color w:val="auto"/>
          <w:sz w:val="24"/>
          <w:szCs w:val="24"/>
          <w:highlight w:val="none"/>
        </w:rPr>
      </w:pPr>
    </w:p>
    <w:p w14:paraId="4A71C1A7">
      <w:pPr>
        <w:pStyle w:val="9"/>
        <w:rPr>
          <w:rFonts w:hint="eastAsia" w:ascii="宋体" w:hAnsi="宋体" w:eastAsia="宋体" w:cs="宋体"/>
          <w:color w:val="auto"/>
          <w:sz w:val="24"/>
          <w:szCs w:val="24"/>
          <w:highlight w:val="none"/>
        </w:rPr>
      </w:pPr>
    </w:p>
    <w:p w14:paraId="4FD89000">
      <w:pPr>
        <w:rPr>
          <w:rFonts w:hint="eastAsia" w:ascii="宋体" w:hAnsi="宋体" w:eastAsia="宋体" w:cs="宋体"/>
          <w:color w:val="auto"/>
          <w:sz w:val="24"/>
          <w:szCs w:val="24"/>
          <w:highlight w:val="none"/>
        </w:rPr>
      </w:pPr>
    </w:p>
    <w:p w14:paraId="044E9819">
      <w:pPr>
        <w:pStyle w:val="9"/>
        <w:rPr>
          <w:rFonts w:hint="eastAsia" w:ascii="宋体" w:hAnsi="宋体" w:eastAsia="宋体" w:cs="宋体"/>
          <w:color w:val="auto"/>
          <w:sz w:val="24"/>
          <w:szCs w:val="24"/>
          <w:highlight w:val="none"/>
        </w:rPr>
      </w:pPr>
    </w:p>
    <w:p w14:paraId="17875EC7">
      <w:pPr>
        <w:rPr>
          <w:rFonts w:hint="eastAsia" w:ascii="宋体" w:hAnsi="宋体" w:eastAsia="宋体" w:cs="宋体"/>
          <w:color w:val="auto"/>
          <w:sz w:val="24"/>
          <w:szCs w:val="24"/>
          <w:highlight w:val="none"/>
        </w:rPr>
      </w:pPr>
    </w:p>
    <w:p w14:paraId="7B9D8E91">
      <w:pPr>
        <w:pStyle w:val="9"/>
        <w:rPr>
          <w:rFonts w:hint="eastAsia" w:ascii="宋体" w:hAnsi="宋体" w:eastAsia="宋体" w:cs="宋体"/>
          <w:color w:val="auto"/>
          <w:sz w:val="24"/>
          <w:szCs w:val="24"/>
          <w:highlight w:val="none"/>
        </w:rPr>
      </w:pPr>
    </w:p>
    <w:p w14:paraId="4F51DE1F">
      <w:pPr>
        <w:rPr>
          <w:rFonts w:hint="eastAsia" w:ascii="宋体" w:hAnsi="宋体" w:eastAsia="宋体" w:cs="宋体"/>
          <w:color w:val="auto"/>
          <w:sz w:val="24"/>
          <w:szCs w:val="24"/>
          <w:highlight w:val="none"/>
        </w:rPr>
      </w:pPr>
    </w:p>
    <w:p w14:paraId="4FA9BAB1">
      <w:pPr>
        <w:pStyle w:val="9"/>
        <w:rPr>
          <w:rFonts w:hint="eastAsia" w:ascii="宋体" w:hAnsi="宋体" w:eastAsia="宋体" w:cs="宋体"/>
          <w:color w:val="auto"/>
          <w:sz w:val="24"/>
          <w:szCs w:val="24"/>
          <w:highlight w:val="none"/>
        </w:rPr>
      </w:pPr>
    </w:p>
    <w:p w14:paraId="635DCB8E">
      <w:pPr>
        <w:rPr>
          <w:rFonts w:hint="eastAsia" w:ascii="宋体" w:hAnsi="宋体" w:eastAsia="宋体" w:cs="宋体"/>
          <w:color w:val="auto"/>
          <w:sz w:val="24"/>
          <w:szCs w:val="24"/>
          <w:highlight w:val="none"/>
        </w:rPr>
      </w:pPr>
    </w:p>
    <w:p w14:paraId="06951040">
      <w:pPr>
        <w:pStyle w:val="9"/>
        <w:rPr>
          <w:rFonts w:hint="eastAsia" w:ascii="宋体" w:hAnsi="宋体" w:eastAsia="宋体" w:cs="宋体"/>
          <w:color w:val="auto"/>
          <w:sz w:val="24"/>
          <w:szCs w:val="24"/>
          <w:highlight w:val="none"/>
        </w:rPr>
      </w:pPr>
    </w:p>
    <w:p w14:paraId="24FB6144">
      <w:pPr>
        <w:rPr>
          <w:rFonts w:hint="eastAsia" w:ascii="宋体" w:hAnsi="宋体" w:eastAsia="宋体" w:cs="宋体"/>
          <w:color w:val="auto"/>
          <w:sz w:val="24"/>
          <w:szCs w:val="24"/>
          <w:highlight w:val="none"/>
        </w:rPr>
      </w:pPr>
    </w:p>
    <w:p w14:paraId="5768A74C">
      <w:pPr>
        <w:pStyle w:val="9"/>
        <w:rPr>
          <w:rFonts w:hint="eastAsia" w:ascii="宋体" w:hAnsi="宋体" w:eastAsia="宋体" w:cs="宋体"/>
          <w:color w:val="auto"/>
          <w:sz w:val="24"/>
          <w:szCs w:val="24"/>
          <w:highlight w:val="none"/>
        </w:rPr>
      </w:pPr>
    </w:p>
    <w:p w14:paraId="454B0F37">
      <w:pPr>
        <w:rPr>
          <w:rFonts w:hint="eastAsia" w:ascii="宋体" w:hAnsi="宋体" w:eastAsia="宋体" w:cs="宋体"/>
          <w:color w:val="auto"/>
          <w:sz w:val="24"/>
          <w:szCs w:val="24"/>
          <w:highlight w:val="none"/>
        </w:rPr>
      </w:pPr>
    </w:p>
    <w:p w14:paraId="70FD95FE">
      <w:pPr>
        <w:pStyle w:val="9"/>
        <w:rPr>
          <w:rFonts w:hint="eastAsia" w:ascii="宋体" w:hAnsi="宋体" w:eastAsia="宋体" w:cs="宋体"/>
          <w:color w:val="auto"/>
          <w:sz w:val="24"/>
          <w:szCs w:val="24"/>
          <w:highlight w:val="none"/>
        </w:rPr>
      </w:pPr>
    </w:p>
    <w:p w14:paraId="6DA9F736">
      <w:pPr>
        <w:rPr>
          <w:rFonts w:hint="eastAsia" w:ascii="宋体" w:hAnsi="宋体" w:eastAsia="宋体" w:cs="宋体"/>
          <w:color w:val="auto"/>
          <w:sz w:val="24"/>
          <w:szCs w:val="24"/>
          <w:highlight w:val="none"/>
        </w:rPr>
      </w:pPr>
    </w:p>
    <w:p w14:paraId="754480CF">
      <w:pPr>
        <w:pStyle w:val="9"/>
        <w:rPr>
          <w:rFonts w:hint="eastAsia" w:ascii="宋体" w:hAnsi="宋体" w:eastAsia="宋体" w:cs="宋体"/>
          <w:color w:val="auto"/>
          <w:sz w:val="24"/>
          <w:szCs w:val="24"/>
          <w:highlight w:val="none"/>
        </w:rPr>
      </w:pPr>
    </w:p>
    <w:p w14:paraId="2692D9D6">
      <w:pPr>
        <w:rPr>
          <w:rFonts w:hint="eastAsia" w:ascii="宋体" w:hAnsi="宋体" w:eastAsia="宋体" w:cs="宋体"/>
          <w:color w:val="auto"/>
          <w:sz w:val="24"/>
          <w:szCs w:val="24"/>
          <w:highlight w:val="none"/>
        </w:rPr>
      </w:pPr>
    </w:p>
    <w:p w14:paraId="6C4AFDA0">
      <w:pPr>
        <w:pStyle w:val="9"/>
        <w:rPr>
          <w:rFonts w:hint="eastAsia" w:ascii="宋体" w:hAnsi="宋体" w:eastAsia="宋体" w:cs="宋体"/>
          <w:color w:val="auto"/>
          <w:sz w:val="24"/>
          <w:szCs w:val="24"/>
          <w:highlight w:val="none"/>
        </w:rPr>
      </w:pPr>
    </w:p>
    <w:p w14:paraId="16273FB7">
      <w:pPr>
        <w:keepNext w:val="0"/>
        <w:keepLines w:val="0"/>
        <w:pageBreakBefore w:val="0"/>
        <w:widowControl w:val="0"/>
        <w:kinsoku/>
        <w:wordWrap/>
        <w:overflowPunct/>
        <w:topLinePunct w:val="0"/>
        <w:autoSpaceDE w:val="0"/>
        <w:autoSpaceDN w:val="0"/>
        <w:bidi w:val="0"/>
        <w:adjustRightInd/>
        <w:snapToGrid/>
        <w:spacing w:line="440" w:lineRule="exact"/>
        <w:ind w:firstLine="602" w:firstLineChars="200"/>
        <w:jc w:val="center"/>
        <w:textAlignment w:val="auto"/>
        <w:rPr>
          <w:rFonts w:hint="eastAsia" w:ascii="宋体" w:hAnsi="宋体" w:eastAsia="方正小标宋简体" w:cs="宋体"/>
          <w:i w:val="0"/>
          <w:iCs w:val="0"/>
          <w:caps w:val="0"/>
          <w:color w:val="auto"/>
          <w:spacing w:val="0"/>
          <w:sz w:val="21"/>
          <w:szCs w:val="21"/>
          <w:highlight w:val="none"/>
          <w:lang w:val="en-US" w:eastAsia="zh-CN"/>
        </w:rPr>
      </w:pPr>
      <w:r>
        <w:rPr>
          <w:rFonts w:hint="eastAsia" w:ascii="宋体" w:hAnsi="宋体" w:eastAsia="宋体" w:cs="宋体"/>
          <w:b/>
          <w:bCs/>
          <w:color w:val="auto"/>
          <w:sz w:val="30"/>
          <w:szCs w:val="30"/>
          <w:highlight w:val="none"/>
          <w:lang w:val="en-US" w:eastAsia="zh-CN"/>
        </w:rPr>
        <w:t>6.</w:t>
      </w:r>
      <w:r>
        <w:rPr>
          <w:rFonts w:hint="eastAsia" w:cs="宋体"/>
          <w:b/>
          <w:bCs/>
          <w:color w:val="auto"/>
          <w:sz w:val="30"/>
          <w:szCs w:val="30"/>
          <w:highlight w:val="none"/>
          <w:lang w:val="en-US" w:eastAsia="zh-CN"/>
        </w:rPr>
        <w:t>5</w:t>
      </w:r>
      <w:r>
        <w:rPr>
          <w:rFonts w:hint="eastAsia" w:ascii="宋体" w:hAnsi="宋体" w:eastAsia="宋体" w:cs="宋体"/>
          <w:b/>
          <w:bCs/>
          <w:color w:val="auto"/>
          <w:sz w:val="30"/>
          <w:szCs w:val="30"/>
          <w:highlight w:val="none"/>
          <w:lang w:val="en-US" w:eastAsia="zh-CN"/>
        </w:rPr>
        <w:t xml:space="preserve"> 政府采购供应商质疑函范本</w:t>
      </w:r>
    </w:p>
    <w:tbl>
      <w:tblPr>
        <w:tblStyle w:val="20"/>
        <w:tblW w:w="90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83"/>
        <w:gridCol w:w="1215"/>
        <w:gridCol w:w="687"/>
        <w:gridCol w:w="1388"/>
        <w:gridCol w:w="2163"/>
        <w:gridCol w:w="1196"/>
        <w:gridCol w:w="1526"/>
      </w:tblGrid>
      <w:tr w14:paraId="64F89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8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D79793F">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ascii="方正仿宋简体" w:hAnsi="方正仿宋简体" w:eastAsia="方正仿宋简体" w:cs="方正仿宋简体"/>
                <w:i w:val="0"/>
                <w:iCs w:val="0"/>
                <w:caps w:val="0"/>
                <w:color w:val="auto"/>
                <w:spacing w:val="0"/>
                <w:sz w:val="21"/>
                <w:szCs w:val="21"/>
                <w:highlight w:val="none"/>
              </w:rPr>
              <w:t>质疑项目</w:t>
            </w:r>
          </w:p>
          <w:p w14:paraId="58BAEC0F">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基本情况</w:t>
            </w: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840E3CE">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项目名称</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DF8CB0B">
            <w:pPr>
              <w:rPr>
                <w:rFonts w:hint="eastAsia" w:ascii="宋体" w:hAnsi="宋体" w:eastAsia="宋体" w:cs="宋体"/>
                <w:i w:val="0"/>
                <w:iCs w:val="0"/>
                <w:caps w:val="0"/>
                <w:color w:val="auto"/>
                <w:spacing w:val="0"/>
                <w:sz w:val="21"/>
                <w:szCs w:val="21"/>
                <w:highlight w:val="none"/>
              </w:rPr>
            </w:pPr>
          </w:p>
        </w:tc>
        <w:tc>
          <w:tcPr>
            <w:tcW w:w="335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94A58D4">
            <w:pPr>
              <w:rPr>
                <w:rFonts w:hint="eastAsia" w:ascii="宋体" w:hAnsi="宋体" w:eastAsia="宋体" w:cs="宋体"/>
                <w:i w:val="0"/>
                <w:iCs w:val="0"/>
                <w:caps w:val="0"/>
                <w:color w:val="auto"/>
                <w:spacing w:val="0"/>
                <w:sz w:val="21"/>
                <w:szCs w:val="21"/>
                <w:highlight w:val="none"/>
              </w:rPr>
            </w:pPr>
          </w:p>
        </w:tc>
        <w:tc>
          <w:tcPr>
            <w:tcW w:w="152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3C72913">
            <w:pPr>
              <w:rPr>
                <w:rFonts w:hint="eastAsia" w:ascii="宋体" w:hAnsi="宋体" w:eastAsia="宋体" w:cs="宋体"/>
                <w:i w:val="0"/>
                <w:iCs w:val="0"/>
                <w:caps w:val="0"/>
                <w:color w:val="auto"/>
                <w:spacing w:val="0"/>
                <w:sz w:val="21"/>
                <w:szCs w:val="21"/>
                <w:highlight w:val="none"/>
              </w:rPr>
            </w:pPr>
          </w:p>
        </w:tc>
      </w:tr>
      <w:tr w14:paraId="3A3A7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B251FD6">
            <w:pPr>
              <w:rPr>
                <w:rFonts w:hint="eastAsia" w:ascii="宋体" w:hAnsi="宋体" w:eastAsia="宋体" w:cs="宋体"/>
                <w:i w:val="0"/>
                <w:iCs w:val="0"/>
                <w:caps w:val="0"/>
                <w:color w:val="auto"/>
                <w:spacing w:val="0"/>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75514C9">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项目编号</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0E02AA9">
            <w:pPr>
              <w:rPr>
                <w:rFonts w:hint="eastAsia" w:ascii="宋体" w:hAnsi="宋体" w:eastAsia="宋体" w:cs="宋体"/>
                <w:i w:val="0"/>
                <w:iCs w:val="0"/>
                <w:caps w:val="0"/>
                <w:color w:val="auto"/>
                <w:spacing w:val="0"/>
                <w:sz w:val="21"/>
                <w:szCs w:val="21"/>
                <w:highlight w:val="none"/>
              </w:rPr>
            </w:pPr>
          </w:p>
        </w:tc>
        <w:tc>
          <w:tcPr>
            <w:tcW w:w="335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ECE3CDA">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包  号</w:t>
            </w:r>
          </w:p>
        </w:tc>
        <w:tc>
          <w:tcPr>
            <w:tcW w:w="152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A0807A4">
            <w:pPr>
              <w:rPr>
                <w:rFonts w:hint="eastAsia" w:ascii="宋体" w:hAnsi="宋体" w:eastAsia="宋体" w:cs="宋体"/>
                <w:i w:val="0"/>
                <w:iCs w:val="0"/>
                <w:caps w:val="0"/>
                <w:color w:val="auto"/>
                <w:spacing w:val="0"/>
                <w:sz w:val="21"/>
                <w:szCs w:val="21"/>
                <w:highlight w:val="none"/>
              </w:rPr>
            </w:pPr>
          </w:p>
        </w:tc>
      </w:tr>
      <w:tr w14:paraId="5A0D3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43653C4">
            <w:pPr>
              <w:rPr>
                <w:rFonts w:hint="eastAsia" w:ascii="宋体" w:hAnsi="宋体" w:eastAsia="宋体" w:cs="宋体"/>
                <w:i w:val="0"/>
                <w:iCs w:val="0"/>
                <w:caps w:val="0"/>
                <w:color w:val="auto"/>
                <w:spacing w:val="0"/>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BB3CB1A">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采购人名称</w:t>
            </w:r>
          </w:p>
        </w:tc>
        <w:tc>
          <w:tcPr>
            <w:tcW w:w="69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53C8C73">
            <w:pPr>
              <w:rPr>
                <w:rFonts w:hint="eastAsia" w:ascii="宋体" w:hAnsi="宋体" w:eastAsia="宋体" w:cs="宋体"/>
                <w:i w:val="0"/>
                <w:iCs w:val="0"/>
                <w:caps w:val="0"/>
                <w:color w:val="auto"/>
                <w:spacing w:val="0"/>
                <w:sz w:val="21"/>
                <w:szCs w:val="21"/>
                <w:highlight w:val="none"/>
              </w:rPr>
            </w:pPr>
          </w:p>
        </w:tc>
      </w:tr>
      <w:tr w14:paraId="195A8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AE9D2AB">
            <w:pPr>
              <w:rPr>
                <w:rFonts w:hint="eastAsia" w:ascii="宋体" w:hAnsi="宋体" w:eastAsia="宋体" w:cs="宋体"/>
                <w:i w:val="0"/>
                <w:iCs w:val="0"/>
                <w:caps w:val="0"/>
                <w:color w:val="auto"/>
                <w:spacing w:val="0"/>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60DEC1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采购公告时间</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BAB1D7A">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年</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月</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日</w:t>
            </w:r>
          </w:p>
        </w:tc>
        <w:tc>
          <w:tcPr>
            <w:tcW w:w="335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ECD483F">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中标（成交）公告时间</w:t>
            </w:r>
          </w:p>
        </w:tc>
        <w:tc>
          <w:tcPr>
            <w:tcW w:w="152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A0CE8E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年</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月</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日</w:t>
            </w:r>
          </w:p>
        </w:tc>
      </w:tr>
      <w:tr w14:paraId="45986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11A20DA">
            <w:pPr>
              <w:rPr>
                <w:rFonts w:hint="eastAsia" w:ascii="宋体" w:hAnsi="宋体" w:eastAsia="宋体" w:cs="宋体"/>
                <w:i w:val="0"/>
                <w:iCs w:val="0"/>
                <w:caps w:val="0"/>
                <w:color w:val="auto"/>
                <w:spacing w:val="0"/>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AFBF2CE">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更正公告时间</w:t>
            </w:r>
          </w:p>
          <w:p w14:paraId="2268320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（包含采购文件和采购结果更正公告）</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F04CAF1">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年</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月</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日</w:t>
            </w:r>
          </w:p>
        </w:tc>
        <w:tc>
          <w:tcPr>
            <w:tcW w:w="335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8D5CFEF">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终止公告时间（包含废标和采购任务取消）</w:t>
            </w:r>
          </w:p>
        </w:tc>
        <w:tc>
          <w:tcPr>
            <w:tcW w:w="152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937E68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年</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月</w:t>
            </w:r>
            <w:r>
              <w:rPr>
                <w:rFonts w:hint="default" w:ascii="方正仿宋简体" w:hAnsi="方正仿宋简体" w:eastAsia="方正仿宋简体" w:cs="方正仿宋简体"/>
                <w:i w:val="0"/>
                <w:iCs w:val="0"/>
                <w:caps w:val="0"/>
                <w:color w:val="auto"/>
                <w:spacing w:val="0"/>
                <w:sz w:val="21"/>
                <w:szCs w:val="21"/>
                <w:highlight w:val="none"/>
                <w:u w:val="single"/>
              </w:rPr>
              <w:t>  </w:t>
            </w:r>
            <w:r>
              <w:rPr>
                <w:rFonts w:hint="default" w:ascii="方正仿宋简体" w:hAnsi="方正仿宋简体" w:eastAsia="方正仿宋简体" w:cs="方正仿宋简体"/>
                <w:i w:val="0"/>
                <w:iCs w:val="0"/>
                <w:caps w:val="0"/>
                <w:color w:val="auto"/>
                <w:spacing w:val="0"/>
                <w:sz w:val="21"/>
                <w:szCs w:val="21"/>
                <w:highlight w:val="none"/>
              </w:rPr>
              <w:t>日</w:t>
            </w:r>
          </w:p>
        </w:tc>
      </w:tr>
      <w:tr w14:paraId="6EEEC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8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9AE359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质疑供应商基本信息</w:t>
            </w: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83BD84E">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单位名称</w:t>
            </w:r>
          </w:p>
        </w:tc>
        <w:tc>
          <w:tcPr>
            <w:tcW w:w="69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9A07E5E">
            <w:pPr>
              <w:rPr>
                <w:rFonts w:hint="eastAsia" w:ascii="宋体" w:hAnsi="宋体" w:eastAsia="宋体" w:cs="宋体"/>
                <w:i w:val="0"/>
                <w:iCs w:val="0"/>
                <w:caps w:val="0"/>
                <w:color w:val="auto"/>
                <w:spacing w:val="0"/>
                <w:sz w:val="21"/>
                <w:szCs w:val="21"/>
                <w:highlight w:val="none"/>
              </w:rPr>
            </w:pPr>
          </w:p>
        </w:tc>
      </w:tr>
      <w:tr w14:paraId="768EC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9511EA4">
            <w:pPr>
              <w:rPr>
                <w:rFonts w:hint="eastAsia" w:ascii="宋体" w:hAnsi="宋体" w:eastAsia="宋体" w:cs="宋体"/>
                <w:i w:val="0"/>
                <w:iCs w:val="0"/>
                <w:caps w:val="0"/>
                <w:color w:val="auto"/>
                <w:spacing w:val="0"/>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6E89224">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地址</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B9739A3">
            <w:pPr>
              <w:rPr>
                <w:rFonts w:hint="eastAsia" w:ascii="宋体" w:hAnsi="宋体" w:eastAsia="宋体" w:cs="宋体"/>
                <w:i w:val="0"/>
                <w:iCs w:val="0"/>
                <w:caps w:val="0"/>
                <w:color w:val="auto"/>
                <w:spacing w:val="0"/>
                <w:sz w:val="21"/>
                <w:szCs w:val="21"/>
                <w:highlight w:val="none"/>
              </w:rPr>
            </w:pPr>
          </w:p>
        </w:tc>
        <w:tc>
          <w:tcPr>
            <w:tcW w:w="335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5928906">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邮编</w:t>
            </w:r>
          </w:p>
        </w:tc>
        <w:tc>
          <w:tcPr>
            <w:tcW w:w="152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C26DB11">
            <w:pPr>
              <w:rPr>
                <w:rFonts w:hint="eastAsia" w:ascii="宋体" w:hAnsi="宋体" w:eastAsia="宋体" w:cs="宋体"/>
                <w:i w:val="0"/>
                <w:iCs w:val="0"/>
                <w:caps w:val="0"/>
                <w:color w:val="auto"/>
                <w:spacing w:val="0"/>
                <w:sz w:val="21"/>
                <w:szCs w:val="21"/>
                <w:highlight w:val="none"/>
              </w:rPr>
            </w:pPr>
          </w:p>
        </w:tc>
      </w:tr>
      <w:tr w14:paraId="6B7AE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616DB9F">
            <w:pPr>
              <w:rPr>
                <w:rFonts w:hint="eastAsia" w:ascii="宋体" w:hAnsi="宋体" w:eastAsia="宋体" w:cs="宋体"/>
                <w:i w:val="0"/>
                <w:iCs w:val="0"/>
                <w:caps w:val="0"/>
                <w:color w:val="auto"/>
                <w:spacing w:val="0"/>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8D5BDBF">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联系人</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5F4EFBA">
            <w:pPr>
              <w:rPr>
                <w:rFonts w:hint="eastAsia" w:ascii="宋体" w:hAnsi="宋体" w:eastAsia="宋体" w:cs="宋体"/>
                <w:i w:val="0"/>
                <w:iCs w:val="0"/>
                <w:caps w:val="0"/>
                <w:color w:val="auto"/>
                <w:spacing w:val="0"/>
                <w:sz w:val="21"/>
                <w:szCs w:val="21"/>
                <w:highlight w:val="none"/>
              </w:rPr>
            </w:pPr>
          </w:p>
        </w:tc>
        <w:tc>
          <w:tcPr>
            <w:tcW w:w="335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C14E902">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联系电话</w:t>
            </w:r>
          </w:p>
        </w:tc>
        <w:tc>
          <w:tcPr>
            <w:tcW w:w="152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5FF1EC0">
            <w:pPr>
              <w:rPr>
                <w:rFonts w:hint="eastAsia" w:ascii="宋体" w:hAnsi="宋体" w:eastAsia="宋体" w:cs="宋体"/>
                <w:i w:val="0"/>
                <w:iCs w:val="0"/>
                <w:caps w:val="0"/>
                <w:color w:val="auto"/>
                <w:spacing w:val="0"/>
                <w:sz w:val="21"/>
                <w:szCs w:val="21"/>
                <w:highlight w:val="none"/>
              </w:rPr>
            </w:pPr>
          </w:p>
        </w:tc>
      </w:tr>
      <w:tr w14:paraId="19BCF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ACDF24C">
            <w:pPr>
              <w:rPr>
                <w:rFonts w:hint="eastAsia" w:ascii="宋体" w:hAnsi="宋体" w:eastAsia="宋体" w:cs="宋体"/>
                <w:i w:val="0"/>
                <w:iCs w:val="0"/>
                <w:caps w:val="0"/>
                <w:color w:val="auto"/>
                <w:spacing w:val="0"/>
                <w:sz w:val="21"/>
                <w:szCs w:val="21"/>
                <w:highlight w:val="none"/>
              </w:rPr>
            </w:pP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A88C8F7">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授权代表</w:t>
            </w:r>
          </w:p>
        </w:tc>
        <w:tc>
          <w:tcPr>
            <w:tcW w:w="207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8CDE0D7">
            <w:pPr>
              <w:rPr>
                <w:rFonts w:hint="eastAsia" w:ascii="宋体" w:hAnsi="宋体" w:eastAsia="宋体" w:cs="宋体"/>
                <w:i w:val="0"/>
                <w:iCs w:val="0"/>
                <w:caps w:val="0"/>
                <w:color w:val="auto"/>
                <w:spacing w:val="0"/>
                <w:sz w:val="21"/>
                <w:szCs w:val="21"/>
                <w:highlight w:val="none"/>
              </w:rPr>
            </w:pPr>
          </w:p>
        </w:tc>
        <w:tc>
          <w:tcPr>
            <w:tcW w:w="3359"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5ECAE0E">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联系电话</w:t>
            </w:r>
          </w:p>
        </w:tc>
        <w:tc>
          <w:tcPr>
            <w:tcW w:w="1526"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3FC9D8F">
            <w:pPr>
              <w:rPr>
                <w:rFonts w:hint="eastAsia" w:ascii="宋体" w:hAnsi="宋体" w:eastAsia="宋体" w:cs="宋体"/>
                <w:i w:val="0"/>
                <w:iCs w:val="0"/>
                <w:caps w:val="0"/>
                <w:color w:val="auto"/>
                <w:spacing w:val="0"/>
                <w:sz w:val="21"/>
                <w:szCs w:val="21"/>
                <w:highlight w:val="none"/>
              </w:rPr>
            </w:pPr>
          </w:p>
        </w:tc>
      </w:tr>
      <w:tr w14:paraId="1A796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8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181549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质疑事项及相关请求（纸张不够另附）</w:t>
            </w:r>
          </w:p>
        </w:tc>
        <w:tc>
          <w:tcPr>
            <w:tcW w:w="121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317357C">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分    类</w:t>
            </w:r>
          </w:p>
        </w:tc>
        <w:tc>
          <w:tcPr>
            <w:tcW w:w="6960"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32099205">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 采购文件 □ 采购过程 □ 中标或成交结果</w:t>
            </w:r>
          </w:p>
        </w:tc>
      </w:tr>
      <w:tr w14:paraId="0FAF6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25"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102166A">
            <w:pPr>
              <w:rPr>
                <w:rFonts w:hint="eastAsia" w:ascii="宋体" w:hAnsi="宋体" w:eastAsia="宋体" w:cs="宋体"/>
                <w:i w:val="0"/>
                <w:iCs w:val="0"/>
                <w:caps w:val="0"/>
                <w:color w:val="auto"/>
                <w:spacing w:val="0"/>
                <w:sz w:val="21"/>
                <w:szCs w:val="21"/>
                <w:highlight w:val="none"/>
              </w:rPr>
            </w:pPr>
          </w:p>
        </w:tc>
        <w:tc>
          <w:tcPr>
            <w:tcW w:w="8175"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6A5E3BCC">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请逐条列明质疑事项、事实依据和法律依据，并提供必要的证明材料。</w:t>
            </w:r>
          </w:p>
          <w:p w14:paraId="67A1F58A">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质疑事项</w:t>
            </w:r>
            <w:r>
              <w:rPr>
                <w:rFonts w:hint="eastAsia" w:ascii="宋体" w:hAnsi="宋体" w:eastAsia="宋体" w:cs="宋体"/>
                <w:i w:val="0"/>
                <w:iCs w:val="0"/>
                <w:caps w:val="0"/>
                <w:color w:val="auto"/>
                <w:spacing w:val="0"/>
                <w:sz w:val="21"/>
                <w:szCs w:val="21"/>
                <w:highlight w:val="none"/>
              </w:rPr>
              <w:t>1</w:t>
            </w:r>
            <w:r>
              <w:rPr>
                <w:rFonts w:hint="default" w:ascii="方正仿宋简体" w:hAnsi="方正仿宋简体" w:eastAsia="方正仿宋简体" w:cs="方正仿宋简体"/>
                <w:i w:val="0"/>
                <w:iCs w:val="0"/>
                <w:caps w:val="0"/>
                <w:color w:val="auto"/>
                <w:spacing w:val="0"/>
                <w:sz w:val="21"/>
                <w:szCs w:val="21"/>
                <w:highlight w:val="none"/>
              </w:rPr>
              <w:t>：</w:t>
            </w:r>
          </w:p>
          <w:p w14:paraId="434726CE">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事实依据：</w:t>
            </w:r>
          </w:p>
          <w:p w14:paraId="2ABCC9D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法律依据：</w:t>
            </w:r>
          </w:p>
          <w:p w14:paraId="0F6777A1">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相关请求：</w:t>
            </w:r>
          </w:p>
          <w:p w14:paraId="041B1357">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质疑事项</w:t>
            </w:r>
            <w:r>
              <w:rPr>
                <w:rFonts w:hint="eastAsia" w:ascii="宋体" w:hAnsi="宋体" w:eastAsia="宋体" w:cs="宋体"/>
                <w:i w:val="0"/>
                <w:iCs w:val="0"/>
                <w:caps w:val="0"/>
                <w:color w:val="auto"/>
                <w:spacing w:val="0"/>
                <w:sz w:val="21"/>
                <w:szCs w:val="21"/>
                <w:highlight w:val="none"/>
              </w:rPr>
              <w:t>2</w:t>
            </w:r>
          </w:p>
          <w:p w14:paraId="7605E1E9">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w:t>
            </w:r>
          </w:p>
        </w:tc>
      </w:tr>
      <w:tr w14:paraId="09B3B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5" w:hRule="atLeast"/>
        </w:trPr>
        <w:tc>
          <w:tcPr>
            <w:tcW w:w="883"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75186B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签字</w:t>
            </w:r>
          </w:p>
          <w:p w14:paraId="7D051178">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或盖人名章</w:t>
            </w:r>
          </w:p>
        </w:tc>
        <w:tc>
          <w:tcPr>
            <w:tcW w:w="1902"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41A6579">
            <w:pPr>
              <w:rPr>
                <w:rFonts w:hint="eastAsia" w:ascii="宋体" w:hAnsi="宋体" w:eastAsia="宋体" w:cs="宋体"/>
                <w:i w:val="0"/>
                <w:iCs w:val="0"/>
                <w:caps w:val="0"/>
                <w:color w:val="auto"/>
                <w:spacing w:val="0"/>
                <w:sz w:val="21"/>
                <w:szCs w:val="21"/>
                <w:highlight w:val="none"/>
              </w:rPr>
            </w:pPr>
          </w:p>
        </w:tc>
        <w:tc>
          <w:tcPr>
            <w:tcW w:w="3551"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E7000EB">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公章</w:t>
            </w:r>
          </w:p>
        </w:tc>
        <w:tc>
          <w:tcPr>
            <w:tcW w:w="27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4DE0CBB7">
            <w:pPr>
              <w:rPr>
                <w:rFonts w:hint="eastAsia" w:ascii="宋体" w:hAnsi="宋体" w:eastAsia="宋体" w:cs="宋体"/>
                <w:i w:val="0"/>
                <w:iCs w:val="0"/>
                <w:caps w:val="0"/>
                <w:color w:val="auto"/>
                <w:spacing w:val="0"/>
                <w:sz w:val="21"/>
                <w:szCs w:val="21"/>
                <w:highlight w:val="none"/>
              </w:rPr>
            </w:pPr>
          </w:p>
        </w:tc>
      </w:tr>
      <w:tr w14:paraId="421D7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8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AE21E4C">
            <w:pPr>
              <w:rPr>
                <w:rFonts w:hint="eastAsia" w:ascii="宋体" w:hAnsi="宋体" w:eastAsia="宋体" w:cs="宋体"/>
                <w:i w:val="0"/>
                <w:iCs w:val="0"/>
                <w:caps w:val="0"/>
                <w:color w:val="auto"/>
                <w:spacing w:val="0"/>
                <w:sz w:val="21"/>
                <w:szCs w:val="21"/>
                <w:highlight w:val="none"/>
              </w:rPr>
            </w:pPr>
          </w:p>
        </w:tc>
        <w:tc>
          <w:tcPr>
            <w:tcW w:w="1902"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4CE1F43">
            <w:pPr>
              <w:rPr>
                <w:rFonts w:hint="eastAsia" w:ascii="宋体" w:hAnsi="宋体" w:eastAsia="宋体" w:cs="宋体"/>
                <w:i w:val="0"/>
                <w:iCs w:val="0"/>
                <w:caps w:val="0"/>
                <w:color w:val="auto"/>
                <w:spacing w:val="0"/>
                <w:sz w:val="21"/>
                <w:szCs w:val="21"/>
                <w:highlight w:val="none"/>
              </w:rPr>
            </w:pPr>
          </w:p>
        </w:tc>
        <w:tc>
          <w:tcPr>
            <w:tcW w:w="3551"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BB0C3B5">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日期</w:t>
            </w:r>
          </w:p>
        </w:tc>
        <w:tc>
          <w:tcPr>
            <w:tcW w:w="2722"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F62E4F0">
            <w:pPr>
              <w:rPr>
                <w:rFonts w:hint="eastAsia" w:ascii="宋体" w:hAnsi="宋体" w:eastAsia="宋体" w:cs="宋体"/>
                <w:i w:val="0"/>
                <w:iCs w:val="0"/>
                <w:caps w:val="0"/>
                <w:color w:val="auto"/>
                <w:spacing w:val="0"/>
                <w:sz w:val="21"/>
                <w:szCs w:val="21"/>
                <w:highlight w:val="none"/>
              </w:rPr>
            </w:pPr>
          </w:p>
        </w:tc>
      </w:tr>
      <w:tr w14:paraId="03E6A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9058"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9206E7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color w:val="auto"/>
                <w:highlight w:val="none"/>
              </w:rPr>
            </w:pPr>
            <w:r>
              <w:rPr>
                <w:rFonts w:hint="default" w:ascii="方正仿宋简体" w:hAnsi="方正仿宋简体" w:eastAsia="方正仿宋简体" w:cs="方正仿宋简体"/>
                <w:i w:val="0"/>
                <w:iCs w:val="0"/>
                <w:caps w:val="0"/>
                <w:color w:val="auto"/>
                <w:spacing w:val="0"/>
                <w:sz w:val="21"/>
                <w:szCs w:val="21"/>
                <w:highlight w:val="none"/>
              </w:rPr>
              <w:t>质疑函制作说明：</w:t>
            </w:r>
          </w:p>
          <w:p w14:paraId="634B8BF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auto"/>
                <w:spacing w:val="0"/>
                <w:sz w:val="21"/>
                <w:szCs w:val="21"/>
                <w:highlight w:val="none"/>
                <w:lang w:val="en-US" w:eastAsia="zh-CN"/>
              </w:rPr>
            </w:pPr>
            <w:r>
              <w:rPr>
                <w:rFonts w:hint="eastAsia" w:ascii="方正仿宋简体" w:hAnsi="方正仿宋简体" w:eastAsia="方正仿宋简体" w:cs="方正仿宋简体"/>
                <w:i w:val="0"/>
                <w:iCs w:val="0"/>
                <w:caps w:val="0"/>
                <w:color w:val="auto"/>
                <w:spacing w:val="0"/>
                <w:sz w:val="21"/>
                <w:szCs w:val="21"/>
                <w:highlight w:val="none"/>
                <w:lang w:val="en-US" w:eastAsia="zh-CN"/>
              </w:rPr>
              <w:t>1.</w:t>
            </w:r>
            <w:r>
              <w:rPr>
                <w:rFonts w:hint="default" w:ascii="方正仿宋简体" w:hAnsi="方正仿宋简体" w:eastAsia="方正仿宋简体" w:cs="方正仿宋简体"/>
                <w:i w:val="0"/>
                <w:iCs w:val="0"/>
                <w:caps w:val="0"/>
                <w:color w:val="auto"/>
                <w:spacing w:val="0"/>
                <w:sz w:val="21"/>
                <w:szCs w:val="21"/>
                <w:highlight w:val="none"/>
                <w:lang w:val="en-US" w:eastAsia="zh-CN"/>
              </w:rPr>
              <w:t>供应商提出质疑时，应提交质疑函和必要的证明材料</w:t>
            </w:r>
            <w:r>
              <w:rPr>
                <w:rFonts w:hint="eastAsia" w:ascii="方正仿宋简体" w:hAnsi="方正仿宋简体" w:eastAsia="方正仿宋简体" w:cs="方正仿宋简体"/>
                <w:i w:val="0"/>
                <w:iCs w:val="0"/>
                <w:caps w:val="0"/>
                <w:color w:val="auto"/>
                <w:spacing w:val="0"/>
                <w:sz w:val="21"/>
                <w:szCs w:val="21"/>
                <w:highlight w:val="none"/>
                <w:lang w:eastAsia="zh-CN"/>
              </w:rPr>
              <w:t>或有效线索</w:t>
            </w:r>
            <w:r>
              <w:rPr>
                <w:rFonts w:hint="default" w:ascii="方正仿宋简体" w:hAnsi="方正仿宋简体" w:eastAsia="方正仿宋简体" w:cs="方正仿宋简体"/>
                <w:i w:val="0"/>
                <w:iCs w:val="0"/>
                <w:caps w:val="0"/>
                <w:color w:val="auto"/>
                <w:spacing w:val="0"/>
                <w:sz w:val="21"/>
                <w:szCs w:val="21"/>
                <w:highlight w:val="none"/>
                <w:lang w:val="en-US" w:eastAsia="zh-CN"/>
              </w:rPr>
              <w:t>；质疑函存在《</w:t>
            </w:r>
            <w:r>
              <w:rPr>
                <w:rFonts w:hint="eastAsia" w:ascii="方正仿宋简体" w:hAnsi="方正仿宋简体" w:eastAsia="方正仿宋简体" w:cs="方正仿宋简体"/>
                <w:i w:val="0"/>
                <w:iCs w:val="0"/>
                <w:caps w:val="0"/>
                <w:color w:val="auto"/>
                <w:spacing w:val="0"/>
                <w:sz w:val="21"/>
                <w:szCs w:val="21"/>
                <w:highlight w:val="none"/>
                <w:lang w:val="en-US" w:eastAsia="zh-CN"/>
              </w:rPr>
              <w:t>质疑异议投诉举报处理实施细则</w:t>
            </w:r>
            <w:r>
              <w:rPr>
                <w:rFonts w:hint="default" w:ascii="方正仿宋简体" w:hAnsi="方正仿宋简体" w:eastAsia="方正仿宋简体" w:cs="方正仿宋简体"/>
                <w:i w:val="0"/>
                <w:iCs w:val="0"/>
                <w:caps w:val="0"/>
                <w:color w:val="auto"/>
                <w:spacing w:val="0"/>
                <w:sz w:val="21"/>
                <w:szCs w:val="21"/>
                <w:highlight w:val="none"/>
                <w:lang w:val="en-US" w:eastAsia="zh-CN"/>
              </w:rPr>
              <w:t>》（新政资内发〔202</w:t>
            </w:r>
            <w:r>
              <w:rPr>
                <w:rFonts w:hint="eastAsia" w:ascii="方正仿宋简体" w:hAnsi="方正仿宋简体" w:eastAsia="方正仿宋简体" w:cs="方正仿宋简体"/>
                <w:i w:val="0"/>
                <w:iCs w:val="0"/>
                <w:caps w:val="0"/>
                <w:color w:val="auto"/>
                <w:spacing w:val="0"/>
                <w:sz w:val="21"/>
                <w:szCs w:val="21"/>
                <w:highlight w:val="none"/>
                <w:lang w:val="en-US" w:eastAsia="zh-CN"/>
              </w:rPr>
              <w:t>2</w:t>
            </w:r>
            <w:r>
              <w:rPr>
                <w:rFonts w:hint="default" w:ascii="方正仿宋简体" w:hAnsi="方正仿宋简体" w:eastAsia="方正仿宋简体" w:cs="方正仿宋简体"/>
                <w:i w:val="0"/>
                <w:iCs w:val="0"/>
                <w:caps w:val="0"/>
                <w:color w:val="auto"/>
                <w:spacing w:val="0"/>
                <w:sz w:val="21"/>
                <w:szCs w:val="21"/>
                <w:highlight w:val="none"/>
                <w:lang w:val="en-US" w:eastAsia="zh-CN"/>
              </w:rPr>
              <w:t>〕</w:t>
            </w:r>
            <w:r>
              <w:rPr>
                <w:rFonts w:hint="eastAsia" w:ascii="方正仿宋简体" w:hAnsi="方正仿宋简体" w:eastAsia="方正仿宋简体" w:cs="方正仿宋简体"/>
                <w:i w:val="0"/>
                <w:iCs w:val="0"/>
                <w:caps w:val="0"/>
                <w:color w:val="auto"/>
                <w:spacing w:val="0"/>
                <w:sz w:val="21"/>
                <w:szCs w:val="21"/>
                <w:highlight w:val="none"/>
                <w:lang w:val="en-US" w:eastAsia="zh-CN"/>
              </w:rPr>
              <w:t>12</w:t>
            </w:r>
            <w:r>
              <w:rPr>
                <w:rFonts w:hint="default" w:ascii="方正仿宋简体" w:hAnsi="方正仿宋简体" w:eastAsia="方正仿宋简体" w:cs="方正仿宋简体"/>
                <w:i w:val="0"/>
                <w:iCs w:val="0"/>
                <w:caps w:val="0"/>
                <w:color w:val="auto"/>
                <w:spacing w:val="0"/>
                <w:sz w:val="21"/>
                <w:szCs w:val="21"/>
                <w:highlight w:val="none"/>
                <w:lang w:val="en-US" w:eastAsia="zh-CN"/>
              </w:rPr>
              <w:t>号）第十七条所列情形的，</w:t>
            </w:r>
            <w:r>
              <w:rPr>
                <w:rFonts w:hint="eastAsia" w:ascii="方正仿宋简体" w:hAnsi="方正仿宋简体" w:eastAsia="方正仿宋简体" w:cs="方正仿宋简体"/>
                <w:i w:val="0"/>
                <w:iCs w:val="0"/>
                <w:caps w:val="0"/>
                <w:color w:val="auto"/>
                <w:spacing w:val="0"/>
                <w:sz w:val="21"/>
                <w:szCs w:val="21"/>
                <w:highlight w:val="none"/>
                <w:lang w:val="en-US" w:eastAsia="zh-CN"/>
              </w:rPr>
              <w:t>招标代理</w:t>
            </w:r>
            <w:r>
              <w:rPr>
                <w:rFonts w:hint="default" w:ascii="方正仿宋简体" w:hAnsi="方正仿宋简体" w:eastAsia="方正仿宋简体" w:cs="方正仿宋简体"/>
                <w:i w:val="0"/>
                <w:iCs w:val="0"/>
                <w:caps w:val="0"/>
                <w:color w:val="auto"/>
                <w:spacing w:val="0"/>
                <w:sz w:val="21"/>
                <w:szCs w:val="21"/>
                <w:highlight w:val="none"/>
                <w:lang w:val="en-US" w:eastAsia="zh-CN"/>
              </w:rPr>
              <w:t>不予受理。</w:t>
            </w:r>
          </w:p>
          <w:p w14:paraId="6FC48C0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方正仿宋简体" w:hAnsi="方正仿宋简体" w:eastAsia="方正仿宋简体" w:cs="方正仿宋简体"/>
                <w:i w:val="0"/>
                <w:iCs w:val="0"/>
                <w:caps w:val="0"/>
                <w:color w:val="auto"/>
                <w:spacing w:val="0"/>
                <w:sz w:val="21"/>
                <w:szCs w:val="21"/>
                <w:highlight w:val="none"/>
                <w:lang w:eastAsia="zh-CN"/>
              </w:rPr>
            </w:pPr>
            <w:r>
              <w:rPr>
                <w:rFonts w:hint="eastAsia" w:ascii="方正仿宋简体" w:hAnsi="方正仿宋简体" w:eastAsia="方正仿宋简体" w:cs="方正仿宋简体"/>
                <w:i w:val="0"/>
                <w:iCs w:val="0"/>
                <w:caps w:val="0"/>
                <w:color w:val="auto"/>
                <w:spacing w:val="0"/>
                <w:sz w:val="21"/>
                <w:szCs w:val="21"/>
                <w:highlight w:val="none"/>
              </w:rPr>
              <w:t>2.</w:t>
            </w:r>
            <w:r>
              <w:rPr>
                <w:rFonts w:hint="default" w:ascii="方正仿宋简体" w:hAnsi="方正仿宋简体" w:eastAsia="方正仿宋简体" w:cs="方正仿宋简体"/>
                <w:i w:val="0"/>
                <w:iCs w:val="0"/>
                <w:caps w:val="0"/>
                <w:color w:val="auto"/>
                <w:spacing w:val="0"/>
                <w:sz w:val="21"/>
                <w:szCs w:val="21"/>
                <w:highlight w:val="none"/>
              </w:rPr>
              <w:t>质疑函的质疑事项应具体、明确，并有必要的事实依据和法律依据</w:t>
            </w:r>
            <w:r>
              <w:rPr>
                <w:rFonts w:hint="eastAsia" w:ascii="方正仿宋简体" w:hAnsi="方正仿宋简体" w:eastAsia="方正仿宋简体" w:cs="方正仿宋简体"/>
                <w:i w:val="0"/>
                <w:iCs w:val="0"/>
                <w:caps w:val="0"/>
                <w:color w:val="auto"/>
                <w:spacing w:val="0"/>
                <w:sz w:val="21"/>
                <w:szCs w:val="21"/>
                <w:highlight w:val="none"/>
                <w:lang w:eastAsia="zh-CN"/>
              </w:rPr>
              <w:t>。</w:t>
            </w:r>
          </w:p>
          <w:p w14:paraId="08192F9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auto"/>
                <w:spacing w:val="0"/>
                <w:sz w:val="21"/>
                <w:szCs w:val="21"/>
                <w:highlight w:val="none"/>
              </w:rPr>
            </w:pPr>
            <w:r>
              <w:rPr>
                <w:rFonts w:hint="eastAsia" w:ascii="方正仿宋简体" w:hAnsi="方正仿宋简体" w:eastAsia="方正仿宋简体" w:cs="方正仿宋简体"/>
                <w:i w:val="0"/>
                <w:iCs w:val="0"/>
                <w:caps w:val="0"/>
                <w:color w:val="auto"/>
                <w:spacing w:val="0"/>
                <w:sz w:val="21"/>
                <w:szCs w:val="21"/>
                <w:highlight w:val="none"/>
                <w:lang w:val="en-US" w:eastAsia="zh-CN"/>
              </w:rPr>
              <w:t>3.</w:t>
            </w:r>
            <w:r>
              <w:rPr>
                <w:rFonts w:hint="default" w:ascii="方正仿宋简体" w:hAnsi="方正仿宋简体" w:eastAsia="方正仿宋简体" w:cs="方正仿宋简体"/>
                <w:i w:val="0"/>
                <w:iCs w:val="0"/>
                <w:caps w:val="0"/>
                <w:color w:val="auto"/>
                <w:spacing w:val="0"/>
                <w:sz w:val="21"/>
                <w:szCs w:val="21"/>
                <w:highlight w:val="none"/>
              </w:rPr>
              <w:t>质疑函的质疑请求应与质疑事项相关。</w:t>
            </w:r>
          </w:p>
          <w:p w14:paraId="72532C1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auto"/>
                <w:spacing w:val="0"/>
                <w:sz w:val="21"/>
                <w:szCs w:val="21"/>
                <w:highlight w:val="none"/>
              </w:rPr>
            </w:pPr>
            <w:r>
              <w:rPr>
                <w:rFonts w:hint="eastAsia" w:ascii="方正仿宋简体" w:hAnsi="方正仿宋简体" w:eastAsia="方正仿宋简体" w:cs="方正仿宋简体"/>
                <w:i w:val="0"/>
                <w:iCs w:val="0"/>
                <w:caps w:val="0"/>
                <w:color w:val="auto"/>
                <w:spacing w:val="0"/>
                <w:sz w:val="21"/>
                <w:szCs w:val="21"/>
                <w:highlight w:val="none"/>
                <w:lang w:val="en-US" w:eastAsia="zh-CN"/>
              </w:rPr>
              <w:t>4</w:t>
            </w:r>
            <w:r>
              <w:rPr>
                <w:rFonts w:hint="eastAsia" w:ascii="方正仿宋简体" w:hAnsi="方正仿宋简体" w:eastAsia="方正仿宋简体" w:cs="方正仿宋简体"/>
                <w:i w:val="0"/>
                <w:iCs w:val="0"/>
                <w:caps w:val="0"/>
                <w:color w:val="auto"/>
                <w:spacing w:val="0"/>
                <w:sz w:val="21"/>
                <w:szCs w:val="21"/>
                <w:highlight w:val="none"/>
              </w:rPr>
              <w:t>.</w:t>
            </w:r>
            <w:r>
              <w:rPr>
                <w:rFonts w:hint="eastAsia" w:ascii="方正仿宋简体" w:hAnsi="方正仿宋简体" w:eastAsia="方正仿宋简体" w:cs="方正仿宋简体"/>
                <w:i w:val="0"/>
                <w:iCs w:val="0"/>
                <w:caps w:val="0"/>
                <w:color w:val="auto"/>
                <w:spacing w:val="0"/>
                <w:sz w:val="21"/>
                <w:szCs w:val="21"/>
                <w:highlight w:val="none"/>
                <w:lang w:eastAsia="zh-CN"/>
              </w:rPr>
              <w:t>一份质疑函只能针对一个项目提出质疑，且针对同一</w:t>
            </w:r>
            <w:r>
              <w:rPr>
                <w:rFonts w:hint="eastAsia" w:ascii="方正仿宋简体" w:hAnsi="方正仿宋简体" w:eastAsia="方正仿宋简体" w:cs="方正仿宋简体"/>
                <w:i w:val="0"/>
                <w:iCs w:val="0"/>
                <w:caps w:val="0"/>
                <w:color w:val="auto"/>
                <w:spacing w:val="0"/>
                <w:sz w:val="21"/>
                <w:szCs w:val="21"/>
                <w:highlight w:val="none"/>
                <w:lang w:val="en-US" w:eastAsia="zh-CN"/>
              </w:rPr>
              <w:t>交易</w:t>
            </w:r>
            <w:r>
              <w:rPr>
                <w:rFonts w:hint="eastAsia" w:ascii="方正仿宋简体" w:hAnsi="方正仿宋简体" w:eastAsia="方正仿宋简体" w:cs="方正仿宋简体"/>
                <w:i w:val="0"/>
                <w:iCs w:val="0"/>
                <w:caps w:val="0"/>
                <w:color w:val="auto"/>
                <w:spacing w:val="0"/>
                <w:sz w:val="21"/>
                <w:szCs w:val="21"/>
                <w:highlight w:val="none"/>
                <w:lang w:eastAsia="zh-CN"/>
              </w:rPr>
              <w:t>程序环节的质疑应当一次性提出。</w:t>
            </w:r>
            <w:r>
              <w:rPr>
                <w:rFonts w:hint="eastAsia" w:ascii="方正仿宋简体" w:hAnsi="方正仿宋简体" w:eastAsia="方正仿宋简体" w:cs="方正仿宋简体"/>
                <w:i w:val="0"/>
                <w:iCs w:val="0"/>
                <w:caps w:val="0"/>
                <w:color w:val="auto"/>
                <w:spacing w:val="0"/>
                <w:sz w:val="21"/>
                <w:szCs w:val="21"/>
                <w:highlight w:val="none"/>
              </w:rPr>
              <w:t>质疑对一个项目的不同包提出质疑的</w:t>
            </w:r>
            <w:r>
              <w:rPr>
                <w:rFonts w:hint="eastAsia" w:ascii="方正仿宋简体" w:hAnsi="方正仿宋简体" w:eastAsia="方正仿宋简体" w:cs="方正仿宋简体"/>
                <w:i w:val="0"/>
                <w:iCs w:val="0"/>
                <w:caps w:val="0"/>
                <w:color w:val="auto"/>
                <w:spacing w:val="0"/>
                <w:sz w:val="21"/>
                <w:szCs w:val="21"/>
                <w:highlight w:val="none"/>
                <w:lang w:eastAsia="zh-CN"/>
              </w:rPr>
              <w:t>，</w:t>
            </w:r>
            <w:r>
              <w:rPr>
                <w:rFonts w:hint="eastAsia" w:ascii="方正仿宋简体" w:hAnsi="方正仿宋简体" w:eastAsia="方正仿宋简体" w:cs="方正仿宋简体"/>
                <w:i w:val="0"/>
                <w:iCs w:val="0"/>
                <w:caps w:val="0"/>
                <w:color w:val="auto"/>
                <w:spacing w:val="0"/>
                <w:sz w:val="21"/>
                <w:szCs w:val="21"/>
                <w:highlight w:val="none"/>
              </w:rPr>
              <w:t>应当将各包质疑</w:t>
            </w:r>
            <w:r>
              <w:rPr>
                <w:rFonts w:hint="eastAsia" w:ascii="方正仿宋简体" w:hAnsi="方正仿宋简体" w:eastAsia="方正仿宋简体" w:cs="方正仿宋简体"/>
                <w:i w:val="0"/>
                <w:iCs w:val="0"/>
                <w:caps w:val="0"/>
                <w:color w:val="auto"/>
                <w:spacing w:val="0"/>
                <w:sz w:val="21"/>
                <w:szCs w:val="21"/>
                <w:highlight w:val="none"/>
                <w:lang w:eastAsia="zh-CN"/>
              </w:rPr>
              <w:t>、</w:t>
            </w:r>
            <w:r>
              <w:rPr>
                <w:rFonts w:hint="eastAsia" w:ascii="方正仿宋简体" w:hAnsi="方正仿宋简体" w:eastAsia="方正仿宋简体" w:cs="方正仿宋简体"/>
                <w:i w:val="0"/>
                <w:iCs w:val="0"/>
                <w:caps w:val="0"/>
                <w:color w:val="auto"/>
                <w:spacing w:val="0"/>
                <w:sz w:val="21"/>
                <w:szCs w:val="21"/>
                <w:highlight w:val="none"/>
                <w:lang w:val="en-US" w:eastAsia="zh-CN"/>
              </w:rPr>
              <w:t>异议</w:t>
            </w:r>
            <w:r>
              <w:rPr>
                <w:rFonts w:hint="eastAsia" w:ascii="方正仿宋简体" w:hAnsi="方正仿宋简体" w:eastAsia="方正仿宋简体" w:cs="方正仿宋简体"/>
                <w:i w:val="0"/>
                <w:iCs w:val="0"/>
                <w:caps w:val="0"/>
                <w:color w:val="auto"/>
                <w:spacing w:val="0"/>
                <w:sz w:val="21"/>
                <w:szCs w:val="21"/>
                <w:highlight w:val="none"/>
              </w:rPr>
              <w:t>事项集中在一份质疑函中提出</w:t>
            </w:r>
            <w:r>
              <w:rPr>
                <w:rFonts w:hint="eastAsia" w:ascii="方正仿宋简体" w:hAnsi="方正仿宋简体" w:eastAsia="方正仿宋简体" w:cs="方正仿宋简体"/>
                <w:i w:val="0"/>
                <w:iCs w:val="0"/>
                <w:caps w:val="0"/>
                <w:color w:val="auto"/>
                <w:spacing w:val="0"/>
                <w:sz w:val="21"/>
                <w:szCs w:val="21"/>
                <w:highlight w:val="none"/>
                <w:lang w:eastAsia="zh-CN"/>
              </w:rPr>
              <w:t>，</w:t>
            </w:r>
            <w:r>
              <w:rPr>
                <w:rFonts w:hint="eastAsia" w:ascii="方正仿宋简体" w:hAnsi="方正仿宋简体" w:eastAsia="方正仿宋简体" w:cs="方正仿宋简体"/>
                <w:i w:val="0"/>
                <w:iCs w:val="0"/>
                <w:caps w:val="0"/>
                <w:color w:val="auto"/>
                <w:spacing w:val="0"/>
                <w:sz w:val="21"/>
                <w:szCs w:val="21"/>
                <w:highlight w:val="none"/>
                <w:lang w:val="en-US" w:eastAsia="zh-CN"/>
              </w:rPr>
              <w:t>并在</w:t>
            </w:r>
            <w:r>
              <w:rPr>
                <w:rFonts w:hint="eastAsia" w:ascii="方正仿宋简体" w:hAnsi="方正仿宋简体" w:eastAsia="方正仿宋简体" w:cs="方正仿宋简体"/>
                <w:i w:val="0"/>
                <w:iCs w:val="0"/>
                <w:caps w:val="0"/>
                <w:color w:val="auto"/>
                <w:spacing w:val="0"/>
                <w:sz w:val="21"/>
                <w:szCs w:val="21"/>
                <w:highlight w:val="none"/>
              </w:rPr>
              <w:t>质疑函中列明具体分包号。</w:t>
            </w:r>
          </w:p>
          <w:p w14:paraId="606A27E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auto"/>
                <w:spacing w:val="0"/>
                <w:sz w:val="21"/>
                <w:szCs w:val="21"/>
                <w:highlight w:val="none"/>
              </w:rPr>
            </w:pPr>
            <w:r>
              <w:rPr>
                <w:rFonts w:hint="eastAsia" w:ascii="方正仿宋简体" w:hAnsi="方正仿宋简体" w:eastAsia="方正仿宋简体" w:cs="方正仿宋简体"/>
                <w:i w:val="0"/>
                <w:iCs w:val="0"/>
                <w:caps w:val="0"/>
                <w:color w:val="auto"/>
                <w:spacing w:val="0"/>
                <w:sz w:val="21"/>
                <w:szCs w:val="21"/>
                <w:highlight w:val="none"/>
                <w:lang w:val="en-US" w:eastAsia="zh-CN"/>
              </w:rPr>
              <w:t>5</w:t>
            </w:r>
            <w:r>
              <w:rPr>
                <w:rFonts w:hint="eastAsia" w:ascii="方正仿宋简体" w:hAnsi="方正仿宋简体" w:eastAsia="方正仿宋简体" w:cs="方正仿宋简体"/>
                <w:i w:val="0"/>
                <w:iCs w:val="0"/>
                <w:caps w:val="0"/>
                <w:color w:val="auto"/>
                <w:spacing w:val="0"/>
                <w:sz w:val="21"/>
                <w:szCs w:val="21"/>
                <w:highlight w:val="none"/>
              </w:rPr>
              <w:t>.</w:t>
            </w:r>
            <w:r>
              <w:rPr>
                <w:rFonts w:hint="default" w:ascii="方正仿宋简体" w:hAnsi="方正仿宋简体" w:eastAsia="方正仿宋简体" w:cs="方正仿宋简体"/>
                <w:i w:val="0"/>
                <w:iCs w:val="0"/>
                <w:caps w:val="0"/>
                <w:color w:val="auto"/>
                <w:spacing w:val="0"/>
                <w:sz w:val="21"/>
                <w:szCs w:val="21"/>
                <w:highlight w:val="none"/>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846235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auto"/>
                <w:spacing w:val="0"/>
                <w:sz w:val="21"/>
                <w:szCs w:val="21"/>
                <w:highlight w:val="none"/>
              </w:rPr>
            </w:pPr>
            <w:r>
              <w:rPr>
                <w:rFonts w:hint="eastAsia" w:eastAsia="宋体" w:cs="宋体"/>
                <w:i w:val="0"/>
                <w:iCs w:val="0"/>
                <w:caps w:val="0"/>
                <w:color w:val="auto"/>
                <w:spacing w:val="0"/>
                <w:sz w:val="21"/>
                <w:szCs w:val="21"/>
                <w:highlight w:val="none"/>
                <w:lang w:val="en-US" w:eastAsia="zh-CN"/>
              </w:rPr>
              <w:t>6</w:t>
            </w:r>
            <w:r>
              <w:rPr>
                <w:rFonts w:hint="eastAsia" w:ascii="宋体" w:hAnsi="宋体" w:eastAsia="宋体" w:cs="宋体"/>
                <w:i w:val="0"/>
                <w:iCs w:val="0"/>
                <w:caps w:val="0"/>
                <w:color w:val="auto"/>
                <w:spacing w:val="0"/>
                <w:sz w:val="21"/>
                <w:szCs w:val="21"/>
                <w:highlight w:val="none"/>
              </w:rPr>
              <w:t>.</w:t>
            </w:r>
            <w:r>
              <w:rPr>
                <w:rFonts w:hint="default" w:ascii="方正仿宋简体" w:hAnsi="方正仿宋简体" w:eastAsia="方正仿宋简体" w:cs="方正仿宋简体"/>
                <w:i w:val="0"/>
                <w:iCs w:val="0"/>
                <w:caps w:val="0"/>
                <w:color w:val="auto"/>
                <w:spacing w:val="0"/>
                <w:sz w:val="21"/>
                <w:szCs w:val="21"/>
                <w:highlight w:val="none"/>
              </w:rPr>
              <w:t>质疑供应商为自然人的，质疑函应由本人签字</w:t>
            </w:r>
            <w:r>
              <w:rPr>
                <w:rFonts w:hint="eastAsia" w:ascii="方正仿宋简体" w:hAnsi="方正仿宋简体" w:eastAsia="方正仿宋简体" w:cs="方正仿宋简体"/>
                <w:i w:val="0"/>
                <w:iCs w:val="0"/>
                <w:caps w:val="0"/>
                <w:color w:val="auto"/>
                <w:spacing w:val="0"/>
                <w:sz w:val="21"/>
                <w:szCs w:val="21"/>
                <w:highlight w:val="none"/>
                <w:lang w:eastAsia="zh-CN"/>
              </w:rPr>
              <w:t>，</w:t>
            </w:r>
            <w:r>
              <w:rPr>
                <w:rFonts w:hint="eastAsia" w:ascii="方正仿宋简体" w:hAnsi="方正仿宋简体" w:eastAsia="方正仿宋简体" w:cs="方正仿宋简体"/>
                <w:i w:val="0"/>
                <w:iCs w:val="0"/>
                <w:caps w:val="0"/>
                <w:color w:val="auto"/>
                <w:spacing w:val="0"/>
                <w:sz w:val="21"/>
                <w:szCs w:val="21"/>
                <w:highlight w:val="none"/>
                <w:lang w:val="en-US" w:eastAsia="zh-CN"/>
              </w:rPr>
              <w:t>提供本人及代理人身份证复印件，并在复印件上签字</w:t>
            </w:r>
            <w:r>
              <w:rPr>
                <w:rFonts w:hint="default" w:ascii="方正仿宋简体" w:hAnsi="方正仿宋简体" w:eastAsia="方正仿宋简体" w:cs="方正仿宋简体"/>
                <w:i w:val="0"/>
                <w:iCs w:val="0"/>
                <w:caps w:val="0"/>
                <w:color w:val="auto"/>
                <w:spacing w:val="0"/>
                <w:sz w:val="21"/>
                <w:szCs w:val="21"/>
                <w:highlight w:val="none"/>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i w:val="0"/>
                <w:iCs w:val="0"/>
                <w:caps w:val="0"/>
                <w:color w:val="auto"/>
                <w:spacing w:val="0"/>
                <w:sz w:val="21"/>
                <w:szCs w:val="21"/>
                <w:highlight w:val="none"/>
                <w:lang w:eastAsia="zh-CN"/>
              </w:rPr>
              <w:t>，</w:t>
            </w:r>
            <w:r>
              <w:rPr>
                <w:rFonts w:hint="eastAsia" w:ascii="方正仿宋简体" w:hAnsi="方正仿宋简体" w:eastAsia="方正仿宋简体" w:cs="方正仿宋简体"/>
                <w:i w:val="0"/>
                <w:iCs w:val="0"/>
                <w:caps w:val="0"/>
                <w:color w:val="auto"/>
                <w:spacing w:val="0"/>
                <w:sz w:val="21"/>
                <w:szCs w:val="21"/>
                <w:highlight w:val="none"/>
                <w:lang w:val="en-US" w:eastAsia="zh-CN"/>
              </w:rPr>
              <w:t>同时提供法人证书复印件、代理人身份证复印件并加盖法人公章</w:t>
            </w:r>
            <w:r>
              <w:rPr>
                <w:rFonts w:hint="default" w:ascii="方正仿宋简体" w:hAnsi="方正仿宋简体" w:eastAsia="方正仿宋简体" w:cs="方正仿宋简体"/>
                <w:i w:val="0"/>
                <w:iCs w:val="0"/>
                <w:caps w:val="0"/>
                <w:color w:val="auto"/>
                <w:spacing w:val="0"/>
                <w:sz w:val="21"/>
                <w:szCs w:val="21"/>
                <w:highlight w:val="none"/>
              </w:rPr>
              <w:t>。</w:t>
            </w:r>
          </w:p>
          <w:p w14:paraId="1976F2BA">
            <w:pPr>
              <w:widowControl/>
              <w:spacing w:line="400" w:lineRule="exact"/>
              <w:ind w:firstLine="420" w:firstLineChars="200"/>
              <w:jc w:val="left"/>
              <w:rPr>
                <w:rFonts w:hint="default" w:ascii="方正仿宋简体" w:hAnsi="方正仿宋简体" w:eastAsia="方正仿宋简体" w:cs="方正仿宋简体"/>
                <w:i w:val="0"/>
                <w:iCs w:val="0"/>
                <w:caps w:val="0"/>
                <w:color w:val="auto"/>
                <w:spacing w:val="0"/>
                <w:sz w:val="21"/>
                <w:szCs w:val="21"/>
                <w:highlight w:val="none"/>
                <w:lang w:val="en-US" w:eastAsia="zh-CN"/>
              </w:rPr>
            </w:pPr>
            <w:r>
              <w:rPr>
                <w:rFonts w:hint="eastAsia" w:ascii="方正仿宋简体" w:hAnsi="方正仿宋简体" w:eastAsia="方正仿宋简体" w:cs="方正仿宋简体"/>
                <w:b/>
                <w:bCs/>
                <w:i w:val="0"/>
                <w:iCs w:val="0"/>
                <w:caps w:val="0"/>
                <w:color w:val="auto"/>
                <w:spacing w:val="0"/>
                <w:kern w:val="0"/>
                <w:sz w:val="21"/>
                <w:szCs w:val="21"/>
                <w:highlight w:val="none"/>
                <w:lang w:val="en-US" w:eastAsia="zh-CN" w:bidi="ar-SA"/>
              </w:rPr>
              <w:t>7.质疑函份数要求：一式四份</w:t>
            </w:r>
            <w:r>
              <w:rPr>
                <w:rFonts w:hint="eastAsia" w:ascii="方正仿宋简体" w:hAnsi="方正仿宋简体" w:eastAsia="方正仿宋简体" w:cs="方正仿宋简体"/>
                <w:i w:val="0"/>
                <w:iCs w:val="0"/>
                <w:caps w:val="0"/>
                <w:color w:val="auto"/>
                <w:spacing w:val="0"/>
                <w:kern w:val="0"/>
                <w:sz w:val="21"/>
                <w:szCs w:val="21"/>
                <w:highlight w:val="none"/>
                <w:lang w:val="en-US" w:eastAsia="zh-CN" w:bidi="ar-SA"/>
              </w:rPr>
              <w:t>。</w:t>
            </w:r>
          </w:p>
        </w:tc>
      </w:tr>
    </w:tbl>
    <w:p w14:paraId="1092F152">
      <w:pPr>
        <w:pStyle w:val="1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rPr>
          <w:rFonts w:hint="eastAsia" w:ascii="宋体" w:hAnsi="宋体" w:eastAsia="宋体" w:cs="宋体"/>
          <w:i w:val="0"/>
          <w:iCs w:val="0"/>
          <w:caps w:val="0"/>
          <w:color w:val="auto"/>
          <w:spacing w:val="0"/>
          <w:sz w:val="21"/>
          <w:szCs w:val="21"/>
          <w:highlight w:val="none"/>
        </w:rPr>
      </w:pPr>
      <w:r>
        <w:rPr>
          <w:rFonts w:ascii="方正黑体简体" w:hAnsi="方正黑体简体" w:eastAsia="方正黑体简体" w:cs="方正黑体简体"/>
          <w:i w:val="0"/>
          <w:iCs w:val="0"/>
          <w:caps w:val="0"/>
          <w:color w:val="auto"/>
          <w:spacing w:val="0"/>
          <w:sz w:val="31"/>
          <w:szCs w:val="31"/>
          <w:highlight w:val="none"/>
          <w:shd w:val="clear" w:color="auto" w:fill="FFFFFF"/>
        </w:rPr>
        <w:t> </w:t>
      </w:r>
    </w:p>
    <w:p w14:paraId="6F6637ED">
      <w:pPr>
        <w:jc w:val="center"/>
        <w:rPr>
          <w:rFonts w:hint="eastAsia" w:ascii="宋体" w:hAnsi="宋体" w:cs="仿宋"/>
          <w:b/>
          <w:bCs/>
          <w:color w:val="auto"/>
          <w:sz w:val="32"/>
          <w:szCs w:val="32"/>
          <w:highlight w:val="none"/>
        </w:rPr>
      </w:pPr>
    </w:p>
    <w:p w14:paraId="6E7E4D44">
      <w:pPr>
        <w:jc w:val="center"/>
        <w:rPr>
          <w:rFonts w:hint="eastAsia" w:ascii="宋体" w:hAnsi="宋体" w:cs="仿宋"/>
          <w:b/>
          <w:bCs/>
          <w:color w:val="auto"/>
          <w:sz w:val="32"/>
          <w:szCs w:val="32"/>
          <w:highlight w:val="none"/>
        </w:rPr>
      </w:pPr>
    </w:p>
    <w:p w14:paraId="74488602">
      <w:pPr>
        <w:keepNext w:val="0"/>
        <w:keepLines w:val="0"/>
        <w:pageBreakBefore w:val="0"/>
        <w:widowControl w:val="0"/>
        <w:kinsoku/>
        <w:wordWrap/>
        <w:overflowPunct/>
        <w:topLinePunct w:val="0"/>
        <w:autoSpaceDE w:val="0"/>
        <w:autoSpaceDN w:val="0"/>
        <w:bidi w:val="0"/>
        <w:adjustRightInd/>
        <w:snapToGrid/>
        <w:spacing w:line="440" w:lineRule="exact"/>
        <w:ind w:firstLine="643" w:firstLineChars="200"/>
        <w:jc w:val="center"/>
        <w:textAlignment w:val="auto"/>
        <w:rPr>
          <w:rFonts w:hint="eastAsia" w:ascii="宋体" w:hAnsi="宋体" w:eastAsia="宋体" w:cs="宋体"/>
          <w:b/>
          <w:bCs/>
          <w:color w:val="auto"/>
          <w:sz w:val="32"/>
          <w:szCs w:val="32"/>
          <w:highlight w:val="none"/>
          <w:lang w:val="en-US" w:eastAsia="zh-CN"/>
        </w:rPr>
      </w:pPr>
    </w:p>
    <w:p w14:paraId="1525D50D">
      <w:pPr>
        <w:pStyle w:val="19"/>
        <w:rPr>
          <w:rFonts w:hint="eastAsia" w:ascii="宋体" w:hAnsi="宋体" w:eastAsia="宋体" w:cs="宋体"/>
          <w:b/>
          <w:bCs/>
          <w:color w:val="auto"/>
          <w:sz w:val="32"/>
          <w:szCs w:val="32"/>
          <w:highlight w:val="none"/>
          <w:lang w:val="en-US" w:eastAsia="zh-CN"/>
        </w:rPr>
      </w:pPr>
    </w:p>
    <w:p w14:paraId="7DE26559">
      <w:pPr>
        <w:pStyle w:val="19"/>
        <w:rPr>
          <w:rFonts w:hint="eastAsia" w:ascii="宋体" w:hAnsi="宋体" w:eastAsia="宋体" w:cs="宋体"/>
          <w:b/>
          <w:bCs/>
          <w:color w:val="auto"/>
          <w:sz w:val="32"/>
          <w:szCs w:val="32"/>
          <w:highlight w:val="none"/>
          <w:lang w:val="en-US" w:eastAsia="zh-CN"/>
        </w:rPr>
      </w:pPr>
    </w:p>
    <w:p w14:paraId="662313FF">
      <w:pPr>
        <w:pStyle w:val="19"/>
        <w:rPr>
          <w:rFonts w:hint="eastAsia" w:ascii="宋体" w:hAnsi="宋体" w:eastAsia="宋体" w:cs="宋体"/>
          <w:b/>
          <w:bCs/>
          <w:color w:val="auto"/>
          <w:sz w:val="32"/>
          <w:szCs w:val="32"/>
          <w:highlight w:val="none"/>
          <w:lang w:val="en-US" w:eastAsia="zh-CN"/>
        </w:rPr>
      </w:pPr>
    </w:p>
    <w:p w14:paraId="0B8C2E7A">
      <w:pPr>
        <w:pStyle w:val="19"/>
        <w:rPr>
          <w:rFonts w:hint="eastAsia" w:ascii="宋体" w:hAnsi="宋体" w:eastAsia="宋体" w:cs="宋体"/>
          <w:b/>
          <w:bCs/>
          <w:color w:val="auto"/>
          <w:sz w:val="32"/>
          <w:szCs w:val="32"/>
          <w:highlight w:val="none"/>
          <w:lang w:val="en-US" w:eastAsia="zh-CN"/>
        </w:rPr>
      </w:pPr>
    </w:p>
    <w:p w14:paraId="593B1694">
      <w:pPr>
        <w:pStyle w:val="19"/>
        <w:rPr>
          <w:rFonts w:hint="eastAsia" w:ascii="宋体" w:hAnsi="宋体" w:eastAsia="宋体" w:cs="宋体"/>
          <w:b/>
          <w:bCs/>
          <w:color w:val="auto"/>
          <w:sz w:val="32"/>
          <w:szCs w:val="32"/>
          <w:highlight w:val="none"/>
          <w:lang w:val="en-US" w:eastAsia="zh-CN"/>
        </w:rPr>
      </w:pPr>
    </w:p>
    <w:p w14:paraId="2B226E8D">
      <w:pPr>
        <w:pStyle w:val="19"/>
        <w:rPr>
          <w:rFonts w:hint="eastAsia" w:ascii="宋体" w:hAnsi="宋体" w:eastAsia="宋体" w:cs="宋体"/>
          <w:b/>
          <w:bCs/>
          <w:color w:val="auto"/>
          <w:sz w:val="32"/>
          <w:szCs w:val="32"/>
          <w:highlight w:val="none"/>
          <w:lang w:val="en-US" w:eastAsia="zh-CN"/>
        </w:rPr>
      </w:pPr>
    </w:p>
    <w:p w14:paraId="6E1E9F71">
      <w:pPr>
        <w:pStyle w:val="19"/>
        <w:rPr>
          <w:rFonts w:hint="eastAsia" w:ascii="宋体" w:hAnsi="宋体" w:eastAsia="宋体" w:cs="宋体"/>
          <w:b/>
          <w:bCs/>
          <w:color w:val="auto"/>
          <w:sz w:val="32"/>
          <w:szCs w:val="32"/>
          <w:highlight w:val="none"/>
          <w:lang w:val="en-US" w:eastAsia="zh-CN"/>
        </w:rPr>
      </w:pPr>
    </w:p>
    <w:p w14:paraId="5BA7F285">
      <w:pPr>
        <w:pStyle w:val="19"/>
        <w:rPr>
          <w:rFonts w:hint="eastAsia" w:ascii="宋体" w:hAnsi="宋体" w:eastAsia="宋体" w:cs="宋体"/>
          <w:b/>
          <w:bCs/>
          <w:color w:val="auto"/>
          <w:sz w:val="32"/>
          <w:szCs w:val="32"/>
          <w:highlight w:val="none"/>
          <w:lang w:val="en-US" w:eastAsia="zh-CN"/>
        </w:rPr>
      </w:pPr>
    </w:p>
    <w:p w14:paraId="453DA435">
      <w:pPr>
        <w:pStyle w:val="19"/>
        <w:rPr>
          <w:rFonts w:hint="eastAsia" w:ascii="宋体" w:hAnsi="宋体" w:eastAsia="宋体" w:cs="宋体"/>
          <w:b/>
          <w:bCs/>
          <w:color w:val="auto"/>
          <w:sz w:val="32"/>
          <w:szCs w:val="32"/>
          <w:highlight w:val="none"/>
          <w:lang w:val="en-US" w:eastAsia="zh-CN"/>
        </w:rPr>
      </w:pPr>
    </w:p>
    <w:p w14:paraId="49B09B38"/>
    <w:sectPr>
      <w:headerReference r:id="rId25" w:type="default"/>
      <w:pgSz w:w="11910" w:h="16840"/>
      <w:pgMar w:top="1984" w:right="1531" w:bottom="2098" w:left="1531" w:header="670" w:footer="1041" w:gutter="0"/>
      <w:pgNumType w:fmt="decimal"/>
      <w:cols w:space="720" w:num="1"/>
      <w:rtlGutter w:val="0"/>
      <w:docGrid w:linePitch="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E9D8D28-2CC2-48B4-AA54-7F0C0F463B8D}"/>
  </w:font>
  <w:font w:name="黑体">
    <w:panose1 w:val="02010609060101010101"/>
    <w:charset w:val="86"/>
    <w:family w:val="auto"/>
    <w:pitch w:val="default"/>
    <w:sig w:usb0="800002BF" w:usb1="38CF7CFA" w:usb2="00000016" w:usb3="00000000" w:csb0="00040001" w:csb1="00000000"/>
    <w:embedRegular r:id="rId2" w:fontKey="{BE851C54-C802-4CD7-8B0C-A0B777205D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D72A310-2C5E-403F-955E-8E52DAD4F8EA}"/>
  </w:font>
  <w:font w:name="微软雅黑">
    <w:panose1 w:val="020B0503020204020204"/>
    <w:charset w:val="86"/>
    <w:family w:val="swiss"/>
    <w:pitch w:val="default"/>
    <w:sig w:usb0="80000287" w:usb1="2ACF3C50" w:usb2="00000016" w:usb3="00000000" w:csb0="0004001F" w:csb1="00000000"/>
    <w:embedRegular r:id="rId4" w:fontKey="{FD592443-43A5-4158-B53C-CA4A3E919C12}"/>
  </w:font>
  <w:font w:name="Garamond">
    <w:altName w:val="PMingLiU-ExtB"/>
    <w:panose1 w:val="02020502050306020203"/>
    <w:charset w:val="00"/>
    <w:family w:val="roman"/>
    <w:pitch w:val="default"/>
    <w:sig w:usb0="00000000" w:usb1="00000000" w:usb2="00000000" w:usb3="00000000" w:csb0="00000000" w:csb1="00000000"/>
  </w:font>
  <w:font w:name="PMingLiU">
    <w:altName w:val="PMingLiU-ExtB"/>
    <w:panose1 w:val="02020500000000000000"/>
    <w:charset w:val="88"/>
    <w:family w:val="auto"/>
    <w:pitch w:val="default"/>
    <w:sig w:usb0="00000000" w:usb1="00000000" w:usb2="00000016" w:usb3="00000000" w:csb0="00100001" w:csb1="00000000"/>
  </w:font>
  <w:font w:name="仿宋_GB2312">
    <w:panose1 w:val="02010609030101010101"/>
    <w:charset w:val="86"/>
    <w:family w:val="auto"/>
    <w:pitch w:val="default"/>
    <w:sig w:usb0="00000001" w:usb1="080E0000" w:usb2="00000000" w:usb3="00000000" w:csb0="00040000" w:csb1="00000000"/>
    <w:embedRegular r:id="rId5" w:fontKey="{91F0D446-4128-46A1-ADDF-5ABFA88B52A0}"/>
  </w:font>
  <w:font w:name="Courier">
    <w:altName w:val="Courier New"/>
    <w:panose1 w:val="02060409020205020404"/>
    <w:charset w:val="00"/>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embedRegular r:id="rId6" w:fontKey="{A3689D32-FC73-42FB-928C-DE034F0F684F}"/>
  </w:font>
  <w:font w:name="Adobe 仿宋 Std R">
    <w:altName w:val="微软雅黑"/>
    <w:panose1 w:val="00000000000000000000"/>
    <w:charset w:val="7A"/>
    <w:family w:val="roman"/>
    <w:pitch w:val="default"/>
    <w:sig w:usb0="00000000" w:usb1="00000000" w:usb2="00000016" w:usb3="00000000" w:csb0="00060007" w:csb1="00000000"/>
  </w:font>
  <w:font w:name="方正小标宋简体">
    <w:panose1 w:val="02000000000000000000"/>
    <w:charset w:val="86"/>
    <w:family w:val="auto"/>
    <w:pitch w:val="default"/>
    <w:sig w:usb0="00000001" w:usb1="08000000" w:usb2="00000000" w:usb3="00000000" w:csb0="00040000" w:csb1="00000000"/>
    <w:embedRegular r:id="rId7" w:fontKey="{A9CD4E94-5984-44C9-82FE-CF9B2F9461BF}"/>
  </w:font>
  <w:font w:name="方正仿宋简体">
    <w:altName w:val="微软雅黑"/>
    <w:panose1 w:val="02010601030101010101"/>
    <w:charset w:val="86"/>
    <w:family w:val="auto"/>
    <w:pitch w:val="default"/>
    <w:sig w:usb0="00000000" w:usb1="00000000" w:usb2="00000000" w:usb3="00000000" w:csb0="00040000" w:csb1="00000000"/>
    <w:embedRegular r:id="rId8" w:fontKey="{FD02D88F-24C4-44D2-8631-3F93975D6034}"/>
  </w:font>
  <w:font w:name="方正黑体简体">
    <w:altName w:val="微软雅黑"/>
    <w:panose1 w:val="00000000000000000000"/>
    <w:charset w:val="00"/>
    <w:family w:val="auto"/>
    <w:pitch w:val="default"/>
    <w:sig w:usb0="00000000" w:usb1="00000000" w:usb2="00000000" w:usb3="00000000" w:csb0="00040001" w:csb1="00000000"/>
    <w:embedRegular r:id="rId9" w:fontKey="{4234B5B2-BC48-411F-9F9F-762B0BA2C4B8}"/>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99BE1">
    <w:pPr>
      <w:pStyle w:val="14"/>
      <w:ind w:right="360"/>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8BD7D">
                          <w:pPr>
                            <w:pStyle w:val="14"/>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4C8BD7D">
                    <w:pPr>
                      <w:pStyle w:val="14"/>
                    </w:pPr>
                    <w:r>
                      <w:fldChar w:fldCharType="begin"/>
                    </w:r>
                    <w:r>
                      <w:instrText xml:space="preserve"> PAGE  \* MERGEFORMAT </w:instrText>
                    </w:r>
                    <w:r>
                      <w:fldChar w:fldCharType="separate"/>
                    </w:r>
                    <w:r>
                      <w:t>0</w:t>
                    </w:r>
                    <w:r>
                      <w:fldChar w:fldCharType="end"/>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posOffset>2535555</wp:posOffset>
              </wp:positionH>
              <wp:positionV relativeFrom="paragraph">
                <wp:posOffset>0</wp:posOffset>
              </wp:positionV>
              <wp:extent cx="114935" cy="15303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15875">
                        <a:noFill/>
                      </a:ln>
                    </wps:spPr>
                    <wps:txbx>
                      <w:txbxContent>
                        <w:p w14:paraId="55A9534F"/>
                      </w:txbxContent>
                    </wps:txbx>
                    <wps:bodyPr wrap="none" lIns="0" tIns="0" rIns="0" bIns="0" upright="1">
                      <a:spAutoFit/>
                    </wps:bodyPr>
                  </wps:wsp>
                </a:graphicData>
              </a:graphic>
            </wp:anchor>
          </w:drawing>
        </mc:Choice>
        <mc:Fallback>
          <w:pict>
            <v:shape id="_x0000_s1026" o:spid="_x0000_s1026" o:spt="202" type="#_x0000_t202" style="position:absolute;left:0pt;margin-left:199.65pt;margin-top:0pt;height:12.05pt;width:9.05pt;mso-position-horizontal-relative:margin;mso-wrap-style:none;z-index:251671552;mso-width-relative:page;mso-height-relative:page;" filled="f" stroked="f" coordsize="21600,21600" o:gfxdata="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BKzybXAAAABwEAAA8AAAAAAAAAAQAg&#10;AAAAIgAAAGRycy9kb3ducmV2LnhtbFBLAQIUABQAAAAIAIdO4kBWvlH41gEAAKMDAAAOAAAAAAAA&#10;AAEAIAAAACYBAABkcnMvZTJvRG9jLnhtbFBLBQYAAAAABgAGAFkBAABuBQAAAAA=&#10;">
              <v:fill on="f" focussize="0,0"/>
              <v:stroke on="f" weight="1.25pt"/>
              <v:imagedata o:title=""/>
              <o:lock v:ext="edit" aspectratio="f"/>
              <v:textbox inset="0mm,0mm,0mm,0mm" style="mso-fit-shape-to-text:t;">
                <w:txbxContent>
                  <w:p w14:paraId="55A9534F"/>
                </w:txbxContent>
              </v:textbox>
            </v:shape>
          </w:pict>
        </mc:Fallback>
      </mc:AlternateContent>
    </w: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F0AE1">
                          <w:pPr>
                            <w:pStyle w:val="14"/>
                            <w:rPr>
                              <w:rFonts w:hint="default" w:eastAsia="宋体"/>
                              <w:lang w:val="en-US" w:eastAsia="zh-CN"/>
                            </w:rPr>
                          </w:pPr>
                          <w:r>
                            <w:rPr>
                              <w:rFonts w:hint="eastAsia"/>
                              <w:lang w:val="en-US" w:eastAsia="zh-CN"/>
                            </w:rPr>
                            <w:t>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BBF0AE1">
                    <w:pPr>
                      <w:pStyle w:val="14"/>
                      <w:rPr>
                        <w:rFonts w:hint="default" w:eastAsia="宋体"/>
                        <w:lang w:val="en-US" w:eastAsia="zh-CN"/>
                      </w:rPr>
                    </w:pPr>
                    <w:r>
                      <w:rPr>
                        <w:rFonts w:hint="eastAsia"/>
                        <w:lang w:val="en-US" w:eastAsia="zh-CN"/>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9B301">
    <w:pPr>
      <w:pStyle w:val="14"/>
      <w:framePr w:wrap="around" w:vAnchor="text" w:hAnchor="margin" w:xAlign="center" w:y="1"/>
      <w:rPr>
        <w:rStyle w:val="24"/>
      </w:rPr>
    </w:pPr>
    <w:r>
      <w:fldChar w:fldCharType="begin"/>
    </w:r>
    <w:r>
      <w:rPr>
        <w:rStyle w:val="24"/>
      </w:rPr>
      <w:instrText xml:space="preserve">PAGE  </w:instrText>
    </w:r>
    <w:r>
      <w:fldChar w:fldCharType="end"/>
    </w:r>
  </w:p>
  <w:p w14:paraId="7E29AF90">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488B7">
    <w:pPr>
      <w:pStyle w:val="14"/>
      <w:tabs>
        <w:tab w:val="center" w:pos="4479"/>
        <w:tab w:val="clear" w:pos="4153"/>
      </w:tabs>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FABFA">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CDFABFA">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7E89C">
                          <w:pPr>
                            <w:pStyle w:val="14"/>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42C7E89C">
                    <w:pPr>
                      <w:pStyle w:val="14"/>
                      <w:rPr>
                        <w:rFonts w:hint="default" w:eastAsia="宋体"/>
                        <w:lang w:val="en-US" w:eastAsia="zh-CN"/>
                      </w:rPr>
                    </w:pP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14935" cy="15303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15875">
                        <a:noFill/>
                      </a:ln>
                    </wps:spPr>
                    <wps:txbx>
                      <w:txbxContent>
                        <w:p w14:paraId="1A5DD4AC"/>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72576;mso-width-relative:page;mso-height-relative:page;" filled="f" stroked="f" coordsize="21600,21600" o:gfxdata="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rs9lPUAAAAAwEAAA8AAAAAAAAAAQAgAAAA&#10;IgAAAGRycy9kb3ducmV2LnhtbFBLAQIUABQAAAAIAIdO4kAYy/2Z1gEAAKMDAAAOAAAAAAAAAAEA&#10;IAAAACMBAABkcnMvZTJvRG9jLnhtbFBLBQYAAAAABgAGAFkBAABrBQAAAAA=&#10;">
              <v:fill on="f" focussize="0,0"/>
              <v:stroke on="f" weight="1.25pt"/>
              <v:imagedata o:title=""/>
              <o:lock v:ext="edit" aspectratio="f"/>
              <v:textbox inset="0mm,0mm,0mm,0mm" style="mso-fit-shape-to-text:t;">
                <w:txbxContent>
                  <w:p w14:paraId="1A5DD4AC"/>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E61DA">
    <w:pPr>
      <w:pStyle w:val="10"/>
      <w:spacing w:line="14" w:lineRule="auto"/>
      <w:rPr>
        <w:sz w:val="20"/>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35A7D">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57335A7D">
                    <w:pPr>
                      <w:pStyle w:val="14"/>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72576" behindDoc="1" locked="0" layoutInCell="1" allowOverlap="1">
              <wp:simplePos x="0" y="0"/>
              <wp:positionH relativeFrom="page">
                <wp:posOffset>3236595</wp:posOffset>
              </wp:positionH>
              <wp:positionV relativeFrom="page">
                <wp:posOffset>9891395</wp:posOffset>
              </wp:positionV>
              <wp:extent cx="1088390" cy="1524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088390" cy="152400"/>
                      </a:xfrm>
                      <a:prstGeom prst="rect">
                        <a:avLst/>
                      </a:prstGeom>
                      <a:noFill/>
                      <a:ln>
                        <a:noFill/>
                      </a:ln>
                    </wps:spPr>
                    <wps:txbx>
                      <w:txbxContent>
                        <w:p w14:paraId="18AD1F3E"/>
                      </w:txbxContent>
                    </wps:txbx>
                    <wps:bodyPr lIns="0" tIns="0" rIns="0" bIns="0" upright="1"/>
                  </wps:wsp>
                </a:graphicData>
              </a:graphic>
            </wp:anchor>
          </w:drawing>
        </mc:Choice>
        <mc:Fallback>
          <w:pict>
            <v:shape id="_x0000_s1026" o:spid="_x0000_s1026" o:spt="202" type="#_x0000_t202" style="position:absolute;left:0pt;margin-left:254.85pt;margin-top:778.85pt;height:12pt;width:85.7pt;mso-position-horizontal-relative:page;mso-position-vertical-relative:page;z-index:-251643904;mso-width-relative:page;mso-height-relative:page;" filled="f" stroked="f" coordsize="21600,21600" o:gfxdata="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067VQ2gAAAA0BAAAPAAAAAAAAAAEAIAAAACIAAABkcnMvZG93bnJldi54bWxQ&#10;SwECFAAUAAAACACHTuJANoP5ELwBAAB0AwAADgAAAAAAAAABACAAAAApAQAAZHJzL2Uyb0RvYy54&#10;bWxQSwUGAAAAAAYABgBZAQAAVwUAAAAA&#10;">
              <v:fill on="f" focussize="0,0"/>
              <v:stroke on="f"/>
              <v:imagedata o:title=""/>
              <o:lock v:ext="edit" aspectratio="f"/>
              <v:textbox inset="0mm,0mm,0mm,0mm">
                <w:txbxContent>
                  <w:p w14:paraId="18AD1F3E"/>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F538A">
    <w:pPr>
      <w:spacing w:line="176" w:lineRule="auto"/>
      <w:ind w:left="48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D3FE4">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3ED3FE4">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16895">
    <w:pPr>
      <w:pStyle w:val="14"/>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78860D">
                          <w:pPr>
                            <w:pStyle w:val="1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6978860D">
                    <w:pPr>
                      <w:pStyle w:val="1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48334">
    <w:pPr>
      <w:pStyle w:val="14"/>
      <w:jc w:val="cente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51CE2">
                          <w:pPr>
                            <w:pStyle w:val="1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AC51CE2">
                    <w:pPr>
                      <w:pStyle w:val="14"/>
                    </w:pPr>
                    <w:r>
                      <w:fldChar w:fldCharType="begin"/>
                    </w:r>
                    <w:r>
                      <w:instrText xml:space="preserve"> PAGE  \* MERGEFORMAT </w:instrText>
                    </w:r>
                    <w:r>
                      <w:fldChar w:fldCharType="separate"/>
                    </w:r>
                    <w:r>
                      <w:t>56</w:t>
                    </w:r>
                    <w:r>
                      <w:fldChar w:fldCharType="end"/>
                    </w:r>
                  </w:p>
                </w:txbxContent>
              </v:textbox>
            </v:shape>
          </w:pict>
        </mc:Fallback>
      </mc:AlternateContent>
    </w:r>
  </w:p>
  <w:p w14:paraId="658208CF">
    <w:pPr>
      <w:pStyle w:val="14"/>
      <w:jc w:val="center"/>
      <w:rPr>
        <w:rFonts w:ascii="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BFB81">
    <w:pPr>
      <w:pStyle w:val="14"/>
      <w:jc w:val="cente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9C480B">
                          <w:pPr>
                            <w:pStyle w:val="1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319C480B">
                    <w:pPr>
                      <w:pStyle w:val="14"/>
                    </w:pPr>
                    <w:r>
                      <w:fldChar w:fldCharType="begin"/>
                    </w:r>
                    <w:r>
                      <w:instrText xml:space="preserve"> PAGE  \* MERGEFORMAT </w:instrText>
                    </w:r>
                    <w:r>
                      <w:fldChar w:fldCharType="separate"/>
                    </w:r>
                    <w:r>
                      <w:t>62</w:t>
                    </w:r>
                    <w:r>
                      <w:fldChar w:fldCharType="end"/>
                    </w:r>
                  </w:p>
                </w:txbxContent>
              </v:textbox>
            </v:shape>
          </w:pict>
        </mc:Fallback>
      </mc:AlternateContent>
    </w:r>
  </w:p>
  <w:p w14:paraId="08E2AB6A">
    <w:pPr>
      <w:pStyle w:val="14"/>
      <w:jc w:val="center"/>
      <w:rPr>
        <w:rFonts w:ascii="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DD4C6">
    <w:pPr>
      <w:pStyle w:val="14"/>
      <w:framePr w:wrap="around" w:vAnchor="text" w:hAnchor="margin" w:xAlign="center" w:y="1"/>
      <w:rPr>
        <w:rStyle w:val="24"/>
      </w:rPr>
    </w:pPr>
    <w:r>
      <w:fldChar w:fldCharType="begin"/>
    </w:r>
    <w:r>
      <w:rPr>
        <w:rStyle w:val="24"/>
      </w:rPr>
      <w:instrText xml:space="preserve"> PAGE </w:instrText>
    </w:r>
    <w:r>
      <w:fldChar w:fldCharType="end"/>
    </w:r>
  </w:p>
  <w:p w14:paraId="78EAB4A7">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F68E7">
    <w:pPr>
      <w:pStyle w:val="15"/>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2D82">
    <w:pPr>
      <w:pStyle w:val="10"/>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3C5DE13A"/>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004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dqHs52AAAAAkBAAAPAAAAAAAAAAEAIAAAACIAAABkcnMvZG93bnJldi54bWxQSwEC&#10;FAAUAAAACACHTuJAeuJOH7sBAAB0AwAADgAAAAAAAAABACAAAAAnAQAAZHJzL2Uyb0RvYy54bWxQ&#10;SwUGAAAAAAYABgBZAQAAVAUAAAAA&#10;">
              <v:fill on="f" focussize="0,0"/>
              <v:stroke on="f"/>
              <v:imagedata o:title=""/>
              <o:lock v:ext="edit" aspectratio="f"/>
              <v:textbox inset="0mm,0mm,0mm,0mm">
                <w:txbxContent>
                  <w:p w14:paraId="3C5DE13A"/>
                </w:txbxContent>
              </v:textbox>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492250" cy="160020"/>
                      </a:xfrm>
                      <a:prstGeom prst="rect">
                        <a:avLst/>
                      </a:prstGeom>
                      <a:noFill/>
                      <a:ln>
                        <a:noFill/>
                      </a:ln>
                    </wps:spPr>
                    <wps:txbx>
                      <w:txbxContent>
                        <w:p w14:paraId="509E9D8D"/>
                      </w:txbxContent>
                    </wps:txbx>
                    <wps:bodyPr lIns="0" tIns="0" rIns="0" bIns="0" upright="1"/>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49024;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KrmlA2AAAAAoBAAAPAAAAAAAAAAEAIAAAACIAAABkcnMvZG93bnJldi54bWxQSwEC&#10;FAAUAAAACACHTuJAE0bsMLsBAAB0AwAADgAAAAAAAAABACAAAAAnAQAAZHJzL2Uyb0RvYy54bWxQ&#10;SwUGAAAAAAYABgBZAQAAVAUAAAAA&#10;">
              <v:fill on="f" focussize="0,0"/>
              <v:stroke on="f"/>
              <v:imagedata o:title=""/>
              <o:lock v:ext="edit" aspectratio="f"/>
              <v:textbox inset="0mm,0mm,0mm,0mm">
                <w:txbxContent>
                  <w:p w14:paraId="509E9D8D"/>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95D8F">
    <w:pPr>
      <w:pStyle w:val="10"/>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6CE212FB"/>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48000;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dqHs52AAAAAkBAAAPAAAAAAAAAAEAIAAAACIAAABkcnMvZG93bnJldi54bWxQSwEC&#10;FAAUAAAACACHTuJA/vxF+LsBAAB0AwAADgAAAAAAAAABACAAAAAnAQAAZHJzL2Uyb0RvYy54bWxQ&#10;SwUGAAAAAAYABgBZAQAAVAUAAAAA&#10;">
              <v:fill on="f" focussize="0,0"/>
              <v:stroke on="f"/>
              <v:imagedata o:title=""/>
              <o:lock v:ext="edit" aspectratio="f"/>
              <v:textbox inset="0mm,0mm,0mm,0mm">
                <w:txbxContent>
                  <w:p w14:paraId="6CE212FB"/>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CF011">
    <w:pPr>
      <w:pStyle w:val="10"/>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6E413B35">
                          <w:pPr>
                            <w:rPr>
                              <w:rFonts w:hint="eastAsia"/>
                              <w:lang w:eastAsia="zh-CN"/>
                            </w:rPr>
                          </w:pPr>
                        </w:p>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209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ah7OdgAAAAJAQAADwAAAAAAAAABACAAAAAiAAAAZHJzL2Rvd25yZXYueG1sUEsB&#10;AhQAFAAAAAgAh07iQDPZKQq8AQAAdAMAAA4AAAAAAAAAAQAgAAAAJwEAAGRycy9lMm9Eb2MueG1s&#10;UEsFBgAAAAAGAAYAWQEAAFUFAAAAAA==&#10;">
              <v:fill on="f" focussize="0,0"/>
              <v:stroke on="f"/>
              <v:imagedata o:title=""/>
              <o:lock v:ext="edit" aspectratio="f"/>
              <v:textbox inset="0mm,0mm,0mm,0mm">
                <w:txbxContent>
                  <w:p w14:paraId="6E413B35">
                    <w:pPr>
                      <w:rPr>
                        <w:rFonts w:hint="eastAsia"/>
                        <w:lang w:eastAsia="zh-CN"/>
                      </w:rPr>
                    </w:pP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492250" cy="160020"/>
                      </a:xfrm>
                      <a:prstGeom prst="rect">
                        <a:avLst/>
                      </a:prstGeom>
                      <a:noFill/>
                      <a:ln>
                        <a:noFill/>
                      </a:ln>
                    </wps:spPr>
                    <wps:txbx>
                      <w:txbxContent>
                        <w:p w14:paraId="6352DCC0">
                          <w:pPr>
                            <w:pStyle w:val="10"/>
                            <w:spacing w:line="251" w:lineRule="exact"/>
                            <w:ind w:left="20"/>
                          </w:pPr>
                        </w:p>
                      </w:txbxContent>
                    </wps:txbx>
                    <wps:bodyPr lIns="0" tIns="0" rIns="0" bIns="0" upright="1"/>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1072;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KrmlA2AAAAAoBAAAPAAAAAAAAAAEAIAAAACIAAABkcnMvZG93bnJldi54bWxQSwEC&#10;FAAUAAAACACHTuJApnwQ8LsBAAB0AwAADgAAAAAAAAABACAAAAAnAQAAZHJzL2Uyb0RvYy54bWxQ&#10;SwUGAAAAAAYABgBZAQAAVAUAAAAA&#10;">
              <v:fill on="f" focussize="0,0"/>
              <v:stroke on="f"/>
              <v:imagedata o:title=""/>
              <o:lock v:ext="edit" aspectratio="f"/>
              <v:textbox inset="0mm,0mm,0mm,0mm">
                <w:txbxContent>
                  <w:p w14:paraId="6352DCC0">
                    <w:pPr>
                      <w:pStyle w:val="10"/>
                      <w:spacing w:line="251" w:lineRule="exact"/>
                      <w:ind w:left="20"/>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C5AA9">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68584">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2CFCA">
    <w:pPr>
      <w:pStyle w:val="10"/>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2FD5BB51"/>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4492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dqHs52AAAAAkBAAAPAAAAAAAAAAEAIAAAACIAAABkcnMvZG93bnJldi54bWxQSwEC&#10;FAAUAAAACACHTuJAnzKt/LsBAAB0AwAADgAAAAAAAAABACAAAAAnAQAAZHJzL2Uyb0RvYy54bWxQ&#10;SwUGAAAAAAYABgBZAQAAVAUAAAAA&#10;">
              <v:fill on="f" focussize="0,0"/>
              <v:stroke on="f"/>
              <v:imagedata o:title=""/>
              <o:lock v:ext="edit" aspectratio="f"/>
              <v:textbox inset="0mm,0mm,0mm,0mm">
                <w:txbxContent>
                  <w:p w14:paraId="2FD5BB51"/>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F11BF">
    <w:pPr>
      <w:pStyle w:val="10"/>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a:effectLst/>
                    </wps:spPr>
                    <wps:txbx>
                      <w:txbxContent>
                        <w:p w14:paraId="33B5D5A7">
                          <w:pPr>
                            <w:rPr>
                              <w:rFonts w:hint="eastAsia"/>
                              <w:lang w:eastAsia="zh-CN"/>
                            </w:rPr>
                          </w:pPr>
                        </w:p>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46976;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dqHs52AAAAAkBAAAPAAAAAAAAAAEAIAAAACIAAABkcnMvZG93bnJldi54bWxQ&#10;SwECFAAUAAAACACHTuJAgbVPxL4BAACCAwAADgAAAAAAAAABACAAAAAnAQAAZHJzL2Uyb0RvYy54&#10;bWxQSwUGAAAAAAYABgBZAQAAVwUAAAAA&#10;">
              <v:fill on="f" focussize="0,0"/>
              <v:stroke on="f"/>
              <v:imagedata o:title=""/>
              <o:lock v:ext="edit" aspectratio="f"/>
              <v:textbox inset="0mm,0mm,0mm,0mm">
                <w:txbxContent>
                  <w:p w14:paraId="33B5D5A7">
                    <w:pPr>
                      <w:rPr>
                        <w:rFonts w:hint="eastAsia"/>
                        <w:lang w:eastAsia="zh-CN"/>
                      </w:rPr>
                    </w:pPr>
                  </w:p>
                </w:txbxContent>
              </v:textbox>
            </v:shape>
          </w:pict>
        </mc:Fallback>
      </mc:AlternateContent>
    </w:r>
    <w:r>
      <mc:AlternateContent>
        <mc:Choice Requires="wps">
          <w:drawing>
            <wp:anchor distT="0" distB="0" distL="114300" distR="114300" simplePos="0" relativeHeight="251670528"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492250" cy="160020"/>
                      </a:xfrm>
                      <a:prstGeom prst="rect">
                        <a:avLst/>
                      </a:prstGeom>
                      <a:noFill/>
                      <a:ln>
                        <a:noFill/>
                      </a:ln>
                      <a:effectLst/>
                    </wps:spPr>
                    <wps:txbx>
                      <w:txbxContent>
                        <w:p w14:paraId="44205FB5"/>
                      </w:txbxContent>
                    </wps:txbx>
                    <wps:bodyPr lIns="0" tIns="0" rIns="0" bIns="0" upright="1"/>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45952;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KrmlA2AAAAAoBAAAPAAAAAAAAAAEAIAAAACIAAABkcnMvZG93bnJldi54bWxQ&#10;SwECFAAUAAAACACHTuJAzDwivr4BAACCAwAADgAAAAAAAAABACAAAAAnAQAAZHJzL2Uyb0RvYy54&#10;bWxQSwUGAAAAAAYABgBZAQAAVwUAAAAA&#10;">
              <v:fill on="f" focussize="0,0"/>
              <v:stroke on="f"/>
              <v:imagedata o:title=""/>
              <o:lock v:ext="edit" aspectratio="f"/>
              <v:textbox inset="0mm,0mm,0mm,0mm">
                <w:txbxContent>
                  <w:p w14:paraId="44205FB5"/>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1A02E">
    <w:pPr>
      <w:pStyle w:val="10"/>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492250" cy="160020"/>
                      </a:xfrm>
                      <a:prstGeom prst="rect">
                        <a:avLst/>
                      </a:prstGeom>
                      <a:noFill/>
                      <a:ln>
                        <a:noFill/>
                      </a:ln>
                    </wps:spPr>
                    <wps:txbx>
                      <w:txbxContent>
                        <w:p w14:paraId="3CCCC24E"/>
                      </w:txbxContent>
                    </wps:txbx>
                    <wps:bodyPr lIns="0" tIns="0" rIns="0" bIns="0" upright="1"/>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5168;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KrmlA2AAAAAoBAAAPAAAAAAAAAAEAIAAAACIAAABkcnMvZG93bnJldi54bWxQSwEC&#10;FAAUAAAACACHTuJARib/FrsBAAB0AwAADgAAAAAAAAABACAAAAAnAQAAZHJzL2Uyb0RvYy54bWxQ&#10;SwUGAAAAAAYABgBZAQAAVAUAAAAA&#10;">
              <v:fill on="f" focussize="0,0"/>
              <v:stroke on="f"/>
              <v:imagedata o:title=""/>
              <o:lock v:ext="edit" aspectratio="f"/>
              <v:textbox inset="0mm,0mm,0mm,0mm">
                <w:txbxContent>
                  <w:p w14:paraId="3CCCC24E"/>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5E351">
    <w:pPr>
      <w:pStyle w:val="10"/>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360805" cy="160020"/>
                      </a:xfrm>
                      <a:prstGeom prst="rect">
                        <a:avLst/>
                      </a:prstGeom>
                      <a:noFill/>
                      <a:ln>
                        <a:noFill/>
                      </a:ln>
                    </wps:spPr>
                    <wps:txbx>
                      <w:txbxContent>
                        <w:p w14:paraId="07F119E3">
                          <w:pPr>
                            <w:rPr>
                              <w:rFonts w:hint="eastAsia"/>
                              <w:lang w:eastAsia="zh-CN"/>
                            </w:rPr>
                          </w:pPr>
                        </w:p>
                      </w:txbxContent>
                    </wps:txbx>
                    <wps:bodyPr lIns="0" tIns="0" rIns="0" bIns="0" upright="1"/>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4144;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2oeznYAAAACQEAAA8AAAAAAAAAAQAgAAAAIgAAAGRycy9kb3ducmV2LnhtbFBLAQIU&#10;ABQAAAAIAIdO4kBdrnz1ugEAAHQDAAAOAAAAAAAAAAEAIAAAACcBAABkcnMvZTJvRG9jLnhtbFBL&#10;BQYAAAAABgAGAFkBAABTBQAAAAA=&#10;">
              <v:fill on="f" focussize="0,0"/>
              <v:stroke on="f"/>
              <v:imagedata o:title=""/>
              <o:lock v:ext="edit" aspectratio="f"/>
              <v:textbox inset="0mm,0mm,0mm,0mm">
                <w:txbxContent>
                  <w:p w14:paraId="07F119E3">
                    <w:pPr>
                      <w:rPr>
                        <w:rFonts w:hint="eastAsia"/>
                        <w:lang w:eastAsia="zh-CN"/>
                      </w:rPr>
                    </w:pP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5177155</wp:posOffset>
              </wp:positionH>
              <wp:positionV relativeFrom="page">
                <wp:posOffset>449580</wp:posOffset>
              </wp:positionV>
              <wp:extent cx="1492250" cy="16002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492250" cy="160020"/>
                      </a:xfrm>
                      <a:prstGeom prst="rect">
                        <a:avLst/>
                      </a:prstGeom>
                      <a:noFill/>
                      <a:ln>
                        <a:noFill/>
                      </a:ln>
                    </wps:spPr>
                    <wps:txbx>
                      <w:txbxContent>
                        <w:p w14:paraId="79A99479"/>
                      </w:txbxContent>
                    </wps:txbx>
                    <wps:bodyPr lIns="0" tIns="0" rIns="0" bIns="0" upright="1"/>
                  </wps:wsp>
                </a:graphicData>
              </a:graphic>
            </wp:anchor>
          </w:drawing>
        </mc:Choice>
        <mc:Fallback>
          <w:pict>
            <v:shape id="_x0000_s1026" o:spid="_x0000_s1026" o:spt="202" type="#_x0000_t202" style="position:absolute;left:0pt;margin-left:407.65pt;margin-top:35.4pt;height:12.6pt;width:117.5pt;mso-position-horizontal-relative:page;mso-position-vertical-relative:page;z-index:-251653120;mso-width-relative:page;mso-height-relative:page;" filled="f" stroked="f" coordsize="21600,21600" o:gfxdata="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q5pQNgAAAAKAQAADwAAAAAAAAABACAAAAAiAAAAZHJzL2Rvd25yZXYueG1sUEsB&#10;AhQAFAAAAAgAh07iQM2BSQq8AQAAdAMAAA4AAAAAAAAAAQAgAAAAJwEAAGRycy9lMm9Eb2MueG1s&#10;UEsFBgAAAAAGAAYAWQEAAFUFAAAAAA==&#10;">
              <v:fill on="f" focussize="0,0"/>
              <v:stroke on="f"/>
              <v:imagedata o:title=""/>
              <o:lock v:ext="edit" aspectratio="f"/>
              <v:textbox inset="0mm,0mm,0mm,0mm">
                <w:txbxContent>
                  <w:p w14:paraId="79A99479"/>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20720">
    <w:pPr>
      <w:pStyle w:val="15"/>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183E5">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E1102"/>
    <w:multiLevelType w:val="singleLevel"/>
    <w:tmpl w:val="968E1102"/>
    <w:lvl w:ilvl="0" w:tentative="0">
      <w:start w:val="2"/>
      <w:numFmt w:val="chineseCounting"/>
      <w:suff w:val="nothing"/>
      <w:lvlText w:val="（%1）"/>
      <w:lvlJc w:val="left"/>
      <w:rPr>
        <w:rFonts w:hint="eastAsia"/>
      </w:rPr>
    </w:lvl>
  </w:abstractNum>
  <w:abstractNum w:abstractNumId="1">
    <w:nsid w:val="C00C9C33"/>
    <w:multiLevelType w:val="singleLevel"/>
    <w:tmpl w:val="C00C9C33"/>
    <w:lvl w:ilvl="0" w:tentative="0">
      <w:start w:val="1"/>
      <w:numFmt w:val="chineseCounting"/>
      <w:suff w:val="nothing"/>
      <w:lvlText w:val="%1、"/>
      <w:lvlJc w:val="left"/>
      <w:rPr>
        <w:rFonts w:hint="eastAsia"/>
      </w:rPr>
    </w:lvl>
  </w:abstractNum>
  <w:abstractNum w:abstractNumId="2">
    <w:nsid w:val="10078ABF"/>
    <w:multiLevelType w:val="singleLevel"/>
    <w:tmpl w:val="10078ABF"/>
    <w:lvl w:ilvl="0" w:tentative="0">
      <w:start w:val="4"/>
      <w:numFmt w:val="chineseCounting"/>
      <w:suff w:val="space"/>
      <w:lvlText w:val="第%1部分"/>
      <w:lvlJc w:val="left"/>
      <w:rPr>
        <w:rFonts w:hint="eastAsia"/>
      </w:rPr>
    </w:lvl>
  </w:abstractNum>
  <w:abstractNum w:abstractNumId="3">
    <w:nsid w:val="166B6D96"/>
    <w:multiLevelType w:val="singleLevel"/>
    <w:tmpl w:val="166B6D96"/>
    <w:lvl w:ilvl="0" w:tentative="0">
      <w:start w:val="1"/>
      <w:numFmt w:val="chineseCounting"/>
      <w:suff w:val="nothing"/>
      <w:lvlText w:val="（%1）"/>
      <w:lvlJc w:val="left"/>
      <w:rPr>
        <w:rFonts w:hint="eastAsia"/>
      </w:rPr>
    </w:lvl>
  </w:abstractNum>
  <w:abstractNum w:abstractNumId="4">
    <w:nsid w:val="2E16D48F"/>
    <w:multiLevelType w:val="singleLevel"/>
    <w:tmpl w:val="2E16D48F"/>
    <w:lvl w:ilvl="0" w:tentative="0">
      <w:start w:val="2"/>
      <w:numFmt w:val="decimal"/>
      <w:suff w:val="nothing"/>
      <w:lvlText w:val="（%1）"/>
      <w:lvlJc w:val="left"/>
    </w:lvl>
  </w:abstractNum>
  <w:abstractNum w:abstractNumId="5">
    <w:nsid w:val="3D55D76B"/>
    <w:multiLevelType w:val="singleLevel"/>
    <w:tmpl w:val="3D55D76B"/>
    <w:lvl w:ilvl="0" w:tentative="0">
      <w:start w:val="1"/>
      <w:numFmt w:val="chineseCounting"/>
      <w:suff w:val="space"/>
      <w:lvlText w:val="第%1章"/>
      <w:lvlJc w:val="left"/>
      <w:rPr>
        <w:rFonts w:hint="eastAsia"/>
      </w:rPr>
    </w:lvl>
  </w:abstractNum>
  <w:abstractNum w:abstractNumId="6">
    <w:nsid w:val="68FC6059"/>
    <w:multiLevelType w:val="singleLevel"/>
    <w:tmpl w:val="68FC6059"/>
    <w:lvl w:ilvl="0" w:tentative="0">
      <w:start w:val="5"/>
      <w:numFmt w:val="chineseCounting"/>
      <w:suff w:val="space"/>
      <w:lvlText w:val="%1、"/>
      <w:lvlJc w:val="left"/>
      <w:rPr>
        <w:rFonts w:hint="eastAsia"/>
      </w:rPr>
    </w:lvl>
  </w:abstractNum>
  <w:num w:numId="1">
    <w:abstractNumId w:val="5"/>
  </w:num>
  <w:num w:numId="2">
    <w:abstractNumId w:val="3"/>
  </w:num>
  <w:num w:numId="3">
    <w:abstractNumId w:val="4"/>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00000000"/>
    <w:rsid w:val="00082185"/>
    <w:rsid w:val="00092509"/>
    <w:rsid w:val="000B7DB2"/>
    <w:rsid w:val="001D6501"/>
    <w:rsid w:val="002235CA"/>
    <w:rsid w:val="00265E98"/>
    <w:rsid w:val="00286F66"/>
    <w:rsid w:val="003477E9"/>
    <w:rsid w:val="00460EDD"/>
    <w:rsid w:val="004E773E"/>
    <w:rsid w:val="00584EE4"/>
    <w:rsid w:val="005D6E36"/>
    <w:rsid w:val="00655C7F"/>
    <w:rsid w:val="00906967"/>
    <w:rsid w:val="00A21A66"/>
    <w:rsid w:val="00A81D22"/>
    <w:rsid w:val="00B24BB6"/>
    <w:rsid w:val="00B52D29"/>
    <w:rsid w:val="00B62819"/>
    <w:rsid w:val="00BF186E"/>
    <w:rsid w:val="00C91C98"/>
    <w:rsid w:val="00DA4B91"/>
    <w:rsid w:val="00E02D21"/>
    <w:rsid w:val="00F26BE8"/>
    <w:rsid w:val="00F8365B"/>
    <w:rsid w:val="00FC206D"/>
    <w:rsid w:val="01052BEB"/>
    <w:rsid w:val="010F4EFF"/>
    <w:rsid w:val="01140146"/>
    <w:rsid w:val="013B0DE8"/>
    <w:rsid w:val="015A57AA"/>
    <w:rsid w:val="01657CDA"/>
    <w:rsid w:val="01802C9E"/>
    <w:rsid w:val="0199766D"/>
    <w:rsid w:val="019F0A8C"/>
    <w:rsid w:val="01A72B23"/>
    <w:rsid w:val="01A93FA3"/>
    <w:rsid w:val="01A97D30"/>
    <w:rsid w:val="01AD0BB8"/>
    <w:rsid w:val="01B237A8"/>
    <w:rsid w:val="01BC39A2"/>
    <w:rsid w:val="01C25065"/>
    <w:rsid w:val="01C42B8B"/>
    <w:rsid w:val="01C63438"/>
    <w:rsid w:val="01C7267B"/>
    <w:rsid w:val="01DB7ED5"/>
    <w:rsid w:val="01DE409E"/>
    <w:rsid w:val="01E21263"/>
    <w:rsid w:val="01E65414"/>
    <w:rsid w:val="01F3521E"/>
    <w:rsid w:val="01F65FA9"/>
    <w:rsid w:val="01FF3C6A"/>
    <w:rsid w:val="021A2CC9"/>
    <w:rsid w:val="02277B3E"/>
    <w:rsid w:val="02317AF5"/>
    <w:rsid w:val="02380E83"/>
    <w:rsid w:val="02397C41"/>
    <w:rsid w:val="023A6EAE"/>
    <w:rsid w:val="02476461"/>
    <w:rsid w:val="025018CE"/>
    <w:rsid w:val="0255083C"/>
    <w:rsid w:val="026F56AC"/>
    <w:rsid w:val="027E6E6D"/>
    <w:rsid w:val="027F2F56"/>
    <w:rsid w:val="028429F3"/>
    <w:rsid w:val="02922A98"/>
    <w:rsid w:val="029E2AB3"/>
    <w:rsid w:val="029F4A63"/>
    <w:rsid w:val="02AA5533"/>
    <w:rsid w:val="02BC2F91"/>
    <w:rsid w:val="02C6389C"/>
    <w:rsid w:val="02C80459"/>
    <w:rsid w:val="02DC5CB3"/>
    <w:rsid w:val="0303579F"/>
    <w:rsid w:val="0307783A"/>
    <w:rsid w:val="031D766C"/>
    <w:rsid w:val="03250C7E"/>
    <w:rsid w:val="03314FB5"/>
    <w:rsid w:val="03345B70"/>
    <w:rsid w:val="03411FB9"/>
    <w:rsid w:val="034D4D51"/>
    <w:rsid w:val="03521CBA"/>
    <w:rsid w:val="035531F3"/>
    <w:rsid w:val="03600EDC"/>
    <w:rsid w:val="037264B7"/>
    <w:rsid w:val="0374413D"/>
    <w:rsid w:val="03874574"/>
    <w:rsid w:val="039736D3"/>
    <w:rsid w:val="03AA4CBA"/>
    <w:rsid w:val="03BD3D36"/>
    <w:rsid w:val="041F28ED"/>
    <w:rsid w:val="042E1A95"/>
    <w:rsid w:val="0433526B"/>
    <w:rsid w:val="04390031"/>
    <w:rsid w:val="043D74D7"/>
    <w:rsid w:val="04477832"/>
    <w:rsid w:val="04486DF4"/>
    <w:rsid w:val="0458580D"/>
    <w:rsid w:val="045905E0"/>
    <w:rsid w:val="045F4DED"/>
    <w:rsid w:val="04781A0B"/>
    <w:rsid w:val="047F723D"/>
    <w:rsid w:val="04854128"/>
    <w:rsid w:val="048C5A1D"/>
    <w:rsid w:val="049031F8"/>
    <w:rsid w:val="04A077F1"/>
    <w:rsid w:val="04AB0032"/>
    <w:rsid w:val="04AC145E"/>
    <w:rsid w:val="04B36EE7"/>
    <w:rsid w:val="04BC2297"/>
    <w:rsid w:val="04C66C1A"/>
    <w:rsid w:val="04CF2673"/>
    <w:rsid w:val="04D94D69"/>
    <w:rsid w:val="04DC0AA0"/>
    <w:rsid w:val="04DC34A1"/>
    <w:rsid w:val="04E34662"/>
    <w:rsid w:val="04E62E18"/>
    <w:rsid w:val="04EB5A6E"/>
    <w:rsid w:val="04F16EF3"/>
    <w:rsid w:val="05151950"/>
    <w:rsid w:val="051D19FB"/>
    <w:rsid w:val="05346DD3"/>
    <w:rsid w:val="0544018A"/>
    <w:rsid w:val="05634C69"/>
    <w:rsid w:val="05691B27"/>
    <w:rsid w:val="05757C03"/>
    <w:rsid w:val="05A351AD"/>
    <w:rsid w:val="05A502AD"/>
    <w:rsid w:val="05A50F26"/>
    <w:rsid w:val="05B23DFE"/>
    <w:rsid w:val="05B57C30"/>
    <w:rsid w:val="05B90175"/>
    <w:rsid w:val="05BB1A9E"/>
    <w:rsid w:val="05BD4F8F"/>
    <w:rsid w:val="05C1471D"/>
    <w:rsid w:val="05DA380E"/>
    <w:rsid w:val="05E00652"/>
    <w:rsid w:val="05F20275"/>
    <w:rsid w:val="05F6195E"/>
    <w:rsid w:val="05FB58E4"/>
    <w:rsid w:val="06060AA7"/>
    <w:rsid w:val="061906A3"/>
    <w:rsid w:val="061A14F7"/>
    <w:rsid w:val="062260D2"/>
    <w:rsid w:val="063539E9"/>
    <w:rsid w:val="063B7B7F"/>
    <w:rsid w:val="063D115E"/>
    <w:rsid w:val="064A2E72"/>
    <w:rsid w:val="06546E1C"/>
    <w:rsid w:val="065564A8"/>
    <w:rsid w:val="06595D01"/>
    <w:rsid w:val="066E57BB"/>
    <w:rsid w:val="06707752"/>
    <w:rsid w:val="06707908"/>
    <w:rsid w:val="06735AF3"/>
    <w:rsid w:val="06764670"/>
    <w:rsid w:val="06774D69"/>
    <w:rsid w:val="068A6A28"/>
    <w:rsid w:val="068D6BD2"/>
    <w:rsid w:val="06A64F55"/>
    <w:rsid w:val="06B01054"/>
    <w:rsid w:val="06B225CD"/>
    <w:rsid w:val="06B56F46"/>
    <w:rsid w:val="06B66DD1"/>
    <w:rsid w:val="06CC603E"/>
    <w:rsid w:val="06E174A3"/>
    <w:rsid w:val="06F35C7C"/>
    <w:rsid w:val="06F8666A"/>
    <w:rsid w:val="0701092B"/>
    <w:rsid w:val="070C0865"/>
    <w:rsid w:val="071271C7"/>
    <w:rsid w:val="07267E44"/>
    <w:rsid w:val="07354E8A"/>
    <w:rsid w:val="073B2573"/>
    <w:rsid w:val="073D5C7F"/>
    <w:rsid w:val="073E6F3C"/>
    <w:rsid w:val="07401BC0"/>
    <w:rsid w:val="07585B24"/>
    <w:rsid w:val="075A0111"/>
    <w:rsid w:val="076512BF"/>
    <w:rsid w:val="076B041E"/>
    <w:rsid w:val="077237F0"/>
    <w:rsid w:val="07726BE5"/>
    <w:rsid w:val="077946F5"/>
    <w:rsid w:val="07964D17"/>
    <w:rsid w:val="07967E0E"/>
    <w:rsid w:val="079923C4"/>
    <w:rsid w:val="07B13BB2"/>
    <w:rsid w:val="07B6484E"/>
    <w:rsid w:val="07BB5CE1"/>
    <w:rsid w:val="07C63AEF"/>
    <w:rsid w:val="07C92C47"/>
    <w:rsid w:val="07D36C9F"/>
    <w:rsid w:val="07F12200"/>
    <w:rsid w:val="07F95559"/>
    <w:rsid w:val="07FC7C73"/>
    <w:rsid w:val="08057A5A"/>
    <w:rsid w:val="08122176"/>
    <w:rsid w:val="082750D8"/>
    <w:rsid w:val="083802A9"/>
    <w:rsid w:val="083E11BD"/>
    <w:rsid w:val="083E7A3A"/>
    <w:rsid w:val="0840356C"/>
    <w:rsid w:val="08465CCC"/>
    <w:rsid w:val="085414A0"/>
    <w:rsid w:val="085D27D6"/>
    <w:rsid w:val="08607386"/>
    <w:rsid w:val="086A3D60"/>
    <w:rsid w:val="08761107"/>
    <w:rsid w:val="08823A87"/>
    <w:rsid w:val="089F76E9"/>
    <w:rsid w:val="08A220F9"/>
    <w:rsid w:val="08A917A9"/>
    <w:rsid w:val="08AE6343"/>
    <w:rsid w:val="08B65A87"/>
    <w:rsid w:val="08B87054"/>
    <w:rsid w:val="08BA0970"/>
    <w:rsid w:val="08D2262C"/>
    <w:rsid w:val="08DF64FD"/>
    <w:rsid w:val="08E75201"/>
    <w:rsid w:val="08F0070A"/>
    <w:rsid w:val="08FD4BD5"/>
    <w:rsid w:val="08FF201E"/>
    <w:rsid w:val="090709EE"/>
    <w:rsid w:val="09072556"/>
    <w:rsid w:val="09160835"/>
    <w:rsid w:val="091627B4"/>
    <w:rsid w:val="09175C96"/>
    <w:rsid w:val="096168DE"/>
    <w:rsid w:val="09664528"/>
    <w:rsid w:val="09A06F3D"/>
    <w:rsid w:val="09AC3B21"/>
    <w:rsid w:val="09B31CB9"/>
    <w:rsid w:val="09DE5F99"/>
    <w:rsid w:val="09E0585C"/>
    <w:rsid w:val="09E71B0D"/>
    <w:rsid w:val="09EC23D5"/>
    <w:rsid w:val="09EC6100"/>
    <w:rsid w:val="09F47D86"/>
    <w:rsid w:val="0A133CD2"/>
    <w:rsid w:val="0A1A760F"/>
    <w:rsid w:val="0A2A37A7"/>
    <w:rsid w:val="0A3F06D3"/>
    <w:rsid w:val="0A436837"/>
    <w:rsid w:val="0A48619C"/>
    <w:rsid w:val="0A540824"/>
    <w:rsid w:val="0A5627EE"/>
    <w:rsid w:val="0A690FE3"/>
    <w:rsid w:val="0A6F38B0"/>
    <w:rsid w:val="0A7333A0"/>
    <w:rsid w:val="0AA34D2A"/>
    <w:rsid w:val="0AAA44D8"/>
    <w:rsid w:val="0AAC78F4"/>
    <w:rsid w:val="0AB5060E"/>
    <w:rsid w:val="0AC63129"/>
    <w:rsid w:val="0AD7590D"/>
    <w:rsid w:val="0AE147AE"/>
    <w:rsid w:val="0AE4173B"/>
    <w:rsid w:val="0AE41BA8"/>
    <w:rsid w:val="0AEC344C"/>
    <w:rsid w:val="0B006B17"/>
    <w:rsid w:val="0B0E0664"/>
    <w:rsid w:val="0B0F299D"/>
    <w:rsid w:val="0B387E5F"/>
    <w:rsid w:val="0B397676"/>
    <w:rsid w:val="0B40739E"/>
    <w:rsid w:val="0B460A68"/>
    <w:rsid w:val="0B482EAB"/>
    <w:rsid w:val="0B4B7B71"/>
    <w:rsid w:val="0B4C37E4"/>
    <w:rsid w:val="0B561090"/>
    <w:rsid w:val="0B5A084B"/>
    <w:rsid w:val="0B5F3925"/>
    <w:rsid w:val="0B64718D"/>
    <w:rsid w:val="0B667E81"/>
    <w:rsid w:val="0B721DFD"/>
    <w:rsid w:val="0B73741B"/>
    <w:rsid w:val="0B7476CC"/>
    <w:rsid w:val="0B7D4C0D"/>
    <w:rsid w:val="0B84338B"/>
    <w:rsid w:val="0B851AE6"/>
    <w:rsid w:val="0B971310"/>
    <w:rsid w:val="0B996E37"/>
    <w:rsid w:val="0BAB2C6B"/>
    <w:rsid w:val="0BB01070"/>
    <w:rsid w:val="0BB11ECA"/>
    <w:rsid w:val="0BBB2B6B"/>
    <w:rsid w:val="0BC76569"/>
    <w:rsid w:val="0BD6109F"/>
    <w:rsid w:val="0BFA003D"/>
    <w:rsid w:val="0C142961"/>
    <w:rsid w:val="0C1E0271"/>
    <w:rsid w:val="0C1E5797"/>
    <w:rsid w:val="0C2E444A"/>
    <w:rsid w:val="0C392E6B"/>
    <w:rsid w:val="0C646F22"/>
    <w:rsid w:val="0C6A5728"/>
    <w:rsid w:val="0C733E10"/>
    <w:rsid w:val="0C990DB5"/>
    <w:rsid w:val="0C9A3825"/>
    <w:rsid w:val="0CA43CE5"/>
    <w:rsid w:val="0CAE6912"/>
    <w:rsid w:val="0CB16402"/>
    <w:rsid w:val="0CB97065"/>
    <w:rsid w:val="0CC25F19"/>
    <w:rsid w:val="0CC31C91"/>
    <w:rsid w:val="0CC53C5B"/>
    <w:rsid w:val="0CD01864"/>
    <w:rsid w:val="0CD520F0"/>
    <w:rsid w:val="0CDB522D"/>
    <w:rsid w:val="0CE42333"/>
    <w:rsid w:val="0CE560AB"/>
    <w:rsid w:val="0CF462EF"/>
    <w:rsid w:val="0CFF587E"/>
    <w:rsid w:val="0D0E7AC3"/>
    <w:rsid w:val="0D115134"/>
    <w:rsid w:val="0D19439F"/>
    <w:rsid w:val="0D197199"/>
    <w:rsid w:val="0D1F15BD"/>
    <w:rsid w:val="0D200E92"/>
    <w:rsid w:val="0D29243C"/>
    <w:rsid w:val="0D3A1F53"/>
    <w:rsid w:val="0D5509C8"/>
    <w:rsid w:val="0D646FD0"/>
    <w:rsid w:val="0D742730"/>
    <w:rsid w:val="0D8038E0"/>
    <w:rsid w:val="0D957835"/>
    <w:rsid w:val="0D993335"/>
    <w:rsid w:val="0DA1474E"/>
    <w:rsid w:val="0DB80411"/>
    <w:rsid w:val="0DC702B4"/>
    <w:rsid w:val="0DD164B1"/>
    <w:rsid w:val="0DD664A8"/>
    <w:rsid w:val="0DDB6EB4"/>
    <w:rsid w:val="0DDD3F20"/>
    <w:rsid w:val="0DDE0C5B"/>
    <w:rsid w:val="0DE105E0"/>
    <w:rsid w:val="0DEA1BCB"/>
    <w:rsid w:val="0DED346A"/>
    <w:rsid w:val="0DEE649A"/>
    <w:rsid w:val="0DEF5BD8"/>
    <w:rsid w:val="0DFA5954"/>
    <w:rsid w:val="0DFC07C5"/>
    <w:rsid w:val="0DFE11D3"/>
    <w:rsid w:val="0E056A05"/>
    <w:rsid w:val="0E1B6F89"/>
    <w:rsid w:val="0E2622F8"/>
    <w:rsid w:val="0E3A76D7"/>
    <w:rsid w:val="0E461AE8"/>
    <w:rsid w:val="0E4B0190"/>
    <w:rsid w:val="0E555731"/>
    <w:rsid w:val="0E5700C1"/>
    <w:rsid w:val="0E6360AE"/>
    <w:rsid w:val="0E682AF0"/>
    <w:rsid w:val="0E6B438E"/>
    <w:rsid w:val="0E7C2FAE"/>
    <w:rsid w:val="0E975183"/>
    <w:rsid w:val="0EA87BA9"/>
    <w:rsid w:val="0EAB73B7"/>
    <w:rsid w:val="0EC06C77"/>
    <w:rsid w:val="0ECF1BBF"/>
    <w:rsid w:val="0EDB32C2"/>
    <w:rsid w:val="0EE934BB"/>
    <w:rsid w:val="0EF8535A"/>
    <w:rsid w:val="0F022F45"/>
    <w:rsid w:val="0F056591"/>
    <w:rsid w:val="0F1756DE"/>
    <w:rsid w:val="0F182B40"/>
    <w:rsid w:val="0F246858"/>
    <w:rsid w:val="0F3330FE"/>
    <w:rsid w:val="0F340C24"/>
    <w:rsid w:val="0F360E40"/>
    <w:rsid w:val="0F476BAA"/>
    <w:rsid w:val="0F5B3692"/>
    <w:rsid w:val="0F683902"/>
    <w:rsid w:val="0F7202A9"/>
    <w:rsid w:val="0F7A3F46"/>
    <w:rsid w:val="0F873B4A"/>
    <w:rsid w:val="0F8A773F"/>
    <w:rsid w:val="0FA26AF6"/>
    <w:rsid w:val="0FA44814"/>
    <w:rsid w:val="0FA65982"/>
    <w:rsid w:val="0FB002FE"/>
    <w:rsid w:val="0FBE77CA"/>
    <w:rsid w:val="0FC14EC7"/>
    <w:rsid w:val="0FCD238F"/>
    <w:rsid w:val="0FD32213"/>
    <w:rsid w:val="0FD665BD"/>
    <w:rsid w:val="0FD947AA"/>
    <w:rsid w:val="0FDA7A1E"/>
    <w:rsid w:val="0FDE750E"/>
    <w:rsid w:val="0FF40AC1"/>
    <w:rsid w:val="100B407B"/>
    <w:rsid w:val="10130B2C"/>
    <w:rsid w:val="101744CC"/>
    <w:rsid w:val="101918CB"/>
    <w:rsid w:val="10196798"/>
    <w:rsid w:val="101A42BE"/>
    <w:rsid w:val="101F063D"/>
    <w:rsid w:val="1033518C"/>
    <w:rsid w:val="103B1BF6"/>
    <w:rsid w:val="104322BF"/>
    <w:rsid w:val="10452AC2"/>
    <w:rsid w:val="104C66F9"/>
    <w:rsid w:val="10651960"/>
    <w:rsid w:val="10675755"/>
    <w:rsid w:val="106D43EE"/>
    <w:rsid w:val="10725EA8"/>
    <w:rsid w:val="10832CF8"/>
    <w:rsid w:val="10A057E3"/>
    <w:rsid w:val="10A63015"/>
    <w:rsid w:val="10B14C22"/>
    <w:rsid w:val="10C304B2"/>
    <w:rsid w:val="10C97BB0"/>
    <w:rsid w:val="10ED61CF"/>
    <w:rsid w:val="10F350A1"/>
    <w:rsid w:val="10F867B5"/>
    <w:rsid w:val="11041F12"/>
    <w:rsid w:val="110E0877"/>
    <w:rsid w:val="113349F9"/>
    <w:rsid w:val="1134315E"/>
    <w:rsid w:val="114535BD"/>
    <w:rsid w:val="11567578"/>
    <w:rsid w:val="11712F94"/>
    <w:rsid w:val="117973F2"/>
    <w:rsid w:val="11844488"/>
    <w:rsid w:val="118F2EA3"/>
    <w:rsid w:val="11AD363C"/>
    <w:rsid w:val="11B438D4"/>
    <w:rsid w:val="11C42512"/>
    <w:rsid w:val="11C664AC"/>
    <w:rsid w:val="11CF5C40"/>
    <w:rsid w:val="11D17C89"/>
    <w:rsid w:val="11D24983"/>
    <w:rsid w:val="11E60D6E"/>
    <w:rsid w:val="11F34CE7"/>
    <w:rsid w:val="11F744EE"/>
    <w:rsid w:val="120668A8"/>
    <w:rsid w:val="120951C1"/>
    <w:rsid w:val="122961D3"/>
    <w:rsid w:val="122B3CDA"/>
    <w:rsid w:val="123A016F"/>
    <w:rsid w:val="12425DA3"/>
    <w:rsid w:val="124318AA"/>
    <w:rsid w:val="124473D0"/>
    <w:rsid w:val="124D7FD1"/>
    <w:rsid w:val="125406D3"/>
    <w:rsid w:val="12564F25"/>
    <w:rsid w:val="126179CF"/>
    <w:rsid w:val="12704669"/>
    <w:rsid w:val="12746430"/>
    <w:rsid w:val="12942106"/>
    <w:rsid w:val="12973749"/>
    <w:rsid w:val="129F0AAB"/>
    <w:rsid w:val="12A21CDF"/>
    <w:rsid w:val="12A51D70"/>
    <w:rsid w:val="12A7253B"/>
    <w:rsid w:val="12A90848"/>
    <w:rsid w:val="12B44556"/>
    <w:rsid w:val="12B46304"/>
    <w:rsid w:val="12D47D70"/>
    <w:rsid w:val="12E319F0"/>
    <w:rsid w:val="12E45CE5"/>
    <w:rsid w:val="12E6610F"/>
    <w:rsid w:val="12F947F6"/>
    <w:rsid w:val="1306003F"/>
    <w:rsid w:val="131814E4"/>
    <w:rsid w:val="131D2882"/>
    <w:rsid w:val="13261EFA"/>
    <w:rsid w:val="132F4B0D"/>
    <w:rsid w:val="13370CE3"/>
    <w:rsid w:val="133B07D3"/>
    <w:rsid w:val="133B47E7"/>
    <w:rsid w:val="133C2C8E"/>
    <w:rsid w:val="1343350F"/>
    <w:rsid w:val="13586E4A"/>
    <w:rsid w:val="13637D2A"/>
    <w:rsid w:val="13665051"/>
    <w:rsid w:val="13782D35"/>
    <w:rsid w:val="138A5483"/>
    <w:rsid w:val="13A04ADA"/>
    <w:rsid w:val="13A41DB9"/>
    <w:rsid w:val="13A50343"/>
    <w:rsid w:val="13A8055F"/>
    <w:rsid w:val="13A947E6"/>
    <w:rsid w:val="13B127AE"/>
    <w:rsid w:val="13DC21E9"/>
    <w:rsid w:val="13E636CA"/>
    <w:rsid w:val="13EE4B21"/>
    <w:rsid w:val="13F55502"/>
    <w:rsid w:val="13F56BD4"/>
    <w:rsid w:val="13FB5FCE"/>
    <w:rsid w:val="14013E3D"/>
    <w:rsid w:val="1403612A"/>
    <w:rsid w:val="141310A4"/>
    <w:rsid w:val="142859F2"/>
    <w:rsid w:val="14302302"/>
    <w:rsid w:val="1455586C"/>
    <w:rsid w:val="146143A3"/>
    <w:rsid w:val="148D3668"/>
    <w:rsid w:val="149B4E68"/>
    <w:rsid w:val="149D24D2"/>
    <w:rsid w:val="14EB3016"/>
    <w:rsid w:val="150177FB"/>
    <w:rsid w:val="150D43F1"/>
    <w:rsid w:val="15101EBC"/>
    <w:rsid w:val="1516245E"/>
    <w:rsid w:val="151B1DC7"/>
    <w:rsid w:val="15214850"/>
    <w:rsid w:val="152F63E2"/>
    <w:rsid w:val="153876C0"/>
    <w:rsid w:val="15455939"/>
    <w:rsid w:val="155E2E9F"/>
    <w:rsid w:val="156E3637"/>
    <w:rsid w:val="15791F29"/>
    <w:rsid w:val="157B6A9C"/>
    <w:rsid w:val="157E709D"/>
    <w:rsid w:val="15806971"/>
    <w:rsid w:val="158E72E0"/>
    <w:rsid w:val="15915022"/>
    <w:rsid w:val="15995C85"/>
    <w:rsid w:val="15A20FDE"/>
    <w:rsid w:val="15A21D2D"/>
    <w:rsid w:val="15C22611"/>
    <w:rsid w:val="15C70A44"/>
    <w:rsid w:val="15D44723"/>
    <w:rsid w:val="15D53161"/>
    <w:rsid w:val="15DB4978"/>
    <w:rsid w:val="15E960C6"/>
    <w:rsid w:val="15FD7867"/>
    <w:rsid w:val="16090798"/>
    <w:rsid w:val="160D6A7E"/>
    <w:rsid w:val="160E4620"/>
    <w:rsid w:val="1626576B"/>
    <w:rsid w:val="162B6996"/>
    <w:rsid w:val="162C7FB8"/>
    <w:rsid w:val="163C1C7F"/>
    <w:rsid w:val="164976AB"/>
    <w:rsid w:val="164D0F49"/>
    <w:rsid w:val="164F5113"/>
    <w:rsid w:val="165703C5"/>
    <w:rsid w:val="165E67CE"/>
    <w:rsid w:val="16663DB9"/>
    <w:rsid w:val="16667696"/>
    <w:rsid w:val="16747C94"/>
    <w:rsid w:val="167E55A7"/>
    <w:rsid w:val="168D7D9B"/>
    <w:rsid w:val="16B07251"/>
    <w:rsid w:val="16B70AB9"/>
    <w:rsid w:val="16BB694C"/>
    <w:rsid w:val="16C84A74"/>
    <w:rsid w:val="16CB3B19"/>
    <w:rsid w:val="16DA0303"/>
    <w:rsid w:val="16DB6903"/>
    <w:rsid w:val="16E573D4"/>
    <w:rsid w:val="16E96798"/>
    <w:rsid w:val="1700420E"/>
    <w:rsid w:val="170E3E60"/>
    <w:rsid w:val="17107A6F"/>
    <w:rsid w:val="173018D4"/>
    <w:rsid w:val="173D75F4"/>
    <w:rsid w:val="17407CA5"/>
    <w:rsid w:val="174722BD"/>
    <w:rsid w:val="17475592"/>
    <w:rsid w:val="17526B24"/>
    <w:rsid w:val="176906DA"/>
    <w:rsid w:val="178D3846"/>
    <w:rsid w:val="17B96D57"/>
    <w:rsid w:val="17BC521D"/>
    <w:rsid w:val="17BF5E29"/>
    <w:rsid w:val="17C40390"/>
    <w:rsid w:val="17D529A7"/>
    <w:rsid w:val="17F36543"/>
    <w:rsid w:val="17F6116D"/>
    <w:rsid w:val="18175F69"/>
    <w:rsid w:val="183879D7"/>
    <w:rsid w:val="1839691D"/>
    <w:rsid w:val="183D3240"/>
    <w:rsid w:val="183F0D66"/>
    <w:rsid w:val="184867AE"/>
    <w:rsid w:val="18491BE4"/>
    <w:rsid w:val="18615A30"/>
    <w:rsid w:val="1869476C"/>
    <w:rsid w:val="186B1B5B"/>
    <w:rsid w:val="187F70FF"/>
    <w:rsid w:val="18803922"/>
    <w:rsid w:val="188067E8"/>
    <w:rsid w:val="1881312C"/>
    <w:rsid w:val="18876000"/>
    <w:rsid w:val="188B535B"/>
    <w:rsid w:val="188D7D23"/>
    <w:rsid w:val="188E5849"/>
    <w:rsid w:val="18A1557C"/>
    <w:rsid w:val="18A75CFC"/>
    <w:rsid w:val="18AD0A0F"/>
    <w:rsid w:val="18AF6F04"/>
    <w:rsid w:val="18C75010"/>
    <w:rsid w:val="18DA283C"/>
    <w:rsid w:val="18DB660E"/>
    <w:rsid w:val="18ED431E"/>
    <w:rsid w:val="18FD7E22"/>
    <w:rsid w:val="190F7A28"/>
    <w:rsid w:val="192A63E1"/>
    <w:rsid w:val="192D0BBE"/>
    <w:rsid w:val="195025C6"/>
    <w:rsid w:val="19643CB5"/>
    <w:rsid w:val="196640D0"/>
    <w:rsid w:val="196B2ACF"/>
    <w:rsid w:val="196C71BF"/>
    <w:rsid w:val="197902A7"/>
    <w:rsid w:val="19810F0A"/>
    <w:rsid w:val="19856C4C"/>
    <w:rsid w:val="199436A0"/>
    <w:rsid w:val="19AB6542"/>
    <w:rsid w:val="19D35A3A"/>
    <w:rsid w:val="19D40979"/>
    <w:rsid w:val="19D674A8"/>
    <w:rsid w:val="19DD0836"/>
    <w:rsid w:val="19E241C1"/>
    <w:rsid w:val="19E27BFB"/>
    <w:rsid w:val="19E65789"/>
    <w:rsid w:val="19EE2A43"/>
    <w:rsid w:val="19F37AC0"/>
    <w:rsid w:val="19F90A68"/>
    <w:rsid w:val="1A0933D9"/>
    <w:rsid w:val="1A162D24"/>
    <w:rsid w:val="1A174BE2"/>
    <w:rsid w:val="1A2778AC"/>
    <w:rsid w:val="1A3266E5"/>
    <w:rsid w:val="1A457830"/>
    <w:rsid w:val="1A473F02"/>
    <w:rsid w:val="1A5D02EB"/>
    <w:rsid w:val="1A5F2FF9"/>
    <w:rsid w:val="1A6E76E0"/>
    <w:rsid w:val="1A7740EA"/>
    <w:rsid w:val="1A7D5B75"/>
    <w:rsid w:val="1A7F18ED"/>
    <w:rsid w:val="1A963400"/>
    <w:rsid w:val="1A9D2F62"/>
    <w:rsid w:val="1AAA49AC"/>
    <w:rsid w:val="1AE84512"/>
    <w:rsid w:val="1AE87581"/>
    <w:rsid w:val="1AFF2903"/>
    <w:rsid w:val="1B135931"/>
    <w:rsid w:val="1B1805B2"/>
    <w:rsid w:val="1B1E5751"/>
    <w:rsid w:val="1B25202A"/>
    <w:rsid w:val="1B2A59D4"/>
    <w:rsid w:val="1B3741AC"/>
    <w:rsid w:val="1B401D7A"/>
    <w:rsid w:val="1B425BD7"/>
    <w:rsid w:val="1B462E07"/>
    <w:rsid w:val="1B556F15"/>
    <w:rsid w:val="1B62397B"/>
    <w:rsid w:val="1B6D5BEA"/>
    <w:rsid w:val="1B707488"/>
    <w:rsid w:val="1B7538EE"/>
    <w:rsid w:val="1BA333BA"/>
    <w:rsid w:val="1BA84E74"/>
    <w:rsid w:val="1BE3448B"/>
    <w:rsid w:val="1BF34341"/>
    <w:rsid w:val="1C0F0A4F"/>
    <w:rsid w:val="1C255AA5"/>
    <w:rsid w:val="1C333A07"/>
    <w:rsid w:val="1C3E5C55"/>
    <w:rsid w:val="1C58705C"/>
    <w:rsid w:val="1C8A3CC9"/>
    <w:rsid w:val="1C8B50F3"/>
    <w:rsid w:val="1C8C20A0"/>
    <w:rsid w:val="1C9172AC"/>
    <w:rsid w:val="1C940F54"/>
    <w:rsid w:val="1C981374"/>
    <w:rsid w:val="1C9A47BD"/>
    <w:rsid w:val="1CAA6909"/>
    <w:rsid w:val="1CBC0BD7"/>
    <w:rsid w:val="1CBC49E7"/>
    <w:rsid w:val="1CBD04AB"/>
    <w:rsid w:val="1CBD34DD"/>
    <w:rsid w:val="1CBF36E0"/>
    <w:rsid w:val="1CC45CDD"/>
    <w:rsid w:val="1CD35ABE"/>
    <w:rsid w:val="1CD50AFC"/>
    <w:rsid w:val="1CDD0B4D"/>
    <w:rsid w:val="1CF245F9"/>
    <w:rsid w:val="1CF827B6"/>
    <w:rsid w:val="1D0D3A6E"/>
    <w:rsid w:val="1D2A34AD"/>
    <w:rsid w:val="1D3616DE"/>
    <w:rsid w:val="1D3A341D"/>
    <w:rsid w:val="1D615880"/>
    <w:rsid w:val="1D65063C"/>
    <w:rsid w:val="1D7A639C"/>
    <w:rsid w:val="1D7D6213"/>
    <w:rsid w:val="1D807D15"/>
    <w:rsid w:val="1D940A38"/>
    <w:rsid w:val="1DB251AA"/>
    <w:rsid w:val="1DB30D23"/>
    <w:rsid w:val="1DB414DB"/>
    <w:rsid w:val="1DBF2E37"/>
    <w:rsid w:val="1DC35F95"/>
    <w:rsid w:val="1DCC0440"/>
    <w:rsid w:val="1DD005F3"/>
    <w:rsid w:val="1DF32F8C"/>
    <w:rsid w:val="1E0D29FC"/>
    <w:rsid w:val="1E1B7B7F"/>
    <w:rsid w:val="1E54775C"/>
    <w:rsid w:val="1E5B152D"/>
    <w:rsid w:val="1E687019"/>
    <w:rsid w:val="1E6A3B55"/>
    <w:rsid w:val="1E754291"/>
    <w:rsid w:val="1E7558D1"/>
    <w:rsid w:val="1E7D6144"/>
    <w:rsid w:val="1E913EE8"/>
    <w:rsid w:val="1E9B67FD"/>
    <w:rsid w:val="1EB0458E"/>
    <w:rsid w:val="1EB31B66"/>
    <w:rsid w:val="1EB53B30"/>
    <w:rsid w:val="1EC41FC5"/>
    <w:rsid w:val="1EDD6794"/>
    <w:rsid w:val="1EE52434"/>
    <w:rsid w:val="1EE52A42"/>
    <w:rsid w:val="1EE95587"/>
    <w:rsid w:val="1EF55C53"/>
    <w:rsid w:val="1F0942B3"/>
    <w:rsid w:val="1F0960BD"/>
    <w:rsid w:val="1F0C4279"/>
    <w:rsid w:val="1F0F3C1E"/>
    <w:rsid w:val="1F1545CE"/>
    <w:rsid w:val="1F221709"/>
    <w:rsid w:val="1F242A63"/>
    <w:rsid w:val="1F35015D"/>
    <w:rsid w:val="1F43738D"/>
    <w:rsid w:val="1F51312D"/>
    <w:rsid w:val="1F5B4119"/>
    <w:rsid w:val="1F5C044F"/>
    <w:rsid w:val="1F602B3B"/>
    <w:rsid w:val="1F616A4A"/>
    <w:rsid w:val="1F775289"/>
    <w:rsid w:val="1F8751BA"/>
    <w:rsid w:val="1F934DDE"/>
    <w:rsid w:val="1FA21DE0"/>
    <w:rsid w:val="1FAA11BB"/>
    <w:rsid w:val="1FB262C1"/>
    <w:rsid w:val="1FBE0C9C"/>
    <w:rsid w:val="1FC5594A"/>
    <w:rsid w:val="1FC5779C"/>
    <w:rsid w:val="1FDF6D29"/>
    <w:rsid w:val="1FE86AA5"/>
    <w:rsid w:val="201204B5"/>
    <w:rsid w:val="2022125E"/>
    <w:rsid w:val="20250841"/>
    <w:rsid w:val="20295BFF"/>
    <w:rsid w:val="204204F5"/>
    <w:rsid w:val="20453D48"/>
    <w:rsid w:val="20476D9D"/>
    <w:rsid w:val="204E3AFA"/>
    <w:rsid w:val="20582A63"/>
    <w:rsid w:val="20597EB3"/>
    <w:rsid w:val="208A4B48"/>
    <w:rsid w:val="208A63D5"/>
    <w:rsid w:val="208D377B"/>
    <w:rsid w:val="209B0B03"/>
    <w:rsid w:val="20A268F0"/>
    <w:rsid w:val="20BA367F"/>
    <w:rsid w:val="20BE2B36"/>
    <w:rsid w:val="20C66F34"/>
    <w:rsid w:val="20D40166"/>
    <w:rsid w:val="20D93EFA"/>
    <w:rsid w:val="20F052F3"/>
    <w:rsid w:val="21027314"/>
    <w:rsid w:val="21042B4C"/>
    <w:rsid w:val="210743EB"/>
    <w:rsid w:val="211803A6"/>
    <w:rsid w:val="21191CC6"/>
    <w:rsid w:val="2120368E"/>
    <w:rsid w:val="21260D15"/>
    <w:rsid w:val="212B5596"/>
    <w:rsid w:val="213827F6"/>
    <w:rsid w:val="2152200F"/>
    <w:rsid w:val="215A6C10"/>
    <w:rsid w:val="216A16BA"/>
    <w:rsid w:val="216D06F2"/>
    <w:rsid w:val="216D47FE"/>
    <w:rsid w:val="2178448A"/>
    <w:rsid w:val="218625F5"/>
    <w:rsid w:val="218847E3"/>
    <w:rsid w:val="218872DA"/>
    <w:rsid w:val="218A3047"/>
    <w:rsid w:val="218C5659"/>
    <w:rsid w:val="21A729A7"/>
    <w:rsid w:val="21AC2EBA"/>
    <w:rsid w:val="21B67509"/>
    <w:rsid w:val="21D544E9"/>
    <w:rsid w:val="21D569EF"/>
    <w:rsid w:val="21E00BD6"/>
    <w:rsid w:val="21E94084"/>
    <w:rsid w:val="21EB5ABA"/>
    <w:rsid w:val="21F032CF"/>
    <w:rsid w:val="21F20677"/>
    <w:rsid w:val="220C594D"/>
    <w:rsid w:val="222521E6"/>
    <w:rsid w:val="222F0AD7"/>
    <w:rsid w:val="22353CCB"/>
    <w:rsid w:val="224F0636"/>
    <w:rsid w:val="2250591D"/>
    <w:rsid w:val="225278E7"/>
    <w:rsid w:val="225673D8"/>
    <w:rsid w:val="22854F87"/>
    <w:rsid w:val="228850B7"/>
    <w:rsid w:val="228928AA"/>
    <w:rsid w:val="22A136A4"/>
    <w:rsid w:val="22A2109D"/>
    <w:rsid w:val="22A46395"/>
    <w:rsid w:val="22AD02C3"/>
    <w:rsid w:val="22AD2D70"/>
    <w:rsid w:val="22AD4C06"/>
    <w:rsid w:val="22BF54A3"/>
    <w:rsid w:val="22C629FC"/>
    <w:rsid w:val="22CD4172"/>
    <w:rsid w:val="22D622C7"/>
    <w:rsid w:val="22D629CA"/>
    <w:rsid w:val="22D7047E"/>
    <w:rsid w:val="22EC3898"/>
    <w:rsid w:val="23007343"/>
    <w:rsid w:val="2322550C"/>
    <w:rsid w:val="23566FBD"/>
    <w:rsid w:val="2359387E"/>
    <w:rsid w:val="23612282"/>
    <w:rsid w:val="23677E76"/>
    <w:rsid w:val="239406FE"/>
    <w:rsid w:val="23A57662"/>
    <w:rsid w:val="23A93537"/>
    <w:rsid w:val="23C16AD3"/>
    <w:rsid w:val="23CB5346"/>
    <w:rsid w:val="23CC6936"/>
    <w:rsid w:val="23DE5C34"/>
    <w:rsid w:val="23E66539"/>
    <w:rsid w:val="23E91248"/>
    <w:rsid w:val="23EA7531"/>
    <w:rsid w:val="23EB1259"/>
    <w:rsid w:val="24262DDA"/>
    <w:rsid w:val="243472A5"/>
    <w:rsid w:val="24440291"/>
    <w:rsid w:val="244D480A"/>
    <w:rsid w:val="244F2331"/>
    <w:rsid w:val="24561810"/>
    <w:rsid w:val="245A2A83"/>
    <w:rsid w:val="245E3385"/>
    <w:rsid w:val="246519F2"/>
    <w:rsid w:val="24910720"/>
    <w:rsid w:val="24922AD7"/>
    <w:rsid w:val="24AD2733"/>
    <w:rsid w:val="24BD6CC4"/>
    <w:rsid w:val="24BE4D5C"/>
    <w:rsid w:val="24C6321B"/>
    <w:rsid w:val="24C77539"/>
    <w:rsid w:val="24C968FF"/>
    <w:rsid w:val="24CC0DB6"/>
    <w:rsid w:val="24CC4C52"/>
    <w:rsid w:val="24CD76F9"/>
    <w:rsid w:val="24D4056B"/>
    <w:rsid w:val="24D467CB"/>
    <w:rsid w:val="24D92020"/>
    <w:rsid w:val="24DC1868"/>
    <w:rsid w:val="24DD11D5"/>
    <w:rsid w:val="24E214E5"/>
    <w:rsid w:val="24E74595"/>
    <w:rsid w:val="2502577D"/>
    <w:rsid w:val="250B4FC2"/>
    <w:rsid w:val="251C753A"/>
    <w:rsid w:val="251E5686"/>
    <w:rsid w:val="252A06A8"/>
    <w:rsid w:val="25416C61"/>
    <w:rsid w:val="2549505A"/>
    <w:rsid w:val="25561959"/>
    <w:rsid w:val="257139A1"/>
    <w:rsid w:val="257629DE"/>
    <w:rsid w:val="258B4A59"/>
    <w:rsid w:val="25904372"/>
    <w:rsid w:val="25932412"/>
    <w:rsid w:val="25A14E0E"/>
    <w:rsid w:val="25A22934"/>
    <w:rsid w:val="25A92037"/>
    <w:rsid w:val="25AC4869"/>
    <w:rsid w:val="25AF7916"/>
    <w:rsid w:val="25BB6185"/>
    <w:rsid w:val="25C64874"/>
    <w:rsid w:val="25C805EC"/>
    <w:rsid w:val="25CB28DB"/>
    <w:rsid w:val="25D11374"/>
    <w:rsid w:val="25D246D4"/>
    <w:rsid w:val="25E35426"/>
    <w:rsid w:val="25E652E2"/>
    <w:rsid w:val="25FF3590"/>
    <w:rsid w:val="260357AC"/>
    <w:rsid w:val="26105AEF"/>
    <w:rsid w:val="2610789E"/>
    <w:rsid w:val="26246161"/>
    <w:rsid w:val="26252385"/>
    <w:rsid w:val="263C00F3"/>
    <w:rsid w:val="263D0A01"/>
    <w:rsid w:val="264973C7"/>
    <w:rsid w:val="26535483"/>
    <w:rsid w:val="265C2AE3"/>
    <w:rsid w:val="26794CD9"/>
    <w:rsid w:val="267F0C45"/>
    <w:rsid w:val="26887D7C"/>
    <w:rsid w:val="268E17FC"/>
    <w:rsid w:val="26AC1C2D"/>
    <w:rsid w:val="26CF59AB"/>
    <w:rsid w:val="26D329F4"/>
    <w:rsid w:val="26D40F41"/>
    <w:rsid w:val="26EA6341"/>
    <w:rsid w:val="27001741"/>
    <w:rsid w:val="271D04C4"/>
    <w:rsid w:val="27204934"/>
    <w:rsid w:val="27292466"/>
    <w:rsid w:val="272A498F"/>
    <w:rsid w:val="27321A96"/>
    <w:rsid w:val="27363334"/>
    <w:rsid w:val="274C2C9A"/>
    <w:rsid w:val="277F1439"/>
    <w:rsid w:val="27820665"/>
    <w:rsid w:val="279810BC"/>
    <w:rsid w:val="279B38AB"/>
    <w:rsid w:val="279C2D49"/>
    <w:rsid w:val="27A95FEA"/>
    <w:rsid w:val="27AF22E7"/>
    <w:rsid w:val="27B70919"/>
    <w:rsid w:val="27BD7430"/>
    <w:rsid w:val="27CF123F"/>
    <w:rsid w:val="27D019DA"/>
    <w:rsid w:val="27E83FCC"/>
    <w:rsid w:val="27F12988"/>
    <w:rsid w:val="28004179"/>
    <w:rsid w:val="28063286"/>
    <w:rsid w:val="28100562"/>
    <w:rsid w:val="28123DA1"/>
    <w:rsid w:val="28132417"/>
    <w:rsid w:val="28237D5C"/>
    <w:rsid w:val="282C4737"/>
    <w:rsid w:val="282D04C8"/>
    <w:rsid w:val="28334B09"/>
    <w:rsid w:val="28341F69"/>
    <w:rsid w:val="28342BC9"/>
    <w:rsid w:val="283D593F"/>
    <w:rsid w:val="283D6944"/>
    <w:rsid w:val="28426737"/>
    <w:rsid w:val="28702875"/>
    <w:rsid w:val="287C56BE"/>
    <w:rsid w:val="2884619D"/>
    <w:rsid w:val="288A3814"/>
    <w:rsid w:val="289C366A"/>
    <w:rsid w:val="28B616CA"/>
    <w:rsid w:val="28BF5B1A"/>
    <w:rsid w:val="28C370BC"/>
    <w:rsid w:val="28CB21A2"/>
    <w:rsid w:val="28EF5261"/>
    <w:rsid w:val="28F24ED1"/>
    <w:rsid w:val="28FA7D08"/>
    <w:rsid w:val="29000280"/>
    <w:rsid w:val="29080516"/>
    <w:rsid w:val="290A3CD5"/>
    <w:rsid w:val="29241437"/>
    <w:rsid w:val="2927562A"/>
    <w:rsid w:val="293F1838"/>
    <w:rsid w:val="294039D2"/>
    <w:rsid w:val="2940493E"/>
    <w:rsid w:val="29455AB0"/>
    <w:rsid w:val="29567CBD"/>
    <w:rsid w:val="295C6C72"/>
    <w:rsid w:val="29655320"/>
    <w:rsid w:val="29670025"/>
    <w:rsid w:val="2977326A"/>
    <w:rsid w:val="297A76C4"/>
    <w:rsid w:val="2989519F"/>
    <w:rsid w:val="2996455E"/>
    <w:rsid w:val="29A15975"/>
    <w:rsid w:val="29A44ECD"/>
    <w:rsid w:val="29A922F1"/>
    <w:rsid w:val="29BA010B"/>
    <w:rsid w:val="29BB5D72"/>
    <w:rsid w:val="29C76E0D"/>
    <w:rsid w:val="29C968BF"/>
    <w:rsid w:val="29CA4207"/>
    <w:rsid w:val="29D64538"/>
    <w:rsid w:val="29E55DC8"/>
    <w:rsid w:val="29F14AF4"/>
    <w:rsid w:val="29F770DD"/>
    <w:rsid w:val="29FC6AB7"/>
    <w:rsid w:val="2A045C55"/>
    <w:rsid w:val="2A141EEF"/>
    <w:rsid w:val="2A190AA4"/>
    <w:rsid w:val="2A1E2567"/>
    <w:rsid w:val="2A282DB1"/>
    <w:rsid w:val="2A375D41"/>
    <w:rsid w:val="2A457487"/>
    <w:rsid w:val="2A4B5348"/>
    <w:rsid w:val="2A64606A"/>
    <w:rsid w:val="2A6D401C"/>
    <w:rsid w:val="2A7538D0"/>
    <w:rsid w:val="2A87476C"/>
    <w:rsid w:val="2A914EE7"/>
    <w:rsid w:val="2A96180B"/>
    <w:rsid w:val="2AB00660"/>
    <w:rsid w:val="2ABE3801"/>
    <w:rsid w:val="2AD96DF8"/>
    <w:rsid w:val="2ADA2CD5"/>
    <w:rsid w:val="2ADF3CE2"/>
    <w:rsid w:val="2AF8771E"/>
    <w:rsid w:val="2B0175C8"/>
    <w:rsid w:val="2B027BD8"/>
    <w:rsid w:val="2B0C0F7B"/>
    <w:rsid w:val="2B114BA4"/>
    <w:rsid w:val="2B12230A"/>
    <w:rsid w:val="2B2251B9"/>
    <w:rsid w:val="2B243C3F"/>
    <w:rsid w:val="2B2E419E"/>
    <w:rsid w:val="2B396C5B"/>
    <w:rsid w:val="2B3B6C3E"/>
    <w:rsid w:val="2B5029F7"/>
    <w:rsid w:val="2B5215A8"/>
    <w:rsid w:val="2B552AAD"/>
    <w:rsid w:val="2B5953D5"/>
    <w:rsid w:val="2B5D1EB0"/>
    <w:rsid w:val="2B613648"/>
    <w:rsid w:val="2B620B9B"/>
    <w:rsid w:val="2B896C48"/>
    <w:rsid w:val="2B8C3E6A"/>
    <w:rsid w:val="2B97311C"/>
    <w:rsid w:val="2B9952AB"/>
    <w:rsid w:val="2B9B40AD"/>
    <w:rsid w:val="2B9C2452"/>
    <w:rsid w:val="2BA006EC"/>
    <w:rsid w:val="2BA21A80"/>
    <w:rsid w:val="2BA718D6"/>
    <w:rsid w:val="2BB12452"/>
    <w:rsid w:val="2BB14068"/>
    <w:rsid w:val="2BBD2276"/>
    <w:rsid w:val="2BC10346"/>
    <w:rsid w:val="2BC13F57"/>
    <w:rsid w:val="2BEF5160"/>
    <w:rsid w:val="2C056896"/>
    <w:rsid w:val="2C4B71C7"/>
    <w:rsid w:val="2C5C366B"/>
    <w:rsid w:val="2C6426F1"/>
    <w:rsid w:val="2C671545"/>
    <w:rsid w:val="2C723BD5"/>
    <w:rsid w:val="2C78134A"/>
    <w:rsid w:val="2C7C109E"/>
    <w:rsid w:val="2C8044FE"/>
    <w:rsid w:val="2C8C3B52"/>
    <w:rsid w:val="2C9840B4"/>
    <w:rsid w:val="2CA72D41"/>
    <w:rsid w:val="2CB35427"/>
    <w:rsid w:val="2CB46496"/>
    <w:rsid w:val="2CB9668D"/>
    <w:rsid w:val="2CBA4A07"/>
    <w:rsid w:val="2CC15482"/>
    <w:rsid w:val="2CC96292"/>
    <w:rsid w:val="2CD848D8"/>
    <w:rsid w:val="2CEB696E"/>
    <w:rsid w:val="2D1074CC"/>
    <w:rsid w:val="2D147D79"/>
    <w:rsid w:val="2D183F3B"/>
    <w:rsid w:val="2D1D47A5"/>
    <w:rsid w:val="2D3C773F"/>
    <w:rsid w:val="2D417641"/>
    <w:rsid w:val="2D486857"/>
    <w:rsid w:val="2D55028C"/>
    <w:rsid w:val="2D57771E"/>
    <w:rsid w:val="2D594220"/>
    <w:rsid w:val="2D6173D3"/>
    <w:rsid w:val="2D6E52E4"/>
    <w:rsid w:val="2D9D50A1"/>
    <w:rsid w:val="2DB56D45"/>
    <w:rsid w:val="2DB933F0"/>
    <w:rsid w:val="2DC25921"/>
    <w:rsid w:val="2DC662C7"/>
    <w:rsid w:val="2DCD054A"/>
    <w:rsid w:val="2DCD48CC"/>
    <w:rsid w:val="2DDC528E"/>
    <w:rsid w:val="2DE105B7"/>
    <w:rsid w:val="2DEC5BA7"/>
    <w:rsid w:val="2E165C6D"/>
    <w:rsid w:val="2E1F51D1"/>
    <w:rsid w:val="2E3B51C6"/>
    <w:rsid w:val="2E3D1B0D"/>
    <w:rsid w:val="2E5D564A"/>
    <w:rsid w:val="2E66596B"/>
    <w:rsid w:val="2E725599"/>
    <w:rsid w:val="2E76495E"/>
    <w:rsid w:val="2E8E2F84"/>
    <w:rsid w:val="2E94741A"/>
    <w:rsid w:val="2E980D78"/>
    <w:rsid w:val="2EC55694"/>
    <w:rsid w:val="2ED26038"/>
    <w:rsid w:val="2EDE3AB9"/>
    <w:rsid w:val="2EE541E3"/>
    <w:rsid w:val="2EE82738"/>
    <w:rsid w:val="2EF20488"/>
    <w:rsid w:val="2EF6443C"/>
    <w:rsid w:val="2EF865E7"/>
    <w:rsid w:val="2EFA48E6"/>
    <w:rsid w:val="2F0245FB"/>
    <w:rsid w:val="2F062DC8"/>
    <w:rsid w:val="2F210D6D"/>
    <w:rsid w:val="2F3F6EC9"/>
    <w:rsid w:val="2F460C75"/>
    <w:rsid w:val="2F6166D8"/>
    <w:rsid w:val="2F6F3887"/>
    <w:rsid w:val="2F7215C9"/>
    <w:rsid w:val="2F794B22"/>
    <w:rsid w:val="2F7A2842"/>
    <w:rsid w:val="2F7D1AFE"/>
    <w:rsid w:val="2F8A6913"/>
    <w:rsid w:val="2F994DA8"/>
    <w:rsid w:val="2FA17D86"/>
    <w:rsid w:val="2FC531BC"/>
    <w:rsid w:val="2FCC3367"/>
    <w:rsid w:val="2FCD67FF"/>
    <w:rsid w:val="2FD56CD6"/>
    <w:rsid w:val="301D6290"/>
    <w:rsid w:val="30316D8E"/>
    <w:rsid w:val="303F76FD"/>
    <w:rsid w:val="30466D45"/>
    <w:rsid w:val="30585BF6"/>
    <w:rsid w:val="305D7B83"/>
    <w:rsid w:val="30696528"/>
    <w:rsid w:val="306A63AC"/>
    <w:rsid w:val="30744ECD"/>
    <w:rsid w:val="307B7C0B"/>
    <w:rsid w:val="307E06D4"/>
    <w:rsid w:val="30A7165C"/>
    <w:rsid w:val="30AA49AD"/>
    <w:rsid w:val="30AF4D9B"/>
    <w:rsid w:val="30B604B5"/>
    <w:rsid w:val="30C164BB"/>
    <w:rsid w:val="30C5120B"/>
    <w:rsid w:val="30D009FB"/>
    <w:rsid w:val="30D46A2B"/>
    <w:rsid w:val="30EF6ABD"/>
    <w:rsid w:val="30F3703E"/>
    <w:rsid w:val="310B518B"/>
    <w:rsid w:val="310B6F5E"/>
    <w:rsid w:val="31197BCE"/>
    <w:rsid w:val="31327BBC"/>
    <w:rsid w:val="313F09DB"/>
    <w:rsid w:val="31531F49"/>
    <w:rsid w:val="317701A2"/>
    <w:rsid w:val="318C7F18"/>
    <w:rsid w:val="3193190E"/>
    <w:rsid w:val="319959BA"/>
    <w:rsid w:val="31A1229A"/>
    <w:rsid w:val="31AB40A0"/>
    <w:rsid w:val="31B03840"/>
    <w:rsid w:val="31C3610C"/>
    <w:rsid w:val="31C6519A"/>
    <w:rsid w:val="31EA2753"/>
    <w:rsid w:val="31F369F1"/>
    <w:rsid w:val="31F661EA"/>
    <w:rsid w:val="32086C90"/>
    <w:rsid w:val="32096434"/>
    <w:rsid w:val="32230959"/>
    <w:rsid w:val="32380BAE"/>
    <w:rsid w:val="326071AE"/>
    <w:rsid w:val="3268508C"/>
    <w:rsid w:val="32750DD6"/>
    <w:rsid w:val="32843928"/>
    <w:rsid w:val="32847649"/>
    <w:rsid w:val="328F3A80"/>
    <w:rsid w:val="32A060A9"/>
    <w:rsid w:val="32A25D21"/>
    <w:rsid w:val="32AD19F6"/>
    <w:rsid w:val="32C1089D"/>
    <w:rsid w:val="32CD0517"/>
    <w:rsid w:val="32CD4003"/>
    <w:rsid w:val="32D44088"/>
    <w:rsid w:val="32D63C1D"/>
    <w:rsid w:val="32DE2C7F"/>
    <w:rsid w:val="32DF2AD1"/>
    <w:rsid w:val="32E26351"/>
    <w:rsid w:val="32EB591A"/>
    <w:rsid w:val="32EF1395"/>
    <w:rsid w:val="33114C55"/>
    <w:rsid w:val="33146D34"/>
    <w:rsid w:val="33272299"/>
    <w:rsid w:val="333450F4"/>
    <w:rsid w:val="333948D8"/>
    <w:rsid w:val="333B38C4"/>
    <w:rsid w:val="334A7AF9"/>
    <w:rsid w:val="334B63B9"/>
    <w:rsid w:val="334D2131"/>
    <w:rsid w:val="335E433E"/>
    <w:rsid w:val="33722D11"/>
    <w:rsid w:val="33780B7D"/>
    <w:rsid w:val="337C76E9"/>
    <w:rsid w:val="33A23C03"/>
    <w:rsid w:val="33A978E7"/>
    <w:rsid w:val="33AA0994"/>
    <w:rsid w:val="33B201E6"/>
    <w:rsid w:val="33BB77BD"/>
    <w:rsid w:val="33D91C17"/>
    <w:rsid w:val="33DC1707"/>
    <w:rsid w:val="33DF4544"/>
    <w:rsid w:val="33EF143A"/>
    <w:rsid w:val="33F1366C"/>
    <w:rsid w:val="33FC6915"/>
    <w:rsid w:val="341A2462"/>
    <w:rsid w:val="341D5FA7"/>
    <w:rsid w:val="342A402B"/>
    <w:rsid w:val="34316F99"/>
    <w:rsid w:val="344057F2"/>
    <w:rsid w:val="344E1E9C"/>
    <w:rsid w:val="34532913"/>
    <w:rsid w:val="34560914"/>
    <w:rsid w:val="345C31CC"/>
    <w:rsid w:val="34777446"/>
    <w:rsid w:val="347E7C30"/>
    <w:rsid w:val="348144F0"/>
    <w:rsid w:val="348953EB"/>
    <w:rsid w:val="348D3C27"/>
    <w:rsid w:val="349439BA"/>
    <w:rsid w:val="34A16844"/>
    <w:rsid w:val="34A2025B"/>
    <w:rsid w:val="34B17E94"/>
    <w:rsid w:val="34CC3529"/>
    <w:rsid w:val="34E1239D"/>
    <w:rsid w:val="350923B9"/>
    <w:rsid w:val="350A7F97"/>
    <w:rsid w:val="350C1B78"/>
    <w:rsid w:val="351D0610"/>
    <w:rsid w:val="35234E2B"/>
    <w:rsid w:val="35364743"/>
    <w:rsid w:val="354E03E2"/>
    <w:rsid w:val="3566572C"/>
    <w:rsid w:val="35671771"/>
    <w:rsid w:val="35735BFE"/>
    <w:rsid w:val="357D24BC"/>
    <w:rsid w:val="35832C49"/>
    <w:rsid w:val="358B5193"/>
    <w:rsid w:val="35AF4BCA"/>
    <w:rsid w:val="35B31528"/>
    <w:rsid w:val="35BF6BEA"/>
    <w:rsid w:val="35C05896"/>
    <w:rsid w:val="35CE6467"/>
    <w:rsid w:val="35D74A1E"/>
    <w:rsid w:val="35DA1C76"/>
    <w:rsid w:val="36146F36"/>
    <w:rsid w:val="36162CAE"/>
    <w:rsid w:val="36274EBB"/>
    <w:rsid w:val="362A5559"/>
    <w:rsid w:val="362C089A"/>
    <w:rsid w:val="362F1FC2"/>
    <w:rsid w:val="36394BEF"/>
    <w:rsid w:val="3639699D"/>
    <w:rsid w:val="365979C0"/>
    <w:rsid w:val="36783969"/>
    <w:rsid w:val="367E5B21"/>
    <w:rsid w:val="36873BAC"/>
    <w:rsid w:val="36A42101"/>
    <w:rsid w:val="36AA1648"/>
    <w:rsid w:val="36BD195D"/>
    <w:rsid w:val="36C56376"/>
    <w:rsid w:val="36DF0319"/>
    <w:rsid w:val="36EB6901"/>
    <w:rsid w:val="36FD79CA"/>
    <w:rsid w:val="3721531B"/>
    <w:rsid w:val="372F7F47"/>
    <w:rsid w:val="373553B6"/>
    <w:rsid w:val="37384221"/>
    <w:rsid w:val="37386C54"/>
    <w:rsid w:val="374101FF"/>
    <w:rsid w:val="37465815"/>
    <w:rsid w:val="37466EB1"/>
    <w:rsid w:val="375C6DE7"/>
    <w:rsid w:val="37637E81"/>
    <w:rsid w:val="37691503"/>
    <w:rsid w:val="376A0207"/>
    <w:rsid w:val="376E1C50"/>
    <w:rsid w:val="377243F9"/>
    <w:rsid w:val="37751C56"/>
    <w:rsid w:val="37767A90"/>
    <w:rsid w:val="3778356C"/>
    <w:rsid w:val="377C7CB3"/>
    <w:rsid w:val="37865C12"/>
    <w:rsid w:val="37945CB7"/>
    <w:rsid w:val="37962D89"/>
    <w:rsid w:val="37A565BA"/>
    <w:rsid w:val="37BA43A1"/>
    <w:rsid w:val="37BB3CBF"/>
    <w:rsid w:val="37CB7AC8"/>
    <w:rsid w:val="37EA5A2E"/>
    <w:rsid w:val="37F012DD"/>
    <w:rsid w:val="37FC4126"/>
    <w:rsid w:val="3800556D"/>
    <w:rsid w:val="3801798E"/>
    <w:rsid w:val="38305B7D"/>
    <w:rsid w:val="383250E7"/>
    <w:rsid w:val="3846335A"/>
    <w:rsid w:val="38482EC7"/>
    <w:rsid w:val="38602906"/>
    <w:rsid w:val="38684865"/>
    <w:rsid w:val="38690043"/>
    <w:rsid w:val="386E0476"/>
    <w:rsid w:val="386F33DE"/>
    <w:rsid w:val="387E56CB"/>
    <w:rsid w:val="38A72689"/>
    <w:rsid w:val="38C93326"/>
    <w:rsid w:val="38CC0810"/>
    <w:rsid w:val="38CD3EB4"/>
    <w:rsid w:val="38D1259E"/>
    <w:rsid w:val="38F27A29"/>
    <w:rsid w:val="390607A4"/>
    <w:rsid w:val="391478AF"/>
    <w:rsid w:val="39283E9C"/>
    <w:rsid w:val="392C3443"/>
    <w:rsid w:val="39307BB7"/>
    <w:rsid w:val="39322AC2"/>
    <w:rsid w:val="39395293"/>
    <w:rsid w:val="39423DBA"/>
    <w:rsid w:val="395E172B"/>
    <w:rsid w:val="395E6A65"/>
    <w:rsid w:val="39783C80"/>
    <w:rsid w:val="39810D86"/>
    <w:rsid w:val="39A42A1E"/>
    <w:rsid w:val="39A95F2D"/>
    <w:rsid w:val="39AB2FFD"/>
    <w:rsid w:val="39AE6F4B"/>
    <w:rsid w:val="39D445BF"/>
    <w:rsid w:val="39D93FBE"/>
    <w:rsid w:val="39E03BCC"/>
    <w:rsid w:val="39EC3D26"/>
    <w:rsid w:val="3A071B65"/>
    <w:rsid w:val="3A1922C0"/>
    <w:rsid w:val="3A1F234D"/>
    <w:rsid w:val="3A2E4DC8"/>
    <w:rsid w:val="3A386EB0"/>
    <w:rsid w:val="3A405B16"/>
    <w:rsid w:val="3A48135C"/>
    <w:rsid w:val="3A8242BD"/>
    <w:rsid w:val="3AA97735"/>
    <w:rsid w:val="3AD66EB0"/>
    <w:rsid w:val="3ADE3FB6"/>
    <w:rsid w:val="3AE7148B"/>
    <w:rsid w:val="3B0A1D66"/>
    <w:rsid w:val="3B1D430B"/>
    <w:rsid w:val="3B1F0465"/>
    <w:rsid w:val="3B3D33BB"/>
    <w:rsid w:val="3B3E51B9"/>
    <w:rsid w:val="3B412635"/>
    <w:rsid w:val="3B497BE3"/>
    <w:rsid w:val="3B587CED"/>
    <w:rsid w:val="3B7D31C1"/>
    <w:rsid w:val="3B8E1539"/>
    <w:rsid w:val="3B9017EB"/>
    <w:rsid w:val="3BA174BE"/>
    <w:rsid w:val="3BAB3438"/>
    <w:rsid w:val="3BAC19BF"/>
    <w:rsid w:val="3BB4439D"/>
    <w:rsid w:val="3BB536CB"/>
    <w:rsid w:val="3BC36E9D"/>
    <w:rsid w:val="3BDB6E6E"/>
    <w:rsid w:val="3BE7032B"/>
    <w:rsid w:val="3BE759A6"/>
    <w:rsid w:val="3BEE0229"/>
    <w:rsid w:val="3BF50822"/>
    <w:rsid w:val="3BFD56A0"/>
    <w:rsid w:val="3C045F61"/>
    <w:rsid w:val="3C167BDD"/>
    <w:rsid w:val="3C1A2B8D"/>
    <w:rsid w:val="3C291261"/>
    <w:rsid w:val="3C2974B3"/>
    <w:rsid w:val="3C482939"/>
    <w:rsid w:val="3C557447"/>
    <w:rsid w:val="3C6373B8"/>
    <w:rsid w:val="3C6F136A"/>
    <w:rsid w:val="3C8D359E"/>
    <w:rsid w:val="3C926889"/>
    <w:rsid w:val="3C9506A5"/>
    <w:rsid w:val="3CA02CAD"/>
    <w:rsid w:val="3CA52FDE"/>
    <w:rsid w:val="3CA87FC1"/>
    <w:rsid w:val="3CB27B2D"/>
    <w:rsid w:val="3CBE0051"/>
    <w:rsid w:val="3CC35212"/>
    <w:rsid w:val="3CD230C6"/>
    <w:rsid w:val="3CEB09D4"/>
    <w:rsid w:val="3CEC5F7B"/>
    <w:rsid w:val="3CF0423F"/>
    <w:rsid w:val="3D197C5D"/>
    <w:rsid w:val="3D321D80"/>
    <w:rsid w:val="3D347271"/>
    <w:rsid w:val="3D53179E"/>
    <w:rsid w:val="3D5B18EE"/>
    <w:rsid w:val="3D6327DD"/>
    <w:rsid w:val="3D803103"/>
    <w:rsid w:val="3D806841"/>
    <w:rsid w:val="3D842BF3"/>
    <w:rsid w:val="3D995500"/>
    <w:rsid w:val="3D9B4727"/>
    <w:rsid w:val="3D9F17DB"/>
    <w:rsid w:val="3DA838FF"/>
    <w:rsid w:val="3DB57251"/>
    <w:rsid w:val="3DB83FC5"/>
    <w:rsid w:val="3DC46238"/>
    <w:rsid w:val="3DCE20C0"/>
    <w:rsid w:val="3DD31485"/>
    <w:rsid w:val="3DD42C95"/>
    <w:rsid w:val="3DD84CED"/>
    <w:rsid w:val="3DEB0EC4"/>
    <w:rsid w:val="3DFB62D0"/>
    <w:rsid w:val="3E023DB1"/>
    <w:rsid w:val="3E0D0E3B"/>
    <w:rsid w:val="3E104AC7"/>
    <w:rsid w:val="3E233163"/>
    <w:rsid w:val="3E344619"/>
    <w:rsid w:val="3E497595"/>
    <w:rsid w:val="3E547794"/>
    <w:rsid w:val="3E617929"/>
    <w:rsid w:val="3E8433D8"/>
    <w:rsid w:val="3E9A6FAE"/>
    <w:rsid w:val="3EAC674E"/>
    <w:rsid w:val="3EB047EF"/>
    <w:rsid w:val="3EC534C3"/>
    <w:rsid w:val="3EC764A6"/>
    <w:rsid w:val="3EDE4585"/>
    <w:rsid w:val="3EE33FDE"/>
    <w:rsid w:val="3EE64576"/>
    <w:rsid w:val="3EE67CEA"/>
    <w:rsid w:val="3EEE50D8"/>
    <w:rsid w:val="3EF8323F"/>
    <w:rsid w:val="3EFA14EE"/>
    <w:rsid w:val="3F004999"/>
    <w:rsid w:val="3F083E58"/>
    <w:rsid w:val="3F0C1EF1"/>
    <w:rsid w:val="3F112089"/>
    <w:rsid w:val="3F155427"/>
    <w:rsid w:val="3F253F62"/>
    <w:rsid w:val="3F3156C5"/>
    <w:rsid w:val="3F453540"/>
    <w:rsid w:val="3F4635A2"/>
    <w:rsid w:val="3F475F7D"/>
    <w:rsid w:val="3F5F313B"/>
    <w:rsid w:val="3F713B15"/>
    <w:rsid w:val="3F836EDA"/>
    <w:rsid w:val="3F872CE1"/>
    <w:rsid w:val="3F8E57DE"/>
    <w:rsid w:val="3F955D9F"/>
    <w:rsid w:val="3FAE21A9"/>
    <w:rsid w:val="3FB84EEE"/>
    <w:rsid w:val="3FBA0DAF"/>
    <w:rsid w:val="3FC37237"/>
    <w:rsid w:val="3FC65AEC"/>
    <w:rsid w:val="3FCE0156"/>
    <w:rsid w:val="40070A53"/>
    <w:rsid w:val="40175665"/>
    <w:rsid w:val="40377B31"/>
    <w:rsid w:val="403B42BF"/>
    <w:rsid w:val="406B3BF6"/>
    <w:rsid w:val="407D65A6"/>
    <w:rsid w:val="40890521"/>
    <w:rsid w:val="40A3710B"/>
    <w:rsid w:val="40EA5463"/>
    <w:rsid w:val="40EE65D6"/>
    <w:rsid w:val="41095CC0"/>
    <w:rsid w:val="411570A6"/>
    <w:rsid w:val="41163E57"/>
    <w:rsid w:val="411F7A6D"/>
    <w:rsid w:val="412D35A2"/>
    <w:rsid w:val="413967CE"/>
    <w:rsid w:val="414601C0"/>
    <w:rsid w:val="4148394F"/>
    <w:rsid w:val="4155536A"/>
    <w:rsid w:val="416D399E"/>
    <w:rsid w:val="417337A3"/>
    <w:rsid w:val="41734511"/>
    <w:rsid w:val="41756760"/>
    <w:rsid w:val="41795897"/>
    <w:rsid w:val="41881862"/>
    <w:rsid w:val="41884265"/>
    <w:rsid w:val="418D3932"/>
    <w:rsid w:val="41A25E91"/>
    <w:rsid w:val="41BC45CF"/>
    <w:rsid w:val="41D35EF7"/>
    <w:rsid w:val="41DE4E43"/>
    <w:rsid w:val="41DE664A"/>
    <w:rsid w:val="41EC59B9"/>
    <w:rsid w:val="41F40B49"/>
    <w:rsid w:val="42134767"/>
    <w:rsid w:val="42176B1E"/>
    <w:rsid w:val="423E1303"/>
    <w:rsid w:val="424A292D"/>
    <w:rsid w:val="424C3C39"/>
    <w:rsid w:val="42733236"/>
    <w:rsid w:val="428D254A"/>
    <w:rsid w:val="4294732F"/>
    <w:rsid w:val="429A5DEF"/>
    <w:rsid w:val="42AD3612"/>
    <w:rsid w:val="42B6123C"/>
    <w:rsid w:val="42BB2E6C"/>
    <w:rsid w:val="42BE6BA7"/>
    <w:rsid w:val="42C9430A"/>
    <w:rsid w:val="42E068D9"/>
    <w:rsid w:val="42E102FD"/>
    <w:rsid w:val="42E14644"/>
    <w:rsid w:val="42E40883"/>
    <w:rsid w:val="42E73E0F"/>
    <w:rsid w:val="42F01311"/>
    <w:rsid w:val="42FC5EFD"/>
    <w:rsid w:val="430218B4"/>
    <w:rsid w:val="43087A30"/>
    <w:rsid w:val="430E701E"/>
    <w:rsid w:val="431E7670"/>
    <w:rsid w:val="432D6C45"/>
    <w:rsid w:val="432E32DF"/>
    <w:rsid w:val="432F2A9F"/>
    <w:rsid w:val="433E035F"/>
    <w:rsid w:val="43515CE6"/>
    <w:rsid w:val="435B1FDA"/>
    <w:rsid w:val="436037BB"/>
    <w:rsid w:val="43663CEB"/>
    <w:rsid w:val="43853221"/>
    <w:rsid w:val="43975501"/>
    <w:rsid w:val="439E0787"/>
    <w:rsid w:val="43A075B7"/>
    <w:rsid w:val="43A13C0B"/>
    <w:rsid w:val="43AB10E1"/>
    <w:rsid w:val="43B65AD0"/>
    <w:rsid w:val="43BC023E"/>
    <w:rsid w:val="43CD4BC8"/>
    <w:rsid w:val="43DE1C6F"/>
    <w:rsid w:val="43F400B3"/>
    <w:rsid w:val="44022AC4"/>
    <w:rsid w:val="44041B52"/>
    <w:rsid w:val="440709DF"/>
    <w:rsid w:val="44071A17"/>
    <w:rsid w:val="440F3111"/>
    <w:rsid w:val="441E3989"/>
    <w:rsid w:val="44483D85"/>
    <w:rsid w:val="445F529F"/>
    <w:rsid w:val="447A3488"/>
    <w:rsid w:val="44882599"/>
    <w:rsid w:val="44A57770"/>
    <w:rsid w:val="44A7469E"/>
    <w:rsid w:val="44B53A55"/>
    <w:rsid w:val="44BA514C"/>
    <w:rsid w:val="44BC2C73"/>
    <w:rsid w:val="44C028D3"/>
    <w:rsid w:val="44DB6E6E"/>
    <w:rsid w:val="44DF1057"/>
    <w:rsid w:val="44E35950"/>
    <w:rsid w:val="44EA3A8A"/>
    <w:rsid w:val="44EE2B41"/>
    <w:rsid w:val="44FF0DF9"/>
    <w:rsid w:val="450534B4"/>
    <w:rsid w:val="45142781"/>
    <w:rsid w:val="45234EE5"/>
    <w:rsid w:val="45280575"/>
    <w:rsid w:val="4540575D"/>
    <w:rsid w:val="454A2AF9"/>
    <w:rsid w:val="455E66DB"/>
    <w:rsid w:val="455F57C9"/>
    <w:rsid w:val="45796B3B"/>
    <w:rsid w:val="458A316C"/>
    <w:rsid w:val="45934E1E"/>
    <w:rsid w:val="45990EFA"/>
    <w:rsid w:val="45AB3E07"/>
    <w:rsid w:val="45CA3FB8"/>
    <w:rsid w:val="45CE5353"/>
    <w:rsid w:val="45D64EE0"/>
    <w:rsid w:val="45EF7078"/>
    <w:rsid w:val="4606307C"/>
    <w:rsid w:val="46101FCC"/>
    <w:rsid w:val="4614088C"/>
    <w:rsid w:val="462036D5"/>
    <w:rsid w:val="462A06D3"/>
    <w:rsid w:val="462A6302"/>
    <w:rsid w:val="463B050F"/>
    <w:rsid w:val="465B5DCE"/>
    <w:rsid w:val="467A1461"/>
    <w:rsid w:val="467E386E"/>
    <w:rsid w:val="468A6DA0"/>
    <w:rsid w:val="468E4AE3"/>
    <w:rsid w:val="469556DD"/>
    <w:rsid w:val="46957C1F"/>
    <w:rsid w:val="469D4D26"/>
    <w:rsid w:val="46A77952"/>
    <w:rsid w:val="46CC1167"/>
    <w:rsid w:val="46D834D4"/>
    <w:rsid w:val="46DF52CB"/>
    <w:rsid w:val="46F14C34"/>
    <w:rsid w:val="46F5246C"/>
    <w:rsid w:val="46FB7DC6"/>
    <w:rsid w:val="47013507"/>
    <w:rsid w:val="47297420"/>
    <w:rsid w:val="472A1390"/>
    <w:rsid w:val="474161CA"/>
    <w:rsid w:val="47482EE3"/>
    <w:rsid w:val="475E752D"/>
    <w:rsid w:val="47633879"/>
    <w:rsid w:val="47655843"/>
    <w:rsid w:val="47860E2F"/>
    <w:rsid w:val="47A03D38"/>
    <w:rsid w:val="47CC58C3"/>
    <w:rsid w:val="47D50476"/>
    <w:rsid w:val="47DE0E2A"/>
    <w:rsid w:val="47DF3D79"/>
    <w:rsid w:val="47FE76D7"/>
    <w:rsid w:val="4833327D"/>
    <w:rsid w:val="483D2F80"/>
    <w:rsid w:val="48403BBB"/>
    <w:rsid w:val="484E7138"/>
    <w:rsid w:val="485805A6"/>
    <w:rsid w:val="48693111"/>
    <w:rsid w:val="48713324"/>
    <w:rsid w:val="48724537"/>
    <w:rsid w:val="4878361E"/>
    <w:rsid w:val="487C1E4D"/>
    <w:rsid w:val="489F5472"/>
    <w:rsid w:val="48AE6D76"/>
    <w:rsid w:val="48B62DBE"/>
    <w:rsid w:val="48C95384"/>
    <w:rsid w:val="48CE7418"/>
    <w:rsid w:val="48D204B0"/>
    <w:rsid w:val="48DA3031"/>
    <w:rsid w:val="48E45D61"/>
    <w:rsid w:val="48F1069A"/>
    <w:rsid w:val="4900165A"/>
    <w:rsid w:val="49047674"/>
    <w:rsid w:val="49060F7A"/>
    <w:rsid w:val="49097142"/>
    <w:rsid w:val="490B115C"/>
    <w:rsid w:val="491357D2"/>
    <w:rsid w:val="49311755"/>
    <w:rsid w:val="49377BA2"/>
    <w:rsid w:val="493D5006"/>
    <w:rsid w:val="495C4A24"/>
    <w:rsid w:val="497E1814"/>
    <w:rsid w:val="498C0651"/>
    <w:rsid w:val="499D49C4"/>
    <w:rsid w:val="49AB775A"/>
    <w:rsid w:val="49AD62D6"/>
    <w:rsid w:val="49C32CF5"/>
    <w:rsid w:val="49C8030C"/>
    <w:rsid w:val="49C83A47"/>
    <w:rsid w:val="49C9141A"/>
    <w:rsid w:val="49DE7F41"/>
    <w:rsid w:val="49E84E4C"/>
    <w:rsid w:val="49F05721"/>
    <w:rsid w:val="4A1C05B0"/>
    <w:rsid w:val="4A323C2B"/>
    <w:rsid w:val="4A392FB7"/>
    <w:rsid w:val="4A4A5D6B"/>
    <w:rsid w:val="4A5D56A3"/>
    <w:rsid w:val="4A6242BC"/>
    <w:rsid w:val="4A6F4C2B"/>
    <w:rsid w:val="4A772A2A"/>
    <w:rsid w:val="4A7E749E"/>
    <w:rsid w:val="4A8A1057"/>
    <w:rsid w:val="4A8D13EF"/>
    <w:rsid w:val="4A8E4F9A"/>
    <w:rsid w:val="4A946146"/>
    <w:rsid w:val="4AA76173"/>
    <w:rsid w:val="4AB10DA0"/>
    <w:rsid w:val="4AB332C5"/>
    <w:rsid w:val="4AD54A8E"/>
    <w:rsid w:val="4AE20F59"/>
    <w:rsid w:val="4AE61A22"/>
    <w:rsid w:val="4AF60EA8"/>
    <w:rsid w:val="4B01056E"/>
    <w:rsid w:val="4B054C48"/>
    <w:rsid w:val="4B166E55"/>
    <w:rsid w:val="4B1A6E45"/>
    <w:rsid w:val="4B233370"/>
    <w:rsid w:val="4B2E2886"/>
    <w:rsid w:val="4B491DE2"/>
    <w:rsid w:val="4B4C2876"/>
    <w:rsid w:val="4B4E2A92"/>
    <w:rsid w:val="4B505EBD"/>
    <w:rsid w:val="4B581FEE"/>
    <w:rsid w:val="4B5B0D64"/>
    <w:rsid w:val="4B5D4A84"/>
    <w:rsid w:val="4B6469EB"/>
    <w:rsid w:val="4B6936F9"/>
    <w:rsid w:val="4B8B15F1"/>
    <w:rsid w:val="4B923F4B"/>
    <w:rsid w:val="4BA814A2"/>
    <w:rsid w:val="4BB513C0"/>
    <w:rsid w:val="4BC71DDA"/>
    <w:rsid w:val="4BCE14DD"/>
    <w:rsid w:val="4BD623FF"/>
    <w:rsid w:val="4BD765E4"/>
    <w:rsid w:val="4BDD6412"/>
    <w:rsid w:val="4BEB540D"/>
    <w:rsid w:val="4BF76373"/>
    <w:rsid w:val="4BFA737C"/>
    <w:rsid w:val="4C001587"/>
    <w:rsid w:val="4C101AF6"/>
    <w:rsid w:val="4C2A2BB8"/>
    <w:rsid w:val="4C2D2F51"/>
    <w:rsid w:val="4C371B6A"/>
    <w:rsid w:val="4C3C28EB"/>
    <w:rsid w:val="4C716A38"/>
    <w:rsid w:val="4C94384C"/>
    <w:rsid w:val="4C975D73"/>
    <w:rsid w:val="4C9D15DC"/>
    <w:rsid w:val="4CB608EF"/>
    <w:rsid w:val="4CBD1C7E"/>
    <w:rsid w:val="4CC36B68"/>
    <w:rsid w:val="4CD43BFB"/>
    <w:rsid w:val="4CDE6982"/>
    <w:rsid w:val="4CE30926"/>
    <w:rsid w:val="4CE629A2"/>
    <w:rsid w:val="4CE85D46"/>
    <w:rsid w:val="4CF029F8"/>
    <w:rsid w:val="4CF46F71"/>
    <w:rsid w:val="4D0168EF"/>
    <w:rsid w:val="4D0C31CE"/>
    <w:rsid w:val="4D0F224C"/>
    <w:rsid w:val="4D1D2513"/>
    <w:rsid w:val="4D2461B3"/>
    <w:rsid w:val="4D2970E7"/>
    <w:rsid w:val="4D437429"/>
    <w:rsid w:val="4D471771"/>
    <w:rsid w:val="4D4B1874"/>
    <w:rsid w:val="4D613EB0"/>
    <w:rsid w:val="4D7165FB"/>
    <w:rsid w:val="4D7D140D"/>
    <w:rsid w:val="4D8217C7"/>
    <w:rsid w:val="4D8A7823"/>
    <w:rsid w:val="4DA1334D"/>
    <w:rsid w:val="4DB6336C"/>
    <w:rsid w:val="4DC71A91"/>
    <w:rsid w:val="4DCC30F3"/>
    <w:rsid w:val="4DD43D1E"/>
    <w:rsid w:val="4DD97D0D"/>
    <w:rsid w:val="4DDB7025"/>
    <w:rsid w:val="4DDE62FD"/>
    <w:rsid w:val="4DDF7E5A"/>
    <w:rsid w:val="4DFC4A28"/>
    <w:rsid w:val="4E035269"/>
    <w:rsid w:val="4E2448D3"/>
    <w:rsid w:val="4E325BC8"/>
    <w:rsid w:val="4E3D7DA9"/>
    <w:rsid w:val="4E490870"/>
    <w:rsid w:val="4E534F9B"/>
    <w:rsid w:val="4E57517D"/>
    <w:rsid w:val="4E821D07"/>
    <w:rsid w:val="4E8D6674"/>
    <w:rsid w:val="4E947510"/>
    <w:rsid w:val="4E96204B"/>
    <w:rsid w:val="4EAB5EB9"/>
    <w:rsid w:val="4EAB740D"/>
    <w:rsid w:val="4EAD5D22"/>
    <w:rsid w:val="4EC049F7"/>
    <w:rsid w:val="4EC24D34"/>
    <w:rsid w:val="4ECA68D4"/>
    <w:rsid w:val="4EDB0584"/>
    <w:rsid w:val="4EF460F6"/>
    <w:rsid w:val="4EFB0B2C"/>
    <w:rsid w:val="4EFD4C50"/>
    <w:rsid w:val="4F0A1380"/>
    <w:rsid w:val="4F0D33ED"/>
    <w:rsid w:val="4F2149B4"/>
    <w:rsid w:val="4F224B62"/>
    <w:rsid w:val="4F261C03"/>
    <w:rsid w:val="4F3D2C02"/>
    <w:rsid w:val="4F4C50C9"/>
    <w:rsid w:val="4F587A3C"/>
    <w:rsid w:val="4F7725B8"/>
    <w:rsid w:val="4F792398"/>
    <w:rsid w:val="4F7A5C04"/>
    <w:rsid w:val="4F7D7C5D"/>
    <w:rsid w:val="4F890E35"/>
    <w:rsid w:val="4F8F375E"/>
    <w:rsid w:val="4FA16E5C"/>
    <w:rsid w:val="4FBD67D3"/>
    <w:rsid w:val="4FBF7ABB"/>
    <w:rsid w:val="4FC10DCD"/>
    <w:rsid w:val="4FD316E2"/>
    <w:rsid w:val="4FDD43E5"/>
    <w:rsid w:val="4FDD5236"/>
    <w:rsid w:val="4FDE2637"/>
    <w:rsid w:val="4FFE26B9"/>
    <w:rsid w:val="50001490"/>
    <w:rsid w:val="50003DB9"/>
    <w:rsid w:val="50020B50"/>
    <w:rsid w:val="500A2BAF"/>
    <w:rsid w:val="500D6A78"/>
    <w:rsid w:val="50210776"/>
    <w:rsid w:val="5024194A"/>
    <w:rsid w:val="50292D83"/>
    <w:rsid w:val="503E65F8"/>
    <w:rsid w:val="50586D12"/>
    <w:rsid w:val="507879EC"/>
    <w:rsid w:val="508A1DA5"/>
    <w:rsid w:val="50966A6E"/>
    <w:rsid w:val="50976EA9"/>
    <w:rsid w:val="50A55251"/>
    <w:rsid w:val="50AA2C30"/>
    <w:rsid w:val="50AF18DD"/>
    <w:rsid w:val="50AF5D81"/>
    <w:rsid w:val="50BB24F7"/>
    <w:rsid w:val="50C13E5A"/>
    <w:rsid w:val="50C22140"/>
    <w:rsid w:val="50C85885"/>
    <w:rsid w:val="50D50B7A"/>
    <w:rsid w:val="50D91537"/>
    <w:rsid w:val="50E45AA3"/>
    <w:rsid w:val="50E6470E"/>
    <w:rsid w:val="50FE67E5"/>
    <w:rsid w:val="5113532F"/>
    <w:rsid w:val="51183927"/>
    <w:rsid w:val="512E3501"/>
    <w:rsid w:val="5133250E"/>
    <w:rsid w:val="51363DAD"/>
    <w:rsid w:val="51401D53"/>
    <w:rsid w:val="51453FF0"/>
    <w:rsid w:val="5147420C"/>
    <w:rsid w:val="514D7E89"/>
    <w:rsid w:val="516052FD"/>
    <w:rsid w:val="517143AC"/>
    <w:rsid w:val="517514EA"/>
    <w:rsid w:val="518C1C1F"/>
    <w:rsid w:val="518D03E1"/>
    <w:rsid w:val="518E3BE9"/>
    <w:rsid w:val="51987CBC"/>
    <w:rsid w:val="519D5616"/>
    <w:rsid w:val="51A927D1"/>
    <w:rsid w:val="51CD67EE"/>
    <w:rsid w:val="51D31ABF"/>
    <w:rsid w:val="51E43809"/>
    <w:rsid w:val="51E46461"/>
    <w:rsid w:val="51E87E4E"/>
    <w:rsid w:val="51EC063D"/>
    <w:rsid w:val="51F2795F"/>
    <w:rsid w:val="51F85506"/>
    <w:rsid w:val="52075B24"/>
    <w:rsid w:val="520D445E"/>
    <w:rsid w:val="5221680B"/>
    <w:rsid w:val="52284795"/>
    <w:rsid w:val="52305AAC"/>
    <w:rsid w:val="523816F1"/>
    <w:rsid w:val="52490CB4"/>
    <w:rsid w:val="524A1396"/>
    <w:rsid w:val="5252421B"/>
    <w:rsid w:val="525272B0"/>
    <w:rsid w:val="5253098E"/>
    <w:rsid w:val="526E6E3E"/>
    <w:rsid w:val="527A6550"/>
    <w:rsid w:val="527C2294"/>
    <w:rsid w:val="527E3FC2"/>
    <w:rsid w:val="52860582"/>
    <w:rsid w:val="528B1ED6"/>
    <w:rsid w:val="529D3EE4"/>
    <w:rsid w:val="529F214D"/>
    <w:rsid w:val="52AD2D5C"/>
    <w:rsid w:val="52B61649"/>
    <w:rsid w:val="52BA4AFD"/>
    <w:rsid w:val="52C33D66"/>
    <w:rsid w:val="52C76A5D"/>
    <w:rsid w:val="52C7716E"/>
    <w:rsid w:val="52D46648"/>
    <w:rsid w:val="52E30ED8"/>
    <w:rsid w:val="52E359E2"/>
    <w:rsid w:val="52E87329"/>
    <w:rsid w:val="52ED0DE3"/>
    <w:rsid w:val="52EF1C4A"/>
    <w:rsid w:val="52F6132D"/>
    <w:rsid w:val="5303259D"/>
    <w:rsid w:val="530E3233"/>
    <w:rsid w:val="5311062D"/>
    <w:rsid w:val="533B3627"/>
    <w:rsid w:val="536212FA"/>
    <w:rsid w:val="537266F4"/>
    <w:rsid w:val="53777E6D"/>
    <w:rsid w:val="538F45EA"/>
    <w:rsid w:val="539F3E8B"/>
    <w:rsid w:val="53AA020A"/>
    <w:rsid w:val="53BC50A8"/>
    <w:rsid w:val="53C265C7"/>
    <w:rsid w:val="53CB1FF1"/>
    <w:rsid w:val="53DA223D"/>
    <w:rsid w:val="53E90A53"/>
    <w:rsid w:val="53EA064B"/>
    <w:rsid w:val="53EB4926"/>
    <w:rsid w:val="53FD7AB8"/>
    <w:rsid w:val="54065CB8"/>
    <w:rsid w:val="540A502D"/>
    <w:rsid w:val="540D6224"/>
    <w:rsid w:val="54105BC6"/>
    <w:rsid w:val="54135959"/>
    <w:rsid w:val="54181E8F"/>
    <w:rsid w:val="542E4D21"/>
    <w:rsid w:val="542E5629"/>
    <w:rsid w:val="5430022A"/>
    <w:rsid w:val="543625A5"/>
    <w:rsid w:val="54363A17"/>
    <w:rsid w:val="54370568"/>
    <w:rsid w:val="543C792C"/>
    <w:rsid w:val="544225A6"/>
    <w:rsid w:val="544C5423"/>
    <w:rsid w:val="544D6010"/>
    <w:rsid w:val="54546517"/>
    <w:rsid w:val="54560490"/>
    <w:rsid w:val="54582A29"/>
    <w:rsid w:val="545D7674"/>
    <w:rsid w:val="547C0E3C"/>
    <w:rsid w:val="547E4657"/>
    <w:rsid w:val="54817A35"/>
    <w:rsid w:val="54845F1A"/>
    <w:rsid w:val="548C0A01"/>
    <w:rsid w:val="54920A3C"/>
    <w:rsid w:val="54A327AC"/>
    <w:rsid w:val="54AA3A11"/>
    <w:rsid w:val="54D00729"/>
    <w:rsid w:val="54D45DB6"/>
    <w:rsid w:val="54EE034D"/>
    <w:rsid w:val="54F549BE"/>
    <w:rsid w:val="54F63162"/>
    <w:rsid w:val="55020B76"/>
    <w:rsid w:val="55137725"/>
    <w:rsid w:val="551720FD"/>
    <w:rsid w:val="551E5284"/>
    <w:rsid w:val="55255AC7"/>
    <w:rsid w:val="553F71DB"/>
    <w:rsid w:val="554972D9"/>
    <w:rsid w:val="554C24E5"/>
    <w:rsid w:val="5553279E"/>
    <w:rsid w:val="556D1D67"/>
    <w:rsid w:val="558A3956"/>
    <w:rsid w:val="55962A27"/>
    <w:rsid w:val="55B26DA9"/>
    <w:rsid w:val="55B856D8"/>
    <w:rsid w:val="55B86AF9"/>
    <w:rsid w:val="55C24453"/>
    <w:rsid w:val="55C83395"/>
    <w:rsid w:val="55C93441"/>
    <w:rsid w:val="55D80A2A"/>
    <w:rsid w:val="55E24503"/>
    <w:rsid w:val="56155ACB"/>
    <w:rsid w:val="562543F0"/>
    <w:rsid w:val="56382375"/>
    <w:rsid w:val="564778C3"/>
    <w:rsid w:val="564C7744"/>
    <w:rsid w:val="565151E5"/>
    <w:rsid w:val="567325C1"/>
    <w:rsid w:val="568339A9"/>
    <w:rsid w:val="56842490"/>
    <w:rsid w:val="568D645B"/>
    <w:rsid w:val="56A46172"/>
    <w:rsid w:val="56B339FB"/>
    <w:rsid w:val="56C046D1"/>
    <w:rsid w:val="56C124E0"/>
    <w:rsid w:val="56D06A51"/>
    <w:rsid w:val="56F27015"/>
    <w:rsid w:val="56F5488D"/>
    <w:rsid w:val="57002DC1"/>
    <w:rsid w:val="570F633F"/>
    <w:rsid w:val="57123422"/>
    <w:rsid w:val="571701DC"/>
    <w:rsid w:val="571E5A0F"/>
    <w:rsid w:val="572D17AE"/>
    <w:rsid w:val="572D5C52"/>
    <w:rsid w:val="573408D3"/>
    <w:rsid w:val="573E7F16"/>
    <w:rsid w:val="574E5B20"/>
    <w:rsid w:val="575D4693"/>
    <w:rsid w:val="575E405D"/>
    <w:rsid w:val="576E06D8"/>
    <w:rsid w:val="57910D30"/>
    <w:rsid w:val="57911D3D"/>
    <w:rsid w:val="57914578"/>
    <w:rsid w:val="579B09E0"/>
    <w:rsid w:val="57A4224B"/>
    <w:rsid w:val="57BD26CF"/>
    <w:rsid w:val="57BD54F1"/>
    <w:rsid w:val="57DA0331"/>
    <w:rsid w:val="57DE0CFA"/>
    <w:rsid w:val="57F871FF"/>
    <w:rsid w:val="57F92A7C"/>
    <w:rsid w:val="57F95B34"/>
    <w:rsid w:val="58044368"/>
    <w:rsid w:val="580B4A9B"/>
    <w:rsid w:val="580C03E7"/>
    <w:rsid w:val="58124FC9"/>
    <w:rsid w:val="58136BF6"/>
    <w:rsid w:val="581B1814"/>
    <w:rsid w:val="58274A78"/>
    <w:rsid w:val="583A23D4"/>
    <w:rsid w:val="584274DB"/>
    <w:rsid w:val="584A0BAC"/>
    <w:rsid w:val="58604841"/>
    <w:rsid w:val="586E2E86"/>
    <w:rsid w:val="586F2AEE"/>
    <w:rsid w:val="58814A90"/>
    <w:rsid w:val="58911202"/>
    <w:rsid w:val="58A73CBE"/>
    <w:rsid w:val="58A81A34"/>
    <w:rsid w:val="58B71C77"/>
    <w:rsid w:val="58BA547C"/>
    <w:rsid w:val="58BA6694"/>
    <w:rsid w:val="58BD4DB3"/>
    <w:rsid w:val="58CD52E6"/>
    <w:rsid w:val="58D45880"/>
    <w:rsid w:val="58D70726"/>
    <w:rsid w:val="58DE20CD"/>
    <w:rsid w:val="58DF121D"/>
    <w:rsid w:val="58E3481A"/>
    <w:rsid w:val="58E95BA9"/>
    <w:rsid w:val="58FA064D"/>
    <w:rsid w:val="590029F6"/>
    <w:rsid w:val="59117203"/>
    <w:rsid w:val="591250FF"/>
    <w:rsid w:val="591C5F7E"/>
    <w:rsid w:val="5920039B"/>
    <w:rsid w:val="59231D05"/>
    <w:rsid w:val="59305585"/>
    <w:rsid w:val="59417793"/>
    <w:rsid w:val="59457D91"/>
    <w:rsid w:val="59726422"/>
    <w:rsid w:val="59A87812"/>
    <w:rsid w:val="59B91ACE"/>
    <w:rsid w:val="59BB73DF"/>
    <w:rsid w:val="59C068BE"/>
    <w:rsid w:val="59CA7788"/>
    <w:rsid w:val="59D0163F"/>
    <w:rsid w:val="59D525E5"/>
    <w:rsid w:val="59E92BD6"/>
    <w:rsid w:val="5A027D02"/>
    <w:rsid w:val="5A0F6BEE"/>
    <w:rsid w:val="5A184997"/>
    <w:rsid w:val="5A33202B"/>
    <w:rsid w:val="5A37459D"/>
    <w:rsid w:val="5A453A57"/>
    <w:rsid w:val="5A4A001E"/>
    <w:rsid w:val="5A4B3D7D"/>
    <w:rsid w:val="5A597F3B"/>
    <w:rsid w:val="5A5A108A"/>
    <w:rsid w:val="5A5D684E"/>
    <w:rsid w:val="5A670EED"/>
    <w:rsid w:val="5A6A4D3D"/>
    <w:rsid w:val="5A9D5E48"/>
    <w:rsid w:val="5AB7282E"/>
    <w:rsid w:val="5AB741B0"/>
    <w:rsid w:val="5AB75F5E"/>
    <w:rsid w:val="5AD02AFD"/>
    <w:rsid w:val="5ADC379C"/>
    <w:rsid w:val="5AF076C2"/>
    <w:rsid w:val="5AF97116"/>
    <w:rsid w:val="5AFF7905"/>
    <w:rsid w:val="5B2D6EDB"/>
    <w:rsid w:val="5B4075E1"/>
    <w:rsid w:val="5B44356A"/>
    <w:rsid w:val="5B5B6D1A"/>
    <w:rsid w:val="5B712E03"/>
    <w:rsid w:val="5B89568B"/>
    <w:rsid w:val="5B8F6B42"/>
    <w:rsid w:val="5B9774A3"/>
    <w:rsid w:val="5B993E74"/>
    <w:rsid w:val="5BA01302"/>
    <w:rsid w:val="5BA65FD3"/>
    <w:rsid w:val="5BBE43E7"/>
    <w:rsid w:val="5BC30933"/>
    <w:rsid w:val="5BDC12DF"/>
    <w:rsid w:val="5BF13B3F"/>
    <w:rsid w:val="5BFC2FEE"/>
    <w:rsid w:val="5BFF3E21"/>
    <w:rsid w:val="5C3637FE"/>
    <w:rsid w:val="5C4A2E02"/>
    <w:rsid w:val="5C4D08B6"/>
    <w:rsid w:val="5C56756F"/>
    <w:rsid w:val="5C5910DD"/>
    <w:rsid w:val="5C6A7000"/>
    <w:rsid w:val="5C6B0C96"/>
    <w:rsid w:val="5C6B5F84"/>
    <w:rsid w:val="5C7C054B"/>
    <w:rsid w:val="5C86208C"/>
    <w:rsid w:val="5C9522CF"/>
    <w:rsid w:val="5C98591B"/>
    <w:rsid w:val="5C9E3AD9"/>
    <w:rsid w:val="5CA05217"/>
    <w:rsid w:val="5CA50CC0"/>
    <w:rsid w:val="5CA77BC4"/>
    <w:rsid w:val="5CBB7EA9"/>
    <w:rsid w:val="5CBF40FC"/>
    <w:rsid w:val="5CBF734C"/>
    <w:rsid w:val="5CCB51D1"/>
    <w:rsid w:val="5CCE30DB"/>
    <w:rsid w:val="5CDA46C6"/>
    <w:rsid w:val="5CDC1CAC"/>
    <w:rsid w:val="5CE172C2"/>
    <w:rsid w:val="5CE50C85"/>
    <w:rsid w:val="5CEE53C4"/>
    <w:rsid w:val="5CEF60E5"/>
    <w:rsid w:val="5D046552"/>
    <w:rsid w:val="5D07484F"/>
    <w:rsid w:val="5D086ED8"/>
    <w:rsid w:val="5D0E2082"/>
    <w:rsid w:val="5D174567"/>
    <w:rsid w:val="5D1778D7"/>
    <w:rsid w:val="5D1D78B2"/>
    <w:rsid w:val="5D245401"/>
    <w:rsid w:val="5D283143"/>
    <w:rsid w:val="5D2B49E2"/>
    <w:rsid w:val="5D2E002E"/>
    <w:rsid w:val="5D32527B"/>
    <w:rsid w:val="5D414205"/>
    <w:rsid w:val="5D4646B0"/>
    <w:rsid w:val="5D5A63AF"/>
    <w:rsid w:val="5D5B019B"/>
    <w:rsid w:val="5D640AF7"/>
    <w:rsid w:val="5D665A1A"/>
    <w:rsid w:val="5D714752"/>
    <w:rsid w:val="5D78456B"/>
    <w:rsid w:val="5D784B93"/>
    <w:rsid w:val="5D79399F"/>
    <w:rsid w:val="5D7D676A"/>
    <w:rsid w:val="5DB20C5F"/>
    <w:rsid w:val="5DB34C90"/>
    <w:rsid w:val="5DE132F2"/>
    <w:rsid w:val="5DE4431B"/>
    <w:rsid w:val="5DEC36B0"/>
    <w:rsid w:val="5DF12E7C"/>
    <w:rsid w:val="5DF37348"/>
    <w:rsid w:val="5DF83001"/>
    <w:rsid w:val="5DFD7092"/>
    <w:rsid w:val="5DFD7C17"/>
    <w:rsid w:val="5E1E66E4"/>
    <w:rsid w:val="5E265FEF"/>
    <w:rsid w:val="5E307067"/>
    <w:rsid w:val="5E545D2E"/>
    <w:rsid w:val="5E9860A7"/>
    <w:rsid w:val="5EC65F91"/>
    <w:rsid w:val="5ECA57A0"/>
    <w:rsid w:val="5ED47F94"/>
    <w:rsid w:val="5EE17A4E"/>
    <w:rsid w:val="5EE969FF"/>
    <w:rsid w:val="5EF64B7B"/>
    <w:rsid w:val="5F122981"/>
    <w:rsid w:val="5F161E55"/>
    <w:rsid w:val="5F1C0A86"/>
    <w:rsid w:val="5F307A57"/>
    <w:rsid w:val="5F38751B"/>
    <w:rsid w:val="5F443B39"/>
    <w:rsid w:val="5F56089F"/>
    <w:rsid w:val="5F5E44B8"/>
    <w:rsid w:val="5F7740DD"/>
    <w:rsid w:val="5FA55D1D"/>
    <w:rsid w:val="5FAF0B65"/>
    <w:rsid w:val="5FB663DC"/>
    <w:rsid w:val="5FB97F54"/>
    <w:rsid w:val="5FD142F6"/>
    <w:rsid w:val="5FDE2AE5"/>
    <w:rsid w:val="5FDE4B10"/>
    <w:rsid w:val="5FDF06DF"/>
    <w:rsid w:val="5FF67529"/>
    <w:rsid w:val="5FF67F8B"/>
    <w:rsid w:val="6005151A"/>
    <w:rsid w:val="60121E89"/>
    <w:rsid w:val="60140FB0"/>
    <w:rsid w:val="602D281F"/>
    <w:rsid w:val="602E618A"/>
    <w:rsid w:val="60403315"/>
    <w:rsid w:val="6060660E"/>
    <w:rsid w:val="608A66C7"/>
    <w:rsid w:val="60927E40"/>
    <w:rsid w:val="60995CEB"/>
    <w:rsid w:val="609D3550"/>
    <w:rsid w:val="609E04DD"/>
    <w:rsid w:val="60A25B71"/>
    <w:rsid w:val="60C27AD9"/>
    <w:rsid w:val="60C33A12"/>
    <w:rsid w:val="60CC2038"/>
    <w:rsid w:val="60D27E15"/>
    <w:rsid w:val="60DC7DF6"/>
    <w:rsid w:val="60EF3731"/>
    <w:rsid w:val="60F33A68"/>
    <w:rsid w:val="60FE7C04"/>
    <w:rsid w:val="61087F2B"/>
    <w:rsid w:val="61185E12"/>
    <w:rsid w:val="61202383"/>
    <w:rsid w:val="613563FB"/>
    <w:rsid w:val="61573966"/>
    <w:rsid w:val="615F0F9F"/>
    <w:rsid w:val="617213B6"/>
    <w:rsid w:val="617D1584"/>
    <w:rsid w:val="61826B9A"/>
    <w:rsid w:val="61831714"/>
    <w:rsid w:val="618359EF"/>
    <w:rsid w:val="61850653"/>
    <w:rsid w:val="618D0081"/>
    <w:rsid w:val="619E12DE"/>
    <w:rsid w:val="619F599E"/>
    <w:rsid w:val="61A94E66"/>
    <w:rsid w:val="61AE0914"/>
    <w:rsid w:val="61B171B9"/>
    <w:rsid w:val="61BC3CA7"/>
    <w:rsid w:val="61D077E8"/>
    <w:rsid w:val="61D25B5E"/>
    <w:rsid w:val="61D5316E"/>
    <w:rsid w:val="61E1377C"/>
    <w:rsid w:val="61E6665C"/>
    <w:rsid w:val="61F432E9"/>
    <w:rsid w:val="61FF49E6"/>
    <w:rsid w:val="620D6DAC"/>
    <w:rsid w:val="621109F7"/>
    <w:rsid w:val="62126170"/>
    <w:rsid w:val="621A4BF4"/>
    <w:rsid w:val="6221527E"/>
    <w:rsid w:val="62314848"/>
    <w:rsid w:val="62326CD0"/>
    <w:rsid w:val="623F140B"/>
    <w:rsid w:val="624150E8"/>
    <w:rsid w:val="624445CD"/>
    <w:rsid w:val="627004CB"/>
    <w:rsid w:val="627757F5"/>
    <w:rsid w:val="627841E1"/>
    <w:rsid w:val="627C0BE2"/>
    <w:rsid w:val="62802C81"/>
    <w:rsid w:val="628647C6"/>
    <w:rsid w:val="629570A7"/>
    <w:rsid w:val="62AE3BC9"/>
    <w:rsid w:val="62AE5E99"/>
    <w:rsid w:val="62B66CD9"/>
    <w:rsid w:val="62C91692"/>
    <w:rsid w:val="62D36B7D"/>
    <w:rsid w:val="62D55870"/>
    <w:rsid w:val="62E90032"/>
    <w:rsid w:val="62EF64B1"/>
    <w:rsid w:val="62FC74AA"/>
    <w:rsid w:val="63027F93"/>
    <w:rsid w:val="63047645"/>
    <w:rsid w:val="631023A5"/>
    <w:rsid w:val="631A52DC"/>
    <w:rsid w:val="631F3BDD"/>
    <w:rsid w:val="632501AE"/>
    <w:rsid w:val="63260125"/>
    <w:rsid w:val="632D7850"/>
    <w:rsid w:val="63385032"/>
    <w:rsid w:val="633A7B59"/>
    <w:rsid w:val="634A26EB"/>
    <w:rsid w:val="63564FE9"/>
    <w:rsid w:val="63567918"/>
    <w:rsid w:val="63762FDD"/>
    <w:rsid w:val="637A5D7B"/>
    <w:rsid w:val="637C7D45"/>
    <w:rsid w:val="637F5A87"/>
    <w:rsid w:val="63873431"/>
    <w:rsid w:val="63A70B3A"/>
    <w:rsid w:val="63AE798A"/>
    <w:rsid w:val="63BE65AF"/>
    <w:rsid w:val="63E81E7E"/>
    <w:rsid w:val="63F035B2"/>
    <w:rsid w:val="63F40352"/>
    <w:rsid w:val="63F5399B"/>
    <w:rsid w:val="64002BE9"/>
    <w:rsid w:val="64002DAD"/>
    <w:rsid w:val="64073490"/>
    <w:rsid w:val="64255E6C"/>
    <w:rsid w:val="642B3519"/>
    <w:rsid w:val="64310B49"/>
    <w:rsid w:val="643B19AE"/>
    <w:rsid w:val="64432C2F"/>
    <w:rsid w:val="64564E9C"/>
    <w:rsid w:val="645E0988"/>
    <w:rsid w:val="646B641E"/>
    <w:rsid w:val="64794C32"/>
    <w:rsid w:val="64811712"/>
    <w:rsid w:val="64986E00"/>
    <w:rsid w:val="64AE2DFD"/>
    <w:rsid w:val="64BD0F73"/>
    <w:rsid w:val="64C42DBE"/>
    <w:rsid w:val="64D020F2"/>
    <w:rsid w:val="64D1688D"/>
    <w:rsid w:val="64D63DE3"/>
    <w:rsid w:val="64E92B52"/>
    <w:rsid w:val="65021F15"/>
    <w:rsid w:val="651C400C"/>
    <w:rsid w:val="652060DB"/>
    <w:rsid w:val="65271E57"/>
    <w:rsid w:val="654523B9"/>
    <w:rsid w:val="65452B0E"/>
    <w:rsid w:val="6557694F"/>
    <w:rsid w:val="655A36F4"/>
    <w:rsid w:val="655C3587"/>
    <w:rsid w:val="6567096C"/>
    <w:rsid w:val="656960A7"/>
    <w:rsid w:val="657A6D9C"/>
    <w:rsid w:val="657C2593"/>
    <w:rsid w:val="658C6239"/>
    <w:rsid w:val="65960E66"/>
    <w:rsid w:val="65982AA7"/>
    <w:rsid w:val="659F5F6D"/>
    <w:rsid w:val="65A401E9"/>
    <w:rsid w:val="65A47CEF"/>
    <w:rsid w:val="65A65A7A"/>
    <w:rsid w:val="65AB634D"/>
    <w:rsid w:val="65AC068A"/>
    <w:rsid w:val="65E21D27"/>
    <w:rsid w:val="65E77415"/>
    <w:rsid w:val="65E80116"/>
    <w:rsid w:val="65EB0784"/>
    <w:rsid w:val="65EC2816"/>
    <w:rsid w:val="65EE2A50"/>
    <w:rsid w:val="65F513EC"/>
    <w:rsid w:val="6602276E"/>
    <w:rsid w:val="660E6EB8"/>
    <w:rsid w:val="66252916"/>
    <w:rsid w:val="6641012B"/>
    <w:rsid w:val="66415276"/>
    <w:rsid w:val="664B2F13"/>
    <w:rsid w:val="66524D8D"/>
    <w:rsid w:val="665925BF"/>
    <w:rsid w:val="665F2F0C"/>
    <w:rsid w:val="66664513"/>
    <w:rsid w:val="6692588C"/>
    <w:rsid w:val="66984CE5"/>
    <w:rsid w:val="66A20A47"/>
    <w:rsid w:val="66A9090B"/>
    <w:rsid w:val="66BD29F8"/>
    <w:rsid w:val="66C8787B"/>
    <w:rsid w:val="66CA7019"/>
    <w:rsid w:val="66FD73EF"/>
    <w:rsid w:val="670118FF"/>
    <w:rsid w:val="67103B55"/>
    <w:rsid w:val="67136C12"/>
    <w:rsid w:val="6719564A"/>
    <w:rsid w:val="671C18FE"/>
    <w:rsid w:val="67206C39"/>
    <w:rsid w:val="672506F4"/>
    <w:rsid w:val="67362CD8"/>
    <w:rsid w:val="673E5DDC"/>
    <w:rsid w:val="673F7A07"/>
    <w:rsid w:val="67422A7A"/>
    <w:rsid w:val="676C04B5"/>
    <w:rsid w:val="676D7292"/>
    <w:rsid w:val="67A45ABC"/>
    <w:rsid w:val="67A7312F"/>
    <w:rsid w:val="67AC671F"/>
    <w:rsid w:val="67B23308"/>
    <w:rsid w:val="67B8073B"/>
    <w:rsid w:val="67C630ED"/>
    <w:rsid w:val="67C85EDA"/>
    <w:rsid w:val="67CA4DF7"/>
    <w:rsid w:val="67D0240D"/>
    <w:rsid w:val="67D83F5A"/>
    <w:rsid w:val="67FB2B72"/>
    <w:rsid w:val="680E73DA"/>
    <w:rsid w:val="681871B6"/>
    <w:rsid w:val="681D761D"/>
    <w:rsid w:val="68235F37"/>
    <w:rsid w:val="68273FF7"/>
    <w:rsid w:val="6837444B"/>
    <w:rsid w:val="683C1071"/>
    <w:rsid w:val="684921C0"/>
    <w:rsid w:val="684A65EF"/>
    <w:rsid w:val="684F3C7A"/>
    <w:rsid w:val="6856082A"/>
    <w:rsid w:val="68584CEB"/>
    <w:rsid w:val="687A5F1F"/>
    <w:rsid w:val="687C216C"/>
    <w:rsid w:val="68833155"/>
    <w:rsid w:val="68923B67"/>
    <w:rsid w:val="68987192"/>
    <w:rsid w:val="689A791B"/>
    <w:rsid w:val="689D4A69"/>
    <w:rsid w:val="689F6284"/>
    <w:rsid w:val="68A57E5C"/>
    <w:rsid w:val="68B8486C"/>
    <w:rsid w:val="68BA785E"/>
    <w:rsid w:val="68BB130F"/>
    <w:rsid w:val="68D43659"/>
    <w:rsid w:val="68DB3760"/>
    <w:rsid w:val="68E31BD1"/>
    <w:rsid w:val="68E85E7D"/>
    <w:rsid w:val="68EC6070"/>
    <w:rsid w:val="68F55EA4"/>
    <w:rsid w:val="68FC200E"/>
    <w:rsid w:val="6903064C"/>
    <w:rsid w:val="690537AA"/>
    <w:rsid w:val="69187DBC"/>
    <w:rsid w:val="691A35EB"/>
    <w:rsid w:val="69274C15"/>
    <w:rsid w:val="692E7D33"/>
    <w:rsid w:val="693764BC"/>
    <w:rsid w:val="69510D16"/>
    <w:rsid w:val="69564B94"/>
    <w:rsid w:val="695D5F23"/>
    <w:rsid w:val="695F6EEE"/>
    <w:rsid w:val="69672F68"/>
    <w:rsid w:val="696C3DAE"/>
    <w:rsid w:val="696F192A"/>
    <w:rsid w:val="69753738"/>
    <w:rsid w:val="6992402C"/>
    <w:rsid w:val="69951B60"/>
    <w:rsid w:val="69A42E48"/>
    <w:rsid w:val="69B664FD"/>
    <w:rsid w:val="69C46096"/>
    <w:rsid w:val="69D35793"/>
    <w:rsid w:val="69E403F2"/>
    <w:rsid w:val="69E42CF5"/>
    <w:rsid w:val="69F22218"/>
    <w:rsid w:val="69FD14B4"/>
    <w:rsid w:val="6A0C239A"/>
    <w:rsid w:val="6A164498"/>
    <w:rsid w:val="6A1C2563"/>
    <w:rsid w:val="6A22076C"/>
    <w:rsid w:val="6A470B0C"/>
    <w:rsid w:val="6A493E11"/>
    <w:rsid w:val="6A4A2EDA"/>
    <w:rsid w:val="6A620167"/>
    <w:rsid w:val="6A63694A"/>
    <w:rsid w:val="6A840F9A"/>
    <w:rsid w:val="6A85194E"/>
    <w:rsid w:val="6A8676FB"/>
    <w:rsid w:val="6A876FCF"/>
    <w:rsid w:val="6A93078D"/>
    <w:rsid w:val="6A9C7BD0"/>
    <w:rsid w:val="6AA40160"/>
    <w:rsid w:val="6AB0205E"/>
    <w:rsid w:val="6AB500CB"/>
    <w:rsid w:val="6AB6347D"/>
    <w:rsid w:val="6ACA235B"/>
    <w:rsid w:val="6AD1795C"/>
    <w:rsid w:val="6AD54632"/>
    <w:rsid w:val="6ADE3093"/>
    <w:rsid w:val="6AF5754E"/>
    <w:rsid w:val="6AFA4A81"/>
    <w:rsid w:val="6B00125C"/>
    <w:rsid w:val="6B0249A7"/>
    <w:rsid w:val="6B03416C"/>
    <w:rsid w:val="6B0845B4"/>
    <w:rsid w:val="6B1E5B86"/>
    <w:rsid w:val="6B363B66"/>
    <w:rsid w:val="6B4A6E5D"/>
    <w:rsid w:val="6B5A4350"/>
    <w:rsid w:val="6B6F4633"/>
    <w:rsid w:val="6B842395"/>
    <w:rsid w:val="6B9D6AAA"/>
    <w:rsid w:val="6BA53000"/>
    <w:rsid w:val="6BAC3191"/>
    <w:rsid w:val="6BAF1A37"/>
    <w:rsid w:val="6BC406D4"/>
    <w:rsid w:val="6BC56001"/>
    <w:rsid w:val="6BD373D3"/>
    <w:rsid w:val="6BDD21B8"/>
    <w:rsid w:val="6BE070C8"/>
    <w:rsid w:val="6BEB1F0C"/>
    <w:rsid w:val="6BFB59B8"/>
    <w:rsid w:val="6C0E79A8"/>
    <w:rsid w:val="6C1D08E9"/>
    <w:rsid w:val="6C2C4784"/>
    <w:rsid w:val="6C3C5FA7"/>
    <w:rsid w:val="6C4137D9"/>
    <w:rsid w:val="6C745CB9"/>
    <w:rsid w:val="6C8662B2"/>
    <w:rsid w:val="6C8E782C"/>
    <w:rsid w:val="6C9818B5"/>
    <w:rsid w:val="6C9E6322"/>
    <w:rsid w:val="6C9F55AE"/>
    <w:rsid w:val="6CA129BA"/>
    <w:rsid w:val="6CA55910"/>
    <w:rsid w:val="6CAB6374"/>
    <w:rsid w:val="6CAC1B44"/>
    <w:rsid w:val="6CB760A5"/>
    <w:rsid w:val="6CCC6017"/>
    <w:rsid w:val="6CEA4B62"/>
    <w:rsid w:val="6CED20D5"/>
    <w:rsid w:val="6CF12F16"/>
    <w:rsid w:val="6CF941B4"/>
    <w:rsid w:val="6D211FB3"/>
    <w:rsid w:val="6D2B5EE8"/>
    <w:rsid w:val="6D387E73"/>
    <w:rsid w:val="6D4D37F6"/>
    <w:rsid w:val="6D5A24B8"/>
    <w:rsid w:val="6D5B4E6F"/>
    <w:rsid w:val="6D614340"/>
    <w:rsid w:val="6D6522C5"/>
    <w:rsid w:val="6D761CA9"/>
    <w:rsid w:val="6D797432"/>
    <w:rsid w:val="6D7F1D07"/>
    <w:rsid w:val="6D840DA7"/>
    <w:rsid w:val="6D874D3F"/>
    <w:rsid w:val="6DA22A9E"/>
    <w:rsid w:val="6DAA3BEC"/>
    <w:rsid w:val="6DC63D25"/>
    <w:rsid w:val="6DC742B3"/>
    <w:rsid w:val="6DC9627D"/>
    <w:rsid w:val="6DCC5190"/>
    <w:rsid w:val="6DCE6C51"/>
    <w:rsid w:val="6DEF2231"/>
    <w:rsid w:val="6DF1132F"/>
    <w:rsid w:val="6E082072"/>
    <w:rsid w:val="6E13574A"/>
    <w:rsid w:val="6E1B3D45"/>
    <w:rsid w:val="6E5D4C17"/>
    <w:rsid w:val="6E5D69C5"/>
    <w:rsid w:val="6E71421E"/>
    <w:rsid w:val="6E7361E8"/>
    <w:rsid w:val="6E851D42"/>
    <w:rsid w:val="6E895D4B"/>
    <w:rsid w:val="6EA13894"/>
    <w:rsid w:val="6EC15E31"/>
    <w:rsid w:val="6ED05D7B"/>
    <w:rsid w:val="6ED50C51"/>
    <w:rsid w:val="6EE32699"/>
    <w:rsid w:val="6EEE6378"/>
    <w:rsid w:val="6EFA3B42"/>
    <w:rsid w:val="6EFC6357"/>
    <w:rsid w:val="6F037E5A"/>
    <w:rsid w:val="6F062B1D"/>
    <w:rsid w:val="6F0C7FD5"/>
    <w:rsid w:val="6F235BB6"/>
    <w:rsid w:val="6F255FBF"/>
    <w:rsid w:val="6F3C5AED"/>
    <w:rsid w:val="6F45316F"/>
    <w:rsid w:val="6F453824"/>
    <w:rsid w:val="6F457543"/>
    <w:rsid w:val="6F4E7950"/>
    <w:rsid w:val="6F595014"/>
    <w:rsid w:val="6F5E252A"/>
    <w:rsid w:val="6F664401"/>
    <w:rsid w:val="6F7377C1"/>
    <w:rsid w:val="6F7E41E1"/>
    <w:rsid w:val="6F7F02EA"/>
    <w:rsid w:val="6F865AA7"/>
    <w:rsid w:val="6F8929B2"/>
    <w:rsid w:val="6F975F07"/>
    <w:rsid w:val="6F9A2F0D"/>
    <w:rsid w:val="6F9C0A0D"/>
    <w:rsid w:val="6FA7439C"/>
    <w:rsid w:val="6FBA585B"/>
    <w:rsid w:val="6FC04B77"/>
    <w:rsid w:val="6FC860C0"/>
    <w:rsid w:val="6FCD18C6"/>
    <w:rsid w:val="6FD10631"/>
    <w:rsid w:val="6FE50A20"/>
    <w:rsid w:val="6FE56C72"/>
    <w:rsid w:val="700215D2"/>
    <w:rsid w:val="70075747"/>
    <w:rsid w:val="70090758"/>
    <w:rsid w:val="701D0E2C"/>
    <w:rsid w:val="701E7C50"/>
    <w:rsid w:val="703025E3"/>
    <w:rsid w:val="70457C69"/>
    <w:rsid w:val="704F233D"/>
    <w:rsid w:val="70531E2E"/>
    <w:rsid w:val="705E7870"/>
    <w:rsid w:val="706104A4"/>
    <w:rsid w:val="70623260"/>
    <w:rsid w:val="706563DC"/>
    <w:rsid w:val="706B6565"/>
    <w:rsid w:val="706C3C5F"/>
    <w:rsid w:val="707A1AB0"/>
    <w:rsid w:val="7084648B"/>
    <w:rsid w:val="708E4251"/>
    <w:rsid w:val="70A72179"/>
    <w:rsid w:val="70C03E6F"/>
    <w:rsid w:val="70F51137"/>
    <w:rsid w:val="71017ADB"/>
    <w:rsid w:val="710475CC"/>
    <w:rsid w:val="710863D7"/>
    <w:rsid w:val="7117203C"/>
    <w:rsid w:val="711B78B6"/>
    <w:rsid w:val="7122127C"/>
    <w:rsid w:val="7127397C"/>
    <w:rsid w:val="71376307"/>
    <w:rsid w:val="71384D7B"/>
    <w:rsid w:val="71485851"/>
    <w:rsid w:val="714B77BC"/>
    <w:rsid w:val="715A4658"/>
    <w:rsid w:val="71A53F32"/>
    <w:rsid w:val="71C93B41"/>
    <w:rsid w:val="71D90A58"/>
    <w:rsid w:val="71DA5CC7"/>
    <w:rsid w:val="71DF3CE5"/>
    <w:rsid w:val="71ED1E0E"/>
    <w:rsid w:val="71FE38FC"/>
    <w:rsid w:val="72001B41"/>
    <w:rsid w:val="72071F3E"/>
    <w:rsid w:val="72113D4E"/>
    <w:rsid w:val="721E4002"/>
    <w:rsid w:val="72323CC5"/>
    <w:rsid w:val="72425427"/>
    <w:rsid w:val="724B2D44"/>
    <w:rsid w:val="727B38BE"/>
    <w:rsid w:val="727E273B"/>
    <w:rsid w:val="727F515C"/>
    <w:rsid w:val="72A01879"/>
    <w:rsid w:val="72B26270"/>
    <w:rsid w:val="72C62748"/>
    <w:rsid w:val="72CC4119"/>
    <w:rsid w:val="72DA7105"/>
    <w:rsid w:val="72ED4F8E"/>
    <w:rsid w:val="72F03865"/>
    <w:rsid w:val="72F27C01"/>
    <w:rsid w:val="72FD6E6A"/>
    <w:rsid w:val="73071583"/>
    <w:rsid w:val="73133F1E"/>
    <w:rsid w:val="731370ED"/>
    <w:rsid w:val="73155AC0"/>
    <w:rsid w:val="73287602"/>
    <w:rsid w:val="732C5ED6"/>
    <w:rsid w:val="733775DA"/>
    <w:rsid w:val="733D544F"/>
    <w:rsid w:val="734817F7"/>
    <w:rsid w:val="7354206C"/>
    <w:rsid w:val="73663D1E"/>
    <w:rsid w:val="736670D3"/>
    <w:rsid w:val="73727061"/>
    <w:rsid w:val="73754EE7"/>
    <w:rsid w:val="73804C6D"/>
    <w:rsid w:val="73970146"/>
    <w:rsid w:val="73A17354"/>
    <w:rsid w:val="73AF7B5F"/>
    <w:rsid w:val="73B057E9"/>
    <w:rsid w:val="73BB4867"/>
    <w:rsid w:val="73BD2028"/>
    <w:rsid w:val="73C170FD"/>
    <w:rsid w:val="73C361DB"/>
    <w:rsid w:val="73CE4A1F"/>
    <w:rsid w:val="73E72640"/>
    <w:rsid w:val="73E969AB"/>
    <w:rsid w:val="73F11C9A"/>
    <w:rsid w:val="740D1624"/>
    <w:rsid w:val="74220495"/>
    <w:rsid w:val="743A014A"/>
    <w:rsid w:val="74416441"/>
    <w:rsid w:val="74511097"/>
    <w:rsid w:val="745368A0"/>
    <w:rsid w:val="74557DCE"/>
    <w:rsid w:val="745844B4"/>
    <w:rsid w:val="745939EF"/>
    <w:rsid w:val="745F3497"/>
    <w:rsid w:val="746133B9"/>
    <w:rsid w:val="74781E72"/>
    <w:rsid w:val="74880582"/>
    <w:rsid w:val="74913239"/>
    <w:rsid w:val="74AD0DE9"/>
    <w:rsid w:val="74DB215F"/>
    <w:rsid w:val="74DC1C15"/>
    <w:rsid w:val="74DE1A70"/>
    <w:rsid w:val="74ED7D0D"/>
    <w:rsid w:val="75025D14"/>
    <w:rsid w:val="75045C97"/>
    <w:rsid w:val="750C2CDE"/>
    <w:rsid w:val="752042E6"/>
    <w:rsid w:val="752072DC"/>
    <w:rsid w:val="752124FA"/>
    <w:rsid w:val="75236EB8"/>
    <w:rsid w:val="75243D99"/>
    <w:rsid w:val="75250343"/>
    <w:rsid w:val="7537210A"/>
    <w:rsid w:val="753C09DA"/>
    <w:rsid w:val="75581EB0"/>
    <w:rsid w:val="755B67E2"/>
    <w:rsid w:val="75771AE7"/>
    <w:rsid w:val="757A7C7B"/>
    <w:rsid w:val="75843084"/>
    <w:rsid w:val="758A5266"/>
    <w:rsid w:val="759541D1"/>
    <w:rsid w:val="759C65CD"/>
    <w:rsid w:val="75A45F3C"/>
    <w:rsid w:val="75B0028D"/>
    <w:rsid w:val="75B3511C"/>
    <w:rsid w:val="75B82733"/>
    <w:rsid w:val="75BF692C"/>
    <w:rsid w:val="75C50751"/>
    <w:rsid w:val="75CC0F27"/>
    <w:rsid w:val="75E44CC4"/>
    <w:rsid w:val="75F165AD"/>
    <w:rsid w:val="75F35076"/>
    <w:rsid w:val="7601057E"/>
    <w:rsid w:val="7601232C"/>
    <w:rsid w:val="760A0B45"/>
    <w:rsid w:val="760F2C9B"/>
    <w:rsid w:val="76100DF8"/>
    <w:rsid w:val="76110F29"/>
    <w:rsid w:val="76225E14"/>
    <w:rsid w:val="762C68B4"/>
    <w:rsid w:val="762E5214"/>
    <w:rsid w:val="76651BD2"/>
    <w:rsid w:val="76675A5D"/>
    <w:rsid w:val="76696660"/>
    <w:rsid w:val="767E572A"/>
    <w:rsid w:val="767E730C"/>
    <w:rsid w:val="76931173"/>
    <w:rsid w:val="76944A39"/>
    <w:rsid w:val="76950FBC"/>
    <w:rsid w:val="76B163FD"/>
    <w:rsid w:val="76C32392"/>
    <w:rsid w:val="76CD062C"/>
    <w:rsid w:val="76D4359C"/>
    <w:rsid w:val="76DA1CAD"/>
    <w:rsid w:val="76EE66F5"/>
    <w:rsid w:val="76F33371"/>
    <w:rsid w:val="76F8090B"/>
    <w:rsid w:val="77033710"/>
    <w:rsid w:val="77206AB2"/>
    <w:rsid w:val="772B089E"/>
    <w:rsid w:val="772C076B"/>
    <w:rsid w:val="773B7C13"/>
    <w:rsid w:val="7741313E"/>
    <w:rsid w:val="77525387"/>
    <w:rsid w:val="775868CA"/>
    <w:rsid w:val="775B1D3E"/>
    <w:rsid w:val="775C1F10"/>
    <w:rsid w:val="77701CC3"/>
    <w:rsid w:val="777032C5"/>
    <w:rsid w:val="77954095"/>
    <w:rsid w:val="779E47F4"/>
    <w:rsid w:val="77AA175A"/>
    <w:rsid w:val="77B070F5"/>
    <w:rsid w:val="77B67AF6"/>
    <w:rsid w:val="77B70EF4"/>
    <w:rsid w:val="77B71080"/>
    <w:rsid w:val="77B855B6"/>
    <w:rsid w:val="77BA4E88"/>
    <w:rsid w:val="780D3330"/>
    <w:rsid w:val="781770A0"/>
    <w:rsid w:val="781C02D3"/>
    <w:rsid w:val="782567A5"/>
    <w:rsid w:val="78281DD1"/>
    <w:rsid w:val="7839732A"/>
    <w:rsid w:val="784120E7"/>
    <w:rsid w:val="78460929"/>
    <w:rsid w:val="78632E2A"/>
    <w:rsid w:val="786A6675"/>
    <w:rsid w:val="78A1455F"/>
    <w:rsid w:val="78A17F99"/>
    <w:rsid w:val="78B164B4"/>
    <w:rsid w:val="78B2790D"/>
    <w:rsid w:val="78B44EA3"/>
    <w:rsid w:val="78B95140"/>
    <w:rsid w:val="78BD078C"/>
    <w:rsid w:val="78D42392"/>
    <w:rsid w:val="78E214F8"/>
    <w:rsid w:val="78E722A6"/>
    <w:rsid w:val="78EF7E10"/>
    <w:rsid w:val="78F10436"/>
    <w:rsid w:val="790463BB"/>
    <w:rsid w:val="79070A72"/>
    <w:rsid w:val="79116E06"/>
    <w:rsid w:val="7916284E"/>
    <w:rsid w:val="7917715F"/>
    <w:rsid w:val="791B3704"/>
    <w:rsid w:val="792C17FD"/>
    <w:rsid w:val="792C3B64"/>
    <w:rsid w:val="793629F7"/>
    <w:rsid w:val="794B3FEA"/>
    <w:rsid w:val="794D31B6"/>
    <w:rsid w:val="795030F2"/>
    <w:rsid w:val="79595022"/>
    <w:rsid w:val="79646E59"/>
    <w:rsid w:val="796B5A23"/>
    <w:rsid w:val="796D676C"/>
    <w:rsid w:val="79870D9A"/>
    <w:rsid w:val="798C6425"/>
    <w:rsid w:val="79A6492F"/>
    <w:rsid w:val="79A85561"/>
    <w:rsid w:val="79B25482"/>
    <w:rsid w:val="79C95DCF"/>
    <w:rsid w:val="79CA1ABB"/>
    <w:rsid w:val="79EE4319"/>
    <w:rsid w:val="79FF1D67"/>
    <w:rsid w:val="7A274CFC"/>
    <w:rsid w:val="7A2B09D6"/>
    <w:rsid w:val="7A513882"/>
    <w:rsid w:val="7A597291"/>
    <w:rsid w:val="7A760650"/>
    <w:rsid w:val="7A887BF2"/>
    <w:rsid w:val="7A9543A7"/>
    <w:rsid w:val="7A9C6A34"/>
    <w:rsid w:val="7AA24531"/>
    <w:rsid w:val="7AB30E59"/>
    <w:rsid w:val="7AC2652D"/>
    <w:rsid w:val="7ACB3368"/>
    <w:rsid w:val="7AD24297"/>
    <w:rsid w:val="7AEB5324"/>
    <w:rsid w:val="7AF1141E"/>
    <w:rsid w:val="7AF97A75"/>
    <w:rsid w:val="7B063660"/>
    <w:rsid w:val="7B0D644D"/>
    <w:rsid w:val="7B18614D"/>
    <w:rsid w:val="7B1C4F98"/>
    <w:rsid w:val="7B212602"/>
    <w:rsid w:val="7B3311D9"/>
    <w:rsid w:val="7B406C2D"/>
    <w:rsid w:val="7B42766E"/>
    <w:rsid w:val="7B4B2CFB"/>
    <w:rsid w:val="7B503B39"/>
    <w:rsid w:val="7B520CA7"/>
    <w:rsid w:val="7B8657AD"/>
    <w:rsid w:val="7B875081"/>
    <w:rsid w:val="7B8A7A76"/>
    <w:rsid w:val="7B8F1963"/>
    <w:rsid w:val="7B95779E"/>
    <w:rsid w:val="7B9713FD"/>
    <w:rsid w:val="7BBC3376"/>
    <w:rsid w:val="7BBD20D4"/>
    <w:rsid w:val="7BD31429"/>
    <w:rsid w:val="7BDE0A0C"/>
    <w:rsid w:val="7BE20509"/>
    <w:rsid w:val="7BE81DB8"/>
    <w:rsid w:val="7BEC1F58"/>
    <w:rsid w:val="7BFC4C99"/>
    <w:rsid w:val="7C1576C6"/>
    <w:rsid w:val="7C1A66F4"/>
    <w:rsid w:val="7C1C1C6D"/>
    <w:rsid w:val="7C3012D4"/>
    <w:rsid w:val="7C307D2D"/>
    <w:rsid w:val="7C5036C5"/>
    <w:rsid w:val="7C54440B"/>
    <w:rsid w:val="7C5B3307"/>
    <w:rsid w:val="7C6747C6"/>
    <w:rsid w:val="7C6E3EFC"/>
    <w:rsid w:val="7C6F1677"/>
    <w:rsid w:val="7C703DFB"/>
    <w:rsid w:val="7C85377B"/>
    <w:rsid w:val="7C887303"/>
    <w:rsid w:val="7C8F68E3"/>
    <w:rsid w:val="7CA155CE"/>
    <w:rsid w:val="7CAD4FBB"/>
    <w:rsid w:val="7CB93A93"/>
    <w:rsid w:val="7CBF43FD"/>
    <w:rsid w:val="7CE002CB"/>
    <w:rsid w:val="7CE81B50"/>
    <w:rsid w:val="7D08662D"/>
    <w:rsid w:val="7D0F6ECD"/>
    <w:rsid w:val="7D180687"/>
    <w:rsid w:val="7D1C21F6"/>
    <w:rsid w:val="7D1F353E"/>
    <w:rsid w:val="7D2256E0"/>
    <w:rsid w:val="7D2471AE"/>
    <w:rsid w:val="7D384885"/>
    <w:rsid w:val="7D403060"/>
    <w:rsid w:val="7D4274B2"/>
    <w:rsid w:val="7D481BF3"/>
    <w:rsid w:val="7D5919D9"/>
    <w:rsid w:val="7D7B45CB"/>
    <w:rsid w:val="7DB55ED6"/>
    <w:rsid w:val="7DB60EBE"/>
    <w:rsid w:val="7DB76AA5"/>
    <w:rsid w:val="7DB83C18"/>
    <w:rsid w:val="7DBB54B6"/>
    <w:rsid w:val="7DCE51E9"/>
    <w:rsid w:val="7DD547CA"/>
    <w:rsid w:val="7DDC7906"/>
    <w:rsid w:val="7DDE2EAA"/>
    <w:rsid w:val="7DE844FD"/>
    <w:rsid w:val="7DF45FDD"/>
    <w:rsid w:val="7DF76897"/>
    <w:rsid w:val="7E106A78"/>
    <w:rsid w:val="7E1352F2"/>
    <w:rsid w:val="7E166F02"/>
    <w:rsid w:val="7E176B90"/>
    <w:rsid w:val="7E1E6E06"/>
    <w:rsid w:val="7E226D6A"/>
    <w:rsid w:val="7E3C09C0"/>
    <w:rsid w:val="7E3E2A9C"/>
    <w:rsid w:val="7E4807C8"/>
    <w:rsid w:val="7E6228D9"/>
    <w:rsid w:val="7E630B36"/>
    <w:rsid w:val="7E6873EC"/>
    <w:rsid w:val="7E6F0F4D"/>
    <w:rsid w:val="7E6F5FE6"/>
    <w:rsid w:val="7E7044F2"/>
    <w:rsid w:val="7E751B09"/>
    <w:rsid w:val="7E77762F"/>
    <w:rsid w:val="7E794EEE"/>
    <w:rsid w:val="7E8615CA"/>
    <w:rsid w:val="7E9975A5"/>
    <w:rsid w:val="7EA67F14"/>
    <w:rsid w:val="7EAE296C"/>
    <w:rsid w:val="7EAF3E0E"/>
    <w:rsid w:val="7EB6125E"/>
    <w:rsid w:val="7ECA1799"/>
    <w:rsid w:val="7ED600FB"/>
    <w:rsid w:val="7EE43205"/>
    <w:rsid w:val="7F0A00D7"/>
    <w:rsid w:val="7F201A75"/>
    <w:rsid w:val="7F26384E"/>
    <w:rsid w:val="7F2C13EE"/>
    <w:rsid w:val="7F2D4191"/>
    <w:rsid w:val="7F3E003F"/>
    <w:rsid w:val="7F413799"/>
    <w:rsid w:val="7F4514DB"/>
    <w:rsid w:val="7F556C77"/>
    <w:rsid w:val="7F6E6151"/>
    <w:rsid w:val="7F7555FC"/>
    <w:rsid w:val="7F972415"/>
    <w:rsid w:val="7F982E42"/>
    <w:rsid w:val="7FA0738E"/>
    <w:rsid w:val="7FA20C8F"/>
    <w:rsid w:val="7FA53D28"/>
    <w:rsid w:val="7FAF431D"/>
    <w:rsid w:val="7FBB79EF"/>
    <w:rsid w:val="7FCD7592"/>
    <w:rsid w:val="7FD34A5A"/>
    <w:rsid w:val="7FDC2445"/>
    <w:rsid w:val="7FDD1714"/>
    <w:rsid w:val="7FF41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2"/>
    <w:basedOn w:val="1"/>
    <w:next w:val="5"/>
    <w:autoRedefine/>
    <w:qFormat/>
    <w:uiPriority w:val="1"/>
    <w:pPr>
      <w:spacing w:before="12"/>
      <w:ind w:left="3685"/>
      <w:outlineLvl w:val="1"/>
    </w:pPr>
    <w:rPr>
      <w:rFonts w:ascii="微软雅黑" w:hAnsi="微软雅黑" w:eastAsia="微软雅黑" w:cs="微软雅黑"/>
      <w:b/>
      <w:bCs/>
      <w:sz w:val="32"/>
      <w:szCs w:val="32"/>
      <w:lang w:val="zh-CN" w:eastAsia="zh-CN" w:bidi="zh-CN"/>
    </w:rPr>
  </w:style>
  <w:style w:type="paragraph" w:styleId="7">
    <w:name w:val="heading 4"/>
    <w:basedOn w:val="1"/>
    <w:next w:val="1"/>
    <w:autoRedefine/>
    <w:qFormat/>
    <w:uiPriority w:val="1"/>
    <w:pPr>
      <w:jc w:val="center"/>
      <w:outlineLvl w:val="3"/>
    </w:pPr>
    <w:rPr>
      <w:rFonts w:ascii="微软雅黑" w:hAnsi="微软雅黑" w:eastAsia="微软雅黑" w:cs="微软雅黑"/>
      <w:b/>
      <w:bCs/>
      <w:sz w:val="28"/>
      <w:szCs w:val="28"/>
      <w:lang w:val="zh-CN" w:eastAsia="zh-CN" w:bidi="zh-CN"/>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0"/>
    <w:pPr>
      <w:spacing w:after="120" w:line="240" w:lineRule="auto"/>
      <w:ind w:left="420" w:leftChars="200" w:firstLine="420"/>
    </w:pPr>
    <w:rPr>
      <w:sz w:val="21"/>
    </w:rPr>
  </w:style>
  <w:style w:type="paragraph" w:styleId="3">
    <w:name w:val="Body Text Indent"/>
    <w:basedOn w:val="1"/>
    <w:autoRedefine/>
    <w:qFormat/>
    <w:uiPriority w:val="0"/>
    <w:pPr>
      <w:spacing w:line="360" w:lineRule="auto"/>
      <w:ind w:firstLine="560" w:firstLineChars="200"/>
    </w:pPr>
    <w:rPr>
      <w:sz w:val="28"/>
    </w:rPr>
  </w:style>
  <w:style w:type="paragraph" w:customStyle="1" w:styleId="5">
    <w:name w:val="文档正文"/>
    <w:basedOn w:val="6"/>
    <w:autoRedefine/>
    <w:qFormat/>
    <w:uiPriority w:val="0"/>
    <w:pPr>
      <w:spacing w:line="480" w:lineRule="atLeast"/>
      <w:textAlignment w:val="baseline"/>
    </w:pPr>
    <w:rPr>
      <w:kern w:val="0"/>
      <w:sz w:val="24"/>
    </w:rPr>
  </w:style>
  <w:style w:type="paragraph" w:styleId="6">
    <w:name w:val="Normal Indent"/>
    <w:basedOn w:val="1"/>
    <w:autoRedefine/>
    <w:qFormat/>
    <w:uiPriority w:val="0"/>
    <w:pPr>
      <w:ind w:firstLine="420"/>
    </w:pPr>
    <w:rPr>
      <w:sz w:val="21"/>
    </w:rPr>
  </w:style>
  <w:style w:type="paragraph" w:styleId="8">
    <w:name w:val="toa heading"/>
    <w:basedOn w:val="1"/>
    <w:next w:val="1"/>
    <w:autoRedefine/>
    <w:qFormat/>
    <w:uiPriority w:val="0"/>
    <w:pPr>
      <w:spacing w:before="120"/>
    </w:pPr>
    <w:rPr>
      <w:rFonts w:ascii="Arial" w:hAnsi="Arial"/>
      <w:sz w:val="24"/>
      <w:szCs w:val="21"/>
    </w:rPr>
  </w:style>
  <w:style w:type="paragraph" w:styleId="9">
    <w:name w:val="index 6"/>
    <w:basedOn w:val="1"/>
    <w:next w:val="1"/>
    <w:autoRedefine/>
    <w:qFormat/>
    <w:uiPriority w:val="99"/>
    <w:pPr>
      <w:ind w:left="2100"/>
    </w:pPr>
  </w:style>
  <w:style w:type="paragraph" w:styleId="10">
    <w:name w:val="Body Text"/>
    <w:basedOn w:val="1"/>
    <w:next w:val="1"/>
    <w:autoRedefine/>
    <w:qFormat/>
    <w:uiPriority w:val="1"/>
    <w:rPr>
      <w:rFonts w:ascii="宋体" w:hAnsi="宋体" w:eastAsia="宋体" w:cs="宋体"/>
      <w:sz w:val="21"/>
      <w:szCs w:val="21"/>
      <w:lang w:val="zh-CN" w:eastAsia="zh-CN" w:bidi="zh-CN"/>
    </w:rPr>
  </w:style>
  <w:style w:type="paragraph" w:styleId="11">
    <w:name w:val="HTML Address"/>
    <w:basedOn w:val="1"/>
    <w:next w:val="10"/>
    <w:unhideWhenUsed/>
    <w:qFormat/>
    <w:uiPriority w:val="99"/>
    <w:pPr>
      <w:topLinePunct/>
    </w:pPr>
  </w:style>
  <w:style w:type="paragraph" w:styleId="12">
    <w:name w:val="Plain Text"/>
    <w:basedOn w:val="1"/>
    <w:autoRedefine/>
    <w:qFormat/>
    <w:uiPriority w:val="0"/>
    <w:rPr>
      <w:rFonts w:ascii="宋体" w:hAnsi="Courier New"/>
      <w:szCs w:val="20"/>
    </w:rPr>
  </w:style>
  <w:style w:type="paragraph" w:styleId="13">
    <w:name w:val="Date"/>
    <w:basedOn w:val="1"/>
    <w:next w:val="1"/>
    <w:autoRedefine/>
    <w:qFormat/>
    <w:uiPriority w:val="0"/>
    <w:rPr>
      <w:szCs w:val="24"/>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footnote text"/>
    <w:basedOn w:val="1"/>
    <w:autoRedefine/>
    <w:qFormat/>
    <w:uiPriority w:val="0"/>
    <w:pPr>
      <w:snapToGrid w:val="0"/>
      <w:spacing w:line="240" w:lineRule="auto"/>
      <w:jc w:val="left"/>
    </w:pPr>
    <w:rPr>
      <w:kern w:val="0"/>
      <w:sz w:val="18"/>
      <w:szCs w:val="18"/>
    </w:rPr>
  </w:style>
  <w:style w:type="paragraph" w:styleId="17">
    <w:name w:val="Message Header"/>
    <w:basedOn w:val="1"/>
    <w:next w:val="12"/>
    <w:autoRedefine/>
    <w:qFormat/>
    <w:uiPriority w:val="0"/>
    <w:pPr>
      <w:keepLines/>
      <w:widowControl/>
      <w:spacing w:after="40" w:line="140" w:lineRule="atLeast"/>
      <w:ind w:left="360"/>
      <w:jc w:val="left"/>
    </w:pPr>
    <w:rPr>
      <w:rFonts w:ascii="Garamond" w:hAnsi="Garamond" w:eastAsia="PMingLiU"/>
      <w:spacing w:val="-5"/>
      <w:kern w:val="0"/>
      <w:sz w:val="24"/>
      <w:szCs w:val="20"/>
      <w:lang w:eastAsia="zh-TW"/>
    </w:rPr>
  </w:style>
  <w:style w:type="paragraph" w:styleId="18">
    <w:name w:val="Normal (Web)"/>
    <w:basedOn w:val="1"/>
    <w:next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10"/>
    <w:autoRedefine/>
    <w:qFormat/>
    <w:uiPriority w:val="0"/>
    <w:pPr>
      <w:spacing w:line="360" w:lineRule="auto"/>
      <w:ind w:firstLine="200" w:firstLineChars="200"/>
    </w:pPr>
    <w:rPr>
      <w:rFonts w:ascii="仿宋_GB2312" w:eastAsia="仿宋_GB2312"/>
      <w:sz w:val="30"/>
      <w:szCs w:val="30"/>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page number"/>
    <w:basedOn w:val="22"/>
    <w:autoRedefine/>
    <w:qFormat/>
    <w:uiPriority w:val="99"/>
  </w:style>
  <w:style w:type="character" w:styleId="25">
    <w:name w:val="Emphasis"/>
    <w:basedOn w:val="22"/>
    <w:autoRedefine/>
    <w:qFormat/>
    <w:uiPriority w:val="0"/>
    <w:rPr>
      <w:i/>
    </w:rPr>
  </w:style>
  <w:style w:type="character" w:styleId="26">
    <w:name w:val="HTML Sample"/>
    <w:basedOn w:val="22"/>
    <w:autoRedefine/>
    <w:qFormat/>
    <w:uiPriority w:val="0"/>
    <w:rPr>
      <w:rFonts w:ascii="Courier New" w:hAnsi="Courier New"/>
    </w:rPr>
  </w:style>
  <w:style w:type="paragraph" w:customStyle="1" w:styleId="27">
    <w:name w:val="Style1"/>
    <w:basedOn w:val="1"/>
    <w:autoRedefine/>
    <w:qFormat/>
    <w:uiPriority w:val="0"/>
    <w:pPr>
      <w:overflowPunct w:val="0"/>
      <w:autoSpaceDE w:val="0"/>
      <w:autoSpaceDN w:val="0"/>
      <w:adjustRightInd w:val="0"/>
      <w:jc w:val="left"/>
      <w:textAlignment w:val="baseline"/>
    </w:pPr>
    <w:rPr>
      <w:rFonts w:ascii="Courier" w:hAnsi="Courier"/>
      <w:kern w:val="0"/>
      <w:sz w:val="20"/>
      <w:szCs w:val="20"/>
    </w:rPr>
  </w:style>
  <w:style w:type="paragraph" w:customStyle="1" w:styleId="28">
    <w:name w:val="目录 81"/>
    <w:basedOn w:val="1"/>
    <w:next w:val="1"/>
    <w:autoRedefine/>
    <w:qFormat/>
    <w:uiPriority w:val="0"/>
    <w:pPr>
      <w:ind w:left="1470"/>
      <w:jc w:val="left"/>
    </w:pPr>
    <w:rPr>
      <w:rFonts w:ascii="Times New Roman" w:hAnsi="Times New Roman" w:eastAsia="宋体" w:cs="Times New Roman"/>
      <w:szCs w:val="21"/>
    </w:rPr>
  </w:style>
  <w:style w:type="paragraph" w:customStyle="1" w:styleId="29">
    <w:name w:val="Normal_1"/>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30">
    <w:name w:val="Normal_1_0"/>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31">
    <w:name w:val="Normal"/>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32">
    <w:name w:val="Table Paragraph"/>
    <w:basedOn w:val="1"/>
    <w:autoRedefine/>
    <w:qFormat/>
    <w:uiPriority w:val="1"/>
    <w:rPr>
      <w:rFonts w:ascii="宋体" w:hAnsi="宋体" w:eastAsia="宋体" w:cs="宋体"/>
      <w:lang w:val="zh-CN" w:eastAsia="zh-CN" w:bidi="zh-CN"/>
    </w:rPr>
  </w:style>
  <w:style w:type="paragraph" w:customStyle="1" w:styleId="33">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lang w:bidi="ar-SA"/>
    </w:rPr>
  </w:style>
  <w:style w:type="paragraph" w:customStyle="1" w:styleId="34">
    <w:name w:val="正文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列出段落1"/>
    <w:basedOn w:val="1"/>
    <w:autoRedefine/>
    <w:qFormat/>
    <w:uiPriority w:val="0"/>
    <w:pPr>
      <w:spacing w:line="240" w:lineRule="auto"/>
      <w:ind w:firstLine="420" w:firstLineChars="200"/>
    </w:pPr>
    <w:rPr>
      <w:sz w:val="21"/>
      <w:szCs w:val="24"/>
    </w:rPr>
  </w:style>
  <w:style w:type="paragraph" w:customStyle="1" w:styleId="36">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7">
    <w:name w:val="WPSOffice手动目录 1"/>
    <w:autoRedefine/>
    <w:qFormat/>
    <w:uiPriority w:val="0"/>
    <w:pPr>
      <w:ind w:leftChars="0"/>
    </w:pPr>
    <w:rPr>
      <w:rFonts w:ascii="Times New Roman" w:hAnsi="Times New Roman" w:eastAsia="宋体" w:cs="Times New Roman"/>
      <w:sz w:val="20"/>
      <w:szCs w:val="20"/>
    </w:rPr>
  </w:style>
  <w:style w:type="paragraph" w:customStyle="1" w:styleId="38">
    <w:name w:val="样式 首行缩进:  2 字符"/>
    <w:basedOn w:val="1"/>
    <w:autoRedefine/>
    <w:qFormat/>
    <w:uiPriority w:val="99"/>
    <w:pPr>
      <w:spacing w:beforeLines="50" w:afterLines="50"/>
      <w:ind w:firstLine="200" w:firstLineChars="200"/>
    </w:pPr>
    <w:rPr>
      <w:rFonts w:eastAsia="仿宋" w:cs="宋体"/>
      <w:sz w:val="24"/>
      <w:szCs w:val="20"/>
    </w:rPr>
  </w:style>
  <w:style w:type="paragraph" w:customStyle="1" w:styleId="39">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40">
    <w:name w:val="WPS Plain"/>
    <w:autoRedefine/>
    <w:qFormat/>
    <w:uiPriority w:val="99"/>
    <w:rPr>
      <w:rFonts w:ascii="Times New Roman" w:hAnsi="Times New Roman" w:eastAsia="宋体" w:cs="Times New Roman"/>
      <w:sz w:val="21"/>
      <w:szCs w:val="22"/>
      <w:lang w:val="en-US" w:eastAsia="zh-CN" w:bidi="ar-SA"/>
    </w:rPr>
  </w:style>
  <w:style w:type="paragraph" w:customStyle="1" w:styleId="41">
    <w:name w:val="正文1"/>
    <w:next w:val="42"/>
    <w:autoRedefine/>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42">
    <w:name w:val="正文缩进1"/>
    <w:basedOn w:val="1"/>
    <w:autoRedefine/>
    <w:qFormat/>
    <w:uiPriority w:val="0"/>
    <w:pPr>
      <w:ind w:firstLine="567"/>
    </w:pPr>
    <w:rPr>
      <w:rFonts w:ascii="Times New Roman" w:hAnsi="Times New Roman" w:eastAsia="宋体" w:cs="Times New Roman"/>
      <w:spacing w:val="20"/>
      <w:sz w:val="24"/>
    </w:rPr>
  </w:style>
  <w:style w:type="paragraph" w:customStyle="1" w:styleId="4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
    <w:name w:val="Table Text"/>
    <w:basedOn w:val="1"/>
    <w:autoRedefine/>
    <w:semiHidden/>
    <w:qFormat/>
    <w:uiPriority w:val="0"/>
    <w:rPr>
      <w:rFonts w:ascii="宋体" w:hAnsi="宋体" w:eastAsia="宋体" w:cs="宋体"/>
      <w:sz w:val="22"/>
      <w:szCs w:val="22"/>
      <w:lang w:val="en-US" w:eastAsia="en-US" w:bidi="ar-SA"/>
    </w:rPr>
  </w:style>
  <w:style w:type="table" w:customStyle="1" w:styleId="4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7231</Words>
  <Characters>7911</Characters>
  <Lines>0</Lines>
  <Paragraphs>0</Paragraphs>
  <TotalTime>6</TotalTime>
  <ScaleCrop>false</ScaleCrop>
  <LinksUpToDate>false</LinksUpToDate>
  <CharactersWithSpaces>8103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2023-05-18T09:27:00Z</dcterms:created>
  <dc:creator>Administrator</dc:creator>
  <cp:lastModifiedBy>Administrator</cp:lastModifiedBy>
  <cp:lastPrinted>2025-02-27T10:07:00Z</cp:lastPrinted>
  <dcterms:modified xsi:type="dcterms:W3CDTF">2025-02-28T11:10:18Z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E1384BB963FE4AEEAD0DB573B423EFED_13</vt:lpwstr>
  </property>
  <property fmtid="{D5CDD505-2E9C-101B-9397-08002B2CF9AE}" pid="4" name="KSOTemplateDocerSaveRecord">
    <vt:lpwstr>eyJoZGlkIjoiN2E2NWY1ZDc1MjE2MzNiMmU2ZmIzYTMxZTliY2ZiNmUiLCJ1c2VySWQiOiIxNTQ4NTc1Mzk2In0=</vt:lpwstr>
  </property>
</Properties>
</file>