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5574912">
      <w:pPr>
        <w:spacing w:line="240" w:lineRule="atLeast"/>
        <w:rPr>
          <w:rFonts w:ascii="仿宋" w:hAnsi="仿宋" w:eastAsia="仿宋" w:cs="仿宋"/>
          <w:bCs/>
          <w:sz w:val="52"/>
          <w:szCs w:val="52"/>
        </w:rPr>
      </w:pPr>
      <w:r>
        <w:rPr>
          <w:rFonts w:hint="eastAsia" w:ascii="仿宋" w:hAnsi="仿宋" w:eastAsia="仿宋" w:cs="仿宋"/>
          <w:bCs/>
          <w:sz w:val="52"/>
          <w:szCs w:val="52"/>
        </w:rPr>
        <w:t xml:space="preserve"> </w:t>
      </w:r>
    </w:p>
    <w:p w14:paraId="501441F4">
      <w:pPr>
        <w:spacing w:line="560" w:lineRule="exact"/>
        <w:jc w:val="center"/>
        <w:rPr>
          <w:rFonts w:hint="eastAsia" w:ascii="仿宋" w:hAnsi="仿宋" w:eastAsia="仿宋" w:cs="仿宋"/>
          <w:b/>
          <w:sz w:val="52"/>
          <w:szCs w:val="52"/>
          <w:lang w:eastAsia="zh-CN"/>
        </w:rPr>
      </w:pPr>
      <w:r>
        <w:rPr>
          <w:rFonts w:hint="eastAsia" w:ascii="仿宋" w:hAnsi="仿宋" w:eastAsia="仿宋" w:cs="仿宋"/>
          <w:b/>
          <w:sz w:val="52"/>
          <w:szCs w:val="52"/>
        </w:rPr>
        <w:t>塔什库尔干塔吉克自治县2025年“三北”工程巩固防沙治沙成果支出项目</w:t>
      </w:r>
      <w:r>
        <w:rPr>
          <w:rFonts w:hint="eastAsia" w:ascii="仿宋" w:hAnsi="仿宋" w:eastAsia="仿宋" w:cs="仿宋"/>
          <w:b/>
          <w:sz w:val="52"/>
          <w:szCs w:val="52"/>
          <w:lang w:eastAsia="zh-CN"/>
        </w:rPr>
        <w:t>（三次）</w:t>
      </w:r>
    </w:p>
    <w:p w14:paraId="13A3EC22">
      <w:pPr>
        <w:spacing w:line="560" w:lineRule="exact"/>
        <w:jc w:val="center"/>
        <w:rPr>
          <w:rFonts w:ascii="仿宋" w:hAnsi="仿宋" w:eastAsia="仿宋" w:cs="仿宋"/>
          <w:b/>
          <w:sz w:val="52"/>
          <w:szCs w:val="52"/>
        </w:rPr>
      </w:pPr>
      <w:r>
        <w:rPr>
          <w:rFonts w:hint="eastAsia" w:ascii="仿宋" w:hAnsi="仿宋" w:eastAsia="仿宋" w:cs="仿宋"/>
          <w:b/>
          <w:sz w:val="52"/>
          <w:szCs w:val="52"/>
        </w:rPr>
        <w:t>公开招标文件</w:t>
      </w:r>
    </w:p>
    <w:p w14:paraId="4DCB2294">
      <w:pPr>
        <w:pStyle w:val="25"/>
        <w:rPr>
          <w:rFonts w:ascii="仿宋" w:hAnsi="仿宋" w:eastAsia="仿宋" w:cs="仿宋"/>
          <w:bCs/>
          <w:sz w:val="52"/>
          <w:szCs w:val="52"/>
        </w:rPr>
      </w:pPr>
      <w:r>
        <w:rPr>
          <w:rFonts w:hint="eastAsia" w:ascii="仿宋" w:hAnsi="仿宋" w:eastAsia="仿宋" w:cs="仿宋"/>
          <w:bCs/>
          <w:sz w:val="52"/>
          <w:szCs w:val="52"/>
        </w:rPr>
        <w:t xml:space="preserve">  </w:t>
      </w:r>
    </w:p>
    <w:p w14:paraId="2D308EBE">
      <w:pPr>
        <w:pStyle w:val="25"/>
        <w:rPr>
          <w:rFonts w:ascii="仿宋" w:hAnsi="仿宋" w:eastAsia="仿宋" w:cs="仿宋"/>
        </w:rPr>
      </w:pPr>
      <w:r>
        <w:rPr>
          <w:rFonts w:hint="eastAsia" w:ascii="仿宋" w:hAnsi="仿宋" w:eastAsia="仿宋" w:cs="仿宋"/>
          <w:bCs/>
          <w:sz w:val="52"/>
          <w:szCs w:val="52"/>
        </w:rPr>
        <w:t xml:space="preserve">        </w:t>
      </w:r>
    </w:p>
    <w:p w14:paraId="388531DD">
      <w:pPr>
        <w:spacing w:line="360" w:lineRule="auto"/>
        <w:jc w:val="center"/>
        <w:rPr>
          <w:rFonts w:ascii="仿宋" w:hAnsi="仿宋" w:eastAsia="仿宋" w:cs="仿宋"/>
          <w:b/>
          <w:bCs/>
          <w:sz w:val="36"/>
          <w:szCs w:val="36"/>
        </w:rPr>
      </w:pPr>
      <w:r>
        <w:rPr>
          <w:rFonts w:hint="eastAsia" w:ascii="仿宋" w:hAnsi="仿宋" w:eastAsia="仿宋" w:cs="仿宋"/>
          <w:b/>
          <w:bCs/>
          <w:sz w:val="36"/>
          <w:szCs w:val="36"/>
        </w:rPr>
        <w:t>（项目编号：</w:t>
      </w:r>
      <w:bookmarkStart w:id="1057" w:name="_GoBack"/>
      <w:r>
        <w:rPr>
          <w:rFonts w:hint="eastAsia" w:ascii="仿宋" w:hAnsi="仿宋" w:eastAsia="仿宋" w:cs="仿宋"/>
          <w:b/>
          <w:bCs/>
          <w:sz w:val="36"/>
          <w:szCs w:val="36"/>
          <w:highlight w:val="none"/>
          <w:lang w:eastAsia="zh-CN"/>
        </w:rPr>
        <w:t>0634-254XZKSQH054</w:t>
      </w:r>
      <w:bookmarkEnd w:id="1057"/>
      <w:r>
        <w:rPr>
          <w:rFonts w:hint="eastAsia" w:ascii="仿宋" w:hAnsi="仿宋" w:eastAsia="仿宋" w:cs="仿宋"/>
          <w:b/>
          <w:bCs/>
          <w:sz w:val="36"/>
          <w:szCs w:val="36"/>
        </w:rPr>
        <w:t>）</w:t>
      </w:r>
    </w:p>
    <w:p w14:paraId="3491E7B3">
      <w:pPr>
        <w:spacing w:line="240" w:lineRule="atLeast"/>
        <w:rPr>
          <w:rFonts w:ascii="仿宋" w:hAnsi="仿宋" w:eastAsia="仿宋" w:cs="仿宋"/>
          <w:b/>
          <w:sz w:val="28"/>
        </w:rPr>
      </w:pPr>
    </w:p>
    <w:p w14:paraId="6BF6B308">
      <w:pPr>
        <w:spacing w:line="240" w:lineRule="atLeast"/>
        <w:ind w:left="2095" w:leftChars="998" w:firstLine="1778" w:firstLineChars="342"/>
        <w:rPr>
          <w:rFonts w:ascii="仿宋" w:hAnsi="仿宋" w:eastAsia="仿宋" w:cs="仿宋"/>
          <w:b/>
          <w:sz w:val="52"/>
        </w:rPr>
      </w:pPr>
      <w:r>
        <w:rPr>
          <w:rFonts w:hint="eastAsia" w:ascii="仿宋" w:hAnsi="仿宋" w:eastAsia="仿宋" w:cs="仿宋"/>
          <w:b/>
          <w:sz w:val="52"/>
        </w:rPr>
        <w:t>(第一册)</w:t>
      </w:r>
    </w:p>
    <w:p w14:paraId="1E4DC406">
      <w:pPr>
        <w:pStyle w:val="11"/>
        <w:rPr>
          <w:rFonts w:ascii="仿宋" w:hAnsi="仿宋" w:eastAsia="仿宋" w:cs="仿宋"/>
        </w:rPr>
      </w:pPr>
    </w:p>
    <w:p w14:paraId="608C234C">
      <w:pPr>
        <w:rPr>
          <w:rFonts w:ascii="仿宋" w:hAnsi="仿宋" w:eastAsia="仿宋" w:cs="仿宋"/>
        </w:rPr>
      </w:pPr>
    </w:p>
    <w:p w14:paraId="0A05A4DB">
      <w:pPr>
        <w:rPr>
          <w:rFonts w:ascii="仿宋" w:hAnsi="仿宋" w:eastAsia="仿宋" w:cs="仿宋"/>
        </w:rPr>
      </w:pPr>
    </w:p>
    <w:p w14:paraId="4FB9D5A1">
      <w:pPr>
        <w:spacing w:line="430" w:lineRule="exact"/>
        <w:ind w:firstLine="1800" w:firstLineChars="600"/>
        <w:rPr>
          <w:rFonts w:ascii="仿宋" w:hAnsi="仿宋" w:eastAsia="仿宋" w:cs="仿宋"/>
          <w:sz w:val="30"/>
          <w:szCs w:val="30"/>
          <w:highlight w:val="yellow"/>
        </w:rPr>
      </w:pPr>
    </w:p>
    <w:p w14:paraId="721E654F">
      <w:pPr>
        <w:pStyle w:val="30"/>
        <w:spacing w:beforeAutospacing="0" w:afterAutospacing="0" w:line="360" w:lineRule="exact"/>
        <w:ind w:firstLine="1800" w:firstLineChars="600"/>
        <w:rPr>
          <w:rFonts w:ascii="仿宋" w:hAnsi="仿宋" w:eastAsia="仿宋" w:cs="仿宋"/>
          <w:b/>
          <w:bCs/>
          <w:sz w:val="30"/>
          <w:szCs w:val="30"/>
        </w:rPr>
      </w:pPr>
      <w:r>
        <w:rPr>
          <w:rFonts w:hint="eastAsia" w:ascii="仿宋" w:hAnsi="仿宋" w:eastAsia="仿宋" w:cs="仿宋"/>
          <w:b/>
          <w:bCs/>
          <w:sz w:val="30"/>
          <w:szCs w:val="30"/>
        </w:rPr>
        <w:t>采购单位：塔什库尔干塔吉克自治县自然资源局</w:t>
      </w:r>
    </w:p>
    <w:p w14:paraId="36AB7324">
      <w:pPr>
        <w:pStyle w:val="30"/>
        <w:spacing w:beforeAutospacing="0" w:afterAutospacing="0" w:line="360" w:lineRule="exact"/>
        <w:ind w:firstLine="1800" w:firstLineChars="600"/>
        <w:rPr>
          <w:rFonts w:ascii="仿宋" w:hAnsi="仿宋" w:eastAsia="仿宋" w:cs="仿宋"/>
          <w:b/>
          <w:bCs/>
          <w:kern w:val="2"/>
          <w:sz w:val="30"/>
          <w:szCs w:val="30"/>
        </w:rPr>
      </w:pPr>
      <w:r>
        <w:rPr>
          <w:rFonts w:hint="eastAsia" w:ascii="仿宋" w:hAnsi="仿宋" w:eastAsia="仿宋" w:cs="仿宋"/>
          <w:b/>
          <w:bCs/>
          <w:kern w:val="2"/>
          <w:sz w:val="30"/>
          <w:szCs w:val="30"/>
        </w:rPr>
        <w:t>联 系 人：肉孜巴依</w:t>
      </w:r>
    </w:p>
    <w:p w14:paraId="0F113E99">
      <w:pPr>
        <w:spacing w:line="430" w:lineRule="exact"/>
        <w:ind w:firstLine="1800" w:firstLineChars="600"/>
        <w:rPr>
          <w:rFonts w:ascii="仿宋" w:hAnsi="仿宋" w:eastAsia="仿宋" w:cs="仿宋"/>
          <w:sz w:val="30"/>
          <w:szCs w:val="30"/>
        </w:rPr>
      </w:pPr>
      <w:r>
        <w:rPr>
          <w:rFonts w:hint="eastAsia" w:ascii="仿宋" w:hAnsi="仿宋" w:eastAsia="仿宋" w:cs="仿宋"/>
          <w:b/>
          <w:bCs/>
          <w:sz w:val="30"/>
          <w:szCs w:val="30"/>
        </w:rPr>
        <w:t>联系电话：13899177426</w:t>
      </w:r>
    </w:p>
    <w:p w14:paraId="4AC47A0E">
      <w:pPr>
        <w:pStyle w:val="25"/>
        <w:rPr>
          <w:rFonts w:ascii="仿宋" w:hAnsi="仿宋" w:eastAsia="仿宋" w:cs="仿宋"/>
          <w:b/>
          <w:bCs/>
          <w:sz w:val="30"/>
          <w:szCs w:val="30"/>
        </w:rPr>
      </w:pPr>
    </w:p>
    <w:p w14:paraId="382E5A84">
      <w:pPr>
        <w:pStyle w:val="30"/>
        <w:spacing w:beforeAutospacing="0" w:afterAutospacing="0" w:line="360" w:lineRule="exact"/>
        <w:ind w:firstLine="1800" w:firstLineChars="600"/>
        <w:rPr>
          <w:rFonts w:ascii="仿宋" w:hAnsi="仿宋" w:eastAsia="仿宋" w:cs="仿宋"/>
          <w:b/>
          <w:bCs/>
          <w:sz w:val="30"/>
          <w:szCs w:val="30"/>
        </w:rPr>
      </w:pPr>
      <w:bookmarkStart w:id="0" w:name="_Toc8272"/>
      <w:bookmarkStart w:id="1" w:name="_Toc31178"/>
      <w:bookmarkStart w:id="2" w:name="_Toc5471"/>
      <w:bookmarkStart w:id="3" w:name="_Toc13334"/>
      <w:bookmarkStart w:id="4" w:name="_Toc26793"/>
      <w:bookmarkStart w:id="5" w:name="_Toc15055"/>
      <w:bookmarkStart w:id="6" w:name="_Toc18867"/>
      <w:bookmarkStart w:id="7" w:name="_Toc1687"/>
      <w:bookmarkStart w:id="8" w:name="_Toc2510"/>
    </w:p>
    <w:p w14:paraId="096FFC6A">
      <w:pPr>
        <w:pStyle w:val="30"/>
        <w:spacing w:beforeAutospacing="0" w:afterAutospacing="0" w:line="360" w:lineRule="exact"/>
        <w:ind w:firstLine="1800" w:firstLineChars="600"/>
        <w:rPr>
          <w:rFonts w:ascii="仿宋" w:hAnsi="仿宋" w:eastAsia="仿宋" w:cs="仿宋"/>
          <w:b/>
          <w:bCs/>
          <w:sz w:val="30"/>
          <w:szCs w:val="30"/>
        </w:rPr>
      </w:pPr>
      <w:r>
        <w:rPr>
          <w:rFonts w:hint="eastAsia" w:ascii="仿宋" w:hAnsi="仿宋" w:eastAsia="仿宋" w:cs="仿宋"/>
          <w:b/>
          <w:bCs/>
          <w:sz w:val="30"/>
          <w:szCs w:val="30"/>
        </w:rPr>
        <w:t xml:space="preserve">采购代理机构：新疆招标有限公司  </w:t>
      </w:r>
    </w:p>
    <w:p w14:paraId="6ACBB62E">
      <w:pPr>
        <w:pStyle w:val="30"/>
        <w:spacing w:beforeAutospacing="0" w:afterAutospacing="0" w:line="360" w:lineRule="exact"/>
        <w:ind w:firstLine="1800" w:firstLineChars="600"/>
        <w:rPr>
          <w:rFonts w:ascii="仿宋" w:hAnsi="仿宋" w:eastAsia="仿宋" w:cs="仿宋"/>
          <w:b/>
          <w:bCs/>
          <w:sz w:val="30"/>
          <w:szCs w:val="30"/>
        </w:rPr>
      </w:pPr>
      <w:r>
        <w:rPr>
          <w:rFonts w:hint="eastAsia" w:ascii="仿宋" w:hAnsi="仿宋" w:eastAsia="仿宋" w:cs="仿宋"/>
          <w:b/>
          <w:bCs/>
          <w:sz w:val="30"/>
          <w:szCs w:val="30"/>
        </w:rPr>
        <w:t>联 系 人：胡小凤</w:t>
      </w:r>
    </w:p>
    <w:p w14:paraId="74CB04E1">
      <w:pPr>
        <w:spacing w:line="360" w:lineRule="auto"/>
        <w:ind w:firstLine="1800" w:firstLineChars="600"/>
        <w:rPr>
          <w:rFonts w:ascii="仿宋" w:hAnsi="仿宋" w:eastAsia="仿宋" w:cs="仿宋"/>
          <w:sz w:val="30"/>
          <w:szCs w:val="30"/>
        </w:rPr>
      </w:pPr>
      <w:r>
        <w:rPr>
          <w:rFonts w:hint="eastAsia" w:ascii="仿宋" w:hAnsi="仿宋" w:eastAsia="仿宋" w:cs="仿宋"/>
          <w:b/>
          <w:bCs/>
          <w:sz w:val="30"/>
          <w:szCs w:val="30"/>
        </w:rPr>
        <w:t>联系电话：18409052036</w:t>
      </w:r>
    </w:p>
    <w:p w14:paraId="00DEB793">
      <w:pPr>
        <w:spacing w:line="360" w:lineRule="auto"/>
        <w:ind w:firstLine="5400" w:firstLineChars="1800"/>
        <w:rPr>
          <w:rFonts w:ascii="仿宋" w:hAnsi="仿宋" w:eastAsia="仿宋" w:cs="仿宋"/>
          <w:b/>
          <w:bCs/>
          <w:sz w:val="30"/>
          <w:szCs w:val="30"/>
        </w:rPr>
      </w:pPr>
      <w:r>
        <w:rPr>
          <w:rFonts w:hint="eastAsia" w:ascii="仿宋" w:hAnsi="仿宋" w:eastAsia="仿宋" w:cs="仿宋"/>
          <w:b/>
          <w:bCs/>
          <w:sz w:val="30"/>
          <w:szCs w:val="30"/>
        </w:rPr>
        <w:t>发出日期：2025年</w:t>
      </w:r>
      <w:r>
        <w:rPr>
          <w:rFonts w:hint="eastAsia" w:ascii="仿宋" w:hAnsi="仿宋" w:eastAsia="仿宋" w:cs="仿宋"/>
          <w:b/>
          <w:bCs/>
          <w:sz w:val="30"/>
          <w:szCs w:val="30"/>
          <w:lang w:val="en-US" w:eastAsia="zh-CN"/>
        </w:rPr>
        <w:t>4</w:t>
      </w:r>
      <w:r>
        <w:rPr>
          <w:rFonts w:hint="eastAsia" w:ascii="仿宋" w:hAnsi="仿宋" w:eastAsia="仿宋" w:cs="仿宋"/>
          <w:b/>
          <w:bCs/>
          <w:sz w:val="30"/>
          <w:szCs w:val="30"/>
        </w:rPr>
        <w:t>月</w:t>
      </w:r>
    </w:p>
    <w:p w14:paraId="214346C9">
      <w:pPr>
        <w:spacing w:line="240" w:lineRule="atLeast"/>
        <w:ind w:left="1079" w:leftChars="257" w:hanging="540"/>
        <w:jc w:val="center"/>
        <w:rPr>
          <w:rFonts w:ascii="仿宋" w:hAnsi="仿宋" w:eastAsia="仿宋" w:cs="仿宋"/>
          <w:b/>
          <w:sz w:val="32"/>
        </w:rPr>
      </w:pPr>
    </w:p>
    <w:p w14:paraId="0601CB5A">
      <w:pPr>
        <w:spacing w:line="240" w:lineRule="atLeast"/>
        <w:ind w:left="1079" w:leftChars="257" w:hanging="540"/>
        <w:jc w:val="center"/>
        <w:rPr>
          <w:rFonts w:ascii="仿宋" w:hAnsi="仿宋" w:eastAsia="仿宋" w:cs="仿宋"/>
          <w:b/>
          <w:sz w:val="32"/>
        </w:rPr>
      </w:pPr>
    </w:p>
    <w:p w14:paraId="03A75B7F">
      <w:pPr>
        <w:spacing w:line="240" w:lineRule="atLeast"/>
        <w:ind w:left="1079" w:leftChars="257" w:hanging="540"/>
        <w:jc w:val="center"/>
        <w:rPr>
          <w:rFonts w:ascii="仿宋" w:hAnsi="仿宋" w:eastAsia="仿宋" w:cs="仿宋"/>
          <w:b/>
          <w:sz w:val="32"/>
        </w:rPr>
      </w:pPr>
    </w:p>
    <w:p w14:paraId="6E6D9FD7">
      <w:pPr>
        <w:spacing w:line="240" w:lineRule="atLeast"/>
        <w:ind w:left="1079" w:leftChars="257" w:hanging="540"/>
        <w:jc w:val="center"/>
        <w:rPr>
          <w:rFonts w:ascii="仿宋" w:hAnsi="仿宋" w:eastAsia="仿宋" w:cs="仿宋"/>
          <w:b/>
          <w:sz w:val="32"/>
        </w:rPr>
      </w:pPr>
    </w:p>
    <w:p w14:paraId="5F936D72">
      <w:pPr>
        <w:spacing w:line="240" w:lineRule="atLeast"/>
        <w:ind w:left="1079" w:leftChars="257" w:hanging="540"/>
        <w:jc w:val="center"/>
        <w:rPr>
          <w:rFonts w:ascii="仿宋" w:hAnsi="仿宋" w:eastAsia="仿宋" w:cs="仿宋"/>
          <w:b/>
          <w:sz w:val="32"/>
        </w:rPr>
      </w:pPr>
      <w:r>
        <w:rPr>
          <w:rFonts w:hint="eastAsia" w:ascii="仿宋" w:hAnsi="仿宋" w:eastAsia="仿宋" w:cs="仿宋"/>
          <w:b/>
          <w:sz w:val="32"/>
        </w:rPr>
        <w:t>目  录</w:t>
      </w:r>
    </w:p>
    <w:p w14:paraId="390DF3E8">
      <w:pPr>
        <w:pStyle w:val="23"/>
        <w:tabs>
          <w:tab w:val="right" w:leader="dot" w:pos="9786"/>
        </w:tabs>
        <w:rPr>
          <w:rFonts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TOC \o "1-3" \h \u </w:instrText>
      </w:r>
      <w:r>
        <w:rPr>
          <w:rFonts w:hint="eastAsia" w:ascii="仿宋" w:hAnsi="仿宋" w:eastAsia="仿宋" w:cs="仿宋"/>
        </w:rPr>
        <w:fldChar w:fldCharType="separate"/>
      </w:r>
      <w:r>
        <w:fldChar w:fldCharType="begin"/>
      </w:r>
      <w:r>
        <w:instrText xml:space="preserve"> HYPERLINK \l "_Toc29113" </w:instrText>
      </w:r>
      <w:r>
        <w:fldChar w:fldCharType="separate"/>
      </w:r>
      <w:r>
        <w:rPr>
          <w:rFonts w:hint="eastAsia" w:ascii="仿宋" w:hAnsi="仿宋" w:eastAsia="仿宋" w:cs="仿宋"/>
          <w:kern w:val="0"/>
          <w:szCs w:val="44"/>
        </w:rPr>
        <w:t>第一章</w:t>
      </w:r>
      <w:r>
        <w:rPr>
          <w:rFonts w:hint="eastAsia" w:ascii="仿宋" w:hAnsi="仿宋" w:eastAsia="仿宋" w:cs="仿宋"/>
          <w:szCs w:val="44"/>
        </w:rPr>
        <w:t xml:space="preserve">  投标人须知</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_Toc29113 \h </w:instrText>
      </w:r>
      <w:r>
        <w:rPr>
          <w:rFonts w:hint="eastAsia" w:ascii="仿宋" w:hAnsi="仿宋" w:eastAsia="仿宋" w:cs="仿宋"/>
        </w:rPr>
        <w:fldChar w:fldCharType="separate"/>
      </w:r>
      <w:r>
        <w:rPr>
          <w:rFonts w:hint="eastAsia" w:ascii="仿宋" w:hAnsi="仿宋" w:eastAsia="仿宋" w:cs="仿宋"/>
        </w:rPr>
        <w:t>1</w:t>
      </w:r>
      <w:r>
        <w:rPr>
          <w:rFonts w:hint="eastAsia" w:ascii="仿宋" w:hAnsi="仿宋" w:eastAsia="仿宋" w:cs="仿宋"/>
        </w:rPr>
        <w:fldChar w:fldCharType="end"/>
      </w:r>
      <w:r>
        <w:rPr>
          <w:rFonts w:hint="eastAsia" w:ascii="仿宋" w:hAnsi="仿宋" w:eastAsia="仿宋" w:cs="仿宋"/>
        </w:rPr>
        <w:fldChar w:fldCharType="end"/>
      </w:r>
    </w:p>
    <w:p w14:paraId="69AD1925">
      <w:pPr>
        <w:pStyle w:val="28"/>
        <w:tabs>
          <w:tab w:val="right" w:leader="dot" w:pos="9786"/>
        </w:tabs>
        <w:rPr>
          <w:rFonts w:ascii="仿宋" w:hAnsi="仿宋" w:eastAsia="仿宋" w:cs="仿宋"/>
        </w:rPr>
      </w:pPr>
      <w:r>
        <w:fldChar w:fldCharType="begin"/>
      </w:r>
      <w:r>
        <w:instrText xml:space="preserve"> HYPERLINK \l "_Toc3977" </w:instrText>
      </w:r>
      <w:r>
        <w:fldChar w:fldCharType="separate"/>
      </w:r>
      <w:r>
        <w:rPr>
          <w:rFonts w:hint="eastAsia" w:ascii="仿宋" w:hAnsi="仿宋" w:eastAsia="仿宋" w:cs="仿宋"/>
        </w:rPr>
        <w:t>一   总 则</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_Toc3977 \h </w:instrText>
      </w:r>
      <w:r>
        <w:rPr>
          <w:rFonts w:hint="eastAsia" w:ascii="仿宋" w:hAnsi="仿宋" w:eastAsia="仿宋" w:cs="仿宋"/>
        </w:rPr>
        <w:fldChar w:fldCharType="separate"/>
      </w:r>
      <w:r>
        <w:rPr>
          <w:rFonts w:hint="eastAsia" w:ascii="仿宋" w:hAnsi="仿宋" w:eastAsia="仿宋" w:cs="仿宋"/>
        </w:rPr>
        <w:t>1</w:t>
      </w:r>
      <w:r>
        <w:rPr>
          <w:rFonts w:hint="eastAsia" w:ascii="仿宋" w:hAnsi="仿宋" w:eastAsia="仿宋" w:cs="仿宋"/>
        </w:rPr>
        <w:fldChar w:fldCharType="end"/>
      </w:r>
      <w:r>
        <w:rPr>
          <w:rFonts w:hint="eastAsia" w:ascii="仿宋" w:hAnsi="仿宋" w:eastAsia="仿宋" w:cs="仿宋"/>
        </w:rPr>
        <w:fldChar w:fldCharType="end"/>
      </w:r>
    </w:p>
    <w:p w14:paraId="28677044">
      <w:pPr>
        <w:pStyle w:val="15"/>
        <w:tabs>
          <w:tab w:val="right" w:leader="dot" w:pos="9786"/>
          <w:tab w:val="clear" w:pos="1260"/>
          <w:tab w:val="clear" w:pos="8630"/>
        </w:tabs>
        <w:rPr>
          <w:rFonts w:ascii="仿宋" w:hAnsi="仿宋" w:eastAsia="仿宋" w:cs="仿宋"/>
        </w:rPr>
      </w:pPr>
      <w:r>
        <w:fldChar w:fldCharType="begin"/>
      </w:r>
      <w:r>
        <w:instrText xml:space="preserve"> HYPERLINK \l "_Toc30658" </w:instrText>
      </w:r>
      <w:r>
        <w:fldChar w:fldCharType="separate"/>
      </w:r>
      <w:r>
        <w:rPr>
          <w:rFonts w:hint="eastAsia" w:ascii="仿宋" w:hAnsi="仿宋" w:eastAsia="仿宋" w:cs="仿宋"/>
        </w:rPr>
        <w:t>1.采购人、采购代理机构及投标人</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_Toc30658 \h </w:instrText>
      </w:r>
      <w:r>
        <w:rPr>
          <w:rFonts w:hint="eastAsia" w:ascii="仿宋" w:hAnsi="仿宋" w:eastAsia="仿宋" w:cs="仿宋"/>
        </w:rPr>
        <w:fldChar w:fldCharType="separate"/>
      </w:r>
      <w:r>
        <w:rPr>
          <w:rFonts w:hint="eastAsia" w:ascii="仿宋" w:hAnsi="仿宋" w:eastAsia="仿宋" w:cs="仿宋"/>
        </w:rPr>
        <w:t>1</w:t>
      </w:r>
      <w:r>
        <w:rPr>
          <w:rFonts w:hint="eastAsia" w:ascii="仿宋" w:hAnsi="仿宋" w:eastAsia="仿宋" w:cs="仿宋"/>
        </w:rPr>
        <w:fldChar w:fldCharType="end"/>
      </w:r>
      <w:r>
        <w:rPr>
          <w:rFonts w:hint="eastAsia" w:ascii="仿宋" w:hAnsi="仿宋" w:eastAsia="仿宋" w:cs="仿宋"/>
        </w:rPr>
        <w:fldChar w:fldCharType="end"/>
      </w:r>
    </w:p>
    <w:p w14:paraId="4C4DA8B1">
      <w:pPr>
        <w:pStyle w:val="15"/>
        <w:tabs>
          <w:tab w:val="right" w:leader="dot" w:pos="9786"/>
          <w:tab w:val="clear" w:pos="1260"/>
          <w:tab w:val="clear" w:pos="8630"/>
        </w:tabs>
        <w:rPr>
          <w:rFonts w:ascii="仿宋" w:hAnsi="仿宋" w:eastAsia="仿宋" w:cs="仿宋"/>
        </w:rPr>
      </w:pPr>
      <w:r>
        <w:fldChar w:fldCharType="begin"/>
      </w:r>
      <w:r>
        <w:instrText xml:space="preserve"> HYPERLINK \l "_Toc20103" </w:instrText>
      </w:r>
      <w:r>
        <w:fldChar w:fldCharType="separate"/>
      </w:r>
      <w:r>
        <w:rPr>
          <w:rFonts w:hint="eastAsia" w:ascii="仿宋" w:hAnsi="仿宋" w:eastAsia="仿宋" w:cs="仿宋"/>
        </w:rPr>
        <w:t>2.资金来源</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_Toc20103 \h </w:instrText>
      </w:r>
      <w:r>
        <w:rPr>
          <w:rFonts w:hint="eastAsia" w:ascii="仿宋" w:hAnsi="仿宋" w:eastAsia="仿宋" w:cs="仿宋"/>
        </w:rPr>
        <w:fldChar w:fldCharType="separate"/>
      </w:r>
      <w:r>
        <w:rPr>
          <w:rFonts w:hint="eastAsia" w:ascii="仿宋" w:hAnsi="仿宋" w:eastAsia="仿宋" w:cs="仿宋"/>
        </w:rPr>
        <w:t>2</w:t>
      </w:r>
      <w:r>
        <w:rPr>
          <w:rFonts w:hint="eastAsia" w:ascii="仿宋" w:hAnsi="仿宋" w:eastAsia="仿宋" w:cs="仿宋"/>
        </w:rPr>
        <w:fldChar w:fldCharType="end"/>
      </w:r>
      <w:r>
        <w:rPr>
          <w:rFonts w:hint="eastAsia" w:ascii="仿宋" w:hAnsi="仿宋" w:eastAsia="仿宋" w:cs="仿宋"/>
        </w:rPr>
        <w:fldChar w:fldCharType="end"/>
      </w:r>
    </w:p>
    <w:p w14:paraId="45F03556">
      <w:pPr>
        <w:pStyle w:val="15"/>
        <w:tabs>
          <w:tab w:val="right" w:leader="dot" w:pos="9786"/>
          <w:tab w:val="clear" w:pos="1260"/>
          <w:tab w:val="clear" w:pos="8630"/>
        </w:tabs>
        <w:rPr>
          <w:rFonts w:ascii="仿宋" w:hAnsi="仿宋" w:eastAsia="仿宋" w:cs="仿宋"/>
        </w:rPr>
      </w:pPr>
      <w:r>
        <w:fldChar w:fldCharType="begin"/>
      </w:r>
      <w:r>
        <w:instrText xml:space="preserve"> HYPERLINK \l "_Toc24214" </w:instrText>
      </w:r>
      <w:r>
        <w:fldChar w:fldCharType="separate"/>
      </w:r>
      <w:r>
        <w:rPr>
          <w:rFonts w:hint="eastAsia" w:ascii="仿宋" w:hAnsi="仿宋" w:eastAsia="仿宋" w:cs="仿宋"/>
        </w:rPr>
        <w:t>3.投标费用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_Toc24214 \h </w:instrText>
      </w:r>
      <w:r>
        <w:rPr>
          <w:rFonts w:hint="eastAsia" w:ascii="仿宋" w:hAnsi="仿宋" w:eastAsia="仿宋" w:cs="仿宋"/>
        </w:rPr>
        <w:fldChar w:fldCharType="separate"/>
      </w:r>
      <w:r>
        <w:rPr>
          <w:rFonts w:hint="eastAsia" w:ascii="仿宋" w:hAnsi="仿宋" w:eastAsia="仿宋" w:cs="仿宋"/>
        </w:rPr>
        <w:t>2</w:t>
      </w:r>
      <w:r>
        <w:rPr>
          <w:rFonts w:hint="eastAsia" w:ascii="仿宋" w:hAnsi="仿宋" w:eastAsia="仿宋" w:cs="仿宋"/>
        </w:rPr>
        <w:fldChar w:fldCharType="end"/>
      </w:r>
      <w:r>
        <w:rPr>
          <w:rFonts w:hint="eastAsia" w:ascii="仿宋" w:hAnsi="仿宋" w:eastAsia="仿宋" w:cs="仿宋"/>
        </w:rPr>
        <w:fldChar w:fldCharType="end"/>
      </w:r>
    </w:p>
    <w:p w14:paraId="53E448CE">
      <w:pPr>
        <w:pStyle w:val="15"/>
        <w:tabs>
          <w:tab w:val="right" w:leader="dot" w:pos="9786"/>
          <w:tab w:val="clear" w:pos="1260"/>
          <w:tab w:val="clear" w:pos="8630"/>
        </w:tabs>
        <w:rPr>
          <w:rFonts w:ascii="仿宋" w:hAnsi="仿宋" w:eastAsia="仿宋" w:cs="仿宋"/>
        </w:rPr>
      </w:pPr>
      <w:r>
        <w:fldChar w:fldCharType="begin"/>
      </w:r>
      <w:r>
        <w:instrText xml:space="preserve"> HYPERLINK \l "_Toc26945" </w:instrText>
      </w:r>
      <w:r>
        <w:fldChar w:fldCharType="separate"/>
      </w:r>
      <w:r>
        <w:rPr>
          <w:rFonts w:hint="eastAsia" w:ascii="仿宋" w:hAnsi="仿宋" w:eastAsia="仿宋" w:cs="仿宋"/>
        </w:rPr>
        <w:t>4.适用法律</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_Toc26945 \h </w:instrText>
      </w:r>
      <w:r>
        <w:rPr>
          <w:rFonts w:hint="eastAsia" w:ascii="仿宋" w:hAnsi="仿宋" w:eastAsia="仿宋" w:cs="仿宋"/>
        </w:rPr>
        <w:fldChar w:fldCharType="separate"/>
      </w:r>
      <w:r>
        <w:rPr>
          <w:rFonts w:hint="eastAsia" w:ascii="仿宋" w:hAnsi="仿宋" w:eastAsia="仿宋" w:cs="仿宋"/>
        </w:rPr>
        <w:t>2</w:t>
      </w:r>
      <w:r>
        <w:rPr>
          <w:rFonts w:hint="eastAsia" w:ascii="仿宋" w:hAnsi="仿宋" w:eastAsia="仿宋" w:cs="仿宋"/>
        </w:rPr>
        <w:fldChar w:fldCharType="end"/>
      </w:r>
      <w:r>
        <w:rPr>
          <w:rFonts w:hint="eastAsia" w:ascii="仿宋" w:hAnsi="仿宋" w:eastAsia="仿宋" w:cs="仿宋"/>
        </w:rPr>
        <w:fldChar w:fldCharType="end"/>
      </w:r>
    </w:p>
    <w:p w14:paraId="70060727">
      <w:pPr>
        <w:pStyle w:val="28"/>
        <w:tabs>
          <w:tab w:val="right" w:leader="dot" w:pos="9786"/>
        </w:tabs>
        <w:rPr>
          <w:rFonts w:ascii="仿宋" w:hAnsi="仿宋" w:eastAsia="仿宋" w:cs="仿宋"/>
        </w:rPr>
      </w:pPr>
      <w:r>
        <w:fldChar w:fldCharType="begin"/>
      </w:r>
      <w:r>
        <w:instrText xml:space="preserve"> HYPERLINK \l "_Toc28905" </w:instrText>
      </w:r>
      <w:r>
        <w:fldChar w:fldCharType="separate"/>
      </w:r>
      <w:r>
        <w:rPr>
          <w:rFonts w:hint="eastAsia" w:ascii="仿宋" w:hAnsi="仿宋" w:eastAsia="仿宋" w:cs="仿宋"/>
        </w:rPr>
        <w:t>二   招标文件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_Toc28905 \h </w:instrText>
      </w:r>
      <w:r>
        <w:rPr>
          <w:rFonts w:hint="eastAsia" w:ascii="仿宋" w:hAnsi="仿宋" w:eastAsia="仿宋" w:cs="仿宋"/>
        </w:rPr>
        <w:fldChar w:fldCharType="separate"/>
      </w:r>
      <w:r>
        <w:rPr>
          <w:rFonts w:hint="eastAsia" w:ascii="仿宋" w:hAnsi="仿宋" w:eastAsia="仿宋" w:cs="仿宋"/>
        </w:rPr>
        <w:t>2</w:t>
      </w:r>
      <w:r>
        <w:rPr>
          <w:rFonts w:hint="eastAsia" w:ascii="仿宋" w:hAnsi="仿宋" w:eastAsia="仿宋" w:cs="仿宋"/>
        </w:rPr>
        <w:fldChar w:fldCharType="end"/>
      </w:r>
      <w:r>
        <w:rPr>
          <w:rFonts w:hint="eastAsia" w:ascii="仿宋" w:hAnsi="仿宋" w:eastAsia="仿宋" w:cs="仿宋"/>
        </w:rPr>
        <w:fldChar w:fldCharType="end"/>
      </w:r>
    </w:p>
    <w:p w14:paraId="20560EF0">
      <w:pPr>
        <w:pStyle w:val="15"/>
        <w:tabs>
          <w:tab w:val="right" w:leader="dot" w:pos="9786"/>
          <w:tab w:val="clear" w:pos="1260"/>
          <w:tab w:val="clear" w:pos="8630"/>
        </w:tabs>
        <w:rPr>
          <w:rFonts w:ascii="仿宋" w:hAnsi="仿宋" w:eastAsia="仿宋" w:cs="仿宋"/>
        </w:rPr>
      </w:pPr>
      <w:r>
        <w:fldChar w:fldCharType="begin"/>
      </w:r>
      <w:r>
        <w:instrText xml:space="preserve"> HYPERLINK \l "_Toc6762" </w:instrText>
      </w:r>
      <w:r>
        <w:fldChar w:fldCharType="separate"/>
      </w:r>
      <w:r>
        <w:rPr>
          <w:rFonts w:hint="eastAsia" w:ascii="仿宋" w:hAnsi="仿宋" w:eastAsia="仿宋" w:cs="仿宋"/>
        </w:rPr>
        <w:t>5.招标文件构成</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_Toc6762 \h </w:instrText>
      </w:r>
      <w:r>
        <w:rPr>
          <w:rFonts w:hint="eastAsia" w:ascii="仿宋" w:hAnsi="仿宋" w:eastAsia="仿宋" w:cs="仿宋"/>
        </w:rPr>
        <w:fldChar w:fldCharType="separate"/>
      </w:r>
      <w:r>
        <w:rPr>
          <w:rFonts w:hint="eastAsia" w:ascii="仿宋" w:hAnsi="仿宋" w:eastAsia="仿宋" w:cs="仿宋"/>
        </w:rPr>
        <w:t>2</w:t>
      </w:r>
      <w:r>
        <w:rPr>
          <w:rFonts w:hint="eastAsia" w:ascii="仿宋" w:hAnsi="仿宋" w:eastAsia="仿宋" w:cs="仿宋"/>
        </w:rPr>
        <w:fldChar w:fldCharType="end"/>
      </w:r>
      <w:r>
        <w:rPr>
          <w:rFonts w:hint="eastAsia" w:ascii="仿宋" w:hAnsi="仿宋" w:eastAsia="仿宋" w:cs="仿宋"/>
        </w:rPr>
        <w:fldChar w:fldCharType="end"/>
      </w:r>
    </w:p>
    <w:p w14:paraId="65905250">
      <w:pPr>
        <w:pStyle w:val="15"/>
        <w:tabs>
          <w:tab w:val="right" w:leader="dot" w:pos="9786"/>
          <w:tab w:val="clear" w:pos="1260"/>
          <w:tab w:val="clear" w:pos="8630"/>
        </w:tabs>
        <w:rPr>
          <w:rFonts w:ascii="仿宋" w:hAnsi="仿宋" w:eastAsia="仿宋" w:cs="仿宋"/>
        </w:rPr>
      </w:pPr>
      <w:r>
        <w:fldChar w:fldCharType="begin"/>
      </w:r>
      <w:r>
        <w:instrText xml:space="preserve"> HYPERLINK \l "_Toc30248" </w:instrText>
      </w:r>
      <w:r>
        <w:fldChar w:fldCharType="separate"/>
      </w:r>
      <w:r>
        <w:rPr>
          <w:rFonts w:hint="eastAsia" w:ascii="仿宋" w:hAnsi="仿宋" w:eastAsia="仿宋" w:cs="仿宋"/>
        </w:rPr>
        <w:t>6.招标文件的澄清与修改</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_Toc30248 \h </w:instrText>
      </w:r>
      <w:r>
        <w:rPr>
          <w:rFonts w:hint="eastAsia" w:ascii="仿宋" w:hAnsi="仿宋" w:eastAsia="仿宋" w:cs="仿宋"/>
        </w:rPr>
        <w:fldChar w:fldCharType="separate"/>
      </w:r>
      <w:r>
        <w:rPr>
          <w:rFonts w:hint="eastAsia" w:ascii="仿宋" w:hAnsi="仿宋" w:eastAsia="仿宋" w:cs="仿宋"/>
        </w:rPr>
        <w:t>2</w:t>
      </w:r>
      <w:r>
        <w:rPr>
          <w:rFonts w:hint="eastAsia" w:ascii="仿宋" w:hAnsi="仿宋" w:eastAsia="仿宋" w:cs="仿宋"/>
        </w:rPr>
        <w:fldChar w:fldCharType="end"/>
      </w:r>
      <w:r>
        <w:rPr>
          <w:rFonts w:hint="eastAsia" w:ascii="仿宋" w:hAnsi="仿宋" w:eastAsia="仿宋" w:cs="仿宋"/>
        </w:rPr>
        <w:fldChar w:fldCharType="end"/>
      </w:r>
    </w:p>
    <w:p w14:paraId="24E06605">
      <w:pPr>
        <w:pStyle w:val="15"/>
        <w:tabs>
          <w:tab w:val="right" w:leader="dot" w:pos="9786"/>
          <w:tab w:val="clear" w:pos="1260"/>
          <w:tab w:val="clear" w:pos="8630"/>
        </w:tabs>
        <w:rPr>
          <w:rFonts w:ascii="仿宋" w:hAnsi="仿宋" w:eastAsia="仿宋" w:cs="仿宋"/>
        </w:rPr>
      </w:pPr>
      <w:r>
        <w:fldChar w:fldCharType="begin"/>
      </w:r>
      <w:r>
        <w:instrText xml:space="preserve"> HYPERLINK \l "_Toc19742" </w:instrText>
      </w:r>
      <w:r>
        <w:fldChar w:fldCharType="separate"/>
      </w:r>
      <w:r>
        <w:rPr>
          <w:rFonts w:hint="eastAsia" w:ascii="仿宋" w:hAnsi="仿宋" w:eastAsia="仿宋" w:cs="仿宋"/>
        </w:rPr>
        <w:t>7. 投标截止时间的顺延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_Toc19742 \h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rPr>
        <w:fldChar w:fldCharType="end"/>
      </w:r>
    </w:p>
    <w:p w14:paraId="521892FC">
      <w:pPr>
        <w:pStyle w:val="28"/>
        <w:tabs>
          <w:tab w:val="right" w:leader="dot" w:pos="9786"/>
        </w:tabs>
        <w:rPr>
          <w:rFonts w:ascii="仿宋" w:hAnsi="仿宋" w:eastAsia="仿宋" w:cs="仿宋"/>
        </w:rPr>
      </w:pPr>
      <w:r>
        <w:fldChar w:fldCharType="begin"/>
      </w:r>
      <w:r>
        <w:instrText xml:space="preserve"> HYPERLINK \l "_Toc28891" </w:instrText>
      </w:r>
      <w:r>
        <w:fldChar w:fldCharType="separate"/>
      </w:r>
      <w:r>
        <w:rPr>
          <w:rFonts w:hint="eastAsia" w:ascii="仿宋" w:hAnsi="仿宋" w:eastAsia="仿宋" w:cs="仿宋"/>
        </w:rPr>
        <w:t>三   投标文件的编制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_Toc28891 \h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rPr>
        <w:fldChar w:fldCharType="end"/>
      </w:r>
    </w:p>
    <w:p w14:paraId="32596739">
      <w:pPr>
        <w:pStyle w:val="15"/>
        <w:tabs>
          <w:tab w:val="right" w:leader="dot" w:pos="9786"/>
          <w:tab w:val="clear" w:pos="1260"/>
          <w:tab w:val="clear" w:pos="8630"/>
        </w:tabs>
        <w:rPr>
          <w:rFonts w:ascii="仿宋" w:hAnsi="仿宋" w:eastAsia="仿宋" w:cs="仿宋"/>
        </w:rPr>
      </w:pPr>
      <w:r>
        <w:fldChar w:fldCharType="begin"/>
      </w:r>
      <w:r>
        <w:instrText xml:space="preserve"> HYPERLINK \l "_Toc5686" </w:instrText>
      </w:r>
      <w:r>
        <w:fldChar w:fldCharType="separate"/>
      </w:r>
      <w:r>
        <w:rPr>
          <w:rFonts w:hint="eastAsia" w:ascii="仿宋" w:hAnsi="仿宋" w:eastAsia="仿宋" w:cs="仿宋"/>
        </w:rPr>
        <w:t>8.投标范围及投标文件中标准和计量单位的使用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_Toc5686 \h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rPr>
        <w:fldChar w:fldCharType="end"/>
      </w:r>
    </w:p>
    <w:p w14:paraId="4E6613DD">
      <w:pPr>
        <w:pStyle w:val="15"/>
        <w:tabs>
          <w:tab w:val="right" w:leader="dot" w:pos="9786"/>
          <w:tab w:val="clear" w:pos="1260"/>
          <w:tab w:val="clear" w:pos="8630"/>
        </w:tabs>
        <w:rPr>
          <w:rFonts w:ascii="仿宋" w:hAnsi="仿宋" w:eastAsia="仿宋" w:cs="仿宋"/>
        </w:rPr>
      </w:pPr>
      <w:r>
        <w:fldChar w:fldCharType="begin"/>
      </w:r>
      <w:r>
        <w:instrText xml:space="preserve"> HYPERLINK \l "_Toc5410" </w:instrText>
      </w:r>
      <w:r>
        <w:fldChar w:fldCharType="separate"/>
      </w:r>
      <w:r>
        <w:rPr>
          <w:rFonts w:hint="eastAsia" w:ascii="仿宋" w:hAnsi="仿宋" w:eastAsia="仿宋" w:cs="仿宋"/>
        </w:rPr>
        <w:t>9.投标文件构成</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_Toc5410 \h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rPr>
        <w:fldChar w:fldCharType="end"/>
      </w:r>
    </w:p>
    <w:p w14:paraId="05271895">
      <w:pPr>
        <w:pStyle w:val="15"/>
        <w:tabs>
          <w:tab w:val="right" w:leader="dot" w:pos="9786"/>
          <w:tab w:val="clear" w:pos="1260"/>
          <w:tab w:val="clear" w:pos="8630"/>
        </w:tabs>
        <w:rPr>
          <w:rFonts w:ascii="仿宋" w:hAnsi="仿宋" w:eastAsia="仿宋" w:cs="仿宋"/>
        </w:rPr>
      </w:pPr>
      <w:r>
        <w:fldChar w:fldCharType="begin"/>
      </w:r>
      <w:r>
        <w:instrText xml:space="preserve"> HYPERLINK \l "_Toc10580" </w:instrText>
      </w:r>
      <w:r>
        <w:fldChar w:fldCharType="separate"/>
      </w:r>
      <w:r>
        <w:rPr>
          <w:rFonts w:hint="eastAsia" w:ascii="仿宋" w:hAnsi="仿宋" w:eastAsia="仿宋" w:cs="仿宋"/>
        </w:rPr>
        <w:t>10.证明投标标的的合格性和符合招标文件规定的技术文件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_Toc10580 \h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rPr>
        <w:fldChar w:fldCharType="end"/>
      </w:r>
    </w:p>
    <w:p w14:paraId="6E6EA796">
      <w:pPr>
        <w:pStyle w:val="15"/>
        <w:tabs>
          <w:tab w:val="right" w:leader="dot" w:pos="9786"/>
          <w:tab w:val="clear" w:pos="1260"/>
          <w:tab w:val="clear" w:pos="8630"/>
        </w:tabs>
        <w:rPr>
          <w:rFonts w:ascii="仿宋" w:hAnsi="仿宋" w:eastAsia="仿宋" w:cs="仿宋"/>
        </w:rPr>
      </w:pPr>
      <w:r>
        <w:fldChar w:fldCharType="begin"/>
      </w:r>
      <w:r>
        <w:instrText xml:space="preserve"> HYPERLINK \l "_Toc24594" </w:instrText>
      </w:r>
      <w:r>
        <w:fldChar w:fldCharType="separate"/>
      </w:r>
      <w:r>
        <w:rPr>
          <w:rFonts w:hint="eastAsia" w:ascii="仿宋" w:hAnsi="仿宋" w:eastAsia="仿宋" w:cs="仿宋"/>
        </w:rPr>
        <w:t>11.投标报价</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_Toc24594 \h </w:instrText>
      </w:r>
      <w:r>
        <w:rPr>
          <w:rFonts w:hint="eastAsia" w:ascii="仿宋" w:hAnsi="仿宋" w:eastAsia="仿宋" w:cs="仿宋"/>
        </w:rPr>
        <w:fldChar w:fldCharType="separate"/>
      </w:r>
      <w:r>
        <w:rPr>
          <w:rFonts w:hint="eastAsia" w:ascii="仿宋" w:hAnsi="仿宋" w:eastAsia="仿宋" w:cs="仿宋"/>
        </w:rPr>
        <w:t>4</w:t>
      </w:r>
      <w:r>
        <w:rPr>
          <w:rFonts w:hint="eastAsia" w:ascii="仿宋" w:hAnsi="仿宋" w:eastAsia="仿宋" w:cs="仿宋"/>
        </w:rPr>
        <w:fldChar w:fldCharType="end"/>
      </w:r>
      <w:r>
        <w:rPr>
          <w:rFonts w:hint="eastAsia" w:ascii="仿宋" w:hAnsi="仿宋" w:eastAsia="仿宋" w:cs="仿宋"/>
        </w:rPr>
        <w:fldChar w:fldCharType="end"/>
      </w:r>
    </w:p>
    <w:p w14:paraId="71E09F20">
      <w:pPr>
        <w:pStyle w:val="15"/>
        <w:tabs>
          <w:tab w:val="right" w:leader="dot" w:pos="9786"/>
          <w:tab w:val="clear" w:pos="1260"/>
          <w:tab w:val="clear" w:pos="8630"/>
        </w:tabs>
        <w:rPr>
          <w:rFonts w:ascii="仿宋" w:hAnsi="仿宋" w:eastAsia="仿宋" w:cs="仿宋"/>
        </w:rPr>
      </w:pPr>
      <w:r>
        <w:fldChar w:fldCharType="begin"/>
      </w:r>
      <w:r>
        <w:instrText xml:space="preserve"> HYPERLINK \l "_Toc16123" </w:instrText>
      </w:r>
      <w:r>
        <w:fldChar w:fldCharType="separate"/>
      </w:r>
      <w:r>
        <w:rPr>
          <w:rFonts w:hint="eastAsia" w:ascii="仿宋" w:hAnsi="仿宋" w:eastAsia="仿宋" w:cs="仿宋"/>
        </w:rPr>
        <w:t>12.投标保证金</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_Toc16123 \h </w:instrText>
      </w:r>
      <w:r>
        <w:rPr>
          <w:rFonts w:hint="eastAsia" w:ascii="仿宋" w:hAnsi="仿宋" w:eastAsia="仿宋" w:cs="仿宋"/>
        </w:rPr>
        <w:fldChar w:fldCharType="separate"/>
      </w:r>
      <w:r>
        <w:rPr>
          <w:rFonts w:hint="eastAsia" w:ascii="仿宋" w:hAnsi="仿宋" w:eastAsia="仿宋" w:cs="仿宋"/>
        </w:rPr>
        <w:t>4</w:t>
      </w:r>
      <w:r>
        <w:rPr>
          <w:rFonts w:hint="eastAsia" w:ascii="仿宋" w:hAnsi="仿宋" w:eastAsia="仿宋" w:cs="仿宋"/>
        </w:rPr>
        <w:fldChar w:fldCharType="end"/>
      </w:r>
      <w:r>
        <w:rPr>
          <w:rFonts w:hint="eastAsia" w:ascii="仿宋" w:hAnsi="仿宋" w:eastAsia="仿宋" w:cs="仿宋"/>
        </w:rPr>
        <w:fldChar w:fldCharType="end"/>
      </w:r>
    </w:p>
    <w:p w14:paraId="13537B0C">
      <w:pPr>
        <w:pStyle w:val="15"/>
        <w:tabs>
          <w:tab w:val="right" w:leader="dot" w:pos="9786"/>
          <w:tab w:val="clear" w:pos="1260"/>
          <w:tab w:val="clear" w:pos="8630"/>
        </w:tabs>
        <w:rPr>
          <w:rFonts w:ascii="仿宋" w:hAnsi="仿宋" w:eastAsia="仿宋" w:cs="仿宋"/>
        </w:rPr>
      </w:pPr>
      <w:r>
        <w:fldChar w:fldCharType="begin"/>
      </w:r>
      <w:r>
        <w:instrText xml:space="preserve"> HYPERLINK \l "_Toc20684" </w:instrText>
      </w:r>
      <w:r>
        <w:fldChar w:fldCharType="separate"/>
      </w:r>
      <w:r>
        <w:rPr>
          <w:rFonts w:hint="eastAsia" w:ascii="仿宋" w:hAnsi="仿宋" w:eastAsia="仿宋" w:cs="仿宋"/>
        </w:rPr>
        <w:t>13.投标有效期</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_Toc20684 \h </w:instrText>
      </w:r>
      <w:r>
        <w:rPr>
          <w:rFonts w:hint="eastAsia" w:ascii="仿宋" w:hAnsi="仿宋" w:eastAsia="仿宋" w:cs="仿宋"/>
        </w:rPr>
        <w:fldChar w:fldCharType="separate"/>
      </w:r>
      <w:r>
        <w:rPr>
          <w:rFonts w:hint="eastAsia" w:ascii="仿宋" w:hAnsi="仿宋" w:eastAsia="仿宋" w:cs="仿宋"/>
        </w:rPr>
        <w:t>5</w:t>
      </w:r>
      <w:r>
        <w:rPr>
          <w:rFonts w:hint="eastAsia" w:ascii="仿宋" w:hAnsi="仿宋" w:eastAsia="仿宋" w:cs="仿宋"/>
        </w:rPr>
        <w:fldChar w:fldCharType="end"/>
      </w:r>
      <w:r>
        <w:rPr>
          <w:rFonts w:hint="eastAsia" w:ascii="仿宋" w:hAnsi="仿宋" w:eastAsia="仿宋" w:cs="仿宋"/>
        </w:rPr>
        <w:fldChar w:fldCharType="end"/>
      </w:r>
    </w:p>
    <w:p w14:paraId="51D1C1B5">
      <w:pPr>
        <w:pStyle w:val="15"/>
        <w:tabs>
          <w:tab w:val="right" w:leader="dot" w:pos="9786"/>
          <w:tab w:val="clear" w:pos="1260"/>
          <w:tab w:val="clear" w:pos="8630"/>
        </w:tabs>
        <w:rPr>
          <w:rFonts w:ascii="仿宋" w:hAnsi="仿宋" w:eastAsia="仿宋" w:cs="仿宋"/>
        </w:rPr>
      </w:pPr>
      <w:r>
        <w:fldChar w:fldCharType="begin"/>
      </w:r>
      <w:r>
        <w:instrText xml:space="preserve"> HYPERLINK \l "_Toc28127" </w:instrText>
      </w:r>
      <w:r>
        <w:fldChar w:fldCharType="separate"/>
      </w:r>
      <w:r>
        <w:rPr>
          <w:rFonts w:hint="eastAsia" w:ascii="仿宋" w:hAnsi="仿宋" w:eastAsia="仿宋" w:cs="仿宋"/>
        </w:rPr>
        <w:t>14.投标文件的签署及规定</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_Toc28127 \h </w:instrText>
      </w:r>
      <w:r>
        <w:rPr>
          <w:rFonts w:hint="eastAsia" w:ascii="仿宋" w:hAnsi="仿宋" w:eastAsia="仿宋" w:cs="仿宋"/>
        </w:rPr>
        <w:fldChar w:fldCharType="separate"/>
      </w:r>
      <w:r>
        <w:rPr>
          <w:rFonts w:hint="eastAsia" w:ascii="仿宋" w:hAnsi="仿宋" w:eastAsia="仿宋" w:cs="仿宋"/>
        </w:rPr>
        <w:t>5</w:t>
      </w:r>
      <w:r>
        <w:rPr>
          <w:rFonts w:hint="eastAsia" w:ascii="仿宋" w:hAnsi="仿宋" w:eastAsia="仿宋" w:cs="仿宋"/>
        </w:rPr>
        <w:fldChar w:fldCharType="end"/>
      </w:r>
      <w:r>
        <w:rPr>
          <w:rFonts w:hint="eastAsia" w:ascii="仿宋" w:hAnsi="仿宋" w:eastAsia="仿宋" w:cs="仿宋"/>
        </w:rPr>
        <w:fldChar w:fldCharType="end"/>
      </w:r>
    </w:p>
    <w:p w14:paraId="5F5FE53F">
      <w:pPr>
        <w:pStyle w:val="28"/>
        <w:tabs>
          <w:tab w:val="right" w:leader="dot" w:pos="9786"/>
        </w:tabs>
        <w:rPr>
          <w:rFonts w:ascii="仿宋" w:hAnsi="仿宋" w:eastAsia="仿宋" w:cs="仿宋"/>
        </w:rPr>
      </w:pPr>
      <w:r>
        <w:fldChar w:fldCharType="begin"/>
      </w:r>
      <w:r>
        <w:instrText xml:space="preserve"> HYPERLINK \l "_Toc8070" </w:instrText>
      </w:r>
      <w:r>
        <w:fldChar w:fldCharType="separate"/>
      </w:r>
      <w:r>
        <w:rPr>
          <w:rFonts w:hint="eastAsia" w:ascii="仿宋" w:hAnsi="仿宋" w:eastAsia="仿宋" w:cs="仿宋"/>
        </w:rPr>
        <w:t>四   投标文件的递交</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_Toc8070 \h </w:instrText>
      </w:r>
      <w:r>
        <w:rPr>
          <w:rFonts w:hint="eastAsia" w:ascii="仿宋" w:hAnsi="仿宋" w:eastAsia="仿宋" w:cs="仿宋"/>
        </w:rPr>
        <w:fldChar w:fldCharType="separate"/>
      </w:r>
      <w:r>
        <w:rPr>
          <w:rFonts w:hint="eastAsia" w:ascii="仿宋" w:hAnsi="仿宋" w:eastAsia="仿宋" w:cs="仿宋"/>
        </w:rPr>
        <w:t>5</w:t>
      </w:r>
      <w:r>
        <w:rPr>
          <w:rFonts w:hint="eastAsia" w:ascii="仿宋" w:hAnsi="仿宋" w:eastAsia="仿宋" w:cs="仿宋"/>
        </w:rPr>
        <w:fldChar w:fldCharType="end"/>
      </w:r>
      <w:r>
        <w:rPr>
          <w:rFonts w:hint="eastAsia" w:ascii="仿宋" w:hAnsi="仿宋" w:eastAsia="仿宋" w:cs="仿宋"/>
        </w:rPr>
        <w:fldChar w:fldCharType="end"/>
      </w:r>
    </w:p>
    <w:p w14:paraId="4015A6FF">
      <w:pPr>
        <w:pStyle w:val="15"/>
        <w:tabs>
          <w:tab w:val="right" w:leader="dot" w:pos="9786"/>
          <w:tab w:val="clear" w:pos="1260"/>
          <w:tab w:val="clear" w:pos="8630"/>
        </w:tabs>
        <w:rPr>
          <w:rFonts w:ascii="仿宋" w:hAnsi="仿宋" w:eastAsia="仿宋" w:cs="仿宋"/>
        </w:rPr>
      </w:pPr>
      <w:r>
        <w:fldChar w:fldCharType="begin"/>
      </w:r>
      <w:r>
        <w:instrText xml:space="preserve"> HYPERLINK \l "_Toc11937" </w:instrText>
      </w:r>
      <w:r>
        <w:fldChar w:fldCharType="separate"/>
      </w:r>
      <w:r>
        <w:rPr>
          <w:rFonts w:hint="eastAsia" w:ascii="仿宋" w:hAnsi="仿宋" w:eastAsia="仿宋" w:cs="仿宋"/>
        </w:rPr>
        <w:t>15.投标文件的密封和标记</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_Toc11937 \h </w:instrText>
      </w:r>
      <w:r>
        <w:rPr>
          <w:rFonts w:hint="eastAsia" w:ascii="仿宋" w:hAnsi="仿宋" w:eastAsia="仿宋" w:cs="仿宋"/>
        </w:rPr>
        <w:fldChar w:fldCharType="separate"/>
      </w:r>
      <w:r>
        <w:rPr>
          <w:rFonts w:hint="eastAsia" w:ascii="仿宋" w:hAnsi="仿宋" w:eastAsia="仿宋" w:cs="仿宋"/>
        </w:rPr>
        <w:t>5</w:t>
      </w:r>
      <w:r>
        <w:rPr>
          <w:rFonts w:hint="eastAsia" w:ascii="仿宋" w:hAnsi="仿宋" w:eastAsia="仿宋" w:cs="仿宋"/>
        </w:rPr>
        <w:fldChar w:fldCharType="end"/>
      </w:r>
      <w:r>
        <w:rPr>
          <w:rFonts w:hint="eastAsia" w:ascii="仿宋" w:hAnsi="仿宋" w:eastAsia="仿宋" w:cs="仿宋"/>
        </w:rPr>
        <w:fldChar w:fldCharType="end"/>
      </w:r>
    </w:p>
    <w:p w14:paraId="278212AE">
      <w:pPr>
        <w:pStyle w:val="15"/>
        <w:tabs>
          <w:tab w:val="right" w:leader="dot" w:pos="9786"/>
          <w:tab w:val="clear" w:pos="1260"/>
          <w:tab w:val="clear" w:pos="8630"/>
        </w:tabs>
        <w:rPr>
          <w:rFonts w:ascii="仿宋" w:hAnsi="仿宋" w:eastAsia="仿宋" w:cs="仿宋"/>
        </w:rPr>
      </w:pPr>
      <w:r>
        <w:fldChar w:fldCharType="begin"/>
      </w:r>
      <w:r>
        <w:instrText xml:space="preserve"> HYPERLINK \l "_Toc6414" </w:instrText>
      </w:r>
      <w:r>
        <w:fldChar w:fldCharType="separate"/>
      </w:r>
      <w:r>
        <w:rPr>
          <w:rFonts w:hint="eastAsia" w:ascii="仿宋" w:hAnsi="仿宋" w:eastAsia="仿宋" w:cs="仿宋"/>
        </w:rPr>
        <w:t>16.投标截止</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_Toc6414 \h </w:instrText>
      </w:r>
      <w:r>
        <w:rPr>
          <w:rFonts w:hint="eastAsia" w:ascii="仿宋" w:hAnsi="仿宋" w:eastAsia="仿宋" w:cs="仿宋"/>
        </w:rPr>
        <w:fldChar w:fldCharType="separate"/>
      </w:r>
      <w:r>
        <w:rPr>
          <w:rFonts w:hint="eastAsia" w:ascii="仿宋" w:hAnsi="仿宋" w:eastAsia="仿宋" w:cs="仿宋"/>
        </w:rPr>
        <w:t>5</w:t>
      </w:r>
      <w:r>
        <w:rPr>
          <w:rFonts w:hint="eastAsia" w:ascii="仿宋" w:hAnsi="仿宋" w:eastAsia="仿宋" w:cs="仿宋"/>
        </w:rPr>
        <w:fldChar w:fldCharType="end"/>
      </w:r>
      <w:r>
        <w:rPr>
          <w:rFonts w:hint="eastAsia" w:ascii="仿宋" w:hAnsi="仿宋" w:eastAsia="仿宋" w:cs="仿宋"/>
        </w:rPr>
        <w:fldChar w:fldCharType="end"/>
      </w:r>
    </w:p>
    <w:p w14:paraId="2024951E">
      <w:pPr>
        <w:pStyle w:val="15"/>
        <w:tabs>
          <w:tab w:val="right" w:leader="dot" w:pos="9786"/>
          <w:tab w:val="clear" w:pos="1260"/>
          <w:tab w:val="clear" w:pos="8630"/>
        </w:tabs>
        <w:rPr>
          <w:rFonts w:ascii="仿宋" w:hAnsi="仿宋" w:eastAsia="仿宋" w:cs="仿宋"/>
        </w:rPr>
      </w:pPr>
      <w:r>
        <w:fldChar w:fldCharType="begin"/>
      </w:r>
      <w:r>
        <w:instrText xml:space="preserve"> HYPERLINK \l "_Toc18105" </w:instrText>
      </w:r>
      <w:r>
        <w:fldChar w:fldCharType="separate"/>
      </w:r>
      <w:r>
        <w:rPr>
          <w:rFonts w:hint="eastAsia" w:ascii="仿宋" w:hAnsi="仿宋" w:eastAsia="仿宋" w:cs="仿宋"/>
        </w:rPr>
        <w:t>17.投标文件的接收、修改与撤回</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_Toc18105 \h </w:instrText>
      </w:r>
      <w:r>
        <w:rPr>
          <w:rFonts w:hint="eastAsia" w:ascii="仿宋" w:hAnsi="仿宋" w:eastAsia="仿宋" w:cs="仿宋"/>
        </w:rPr>
        <w:fldChar w:fldCharType="separate"/>
      </w:r>
      <w:r>
        <w:rPr>
          <w:rFonts w:hint="eastAsia" w:ascii="仿宋" w:hAnsi="仿宋" w:eastAsia="仿宋" w:cs="仿宋"/>
        </w:rPr>
        <w:t>5</w:t>
      </w:r>
      <w:r>
        <w:rPr>
          <w:rFonts w:hint="eastAsia" w:ascii="仿宋" w:hAnsi="仿宋" w:eastAsia="仿宋" w:cs="仿宋"/>
        </w:rPr>
        <w:fldChar w:fldCharType="end"/>
      </w:r>
      <w:r>
        <w:rPr>
          <w:rFonts w:hint="eastAsia" w:ascii="仿宋" w:hAnsi="仿宋" w:eastAsia="仿宋" w:cs="仿宋"/>
        </w:rPr>
        <w:fldChar w:fldCharType="end"/>
      </w:r>
    </w:p>
    <w:p w14:paraId="0F9B1291">
      <w:pPr>
        <w:pStyle w:val="28"/>
        <w:tabs>
          <w:tab w:val="right" w:leader="dot" w:pos="9786"/>
        </w:tabs>
        <w:rPr>
          <w:rFonts w:ascii="仿宋" w:hAnsi="仿宋" w:eastAsia="仿宋" w:cs="仿宋"/>
        </w:rPr>
      </w:pPr>
      <w:r>
        <w:fldChar w:fldCharType="begin"/>
      </w:r>
      <w:r>
        <w:instrText xml:space="preserve"> HYPERLINK \l "_Toc6737" </w:instrText>
      </w:r>
      <w:r>
        <w:fldChar w:fldCharType="separate"/>
      </w:r>
      <w:r>
        <w:rPr>
          <w:rFonts w:hint="eastAsia" w:ascii="仿宋" w:hAnsi="仿宋" w:eastAsia="仿宋" w:cs="仿宋"/>
        </w:rPr>
        <w:t>五   开标及评标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_Toc6737 \h </w:instrText>
      </w:r>
      <w:r>
        <w:rPr>
          <w:rFonts w:hint="eastAsia" w:ascii="仿宋" w:hAnsi="仿宋" w:eastAsia="仿宋" w:cs="仿宋"/>
        </w:rPr>
        <w:fldChar w:fldCharType="separate"/>
      </w:r>
      <w:r>
        <w:rPr>
          <w:rFonts w:hint="eastAsia" w:ascii="仿宋" w:hAnsi="仿宋" w:eastAsia="仿宋" w:cs="仿宋"/>
        </w:rPr>
        <w:t>6</w:t>
      </w:r>
      <w:r>
        <w:rPr>
          <w:rFonts w:hint="eastAsia" w:ascii="仿宋" w:hAnsi="仿宋" w:eastAsia="仿宋" w:cs="仿宋"/>
        </w:rPr>
        <w:fldChar w:fldCharType="end"/>
      </w:r>
      <w:r>
        <w:rPr>
          <w:rFonts w:hint="eastAsia" w:ascii="仿宋" w:hAnsi="仿宋" w:eastAsia="仿宋" w:cs="仿宋"/>
        </w:rPr>
        <w:fldChar w:fldCharType="end"/>
      </w:r>
    </w:p>
    <w:p w14:paraId="2B36DD33">
      <w:pPr>
        <w:pStyle w:val="15"/>
        <w:tabs>
          <w:tab w:val="right" w:leader="dot" w:pos="9786"/>
          <w:tab w:val="clear" w:pos="1260"/>
          <w:tab w:val="clear" w:pos="8630"/>
        </w:tabs>
        <w:rPr>
          <w:rFonts w:ascii="仿宋" w:hAnsi="仿宋" w:eastAsia="仿宋" w:cs="仿宋"/>
        </w:rPr>
      </w:pPr>
      <w:r>
        <w:fldChar w:fldCharType="begin"/>
      </w:r>
      <w:r>
        <w:instrText xml:space="preserve"> HYPERLINK \l "_Toc24428" </w:instrText>
      </w:r>
      <w:r>
        <w:fldChar w:fldCharType="separate"/>
      </w:r>
      <w:r>
        <w:rPr>
          <w:rFonts w:hint="eastAsia" w:ascii="仿宋" w:hAnsi="仿宋" w:eastAsia="仿宋" w:cs="仿宋"/>
        </w:rPr>
        <w:t>18. 开标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_Toc24428 \h </w:instrText>
      </w:r>
      <w:r>
        <w:rPr>
          <w:rFonts w:hint="eastAsia" w:ascii="仿宋" w:hAnsi="仿宋" w:eastAsia="仿宋" w:cs="仿宋"/>
        </w:rPr>
        <w:fldChar w:fldCharType="separate"/>
      </w:r>
      <w:r>
        <w:rPr>
          <w:rFonts w:hint="eastAsia" w:ascii="仿宋" w:hAnsi="仿宋" w:eastAsia="仿宋" w:cs="仿宋"/>
        </w:rPr>
        <w:t>6</w:t>
      </w:r>
      <w:r>
        <w:rPr>
          <w:rFonts w:hint="eastAsia" w:ascii="仿宋" w:hAnsi="仿宋" w:eastAsia="仿宋" w:cs="仿宋"/>
        </w:rPr>
        <w:fldChar w:fldCharType="end"/>
      </w:r>
      <w:r>
        <w:rPr>
          <w:rFonts w:hint="eastAsia" w:ascii="仿宋" w:hAnsi="仿宋" w:eastAsia="仿宋" w:cs="仿宋"/>
        </w:rPr>
        <w:fldChar w:fldCharType="end"/>
      </w:r>
    </w:p>
    <w:p w14:paraId="01076C59">
      <w:pPr>
        <w:pStyle w:val="15"/>
        <w:tabs>
          <w:tab w:val="right" w:leader="dot" w:pos="9786"/>
          <w:tab w:val="clear" w:pos="1260"/>
          <w:tab w:val="clear" w:pos="8630"/>
        </w:tabs>
        <w:rPr>
          <w:rFonts w:ascii="仿宋" w:hAnsi="仿宋" w:eastAsia="仿宋" w:cs="仿宋"/>
        </w:rPr>
      </w:pPr>
      <w:r>
        <w:fldChar w:fldCharType="begin"/>
      </w:r>
      <w:r>
        <w:instrText xml:space="preserve"> HYPERLINK \l "_Toc3940" </w:instrText>
      </w:r>
      <w:r>
        <w:fldChar w:fldCharType="separate"/>
      </w:r>
      <w:r>
        <w:rPr>
          <w:rFonts w:hint="eastAsia" w:ascii="仿宋" w:hAnsi="仿宋" w:eastAsia="仿宋" w:cs="仿宋"/>
        </w:rPr>
        <w:t>19.资格审查及组建评标委员会</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_Toc3940 \h </w:instrText>
      </w:r>
      <w:r>
        <w:rPr>
          <w:rFonts w:hint="eastAsia" w:ascii="仿宋" w:hAnsi="仿宋" w:eastAsia="仿宋" w:cs="仿宋"/>
        </w:rPr>
        <w:fldChar w:fldCharType="separate"/>
      </w:r>
      <w:r>
        <w:rPr>
          <w:rFonts w:hint="eastAsia" w:ascii="仿宋" w:hAnsi="仿宋" w:eastAsia="仿宋" w:cs="仿宋"/>
        </w:rPr>
        <w:t>6</w:t>
      </w:r>
      <w:r>
        <w:rPr>
          <w:rFonts w:hint="eastAsia" w:ascii="仿宋" w:hAnsi="仿宋" w:eastAsia="仿宋" w:cs="仿宋"/>
        </w:rPr>
        <w:fldChar w:fldCharType="end"/>
      </w:r>
      <w:r>
        <w:rPr>
          <w:rFonts w:hint="eastAsia" w:ascii="仿宋" w:hAnsi="仿宋" w:eastAsia="仿宋" w:cs="仿宋"/>
        </w:rPr>
        <w:fldChar w:fldCharType="end"/>
      </w:r>
    </w:p>
    <w:p w14:paraId="2193E128">
      <w:pPr>
        <w:pStyle w:val="15"/>
        <w:tabs>
          <w:tab w:val="right" w:leader="dot" w:pos="9786"/>
          <w:tab w:val="clear" w:pos="1260"/>
          <w:tab w:val="clear" w:pos="8630"/>
        </w:tabs>
        <w:rPr>
          <w:rFonts w:ascii="仿宋" w:hAnsi="仿宋" w:eastAsia="仿宋" w:cs="仿宋"/>
        </w:rPr>
      </w:pPr>
      <w:r>
        <w:fldChar w:fldCharType="begin"/>
      </w:r>
      <w:r>
        <w:instrText xml:space="preserve"> HYPERLINK \l "_Toc1238" </w:instrText>
      </w:r>
      <w:r>
        <w:fldChar w:fldCharType="separate"/>
      </w:r>
      <w:r>
        <w:rPr>
          <w:rFonts w:hint="eastAsia" w:ascii="仿宋" w:hAnsi="仿宋" w:eastAsia="仿宋" w:cs="仿宋"/>
        </w:rPr>
        <w:t>20.投标文件符合性审查与澄清</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_Toc1238 \h </w:instrText>
      </w:r>
      <w:r>
        <w:rPr>
          <w:rFonts w:hint="eastAsia" w:ascii="仿宋" w:hAnsi="仿宋" w:eastAsia="仿宋" w:cs="仿宋"/>
        </w:rPr>
        <w:fldChar w:fldCharType="separate"/>
      </w:r>
      <w:r>
        <w:rPr>
          <w:rFonts w:hint="eastAsia" w:ascii="仿宋" w:hAnsi="仿宋" w:eastAsia="仿宋" w:cs="仿宋"/>
        </w:rPr>
        <w:t>7</w:t>
      </w:r>
      <w:r>
        <w:rPr>
          <w:rFonts w:hint="eastAsia" w:ascii="仿宋" w:hAnsi="仿宋" w:eastAsia="仿宋" w:cs="仿宋"/>
        </w:rPr>
        <w:fldChar w:fldCharType="end"/>
      </w:r>
      <w:r>
        <w:rPr>
          <w:rFonts w:hint="eastAsia" w:ascii="仿宋" w:hAnsi="仿宋" w:eastAsia="仿宋" w:cs="仿宋"/>
        </w:rPr>
        <w:fldChar w:fldCharType="end"/>
      </w:r>
    </w:p>
    <w:p w14:paraId="3425BC3D">
      <w:pPr>
        <w:pStyle w:val="15"/>
        <w:tabs>
          <w:tab w:val="right" w:leader="dot" w:pos="9786"/>
          <w:tab w:val="clear" w:pos="1260"/>
          <w:tab w:val="clear" w:pos="8630"/>
        </w:tabs>
        <w:rPr>
          <w:rFonts w:ascii="仿宋" w:hAnsi="仿宋" w:eastAsia="仿宋" w:cs="仿宋"/>
        </w:rPr>
      </w:pPr>
      <w:r>
        <w:fldChar w:fldCharType="begin"/>
      </w:r>
      <w:r>
        <w:instrText xml:space="preserve"> HYPERLINK \l "_Toc19169" </w:instrText>
      </w:r>
      <w:r>
        <w:fldChar w:fldCharType="separate"/>
      </w:r>
      <w:r>
        <w:rPr>
          <w:rFonts w:hint="eastAsia" w:ascii="仿宋" w:hAnsi="仿宋" w:eastAsia="仿宋" w:cs="仿宋"/>
        </w:rPr>
        <w:t>21.投标偏离</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_Toc19169 \h </w:instrText>
      </w:r>
      <w:r>
        <w:rPr>
          <w:rFonts w:hint="eastAsia" w:ascii="仿宋" w:hAnsi="仿宋" w:eastAsia="仿宋" w:cs="仿宋"/>
        </w:rPr>
        <w:fldChar w:fldCharType="separate"/>
      </w:r>
      <w:r>
        <w:rPr>
          <w:rFonts w:hint="eastAsia" w:ascii="仿宋" w:hAnsi="仿宋" w:eastAsia="仿宋" w:cs="仿宋"/>
        </w:rPr>
        <w:t>8</w:t>
      </w:r>
      <w:r>
        <w:rPr>
          <w:rFonts w:hint="eastAsia" w:ascii="仿宋" w:hAnsi="仿宋" w:eastAsia="仿宋" w:cs="仿宋"/>
        </w:rPr>
        <w:fldChar w:fldCharType="end"/>
      </w:r>
      <w:r>
        <w:rPr>
          <w:rFonts w:hint="eastAsia" w:ascii="仿宋" w:hAnsi="仿宋" w:eastAsia="仿宋" w:cs="仿宋"/>
        </w:rPr>
        <w:fldChar w:fldCharType="end"/>
      </w:r>
    </w:p>
    <w:p w14:paraId="5251ABC9">
      <w:pPr>
        <w:pStyle w:val="15"/>
        <w:tabs>
          <w:tab w:val="right" w:leader="dot" w:pos="9786"/>
          <w:tab w:val="clear" w:pos="1260"/>
          <w:tab w:val="clear" w:pos="8630"/>
        </w:tabs>
        <w:rPr>
          <w:rFonts w:ascii="仿宋" w:hAnsi="仿宋" w:eastAsia="仿宋" w:cs="仿宋"/>
        </w:rPr>
      </w:pPr>
      <w:r>
        <w:fldChar w:fldCharType="begin"/>
      </w:r>
      <w:r>
        <w:instrText xml:space="preserve"> HYPERLINK \l "_Toc8784" </w:instrText>
      </w:r>
      <w:r>
        <w:fldChar w:fldCharType="separate"/>
      </w:r>
      <w:r>
        <w:rPr>
          <w:rFonts w:hint="eastAsia" w:ascii="仿宋" w:hAnsi="仿宋" w:eastAsia="仿宋" w:cs="仿宋"/>
        </w:rPr>
        <w:t>22.投标无效</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_Toc8784 \h </w:instrText>
      </w:r>
      <w:r>
        <w:rPr>
          <w:rFonts w:hint="eastAsia" w:ascii="仿宋" w:hAnsi="仿宋" w:eastAsia="仿宋" w:cs="仿宋"/>
        </w:rPr>
        <w:fldChar w:fldCharType="separate"/>
      </w:r>
      <w:r>
        <w:rPr>
          <w:rFonts w:hint="eastAsia" w:ascii="仿宋" w:hAnsi="仿宋" w:eastAsia="仿宋" w:cs="仿宋"/>
        </w:rPr>
        <w:t>8</w:t>
      </w:r>
      <w:r>
        <w:rPr>
          <w:rFonts w:hint="eastAsia" w:ascii="仿宋" w:hAnsi="仿宋" w:eastAsia="仿宋" w:cs="仿宋"/>
        </w:rPr>
        <w:fldChar w:fldCharType="end"/>
      </w:r>
      <w:r>
        <w:rPr>
          <w:rFonts w:hint="eastAsia" w:ascii="仿宋" w:hAnsi="仿宋" w:eastAsia="仿宋" w:cs="仿宋"/>
        </w:rPr>
        <w:fldChar w:fldCharType="end"/>
      </w:r>
    </w:p>
    <w:p w14:paraId="28640ADC">
      <w:pPr>
        <w:pStyle w:val="15"/>
        <w:tabs>
          <w:tab w:val="right" w:leader="dot" w:pos="9786"/>
          <w:tab w:val="clear" w:pos="1260"/>
          <w:tab w:val="clear" w:pos="8630"/>
        </w:tabs>
        <w:rPr>
          <w:rFonts w:ascii="仿宋" w:hAnsi="仿宋" w:eastAsia="仿宋" w:cs="仿宋"/>
        </w:rPr>
      </w:pPr>
      <w:r>
        <w:fldChar w:fldCharType="begin"/>
      </w:r>
      <w:r>
        <w:instrText xml:space="preserve"> HYPERLINK \l "_Toc2364" </w:instrText>
      </w:r>
      <w:r>
        <w:fldChar w:fldCharType="separate"/>
      </w:r>
      <w:r>
        <w:rPr>
          <w:rFonts w:hint="eastAsia" w:ascii="仿宋" w:hAnsi="仿宋" w:eastAsia="仿宋" w:cs="仿宋"/>
        </w:rPr>
        <w:t>23.废标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_Toc2364 \h </w:instrText>
      </w:r>
      <w:r>
        <w:rPr>
          <w:rFonts w:hint="eastAsia" w:ascii="仿宋" w:hAnsi="仿宋" w:eastAsia="仿宋" w:cs="仿宋"/>
        </w:rPr>
        <w:fldChar w:fldCharType="separate"/>
      </w:r>
      <w:r>
        <w:rPr>
          <w:rFonts w:hint="eastAsia" w:ascii="仿宋" w:hAnsi="仿宋" w:eastAsia="仿宋" w:cs="仿宋"/>
        </w:rPr>
        <w:t>8</w:t>
      </w:r>
      <w:r>
        <w:rPr>
          <w:rFonts w:hint="eastAsia" w:ascii="仿宋" w:hAnsi="仿宋" w:eastAsia="仿宋" w:cs="仿宋"/>
        </w:rPr>
        <w:fldChar w:fldCharType="end"/>
      </w:r>
      <w:r>
        <w:rPr>
          <w:rFonts w:hint="eastAsia" w:ascii="仿宋" w:hAnsi="仿宋" w:eastAsia="仿宋" w:cs="仿宋"/>
        </w:rPr>
        <w:fldChar w:fldCharType="end"/>
      </w:r>
    </w:p>
    <w:p w14:paraId="1C8ABE8D">
      <w:pPr>
        <w:pStyle w:val="15"/>
        <w:tabs>
          <w:tab w:val="right" w:leader="dot" w:pos="9786"/>
          <w:tab w:val="clear" w:pos="1260"/>
          <w:tab w:val="clear" w:pos="8630"/>
        </w:tabs>
        <w:rPr>
          <w:rFonts w:ascii="仿宋" w:hAnsi="仿宋" w:eastAsia="仿宋" w:cs="仿宋"/>
        </w:rPr>
      </w:pPr>
      <w:r>
        <w:fldChar w:fldCharType="begin"/>
      </w:r>
      <w:r>
        <w:instrText xml:space="preserve"> HYPERLINK \l "_Toc3832" </w:instrText>
      </w:r>
      <w:r>
        <w:fldChar w:fldCharType="separate"/>
      </w:r>
      <w:r>
        <w:rPr>
          <w:rFonts w:hint="eastAsia" w:ascii="仿宋" w:hAnsi="仿宋" w:eastAsia="仿宋" w:cs="仿宋"/>
        </w:rPr>
        <w:t>24.比较与评价</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_Toc3832 \h </w:instrText>
      </w:r>
      <w:r>
        <w:rPr>
          <w:rFonts w:hint="eastAsia" w:ascii="仿宋" w:hAnsi="仿宋" w:eastAsia="仿宋" w:cs="仿宋"/>
        </w:rPr>
        <w:fldChar w:fldCharType="separate"/>
      </w:r>
      <w:r>
        <w:rPr>
          <w:rFonts w:hint="eastAsia" w:ascii="仿宋" w:hAnsi="仿宋" w:eastAsia="仿宋" w:cs="仿宋"/>
        </w:rPr>
        <w:t>9</w:t>
      </w:r>
      <w:r>
        <w:rPr>
          <w:rFonts w:hint="eastAsia" w:ascii="仿宋" w:hAnsi="仿宋" w:eastAsia="仿宋" w:cs="仿宋"/>
        </w:rPr>
        <w:fldChar w:fldCharType="end"/>
      </w:r>
      <w:r>
        <w:rPr>
          <w:rFonts w:hint="eastAsia" w:ascii="仿宋" w:hAnsi="仿宋" w:eastAsia="仿宋" w:cs="仿宋"/>
        </w:rPr>
        <w:fldChar w:fldCharType="end"/>
      </w:r>
    </w:p>
    <w:p w14:paraId="57255E09">
      <w:pPr>
        <w:pStyle w:val="15"/>
        <w:tabs>
          <w:tab w:val="right" w:leader="dot" w:pos="9786"/>
          <w:tab w:val="clear" w:pos="1260"/>
          <w:tab w:val="clear" w:pos="8630"/>
        </w:tabs>
        <w:rPr>
          <w:rFonts w:ascii="仿宋" w:hAnsi="仿宋" w:eastAsia="仿宋" w:cs="仿宋"/>
        </w:rPr>
      </w:pPr>
      <w:r>
        <w:fldChar w:fldCharType="begin"/>
      </w:r>
      <w:r>
        <w:instrText xml:space="preserve"> HYPERLINK \l "_Toc1975" </w:instrText>
      </w:r>
      <w:r>
        <w:fldChar w:fldCharType="separate"/>
      </w:r>
      <w:r>
        <w:rPr>
          <w:rFonts w:hint="eastAsia" w:ascii="仿宋" w:hAnsi="仿宋" w:eastAsia="仿宋" w:cs="仿宋"/>
        </w:rPr>
        <w:t>25.保密原则</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_Toc1975 \h </w:instrText>
      </w:r>
      <w:r>
        <w:rPr>
          <w:rFonts w:hint="eastAsia" w:ascii="仿宋" w:hAnsi="仿宋" w:eastAsia="仿宋" w:cs="仿宋"/>
        </w:rPr>
        <w:fldChar w:fldCharType="separate"/>
      </w:r>
      <w:r>
        <w:rPr>
          <w:rFonts w:hint="eastAsia" w:ascii="仿宋" w:hAnsi="仿宋" w:eastAsia="仿宋" w:cs="仿宋"/>
        </w:rPr>
        <w:t>9</w:t>
      </w:r>
      <w:r>
        <w:rPr>
          <w:rFonts w:hint="eastAsia" w:ascii="仿宋" w:hAnsi="仿宋" w:eastAsia="仿宋" w:cs="仿宋"/>
        </w:rPr>
        <w:fldChar w:fldCharType="end"/>
      </w:r>
      <w:r>
        <w:rPr>
          <w:rFonts w:hint="eastAsia" w:ascii="仿宋" w:hAnsi="仿宋" w:eastAsia="仿宋" w:cs="仿宋"/>
        </w:rPr>
        <w:fldChar w:fldCharType="end"/>
      </w:r>
    </w:p>
    <w:p w14:paraId="6E9BDE60">
      <w:pPr>
        <w:pStyle w:val="28"/>
        <w:tabs>
          <w:tab w:val="right" w:leader="dot" w:pos="9786"/>
        </w:tabs>
        <w:rPr>
          <w:rFonts w:ascii="仿宋" w:hAnsi="仿宋" w:eastAsia="仿宋" w:cs="仿宋"/>
        </w:rPr>
      </w:pPr>
      <w:r>
        <w:fldChar w:fldCharType="begin"/>
      </w:r>
      <w:r>
        <w:instrText xml:space="preserve"> HYPERLINK \l "_Toc4952" </w:instrText>
      </w:r>
      <w:r>
        <w:fldChar w:fldCharType="separate"/>
      </w:r>
      <w:r>
        <w:rPr>
          <w:rFonts w:hint="eastAsia" w:ascii="仿宋" w:hAnsi="仿宋" w:eastAsia="仿宋" w:cs="仿宋"/>
        </w:rPr>
        <w:t>六   确定中标</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_Toc4952 \h </w:instrText>
      </w:r>
      <w:r>
        <w:rPr>
          <w:rFonts w:hint="eastAsia" w:ascii="仿宋" w:hAnsi="仿宋" w:eastAsia="仿宋" w:cs="仿宋"/>
        </w:rPr>
        <w:fldChar w:fldCharType="separate"/>
      </w:r>
      <w:r>
        <w:rPr>
          <w:rFonts w:hint="eastAsia" w:ascii="仿宋" w:hAnsi="仿宋" w:eastAsia="仿宋" w:cs="仿宋"/>
        </w:rPr>
        <w:t>9</w:t>
      </w:r>
      <w:r>
        <w:rPr>
          <w:rFonts w:hint="eastAsia" w:ascii="仿宋" w:hAnsi="仿宋" w:eastAsia="仿宋" w:cs="仿宋"/>
        </w:rPr>
        <w:fldChar w:fldCharType="end"/>
      </w:r>
      <w:r>
        <w:rPr>
          <w:rFonts w:hint="eastAsia" w:ascii="仿宋" w:hAnsi="仿宋" w:eastAsia="仿宋" w:cs="仿宋"/>
        </w:rPr>
        <w:fldChar w:fldCharType="end"/>
      </w:r>
    </w:p>
    <w:p w14:paraId="1926DD93">
      <w:pPr>
        <w:pStyle w:val="15"/>
        <w:tabs>
          <w:tab w:val="right" w:leader="dot" w:pos="9786"/>
          <w:tab w:val="clear" w:pos="1260"/>
          <w:tab w:val="clear" w:pos="8630"/>
        </w:tabs>
        <w:rPr>
          <w:rFonts w:ascii="仿宋" w:hAnsi="仿宋" w:eastAsia="仿宋" w:cs="仿宋"/>
        </w:rPr>
      </w:pPr>
      <w:r>
        <w:fldChar w:fldCharType="begin"/>
      </w:r>
      <w:r>
        <w:instrText xml:space="preserve"> HYPERLINK \l "_Toc5071" </w:instrText>
      </w:r>
      <w:r>
        <w:fldChar w:fldCharType="separate"/>
      </w:r>
      <w:r>
        <w:rPr>
          <w:rFonts w:hint="eastAsia" w:ascii="仿宋" w:hAnsi="仿宋" w:eastAsia="仿宋" w:cs="仿宋"/>
        </w:rPr>
        <w:t>26.中标候选人的确定原则及标准</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_Toc5071 \h </w:instrText>
      </w:r>
      <w:r>
        <w:rPr>
          <w:rFonts w:hint="eastAsia" w:ascii="仿宋" w:hAnsi="仿宋" w:eastAsia="仿宋" w:cs="仿宋"/>
        </w:rPr>
        <w:fldChar w:fldCharType="separate"/>
      </w:r>
      <w:r>
        <w:rPr>
          <w:rFonts w:hint="eastAsia" w:ascii="仿宋" w:hAnsi="仿宋" w:eastAsia="仿宋" w:cs="仿宋"/>
        </w:rPr>
        <w:t>9</w:t>
      </w:r>
      <w:r>
        <w:rPr>
          <w:rFonts w:hint="eastAsia" w:ascii="仿宋" w:hAnsi="仿宋" w:eastAsia="仿宋" w:cs="仿宋"/>
        </w:rPr>
        <w:fldChar w:fldCharType="end"/>
      </w:r>
      <w:r>
        <w:rPr>
          <w:rFonts w:hint="eastAsia" w:ascii="仿宋" w:hAnsi="仿宋" w:eastAsia="仿宋" w:cs="仿宋"/>
        </w:rPr>
        <w:fldChar w:fldCharType="end"/>
      </w:r>
    </w:p>
    <w:p w14:paraId="4A81CAFE">
      <w:pPr>
        <w:pStyle w:val="15"/>
        <w:tabs>
          <w:tab w:val="right" w:leader="dot" w:pos="9786"/>
          <w:tab w:val="clear" w:pos="1260"/>
          <w:tab w:val="clear" w:pos="8630"/>
        </w:tabs>
        <w:rPr>
          <w:rFonts w:ascii="仿宋" w:hAnsi="仿宋" w:eastAsia="仿宋" w:cs="仿宋"/>
        </w:rPr>
      </w:pPr>
      <w:r>
        <w:fldChar w:fldCharType="begin"/>
      </w:r>
      <w:r>
        <w:instrText xml:space="preserve"> HYPERLINK \l "_Toc22922" </w:instrText>
      </w:r>
      <w:r>
        <w:fldChar w:fldCharType="separate"/>
      </w:r>
      <w:r>
        <w:rPr>
          <w:rFonts w:hint="eastAsia" w:ascii="仿宋" w:hAnsi="仿宋" w:eastAsia="仿宋" w:cs="仿宋"/>
        </w:rPr>
        <w:t>27.确定中标候选人和中标人</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_Toc22922 \h </w:instrText>
      </w:r>
      <w:r>
        <w:rPr>
          <w:rFonts w:hint="eastAsia" w:ascii="仿宋" w:hAnsi="仿宋" w:eastAsia="仿宋" w:cs="仿宋"/>
        </w:rPr>
        <w:fldChar w:fldCharType="separate"/>
      </w:r>
      <w:r>
        <w:rPr>
          <w:rFonts w:hint="eastAsia" w:ascii="仿宋" w:hAnsi="仿宋" w:eastAsia="仿宋" w:cs="仿宋"/>
        </w:rPr>
        <w:t>9</w:t>
      </w:r>
      <w:r>
        <w:rPr>
          <w:rFonts w:hint="eastAsia" w:ascii="仿宋" w:hAnsi="仿宋" w:eastAsia="仿宋" w:cs="仿宋"/>
        </w:rPr>
        <w:fldChar w:fldCharType="end"/>
      </w:r>
      <w:r>
        <w:rPr>
          <w:rFonts w:hint="eastAsia" w:ascii="仿宋" w:hAnsi="仿宋" w:eastAsia="仿宋" w:cs="仿宋"/>
        </w:rPr>
        <w:fldChar w:fldCharType="end"/>
      </w:r>
    </w:p>
    <w:p w14:paraId="032A6392">
      <w:pPr>
        <w:pStyle w:val="15"/>
        <w:tabs>
          <w:tab w:val="right" w:leader="dot" w:pos="9786"/>
          <w:tab w:val="clear" w:pos="1260"/>
          <w:tab w:val="clear" w:pos="8630"/>
        </w:tabs>
        <w:rPr>
          <w:rFonts w:ascii="仿宋" w:hAnsi="仿宋" w:eastAsia="仿宋" w:cs="仿宋"/>
        </w:rPr>
      </w:pPr>
      <w:r>
        <w:fldChar w:fldCharType="begin"/>
      </w:r>
      <w:r>
        <w:instrText xml:space="preserve"> HYPERLINK \l "_Toc24424" </w:instrText>
      </w:r>
      <w:r>
        <w:fldChar w:fldCharType="separate"/>
      </w:r>
      <w:r>
        <w:rPr>
          <w:rFonts w:hint="eastAsia" w:ascii="仿宋" w:hAnsi="仿宋" w:eastAsia="仿宋" w:cs="仿宋"/>
        </w:rPr>
        <w:t>28.采购任务取消</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_Toc24424 \h </w:instrText>
      </w:r>
      <w:r>
        <w:rPr>
          <w:rFonts w:hint="eastAsia" w:ascii="仿宋" w:hAnsi="仿宋" w:eastAsia="仿宋" w:cs="仿宋"/>
        </w:rPr>
        <w:fldChar w:fldCharType="separate"/>
      </w:r>
      <w:r>
        <w:rPr>
          <w:rFonts w:hint="eastAsia" w:ascii="仿宋" w:hAnsi="仿宋" w:eastAsia="仿宋" w:cs="仿宋"/>
        </w:rPr>
        <w:t>9</w:t>
      </w:r>
      <w:r>
        <w:rPr>
          <w:rFonts w:hint="eastAsia" w:ascii="仿宋" w:hAnsi="仿宋" w:eastAsia="仿宋" w:cs="仿宋"/>
        </w:rPr>
        <w:fldChar w:fldCharType="end"/>
      </w:r>
      <w:r>
        <w:rPr>
          <w:rFonts w:hint="eastAsia" w:ascii="仿宋" w:hAnsi="仿宋" w:eastAsia="仿宋" w:cs="仿宋"/>
        </w:rPr>
        <w:fldChar w:fldCharType="end"/>
      </w:r>
    </w:p>
    <w:p w14:paraId="7707369D">
      <w:pPr>
        <w:pStyle w:val="15"/>
        <w:tabs>
          <w:tab w:val="right" w:leader="dot" w:pos="9786"/>
          <w:tab w:val="clear" w:pos="1260"/>
          <w:tab w:val="clear" w:pos="8630"/>
        </w:tabs>
        <w:rPr>
          <w:rFonts w:ascii="仿宋" w:hAnsi="仿宋" w:eastAsia="仿宋" w:cs="仿宋"/>
        </w:rPr>
      </w:pPr>
      <w:r>
        <w:fldChar w:fldCharType="begin"/>
      </w:r>
      <w:r>
        <w:instrText xml:space="preserve"> HYPERLINK \l "_Toc847" </w:instrText>
      </w:r>
      <w:r>
        <w:fldChar w:fldCharType="separate"/>
      </w:r>
      <w:r>
        <w:rPr>
          <w:rFonts w:hint="eastAsia" w:ascii="仿宋" w:hAnsi="仿宋" w:eastAsia="仿宋" w:cs="仿宋"/>
        </w:rPr>
        <w:t>29.中标通知书</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_Toc847 \h </w:instrText>
      </w:r>
      <w:r>
        <w:rPr>
          <w:rFonts w:hint="eastAsia" w:ascii="仿宋" w:hAnsi="仿宋" w:eastAsia="仿宋" w:cs="仿宋"/>
        </w:rPr>
        <w:fldChar w:fldCharType="separate"/>
      </w:r>
      <w:r>
        <w:rPr>
          <w:rFonts w:hint="eastAsia" w:ascii="仿宋" w:hAnsi="仿宋" w:eastAsia="仿宋" w:cs="仿宋"/>
        </w:rPr>
        <w:t>10</w:t>
      </w:r>
      <w:r>
        <w:rPr>
          <w:rFonts w:hint="eastAsia" w:ascii="仿宋" w:hAnsi="仿宋" w:eastAsia="仿宋" w:cs="仿宋"/>
        </w:rPr>
        <w:fldChar w:fldCharType="end"/>
      </w:r>
      <w:r>
        <w:rPr>
          <w:rFonts w:hint="eastAsia" w:ascii="仿宋" w:hAnsi="仿宋" w:eastAsia="仿宋" w:cs="仿宋"/>
        </w:rPr>
        <w:fldChar w:fldCharType="end"/>
      </w:r>
    </w:p>
    <w:p w14:paraId="424EB422">
      <w:pPr>
        <w:pStyle w:val="15"/>
        <w:tabs>
          <w:tab w:val="right" w:leader="dot" w:pos="9786"/>
          <w:tab w:val="clear" w:pos="1260"/>
          <w:tab w:val="clear" w:pos="8630"/>
        </w:tabs>
        <w:rPr>
          <w:rFonts w:ascii="仿宋" w:hAnsi="仿宋" w:eastAsia="仿宋" w:cs="仿宋"/>
        </w:rPr>
      </w:pPr>
      <w:r>
        <w:fldChar w:fldCharType="begin"/>
      </w:r>
      <w:r>
        <w:instrText xml:space="preserve"> HYPERLINK \l "_Toc1792" </w:instrText>
      </w:r>
      <w:r>
        <w:fldChar w:fldCharType="separate"/>
      </w:r>
      <w:r>
        <w:rPr>
          <w:rFonts w:hint="eastAsia" w:ascii="仿宋" w:hAnsi="仿宋" w:eastAsia="仿宋" w:cs="仿宋"/>
        </w:rPr>
        <w:t>30.签订合同</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_Toc1792 \h </w:instrText>
      </w:r>
      <w:r>
        <w:rPr>
          <w:rFonts w:hint="eastAsia" w:ascii="仿宋" w:hAnsi="仿宋" w:eastAsia="仿宋" w:cs="仿宋"/>
        </w:rPr>
        <w:fldChar w:fldCharType="separate"/>
      </w:r>
      <w:r>
        <w:rPr>
          <w:rFonts w:hint="eastAsia" w:ascii="仿宋" w:hAnsi="仿宋" w:eastAsia="仿宋" w:cs="仿宋"/>
        </w:rPr>
        <w:t>10</w:t>
      </w:r>
      <w:r>
        <w:rPr>
          <w:rFonts w:hint="eastAsia" w:ascii="仿宋" w:hAnsi="仿宋" w:eastAsia="仿宋" w:cs="仿宋"/>
        </w:rPr>
        <w:fldChar w:fldCharType="end"/>
      </w:r>
      <w:r>
        <w:rPr>
          <w:rFonts w:hint="eastAsia" w:ascii="仿宋" w:hAnsi="仿宋" w:eastAsia="仿宋" w:cs="仿宋"/>
        </w:rPr>
        <w:fldChar w:fldCharType="end"/>
      </w:r>
    </w:p>
    <w:p w14:paraId="7F9B12B0">
      <w:pPr>
        <w:pStyle w:val="15"/>
        <w:tabs>
          <w:tab w:val="right" w:leader="dot" w:pos="9786"/>
          <w:tab w:val="clear" w:pos="1260"/>
          <w:tab w:val="clear" w:pos="8630"/>
        </w:tabs>
        <w:rPr>
          <w:rFonts w:ascii="仿宋" w:hAnsi="仿宋" w:eastAsia="仿宋" w:cs="仿宋"/>
        </w:rPr>
      </w:pPr>
      <w:r>
        <w:fldChar w:fldCharType="begin"/>
      </w:r>
      <w:r>
        <w:instrText xml:space="preserve"> HYPERLINK \l "_Toc15851" </w:instrText>
      </w:r>
      <w:r>
        <w:fldChar w:fldCharType="separate"/>
      </w:r>
      <w:r>
        <w:rPr>
          <w:rFonts w:hint="eastAsia" w:ascii="仿宋" w:hAnsi="仿宋" w:eastAsia="仿宋" w:cs="仿宋"/>
        </w:rPr>
        <w:t>31.履约保证金</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_Toc15851 \h </w:instrText>
      </w:r>
      <w:r>
        <w:rPr>
          <w:rFonts w:hint="eastAsia" w:ascii="仿宋" w:hAnsi="仿宋" w:eastAsia="仿宋" w:cs="仿宋"/>
        </w:rPr>
        <w:fldChar w:fldCharType="separate"/>
      </w:r>
      <w:r>
        <w:rPr>
          <w:rFonts w:hint="eastAsia" w:ascii="仿宋" w:hAnsi="仿宋" w:eastAsia="仿宋" w:cs="仿宋"/>
        </w:rPr>
        <w:t>10</w:t>
      </w:r>
      <w:r>
        <w:rPr>
          <w:rFonts w:hint="eastAsia" w:ascii="仿宋" w:hAnsi="仿宋" w:eastAsia="仿宋" w:cs="仿宋"/>
        </w:rPr>
        <w:fldChar w:fldCharType="end"/>
      </w:r>
      <w:r>
        <w:rPr>
          <w:rFonts w:hint="eastAsia" w:ascii="仿宋" w:hAnsi="仿宋" w:eastAsia="仿宋" w:cs="仿宋"/>
        </w:rPr>
        <w:fldChar w:fldCharType="end"/>
      </w:r>
    </w:p>
    <w:p w14:paraId="3DE3386C">
      <w:pPr>
        <w:pStyle w:val="15"/>
        <w:tabs>
          <w:tab w:val="right" w:leader="dot" w:pos="9786"/>
          <w:tab w:val="clear" w:pos="1260"/>
          <w:tab w:val="clear" w:pos="8630"/>
        </w:tabs>
        <w:rPr>
          <w:rFonts w:ascii="仿宋" w:hAnsi="仿宋" w:eastAsia="仿宋" w:cs="仿宋"/>
        </w:rPr>
      </w:pPr>
      <w:r>
        <w:fldChar w:fldCharType="begin"/>
      </w:r>
      <w:r>
        <w:instrText xml:space="preserve"> HYPERLINK \l "_Toc25251" </w:instrText>
      </w:r>
      <w:r>
        <w:fldChar w:fldCharType="separate"/>
      </w:r>
      <w:r>
        <w:rPr>
          <w:rFonts w:hint="eastAsia" w:ascii="仿宋" w:hAnsi="仿宋" w:eastAsia="仿宋" w:cs="仿宋"/>
        </w:rPr>
        <w:t>32.中标服务费</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_Toc25251 \h </w:instrText>
      </w:r>
      <w:r>
        <w:rPr>
          <w:rFonts w:hint="eastAsia" w:ascii="仿宋" w:hAnsi="仿宋" w:eastAsia="仿宋" w:cs="仿宋"/>
        </w:rPr>
        <w:fldChar w:fldCharType="separate"/>
      </w:r>
      <w:r>
        <w:rPr>
          <w:rFonts w:hint="eastAsia" w:ascii="仿宋" w:hAnsi="仿宋" w:eastAsia="仿宋" w:cs="仿宋"/>
        </w:rPr>
        <w:t>10</w:t>
      </w:r>
      <w:r>
        <w:rPr>
          <w:rFonts w:hint="eastAsia" w:ascii="仿宋" w:hAnsi="仿宋" w:eastAsia="仿宋" w:cs="仿宋"/>
        </w:rPr>
        <w:fldChar w:fldCharType="end"/>
      </w:r>
      <w:r>
        <w:rPr>
          <w:rFonts w:hint="eastAsia" w:ascii="仿宋" w:hAnsi="仿宋" w:eastAsia="仿宋" w:cs="仿宋"/>
        </w:rPr>
        <w:fldChar w:fldCharType="end"/>
      </w:r>
    </w:p>
    <w:p w14:paraId="643FA942">
      <w:pPr>
        <w:pStyle w:val="15"/>
        <w:tabs>
          <w:tab w:val="right" w:leader="dot" w:pos="9786"/>
          <w:tab w:val="clear" w:pos="1260"/>
          <w:tab w:val="clear" w:pos="8630"/>
        </w:tabs>
        <w:rPr>
          <w:rFonts w:ascii="仿宋" w:hAnsi="仿宋" w:eastAsia="仿宋" w:cs="仿宋"/>
        </w:rPr>
      </w:pPr>
      <w:r>
        <w:fldChar w:fldCharType="begin"/>
      </w:r>
      <w:r>
        <w:instrText xml:space="preserve"> HYPERLINK \l "_Toc10688" </w:instrText>
      </w:r>
      <w:r>
        <w:fldChar w:fldCharType="separate"/>
      </w:r>
      <w:r>
        <w:rPr>
          <w:rFonts w:hint="eastAsia" w:ascii="仿宋" w:hAnsi="仿宋" w:eastAsia="仿宋" w:cs="仿宋"/>
        </w:rPr>
        <w:t>33.政府采购信用担保</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_Toc10688 \h </w:instrText>
      </w:r>
      <w:r>
        <w:rPr>
          <w:rFonts w:hint="eastAsia" w:ascii="仿宋" w:hAnsi="仿宋" w:eastAsia="仿宋" w:cs="仿宋"/>
        </w:rPr>
        <w:fldChar w:fldCharType="separate"/>
      </w:r>
      <w:r>
        <w:rPr>
          <w:rFonts w:hint="eastAsia" w:ascii="仿宋" w:hAnsi="仿宋" w:eastAsia="仿宋" w:cs="仿宋"/>
        </w:rPr>
        <w:t>10</w:t>
      </w:r>
      <w:r>
        <w:rPr>
          <w:rFonts w:hint="eastAsia" w:ascii="仿宋" w:hAnsi="仿宋" w:eastAsia="仿宋" w:cs="仿宋"/>
        </w:rPr>
        <w:fldChar w:fldCharType="end"/>
      </w:r>
      <w:r>
        <w:rPr>
          <w:rFonts w:hint="eastAsia" w:ascii="仿宋" w:hAnsi="仿宋" w:eastAsia="仿宋" w:cs="仿宋"/>
        </w:rPr>
        <w:fldChar w:fldCharType="end"/>
      </w:r>
    </w:p>
    <w:p w14:paraId="5B7D27C5">
      <w:pPr>
        <w:pStyle w:val="15"/>
        <w:tabs>
          <w:tab w:val="right" w:leader="dot" w:pos="9786"/>
          <w:tab w:val="clear" w:pos="1260"/>
          <w:tab w:val="clear" w:pos="8630"/>
        </w:tabs>
        <w:rPr>
          <w:rFonts w:ascii="仿宋" w:hAnsi="仿宋" w:eastAsia="仿宋" w:cs="仿宋"/>
        </w:rPr>
      </w:pPr>
      <w:r>
        <w:fldChar w:fldCharType="begin"/>
      </w:r>
      <w:r>
        <w:instrText xml:space="preserve"> HYPERLINK \l "_Toc16263" </w:instrText>
      </w:r>
      <w:r>
        <w:fldChar w:fldCharType="separate"/>
      </w:r>
      <w:r>
        <w:rPr>
          <w:rFonts w:hint="eastAsia" w:ascii="仿宋" w:hAnsi="仿宋" w:eastAsia="仿宋" w:cs="仿宋"/>
        </w:rPr>
        <w:t>34.廉洁自律规定</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_Toc16263 \h </w:instrText>
      </w:r>
      <w:r>
        <w:rPr>
          <w:rFonts w:hint="eastAsia" w:ascii="仿宋" w:hAnsi="仿宋" w:eastAsia="仿宋" w:cs="仿宋"/>
        </w:rPr>
        <w:fldChar w:fldCharType="separate"/>
      </w:r>
      <w:r>
        <w:rPr>
          <w:rFonts w:hint="eastAsia" w:ascii="仿宋" w:hAnsi="仿宋" w:eastAsia="仿宋" w:cs="仿宋"/>
        </w:rPr>
        <w:t>10</w:t>
      </w:r>
      <w:r>
        <w:rPr>
          <w:rFonts w:hint="eastAsia" w:ascii="仿宋" w:hAnsi="仿宋" w:eastAsia="仿宋" w:cs="仿宋"/>
        </w:rPr>
        <w:fldChar w:fldCharType="end"/>
      </w:r>
      <w:r>
        <w:rPr>
          <w:rFonts w:hint="eastAsia" w:ascii="仿宋" w:hAnsi="仿宋" w:eastAsia="仿宋" w:cs="仿宋"/>
        </w:rPr>
        <w:fldChar w:fldCharType="end"/>
      </w:r>
    </w:p>
    <w:p w14:paraId="263F6BF0">
      <w:pPr>
        <w:pStyle w:val="15"/>
        <w:tabs>
          <w:tab w:val="right" w:leader="dot" w:pos="9786"/>
          <w:tab w:val="clear" w:pos="1260"/>
          <w:tab w:val="clear" w:pos="8630"/>
        </w:tabs>
        <w:rPr>
          <w:rFonts w:ascii="仿宋" w:hAnsi="仿宋" w:eastAsia="仿宋" w:cs="仿宋"/>
        </w:rPr>
      </w:pPr>
      <w:r>
        <w:fldChar w:fldCharType="begin"/>
      </w:r>
      <w:r>
        <w:instrText xml:space="preserve"> HYPERLINK \l "_Toc23562" </w:instrText>
      </w:r>
      <w:r>
        <w:fldChar w:fldCharType="separate"/>
      </w:r>
      <w:r>
        <w:rPr>
          <w:rFonts w:hint="eastAsia" w:ascii="仿宋" w:hAnsi="仿宋" w:eastAsia="仿宋" w:cs="仿宋"/>
        </w:rPr>
        <w:t>35.人员回避</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_Toc23562 \h </w:instrText>
      </w:r>
      <w:r>
        <w:rPr>
          <w:rFonts w:hint="eastAsia" w:ascii="仿宋" w:hAnsi="仿宋" w:eastAsia="仿宋" w:cs="仿宋"/>
        </w:rPr>
        <w:fldChar w:fldCharType="separate"/>
      </w:r>
      <w:r>
        <w:rPr>
          <w:rFonts w:hint="eastAsia" w:ascii="仿宋" w:hAnsi="仿宋" w:eastAsia="仿宋" w:cs="仿宋"/>
        </w:rPr>
        <w:t>10</w:t>
      </w:r>
      <w:r>
        <w:rPr>
          <w:rFonts w:hint="eastAsia" w:ascii="仿宋" w:hAnsi="仿宋" w:eastAsia="仿宋" w:cs="仿宋"/>
        </w:rPr>
        <w:fldChar w:fldCharType="end"/>
      </w:r>
      <w:r>
        <w:rPr>
          <w:rFonts w:hint="eastAsia" w:ascii="仿宋" w:hAnsi="仿宋" w:eastAsia="仿宋" w:cs="仿宋"/>
        </w:rPr>
        <w:fldChar w:fldCharType="end"/>
      </w:r>
    </w:p>
    <w:p w14:paraId="2ABC8CCE">
      <w:pPr>
        <w:pStyle w:val="15"/>
        <w:tabs>
          <w:tab w:val="right" w:leader="dot" w:pos="9786"/>
          <w:tab w:val="clear" w:pos="1260"/>
          <w:tab w:val="clear" w:pos="8630"/>
        </w:tabs>
        <w:rPr>
          <w:rFonts w:ascii="仿宋" w:hAnsi="仿宋" w:eastAsia="仿宋" w:cs="仿宋"/>
        </w:rPr>
      </w:pPr>
      <w:r>
        <w:fldChar w:fldCharType="begin"/>
      </w:r>
      <w:r>
        <w:instrText xml:space="preserve"> HYPERLINK \l "_Toc20336" </w:instrText>
      </w:r>
      <w:r>
        <w:fldChar w:fldCharType="separate"/>
      </w:r>
      <w:r>
        <w:rPr>
          <w:rFonts w:hint="eastAsia" w:ascii="仿宋" w:hAnsi="仿宋" w:eastAsia="仿宋" w:cs="仿宋"/>
          <w:kern w:val="0"/>
        </w:rPr>
        <w:t>36.质疑与接收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_Toc20336 \h </w:instrText>
      </w:r>
      <w:r>
        <w:rPr>
          <w:rFonts w:hint="eastAsia" w:ascii="仿宋" w:hAnsi="仿宋" w:eastAsia="仿宋" w:cs="仿宋"/>
        </w:rPr>
        <w:fldChar w:fldCharType="separate"/>
      </w:r>
      <w:r>
        <w:rPr>
          <w:rFonts w:hint="eastAsia" w:ascii="仿宋" w:hAnsi="仿宋" w:eastAsia="仿宋" w:cs="仿宋"/>
        </w:rPr>
        <w:t>10</w:t>
      </w:r>
      <w:r>
        <w:rPr>
          <w:rFonts w:hint="eastAsia" w:ascii="仿宋" w:hAnsi="仿宋" w:eastAsia="仿宋" w:cs="仿宋"/>
        </w:rPr>
        <w:fldChar w:fldCharType="end"/>
      </w:r>
      <w:r>
        <w:rPr>
          <w:rFonts w:hint="eastAsia" w:ascii="仿宋" w:hAnsi="仿宋" w:eastAsia="仿宋" w:cs="仿宋"/>
        </w:rPr>
        <w:fldChar w:fldCharType="end"/>
      </w:r>
    </w:p>
    <w:p w14:paraId="1F0C2B19">
      <w:pPr>
        <w:pStyle w:val="23"/>
        <w:tabs>
          <w:tab w:val="right" w:leader="dot" w:pos="9786"/>
        </w:tabs>
        <w:rPr>
          <w:rFonts w:ascii="仿宋" w:hAnsi="仿宋" w:eastAsia="仿宋" w:cs="仿宋"/>
        </w:rPr>
      </w:pPr>
      <w:r>
        <w:fldChar w:fldCharType="begin"/>
      </w:r>
      <w:r>
        <w:instrText xml:space="preserve"> HYPERLINK \l "_Toc13090" </w:instrText>
      </w:r>
      <w:r>
        <w:fldChar w:fldCharType="separate"/>
      </w:r>
      <w:r>
        <w:rPr>
          <w:rFonts w:hint="eastAsia" w:ascii="仿宋" w:hAnsi="仿宋" w:eastAsia="仿宋" w:cs="仿宋"/>
          <w:kern w:val="0"/>
          <w:szCs w:val="44"/>
        </w:rPr>
        <w:t>第二章</w:t>
      </w:r>
      <w:r>
        <w:rPr>
          <w:rFonts w:hint="eastAsia" w:ascii="仿宋" w:hAnsi="仿宋" w:eastAsia="仿宋" w:cs="仿宋"/>
          <w:szCs w:val="44"/>
        </w:rPr>
        <w:t xml:space="preserve">  投标文件格式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_Toc13090 \h </w:instrText>
      </w:r>
      <w:r>
        <w:rPr>
          <w:rFonts w:hint="eastAsia" w:ascii="仿宋" w:hAnsi="仿宋" w:eastAsia="仿宋" w:cs="仿宋"/>
        </w:rPr>
        <w:fldChar w:fldCharType="separate"/>
      </w:r>
      <w:r>
        <w:rPr>
          <w:rFonts w:hint="eastAsia" w:ascii="仿宋" w:hAnsi="仿宋" w:eastAsia="仿宋" w:cs="仿宋"/>
        </w:rPr>
        <w:t>17</w:t>
      </w:r>
      <w:r>
        <w:rPr>
          <w:rFonts w:hint="eastAsia" w:ascii="仿宋" w:hAnsi="仿宋" w:eastAsia="仿宋" w:cs="仿宋"/>
        </w:rPr>
        <w:fldChar w:fldCharType="end"/>
      </w:r>
      <w:r>
        <w:rPr>
          <w:rFonts w:hint="eastAsia" w:ascii="仿宋" w:hAnsi="仿宋" w:eastAsia="仿宋" w:cs="仿宋"/>
        </w:rPr>
        <w:fldChar w:fldCharType="end"/>
      </w:r>
    </w:p>
    <w:p w14:paraId="7CFA6D18">
      <w:pPr>
        <w:pStyle w:val="28"/>
        <w:tabs>
          <w:tab w:val="right" w:leader="dot" w:pos="9786"/>
        </w:tabs>
        <w:rPr>
          <w:rFonts w:ascii="仿宋" w:hAnsi="仿宋" w:eastAsia="仿宋" w:cs="仿宋"/>
        </w:rPr>
      </w:pPr>
      <w:r>
        <w:fldChar w:fldCharType="begin"/>
      </w:r>
      <w:r>
        <w:instrText xml:space="preserve"> HYPERLINK \l "_Toc17486" </w:instrText>
      </w:r>
      <w:r>
        <w:fldChar w:fldCharType="separate"/>
      </w:r>
      <w:r>
        <w:rPr>
          <w:rFonts w:hint="eastAsia" w:ascii="仿宋" w:hAnsi="仿宋" w:eastAsia="仿宋" w:cs="仿宋"/>
        </w:rPr>
        <w:t>第一部分 开标一览表及资格证明文件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_Toc17486 \h </w:instrText>
      </w:r>
      <w:r>
        <w:rPr>
          <w:rFonts w:hint="eastAsia" w:ascii="仿宋" w:hAnsi="仿宋" w:eastAsia="仿宋" w:cs="仿宋"/>
        </w:rPr>
        <w:fldChar w:fldCharType="separate"/>
      </w:r>
      <w:r>
        <w:rPr>
          <w:rFonts w:hint="eastAsia" w:ascii="仿宋" w:hAnsi="仿宋" w:eastAsia="仿宋" w:cs="仿宋"/>
        </w:rPr>
        <w:t>17</w:t>
      </w:r>
      <w:r>
        <w:rPr>
          <w:rFonts w:hint="eastAsia" w:ascii="仿宋" w:hAnsi="仿宋" w:eastAsia="仿宋" w:cs="仿宋"/>
        </w:rPr>
        <w:fldChar w:fldCharType="end"/>
      </w:r>
      <w:r>
        <w:rPr>
          <w:rFonts w:hint="eastAsia" w:ascii="仿宋" w:hAnsi="仿宋" w:eastAsia="仿宋" w:cs="仿宋"/>
        </w:rPr>
        <w:fldChar w:fldCharType="end"/>
      </w:r>
    </w:p>
    <w:p w14:paraId="2DD6F291">
      <w:pPr>
        <w:pStyle w:val="15"/>
        <w:tabs>
          <w:tab w:val="right" w:leader="dot" w:pos="9786"/>
          <w:tab w:val="clear" w:pos="1260"/>
          <w:tab w:val="clear" w:pos="8630"/>
        </w:tabs>
        <w:rPr>
          <w:rFonts w:ascii="仿宋" w:hAnsi="仿宋" w:eastAsia="仿宋" w:cs="仿宋"/>
        </w:rPr>
      </w:pPr>
      <w:r>
        <w:fldChar w:fldCharType="begin"/>
      </w:r>
      <w:r>
        <w:instrText xml:space="preserve"> HYPERLINK \l "_Toc14899" </w:instrText>
      </w:r>
      <w:r>
        <w:fldChar w:fldCharType="separate"/>
      </w:r>
      <w:r>
        <w:rPr>
          <w:rFonts w:hint="eastAsia" w:ascii="仿宋" w:hAnsi="仿宋" w:eastAsia="仿宋" w:cs="仿宋"/>
        </w:rPr>
        <w:t>1  开标一览表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_Toc14899 \h </w:instrText>
      </w:r>
      <w:r>
        <w:rPr>
          <w:rFonts w:hint="eastAsia" w:ascii="仿宋" w:hAnsi="仿宋" w:eastAsia="仿宋" w:cs="仿宋"/>
        </w:rPr>
        <w:fldChar w:fldCharType="separate"/>
      </w:r>
      <w:r>
        <w:rPr>
          <w:rFonts w:hint="eastAsia" w:ascii="仿宋" w:hAnsi="仿宋" w:eastAsia="仿宋" w:cs="仿宋"/>
        </w:rPr>
        <w:t>18</w:t>
      </w:r>
      <w:r>
        <w:rPr>
          <w:rFonts w:hint="eastAsia" w:ascii="仿宋" w:hAnsi="仿宋" w:eastAsia="仿宋" w:cs="仿宋"/>
        </w:rPr>
        <w:fldChar w:fldCharType="end"/>
      </w:r>
      <w:r>
        <w:rPr>
          <w:rFonts w:hint="eastAsia" w:ascii="仿宋" w:hAnsi="仿宋" w:eastAsia="仿宋" w:cs="仿宋"/>
        </w:rPr>
        <w:fldChar w:fldCharType="end"/>
      </w:r>
    </w:p>
    <w:p w14:paraId="5BFA7457">
      <w:pPr>
        <w:pStyle w:val="15"/>
        <w:tabs>
          <w:tab w:val="right" w:leader="dot" w:pos="9786"/>
          <w:tab w:val="clear" w:pos="1260"/>
          <w:tab w:val="clear" w:pos="8630"/>
        </w:tabs>
        <w:rPr>
          <w:rFonts w:ascii="仿宋" w:hAnsi="仿宋" w:eastAsia="仿宋" w:cs="仿宋"/>
        </w:rPr>
      </w:pPr>
      <w:r>
        <w:fldChar w:fldCharType="begin"/>
      </w:r>
      <w:r>
        <w:instrText xml:space="preserve"> HYPERLINK \l "_Toc438" </w:instrText>
      </w:r>
      <w:r>
        <w:fldChar w:fldCharType="separate"/>
      </w:r>
      <w:r>
        <w:rPr>
          <w:rFonts w:hint="eastAsia" w:ascii="仿宋" w:hAnsi="仿宋" w:eastAsia="仿宋" w:cs="仿宋"/>
          <w:kern w:val="0"/>
          <w:szCs w:val="20"/>
        </w:rPr>
        <w:t>2  法人或者非法人组织的营业执照等证明文件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_Toc438 \h </w:instrText>
      </w:r>
      <w:r>
        <w:rPr>
          <w:rFonts w:hint="eastAsia" w:ascii="仿宋" w:hAnsi="仿宋" w:eastAsia="仿宋" w:cs="仿宋"/>
        </w:rPr>
        <w:fldChar w:fldCharType="separate"/>
      </w:r>
      <w:r>
        <w:rPr>
          <w:rFonts w:hint="eastAsia" w:ascii="仿宋" w:hAnsi="仿宋" w:eastAsia="仿宋" w:cs="仿宋"/>
        </w:rPr>
        <w:t>18</w:t>
      </w:r>
      <w:r>
        <w:rPr>
          <w:rFonts w:hint="eastAsia" w:ascii="仿宋" w:hAnsi="仿宋" w:eastAsia="仿宋" w:cs="仿宋"/>
        </w:rPr>
        <w:fldChar w:fldCharType="end"/>
      </w:r>
      <w:r>
        <w:rPr>
          <w:rFonts w:hint="eastAsia" w:ascii="仿宋" w:hAnsi="仿宋" w:eastAsia="仿宋" w:cs="仿宋"/>
        </w:rPr>
        <w:fldChar w:fldCharType="end"/>
      </w:r>
    </w:p>
    <w:p w14:paraId="162DB9C9">
      <w:pPr>
        <w:pStyle w:val="15"/>
        <w:tabs>
          <w:tab w:val="right" w:leader="dot" w:pos="9786"/>
          <w:tab w:val="clear" w:pos="1260"/>
          <w:tab w:val="clear" w:pos="8630"/>
        </w:tabs>
        <w:rPr>
          <w:rFonts w:ascii="仿宋" w:hAnsi="仿宋" w:eastAsia="仿宋" w:cs="仿宋"/>
        </w:rPr>
      </w:pPr>
      <w:r>
        <w:fldChar w:fldCharType="begin"/>
      </w:r>
      <w:r>
        <w:instrText xml:space="preserve"> HYPERLINK \l "_Toc32588" </w:instrText>
      </w:r>
      <w:r>
        <w:fldChar w:fldCharType="separate"/>
      </w:r>
      <w:r>
        <w:rPr>
          <w:rFonts w:hint="eastAsia" w:ascii="仿宋" w:hAnsi="仿宋" w:eastAsia="仿宋" w:cs="仿宋"/>
        </w:rPr>
        <w:t>3  法定代表人身份证明</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_Toc32588 \h </w:instrText>
      </w:r>
      <w:r>
        <w:rPr>
          <w:rFonts w:hint="eastAsia" w:ascii="仿宋" w:hAnsi="仿宋" w:eastAsia="仿宋" w:cs="仿宋"/>
        </w:rPr>
        <w:fldChar w:fldCharType="separate"/>
      </w:r>
      <w:r>
        <w:rPr>
          <w:rFonts w:hint="eastAsia" w:ascii="仿宋" w:hAnsi="仿宋" w:eastAsia="仿宋" w:cs="仿宋"/>
        </w:rPr>
        <w:t>19</w:t>
      </w:r>
      <w:r>
        <w:rPr>
          <w:rFonts w:hint="eastAsia" w:ascii="仿宋" w:hAnsi="仿宋" w:eastAsia="仿宋" w:cs="仿宋"/>
        </w:rPr>
        <w:fldChar w:fldCharType="end"/>
      </w:r>
      <w:r>
        <w:rPr>
          <w:rFonts w:hint="eastAsia" w:ascii="仿宋" w:hAnsi="仿宋" w:eastAsia="仿宋" w:cs="仿宋"/>
        </w:rPr>
        <w:fldChar w:fldCharType="end"/>
      </w:r>
    </w:p>
    <w:p w14:paraId="2399B6D1">
      <w:pPr>
        <w:pStyle w:val="15"/>
        <w:tabs>
          <w:tab w:val="right" w:leader="dot" w:pos="9786"/>
          <w:tab w:val="clear" w:pos="1260"/>
          <w:tab w:val="clear" w:pos="8630"/>
        </w:tabs>
        <w:rPr>
          <w:rFonts w:ascii="仿宋" w:hAnsi="仿宋" w:eastAsia="仿宋" w:cs="仿宋"/>
        </w:rPr>
      </w:pPr>
      <w:r>
        <w:fldChar w:fldCharType="begin"/>
      </w:r>
      <w:r>
        <w:instrText xml:space="preserve"> HYPERLINK \l "_Toc23323" </w:instrText>
      </w:r>
      <w:r>
        <w:fldChar w:fldCharType="separate"/>
      </w:r>
      <w:r>
        <w:rPr>
          <w:rFonts w:hint="eastAsia" w:ascii="仿宋" w:hAnsi="仿宋" w:eastAsia="仿宋" w:cs="仿宋"/>
        </w:rPr>
        <w:t>4  法定代表人授权委托书</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_Toc23323 \h </w:instrText>
      </w:r>
      <w:r>
        <w:rPr>
          <w:rFonts w:hint="eastAsia" w:ascii="仿宋" w:hAnsi="仿宋" w:eastAsia="仿宋" w:cs="仿宋"/>
        </w:rPr>
        <w:fldChar w:fldCharType="separate"/>
      </w:r>
      <w:r>
        <w:rPr>
          <w:rFonts w:hint="eastAsia" w:ascii="仿宋" w:hAnsi="仿宋" w:eastAsia="仿宋" w:cs="仿宋"/>
        </w:rPr>
        <w:t>20</w:t>
      </w:r>
      <w:r>
        <w:rPr>
          <w:rFonts w:hint="eastAsia" w:ascii="仿宋" w:hAnsi="仿宋" w:eastAsia="仿宋" w:cs="仿宋"/>
        </w:rPr>
        <w:fldChar w:fldCharType="end"/>
      </w:r>
      <w:r>
        <w:rPr>
          <w:rFonts w:hint="eastAsia" w:ascii="仿宋" w:hAnsi="仿宋" w:eastAsia="仿宋" w:cs="仿宋"/>
        </w:rPr>
        <w:fldChar w:fldCharType="end"/>
      </w:r>
    </w:p>
    <w:p w14:paraId="538F56D6">
      <w:pPr>
        <w:pStyle w:val="15"/>
        <w:tabs>
          <w:tab w:val="right" w:leader="dot" w:pos="9786"/>
          <w:tab w:val="clear" w:pos="1260"/>
          <w:tab w:val="clear" w:pos="8630"/>
        </w:tabs>
        <w:rPr>
          <w:rFonts w:ascii="仿宋" w:hAnsi="仿宋" w:eastAsia="仿宋" w:cs="仿宋"/>
        </w:rPr>
      </w:pPr>
      <w:r>
        <w:fldChar w:fldCharType="begin"/>
      </w:r>
      <w:r>
        <w:instrText xml:space="preserve"> HYPERLINK \l "_Toc5928" </w:instrText>
      </w:r>
      <w:r>
        <w:fldChar w:fldCharType="separate"/>
      </w:r>
      <w:r>
        <w:rPr>
          <w:rFonts w:hint="eastAsia" w:ascii="仿宋" w:hAnsi="仿宋" w:eastAsia="仿宋" w:cs="仿宋"/>
          <w:kern w:val="0"/>
          <w:szCs w:val="20"/>
        </w:rPr>
        <w:t>5  投标保证金缴纳凭证</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_Toc5928 \h </w:instrText>
      </w:r>
      <w:r>
        <w:rPr>
          <w:rFonts w:hint="eastAsia" w:ascii="仿宋" w:hAnsi="仿宋" w:eastAsia="仿宋" w:cs="仿宋"/>
        </w:rPr>
        <w:fldChar w:fldCharType="separate"/>
      </w:r>
      <w:r>
        <w:rPr>
          <w:rFonts w:hint="eastAsia" w:ascii="仿宋" w:hAnsi="仿宋" w:eastAsia="仿宋" w:cs="仿宋"/>
        </w:rPr>
        <w:t>21</w:t>
      </w:r>
      <w:r>
        <w:rPr>
          <w:rFonts w:hint="eastAsia" w:ascii="仿宋" w:hAnsi="仿宋" w:eastAsia="仿宋" w:cs="仿宋"/>
        </w:rPr>
        <w:fldChar w:fldCharType="end"/>
      </w:r>
      <w:r>
        <w:rPr>
          <w:rFonts w:hint="eastAsia" w:ascii="仿宋" w:hAnsi="仿宋" w:eastAsia="仿宋" w:cs="仿宋"/>
        </w:rPr>
        <w:fldChar w:fldCharType="end"/>
      </w:r>
    </w:p>
    <w:p w14:paraId="5522A219">
      <w:pPr>
        <w:pStyle w:val="15"/>
        <w:tabs>
          <w:tab w:val="right" w:leader="dot" w:pos="9786"/>
          <w:tab w:val="clear" w:pos="1260"/>
          <w:tab w:val="clear" w:pos="8630"/>
        </w:tabs>
        <w:rPr>
          <w:rFonts w:ascii="仿宋" w:hAnsi="仿宋" w:eastAsia="仿宋" w:cs="仿宋"/>
        </w:rPr>
      </w:pPr>
      <w:r>
        <w:fldChar w:fldCharType="begin"/>
      </w:r>
      <w:r>
        <w:instrText xml:space="preserve"> HYPERLINK \l "_Toc19712" </w:instrText>
      </w:r>
      <w:r>
        <w:fldChar w:fldCharType="separate"/>
      </w:r>
      <w:r>
        <w:rPr>
          <w:rFonts w:hint="eastAsia" w:ascii="仿宋" w:hAnsi="仿宋" w:eastAsia="仿宋" w:cs="仿宋"/>
          <w:kern w:val="0"/>
          <w:szCs w:val="20"/>
        </w:rPr>
        <w:t>6  社会保障资金的缴纳记录</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_Toc19712 \h </w:instrText>
      </w:r>
      <w:r>
        <w:rPr>
          <w:rFonts w:hint="eastAsia" w:ascii="仿宋" w:hAnsi="仿宋" w:eastAsia="仿宋" w:cs="仿宋"/>
        </w:rPr>
        <w:fldChar w:fldCharType="separate"/>
      </w:r>
      <w:r>
        <w:rPr>
          <w:rFonts w:hint="eastAsia" w:ascii="仿宋" w:hAnsi="仿宋" w:eastAsia="仿宋" w:cs="仿宋"/>
        </w:rPr>
        <w:t>23</w:t>
      </w:r>
      <w:r>
        <w:rPr>
          <w:rFonts w:hint="eastAsia" w:ascii="仿宋" w:hAnsi="仿宋" w:eastAsia="仿宋" w:cs="仿宋"/>
        </w:rPr>
        <w:fldChar w:fldCharType="end"/>
      </w:r>
      <w:r>
        <w:rPr>
          <w:rFonts w:hint="eastAsia" w:ascii="仿宋" w:hAnsi="仿宋" w:eastAsia="仿宋" w:cs="仿宋"/>
        </w:rPr>
        <w:fldChar w:fldCharType="end"/>
      </w:r>
    </w:p>
    <w:p w14:paraId="668D11FC">
      <w:pPr>
        <w:pStyle w:val="28"/>
        <w:tabs>
          <w:tab w:val="right" w:leader="dot" w:pos="9786"/>
        </w:tabs>
        <w:ind w:firstLine="420" w:firstLineChars="200"/>
        <w:rPr>
          <w:rFonts w:ascii="仿宋" w:hAnsi="仿宋" w:eastAsia="仿宋" w:cs="仿宋"/>
        </w:rPr>
      </w:pPr>
      <w:r>
        <w:fldChar w:fldCharType="begin"/>
      </w:r>
      <w:r>
        <w:instrText xml:space="preserve"> HYPERLINK \l "_Toc9263" </w:instrText>
      </w:r>
      <w:r>
        <w:fldChar w:fldCharType="separate"/>
      </w:r>
      <w:r>
        <w:rPr>
          <w:rFonts w:hint="eastAsia" w:ascii="仿宋" w:hAnsi="仿宋" w:eastAsia="仿宋" w:cs="仿宋"/>
        </w:rPr>
        <w:t>7  良好的商业信誉和健全的财务会计制度证明材料</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_Toc9263 \h </w:instrText>
      </w:r>
      <w:r>
        <w:rPr>
          <w:rFonts w:hint="eastAsia" w:ascii="仿宋" w:hAnsi="仿宋" w:eastAsia="仿宋" w:cs="仿宋"/>
        </w:rPr>
        <w:fldChar w:fldCharType="separate"/>
      </w:r>
      <w:r>
        <w:rPr>
          <w:rFonts w:hint="eastAsia" w:ascii="仿宋" w:hAnsi="仿宋" w:eastAsia="仿宋" w:cs="仿宋"/>
        </w:rPr>
        <w:t>23</w:t>
      </w:r>
      <w:r>
        <w:rPr>
          <w:rFonts w:hint="eastAsia" w:ascii="仿宋" w:hAnsi="仿宋" w:eastAsia="仿宋" w:cs="仿宋"/>
        </w:rPr>
        <w:fldChar w:fldCharType="end"/>
      </w:r>
      <w:r>
        <w:rPr>
          <w:rFonts w:hint="eastAsia" w:ascii="仿宋" w:hAnsi="仿宋" w:eastAsia="仿宋" w:cs="仿宋"/>
        </w:rPr>
        <w:fldChar w:fldCharType="end"/>
      </w:r>
    </w:p>
    <w:p w14:paraId="4F71E3E0">
      <w:pPr>
        <w:pStyle w:val="28"/>
        <w:tabs>
          <w:tab w:val="right" w:leader="dot" w:pos="9786"/>
        </w:tabs>
        <w:ind w:firstLine="420" w:firstLineChars="200"/>
        <w:rPr>
          <w:rFonts w:ascii="仿宋" w:hAnsi="仿宋" w:eastAsia="仿宋" w:cs="仿宋"/>
        </w:rPr>
      </w:pPr>
      <w:r>
        <w:fldChar w:fldCharType="begin"/>
      </w:r>
      <w:r>
        <w:instrText xml:space="preserve"> HYPERLINK \l "_Toc20592" </w:instrText>
      </w:r>
      <w:r>
        <w:fldChar w:fldCharType="separate"/>
      </w:r>
      <w:r>
        <w:rPr>
          <w:rFonts w:hint="eastAsia" w:ascii="仿宋" w:hAnsi="仿宋" w:eastAsia="仿宋" w:cs="仿宋"/>
        </w:rPr>
        <w:t>8  依法缴纳税收的证明</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_Toc20592 \h </w:instrText>
      </w:r>
      <w:r>
        <w:rPr>
          <w:rFonts w:hint="eastAsia" w:ascii="仿宋" w:hAnsi="仿宋" w:eastAsia="仿宋" w:cs="仿宋"/>
        </w:rPr>
        <w:fldChar w:fldCharType="separate"/>
      </w:r>
      <w:r>
        <w:rPr>
          <w:rFonts w:hint="eastAsia" w:ascii="仿宋" w:hAnsi="仿宋" w:eastAsia="仿宋" w:cs="仿宋"/>
        </w:rPr>
        <w:t>23</w:t>
      </w:r>
      <w:r>
        <w:rPr>
          <w:rFonts w:hint="eastAsia" w:ascii="仿宋" w:hAnsi="仿宋" w:eastAsia="仿宋" w:cs="仿宋"/>
        </w:rPr>
        <w:fldChar w:fldCharType="end"/>
      </w:r>
      <w:r>
        <w:rPr>
          <w:rFonts w:hint="eastAsia" w:ascii="仿宋" w:hAnsi="仿宋" w:eastAsia="仿宋" w:cs="仿宋"/>
        </w:rPr>
        <w:fldChar w:fldCharType="end"/>
      </w:r>
    </w:p>
    <w:p w14:paraId="08BE9782">
      <w:pPr>
        <w:pStyle w:val="28"/>
        <w:tabs>
          <w:tab w:val="right" w:leader="dot" w:pos="9786"/>
        </w:tabs>
        <w:ind w:firstLine="420" w:firstLineChars="200"/>
        <w:rPr>
          <w:rFonts w:ascii="仿宋" w:hAnsi="仿宋" w:eastAsia="仿宋" w:cs="仿宋"/>
        </w:rPr>
      </w:pPr>
      <w:r>
        <w:fldChar w:fldCharType="begin"/>
      </w:r>
      <w:r>
        <w:instrText xml:space="preserve"> HYPERLINK \l "_Toc8820" </w:instrText>
      </w:r>
      <w:r>
        <w:fldChar w:fldCharType="separate"/>
      </w:r>
      <w:r>
        <w:rPr>
          <w:rFonts w:hint="eastAsia" w:ascii="仿宋" w:hAnsi="仿宋" w:eastAsia="仿宋" w:cs="仿宋"/>
        </w:rPr>
        <w:t>9  参加政府采购活动前3年内在经营活动中没有重大违法记录的承诺书及反商业受贿承诺书</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_Toc8820 \h </w:instrText>
      </w:r>
      <w:r>
        <w:rPr>
          <w:rFonts w:hint="eastAsia" w:ascii="仿宋" w:hAnsi="仿宋" w:eastAsia="仿宋" w:cs="仿宋"/>
        </w:rPr>
        <w:fldChar w:fldCharType="separate"/>
      </w:r>
      <w:r>
        <w:rPr>
          <w:rFonts w:hint="eastAsia" w:ascii="仿宋" w:hAnsi="仿宋" w:eastAsia="仿宋" w:cs="仿宋"/>
        </w:rPr>
        <w:t>24</w:t>
      </w:r>
      <w:r>
        <w:rPr>
          <w:rFonts w:hint="eastAsia" w:ascii="仿宋" w:hAnsi="仿宋" w:eastAsia="仿宋" w:cs="仿宋"/>
        </w:rPr>
        <w:fldChar w:fldCharType="end"/>
      </w:r>
      <w:r>
        <w:rPr>
          <w:rFonts w:hint="eastAsia" w:ascii="仿宋" w:hAnsi="仿宋" w:eastAsia="仿宋" w:cs="仿宋"/>
        </w:rPr>
        <w:fldChar w:fldCharType="end"/>
      </w:r>
    </w:p>
    <w:p w14:paraId="2AEEE280">
      <w:pPr>
        <w:pStyle w:val="28"/>
        <w:tabs>
          <w:tab w:val="right" w:leader="dot" w:pos="9786"/>
        </w:tabs>
        <w:ind w:firstLine="420" w:firstLineChars="200"/>
        <w:rPr>
          <w:rFonts w:ascii="仿宋" w:hAnsi="仿宋" w:eastAsia="仿宋" w:cs="仿宋"/>
        </w:rPr>
      </w:pPr>
      <w:r>
        <w:fldChar w:fldCharType="begin"/>
      </w:r>
      <w:r>
        <w:instrText xml:space="preserve"> HYPERLINK \l "_Toc9088" </w:instrText>
      </w:r>
      <w:r>
        <w:fldChar w:fldCharType="separate"/>
      </w:r>
      <w:r>
        <w:rPr>
          <w:rFonts w:hint="eastAsia" w:ascii="仿宋" w:hAnsi="仿宋" w:eastAsia="仿宋" w:cs="仿宋"/>
        </w:rPr>
        <w:t>11 投标人须知资料表要求的其他资格证明文件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_Toc9088 \h </w:instrText>
      </w:r>
      <w:r>
        <w:rPr>
          <w:rFonts w:hint="eastAsia" w:ascii="仿宋" w:hAnsi="仿宋" w:eastAsia="仿宋" w:cs="仿宋"/>
        </w:rPr>
        <w:fldChar w:fldCharType="separate"/>
      </w:r>
      <w:r>
        <w:rPr>
          <w:rFonts w:hint="eastAsia" w:ascii="仿宋" w:hAnsi="仿宋" w:eastAsia="仿宋" w:cs="仿宋"/>
        </w:rPr>
        <w:t>24</w:t>
      </w:r>
      <w:r>
        <w:rPr>
          <w:rFonts w:hint="eastAsia" w:ascii="仿宋" w:hAnsi="仿宋" w:eastAsia="仿宋" w:cs="仿宋"/>
        </w:rPr>
        <w:fldChar w:fldCharType="end"/>
      </w:r>
      <w:r>
        <w:rPr>
          <w:rFonts w:hint="eastAsia" w:ascii="仿宋" w:hAnsi="仿宋" w:eastAsia="仿宋" w:cs="仿宋"/>
        </w:rPr>
        <w:fldChar w:fldCharType="end"/>
      </w:r>
    </w:p>
    <w:p w14:paraId="5C5DEB09">
      <w:pPr>
        <w:pStyle w:val="28"/>
        <w:tabs>
          <w:tab w:val="right" w:leader="dot" w:pos="9786"/>
        </w:tabs>
        <w:rPr>
          <w:rFonts w:ascii="仿宋" w:hAnsi="仿宋" w:eastAsia="仿宋" w:cs="仿宋"/>
        </w:rPr>
      </w:pPr>
      <w:r>
        <w:fldChar w:fldCharType="begin"/>
      </w:r>
      <w:r>
        <w:instrText xml:space="preserve"> HYPERLINK \l "_Toc2243" </w:instrText>
      </w:r>
      <w:r>
        <w:fldChar w:fldCharType="separate"/>
      </w:r>
      <w:r>
        <w:rPr>
          <w:rFonts w:hint="eastAsia" w:ascii="仿宋" w:hAnsi="仿宋" w:eastAsia="仿宋" w:cs="仿宋"/>
          <w:kern w:val="0"/>
          <w:szCs w:val="20"/>
        </w:rPr>
        <w:t>第二部分 商务及技术文件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_Toc2243 \h </w:instrText>
      </w:r>
      <w:r>
        <w:rPr>
          <w:rFonts w:hint="eastAsia" w:ascii="仿宋" w:hAnsi="仿宋" w:eastAsia="仿宋" w:cs="仿宋"/>
        </w:rPr>
        <w:fldChar w:fldCharType="separate"/>
      </w:r>
      <w:r>
        <w:rPr>
          <w:rFonts w:hint="eastAsia" w:ascii="仿宋" w:hAnsi="仿宋" w:eastAsia="仿宋" w:cs="仿宋"/>
        </w:rPr>
        <w:t>25</w:t>
      </w:r>
      <w:r>
        <w:rPr>
          <w:rFonts w:hint="eastAsia" w:ascii="仿宋" w:hAnsi="仿宋" w:eastAsia="仿宋" w:cs="仿宋"/>
        </w:rPr>
        <w:fldChar w:fldCharType="end"/>
      </w:r>
      <w:r>
        <w:rPr>
          <w:rFonts w:hint="eastAsia" w:ascii="仿宋" w:hAnsi="仿宋" w:eastAsia="仿宋" w:cs="仿宋"/>
        </w:rPr>
        <w:fldChar w:fldCharType="end"/>
      </w:r>
    </w:p>
    <w:p w14:paraId="2266E3DF">
      <w:pPr>
        <w:pStyle w:val="28"/>
        <w:tabs>
          <w:tab w:val="right" w:leader="dot" w:pos="9786"/>
        </w:tabs>
        <w:ind w:firstLine="420" w:firstLineChars="200"/>
        <w:rPr>
          <w:rFonts w:ascii="仿宋" w:hAnsi="仿宋" w:eastAsia="仿宋" w:cs="仿宋"/>
        </w:rPr>
      </w:pPr>
      <w:r>
        <w:fldChar w:fldCharType="begin"/>
      </w:r>
      <w:r>
        <w:instrText xml:space="preserve"> HYPERLINK \l "_Toc30384" </w:instrText>
      </w:r>
      <w:r>
        <w:fldChar w:fldCharType="separate"/>
      </w:r>
      <w:r>
        <w:rPr>
          <w:rFonts w:hint="eastAsia" w:ascii="仿宋" w:hAnsi="仿宋" w:eastAsia="仿宋" w:cs="仿宋"/>
        </w:rPr>
        <w:t>1  投标书</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_Toc30384 \h </w:instrText>
      </w:r>
      <w:r>
        <w:rPr>
          <w:rFonts w:hint="eastAsia" w:ascii="仿宋" w:hAnsi="仿宋" w:eastAsia="仿宋" w:cs="仿宋"/>
        </w:rPr>
        <w:fldChar w:fldCharType="separate"/>
      </w:r>
      <w:r>
        <w:rPr>
          <w:rFonts w:hint="eastAsia" w:ascii="仿宋" w:hAnsi="仿宋" w:eastAsia="仿宋" w:cs="仿宋"/>
        </w:rPr>
        <w:t>26</w:t>
      </w:r>
      <w:r>
        <w:rPr>
          <w:rFonts w:hint="eastAsia" w:ascii="仿宋" w:hAnsi="仿宋" w:eastAsia="仿宋" w:cs="仿宋"/>
        </w:rPr>
        <w:fldChar w:fldCharType="end"/>
      </w:r>
      <w:r>
        <w:rPr>
          <w:rFonts w:hint="eastAsia" w:ascii="仿宋" w:hAnsi="仿宋" w:eastAsia="仿宋" w:cs="仿宋"/>
        </w:rPr>
        <w:fldChar w:fldCharType="end"/>
      </w:r>
    </w:p>
    <w:p w14:paraId="641F0225">
      <w:pPr>
        <w:pStyle w:val="28"/>
        <w:tabs>
          <w:tab w:val="right" w:leader="dot" w:pos="9786"/>
        </w:tabs>
        <w:ind w:firstLine="420" w:firstLineChars="200"/>
        <w:rPr>
          <w:rFonts w:ascii="仿宋" w:hAnsi="仿宋" w:eastAsia="仿宋" w:cs="仿宋"/>
        </w:rPr>
      </w:pPr>
      <w:r>
        <w:fldChar w:fldCharType="begin"/>
      </w:r>
      <w:r>
        <w:instrText xml:space="preserve"> HYPERLINK \l "_Toc3836" </w:instrText>
      </w:r>
      <w:r>
        <w:fldChar w:fldCharType="separate"/>
      </w:r>
      <w:r>
        <w:rPr>
          <w:rFonts w:hint="eastAsia" w:ascii="仿宋" w:hAnsi="仿宋" w:eastAsia="仿宋" w:cs="仿宋"/>
        </w:rPr>
        <w:t>2  投标分项报价表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_Toc3836 \h </w:instrText>
      </w:r>
      <w:r>
        <w:rPr>
          <w:rFonts w:hint="eastAsia" w:ascii="仿宋" w:hAnsi="仿宋" w:eastAsia="仿宋" w:cs="仿宋"/>
        </w:rPr>
        <w:fldChar w:fldCharType="separate"/>
      </w:r>
      <w:r>
        <w:rPr>
          <w:rFonts w:hint="eastAsia" w:ascii="仿宋" w:hAnsi="仿宋" w:eastAsia="仿宋" w:cs="仿宋"/>
        </w:rPr>
        <w:t>27</w:t>
      </w:r>
      <w:r>
        <w:rPr>
          <w:rFonts w:hint="eastAsia" w:ascii="仿宋" w:hAnsi="仿宋" w:eastAsia="仿宋" w:cs="仿宋"/>
        </w:rPr>
        <w:fldChar w:fldCharType="end"/>
      </w:r>
      <w:r>
        <w:rPr>
          <w:rFonts w:hint="eastAsia" w:ascii="仿宋" w:hAnsi="仿宋" w:eastAsia="仿宋" w:cs="仿宋"/>
        </w:rPr>
        <w:fldChar w:fldCharType="end"/>
      </w:r>
    </w:p>
    <w:p w14:paraId="2E6659E0">
      <w:pPr>
        <w:pStyle w:val="28"/>
        <w:tabs>
          <w:tab w:val="right" w:leader="dot" w:pos="9786"/>
        </w:tabs>
        <w:ind w:firstLine="420" w:firstLineChars="200"/>
        <w:rPr>
          <w:rFonts w:ascii="仿宋" w:hAnsi="仿宋" w:eastAsia="仿宋" w:cs="仿宋"/>
        </w:rPr>
      </w:pPr>
      <w:r>
        <w:fldChar w:fldCharType="begin"/>
      </w:r>
      <w:r>
        <w:instrText xml:space="preserve"> HYPERLINK \l "_Toc11861" </w:instrText>
      </w:r>
      <w:r>
        <w:fldChar w:fldCharType="separate"/>
      </w:r>
      <w:r>
        <w:rPr>
          <w:rFonts w:hint="eastAsia" w:ascii="仿宋" w:hAnsi="仿宋" w:eastAsia="仿宋" w:cs="仿宋"/>
        </w:rPr>
        <w:t>3 货物说明一览表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_Toc11861 \h </w:instrText>
      </w:r>
      <w:r>
        <w:rPr>
          <w:rFonts w:hint="eastAsia" w:ascii="仿宋" w:hAnsi="仿宋" w:eastAsia="仿宋" w:cs="仿宋"/>
        </w:rPr>
        <w:fldChar w:fldCharType="separate"/>
      </w:r>
      <w:r>
        <w:rPr>
          <w:rFonts w:hint="eastAsia" w:ascii="仿宋" w:hAnsi="仿宋" w:eastAsia="仿宋" w:cs="仿宋"/>
        </w:rPr>
        <w:t>28</w:t>
      </w:r>
      <w:r>
        <w:rPr>
          <w:rFonts w:hint="eastAsia" w:ascii="仿宋" w:hAnsi="仿宋" w:eastAsia="仿宋" w:cs="仿宋"/>
        </w:rPr>
        <w:fldChar w:fldCharType="end"/>
      </w:r>
      <w:r>
        <w:rPr>
          <w:rFonts w:hint="eastAsia" w:ascii="仿宋" w:hAnsi="仿宋" w:eastAsia="仿宋" w:cs="仿宋"/>
        </w:rPr>
        <w:fldChar w:fldCharType="end"/>
      </w:r>
    </w:p>
    <w:p w14:paraId="6B357125">
      <w:pPr>
        <w:pStyle w:val="28"/>
        <w:tabs>
          <w:tab w:val="right" w:leader="dot" w:pos="9786"/>
        </w:tabs>
        <w:ind w:firstLine="420" w:firstLineChars="200"/>
        <w:rPr>
          <w:rFonts w:ascii="仿宋" w:hAnsi="仿宋" w:eastAsia="仿宋" w:cs="仿宋"/>
        </w:rPr>
      </w:pPr>
      <w:r>
        <w:fldChar w:fldCharType="begin"/>
      </w:r>
      <w:r>
        <w:instrText xml:space="preserve"> HYPERLINK \l "_Toc11330" </w:instrText>
      </w:r>
      <w:r>
        <w:fldChar w:fldCharType="separate"/>
      </w:r>
      <w:r>
        <w:rPr>
          <w:rFonts w:hint="eastAsia" w:ascii="仿宋" w:hAnsi="仿宋" w:eastAsia="仿宋" w:cs="仿宋"/>
        </w:rPr>
        <w:t>4 技术规格偏离表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_Toc11330 \h </w:instrText>
      </w:r>
      <w:r>
        <w:rPr>
          <w:rFonts w:hint="eastAsia" w:ascii="仿宋" w:hAnsi="仿宋" w:eastAsia="仿宋" w:cs="仿宋"/>
        </w:rPr>
        <w:fldChar w:fldCharType="separate"/>
      </w:r>
      <w:r>
        <w:rPr>
          <w:rFonts w:hint="eastAsia" w:ascii="仿宋" w:hAnsi="仿宋" w:eastAsia="仿宋" w:cs="仿宋"/>
        </w:rPr>
        <w:t>29</w:t>
      </w:r>
      <w:r>
        <w:rPr>
          <w:rFonts w:hint="eastAsia" w:ascii="仿宋" w:hAnsi="仿宋" w:eastAsia="仿宋" w:cs="仿宋"/>
        </w:rPr>
        <w:fldChar w:fldCharType="end"/>
      </w:r>
      <w:r>
        <w:rPr>
          <w:rFonts w:hint="eastAsia" w:ascii="仿宋" w:hAnsi="仿宋" w:eastAsia="仿宋" w:cs="仿宋"/>
        </w:rPr>
        <w:fldChar w:fldCharType="end"/>
      </w:r>
    </w:p>
    <w:p w14:paraId="0698D63C">
      <w:pPr>
        <w:pStyle w:val="15"/>
        <w:tabs>
          <w:tab w:val="right" w:leader="dot" w:pos="9786"/>
          <w:tab w:val="clear" w:pos="1260"/>
          <w:tab w:val="clear" w:pos="8630"/>
        </w:tabs>
        <w:rPr>
          <w:rFonts w:ascii="仿宋" w:hAnsi="仿宋" w:eastAsia="仿宋" w:cs="仿宋"/>
        </w:rPr>
      </w:pPr>
      <w:r>
        <w:fldChar w:fldCharType="begin"/>
      </w:r>
      <w:r>
        <w:instrText xml:space="preserve"> HYPERLINK \l "_Toc8322" </w:instrText>
      </w:r>
      <w:r>
        <w:fldChar w:fldCharType="separate"/>
      </w:r>
      <w:r>
        <w:rPr>
          <w:rFonts w:hint="eastAsia" w:ascii="仿宋" w:hAnsi="仿宋" w:eastAsia="仿宋" w:cs="仿宋"/>
          <w:kern w:val="0"/>
          <w:szCs w:val="20"/>
        </w:rPr>
        <w:t>5  商务条款偏离表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_Toc8322 \h </w:instrText>
      </w:r>
      <w:r>
        <w:rPr>
          <w:rFonts w:hint="eastAsia" w:ascii="仿宋" w:hAnsi="仿宋" w:eastAsia="仿宋" w:cs="仿宋"/>
        </w:rPr>
        <w:fldChar w:fldCharType="separate"/>
      </w:r>
      <w:r>
        <w:rPr>
          <w:rFonts w:hint="eastAsia" w:ascii="仿宋" w:hAnsi="仿宋" w:eastAsia="仿宋" w:cs="仿宋"/>
        </w:rPr>
        <w:t>30</w:t>
      </w:r>
      <w:r>
        <w:rPr>
          <w:rFonts w:hint="eastAsia" w:ascii="仿宋" w:hAnsi="仿宋" w:eastAsia="仿宋" w:cs="仿宋"/>
        </w:rPr>
        <w:fldChar w:fldCharType="end"/>
      </w:r>
      <w:r>
        <w:rPr>
          <w:rFonts w:hint="eastAsia" w:ascii="仿宋" w:hAnsi="仿宋" w:eastAsia="仿宋" w:cs="仿宋"/>
        </w:rPr>
        <w:fldChar w:fldCharType="end"/>
      </w:r>
    </w:p>
    <w:p w14:paraId="6C4CE11A">
      <w:pPr>
        <w:pStyle w:val="28"/>
        <w:tabs>
          <w:tab w:val="right" w:leader="dot" w:pos="9786"/>
        </w:tabs>
        <w:ind w:firstLine="420" w:firstLineChars="200"/>
        <w:rPr>
          <w:rFonts w:ascii="仿宋" w:hAnsi="仿宋" w:eastAsia="仿宋" w:cs="仿宋"/>
        </w:rPr>
      </w:pPr>
      <w:r>
        <w:fldChar w:fldCharType="begin"/>
      </w:r>
      <w:r>
        <w:instrText xml:space="preserve"> HYPERLINK \l "_Toc13271" </w:instrText>
      </w:r>
      <w:r>
        <w:fldChar w:fldCharType="separate"/>
      </w:r>
      <w:r>
        <w:rPr>
          <w:rFonts w:hint="eastAsia" w:ascii="仿宋" w:hAnsi="仿宋" w:eastAsia="仿宋" w:cs="仿宋"/>
        </w:rPr>
        <w:t>6   中小企业声明函</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_Toc13271 \h </w:instrText>
      </w:r>
      <w:r>
        <w:rPr>
          <w:rFonts w:hint="eastAsia" w:ascii="仿宋" w:hAnsi="仿宋" w:eastAsia="仿宋" w:cs="仿宋"/>
        </w:rPr>
        <w:fldChar w:fldCharType="separate"/>
      </w:r>
      <w:r>
        <w:rPr>
          <w:rFonts w:hint="eastAsia" w:ascii="仿宋" w:hAnsi="仿宋" w:eastAsia="仿宋" w:cs="仿宋"/>
        </w:rPr>
        <w:t>31</w:t>
      </w:r>
      <w:r>
        <w:rPr>
          <w:rFonts w:hint="eastAsia" w:ascii="仿宋" w:hAnsi="仿宋" w:eastAsia="仿宋" w:cs="仿宋"/>
        </w:rPr>
        <w:fldChar w:fldCharType="end"/>
      </w:r>
      <w:r>
        <w:rPr>
          <w:rFonts w:hint="eastAsia" w:ascii="仿宋" w:hAnsi="仿宋" w:eastAsia="仿宋" w:cs="仿宋"/>
        </w:rPr>
        <w:fldChar w:fldCharType="end"/>
      </w:r>
    </w:p>
    <w:p w14:paraId="48DE65E8">
      <w:pPr>
        <w:pStyle w:val="28"/>
        <w:tabs>
          <w:tab w:val="right" w:leader="dot" w:pos="9786"/>
        </w:tabs>
        <w:ind w:firstLine="420" w:firstLineChars="200"/>
        <w:rPr>
          <w:rFonts w:ascii="仿宋" w:hAnsi="仿宋" w:eastAsia="仿宋" w:cs="仿宋"/>
        </w:rPr>
      </w:pPr>
      <w:r>
        <w:fldChar w:fldCharType="begin"/>
      </w:r>
      <w:r>
        <w:instrText xml:space="preserve"> HYPERLINK \l "_Toc15113" </w:instrText>
      </w:r>
      <w:r>
        <w:fldChar w:fldCharType="separate"/>
      </w:r>
      <w:r>
        <w:rPr>
          <w:rFonts w:hint="eastAsia" w:ascii="仿宋" w:hAnsi="仿宋" w:eastAsia="仿宋" w:cs="仿宋"/>
        </w:rPr>
        <w:t>6-1  中小企业声明函（货物）</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_Toc15113 \h </w:instrText>
      </w:r>
      <w:r>
        <w:rPr>
          <w:rFonts w:hint="eastAsia" w:ascii="仿宋" w:hAnsi="仿宋" w:eastAsia="仿宋" w:cs="仿宋"/>
        </w:rPr>
        <w:fldChar w:fldCharType="separate"/>
      </w:r>
      <w:r>
        <w:rPr>
          <w:rFonts w:hint="eastAsia" w:ascii="仿宋" w:hAnsi="仿宋" w:eastAsia="仿宋" w:cs="仿宋"/>
        </w:rPr>
        <w:t>31</w:t>
      </w:r>
      <w:r>
        <w:rPr>
          <w:rFonts w:hint="eastAsia" w:ascii="仿宋" w:hAnsi="仿宋" w:eastAsia="仿宋" w:cs="仿宋"/>
        </w:rPr>
        <w:fldChar w:fldCharType="end"/>
      </w:r>
      <w:r>
        <w:rPr>
          <w:rFonts w:hint="eastAsia" w:ascii="仿宋" w:hAnsi="仿宋" w:eastAsia="仿宋" w:cs="仿宋"/>
        </w:rPr>
        <w:fldChar w:fldCharType="end"/>
      </w:r>
    </w:p>
    <w:p w14:paraId="6ADFDDC8">
      <w:pPr>
        <w:pStyle w:val="28"/>
        <w:tabs>
          <w:tab w:val="right" w:leader="dot" w:pos="9786"/>
        </w:tabs>
        <w:ind w:firstLine="420" w:firstLineChars="200"/>
        <w:rPr>
          <w:rFonts w:ascii="仿宋" w:hAnsi="仿宋" w:eastAsia="仿宋" w:cs="仿宋"/>
        </w:rPr>
      </w:pPr>
      <w:r>
        <w:fldChar w:fldCharType="begin"/>
      </w:r>
      <w:r>
        <w:instrText xml:space="preserve"> HYPERLINK \l "_Toc28053" </w:instrText>
      </w:r>
      <w:r>
        <w:fldChar w:fldCharType="separate"/>
      </w:r>
      <w:r>
        <w:rPr>
          <w:rFonts w:hint="eastAsia" w:ascii="仿宋" w:hAnsi="仿宋" w:eastAsia="仿宋" w:cs="仿宋"/>
        </w:rPr>
        <w:t>6-2   残疾人福利性单位声明函</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_Toc28053 \h </w:instrText>
      </w:r>
      <w:r>
        <w:rPr>
          <w:rFonts w:hint="eastAsia" w:ascii="仿宋" w:hAnsi="仿宋" w:eastAsia="仿宋" w:cs="仿宋"/>
        </w:rPr>
        <w:fldChar w:fldCharType="separate"/>
      </w:r>
      <w:r>
        <w:rPr>
          <w:rFonts w:hint="eastAsia" w:ascii="仿宋" w:hAnsi="仿宋" w:eastAsia="仿宋" w:cs="仿宋"/>
        </w:rPr>
        <w:t>34</w:t>
      </w:r>
      <w:r>
        <w:rPr>
          <w:rFonts w:hint="eastAsia" w:ascii="仿宋" w:hAnsi="仿宋" w:eastAsia="仿宋" w:cs="仿宋"/>
        </w:rPr>
        <w:fldChar w:fldCharType="end"/>
      </w:r>
      <w:r>
        <w:rPr>
          <w:rFonts w:hint="eastAsia" w:ascii="仿宋" w:hAnsi="仿宋" w:eastAsia="仿宋" w:cs="仿宋"/>
        </w:rPr>
        <w:fldChar w:fldCharType="end"/>
      </w:r>
    </w:p>
    <w:p w14:paraId="4AD1E60E">
      <w:pPr>
        <w:pStyle w:val="28"/>
        <w:tabs>
          <w:tab w:val="right" w:leader="dot" w:pos="9786"/>
        </w:tabs>
        <w:ind w:firstLine="420" w:firstLineChars="200"/>
        <w:rPr>
          <w:rFonts w:ascii="仿宋" w:hAnsi="仿宋" w:eastAsia="仿宋" w:cs="仿宋"/>
        </w:rPr>
      </w:pPr>
      <w:r>
        <w:fldChar w:fldCharType="begin"/>
      </w:r>
      <w:r>
        <w:instrText xml:space="preserve"> HYPERLINK \l "_Toc6778" </w:instrText>
      </w:r>
      <w:r>
        <w:fldChar w:fldCharType="separate"/>
      </w:r>
      <w:r>
        <w:rPr>
          <w:rFonts w:hint="eastAsia" w:ascii="仿宋" w:hAnsi="仿宋" w:eastAsia="仿宋" w:cs="仿宋"/>
        </w:rPr>
        <w:t>6-3 监狱企业声明函</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_Toc6778 \h </w:instrText>
      </w:r>
      <w:r>
        <w:rPr>
          <w:rFonts w:hint="eastAsia" w:ascii="仿宋" w:hAnsi="仿宋" w:eastAsia="仿宋" w:cs="仿宋"/>
        </w:rPr>
        <w:fldChar w:fldCharType="separate"/>
      </w:r>
      <w:r>
        <w:rPr>
          <w:rFonts w:hint="eastAsia" w:ascii="仿宋" w:hAnsi="仿宋" w:eastAsia="仿宋" w:cs="仿宋"/>
        </w:rPr>
        <w:t>34</w:t>
      </w:r>
      <w:r>
        <w:rPr>
          <w:rFonts w:hint="eastAsia" w:ascii="仿宋" w:hAnsi="仿宋" w:eastAsia="仿宋" w:cs="仿宋"/>
        </w:rPr>
        <w:fldChar w:fldCharType="end"/>
      </w:r>
      <w:r>
        <w:rPr>
          <w:rFonts w:hint="eastAsia" w:ascii="仿宋" w:hAnsi="仿宋" w:eastAsia="仿宋" w:cs="仿宋"/>
        </w:rPr>
        <w:fldChar w:fldCharType="end"/>
      </w:r>
    </w:p>
    <w:p w14:paraId="4803AA68">
      <w:pPr>
        <w:pStyle w:val="15"/>
        <w:tabs>
          <w:tab w:val="right" w:leader="dot" w:pos="9786"/>
          <w:tab w:val="clear" w:pos="1260"/>
          <w:tab w:val="clear" w:pos="8630"/>
        </w:tabs>
        <w:rPr>
          <w:rFonts w:ascii="仿宋" w:hAnsi="仿宋" w:eastAsia="仿宋" w:cs="仿宋"/>
        </w:rPr>
      </w:pPr>
      <w:r>
        <w:fldChar w:fldCharType="begin"/>
      </w:r>
      <w:r>
        <w:instrText xml:space="preserve"> HYPERLINK \l "_Toc12127" </w:instrText>
      </w:r>
      <w:r>
        <w:fldChar w:fldCharType="separate"/>
      </w:r>
      <w:r>
        <w:rPr>
          <w:rFonts w:hint="eastAsia" w:ascii="仿宋" w:hAnsi="仿宋" w:eastAsia="仿宋" w:cs="仿宋"/>
        </w:rPr>
        <w:t>7  投标文件还应包括第五章、综合评分表的所有技术文件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_Toc12127 \h </w:instrText>
      </w:r>
      <w:r>
        <w:rPr>
          <w:rFonts w:hint="eastAsia" w:ascii="仿宋" w:hAnsi="仿宋" w:eastAsia="仿宋" w:cs="仿宋"/>
        </w:rPr>
        <w:fldChar w:fldCharType="separate"/>
      </w:r>
      <w:r>
        <w:rPr>
          <w:rFonts w:hint="eastAsia" w:ascii="仿宋" w:hAnsi="仿宋" w:eastAsia="仿宋" w:cs="仿宋"/>
        </w:rPr>
        <w:t>34</w:t>
      </w:r>
      <w:r>
        <w:rPr>
          <w:rFonts w:hint="eastAsia" w:ascii="仿宋" w:hAnsi="仿宋" w:eastAsia="仿宋" w:cs="仿宋"/>
        </w:rPr>
        <w:fldChar w:fldCharType="end"/>
      </w:r>
      <w:r>
        <w:rPr>
          <w:rFonts w:hint="eastAsia" w:ascii="仿宋" w:hAnsi="仿宋" w:eastAsia="仿宋" w:cs="仿宋"/>
        </w:rPr>
        <w:fldChar w:fldCharType="end"/>
      </w:r>
    </w:p>
    <w:p w14:paraId="3BCE09F7">
      <w:pPr>
        <w:pStyle w:val="15"/>
        <w:tabs>
          <w:tab w:val="right" w:leader="dot" w:pos="9786"/>
          <w:tab w:val="clear" w:pos="1260"/>
          <w:tab w:val="clear" w:pos="8630"/>
        </w:tabs>
        <w:rPr>
          <w:rFonts w:ascii="仿宋" w:hAnsi="仿宋" w:eastAsia="仿宋" w:cs="仿宋"/>
        </w:rPr>
      </w:pPr>
      <w:r>
        <w:fldChar w:fldCharType="begin"/>
      </w:r>
      <w:r>
        <w:instrText xml:space="preserve"> HYPERLINK \l "_Toc8798" </w:instrText>
      </w:r>
      <w:r>
        <w:fldChar w:fldCharType="separate"/>
      </w:r>
      <w:r>
        <w:rPr>
          <w:rFonts w:hint="eastAsia" w:ascii="仿宋" w:hAnsi="仿宋" w:eastAsia="仿宋" w:cs="仿宋"/>
        </w:rPr>
        <w:t>8   投标人关联单位的说明</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_Toc8798 \h </w:instrText>
      </w:r>
      <w:r>
        <w:rPr>
          <w:rFonts w:hint="eastAsia" w:ascii="仿宋" w:hAnsi="仿宋" w:eastAsia="仿宋" w:cs="仿宋"/>
        </w:rPr>
        <w:fldChar w:fldCharType="separate"/>
      </w:r>
      <w:r>
        <w:rPr>
          <w:rFonts w:hint="eastAsia" w:ascii="仿宋" w:hAnsi="仿宋" w:eastAsia="仿宋" w:cs="仿宋"/>
        </w:rPr>
        <w:t>35</w:t>
      </w:r>
      <w:r>
        <w:rPr>
          <w:rFonts w:hint="eastAsia" w:ascii="仿宋" w:hAnsi="仿宋" w:eastAsia="仿宋" w:cs="仿宋"/>
        </w:rPr>
        <w:fldChar w:fldCharType="end"/>
      </w:r>
      <w:r>
        <w:rPr>
          <w:rFonts w:hint="eastAsia" w:ascii="仿宋" w:hAnsi="仿宋" w:eastAsia="仿宋" w:cs="仿宋"/>
        </w:rPr>
        <w:fldChar w:fldCharType="end"/>
      </w:r>
    </w:p>
    <w:p w14:paraId="6B4D8CFE">
      <w:pPr>
        <w:pStyle w:val="15"/>
        <w:tabs>
          <w:tab w:val="right" w:leader="dot" w:pos="9786"/>
          <w:tab w:val="clear" w:pos="1260"/>
          <w:tab w:val="clear" w:pos="8630"/>
        </w:tabs>
        <w:rPr>
          <w:rFonts w:ascii="仿宋" w:hAnsi="仿宋" w:eastAsia="仿宋" w:cs="仿宋"/>
        </w:rPr>
      </w:pPr>
      <w:r>
        <w:fldChar w:fldCharType="begin"/>
      </w:r>
      <w:r>
        <w:instrText xml:space="preserve"> HYPERLINK \l "_Toc26379" </w:instrText>
      </w:r>
      <w:r>
        <w:fldChar w:fldCharType="separate"/>
      </w:r>
      <w:r>
        <w:rPr>
          <w:rFonts w:hint="eastAsia" w:ascii="仿宋" w:hAnsi="仿宋" w:eastAsia="仿宋" w:cs="仿宋"/>
        </w:rPr>
        <w:t>9 其他有利于投标人的文件或证明材料</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_Toc26379 \h </w:instrText>
      </w:r>
      <w:r>
        <w:rPr>
          <w:rFonts w:hint="eastAsia" w:ascii="仿宋" w:hAnsi="仿宋" w:eastAsia="仿宋" w:cs="仿宋"/>
        </w:rPr>
        <w:fldChar w:fldCharType="separate"/>
      </w:r>
      <w:r>
        <w:rPr>
          <w:rFonts w:hint="eastAsia" w:ascii="仿宋" w:hAnsi="仿宋" w:eastAsia="仿宋" w:cs="仿宋"/>
        </w:rPr>
        <w:t>35</w:t>
      </w:r>
      <w:r>
        <w:rPr>
          <w:rFonts w:hint="eastAsia" w:ascii="仿宋" w:hAnsi="仿宋" w:eastAsia="仿宋" w:cs="仿宋"/>
        </w:rPr>
        <w:fldChar w:fldCharType="end"/>
      </w:r>
      <w:r>
        <w:rPr>
          <w:rFonts w:hint="eastAsia" w:ascii="仿宋" w:hAnsi="仿宋" w:eastAsia="仿宋" w:cs="仿宋"/>
        </w:rPr>
        <w:fldChar w:fldCharType="end"/>
      </w:r>
    </w:p>
    <w:p w14:paraId="4072F2C6">
      <w:pPr>
        <w:pStyle w:val="15"/>
        <w:tabs>
          <w:tab w:val="right" w:leader="dot" w:pos="9786"/>
          <w:tab w:val="clear" w:pos="1260"/>
          <w:tab w:val="clear" w:pos="8630"/>
        </w:tabs>
        <w:rPr>
          <w:rFonts w:ascii="仿宋" w:hAnsi="仿宋" w:eastAsia="仿宋" w:cs="仿宋"/>
        </w:rPr>
      </w:pPr>
      <w:r>
        <w:fldChar w:fldCharType="begin"/>
      </w:r>
      <w:r>
        <w:instrText xml:space="preserve"> HYPERLINK \l "_Toc26615" </w:instrText>
      </w:r>
      <w:r>
        <w:fldChar w:fldCharType="separate"/>
      </w:r>
      <w:r>
        <w:rPr>
          <w:rFonts w:hint="eastAsia" w:ascii="仿宋" w:hAnsi="仿宋" w:eastAsia="仿宋" w:cs="仿宋"/>
        </w:rPr>
        <w:t>10 对本项目投标文件（投标文件）中资料真实性的承诺</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_Toc26615 \h </w:instrText>
      </w:r>
      <w:r>
        <w:rPr>
          <w:rFonts w:hint="eastAsia" w:ascii="仿宋" w:hAnsi="仿宋" w:eastAsia="仿宋" w:cs="仿宋"/>
        </w:rPr>
        <w:fldChar w:fldCharType="separate"/>
      </w:r>
      <w:r>
        <w:rPr>
          <w:rFonts w:hint="eastAsia" w:ascii="仿宋" w:hAnsi="仿宋" w:eastAsia="仿宋" w:cs="仿宋"/>
        </w:rPr>
        <w:t>35</w:t>
      </w:r>
      <w:r>
        <w:rPr>
          <w:rFonts w:hint="eastAsia" w:ascii="仿宋" w:hAnsi="仿宋" w:eastAsia="仿宋" w:cs="仿宋"/>
        </w:rPr>
        <w:fldChar w:fldCharType="end"/>
      </w:r>
      <w:r>
        <w:rPr>
          <w:rFonts w:hint="eastAsia" w:ascii="仿宋" w:hAnsi="仿宋" w:eastAsia="仿宋" w:cs="仿宋"/>
        </w:rPr>
        <w:fldChar w:fldCharType="end"/>
      </w:r>
    </w:p>
    <w:p w14:paraId="590DA744">
      <w:pPr>
        <w:pStyle w:val="23"/>
        <w:tabs>
          <w:tab w:val="right" w:leader="dot" w:pos="9786"/>
        </w:tabs>
        <w:rPr>
          <w:rFonts w:ascii="仿宋" w:hAnsi="仿宋" w:eastAsia="仿宋" w:cs="仿宋"/>
        </w:rPr>
      </w:pPr>
      <w:r>
        <w:fldChar w:fldCharType="begin"/>
      </w:r>
      <w:r>
        <w:instrText xml:space="preserve"> HYPERLINK \l "_Toc16520" </w:instrText>
      </w:r>
      <w:r>
        <w:fldChar w:fldCharType="separate"/>
      </w:r>
      <w:r>
        <w:rPr>
          <w:rFonts w:hint="eastAsia" w:ascii="仿宋" w:hAnsi="仿宋" w:eastAsia="仿宋" w:cs="仿宋"/>
          <w:szCs w:val="44"/>
        </w:rPr>
        <w:t>第三章 投标邀请</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_Toc16520 \h </w:instrText>
      </w:r>
      <w:r>
        <w:rPr>
          <w:rFonts w:hint="eastAsia" w:ascii="仿宋" w:hAnsi="仿宋" w:eastAsia="仿宋" w:cs="仿宋"/>
        </w:rPr>
        <w:fldChar w:fldCharType="separate"/>
      </w:r>
      <w:r>
        <w:rPr>
          <w:rFonts w:hint="eastAsia" w:ascii="仿宋" w:hAnsi="仿宋" w:eastAsia="仿宋" w:cs="仿宋"/>
        </w:rPr>
        <w:t>37</w:t>
      </w:r>
      <w:r>
        <w:rPr>
          <w:rFonts w:hint="eastAsia" w:ascii="仿宋" w:hAnsi="仿宋" w:eastAsia="仿宋" w:cs="仿宋"/>
        </w:rPr>
        <w:fldChar w:fldCharType="end"/>
      </w:r>
      <w:r>
        <w:rPr>
          <w:rFonts w:hint="eastAsia" w:ascii="仿宋" w:hAnsi="仿宋" w:eastAsia="仿宋" w:cs="仿宋"/>
        </w:rPr>
        <w:fldChar w:fldCharType="end"/>
      </w:r>
    </w:p>
    <w:p w14:paraId="4094BD09">
      <w:pPr>
        <w:pStyle w:val="23"/>
        <w:tabs>
          <w:tab w:val="right" w:leader="dot" w:pos="9786"/>
        </w:tabs>
        <w:rPr>
          <w:rFonts w:ascii="仿宋" w:hAnsi="仿宋" w:eastAsia="仿宋" w:cs="仿宋"/>
        </w:rPr>
      </w:pPr>
      <w:r>
        <w:fldChar w:fldCharType="begin"/>
      </w:r>
      <w:r>
        <w:instrText xml:space="preserve"> HYPERLINK \l "_Toc3146" </w:instrText>
      </w:r>
      <w:r>
        <w:fldChar w:fldCharType="separate"/>
      </w:r>
      <w:r>
        <w:rPr>
          <w:rFonts w:hint="eastAsia" w:ascii="仿宋" w:hAnsi="仿宋" w:eastAsia="仿宋" w:cs="仿宋"/>
          <w:szCs w:val="44"/>
        </w:rPr>
        <w:t>第四章  投标人须知资料表</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_Toc3146 \h </w:instrText>
      </w:r>
      <w:r>
        <w:rPr>
          <w:rFonts w:hint="eastAsia" w:ascii="仿宋" w:hAnsi="仿宋" w:eastAsia="仿宋" w:cs="仿宋"/>
        </w:rPr>
        <w:fldChar w:fldCharType="separate"/>
      </w:r>
      <w:r>
        <w:rPr>
          <w:rFonts w:hint="eastAsia" w:ascii="仿宋" w:hAnsi="仿宋" w:eastAsia="仿宋" w:cs="仿宋"/>
        </w:rPr>
        <w:t>41</w:t>
      </w:r>
      <w:r>
        <w:rPr>
          <w:rFonts w:hint="eastAsia" w:ascii="仿宋" w:hAnsi="仿宋" w:eastAsia="仿宋" w:cs="仿宋"/>
        </w:rPr>
        <w:fldChar w:fldCharType="end"/>
      </w:r>
      <w:r>
        <w:rPr>
          <w:rFonts w:hint="eastAsia" w:ascii="仿宋" w:hAnsi="仿宋" w:eastAsia="仿宋" w:cs="仿宋"/>
        </w:rPr>
        <w:fldChar w:fldCharType="end"/>
      </w:r>
    </w:p>
    <w:p w14:paraId="16F2C375">
      <w:pPr>
        <w:pStyle w:val="23"/>
        <w:tabs>
          <w:tab w:val="right" w:leader="dot" w:pos="9786"/>
        </w:tabs>
        <w:rPr>
          <w:rFonts w:ascii="仿宋" w:hAnsi="仿宋" w:eastAsia="仿宋" w:cs="仿宋"/>
        </w:rPr>
      </w:pPr>
      <w:r>
        <w:fldChar w:fldCharType="begin"/>
      </w:r>
      <w:r>
        <w:instrText xml:space="preserve"> HYPERLINK \l "_Toc12881" </w:instrText>
      </w:r>
      <w:r>
        <w:fldChar w:fldCharType="separate"/>
      </w:r>
      <w:r>
        <w:rPr>
          <w:rFonts w:hint="eastAsia" w:ascii="仿宋" w:hAnsi="仿宋" w:eastAsia="仿宋" w:cs="仿宋"/>
          <w:szCs w:val="36"/>
        </w:rPr>
        <w:t>第五章 货物需求一览表及技术规格</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_Toc12881 \h </w:instrText>
      </w:r>
      <w:r>
        <w:rPr>
          <w:rFonts w:hint="eastAsia" w:ascii="仿宋" w:hAnsi="仿宋" w:eastAsia="仿宋" w:cs="仿宋"/>
        </w:rPr>
        <w:fldChar w:fldCharType="separate"/>
      </w:r>
      <w:r>
        <w:rPr>
          <w:rFonts w:hint="eastAsia" w:ascii="仿宋" w:hAnsi="仿宋" w:eastAsia="仿宋" w:cs="仿宋"/>
        </w:rPr>
        <w:t>44</w:t>
      </w:r>
      <w:r>
        <w:rPr>
          <w:rFonts w:hint="eastAsia" w:ascii="仿宋" w:hAnsi="仿宋" w:eastAsia="仿宋" w:cs="仿宋"/>
        </w:rPr>
        <w:fldChar w:fldCharType="end"/>
      </w:r>
      <w:r>
        <w:rPr>
          <w:rFonts w:hint="eastAsia" w:ascii="仿宋" w:hAnsi="仿宋" w:eastAsia="仿宋" w:cs="仿宋"/>
        </w:rPr>
        <w:fldChar w:fldCharType="end"/>
      </w:r>
    </w:p>
    <w:p w14:paraId="7D80AF49">
      <w:pPr>
        <w:pStyle w:val="23"/>
        <w:tabs>
          <w:tab w:val="right" w:leader="dot" w:pos="9786"/>
        </w:tabs>
        <w:rPr>
          <w:rFonts w:ascii="仿宋" w:hAnsi="仿宋" w:eastAsia="仿宋" w:cs="仿宋"/>
        </w:rPr>
      </w:pPr>
      <w:r>
        <w:fldChar w:fldCharType="begin"/>
      </w:r>
      <w:r>
        <w:instrText xml:space="preserve"> HYPERLINK \l "_Toc18247" </w:instrText>
      </w:r>
      <w:r>
        <w:fldChar w:fldCharType="separate"/>
      </w:r>
      <w:r>
        <w:rPr>
          <w:rFonts w:hint="eastAsia" w:ascii="仿宋" w:hAnsi="仿宋" w:eastAsia="仿宋" w:cs="仿宋"/>
          <w:szCs w:val="32"/>
        </w:rPr>
        <w:t>第六章  评标方法和标准</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_Toc18247 \h </w:instrText>
      </w:r>
      <w:r>
        <w:rPr>
          <w:rFonts w:hint="eastAsia" w:ascii="仿宋" w:hAnsi="仿宋" w:eastAsia="仿宋" w:cs="仿宋"/>
        </w:rPr>
        <w:fldChar w:fldCharType="separate"/>
      </w:r>
      <w:r>
        <w:rPr>
          <w:rFonts w:hint="eastAsia" w:ascii="仿宋" w:hAnsi="仿宋" w:eastAsia="仿宋" w:cs="仿宋"/>
        </w:rPr>
        <w:t>54</w:t>
      </w:r>
      <w:r>
        <w:rPr>
          <w:rFonts w:hint="eastAsia" w:ascii="仿宋" w:hAnsi="仿宋" w:eastAsia="仿宋" w:cs="仿宋"/>
        </w:rPr>
        <w:fldChar w:fldCharType="end"/>
      </w:r>
      <w:r>
        <w:rPr>
          <w:rFonts w:hint="eastAsia" w:ascii="仿宋" w:hAnsi="仿宋" w:eastAsia="仿宋" w:cs="仿宋"/>
        </w:rPr>
        <w:fldChar w:fldCharType="end"/>
      </w:r>
    </w:p>
    <w:p w14:paraId="3152F446">
      <w:pPr>
        <w:pStyle w:val="23"/>
        <w:tabs>
          <w:tab w:val="right" w:leader="dot" w:pos="9786"/>
        </w:tabs>
        <w:rPr>
          <w:rFonts w:ascii="仿宋" w:hAnsi="仿宋" w:eastAsia="仿宋" w:cs="仿宋"/>
        </w:rPr>
      </w:pPr>
      <w:r>
        <w:fldChar w:fldCharType="begin"/>
      </w:r>
      <w:r>
        <w:instrText xml:space="preserve"> HYPERLINK \l "_Toc19057" </w:instrText>
      </w:r>
      <w:r>
        <w:fldChar w:fldCharType="separate"/>
      </w:r>
      <w:r>
        <w:rPr>
          <w:rFonts w:hint="eastAsia" w:ascii="仿宋" w:hAnsi="仿宋" w:eastAsia="仿宋" w:cs="仿宋"/>
          <w:szCs w:val="44"/>
        </w:rPr>
        <w:t>第七章  政府采购合同</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_Toc19057 \h </w:instrText>
      </w:r>
      <w:r>
        <w:rPr>
          <w:rFonts w:hint="eastAsia" w:ascii="仿宋" w:hAnsi="仿宋" w:eastAsia="仿宋" w:cs="仿宋"/>
        </w:rPr>
        <w:fldChar w:fldCharType="separate"/>
      </w:r>
      <w:r>
        <w:rPr>
          <w:rFonts w:hint="eastAsia" w:ascii="仿宋" w:hAnsi="仿宋" w:eastAsia="仿宋" w:cs="仿宋"/>
        </w:rPr>
        <w:t>67</w:t>
      </w:r>
      <w:r>
        <w:rPr>
          <w:rFonts w:hint="eastAsia" w:ascii="仿宋" w:hAnsi="仿宋" w:eastAsia="仿宋" w:cs="仿宋"/>
        </w:rPr>
        <w:fldChar w:fldCharType="end"/>
      </w:r>
      <w:r>
        <w:rPr>
          <w:rFonts w:hint="eastAsia" w:ascii="仿宋" w:hAnsi="仿宋" w:eastAsia="仿宋" w:cs="仿宋"/>
        </w:rPr>
        <w:fldChar w:fldCharType="end"/>
      </w:r>
    </w:p>
    <w:p w14:paraId="60181AF9">
      <w:pPr>
        <w:pStyle w:val="25"/>
        <w:rPr>
          <w:rFonts w:ascii="仿宋" w:hAnsi="仿宋" w:eastAsia="仿宋" w:cs="仿宋"/>
        </w:rPr>
      </w:pPr>
      <w:r>
        <w:rPr>
          <w:rFonts w:hint="eastAsia" w:ascii="仿宋" w:hAnsi="仿宋" w:eastAsia="仿宋" w:cs="仿宋"/>
        </w:rPr>
        <w:fldChar w:fldCharType="end"/>
      </w:r>
    </w:p>
    <w:p w14:paraId="37EB3593">
      <w:pPr>
        <w:rPr>
          <w:rFonts w:ascii="仿宋" w:hAnsi="仿宋" w:eastAsia="仿宋" w:cs="仿宋"/>
        </w:rPr>
      </w:pPr>
    </w:p>
    <w:p w14:paraId="3CC78C9F">
      <w:pPr>
        <w:pStyle w:val="90"/>
        <w:rPr>
          <w:rFonts w:ascii="仿宋" w:hAnsi="仿宋" w:eastAsia="仿宋" w:cs="仿宋"/>
        </w:rPr>
      </w:pPr>
      <w:bookmarkStart w:id="9" w:name="_Toc13803"/>
    </w:p>
    <w:p w14:paraId="541E50DB">
      <w:pPr>
        <w:pStyle w:val="90"/>
        <w:rPr>
          <w:rFonts w:ascii="仿宋" w:hAnsi="仿宋" w:eastAsia="仿宋" w:cs="仿宋"/>
        </w:rPr>
      </w:pPr>
    </w:p>
    <w:p w14:paraId="2FF642BE">
      <w:pPr>
        <w:pStyle w:val="90"/>
        <w:rPr>
          <w:rFonts w:ascii="仿宋" w:hAnsi="仿宋" w:eastAsia="仿宋" w:cs="仿宋"/>
        </w:rPr>
      </w:pPr>
    </w:p>
    <w:p w14:paraId="2FDD71B4">
      <w:pPr>
        <w:pStyle w:val="90"/>
        <w:rPr>
          <w:rFonts w:ascii="仿宋" w:hAnsi="仿宋" w:eastAsia="仿宋" w:cs="仿宋"/>
        </w:rPr>
      </w:pPr>
    </w:p>
    <w:p w14:paraId="59971C68">
      <w:pPr>
        <w:pStyle w:val="90"/>
        <w:rPr>
          <w:rFonts w:ascii="仿宋" w:hAnsi="仿宋" w:eastAsia="仿宋" w:cs="仿宋"/>
        </w:rPr>
      </w:pPr>
    </w:p>
    <w:p w14:paraId="285C4E4A">
      <w:pPr>
        <w:pStyle w:val="90"/>
        <w:rPr>
          <w:rFonts w:ascii="仿宋" w:hAnsi="仿宋" w:eastAsia="仿宋" w:cs="仿宋"/>
        </w:rPr>
      </w:pPr>
    </w:p>
    <w:p w14:paraId="5DE5014E">
      <w:pPr>
        <w:pStyle w:val="3"/>
        <w:tabs>
          <w:tab w:val="left" w:pos="0"/>
        </w:tabs>
        <w:spacing w:before="0" w:after="0" w:line="240" w:lineRule="atLeast"/>
        <w:jc w:val="both"/>
        <w:rPr>
          <w:rFonts w:ascii="仿宋" w:hAnsi="仿宋" w:eastAsia="仿宋" w:cs="仿宋"/>
          <w:kern w:val="0"/>
          <w:sz w:val="44"/>
          <w:szCs w:val="44"/>
        </w:rPr>
        <w:sectPr>
          <w:headerReference r:id="rId3" w:type="default"/>
          <w:footerReference r:id="rId4" w:type="default"/>
          <w:pgSz w:w="11906" w:h="16838"/>
          <w:pgMar w:top="1043" w:right="1060" w:bottom="1043" w:left="1060" w:header="851" w:footer="992" w:gutter="0"/>
          <w:pgNumType w:start="1"/>
          <w:cols w:space="720" w:num="1"/>
          <w:docGrid w:type="linesAndChars" w:linePitch="312" w:charSpace="0"/>
        </w:sectPr>
      </w:pPr>
      <w:bookmarkStart w:id="10" w:name="_Toc11726"/>
    </w:p>
    <w:bookmarkEnd w:id="9"/>
    <w:bookmarkEnd w:id="10"/>
    <w:p w14:paraId="3D0EB41B">
      <w:pPr>
        <w:pStyle w:val="3"/>
        <w:tabs>
          <w:tab w:val="left" w:pos="0"/>
        </w:tabs>
        <w:spacing w:before="0" w:after="0" w:line="240" w:lineRule="atLeast"/>
        <w:textAlignment w:val="baseline"/>
        <w:rPr>
          <w:rFonts w:ascii="仿宋" w:hAnsi="仿宋" w:eastAsia="仿宋" w:cs="仿宋"/>
          <w:b w:val="0"/>
          <w:sz w:val="20"/>
        </w:rPr>
      </w:pPr>
      <w:bookmarkStart w:id="11" w:name="_Toc32568"/>
      <w:bookmarkStart w:id="12" w:name="_Toc5160"/>
      <w:bookmarkStart w:id="13" w:name="_Toc25393"/>
      <w:bookmarkStart w:id="14" w:name="_Toc4823"/>
      <w:bookmarkStart w:id="15" w:name="_Toc749"/>
      <w:bookmarkStart w:id="16" w:name="_Toc23583"/>
      <w:bookmarkStart w:id="17" w:name="_Toc29113"/>
      <w:bookmarkStart w:id="18" w:name="_Toc7794"/>
      <w:bookmarkStart w:id="19" w:name="_Toc27266"/>
      <w:bookmarkStart w:id="20" w:name="_Toc17317"/>
      <w:bookmarkStart w:id="21" w:name="_Toc8923"/>
      <w:r>
        <w:rPr>
          <w:rFonts w:hint="eastAsia" w:ascii="仿宋" w:hAnsi="仿宋" w:eastAsia="仿宋" w:cs="仿宋"/>
          <w:kern w:val="0"/>
          <w:sz w:val="44"/>
          <w:szCs w:val="44"/>
        </w:rPr>
        <w:t>第一章</w:t>
      </w:r>
      <w:r>
        <w:rPr>
          <w:rFonts w:hint="eastAsia" w:ascii="仿宋" w:hAnsi="仿宋" w:eastAsia="仿宋" w:cs="仿宋"/>
          <w:sz w:val="44"/>
          <w:szCs w:val="44"/>
        </w:rPr>
        <w:t xml:space="preserve">  </w:t>
      </w:r>
      <w:bookmarkStart w:id="22" w:name="_Toc515647756"/>
      <w:r>
        <w:rPr>
          <w:rFonts w:hint="eastAsia" w:ascii="仿宋" w:hAnsi="仿宋" w:eastAsia="仿宋" w:cs="仿宋"/>
          <w:sz w:val="44"/>
          <w:szCs w:val="44"/>
        </w:rPr>
        <w:t>投标人须知</w:t>
      </w:r>
      <w:bookmarkEnd w:id="11"/>
      <w:bookmarkEnd w:id="12"/>
      <w:bookmarkEnd w:id="13"/>
      <w:bookmarkEnd w:id="14"/>
      <w:bookmarkEnd w:id="15"/>
      <w:bookmarkEnd w:id="16"/>
      <w:bookmarkEnd w:id="17"/>
      <w:bookmarkEnd w:id="18"/>
      <w:bookmarkEnd w:id="19"/>
      <w:bookmarkEnd w:id="20"/>
      <w:bookmarkEnd w:id="21"/>
      <w:bookmarkEnd w:id="22"/>
    </w:p>
    <w:p w14:paraId="08542856">
      <w:pPr>
        <w:pStyle w:val="4"/>
        <w:spacing w:before="0" w:line="240" w:lineRule="atLeast"/>
        <w:ind w:left="1079" w:leftChars="257" w:hanging="539"/>
        <w:textAlignment w:val="baseline"/>
        <w:rPr>
          <w:rFonts w:ascii="仿宋" w:hAnsi="仿宋" w:eastAsia="仿宋" w:cs="仿宋"/>
          <w:b w:val="0"/>
          <w:sz w:val="24"/>
        </w:rPr>
      </w:pPr>
      <w:bookmarkStart w:id="23" w:name="_Toc515647757"/>
      <w:bookmarkStart w:id="24" w:name="_Toc216582805"/>
      <w:bookmarkStart w:id="25" w:name="_Toc520356143"/>
      <w:bookmarkStart w:id="26" w:name="_Toc4895"/>
      <w:bookmarkStart w:id="27" w:name="_Toc28279"/>
      <w:bookmarkStart w:id="28" w:name="_Toc18007"/>
      <w:bookmarkStart w:id="29" w:name="_Toc1988"/>
      <w:bookmarkStart w:id="30" w:name="_Toc3977"/>
      <w:bookmarkStart w:id="31" w:name="_Toc7364"/>
      <w:bookmarkStart w:id="32" w:name="_Toc24426"/>
      <w:bookmarkStart w:id="33" w:name="_Toc21215"/>
      <w:bookmarkStart w:id="34" w:name="_Toc13870"/>
      <w:bookmarkStart w:id="35" w:name="_Toc28131"/>
      <w:bookmarkStart w:id="36" w:name="_Toc28649"/>
      <w:bookmarkStart w:id="37" w:name="_Toc9514"/>
      <w:bookmarkStart w:id="38" w:name="_Toc22145"/>
      <w:bookmarkStart w:id="39" w:name="_Toc27848"/>
      <w:bookmarkStart w:id="40" w:name="_Toc17202"/>
      <w:bookmarkStart w:id="41" w:name="_Toc21015"/>
      <w:r>
        <w:rPr>
          <w:rFonts w:hint="eastAsia" w:ascii="仿宋" w:hAnsi="仿宋" w:eastAsia="仿宋" w:cs="仿宋"/>
          <w:sz w:val="28"/>
        </w:rPr>
        <w:t xml:space="preserve">一   </w:t>
      </w:r>
      <w:bookmarkEnd w:id="23"/>
      <w:bookmarkEnd w:id="24"/>
      <w:bookmarkEnd w:id="25"/>
      <w:r>
        <w:rPr>
          <w:rFonts w:hint="eastAsia" w:ascii="仿宋" w:hAnsi="仿宋" w:eastAsia="仿宋" w:cs="仿宋"/>
          <w:sz w:val="28"/>
        </w:rPr>
        <w:t>总 则</w:t>
      </w:r>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p>
    <w:p w14:paraId="3116E7CE">
      <w:pPr>
        <w:pStyle w:val="5"/>
        <w:spacing w:before="0" w:after="0"/>
        <w:textAlignment w:val="baseline"/>
        <w:rPr>
          <w:rFonts w:ascii="仿宋" w:hAnsi="仿宋" w:eastAsia="仿宋" w:cs="仿宋"/>
        </w:rPr>
      </w:pPr>
      <w:bookmarkStart w:id="42" w:name="_Toc520356144"/>
      <w:bookmarkStart w:id="43" w:name="_Toc30658"/>
      <w:bookmarkStart w:id="44" w:name="_Toc19622"/>
      <w:bookmarkStart w:id="45" w:name="_Toc5999"/>
      <w:bookmarkStart w:id="46" w:name="_Toc568"/>
      <w:bookmarkStart w:id="47" w:name="_Toc11245"/>
      <w:bookmarkStart w:id="48" w:name="_Toc484"/>
      <w:bookmarkStart w:id="49" w:name="_Toc9357"/>
      <w:bookmarkStart w:id="50" w:name="_Toc20172"/>
      <w:bookmarkStart w:id="51" w:name="_Toc32623"/>
      <w:bookmarkStart w:id="52" w:name="_Toc17376"/>
      <w:bookmarkStart w:id="53" w:name="_Toc702"/>
      <w:bookmarkStart w:id="54" w:name="_Toc6990"/>
      <w:bookmarkStart w:id="55" w:name="_Toc32189"/>
      <w:bookmarkStart w:id="56" w:name="_Toc16352"/>
      <w:bookmarkStart w:id="57" w:name="_Toc14500"/>
      <w:bookmarkStart w:id="58" w:name="_Toc515647758"/>
      <w:bookmarkStart w:id="59" w:name="_Toc24114"/>
      <w:r>
        <w:rPr>
          <w:rFonts w:hint="eastAsia" w:ascii="仿宋" w:hAnsi="仿宋" w:eastAsia="仿宋" w:cs="仿宋"/>
        </w:rPr>
        <w:t>1.采购人、采购代理机构及</w:t>
      </w:r>
      <w:bookmarkEnd w:id="42"/>
      <w:r>
        <w:rPr>
          <w:rFonts w:hint="eastAsia" w:ascii="仿宋" w:hAnsi="仿宋" w:eastAsia="仿宋" w:cs="仿宋"/>
        </w:rPr>
        <w:t>投标人</w:t>
      </w:r>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p>
    <w:p w14:paraId="460E0E44">
      <w:pPr>
        <w:numPr>
          <w:ilvl w:val="1"/>
          <w:numId w:val="3"/>
        </w:numPr>
        <w:tabs>
          <w:tab w:val="left" w:pos="0"/>
        </w:tabs>
        <w:ind w:left="0" w:firstLine="0"/>
        <w:textAlignment w:val="baseline"/>
        <w:rPr>
          <w:rFonts w:ascii="仿宋" w:hAnsi="仿宋" w:eastAsia="仿宋" w:cs="仿宋"/>
          <w:sz w:val="24"/>
        </w:rPr>
      </w:pPr>
      <w:r>
        <w:rPr>
          <w:rFonts w:hint="eastAsia" w:ascii="仿宋" w:hAnsi="仿宋" w:eastAsia="仿宋" w:cs="仿宋"/>
          <w:sz w:val="24"/>
        </w:rPr>
        <w:t>采购人：是指依法开展政府采购活动的国家机关、事业单位、团体组织。</w:t>
      </w:r>
    </w:p>
    <w:p w14:paraId="35A40478">
      <w:pPr>
        <w:tabs>
          <w:tab w:val="left" w:pos="0"/>
        </w:tabs>
        <w:textAlignment w:val="baseline"/>
        <w:rPr>
          <w:rFonts w:ascii="仿宋" w:hAnsi="仿宋" w:eastAsia="仿宋" w:cs="仿宋"/>
          <w:sz w:val="24"/>
        </w:rPr>
      </w:pPr>
      <w:r>
        <w:rPr>
          <w:rFonts w:hint="eastAsia" w:ascii="仿宋" w:hAnsi="仿宋" w:eastAsia="仿宋" w:cs="仿宋"/>
          <w:sz w:val="24"/>
        </w:rPr>
        <w:t>本项目的采购人见</w:t>
      </w:r>
      <w:r>
        <w:rPr>
          <w:rFonts w:hint="eastAsia" w:ascii="仿宋" w:hAnsi="仿宋" w:eastAsia="仿宋" w:cs="仿宋"/>
          <w:sz w:val="24"/>
          <w:u w:val="single" w:color="000000"/>
        </w:rPr>
        <w:t>投标人须知资料表</w:t>
      </w:r>
      <w:r>
        <w:rPr>
          <w:rFonts w:hint="eastAsia" w:ascii="仿宋" w:hAnsi="仿宋" w:eastAsia="仿宋" w:cs="仿宋"/>
          <w:sz w:val="24"/>
        </w:rPr>
        <w:t>。</w:t>
      </w:r>
    </w:p>
    <w:p w14:paraId="443FE729">
      <w:pPr>
        <w:numPr>
          <w:ilvl w:val="1"/>
          <w:numId w:val="3"/>
        </w:numPr>
        <w:tabs>
          <w:tab w:val="left" w:pos="0"/>
        </w:tabs>
        <w:ind w:left="0" w:firstLine="0"/>
        <w:textAlignment w:val="baseline"/>
        <w:rPr>
          <w:rFonts w:ascii="仿宋" w:hAnsi="仿宋" w:eastAsia="仿宋" w:cs="仿宋"/>
          <w:sz w:val="24"/>
        </w:rPr>
      </w:pPr>
      <w:r>
        <w:rPr>
          <w:rFonts w:hint="eastAsia" w:ascii="仿宋" w:hAnsi="仿宋" w:eastAsia="仿宋" w:cs="仿宋"/>
          <w:sz w:val="24"/>
        </w:rPr>
        <w:t>采购代理机构：是指在集中采购机构或从事采购代理业务的社会中介机构。本项目的采购代理机构见</w:t>
      </w:r>
      <w:r>
        <w:rPr>
          <w:rFonts w:hint="eastAsia" w:ascii="仿宋" w:hAnsi="仿宋" w:eastAsia="仿宋" w:cs="仿宋"/>
          <w:sz w:val="24"/>
          <w:u w:val="single" w:color="000000"/>
        </w:rPr>
        <w:t>投标人须知资料表</w:t>
      </w:r>
      <w:r>
        <w:rPr>
          <w:rFonts w:hint="eastAsia" w:ascii="仿宋" w:hAnsi="仿宋" w:eastAsia="仿宋" w:cs="仿宋"/>
          <w:sz w:val="24"/>
        </w:rPr>
        <w:t>。</w:t>
      </w:r>
    </w:p>
    <w:p w14:paraId="1F7685E8">
      <w:pPr>
        <w:numPr>
          <w:ilvl w:val="1"/>
          <w:numId w:val="3"/>
        </w:numPr>
        <w:ind w:left="0" w:firstLine="0"/>
        <w:textAlignment w:val="baseline"/>
        <w:rPr>
          <w:rFonts w:ascii="仿宋" w:hAnsi="仿宋" w:eastAsia="仿宋" w:cs="仿宋"/>
          <w:sz w:val="24"/>
        </w:rPr>
      </w:pPr>
      <w:r>
        <w:rPr>
          <w:rFonts w:hint="eastAsia" w:ascii="仿宋" w:hAnsi="仿宋" w:eastAsia="仿宋" w:cs="仿宋"/>
          <w:sz w:val="24"/>
        </w:rPr>
        <w:t>投标人：是指向采购人提供货物、工程或者服务的法人、非法人组织或者自然人。本项目的投标人及其投标货物须满足以下条件：</w:t>
      </w:r>
    </w:p>
    <w:p w14:paraId="5178130C">
      <w:pPr>
        <w:textAlignment w:val="baseline"/>
        <w:rPr>
          <w:rFonts w:ascii="仿宋" w:hAnsi="仿宋" w:eastAsia="仿宋" w:cs="仿宋"/>
          <w:sz w:val="24"/>
        </w:rPr>
      </w:pPr>
      <w:r>
        <w:rPr>
          <w:rFonts w:hint="eastAsia" w:ascii="仿宋" w:hAnsi="仿宋" w:eastAsia="仿宋" w:cs="仿宋"/>
          <w:sz w:val="24"/>
        </w:rPr>
        <w:t>1.3.1</w:t>
      </w:r>
      <w:r>
        <w:rPr>
          <w:rFonts w:hint="eastAsia" w:ascii="仿宋" w:hAnsi="仿宋" w:eastAsia="仿宋" w:cs="仿宋"/>
          <w:sz w:val="24"/>
        </w:rPr>
        <w:tab/>
      </w:r>
      <w:r>
        <w:rPr>
          <w:rFonts w:hint="eastAsia" w:ascii="仿宋" w:hAnsi="仿宋" w:eastAsia="仿宋" w:cs="仿宋"/>
          <w:sz w:val="24"/>
        </w:rPr>
        <w:t>在中华人民共和国境内注册，能够独立承担民事责任。</w:t>
      </w:r>
    </w:p>
    <w:p w14:paraId="00E10717">
      <w:pPr>
        <w:textAlignment w:val="baseline"/>
        <w:rPr>
          <w:rFonts w:ascii="仿宋" w:hAnsi="仿宋" w:eastAsia="仿宋" w:cs="仿宋"/>
          <w:sz w:val="24"/>
        </w:rPr>
      </w:pPr>
      <w:r>
        <w:rPr>
          <w:rFonts w:hint="eastAsia" w:ascii="仿宋" w:hAnsi="仿宋" w:eastAsia="仿宋" w:cs="仿宋"/>
          <w:sz w:val="24"/>
        </w:rPr>
        <w:t>1.3.2  具备《中华人民共和国政府采购法》第二十二条关于投标人条件的规定，遵守本项目采购人本级和上级财政部门政府采购的有关规定。</w:t>
      </w:r>
    </w:p>
    <w:p w14:paraId="18D3D68A">
      <w:pPr>
        <w:textAlignment w:val="baseline"/>
        <w:rPr>
          <w:rFonts w:ascii="仿宋" w:hAnsi="仿宋" w:eastAsia="仿宋" w:cs="仿宋"/>
          <w:sz w:val="24"/>
        </w:rPr>
      </w:pPr>
      <w:r>
        <w:rPr>
          <w:rFonts w:hint="eastAsia" w:ascii="仿宋" w:hAnsi="仿宋" w:eastAsia="仿宋" w:cs="仿宋"/>
          <w:sz w:val="24"/>
        </w:rPr>
        <w:t>1.3.3   以采购代理机构认可的方式获得了本项目的招标文件。</w:t>
      </w:r>
    </w:p>
    <w:p w14:paraId="70258F8A">
      <w:pPr>
        <w:textAlignment w:val="baseline"/>
        <w:rPr>
          <w:rFonts w:ascii="仿宋" w:hAnsi="仿宋" w:eastAsia="仿宋" w:cs="仿宋"/>
          <w:sz w:val="24"/>
        </w:rPr>
      </w:pPr>
      <w:r>
        <w:rPr>
          <w:rFonts w:hint="eastAsia" w:ascii="仿宋" w:hAnsi="仿宋" w:eastAsia="仿宋" w:cs="仿宋"/>
          <w:sz w:val="24"/>
        </w:rPr>
        <w:t>1.3.4   符合</w:t>
      </w:r>
      <w:r>
        <w:rPr>
          <w:rFonts w:hint="eastAsia" w:ascii="仿宋" w:hAnsi="仿宋" w:eastAsia="仿宋" w:cs="仿宋"/>
          <w:sz w:val="24"/>
          <w:u w:val="single" w:color="000000"/>
        </w:rPr>
        <w:t>投标人须知资料表</w:t>
      </w:r>
      <w:r>
        <w:rPr>
          <w:rFonts w:hint="eastAsia" w:ascii="仿宋" w:hAnsi="仿宋" w:eastAsia="仿宋" w:cs="仿宋"/>
          <w:sz w:val="24"/>
        </w:rPr>
        <w:t>中规定的其他要求。</w:t>
      </w:r>
    </w:p>
    <w:p w14:paraId="60D5DD64">
      <w:pPr>
        <w:textAlignment w:val="baseline"/>
        <w:rPr>
          <w:rFonts w:ascii="仿宋" w:hAnsi="仿宋" w:eastAsia="仿宋" w:cs="仿宋"/>
          <w:sz w:val="24"/>
        </w:rPr>
      </w:pPr>
      <w:r>
        <w:rPr>
          <w:rFonts w:hint="eastAsia" w:ascii="仿宋" w:hAnsi="仿宋" w:eastAsia="仿宋" w:cs="仿宋"/>
          <w:sz w:val="24"/>
        </w:rPr>
        <w:t>1.3.5   若</w:t>
      </w:r>
      <w:r>
        <w:rPr>
          <w:rFonts w:hint="eastAsia" w:ascii="仿宋" w:hAnsi="仿宋" w:eastAsia="仿宋" w:cs="仿宋"/>
          <w:sz w:val="24"/>
          <w:u w:val="single" w:color="000000"/>
        </w:rPr>
        <w:t>投标人须知资料表</w:t>
      </w:r>
      <w:r>
        <w:rPr>
          <w:rFonts w:hint="eastAsia" w:ascii="仿宋" w:hAnsi="仿宋" w:eastAsia="仿宋" w:cs="仿宋"/>
          <w:sz w:val="24"/>
        </w:rPr>
        <w:t>中写明专门面向中小企业采购的，如投标人为非中小企业且所投产品为非中小企业产品，其投标将被认定为</w:t>
      </w:r>
      <w:r>
        <w:rPr>
          <w:rFonts w:hint="eastAsia" w:ascii="仿宋" w:hAnsi="仿宋" w:eastAsia="仿宋" w:cs="仿宋"/>
          <w:b/>
          <w:bCs/>
          <w:sz w:val="24"/>
        </w:rPr>
        <w:t>投标无效</w:t>
      </w:r>
      <w:r>
        <w:rPr>
          <w:rFonts w:hint="eastAsia" w:ascii="仿宋" w:hAnsi="仿宋" w:eastAsia="仿宋" w:cs="仿宋"/>
          <w:sz w:val="24"/>
        </w:rPr>
        <w:t>。</w:t>
      </w:r>
    </w:p>
    <w:p w14:paraId="6D5D4E8E">
      <w:pPr>
        <w:textAlignment w:val="baseline"/>
        <w:rPr>
          <w:rFonts w:ascii="仿宋" w:hAnsi="仿宋" w:eastAsia="仿宋" w:cs="仿宋"/>
          <w:sz w:val="24"/>
        </w:rPr>
      </w:pPr>
      <w:r>
        <w:rPr>
          <w:rFonts w:hint="eastAsia" w:ascii="仿宋" w:hAnsi="仿宋" w:eastAsia="仿宋" w:cs="仿宋"/>
          <w:sz w:val="24"/>
        </w:rPr>
        <w:t>1.4     如</w:t>
      </w:r>
      <w:r>
        <w:rPr>
          <w:rFonts w:hint="eastAsia" w:ascii="仿宋" w:hAnsi="仿宋" w:eastAsia="仿宋" w:cs="仿宋"/>
          <w:sz w:val="24"/>
          <w:u w:val="single" w:color="000000"/>
        </w:rPr>
        <w:t>投标人须知资料表</w:t>
      </w:r>
      <w:r>
        <w:rPr>
          <w:rFonts w:hint="eastAsia" w:ascii="仿宋" w:hAnsi="仿宋" w:eastAsia="仿宋" w:cs="仿宋"/>
          <w:sz w:val="24"/>
        </w:rPr>
        <w:t>中允许联合体投标，对联合体规定如下：</w:t>
      </w:r>
    </w:p>
    <w:p w14:paraId="4C701862">
      <w:pPr>
        <w:textAlignment w:val="baseline"/>
        <w:rPr>
          <w:rFonts w:ascii="仿宋" w:hAnsi="仿宋" w:eastAsia="仿宋" w:cs="仿宋"/>
          <w:sz w:val="24"/>
        </w:rPr>
      </w:pPr>
      <w:r>
        <w:rPr>
          <w:rFonts w:hint="eastAsia" w:ascii="仿宋" w:hAnsi="仿宋" w:eastAsia="仿宋" w:cs="仿宋"/>
          <w:sz w:val="24"/>
        </w:rPr>
        <w:t>1.4.1   两个以上投标人可以组成一个投标联合体，以一个投标人的身份投标。</w:t>
      </w:r>
    </w:p>
    <w:p w14:paraId="0709A602">
      <w:pPr>
        <w:textAlignment w:val="baseline"/>
        <w:rPr>
          <w:rFonts w:ascii="仿宋" w:hAnsi="仿宋" w:eastAsia="仿宋" w:cs="仿宋"/>
          <w:sz w:val="24"/>
        </w:rPr>
      </w:pPr>
      <w:r>
        <w:rPr>
          <w:rFonts w:hint="eastAsia" w:ascii="仿宋" w:hAnsi="仿宋" w:eastAsia="仿宋" w:cs="仿宋"/>
          <w:sz w:val="24"/>
        </w:rPr>
        <w:t>1.4.2   联合体各方均应符合《中华人民共和国政府采购法》第二十二条规定的条件。</w:t>
      </w:r>
    </w:p>
    <w:p w14:paraId="7E340E7F">
      <w:pPr>
        <w:textAlignment w:val="baseline"/>
        <w:rPr>
          <w:rFonts w:ascii="仿宋" w:hAnsi="仿宋" w:eastAsia="仿宋" w:cs="仿宋"/>
          <w:sz w:val="24"/>
        </w:rPr>
      </w:pPr>
      <w:r>
        <w:rPr>
          <w:rFonts w:hint="eastAsia" w:ascii="仿宋" w:hAnsi="仿宋" w:eastAsia="仿宋" w:cs="仿宋"/>
          <w:sz w:val="24"/>
        </w:rPr>
        <w:t>1.4.3   采购人根据采购项目对投标人的特殊要求，联合体中至少应当有一方符合相关规定。</w:t>
      </w:r>
    </w:p>
    <w:p w14:paraId="28688301">
      <w:pPr>
        <w:textAlignment w:val="baseline"/>
        <w:rPr>
          <w:rFonts w:ascii="仿宋" w:hAnsi="仿宋" w:eastAsia="仿宋" w:cs="仿宋"/>
          <w:sz w:val="24"/>
        </w:rPr>
      </w:pPr>
      <w:r>
        <w:rPr>
          <w:rFonts w:hint="eastAsia" w:ascii="仿宋" w:hAnsi="仿宋" w:eastAsia="仿宋" w:cs="仿宋"/>
          <w:sz w:val="24"/>
        </w:rPr>
        <w:t>1.4.4   联合体各方应签订共同投标协议，明确约定联合体各方承担的工作和相应的责任，并将共同投标协议连同投标文件一并提交采购单位。</w:t>
      </w:r>
    </w:p>
    <w:p w14:paraId="5C9A548F">
      <w:pPr>
        <w:textAlignment w:val="baseline"/>
        <w:rPr>
          <w:rFonts w:ascii="仿宋" w:hAnsi="仿宋" w:eastAsia="仿宋" w:cs="仿宋"/>
          <w:sz w:val="24"/>
        </w:rPr>
      </w:pPr>
      <w:r>
        <w:rPr>
          <w:rFonts w:hint="eastAsia" w:ascii="仿宋" w:hAnsi="仿宋" w:eastAsia="仿宋" w:cs="仿宋"/>
          <w:sz w:val="24"/>
        </w:rPr>
        <w:t>1.4.5   大中型企业、其他自然人、法人或者非法人组织与小型、微型企业组成联合体共同参加投标，共同投标协议中应写明小型、微型企业的协议合同金额占到共同投标协议投标总金额的比例。</w:t>
      </w:r>
    </w:p>
    <w:p w14:paraId="01FCDEAF">
      <w:pPr>
        <w:textAlignment w:val="baseline"/>
        <w:rPr>
          <w:rFonts w:ascii="仿宋" w:hAnsi="仿宋" w:eastAsia="仿宋" w:cs="仿宋"/>
          <w:sz w:val="24"/>
        </w:rPr>
      </w:pPr>
      <w:r>
        <w:rPr>
          <w:rFonts w:hint="eastAsia" w:ascii="仿宋" w:hAnsi="仿宋" w:eastAsia="仿宋" w:cs="仿宋"/>
          <w:sz w:val="24"/>
        </w:rPr>
        <w:t>1.4.6  联合体中有同类资质的投标人按照联合体分工承担相同工作的，按照较低的资质等级确定联合体的资质等级。</w:t>
      </w:r>
    </w:p>
    <w:p w14:paraId="40C51781">
      <w:pPr>
        <w:textAlignment w:val="baseline"/>
        <w:rPr>
          <w:rFonts w:ascii="仿宋" w:hAnsi="仿宋" w:eastAsia="仿宋" w:cs="仿宋"/>
          <w:sz w:val="24"/>
        </w:rPr>
      </w:pPr>
      <w:r>
        <w:rPr>
          <w:rFonts w:hint="eastAsia" w:ascii="仿宋" w:hAnsi="仿宋" w:eastAsia="仿宋" w:cs="仿宋"/>
          <w:sz w:val="24"/>
        </w:rPr>
        <w:t>1.4.7  以联合体形式参加政府采购活动的，联合体各方不得再单独参加或者与其他投标人另外组成联合体参加本项目投标，否则相关投标将被认定为</w:t>
      </w:r>
      <w:r>
        <w:rPr>
          <w:rFonts w:hint="eastAsia" w:ascii="仿宋" w:hAnsi="仿宋" w:eastAsia="仿宋" w:cs="仿宋"/>
          <w:b/>
          <w:bCs/>
          <w:sz w:val="24"/>
        </w:rPr>
        <w:t>投标无效</w:t>
      </w:r>
      <w:r>
        <w:rPr>
          <w:rFonts w:hint="eastAsia" w:ascii="仿宋" w:hAnsi="仿宋" w:eastAsia="仿宋" w:cs="仿宋"/>
          <w:sz w:val="24"/>
        </w:rPr>
        <w:t>。</w:t>
      </w:r>
    </w:p>
    <w:p w14:paraId="2A73DF23">
      <w:pPr>
        <w:textAlignment w:val="baseline"/>
        <w:rPr>
          <w:rFonts w:ascii="仿宋" w:hAnsi="仿宋" w:eastAsia="仿宋" w:cs="仿宋"/>
          <w:sz w:val="24"/>
        </w:rPr>
      </w:pPr>
      <w:r>
        <w:rPr>
          <w:rFonts w:hint="eastAsia" w:ascii="仿宋" w:hAnsi="仿宋" w:eastAsia="仿宋" w:cs="仿宋"/>
          <w:sz w:val="24"/>
        </w:rPr>
        <w:t>1.4.8   对联合体投标的其他资格要求见</w:t>
      </w:r>
      <w:r>
        <w:rPr>
          <w:rFonts w:hint="eastAsia" w:ascii="仿宋" w:hAnsi="仿宋" w:eastAsia="仿宋" w:cs="仿宋"/>
          <w:sz w:val="24"/>
          <w:u w:val="single" w:color="000000"/>
        </w:rPr>
        <w:t>投标人须知资料表</w:t>
      </w:r>
      <w:r>
        <w:rPr>
          <w:rFonts w:hint="eastAsia" w:ascii="仿宋" w:hAnsi="仿宋" w:eastAsia="仿宋" w:cs="仿宋"/>
          <w:sz w:val="24"/>
        </w:rPr>
        <w:t>。</w:t>
      </w:r>
    </w:p>
    <w:p w14:paraId="6C9E14AB">
      <w:pPr>
        <w:textAlignment w:val="baseline"/>
        <w:rPr>
          <w:rFonts w:ascii="仿宋" w:hAnsi="仿宋" w:eastAsia="仿宋" w:cs="仿宋"/>
          <w:sz w:val="24"/>
        </w:rPr>
      </w:pPr>
      <w:r>
        <w:rPr>
          <w:rFonts w:hint="eastAsia" w:ascii="仿宋" w:hAnsi="仿宋" w:eastAsia="仿宋" w:cs="仿宋"/>
          <w:sz w:val="24"/>
        </w:rPr>
        <w:t>1.5    单位负责人为同一人或者存在直接控股、管理关系的不同投标人，其相关投标将被认定为</w:t>
      </w:r>
      <w:r>
        <w:rPr>
          <w:rFonts w:hint="eastAsia" w:ascii="仿宋" w:hAnsi="仿宋" w:eastAsia="仿宋" w:cs="仿宋"/>
          <w:b/>
          <w:bCs/>
          <w:sz w:val="24"/>
        </w:rPr>
        <w:t>投标无效</w:t>
      </w:r>
      <w:r>
        <w:rPr>
          <w:rFonts w:hint="eastAsia" w:ascii="仿宋" w:hAnsi="仿宋" w:eastAsia="仿宋" w:cs="仿宋"/>
          <w:sz w:val="24"/>
        </w:rPr>
        <w:t>。</w:t>
      </w:r>
    </w:p>
    <w:p w14:paraId="7EC1EF57">
      <w:pPr>
        <w:textAlignment w:val="baseline"/>
        <w:rPr>
          <w:rFonts w:ascii="仿宋" w:hAnsi="仿宋" w:eastAsia="仿宋" w:cs="仿宋"/>
          <w:sz w:val="24"/>
        </w:rPr>
      </w:pPr>
      <w:r>
        <w:rPr>
          <w:rFonts w:hint="eastAsia" w:ascii="仿宋" w:hAnsi="仿宋" w:eastAsia="仿宋" w:cs="仿宋"/>
          <w:sz w:val="24"/>
        </w:rPr>
        <w:t>1.6    为本项目提供过整体设计、规范编制或者项目管理、监理、检测等服务的投标人，不得再参加本项目上述服务以外的其他采购活动。否则其投标将被认定为</w:t>
      </w:r>
      <w:r>
        <w:rPr>
          <w:rFonts w:hint="eastAsia" w:ascii="仿宋" w:hAnsi="仿宋" w:eastAsia="仿宋" w:cs="仿宋"/>
          <w:b/>
          <w:bCs/>
          <w:sz w:val="24"/>
        </w:rPr>
        <w:t>投标无效</w:t>
      </w:r>
      <w:r>
        <w:rPr>
          <w:rFonts w:hint="eastAsia" w:ascii="仿宋" w:hAnsi="仿宋" w:eastAsia="仿宋" w:cs="仿宋"/>
          <w:sz w:val="24"/>
        </w:rPr>
        <w:t>。</w:t>
      </w:r>
    </w:p>
    <w:p w14:paraId="2AC3EEEC">
      <w:pPr>
        <w:textAlignment w:val="baseline"/>
        <w:rPr>
          <w:rFonts w:ascii="仿宋" w:hAnsi="仿宋" w:eastAsia="仿宋" w:cs="仿宋"/>
          <w:sz w:val="24"/>
        </w:rPr>
      </w:pPr>
      <w:r>
        <w:rPr>
          <w:rFonts w:hint="eastAsia" w:ascii="仿宋" w:hAnsi="仿宋" w:eastAsia="仿宋" w:cs="仿宋"/>
          <w:sz w:val="24"/>
        </w:rPr>
        <w:t>1.7</w:t>
      </w:r>
      <w:r>
        <w:rPr>
          <w:rFonts w:hint="eastAsia" w:ascii="仿宋" w:hAnsi="仿宋" w:eastAsia="仿宋" w:cs="仿宋"/>
          <w:sz w:val="24"/>
        </w:rPr>
        <w:tab/>
      </w:r>
      <w:r>
        <w:rPr>
          <w:rFonts w:hint="eastAsia" w:ascii="仿宋" w:hAnsi="仿宋" w:eastAsia="仿宋" w:cs="仿宋"/>
          <w:sz w:val="24"/>
        </w:rPr>
        <w:t>投标人在投标过程中不得向采购人提供、给予任何有价值的物品，影响其正常决策行为。一经发现，其将被认定为</w:t>
      </w:r>
      <w:r>
        <w:rPr>
          <w:rFonts w:hint="eastAsia" w:ascii="仿宋" w:hAnsi="仿宋" w:eastAsia="仿宋" w:cs="仿宋"/>
          <w:b/>
          <w:bCs/>
          <w:sz w:val="24"/>
        </w:rPr>
        <w:t>投标无效</w:t>
      </w:r>
      <w:r>
        <w:rPr>
          <w:rFonts w:hint="eastAsia" w:ascii="仿宋" w:hAnsi="仿宋" w:eastAsia="仿宋" w:cs="仿宋"/>
          <w:sz w:val="24"/>
        </w:rPr>
        <w:t>。</w:t>
      </w:r>
    </w:p>
    <w:p w14:paraId="50430332">
      <w:pPr>
        <w:pStyle w:val="5"/>
        <w:spacing w:before="0" w:after="0"/>
        <w:textAlignment w:val="baseline"/>
        <w:rPr>
          <w:rFonts w:ascii="仿宋" w:hAnsi="仿宋" w:eastAsia="仿宋" w:cs="仿宋"/>
        </w:rPr>
      </w:pPr>
      <w:bookmarkStart w:id="60" w:name="_Toc515647759"/>
      <w:bookmarkStart w:id="61" w:name="_Toc9749"/>
      <w:bookmarkStart w:id="62" w:name="_Toc25813"/>
      <w:bookmarkStart w:id="63" w:name="_Toc25043"/>
      <w:bookmarkStart w:id="64" w:name="_Toc4315"/>
      <w:bookmarkStart w:id="65" w:name="_Toc21316"/>
      <w:bookmarkStart w:id="66" w:name="_Toc17808"/>
      <w:bookmarkStart w:id="67" w:name="_Toc4322"/>
      <w:bookmarkStart w:id="68" w:name="_Toc5286"/>
      <w:bookmarkStart w:id="69" w:name="_Toc14117"/>
      <w:bookmarkStart w:id="70" w:name="_Toc7361"/>
      <w:bookmarkStart w:id="71" w:name="_Toc20103"/>
      <w:bookmarkStart w:id="72" w:name="_Toc18623"/>
      <w:bookmarkStart w:id="73" w:name="_Toc14658"/>
      <w:bookmarkStart w:id="74" w:name="_Toc28178"/>
      <w:bookmarkStart w:id="75" w:name="_Toc12139"/>
      <w:bookmarkStart w:id="76" w:name="_Toc8874"/>
      <w:r>
        <w:rPr>
          <w:rFonts w:hint="eastAsia" w:ascii="仿宋" w:hAnsi="仿宋" w:eastAsia="仿宋" w:cs="仿宋"/>
        </w:rPr>
        <w:t>2.资金来源</w:t>
      </w:r>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p>
    <w:p w14:paraId="01A043B1">
      <w:pPr>
        <w:textAlignment w:val="baseline"/>
        <w:rPr>
          <w:rFonts w:ascii="仿宋" w:hAnsi="仿宋" w:eastAsia="仿宋" w:cs="仿宋"/>
          <w:sz w:val="24"/>
        </w:rPr>
      </w:pPr>
      <w:r>
        <w:rPr>
          <w:rFonts w:hint="eastAsia" w:ascii="仿宋" w:hAnsi="仿宋" w:eastAsia="仿宋" w:cs="仿宋"/>
          <w:sz w:val="24"/>
        </w:rPr>
        <w:t>2.1    本项目的采购人已获得足以支付本次招标后所签订的合同项下的资金（包括财政性资金和本项目采购中无法与财政性资金分割的非财政性资金）。</w:t>
      </w:r>
    </w:p>
    <w:p w14:paraId="0EF87F50">
      <w:pPr>
        <w:textAlignment w:val="baseline"/>
        <w:rPr>
          <w:rFonts w:ascii="仿宋" w:hAnsi="仿宋" w:eastAsia="仿宋" w:cs="仿宋"/>
          <w:sz w:val="24"/>
        </w:rPr>
      </w:pPr>
      <w:r>
        <w:rPr>
          <w:rFonts w:hint="eastAsia" w:ascii="仿宋" w:hAnsi="仿宋" w:eastAsia="仿宋" w:cs="仿宋"/>
          <w:sz w:val="24"/>
        </w:rPr>
        <w:t>2.2    项目预算金额和分项或分包最高限价</w:t>
      </w:r>
      <w:r>
        <w:rPr>
          <w:rFonts w:hint="eastAsia" w:ascii="仿宋" w:hAnsi="仿宋" w:eastAsia="仿宋" w:cs="仿宋"/>
          <w:sz w:val="24"/>
          <w:u w:val="single" w:color="000000"/>
        </w:rPr>
        <w:t>见投标人须知资料表</w:t>
      </w:r>
      <w:r>
        <w:rPr>
          <w:rFonts w:hint="eastAsia" w:ascii="仿宋" w:hAnsi="仿宋" w:eastAsia="仿宋" w:cs="仿宋"/>
          <w:sz w:val="24"/>
        </w:rPr>
        <w:t>。</w:t>
      </w:r>
    </w:p>
    <w:p w14:paraId="75FBB43D">
      <w:pPr>
        <w:textAlignment w:val="baseline"/>
        <w:rPr>
          <w:rFonts w:ascii="仿宋" w:hAnsi="仿宋" w:eastAsia="仿宋" w:cs="仿宋"/>
          <w:sz w:val="24"/>
        </w:rPr>
      </w:pPr>
      <w:r>
        <w:rPr>
          <w:rFonts w:hint="eastAsia" w:ascii="仿宋" w:hAnsi="仿宋" w:eastAsia="仿宋" w:cs="仿宋"/>
          <w:sz w:val="24"/>
        </w:rPr>
        <w:t>2.3    投标人报价超过招标文件规定的预算金额或者分项、分包最高限价的，其投标将被认定为</w:t>
      </w:r>
      <w:r>
        <w:rPr>
          <w:rFonts w:hint="eastAsia" w:ascii="仿宋" w:hAnsi="仿宋" w:eastAsia="仿宋" w:cs="仿宋"/>
          <w:b/>
          <w:bCs/>
          <w:sz w:val="24"/>
        </w:rPr>
        <w:t>投标无效</w:t>
      </w:r>
      <w:r>
        <w:rPr>
          <w:rFonts w:hint="eastAsia" w:ascii="仿宋" w:hAnsi="仿宋" w:eastAsia="仿宋" w:cs="仿宋"/>
          <w:sz w:val="24"/>
        </w:rPr>
        <w:t>。</w:t>
      </w:r>
    </w:p>
    <w:p w14:paraId="72B66101">
      <w:pPr>
        <w:pStyle w:val="5"/>
        <w:spacing w:before="0" w:after="0"/>
        <w:textAlignment w:val="baseline"/>
        <w:rPr>
          <w:rFonts w:ascii="仿宋" w:hAnsi="仿宋" w:eastAsia="仿宋" w:cs="仿宋"/>
        </w:rPr>
      </w:pPr>
      <w:bookmarkStart w:id="77" w:name="_Toc31923"/>
      <w:bookmarkStart w:id="78" w:name="_Toc31962"/>
      <w:bookmarkStart w:id="79" w:name="_Toc520356145"/>
      <w:bookmarkStart w:id="80" w:name="_Toc26702"/>
      <w:bookmarkStart w:id="81" w:name="_Toc24214"/>
      <w:bookmarkStart w:id="82" w:name="_Toc15936"/>
      <w:bookmarkStart w:id="83" w:name="_Toc2094"/>
      <w:bookmarkStart w:id="84" w:name="_Toc26014"/>
      <w:bookmarkStart w:id="85" w:name="_Toc13235"/>
      <w:bookmarkStart w:id="86" w:name="_Toc17722"/>
      <w:bookmarkStart w:id="87" w:name="_Toc515647760"/>
      <w:bookmarkStart w:id="88" w:name="_Toc22584"/>
      <w:bookmarkStart w:id="89" w:name="_Toc245"/>
      <w:bookmarkStart w:id="90" w:name="_Toc13828"/>
      <w:bookmarkStart w:id="91" w:name="_Toc25643"/>
      <w:bookmarkStart w:id="92" w:name="_Toc20548"/>
      <w:bookmarkStart w:id="93" w:name="_Toc12066"/>
      <w:bookmarkStart w:id="94" w:name="_Toc20526"/>
      <w:r>
        <w:rPr>
          <w:rFonts w:hint="eastAsia" w:ascii="仿宋" w:hAnsi="仿宋" w:eastAsia="仿宋" w:cs="仿宋"/>
        </w:rPr>
        <w:t>3.投标费用</w:t>
      </w:r>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p>
    <w:p w14:paraId="7478C1D9">
      <w:pPr>
        <w:textAlignment w:val="baseline"/>
        <w:rPr>
          <w:rFonts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不论投标的结果如何，投标人应承担所有与准备和参加投标有关的费用。</w:t>
      </w:r>
    </w:p>
    <w:p w14:paraId="6129DE4C">
      <w:pPr>
        <w:pStyle w:val="5"/>
        <w:spacing w:before="0" w:after="0"/>
        <w:textAlignment w:val="baseline"/>
        <w:rPr>
          <w:rFonts w:ascii="仿宋" w:hAnsi="仿宋" w:eastAsia="仿宋" w:cs="仿宋"/>
        </w:rPr>
      </w:pPr>
      <w:bookmarkStart w:id="95" w:name="_Toc22881"/>
      <w:bookmarkStart w:id="96" w:name="_Toc32665"/>
      <w:bookmarkStart w:id="97" w:name="_Toc4463"/>
      <w:bookmarkStart w:id="98" w:name="_Toc25102"/>
      <w:bookmarkStart w:id="99" w:name="_Toc18730"/>
      <w:bookmarkStart w:id="100" w:name="_Toc10040"/>
      <w:bookmarkStart w:id="101" w:name="_Toc6116"/>
      <w:bookmarkStart w:id="102" w:name="_Toc28041"/>
      <w:bookmarkStart w:id="103" w:name="_Toc3200"/>
      <w:bookmarkStart w:id="104" w:name="_Toc28727"/>
      <w:bookmarkStart w:id="105" w:name="_Toc24113"/>
      <w:bookmarkStart w:id="106" w:name="_Toc31798"/>
      <w:bookmarkStart w:id="107" w:name="_Toc20058"/>
      <w:bookmarkStart w:id="108" w:name="_Toc26945"/>
      <w:bookmarkStart w:id="109" w:name="_Toc515647761"/>
      <w:bookmarkStart w:id="110" w:name="_Toc3354"/>
      <w:bookmarkStart w:id="111" w:name="_Toc21790"/>
      <w:r>
        <w:rPr>
          <w:rFonts w:hint="eastAsia" w:ascii="仿宋" w:hAnsi="仿宋" w:eastAsia="仿宋" w:cs="仿宋"/>
        </w:rPr>
        <w:t>4.适用法律</w:t>
      </w:r>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p>
    <w:p w14:paraId="7663E76D">
      <w:pPr>
        <w:textAlignment w:val="baseline"/>
        <w:rPr>
          <w:rFonts w:ascii="仿宋" w:hAnsi="仿宋" w:eastAsia="仿宋" w:cs="仿宋"/>
          <w:sz w:val="24"/>
        </w:rPr>
      </w:pPr>
      <w:r>
        <w:rPr>
          <w:rFonts w:hint="eastAsia" w:ascii="仿宋" w:hAnsi="仿宋" w:eastAsia="仿宋" w:cs="仿宋"/>
          <w:sz w:val="24"/>
        </w:rPr>
        <w:t xml:space="preserve">       本项目采购人、采购代理机构、投标人、评标委员会的相关行为均受《中华人民共和国政府采购法》、《中华人民共和国政府采购法实施条例》及本项目本级和上级财政部门政府采购有关规定的约束，其权利受到上述法律法规的保护。</w:t>
      </w:r>
    </w:p>
    <w:p w14:paraId="14652E84">
      <w:pPr>
        <w:widowControl/>
        <w:jc w:val="center"/>
        <w:rPr>
          <w:rFonts w:ascii="仿宋" w:hAnsi="仿宋" w:eastAsia="仿宋" w:cs="仿宋"/>
          <w:b/>
          <w:kern w:val="0"/>
          <w:sz w:val="28"/>
          <w:szCs w:val="20"/>
        </w:rPr>
      </w:pPr>
      <w:bookmarkStart w:id="112" w:name="_Toc216582806"/>
      <w:bookmarkStart w:id="113" w:name="_Toc520356146"/>
      <w:bookmarkStart w:id="114" w:name="_Toc19184"/>
      <w:bookmarkStart w:id="115" w:name="_Toc10643"/>
      <w:bookmarkStart w:id="116" w:name="_Toc6944"/>
      <w:bookmarkStart w:id="117" w:name="_Toc4365"/>
      <w:bookmarkStart w:id="118" w:name="_Toc515647762"/>
      <w:bookmarkStart w:id="119" w:name="_Toc28572"/>
      <w:bookmarkStart w:id="120" w:name="_Toc4063"/>
      <w:bookmarkStart w:id="121" w:name="_Toc1733"/>
      <w:bookmarkStart w:id="122" w:name="_Toc8117"/>
      <w:bookmarkStart w:id="123" w:name="_Toc28905"/>
      <w:bookmarkStart w:id="124" w:name="_Toc21566"/>
      <w:bookmarkStart w:id="125" w:name="_Toc17538"/>
      <w:bookmarkStart w:id="126" w:name="_Toc29969"/>
      <w:bookmarkStart w:id="127" w:name="_Toc5673"/>
      <w:bookmarkStart w:id="128" w:name="_Toc30891"/>
      <w:bookmarkStart w:id="129" w:name="_Toc14410"/>
      <w:r>
        <w:rPr>
          <w:rFonts w:hint="eastAsia" w:ascii="仿宋" w:hAnsi="仿宋" w:eastAsia="仿宋" w:cs="仿宋"/>
          <w:b/>
          <w:sz w:val="28"/>
        </w:rPr>
        <w:t>二   招标文件</w:t>
      </w:r>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p>
    <w:p w14:paraId="0AF8680C">
      <w:pPr>
        <w:pStyle w:val="5"/>
        <w:spacing w:before="0" w:after="0"/>
        <w:textAlignment w:val="baseline"/>
        <w:rPr>
          <w:rFonts w:ascii="仿宋" w:hAnsi="仿宋" w:eastAsia="仿宋" w:cs="仿宋"/>
        </w:rPr>
      </w:pPr>
      <w:bookmarkStart w:id="130" w:name="_Toc4671"/>
      <w:bookmarkStart w:id="131" w:name="_Toc26759"/>
      <w:bookmarkStart w:id="132" w:name="_Toc25743"/>
      <w:bookmarkStart w:id="133" w:name="_Toc28647"/>
      <w:bookmarkStart w:id="134" w:name="_Toc520356147"/>
      <w:bookmarkStart w:id="135" w:name="_Toc5326"/>
      <w:bookmarkStart w:id="136" w:name="_Toc11582"/>
      <w:bookmarkStart w:id="137" w:name="_Toc14084"/>
      <w:bookmarkStart w:id="138" w:name="_Toc17225"/>
      <w:bookmarkStart w:id="139" w:name="_Toc515647763"/>
      <w:bookmarkStart w:id="140" w:name="_Toc5824"/>
      <w:bookmarkStart w:id="141" w:name="_Toc22748"/>
      <w:bookmarkStart w:id="142" w:name="_Toc481"/>
      <w:bookmarkStart w:id="143" w:name="_Toc6246"/>
      <w:bookmarkStart w:id="144" w:name="_Toc22031"/>
      <w:bookmarkStart w:id="145" w:name="_Toc6762"/>
      <w:bookmarkStart w:id="146" w:name="_Toc14637"/>
      <w:bookmarkStart w:id="147" w:name="_Toc1617"/>
      <w:r>
        <w:rPr>
          <w:rFonts w:hint="eastAsia" w:ascii="仿宋" w:hAnsi="仿宋" w:eastAsia="仿宋" w:cs="仿宋"/>
        </w:rPr>
        <w:t>5.招标文件构成</w:t>
      </w:r>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p>
    <w:p w14:paraId="402C7A11">
      <w:pPr>
        <w:textAlignment w:val="baseline"/>
        <w:rPr>
          <w:rFonts w:ascii="仿宋" w:hAnsi="仿宋" w:eastAsia="仿宋" w:cs="仿宋"/>
          <w:sz w:val="24"/>
        </w:rPr>
      </w:pPr>
      <w:r>
        <w:rPr>
          <w:rFonts w:hint="eastAsia" w:ascii="仿宋" w:hAnsi="仿宋" w:eastAsia="仿宋" w:cs="仿宋"/>
          <w:sz w:val="24"/>
        </w:rPr>
        <w:t>5.1</w:t>
      </w:r>
      <w:r>
        <w:rPr>
          <w:rFonts w:hint="eastAsia" w:ascii="仿宋" w:hAnsi="仿宋" w:eastAsia="仿宋" w:cs="仿宋"/>
          <w:sz w:val="24"/>
        </w:rPr>
        <w:tab/>
      </w:r>
      <w:r>
        <w:rPr>
          <w:rFonts w:hint="eastAsia" w:ascii="仿宋" w:hAnsi="仿宋" w:eastAsia="仿宋" w:cs="仿宋"/>
          <w:sz w:val="24"/>
        </w:rPr>
        <w:t>招标文件分为三册共7章，内容如下：</w:t>
      </w:r>
    </w:p>
    <w:p w14:paraId="40DAF125">
      <w:pPr>
        <w:textAlignment w:val="baseline"/>
        <w:rPr>
          <w:rFonts w:ascii="仿宋" w:hAnsi="仿宋" w:eastAsia="仿宋" w:cs="仿宋"/>
          <w:sz w:val="24"/>
        </w:rPr>
      </w:pPr>
      <w:r>
        <w:rPr>
          <w:rFonts w:hint="eastAsia" w:ascii="仿宋" w:hAnsi="仿宋" w:eastAsia="仿宋" w:cs="仿宋"/>
          <w:sz w:val="24"/>
        </w:rPr>
        <w:t>第一册</w:t>
      </w:r>
    </w:p>
    <w:p w14:paraId="3698B422">
      <w:pPr>
        <w:numPr>
          <w:ilvl w:val="0"/>
          <w:numId w:val="4"/>
        </w:numPr>
        <w:tabs>
          <w:tab w:val="left" w:pos="0"/>
        </w:tabs>
        <w:ind w:left="0" w:firstLine="0"/>
        <w:textAlignment w:val="baseline"/>
        <w:rPr>
          <w:rFonts w:ascii="仿宋" w:hAnsi="仿宋" w:eastAsia="仿宋" w:cs="仿宋"/>
          <w:sz w:val="24"/>
        </w:rPr>
      </w:pPr>
      <w:r>
        <w:rPr>
          <w:rFonts w:hint="eastAsia" w:ascii="仿宋" w:hAnsi="仿宋" w:eastAsia="仿宋" w:cs="仿宋"/>
          <w:sz w:val="24"/>
        </w:rPr>
        <w:t xml:space="preserve"> 投标人须知</w:t>
      </w:r>
    </w:p>
    <w:p w14:paraId="37F695A8">
      <w:pPr>
        <w:numPr>
          <w:ilvl w:val="0"/>
          <w:numId w:val="4"/>
        </w:numPr>
        <w:ind w:left="0" w:firstLine="0"/>
        <w:textAlignment w:val="baseline"/>
        <w:rPr>
          <w:rFonts w:ascii="仿宋" w:hAnsi="仿宋" w:eastAsia="仿宋" w:cs="仿宋"/>
          <w:sz w:val="24"/>
        </w:rPr>
      </w:pPr>
      <w:r>
        <w:rPr>
          <w:rFonts w:hint="eastAsia" w:ascii="仿宋" w:hAnsi="仿宋" w:eastAsia="仿宋" w:cs="仿宋"/>
          <w:sz w:val="24"/>
        </w:rPr>
        <w:t xml:space="preserve"> 投标文件格式</w:t>
      </w:r>
    </w:p>
    <w:p w14:paraId="0A2CE7E0">
      <w:pPr>
        <w:textAlignment w:val="baseline"/>
        <w:rPr>
          <w:rFonts w:ascii="仿宋" w:hAnsi="仿宋" w:eastAsia="仿宋" w:cs="仿宋"/>
          <w:sz w:val="24"/>
        </w:rPr>
      </w:pPr>
      <w:r>
        <w:rPr>
          <w:rFonts w:hint="eastAsia" w:ascii="仿宋" w:hAnsi="仿宋" w:eastAsia="仿宋" w:cs="仿宋"/>
          <w:sz w:val="24"/>
        </w:rPr>
        <w:t>第二册</w:t>
      </w:r>
    </w:p>
    <w:p w14:paraId="5001B35D">
      <w:pPr>
        <w:numPr>
          <w:ilvl w:val="0"/>
          <w:numId w:val="4"/>
        </w:numPr>
        <w:ind w:left="0" w:firstLine="0"/>
        <w:textAlignment w:val="baseline"/>
        <w:rPr>
          <w:rFonts w:ascii="仿宋" w:hAnsi="仿宋" w:eastAsia="仿宋" w:cs="仿宋"/>
          <w:sz w:val="24"/>
        </w:rPr>
      </w:pPr>
      <w:r>
        <w:rPr>
          <w:rFonts w:hint="eastAsia" w:ascii="仿宋" w:hAnsi="仿宋" w:eastAsia="仿宋" w:cs="仿宋"/>
          <w:sz w:val="24"/>
        </w:rPr>
        <w:t xml:space="preserve"> 投标邀请</w:t>
      </w:r>
    </w:p>
    <w:p w14:paraId="3E7A8FC5">
      <w:pPr>
        <w:numPr>
          <w:ilvl w:val="0"/>
          <w:numId w:val="4"/>
        </w:numPr>
        <w:ind w:left="0" w:firstLine="0"/>
        <w:textAlignment w:val="baseline"/>
        <w:rPr>
          <w:rFonts w:ascii="仿宋" w:hAnsi="仿宋" w:eastAsia="仿宋" w:cs="仿宋"/>
          <w:sz w:val="24"/>
        </w:rPr>
      </w:pPr>
      <w:r>
        <w:rPr>
          <w:rFonts w:hint="eastAsia" w:ascii="仿宋" w:hAnsi="仿宋" w:eastAsia="仿宋" w:cs="仿宋"/>
          <w:sz w:val="24"/>
        </w:rPr>
        <w:t xml:space="preserve"> 投标人须知资料表</w:t>
      </w:r>
    </w:p>
    <w:p w14:paraId="6DE00C97">
      <w:pPr>
        <w:numPr>
          <w:ilvl w:val="0"/>
          <w:numId w:val="4"/>
        </w:numPr>
        <w:ind w:left="0" w:firstLine="0"/>
        <w:textAlignment w:val="baseline"/>
        <w:rPr>
          <w:rFonts w:ascii="仿宋" w:hAnsi="仿宋" w:eastAsia="仿宋" w:cs="仿宋"/>
          <w:sz w:val="24"/>
        </w:rPr>
      </w:pPr>
      <w:r>
        <w:rPr>
          <w:rFonts w:hint="eastAsia" w:ascii="仿宋" w:hAnsi="仿宋" w:eastAsia="仿宋" w:cs="仿宋"/>
          <w:sz w:val="24"/>
        </w:rPr>
        <w:t xml:space="preserve"> 货物需求一览表及技术规格</w:t>
      </w:r>
    </w:p>
    <w:p w14:paraId="3DAF988A">
      <w:pPr>
        <w:numPr>
          <w:ilvl w:val="0"/>
          <w:numId w:val="4"/>
        </w:numPr>
        <w:ind w:left="0" w:firstLine="0"/>
        <w:textAlignment w:val="baseline"/>
        <w:rPr>
          <w:rFonts w:ascii="仿宋" w:hAnsi="仿宋" w:eastAsia="仿宋" w:cs="仿宋"/>
          <w:sz w:val="24"/>
        </w:rPr>
      </w:pPr>
      <w:r>
        <w:rPr>
          <w:rFonts w:hint="eastAsia" w:ascii="仿宋" w:hAnsi="仿宋" w:eastAsia="仿宋" w:cs="仿宋"/>
          <w:sz w:val="24"/>
        </w:rPr>
        <w:t xml:space="preserve"> 评标方法和标准</w:t>
      </w:r>
    </w:p>
    <w:p w14:paraId="0492A7A9">
      <w:pPr>
        <w:textAlignment w:val="baseline"/>
        <w:rPr>
          <w:rFonts w:ascii="仿宋" w:hAnsi="仿宋" w:eastAsia="仿宋" w:cs="仿宋"/>
          <w:sz w:val="24"/>
        </w:rPr>
      </w:pPr>
      <w:r>
        <w:rPr>
          <w:rFonts w:hint="eastAsia" w:ascii="仿宋" w:hAnsi="仿宋" w:eastAsia="仿宋" w:cs="仿宋"/>
          <w:sz w:val="24"/>
        </w:rPr>
        <w:t>第三册</w:t>
      </w:r>
    </w:p>
    <w:p w14:paraId="3C534854">
      <w:pPr>
        <w:numPr>
          <w:ilvl w:val="0"/>
          <w:numId w:val="4"/>
        </w:numPr>
        <w:ind w:left="0" w:firstLine="0"/>
        <w:textAlignment w:val="baseline"/>
        <w:rPr>
          <w:rFonts w:ascii="仿宋" w:hAnsi="仿宋" w:eastAsia="仿宋" w:cs="仿宋"/>
          <w:sz w:val="24"/>
        </w:rPr>
      </w:pPr>
      <w:r>
        <w:rPr>
          <w:rFonts w:hint="eastAsia" w:ascii="仿宋" w:hAnsi="仿宋" w:eastAsia="仿宋" w:cs="仿宋"/>
          <w:sz w:val="24"/>
        </w:rPr>
        <w:t>政府采购合同格式</w:t>
      </w:r>
    </w:p>
    <w:p w14:paraId="68BFD55F">
      <w:pPr>
        <w:textAlignment w:val="baseline"/>
        <w:rPr>
          <w:rFonts w:ascii="仿宋" w:hAnsi="仿宋" w:eastAsia="仿宋" w:cs="仿宋"/>
          <w:sz w:val="24"/>
        </w:rPr>
      </w:pPr>
      <w:r>
        <w:rPr>
          <w:rFonts w:hint="eastAsia" w:ascii="仿宋" w:hAnsi="仿宋" w:eastAsia="仿宋" w:cs="仿宋"/>
          <w:sz w:val="24"/>
        </w:rPr>
        <w:t>5.2</w:t>
      </w:r>
      <w:r>
        <w:rPr>
          <w:rFonts w:hint="eastAsia" w:ascii="仿宋" w:hAnsi="仿宋" w:eastAsia="仿宋" w:cs="仿宋"/>
          <w:sz w:val="24"/>
        </w:rPr>
        <w:tab/>
      </w:r>
      <w:r>
        <w:rPr>
          <w:rFonts w:hint="eastAsia" w:ascii="仿宋" w:hAnsi="仿宋" w:eastAsia="仿宋" w:cs="仿宋"/>
          <w:sz w:val="24"/>
        </w:rPr>
        <w:t>如本文件的前后内容不一致，以最后描述为准。</w:t>
      </w:r>
    </w:p>
    <w:p w14:paraId="6C619798">
      <w:pPr>
        <w:textAlignment w:val="baseline"/>
        <w:rPr>
          <w:rFonts w:ascii="仿宋" w:hAnsi="仿宋" w:eastAsia="仿宋" w:cs="仿宋"/>
          <w:sz w:val="24"/>
        </w:rPr>
      </w:pPr>
      <w:r>
        <w:rPr>
          <w:rFonts w:hint="eastAsia" w:ascii="仿宋" w:hAnsi="仿宋" w:eastAsia="仿宋" w:cs="仿宋"/>
          <w:sz w:val="24"/>
        </w:rPr>
        <w:t>5.3    投标人应认真阅读招标文件所有的事项、格式、条款和技术规范等。如投标人没有按照招标文件要求提交全部资料，或者投标文件没有对招标文件在各方面都做出实质性响应，可能导致其投标将被认定为</w:t>
      </w:r>
      <w:r>
        <w:rPr>
          <w:rFonts w:hint="eastAsia" w:ascii="仿宋" w:hAnsi="仿宋" w:eastAsia="仿宋" w:cs="仿宋"/>
          <w:b/>
          <w:bCs/>
          <w:sz w:val="24"/>
        </w:rPr>
        <w:t>投标无效</w:t>
      </w:r>
      <w:r>
        <w:rPr>
          <w:rFonts w:hint="eastAsia" w:ascii="仿宋" w:hAnsi="仿宋" w:eastAsia="仿宋" w:cs="仿宋"/>
          <w:sz w:val="24"/>
        </w:rPr>
        <w:t>。</w:t>
      </w:r>
    </w:p>
    <w:p w14:paraId="0E4C5860">
      <w:pPr>
        <w:pStyle w:val="5"/>
        <w:spacing w:before="0" w:after="0"/>
        <w:textAlignment w:val="baseline"/>
        <w:rPr>
          <w:rFonts w:ascii="仿宋" w:hAnsi="仿宋" w:eastAsia="仿宋" w:cs="仿宋"/>
        </w:rPr>
      </w:pPr>
      <w:bookmarkStart w:id="148" w:name="_Toc515904805"/>
      <w:bookmarkStart w:id="149" w:name="_Toc520356148"/>
      <w:bookmarkStart w:id="150" w:name="_Toc4284"/>
      <w:bookmarkStart w:id="151" w:name="_Toc12578"/>
      <w:bookmarkStart w:id="152" w:name="_Toc26044"/>
      <w:bookmarkStart w:id="153" w:name="_Toc7323"/>
      <w:bookmarkStart w:id="154" w:name="_Toc18688"/>
      <w:bookmarkStart w:id="155" w:name="_Toc1922"/>
      <w:bookmarkStart w:id="156" w:name="_Toc18698"/>
      <w:bookmarkStart w:id="157" w:name="_Toc2703"/>
      <w:bookmarkStart w:id="158" w:name="_Toc4118"/>
      <w:bookmarkStart w:id="159" w:name="_Toc27562"/>
      <w:bookmarkStart w:id="160" w:name="_Toc9232"/>
      <w:bookmarkStart w:id="161" w:name="_Toc20175"/>
      <w:bookmarkStart w:id="162" w:name="_Toc3154"/>
      <w:bookmarkStart w:id="163" w:name="_Toc1925"/>
      <w:bookmarkStart w:id="164" w:name="_Toc10625"/>
      <w:bookmarkStart w:id="165" w:name="_Toc30248"/>
      <w:r>
        <w:rPr>
          <w:rFonts w:hint="eastAsia" w:ascii="仿宋" w:hAnsi="仿宋" w:eastAsia="仿宋" w:cs="仿宋"/>
        </w:rPr>
        <w:t>6.招标文件的澄清</w:t>
      </w:r>
      <w:bookmarkEnd w:id="148"/>
      <w:bookmarkEnd w:id="149"/>
      <w:r>
        <w:rPr>
          <w:rFonts w:hint="eastAsia" w:ascii="仿宋" w:hAnsi="仿宋" w:eastAsia="仿宋" w:cs="仿宋"/>
        </w:rPr>
        <w:t>与修改</w:t>
      </w:r>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p>
    <w:p w14:paraId="2499BC29">
      <w:pPr>
        <w:pStyle w:val="7"/>
        <w:ind w:firstLine="0"/>
        <w:textAlignment w:val="baseline"/>
        <w:rPr>
          <w:rFonts w:ascii="仿宋" w:hAnsi="仿宋" w:eastAsia="仿宋" w:cs="仿宋"/>
          <w:szCs w:val="24"/>
        </w:rPr>
      </w:pPr>
      <w:r>
        <w:rPr>
          <w:rFonts w:hint="eastAsia" w:ascii="仿宋" w:hAnsi="仿宋" w:eastAsia="仿宋" w:cs="仿宋"/>
          <w:szCs w:val="24"/>
        </w:rPr>
        <w:t>6.1    为了保证对招标文件的澄清和修改满足法律的时限要求，任何要求对招标文件进行澄清的投标人，均应在投标截止期十五日前，以书面形式将澄清要求通知采购人或采购代理机构。</w:t>
      </w:r>
    </w:p>
    <w:p w14:paraId="7453CB6C">
      <w:pPr>
        <w:pStyle w:val="7"/>
        <w:ind w:firstLine="0"/>
        <w:textAlignment w:val="baseline"/>
        <w:rPr>
          <w:rFonts w:ascii="仿宋" w:hAnsi="仿宋" w:eastAsia="仿宋" w:cs="仿宋"/>
          <w:szCs w:val="24"/>
        </w:rPr>
      </w:pPr>
      <w:bookmarkStart w:id="166" w:name="_Ref467378678"/>
      <w:bookmarkStart w:id="167" w:name="_Toc520356149"/>
      <w:bookmarkStart w:id="168" w:name="_Toc515904806"/>
      <w:r>
        <w:rPr>
          <w:rFonts w:hint="eastAsia" w:ascii="仿宋" w:hAnsi="仿宋" w:eastAsia="仿宋" w:cs="仿宋"/>
          <w:szCs w:val="24"/>
        </w:rPr>
        <w:t>6.2</w:t>
      </w:r>
      <w:r>
        <w:rPr>
          <w:rFonts w:hint="eastAsia" w:ascii="仿宋" w:hAnsi="仿宋" w:eastAsia="仿宋" w:cs="仿宋"/>
          <w:szCs w:val="24"/>
        </w:rPr>
        <w:tab/>
      </w:r>
      <w:r>
        <w:rPr>
          <w:rFonts w:hint="eastAsia" w:ascii="仿宋" w:hAnsi="仿宋" w:eastAsia="仿宋" w:cs="仿宋"/>
          <w:szCs w:val="24"/>
        </w:rPr>
        <w:t>采购人可主动地或在解答投标人提出的澄清问题时对招标文件进行澄清或修改。采购代理机构将以发布澄清（更正）公告的方式，澄清或修改招标文件，澄清或修改内容作为招标文件的组成部分。</w:t>
      </w:r>
    </w:p>
    <w:p w14:paraId="7A64ABAF">
      <w:pPr>
        <w:pStyle w:val="7"/>
        <w:ind w:firstLine="0"/>
        <w:textAlignment w:val="baseline"/>
        <w:rPr>
          <w:rFonts w:ascii="仿宋" w:hAnsi="仿宋" w:eastAsia="仿宋" w:cs="仿宋"/>
          <w:szCs w:val="24"/>
        </w:rPr>
      </w:pPr>
      <w:r>
        <w:rPr>
          <w:rFonts w:hint="eastAsia" w:ascii="仿宋" w:hAnsi="仿宋" w:eastAsia="仿宋" w:cs="仿宋"/>
          <w:szCs w:val="24"/>
        </w:rPr>
        <w:t>6.3</w:t>
      </w:r>
      <w:r>
        <w:rPr>
          <w:rFonts w:hint="eastAsia" w:ascii="仿宋" w:hAnsi="仿宋" w:eastAsia="仿宋" w:cs="仿宋"/>
          <w:szCs w:val="24"/>
        </w:rPr>
        <w:tab/>
      </w:r>
      <w:r>
        <w:rPr>
          <w:rFonts w:hint="eastAsia" w:ascii="仿宋" w:hAnsi="仿宋" w:eastAsia="仿宋" w:cs="仿宋"/>
          <w:szCs w:val="24"/>
        </w:rPr>
        <w:t>澄清或者修改的内容可能影响投标文件编制的，采购代理机构将以书面形式通知所有购买招标文件的潜在投标人，并对其具有约束力。投标人在收到上述通知后，应及时向采购代理机构回函确认。</w:t>
      </w:r>
    </w:p>
    <w:p w14:paraId="599FAC98">
      <w:pPr>
        <w:pStyle w:val="5"/>
        <w:tabs>
          <w:tab w:val="left" w:pos="900"/>
        </w:tabs>
        <w:spacing w:before="0" w:after="0"/>
        <w:textAlignment w:val="baseline"/>
        <w:rPr>
          <w:rFonts w:ascii="仿宋" w:hAnsi="仿宋" w:eastAsia="仿宋" w:cs="仿宋"/>
        </w:rPr>
      </w:pPr>
      <w:bookmarkStart w:id="169" w:name="_Toc21993"/>
      <w:bookmarkStart w:id="170" w:name="_Toc12448"/>
      <w:bookmarkStart w:id="171" w:name="_Toc31409"/>
      <w:bookmarkStart w:id="172" w:name="_Toc14569"/>
      <w:bookmarkStart w:id="173" w:name="_Toc19841"/>
      <w:bookmarkStart w:id="174" w:name="_Toc2744"/>
      <w:bookmarkStart w:id="175" w:name="_Toc32689"/>
      <w:bookmarkStart w:id="176" w:name="_Toc22642"/>
      <w:bookmarkStart w:id="177" w:name="_Toc25461"/>
      <w:bookmarkStart w:id="178" w:name="_Toc23166"/>
      <w:bookmarkStart w:id="179" w:name="_Toc330"/>
      <w:bookmarkStart w:id="180" w:name="_Toc25635"/>
      <w:bookmarkStart w:id="181" w:name="_Toc19742"/>
      <w:bookmarkStart w:id="182" w:name="_Toc25416"/>
      <w:bookmarkStart w:id="183" w:name="_Toc7775"/>
      <w:bookmarkStart w:id="184" w:name="_Toc4653"/>
      <w:r>
        <w:rPr>
          <w:rFonts w:hint="eastAsia" w:ascii="仿宋" w:hAnsi="仿宋" w:eastAsia="仿宋" w:cs="仿宋"/>
        </w:rPr>
        <w:t>7</w:t>
      </w:r>
      <w:bookmarkEnd w:id="166"/>
      <w:bookmarkEnd w:id="167"/>
      <w:bookmarkEnd w:id="168"/>
      <w:r>
        <w:rPr>
          <w:rFonts w:hint="eastAsia" w:ascii="仿宋" w:hAnsi="仿宋" w:eastAsia="仿宋" w:cs="仿宋"/>
        </w:rPr>
        <w:t>. 投标截止时间的顺延</w:t>
      </w:r>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p>
    <w:p w14:paraId="5CAA5EAB">
      <w:pPr>
        <w:textAlignment w:val="baseline"/>
        <w:rPr>
          <w:rFonts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为使投标人准备投标时有足够的时间对招标文件的澄清或者修改部分进行研究，采购人将依法决定是否顺延投标截止时间。</w:t>
      </w:r>
    </w:p>
    <w:p w14:paraId="133F1EBF">
      <w:pPr>
        <w:pStyle w:val="4"/>
        <w:tabs>
          <w:tab w:val="left" w:pos="900"/>
        </w:tabs>
        <w:spacing w:before="0" w:line="240" w:lineRule="auto"/>
        <w:textAlignment w:val="baseline"/>
        <w:rPr>
          <w:rFonts w:ascii="仿宋" w:hAnsi="仿宋" w:eastAsia="仿宋" w:cs="仿宋"/>
          <w:b w:val="0"/>
          <w:sz w:val="24"/>
        </w:rPr>
      </w:pPr>
      <w:bookmarkStart w:id="185" w:name="_Toc516367020"/>
      <w:bookmarkStart w:id="186" w:name="_Toc9953"/>
      <w:bookmarkStart w:id="187" w:name="_Toc12340"/>
      <w:bookmarkStart w:id="188" w:name="_Toc23336"/>
      <w:bookmarkStart w:id="189" w:name="_Toc31039"/>
      <w:bookmarkStart w:id="190" w:name="_Toc8381"/>
      <w:bookmarkStart w:id="191" w:name="_Toc30808"/>
      <w:bookmarkStart w:id="192" w:name="_Toc14530"/>
      <w:bookmarkStart w:id="193" w:name="_Toc25866"/>
      <w:bookmarkStart w:id="194" w:name="_Toc19696"/>
      <w:bookmarkStart w:id="195" w:name="_Toc22175"/>
      <w:bookmarkStart w:id="196" w:name="_Toc515647766"/>
      <w:bookmarkStart w:id="197" w:name="_Toc216582807"/>
      <w:bookmarkStart w:id="198" w:name="_Toc12310"/>
      <w:bookmarkStart w:id="199" w:name="_Toc8537"/>
      <w:bookmarkStart w:id="200" w:name="_Toc28472"/>
      <w:bookmarkStart w:id="201" w:name="_Toc28891"/>
      <w:bookmarkStart w:id="202" w:name="_Toc520356150"/>
      <w:bookmarkStart w:id="203" w:name="_Toc15802"/>
      <w:bookmarkStart w:id="204" w:name="_Toc7636"/>
      <w:r>
        <w:rPr>
          <w:rFonts w:hint="eastAsia" w:ascii="仿宋" w:hAnsi="仿宋" w:eastAsia="仿宋" w:cs="仿宋"/>
          <w:sz w:val="28"/>
        </w:rPr>
        <w:t>三   投标文件</w:t>
      </w:r>
      <w:bookmarkEnd w:id="185"/>
      <w:r>
        <w:rPr>
          <w:rFonts w:hint="eastAsia" w:ascii="仿宋" w:hAnsi="仿宋" w:eastAsia="仿宋" w:cs="仿宋"/>
          <w:sz w:val="28"/>
        </w:rPr>
        <w:t>的编制</w:t>
      </w:r>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p>
    <w:p w14:paraId="1CB135B6">
      <w:pPr>
        <w:pStyle w:val="5"/>
        <w:tabs>
          <w:tab w:val="left" w:pos="900"/>
        </w:tabs>
        <w:spacing w:before="0" w:after="0"/>
        <w:textAlignment w:val="baseline"/>
        <w:rPr>
          <w:rFonts w:ascii="仿宋" w:hAnsi="仿宋" w:eastAsia="仿宋" w:cs="仿宋"/>
        </w:rPr>
      </w:pPr>
      <w:bookmarkStart w:id="205" w:name="_Toc5686"/>
      <w:bookmarkStart w:id="206" w:name="_Toc3553"/>
      <w:bookmarkStart w:id="207" w:name="_Toc27410"/>
      <w:bookmarkStart w:id="208" w:name="_Toc30570"/>
      <w:bookmarkStart w:id="209" w:name="_Toc28725"/>
      <w:bookmarkStart w:id="210" w:name="_Toc6680"/>
      <w:bookmarkStart w:id="211" w:name="_Toc7786"/>
      <w:bookmarkStart w:id="212" w:name="_Toc11023"/>
      <w:bookmarkStart w:id="213" w:name="_Toc28034"/>
      <w:bookmarkStart w:id="214" w:name="_Toc8749"/>
      <w:bookmarkStart w:id="215" w:name="_Toc15952"/>
      <w:bookmarkStart w:id="216" w:name="_Toc2259"/>
      <w:bookmarkStart w:id="217" w:name="_Toc515647767"/>
      <w:bookmarkStart w:id="218" w:name="_Toc15590"/>
      <w:bookmarkStart w:id="219" w:name="_Toc516367021"/>
      <w:bookmarkStart w:id="220" w:name="_Toc520356151"/>
      <w:bookmarkStart w:id="221" w:name="_Toc10758"/>
      <w:bookmarkStart w:id="222" w:name="_Toc11230"/>
      <w:bookmarkStart w:id="223" w:name="_Toc28188"/>
      <w:r>
        <w:rPr>
          <w:rFonts w:hint="eastAsia" w:ascii="仿宋" w:hAnsi="仿宋" w:eastAsia="仿宋" w:cs="仿宋"/>
        </w:rPr>
        <w:t>8.投标范围及投标文件中标准和计量单位的使用</w:t>
      </w:r>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p>
    <w:p w14:paraId="00A3DD8B">
      <w:pPr>
        <w:textAlignment w:val="baseline"/>
        <w:rPr>
          <w:rFonts w:ascii="仿宋" w:hAnsi="仿宋" w:eastAsia="仿宋" w:cs="仿宋"/>
          <w:sz w:val="24"/>
        </w:rPr>
      </w:pPr>
      <w:r>
        <w:rPr>
          <w:rFonts w:hint="eastAsia" w:ascii="仿宋" w:hAnsi="仿宋" w:eastAsia="仿宋" w:cs="仿宋"/>
          <w:sz w:val="24"/>
        </w:rPr>
        <w:t>8.1</w:t>
      </w:r>
      <w:r>
        <w:rPr>
          <w:rFonts w:hint="eastAsia" w:ascii="仿宋" w:hAnsi="仿宋" w:eastAsia="仿宋" w:cs="仿宋"/>
          <w:sz w:val="24"/>
        </w:rPr>
        <w:tab/>
      </w:r>
      <w:r>
        <w:rPr>
          <w:rFonts w:hint="eastAsia" w:ascii="仿宋" w:hAnsi="仿宋" w:eastAsia="仿宋" w:cs="仿宋"/>
          <w:sz w:val="24"/>
        </w:rPr>
        <w:t>项目有分包的，投标人可对招标文件其中某一个或几个分包货物进行投标，除非在</w:t>
      </w:r>
      <w:r>
        <w:rPr>
          <w:rFonts w:hint="eastAsia" w:ascii="仿宋" w:hAnsi="仿宋" w:eastAsia="仿宋" w:cs="仿宋"/>
          <w:sz w:val="24"/>
          <w:u w:val="single" w:color="000000"/>
        </w:rPr>
        <w:t>投标人须知资料表</w:t>
      </w:r>
      <w:r>
        <w:rPr>
          <w:rFonts w:hint="eastAsia" w:ascii="仿宋" w:hAnsi="仿宋" w:eastAsia="仿宋" w:cs="仿宋"/>
          <w:sz w:val="24"/>
        </w:rPr>
        <w:t>中另有规定。</w:t>
      </w:r>
    </w:p>
    <w:p w14:paraId="0EC68D99">
      <w:pPr>
        <w:textAlignment w:val="baseline"/>
        <w:rPr>
          <w:rFonts w:ascii="仿宋" w:hAnsi="仿宋" w:eastAsia="仿宋" w:cs="仿宋"/>
          <w:sz w:val="24"/>
        </w:rPr>
      </w:pPr>
      <w:r>
        <w:rPr>
          <w:rFonts w:hint="eastAsia" w:ascii="仿宋" w:hAnsi="仿宋" w:eastAsia="仿宋" w:cs="仿宋"/>
          <w:sz w:val="24"/>
        </w:rPr>
        <w:t>8.2     投标人应当对所投分包招标文件中“采购需求”所列的所有内容进行投标，如仅响应某一包中的部分内容，其该包投标将被认定为</w:t>
      </w:r>
      <w:r>
        <w:rPr>
          <w:rFonts w:hint="eastAsia" w:ascii="仿宋" w:hAnsi="仿宋" w:eastAsia="仿宋" w:cs="仿宋"/>
          <w:b/>
          <w:bCs/>
          <w:sz w:val="24"/>
        </w:rPr>
        <w:t>投标无效</w:t>
      </w:r>
      <w:r>
        <w:rPr>
          <w:rFonts w:hint="eastAsia" w:ascii="仿宋" w:hAnsi="仿宋" w:eastAsia="仿宋" w:cs="仿宋"/>
          <w:sz w:val="24"/>
        </w:rPr>
        <w:t>。</w:t>
      </w:r>
    </w:p>
    <w:p w14:paraId="5E020FA7">
      <w:pPr>
        <w:textAlignment w:val="baseline"/>
        <w:rPr>
          <w:rFonts w:ascii="仿宋" w:hAnsi="仿宋" w:eastAsia="仿宋" w:cs="仿宋"/>
          <w:sz w:val="24"/>
        </w:rPr>
      </w:pPr>
      <w:r>
        <w:rPr>
          <w:rFonts w:hint="eastAsia" w:ascii="仿宋" w:hAnsi="仿宋" w:eastAsia="仿宋" w:cs="仿宋"/>
          <w:sz w:val="24"/>
        </w:rPr>
        <w:t>8.3     无论招标文件第5章货物需求一览表及技术规格中是否要求，投标人所投货物均应符合国家强制性标准。</w:t>
      </w:r>
    </w:p>
    <w:p w14:paraId="6D174030">
      <w:pPr>
        <w:textAlignment w:val="baseline"/>
        <w:rPr>
          <w:rFonts w:ascii="仿宋" w:hAnsi="仿宋" w:eastAsia="仿宋" w:cs="仿宋"/>
          <w:sz w:val="24"/>
        </w:rPr>
      </w:pPr>
      <w:r>
        <w:rPr>
          <w:rFonts w:hint="eastAsia" w:ascii="仿宋" w:hAnsi="仿宋" w:eastAsia="仿宋" w:cs="仿宋"/>
          <w:sz w:val="24"/>
        </w:rPr>
        <w:t>8.4     除招标文件中有特殊要求外，投标文件中所使用的计量单位，应采用中华人民共和国法定计量单位。</w:t>
      </w:r>
    </w:p>
    <w:p w14:paraId="78B344C8">
      <w:pPr>
        <w:pStyle w:val="5"/>
        <w:tabs>
          <w:tab w:val="left" w:pos="900"/>
        </w:tabs>
        <w:spacing w:before="0" w:after="0"/>
        <w:textAlignment w:val="baseline"/>
        <w:rPr>
          <w:rFonts w:ascii="仿宋" w:hAnsi="仿宋" w:eastAsia="仿宋" w:cs="仿宋"/>
        </w:rPr>
      </w:pPr>
      <w:bookmarkStart w:id="224" w:name="_Ref467306676"/>
      <w:bookmarkStart w:id="225" w:name="_Ref467306195"/>
      <w:bookmarkStart w:id="226" w:name="_Toc516367022"/>
      <w:bookmarkStart w:id="227" w:name="_Toc5410"/>
      <w:bookmarkStart w:id="228" w:name="_Toc520356152"/>
      <w:bookmarkStart w:id="229" w:name="_Toc13854"/>
      <w:bookmarkStart w:id="230" w:name="_Toc10364"/>
      <w:bookmarkStart w:id="231" w:name="_Toc9237"/>
      <w:bookmarkStart w:id="232" w:name="_Toc17979"/>
      <w:bookmarkStart w:id="233" w:name="_Toc18627"/>
      <w:bookmarkStart w:id="234" w:name="_Toc9822"/>
      <w:bookmarkStart w:id="235" w:name="_Toc18692"/>
      <w:bookmarkStart w:id="236" w:name="_Toc9389"/>
      <w:bookmarkStart w:id="237" w:name="_Toc21249"/>
      <w:bookmarkStart w:id="238" w:name="_Toc6112"/>
      <w:bookmarkStart w:id="239" w:name="_Toc22989"/>
      <w:bookmarkStart w:id="240" w:name="_Toc28307"/>
      <w:bookmarkStart w:id="241" w:name="_Toc515647768"/>
      <w:bookmarkStart w:id="242" w:name="_Toc8545"/>
      <w:bookmarkStart w:id="243" w:name="_Toc9826"/>
      <w:bookmarkStart w:id="244" w:name="_Toc17949"/>
      <w:r>
        <w:rPr>
          <w:rFonts w:hint="eastAsia" w:ascii="仿宋" w:hAnsi="仿宋" w:eastAsia="仿宋" w:cs="仿宋"/>
        </w:rPr>
        <w:t>9.投标文件</w:t>
      </w:r>
      <w:bookmarkEnd w:id="224"/>
      <w:bookmarkEnd w:id="225"/>
      <w:bookmarkEnd w:id="226"/>
      <w:r>
        <w:rPr>
          <w:rFonts w:hint="eastAsia" w:ascii="仿宋" w:hAnsi="仿宋" w:eastAsia="仿宋" w:cs="仿宋"/>
        </w:rPr>
        <w:t>构成</w:t>
      </w:r>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p>
    <w:p w14:paraId="294FA95C">
      <w:pPr>
        <w:textAlignment w:val="baseline"/>
        <w:rPr>
          <w:rFonts w:ascii="仿宋" w:hAnsi="仿宋" w:eastAsia="仿宋" w:cs="仿宋"/>
          <w:sz w:val="24"/>
        </w:rPr>
      </w:pPr>
      <w:r>
        <w:rPr>
          <w:rFonts w:hint="eastAsia" w:ascii="仿宋" w:hAnsi="仿宋" w:eastAsia="仿宋" w:cs="仿宋"/>
          <w:sz w:val="24"/>
        </w:rPr>
        <w:t xml:space="preserve">9.1    </w:t>
      </w:r>
      <w:r>
        <w:rPr>
          <w:rFonts w:hint="eastAsia" w:ascii="仿宋" w:hAnsi="仿宋" w:eastAsia="仿宋" w:cs="仿宋"/>
          <w:b/>
          <w:bCs/>
          <w:sz w:val="24"/>
        </w:rPr>
        <w:t>投标人应完整地按招标文件提供的投标文件格式及要求编写投标文件，投标人须在投标截止时间前完成在系统上递交电子投标文件。投标人的电子投标文件是经过 CA 证书加密后上传提交的，任何单位或个人均无法在投标截止时间(即投标时间)之前查看或篡改，不存在泄密风险。（严格按照政采云电子投标流程制作并上传电子投标文件）</w:t>
      </w:r>
    </w:p>
    <w:p w14:paraId="3CA4DAB8">
      <w:pPr>
        <w:textAlignment w:val="baseline"/>
        <w:rPr>
          <w:rFonts w:ascii="仿宋" w:hAnsi="仿宋" w:eastAsia="仿宋" w:cs="仿宋"/>
          <w:sz w:val="24"/>
        </w:rPr>
      </w:pPr>
      <w:r>
        <w:rPr>
          <w:rFonts w:hint="eastAsia" w:ascii="仿宋" w:hAnsi="仿宋" w:eastAsia="仿宋" w:cs="仿宋"/>
          <w:sz w:val="24"/>
        </w:rPr>
        <w:t>9.2 上述文件应按照招标文件规定的格式填写、签署和盖章。</w:t>
      </w:r>
    </w:p>
    <w:p w14:paraId="131B2957">
      <w:pPr>
        <w:pStyle w:val="5"/>
        <w:tabs>
          <w:tab w:val="left" w:pos="900"/>
        </w:tabs>
        <w:spacing w:before="0" w:after="0"/>
        <w:textAlignment w:val="baseline"/>
        <w:rPr>
          <w:rFonts w:ascii="仿宋" w:hAnsi="仿宋" w:eastAsia="仿宋" w:cs="仿宋"/>
        </w:rPr>
      </w:pPr>
      <w:bookmarkStart w:id="245" w:name="_Toc30942"/>
      <w:bookmarkStart w:id="246" w:name="_Toc3494"/>
      <w:bookmarkStart w:id="247" w:name="_Toc515647769"/>
      <w:bookmarkStart w:id="248" w:name="_Toc2550"/>
      <w:bookmarkStart w:id="249" w:name="_Toc2871"/>
      <w:bookmarkStart w:id="250" w:name="_Toc7354"/>
      <w:bookmarkStart w:id="251" w:name="_Toc17771"/>
      <w:bookmarkStart w:id="252" w:name="_Toc4601"/>
      <w:bookmarkStart w:id="253" w:name="_Toc10580"/>
      <w:bookmarkStart w:id="254" w:name="_Toc11721"/>
      <w:bookmarkStart w:id="255" w:name="_Toc10379"/>
      <w:bookmarkStart w:id="256" w:name="_Toc22144"/>
      <w:bookmarkStart w:id="257" w:name="_Toc516367023"/>
      <w:bookmarkStart w:id="258" w:name="_Toc520356153"/>
      <w:bookmarkStart w:id="259" w:name="_Toc6889"/>
      <w:bookmarkStart w:id="260" w:name="_Toc22816"/>
      <w:bookmarkStart w:id="261" w:name="_Toc21436"/>
      <w:bookmarkStart w:id="262" w:name="_Toc5539"/>
      <w:bookmarkStart w:id="263" w:name="_Toc13143"/>
      <w:r>
        <w:rPr>
          <w:rFonts w:hint="eastAsia" w:ascii="仿宋" w:hAnsi="仿宋" w:eastAsia="仿宋" w:cs="仿宋"/>
        </w:rPr>
        <w:t>10.证明投标标的的合格性和符合招标文件规定的技术文件</w:t>
      </w:r>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p>
    <w:p w14:paraId="13F05723">
      <w:pPr>
        <w:textAlignment w:val="baseline"/>
        <w:rPr>
          <w:rFonts w:ascii="仿宋" w:hAnsi="仿宋" w:eastAsia="仿宋" w:cs="仿宋"/>
          <w:sz w:val="24"/>
        </w:rPr>
      </w:pPr>
      <w:r>
        <w:rPr>
          <w:rFonts w:hint="eastAsia" w:ascii="仿宋" w:hAnsi="仿宋" w:eastAsia="仿宋" w:cs="仿宋"/>
          <w:sz w:val="24"/>
        </w:rPr>
        <w:t>10.1</w:t>
      </w:r>
      <w:r>
        <w:rPr>
          <w:rFonts w:hint="eastAsia" w:ascii="仿宋" w:hAnsi="仿宋" w:eastAsia="仿宋" w:cs="仿宋"/>
          <w:sz w:val="24"/>
        </w:rPr>
        <w:tab/>
      </w:r>
      <w:r>
        <w:rPr>
          <w:rFonts w:hint="eastAsia" w:ascii="仿宋" w:hAnsi="仿宋" w:eastAsia="仿宋" w:cs="仿宋"/>
          <w:sz w:val="24"/>
        </w:rPr>
        <w:t>投标人应提交证明文件，证明其投标内容符合招标文件规定。该证明文件是投标文件的一部分。</w:t>
      </w:r>
    </w:p>
    <w:p w14:paraId="77D871DD">
      <w:pPr>
        <w:textAlignment w:val="baseline"/>
        <w:rPr>
          <w:rFonts w:ascii="仿宋" w:hAnsi="仿宋" w:eastAsia="仿宋" w:cs="仿宋"/>
          <w:sz w:val="24"/>
        </w:rPr>
      </w:pPr>
      <w:bookmarkStart w:id="264" w:name="_Ref467306244"/>
      <w:r>
        <w:rPr>
          <w:rFonts w:hint="eastAsia" w:ascii="仿宋" w:hAnsi="仿宋" w:eastAsia="仿宋" w:cs="仿宋"/>
          <w:sz w:val="24"/>
        </w:rPr>
        <w:t>10.2</w:t>
      </w:r>
      <w:r>
        <w:rPr>
          <w:rFonts w:hint="eastAsia" w:ascii="仿宋" w:hAnsi="仿宋" w:eastAsia="仿宋" w:cs="仿宋"/>
          <w:sz w:val="24"/>
        </w:rPr>
        <w:tab/>
      </w:r>
      <w:r>
        <w:rPr>
          <w:rFonts w:hint="eastAsia" w:ascii="仿宋" w:hAnsi="仿宋" w:eastAsia="仿宋" w:cs="仿宋"/>
          <w:sz w:val="24"/>
        </w:rPr>
        <w:t>上款所述的证明文件，可以是文字资料、图纸和数据</w:t>
      </w:r>
      <w:bookmarkEnd w:id="264"/>
      <w:r>
        <w:rPr>
          <w:rFonts w:hint="eastAsia" w:ascii="仿宋" w:hAnsi="仿宋" w:eastAsia="仿宋" w:cs="仿宋"/>
          <w:sz w:val="24"/>
        </w:rPr>
        <w:t>。</w:t>
      </w:r>
    </w:p>
    <w:p w14:paraId="40D09C51">
      <w:pPr>
        <w:textAlignment w:val="baseline"/>
        <w:rPr>
          <w:rFonts w:ascii="仿宋" w:hAnsi="仿宋" w:eastAsia="仿宋" w:cs="仿宋"/>
          <w:sz w:val="24"/>
        </w:rPr>
      </w:pPr>
      <w:r>
        <w:rPr>
          <w:rFonts w:hint="eastAsia" w:ascii="仿宋" w:hAnsi="仿宋" w:eastAsia="仿宋" w:cs="仿宋"/>
          <w:sz w:val="24"/>
        </w:rPr>
        <w:t>10.2.1</w:t>
      </w:r>
      <w:r>
        <w:rPr>
          <w:rFonts w:hint="eastAsia" w:ascii="仿宋" w:hAnsi="仿宋" w:eastAsia="仿宋" w:cs="仿宋"/>
          <w:sz w:val="24"/>
        </w:rPr>
        <w:tab/>
      </w:r>
      <w:r>
        <w:rPr>
          <w:rFonts w:hint="eastAsia" w:ascii="仿宋" w:hAnsi="仿宋" w:eastAsia="仿宋" w:cs="仿宋"/>
          <w:sz w:val="24"/>
        </w:rPr>
        <w:t>货物主要技术指标和性能的详细说明；</w:t>
      </w:r>
    </w:p>
    <w:p w14:paraId="202A9453">
      <w:pPr>
        <w:textAlignment w:val="baseline"/>
        <w:rPr>
          <w:rFonts w:ascii="仿宋" w:hAnsi="仿宋" w:eastAsia="仿宋" w:cs="仿宋"/>
          <w:sz w:val="24"/>
        </w:rPr>
      </w:pPr>
      <w:r>
        <w:rPr>
          <w:rFonts w:hint="eastAsia" w:ascii="仿宋" w:hAnsi="仿宋" w:eastAsia="仿宋" w:cs="仿宋"/>
          <w:sz w:val="24"/>
        </w:rPr>
        <w:t>10.2.2</w:t>
      </w:r>
      <w:r>
        <w:rPr>
          <w:rFonts w:hint="eastAsia" w:ascii="仿宋" w:hAnsi="仿宋" w:eastAsia="仿宋" w:cs="仿宋"/>
          <w:sz w:val="24"/>
        </w:rPr>
        <w:tab/>
      </w:r>
      <w:r>
        <w:rPr>
          <w:rFonts w:hint="eastAsia" w:ascii="仿宋" w:hAnsi="仿宋" w:eastAsia="仿宋" w:cs="仿宋"/>
          <w:sz w:val="24"/>
        </w:rPr>
        <w:t>货物从买方开始使用至招标文件规定的保质期内正常、连续地使用所必须的备件和专用工具清单，包括备件和专用工具的货源及现行价格；</w:t>
      </w:r>
    </w:p>
    <w:p w14:paraId="3A41C675">
      <w:pPr>
        <w:textAlignment w:val="baseline"/>
        <w:rPr>
          <w:rFonts w:ascii="仿宋" w:hAnsi="仿宋" w:eastAsia="仿宋" w:cs="仿宋"/>
          <w:sz w:val="24"/>
        </w:rPr>
      </w:pPr>
      <w:r>
        <w:rPr>
          <w:rFonts w:hint="eastAsia" w:ascii="仿宋" w:hAnsi="仿宋" w:eastAsia="仿宋" w:cs="仿宋"/>
          <w:sz w:val="24"/>
        </w:rPr>
        <w:t>10.2.3</w:t>
      </w:r>
      <w:r>
        <w:rPr>
          <w:rFonts w:hint="eastAsia" w:ascii="仿宋" w:hAnsi="仿宋" w:eastAsia="仿宋" w:cs="仿宋"/>
          <w:sz w:val="24"/>
        </w:rPr>
        <w:tab/>
      </w:r>
      <w:r>
        <w:rPr>
          <w:rFonts w:hint="eastAsia" w:ascii="仿宋" w:hAnsi="仿宋" w:eastAsia="仿宋" w:cs="仿宋"/>
          <w:sz w:val="24"/>
        </w:rPr>
        <w:t>对照招标文件技术规格，逐条说明所提供货物及伴随的工程和服务已对招标文件的技术规格做出了实质性的响应，或申明与技术规格条文的偏差和例外。</w:t>
      </w:r>
    </w:p>
    <w:p w14:paraId="70407D6F">
      <w:pPr>
        <w:textAlignment w:val="baseline"/>
        <w:rPr>
          <w:rFonts w:ascii="仿宋" w:hAnsi="仿宋" w:eastAsia="仿宋" w:cs="仿宋"/>
          <w:sz w:val="24"/>
        </w:rPr>
      </w:pPr>
      <w:r>
        <w:rPr>
          <w:rFonts w:hint="eastAsia" w:ascii="仿宋" w:hAnsi="仿宋" w:eastAsia="仿宋" w:cs="仿宋"/>
          <w:sz w:val="24"/>
        </w:rPr>
        <w:t>10.3</w:t>
      </w:r>
      <w:r>
        <w:rPr>
          <w:rFonts w:hint="eastAsia" w:ascii="仿宋" w:hAnsi="仿宋" w:eastAsia="仿宋" w:cs="仿宋"/>
          <w:sz w:val="24"/>
        </w:rPr>
        <w:tab/>
      </w:r>
      <w:r>
        <w:rPr>
          <w:rFonts w:hint="eastAsia" w:ascii="仿宋" w:hAnsi="仿宋" w:eastAsia="仿宋" w:cs="仿宋"/>
          <w:sz w:val="24"/>
        </w:rPr>
        <w:t>投标人应注意采购人在技术规格中指出的工艺、材料和设备的参照品牌型号或分类号仅起说明作用，并没有任何限制性。投标人在投标中可以选用替代牌号或分类号，但这些替代要实质上相当于技术规格的要求。采购人、采购代理机构承诺不以上述参照品牌型号或分类号作为评标时判定其投标是否有效的标准。</w:t>
      </w:r>
    </w:p>
    <w:p w14:paraId="0D915F59">
      <w:pPr>
        <w:pStyle w:val="5"/>
        <w:spacing w:before="0" w:after="0"/>
        <w:textAlignment w:val="baseline"/>
        <w:rPr>
          <w:rFonts w:ascii="仿宋" w:hAnsi="仿宋" w:eastAsia="仿宋" w:cs="仿宋"/>
        </w:rPr>
      </w:pPr>
      <w:bookmarkStart w:id="265" w:name="_Toc6623"/>
      <w:bookmarkStart w:id="266" w:name="_Toc520356155"/>
      <w:bookmarkStart w:id="267" w:name="_Toc2248"/>
      <w:bookmarkStart w:id="268" w:name="_Toc21898"/>
      <w:bookmarkStart w:id="269" w:name="_Toc19624"/>
      <w:bookmarkStart w:id="270" w:name="_Toc25539"/>
      <w:bookmarkStart w:id="271" w:name="_Toc28319"/>
      <w:bookmarkStart w:id="272" w:name="_Toc13077"/>
      <w:bookmarkStart w:id="273" w:name="_Toc515647770"/>
      <w:bookmarkStart w:id="274" w:name="_Toc12590"/>
      <w:bookmarkStart w:id="275" w:name="_Toc1082"/>
      <w:bookmarkStart w:id="276" w:name="_Toc23231"/>
      <w:bookmarkStart w:id="277" w:name="_Toc14959"/>
      <w:bookmarkStart w:id="278" w:name="_Toc9907"/>
      <w:bookmarkStart w:id="279" w:name="_Toc24594"/>
      <w:bookmarkStart w:id="280" w:name="_Toc1965"/>
      <w:bookmarkStart w:id="281" w:name="_Toc2418"/>
      <w:bookmarkStart w:id="282" w:name="_Toc21624"/>
      <w:r>
        <w:rPr>
          <w:rFonts w:hint="eastAsia" w:ascii="仿宋" w:hAnsi="仿宋" w:eastAsia="仿宋" w:cs="仿宋"/>
        </w:rPr>
        <w:t>11.投标报价</w:t>
      </w:r>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p>
    <w:p w14:paraId="34F80CE1">
      <w:pPr>
        <w:textAlignment w:val="baseline"/>
        <w:rPr>
          <w:rFonts w:ascii="仿宋" w:hAnsi="仿宋" w:eastAsia="仿宋" w:cs="仿宋"/>
          <w:sz w:val="24"/>
        </w:rPr>
      </w:pPr>
      <w:r>
        <w:rPr>
          <w:rFonts w:hint="eastAsia" w:ascii="仿宋" w:hAnsi="仿宋" w:eastAsia="仿宋" w:cs="仿宋"/>
          <w:sz w:val="24"/>
        </w:rPr>
        <w:t>11.1</w:t>
      </w:r>
      <w:r>
        <w:rPr>
          <w:rFonts w:hint="eastAsia" w:ascii="仿宋" w:hAnsi="仿宋" w:eastAsia="仿宋" w:cs="仿宋"/>
          <w:sz w:val="24"/>
        </w:rPr>
        <w:tab/>
      </w:r>
      <w:r>
        <w:rPr>
          <w:rFonts w:hint="eastAsia" w:ascii="仿宋" w:hAnsi="仿宋" w:eastAsia="仿宋" w:cs="仿宋"/>
          <w:sz w:val="24"/>
        </w:rPr>
        <w:t>所有投标均以人民币报价。投标人的投标报价应遵守《中华人民共和国价格法》。同时，根据《中华人民共和国政府采购法》第二条的规定，为保证公平竞争，如有货物主体部分的赠与行为，其投标将被认定为</w:t>
      </w:r>
      <w:r>
        <w:rPr>
          <w:rFonts w:hint="eastAsia" w:ascii="仿宋" w:hAnsi="仿宋" w:eastAsia="仿宋" w:cs="仿宋"/>
          <w:b/>
          <w:bCs/>
          <w:sz w:val="24"/>
        </w:rPr>
        <w:t>投标无效</w:t>
      </w:r>
      <w:r>
        <w:rPr>
          <w:rFonts w:hint="eastAsia" w:ascii="仿宋" w:hAnsi="仿宋" w:eastAsia="仿宋" w:cs="仿宋"/>
          <w:sz w:val="24"/>
        </w:rPr>
        <w:t>。</w:t>
      </w:r>
    </w:p>
    <w:p w14:paraId="3BDDEBFC">
      <w:pPr>
        <w:textAlignment w:val="baseline"/>
        <w:rPr>
          <w:rFonts w:ascii="仿宋" w:hAnsi="仿宋" w:eastAsia="仿宋" w:cs="仿宋"/>
          <w:sz w:val="24"/>
        </w:rPr>
      </w:pPr>
      <w:r>
        <w:rPr>
          <w:rFonts w:hint="eastAsia" w:ascii="仿宋" w:hAnsi="仿宋" w:eastAsia="仿宋" w:cs="仿宋"/>
          <w:sz w:val="24"/>
        </w:rPr>
        <w:t>11.2</w:t>
      </w:r>
      <w:r>
        <w:rPr>
          <w:rFonts w:hint="eastAsia" w:ascii="仿宋" w:hAnsi="仿宋" w:eastAsia="仿宋" w:cs="仿宋"/>
          <w:sz w:val="24"/>
        </w:rPr>
        <w:tab/>
      </w:r>
      <w:r>
        <w:rPr>
          <w:rFonts w:hint="eastAsia" w:ascii="仿宋" w:hAnsi="仿宋" w:eastAsia="仿宋" w:cs="仿宋"/>
          <w:sz w:val="24"/>
        </w:rPr>
        <w:t>投标人应在投标分项报价表上标明投标货物及相关服务的单价（如适用）和总价，并由法定代表人或其授权代表签署。</w:t>
      </w:r>
    </w:p>
    <w:p w14:paraId="27657FB3">
      <w:pPr>
        <w:textAlignment w:val="baseline"/>
        <w:rPr>
          <w:rFonts w:ascii="仿宋" w:hAnsi="仿宋" w:eastAsia="仿宋" w:cs="仿宋"/>
          <w:sz w:val="24"/>
        </w:rPr>
      </w:pPr>
      <w:r>
        <w:rPr>
          <w:rFonts w:hint="eastAsia" w:ascii="仿宋" w:hAnsi="仿宋" w:eastAsia="仿宋" w:cs="仿宋"/>
          <w:sz w:val="24"/>
        </w:rPr>
        <w:t>11.3</w:t>
      </w:r>
      <w:r>
        <w:rPr>
          <w:rFonts w:hint="eastAsia" w:ascii="仿宋" w:hAnsi="仿宋" w:eastAsia="仿宋" w:cs="仿宋"/>
          <w:sz w:val="24"/>
        </w:rPr>
        <w:tab/>
      </w:r>
      <w:r>
        <w:rPr>
          <w:rFonts w:hint="eastAsia" w:ascii="仿宋" w:hAnsi="仿宋" w:eastAsia="仿宋" w:cs="仿宋"/>
          <w:sz w:val="24"/>
        </w:rPr>
        <w:t>投标人所报的各分项投标单价在合同履行过程中是固定不变的，不得以任何理由予以变更。任何包含价格调整要求的投标，其投标将被认定为</w:t>
      </w:r>
      <w:r>
        <w:rPr>
          <w:rFonts w:hint="eastAsia" w:ascii="仿宋" w:hAnsi="仿宋" w:eastAsia="仿宋" w:cs="仿宋"/>
          <w:b/>
          <w:bCs/>
          <w:sz w:val="24"/>
        </w:rPr>
        <w:t>投标无效</w:t>
      </w:r>
      <w:r>
        <w:rPr>
          <w:rFonts w:hint="eastAsia" w:ascii="仿宋" w:hAnsi="仿宋" w:eastAsia="仿宋" w:cs="仿宋"/>
          <w:sz w:val="24"/>
        </w:rPr>
        <w:t>。</w:t>
      </w:r>
    </w:p>
    <w:p w14:paraId="29775598">
      <w:pPr>
        <w:textAlignment w:val="baseline"/>
        <w:rPr>
          <w:rFonts w:ascii="仿宋" w:hAnsi="仿宋" w:eastAsia="仿宋" w:cs="仿宋"/>
          <w:sz w:val="24"/>
        </w:rPr>
      </w:pPr>
      <w:r>
        <w:rPr>
          <w:rFonts w:hint="eastAsia" w:ascii="仿宋" w:hAnsi="仿宋" w:eastAsia="仿宋" w:cs="仿宋"/>
          <w:sz w:val="24"/>
        </w:rPr>
        <w:t>11.4</w:t>
      </w:r>
      <w:r>
        <w:rPr>
          <w:rFonts w:hint="eastAsia" w:ascii="仿宋" w:hAnsi="仿宋" w:eastAsia="仿宋" w:cs="仿宋"/>
          <w:sz w:val="24"/>
        </w:rPr>
        <w:tab/>
      </w:r>
      <w:r>
        <w:rPr>
          <w:rFonts w:hint="eastAsia" w:ascii="仿宋" w:hAnsi="仿宋" w:eastAsia="仿宋" w:cs="仿宋"/>
          <w:sz w:val="24"/>
        </w:rPr>
        <w:t>每种货物只能有一个投标报价。采购人不接受具有附加条件的报价。</w:t>
      </w:r>
    </w:p>
    <w:p w14:paraId="7D47E041">
      <w:pPr>
        <w:pStyle w:val="5"/>
        <w:spacing w:before="0" w:after="0"/>
        <w:textAlignment w:val="baseline"/>
        <w:rPr>
          <w:rFonts w:ascii="仿宋" w:hAnsi="仿宋" w:eastAsia="仿宋" w:cs="仿宋"/>
        </w:rPr>
      </w:pPr>
      <w:bookmarkStart w:id="283" w:name="_Toc1823"/>
      <w:bookmarkStart w:id="284" w:name="_Toc8651"/>
      <w:bookmarkStart w:id="285" w:name="_Ref467306513"/>
      <w:bookmarkStart w:id="286" w:name="_Toc31739"/>
      <w:bookmarkStart w:id="287" w:name="_Toc2961"/>
      <w:bookmarkStart w:id="288" w:name="_Toc29572"/>
      <w:bookmarkStart w:id="289" w:name="_Toc2856"/>
      <w:bookmarkStart w:id="290" w:name="_Toc27024"/>
      <w:bookmarkStart w:id="291" w:name="_Toc17357"/>
      <w:bookmarkStart w:id="292" w:name="_Toc13084"/>
      <w:bookmarkStart w:id="293" w:name="_Toc22212"/>
      <w:bookmarkStart w:id="294" w:name="_Toc19688"/>
      <w:bookmarkStart w:id="295" w:name="_Toc520356156"/>
      <w:bookmarkStart w:id="296" w:name="_Toc17788"/>
      <w:bookmarkStart w:id="297" w:name="_Toc17296"/>
      <w:bookmarkStart w:id="298" w:name="_Toc11514"/>
      <w:bookmarkStart w:id="299" w:name="_Toc17068"/>
      <w:bookmarkStart w:id="300" w:name="_Toc16123"/>
      <w:bookmarkStart w:id="301" w:name="_Toc515647771"/>
      <w:r>
        <w:rPr>
          <w:rFonts w:hint="eastAsia" w:ascii="仿宋" w:hAnsi="仿宋" w:eastAsia="仿宋" w:cs="仿宋"/>
        </w:rPr>
        <w:t>12.投标保证金</w:t>
      </w:r>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p>
    <w:p w14:paraId="0A964137">
      <w:pPr>
        <w:textAlignment w:val="baseline"/>
        <w:rPr>
          <w:rFonts w:ascii="仿宋" w:hAnsi="仿宋" w:eastAsia="仿宋" w:cs="仿宋"/>
          <w:sz w:val="24"/>
        </w:rPr>
      </w:pPr>
      <w:bookmarkStart w:id="302" w:name="_Ref467306302"/>
      <w:r>
        <w:rPr>
          <w:rFonts w:hint="eastAsia" w:ascii="仿宋" w:hAnsi="仿宋" w:eastAsia="仿宋" w:cs="仿宋"/>
          <w:sz w:val="24"/>
        </w:rPr>
        <w:t>12.1</w:t>
      </w:r>
      <w:r>
        <w:rPr>
          <w:rFonts w:hint="eastAsia" w:ascii="仿宋" w:hAnsi="仿宋" w:eastAsia="仿宋" w:cs="仿宋"/>
          <w:sz w:val="24"/>
        </w:rPr>
        <w:tab/>
      </w:r>
      <w:r>
        <w:rPr>
          <w:rFonts w:hint="eastAsia" w:ascii="仿宋" w:hAnsi="仿宋" w:eastAsia="仿宋" w:cs="仿宋"/>
          <w:sz w:val="24"/>
        </w:rPr>
        <w:t>投标人应提交</w:t>
      </w:r>
      <w:r>
        <w:rPr>
          <w:rFonts w:hint="eastAsia" w:ascii="仿宋" w:hAnsi="仿宋" w:eastAsia="仿宋" w:cs="仿宋"/>
          <w:sz w:val="24"/>
          <w:u w:val="single" w:color="000000"/>
        </w:rPr>
        <w:t>投标人须知资料表</w:t>
      </w:r>
      <w:r>
        <w:rPr>
          <w:rFonts w:hint="eastAsia" w:ascii="仿宋" w:hAnsi="仿宋" w:eastAsia="仿宋" w:cs="仿宋"/>
          <w:sz w:val="24"/>
        </w:rPr>
        <w:t>中规定的投标保证金</w:t>
      </w:r>
      <w:bookmarkEnd w:id="302"/>
      <w:r>
        <w:rPr>
          <w:rFonts w:hint="eastAsia" w:ascii="仿宋" w:hAnsi="仿宋" w:eastAsia="仿宋" w:cs="仿宋"/>
          <w:sz w:val="24"/>
        </w:rPr>
        <w:t>，并作为其投标的一部分。</w:t>
      </w:r>
    </w:p>
    <w:p w14:paraId="5F000FD3">
      <w:pPr>
        <w:textAlignment w:val="baseline"/>
        <w:rPr>
          <w:rFonts w:ascii="仿宋" w:hAnsi="仿宋" w:eastAsia="仿宋" w:cs="仿宋"/>
          <w:sz w:val="24"/>
        </w:rPr>
      </w:pPr>
      <w:r>
        <w:rPr>
          <w:rFonts w:hint="eastAsia" w:ascii="仿宋" w:hAnsi="仿宋" w:eastAsia="仿宋" w:cs="仿宋"/>
          <w:sz w:val="24"/>
        </w:rPr>
        <w:t>12.2</w:t>
      </w:r>
      <w:r>
        <w:rPr>
          <w:rFonts w:hint="eastAsia" w:ascii="仿宋" w:hAnsi="仿宋" w:eastAsia="仿宋" w:cs="仿宋"/>
          <w:sz w:val="24"/>
        </w:rPr>
        <w:tab/>
      </w:r>
      <w:r>
        <w:rPr>
          <w:rFonts w:hint="eastAsia" w:ascii="仿宋" w:hAnsi="仿宋" w:eastAsia="仿宋" w:cs="仿宋"/>
          <w:sz w:val="24"/>
        </w:rPr>
        <w:t>投标人存在下列情形的，投标保证金不予退还：</w:t>
      </w:r>
    </w:p>
    <w:p w14:paraId="54E75CBC">
      <w:pPr>
        <w:pStyle w:val="16"/>
        <w:tabs>
          <w:tab w:val="left" w:pos="2240"/>
        </w:tabs>
        <w:textAlignment w:val="baseline"/>
        <w:rPr>
          <w:rFonts w:ascii="仿宋" w:hAnsi="仿宋" w:eastAsia="仿宋" w:cs="仿宋"/>
          <w:sz w:val="24"/>
        </w:rPr>
      </w:pPr>
      <w:r>
        <w:rPr>
          <w:rFonts w:hint="eastAsia" w:ascii="仿宋" w:hAnsi="仿宋" w:eastAsia="仿宋" w:cs="仿宋"/>
          <w:sz w:val="24"/>
        </w:rPr>
        <w:t>（1）在投标有效期内，撤销投标的；</w:t>
      </w:r>
    </w:p>
    <w:p w14:paraId="38AD6073">
      <w:pPr>
        <w:pStyle w:val="16"/>
        <w:tabs>
          <w:tab w:val="left" w:pos="2240"/>
        </w:tabs>
        <w:textAlignment w:val="baseline"/>
        <w:rPr>
          <w:rFonts w:ascii="仿宋" w:hAnsi="仿宋" w:eastAsia="仿宋" w:cs="仿宋"/>
          <w:sz w:val="24"/>
        </w:rPr>
      </w:pPr>
      <w:r>
        <w:rPr>
          <w:rFonts w:hint="eastAsia" w:ascii="仿宋" w:hAnsi="仿宋" w:eastAsia="仿宋" w:cs="仿宋"/>
          <w:sz w:val="24"/>
        </w:rPr>
        <w:t>（2）中标后不按本须知第30条的规定与采购人签订合同的；</w:t>
      </w:r>
    </w:p>
    <w:p w14:paraId="1E525280">
      <w:pPr>
        <w:pStyle w:val="16"/>
        <w:tabs>
          <w:tab w:val="left" w:pos="2240"/>
        </w:tabs>
        <w:textAlignment w:val="baseline"/>
        <w:rPr>
          <w:rFonts w:ascii="仿宋" w:hAnsi="仿宋" w:eastAsia="仿宋" w:cs="仿宋"/>
          <w:sz w:val="24"/>
        </w:rPr>
      </w:pPr>
      <w:r>
        <w:rPr>
          <w:rFonts w:hint="eastAsia" w:ascii="仿宋" w:hAnsi="仿宋" w:eastAsia="仿宋" w:cs="仿宋"/>
          <w:sz w:val="24"/>
        </w:rPr>
        <w:t>（3）中标后不按本须知第31条的规定提交履约保证金的；</w:t>
      </w:r>
    </w:p>
    <w:p w14:paraId="1CB43663">
      <w:pPr>
        <w:pStyle w:val="16"/>
        <w:tabs>
          <w:tab w:val="left" w:pos="2240"/>
        </w:tabs>
        <w:textAlignment w:val="baseline"/>
        <w:rPr>
          <w:rFonts w:ascii="仿宋" w:hAnsi="仿宋" w:eastAsia="仿宋" w:cs="仿宋"/>
          <w:sz w:val="24"/>
        </w:rPr>
      </w:pPr>
      <w:r>
        <w:rPr>
          <w:rFonts w:hint="eastAsia" w:ascii="仿宋" w:hAnsi="仿宋" w:eastAsia="仿宋" w:cs="仿宋"/>
          <w:sz w:val="24"/>
        </w:rPr>
        <w:t>（4）中标后不按本须知第32条的规定缴纳中标服务费的；</w:t>
      </w:r>
    </w:p>
    <w:p w14:paraId="6AE48FDB">
      <w:pPr>
        <w:pStyle w:val="16"/>
        <w:tabs>
          <w:tab w:val="left" w:pos="2240"/>
        </w:tabs>
        <w:textAlignment w:val="baseline"/>
        <w:rPr>
          <w:rFonts w:ascii="仿宋" w:hAnsi="仿宋" w:eastAsia="仿宋" w:cs="仿宋"/>
          <w:sz w:val="24"/>
        </w:rPr>
      </w:pPr>
      <w:r>
        <w:rPr>
          <w:rFonts w:hint="eastAsia" w:ascii="仿宋" w:hAnsi="仿宋" w:eastAsia="仿宋" w:cs="仿宋"/>
          <w:sz w:val="24"/>
        </w:rPr>
        <w:t>（5）存在其他违法违规行为的。</w:t>
      </w:r>
    </w:p>
    <w:p w14:paraId="71E817C3">
      <w:pPr>
        <w:textAlignment w:val="baseline"/>
        <w:rPr>
          <w:rFonts w:ascii="仿宋" w:hAnsi="仿宋" w:eastAsia="仿宋" w:cs="仿宋"/>
          <w:sz w:val="24"/>
        </w:rPr>
      </w:pPr>
      <w:bookmarkStart w:id="303" w:name="_Ref467306336"/>
      <w:r>
        <w:rPr>
          <w:rFonts w:hint="eastAsia" w:ascii="仿宋" w:hAnsi="仿宋" w:eastAsia="仿宋" w:cs="仿宋"/>
          <w:sz w:val="24"/>
        </w:rPr>
        <w:t>12.3</w:t>
      </w:r>
      <w:r>
        <w:rPr>
          <w:rFonts w:hint="eastAsia" w:ascii="仿宋" w:hAnsi="仿宋" w:eastAsia="仿宋" w:cs="仿宋"/>
          <w:sz w:val="24"/>
        </w:rPr>
        <w:tab/>
      </w:r>
      <w:bookmarkEnd w:id="303"/>
      <w:r>
        <w:rPr>
          <w:rFonts w:hint="eastAsia" w:ascii="仿宋" w:hAnsi="仿宋" w:eastAsia="仿宋" w:cs="仿宋"/>
          <w:sz w:val="24"/>
        </w:rPr>
        <w:t>政府采购信用担保试点范围内的项目，接受符合财政部门规定的政府采购投标担保函原件。</w:t>
      </w:r>
    </w:p>
    <w:p w14:paraId="02837D76">
      <w:pPr>
        <w:textAlignment w:val="baseline"/>
        <w:rPr>
          <w:rFonts w:ascii="仿宋" w:hAnsi="仿宋" w:eastAsia="仿宋" w:cs="仿宋"/>
          <w:sz w:val="24"/>
        </w:rPr>
      </w:pPr>
      <w:r>
        <w:rPr>
          <w:rFonts w:hint="eastAsia" w:ascii="仿宋" w:hAnsi="仿宋" w:eastAsia="仿宋" w:cs="仿宋"/>
          <w:sz w:val="24"/>
        </w:rPr>
        <w:t>12.4</w:t>
      </w:r>
      <w:r>
        <w:rPr>
          <w:rFonts w:hint="eastAsia" w:ascii="仿宋" w:hAnsi="仿宋" w:eastAsia="仿宋" w:cs="仿宋"/>
          <w:sz w:val="24"/>
        </w:rPr>
        <w:tab/>
      </w:r>
      <w:r>
        <w:rPr>
          <w:rFonts w:hint="eastAsia" w:ascii="仿宋" w:hAnsi="仿宋" w:eastAsia="仿宋" w:cs="仿宋"/>
          <w:sz w:val="24"/>
        </w:rPr>
        <w:t>投标人未按本须知规定提交投标保证金的，其投标将被认定为</w:t>
      </w:r>
      <w:r>
        <w:rPr>
          <w:rFonts w:hint="eastAsia" w:ascii="仿宋" w:hAnsi="仿宋" w:eastAsia="仿宋" w:cs="仿宋"/>
          <w:b/>
          <w:bCs/>
          <w:sz w:val="24"/>
        </w:rPr>
        <w:t>投标无效</w:t>
      </w:r>
      <w:r>
        <w:rPr>
          <w:rFonts w:hint="eastAsia" w:ascii="仿宋" w:hAnsi="仿宋" w:eastAsia="仿宋" w:cs="仿宋"/>
          <w:sz w:val="24"/>
        </w:rPr>
        <w:t>。</w:t>
      </w:r>
    </w:p>
    <w:p w14:paraId="2508AE54">
      <w:pPr>
        <w:textAlignment w:val="baseline"/>
        <w:rPr>
          <w:rFonts w:ascii="仿宋" w:hAnsi="仿宋" w:eastAsia="仿宋" w:cs="仿宋"/>
          <w:sz w:val="24"/>
        </w:rPr>
      </w:pPr>
      <w:r>
        <w:rPr>
          <w:rFonts w:hint="eastAsia" w:ascii="仿宋" w:hAnsi="仿宋" w:eastAsia="仿宋" w:cs="仿宋"/>
          <w:sz w:val="24"/>
        </w:rPr>
        <w:t>12.4.1  采用电汇形式的，一般可以实时入账。</w:t>
      </w:r>
    </w:p>
    <w:p w14:paraId="0457C890">
      <w:pPr>
        <w:jc w:val="left"/>
        <w:textAlignment w:val="baseline"/>
        <w:rPr>
          <w:rFonts w:ascii="仿宋" w:hAnsi="仿宋" w:eastAsia="仿宋" w:cs="仿宋"/>
          <w:sz w:val="24"/>
        </w:rPr>
      </w:pPr>
      <w:r>
        <w:rPr>
          <w:rFonts w:hint="eastAsia" w:ascii="仿宋" w:hAnsi="仿宋" w:eastAsia="仿宋" w:cs="仿宋"/>
          <w:sz w:val="24"/>
        </w:rPr>
        <w:t>12.4.2  采用支票形式的，投标人则应充分考虑支票入账时间，以确保投标保证金能按时进入指定账户。根据银行信息交换和付款时间，支票从递交至实际入账一般需要4-5个工作日。如投标人未及时提交支票或支票不符合银行委托收款要求（如污损、折叠、胶装等），导致投标保证金不能按时进入指定账户的，将按照招标文件的相关规定处理。</w:t>
      </w:r>
    </w:p>
    <w:p w14:paraId="0D5BA036">
      <w:pPr>
        <w:textAlignment w:val="baseline"/>
        <w:rPr>
          <w:rFonts w:ascii="仿宋" w:hAnsi="仿宋" w:eastAsia="仿宋" w:cs="仿宋"/>
          <w:sz w:val="24"/>
        </w:rPr>
      </w:pPr>
      <w:r>
        <w:rPr>
          <w:rFonts w:hint="eastAsia" w:ascii="仿宋" w:hAnsi="仿宋" w:eastAsia="仿宋" w:cs="仿宋"/>
          <w:sz w:val="24"/>
        </w:rPr>
        <w:t>12.5   联合体投标的，可以由联合体中的一方或者共同提交投标保证金。以一方名义提交投标保证金的，对联合体各方均具有约束力。</w:t>
      </w:r>
    </w:p>
    <w:p w14:paraId="25B22EB2">
      <w:pPr>
        <w:textAlignment w:val="baseline"/>
        <w:rPr>
          <w:rFonts w:ascii="仿宋" w:hAnsi="仿宋" w:eastAsia="仿宋" w:cs="仿宋"/>
          <w:sz w:val="24"/>
        </w:rPr>
      </w:pPr>
      <w:r>
        <w:rPr>
          <w:rFonts w:hint="eastAsia" w:ascii="仿宋" w:hAnsi="仿宋" w:eastAsia="仿宋" w:cs="仿宋"/>
          <w:sz w:val="24"/>
        </w:rPr>
        <w:t>12.6</w:t>
      </w:r>
      <w:r>
        <w:rPr>
          <w:rFonts w:hint="eastAsia" w:ascii="仿宋" w:hAnsi="仿宋" w:eastAsia="仿宋" w:cs="仿宋"/>
          <w:sz w:val="24"/>
        </w:rPr>
        <w:tab/>
      </w:r>
      <w:r>
        <w:rPr>
          <w:rFonts w:hint="eastAsia" w:ascii="仿宋" w:hAnsi="仿宋" w:eastAsia="仿宋" w:cs="仿宋"/>
          <w:sz w:val="24"/>
        </w:rPr>
        <w:t>投标保证金的退还</w:t>
      </w:r>
    </w:p>
    <w:p w14:paraId="1580FC54">
      <w:pPr>
        <w:textAlignment w:val="baseline"/>
        <w:rPr>
          <w:rFonts w:ascii="仿宋" w:hAnsi="仿宋" w:eastAsia="仿宋" w:cs="仿宋"/>
          <w:sz w:val="24"/>
        </w:rPr>
      </w:pPr>
      <w:r>
        <w:rPr>
          <w:rFonts w:hint="eastAsia" w:ascii="仿宋" w:hAnsi="仿宋" w:eastAsia="仿宋" w:cs="仿宋"/>
          <w:sz w:val="24"/>
        </w:rPr>
        <w:t>12.6.1  中标人应在与采购人签订合同之日起5个工作日内，及时联系保证金收受机构办理投标保证金无息退还手续。</w:t>
      </w:r>
    </w:p>
    <w:p w14:paraId="1C64B6A9">
      <w:pPr>
        <w:textAlignment w:val="baseline"/>
        <w:rPr>
          <w:rFonts w:ascii="仿宋" w:hAnsi="仿宋" w:eastAsia="仿宋" w:cs="仿宋"/>
          <w:sz w:val="24"/>
        </w:rPr>
      </w:pPr>
      <w:r>
        <w:rPr>
          <w:rFonts w:hint="eastAsia" w:ascii="仿宋" w:hAnsi="仿宋" w:eastAsia="仿宋" w:cs="仿宋"/>
          <w:sz w:val="24"/>
        </w:rPr>
        <w:t>12.6.2  未中标投标人的投标保证金将在中标通知书发出之日暨中标结果公告公布之日起5个工作日内无息退还。投标人应及时联系保证金收受机构办理退还投标保证金手续。</w:t>
      </w:r>
    </w:p>
    <w:p w14:paraId="3D746DEC">
      <w:pPr>
        <w:textAlignment w:val="baseline"/>
        <w:rPr>
          <w:rFonts w:ascii="仿宋" w:hAnsi="仿宋" w:eastAsia="仿宋" w:cs="仿宋"/>
          <w:sz w:val="24"/>
        </w:rPr>
      </w:pPr>
      <w:r>
        <w:rPr>
          <w:rFonts w:hint="eastAsia" w:ascii="仿宋" w:hAnsi="仿宋" w:eastAsia="仿宋" w:cs="仿宋"/>
          <w:sz w:val="24"/>
        </w:rPr>
        <w:t>12.6.3  政府采购投标担保函不予退回。</w:t>
      </w:r>
    </w:p>
    <w:p w14:paraId="0F1211CC">
      <w:pPr>
        <w:jc w:val="left"/>
        <w:textAlignment w:val="baseline"/>
        <w:rPr>
          <w:rFonts w:ascii="仿宋" w:hAnsi="仿宋" w:eastAsia="仿宋" w:cs="仿宋"/>
          <w:sz w:val="24"/>
        </w:rPr>
      </w:pPr>
      <w:r>
        <w:rPr>
          <w:rFonts w:hint="eastAsia" w:ascii="仿宋" w:hAnsi="仿宋" w:eastAsia="仿宋" w:cs="仿宋"/>
          <w:sz w:val="24"/>
        </w:rPr>
        <w:t>12.7    因投标人自身原因导致无法及时退还的，采购人或采购代理机构将不承担相应责任。</w:t>
      </w:r>
    </w:p>
    <w:p w14:paraId="290B4FDB">
      <w:pPr>
        <w:pStyle w:val="5"/>
        <w:spacing w:before="0" w:after="0"/>
        <w:textAlignment w:val="baseline"/>
        <w:rPr>
          <w:rFonts w:ascii="仿宋" w:hAnsi="仿宋" w:eastAsia="仿宋" w:cs="仿宋"/>
        </w:rPr>
      </w:pPr>
      <w:bookmarkStart w:id="304" w:name="_Toc2130"/>
      <w:bookmarkStart w:id="305" w:name="_Toc520356157"/>
      <w:bookmarkStart w:id="306" w:name="_Toc20684"/>
      <w:bookmarkStart w:id="307" w:name="_Toc14721"/>
      <w:bookmarkStart w:id="308" w:name="_Toc27579"/>
      <w:bookmarkStart w:id="309" w:name="_Toc23117"/>
      <w:bookmarkStart w:id="310" w:name="_Toc9445"/>
      <w:bookmarkStart w:id="311" w:name="_Toc30629"/>
      <w:bookmarkStart w:id="312" w:name="_Toc26844"/>
      <w:bookmarkStart w:id="313" w:name="_Toc32569"/>
      <w:bookmarkStart w:id="314" w:name="_Toc23590"/>
      <w:bookmarkStart w:id="315" w:name="_Toc17879"/>
      <w:bookmarkStart w:id="316" w:name="_Toc15117"/>
      <w:bookmarkStart w:id="317" w:name="_Toc515647772"/>
      <w:bookmarkStart w:id="318" w:name="_Toc22901"/>
      <w:bookmarkStart w:id="319" w:name="_Toc19849"/>
      <w:bookmarkStart w:id="320" w:name="_Toc32236"/>
      <w:bookmarkStart w:id="321" w:name="_Toc15069"/>
      <w:r>
        <w:rPr>
          <w:rFonts w:hint="eastAsia" w:ascii="仿宋" w:hAnsi="仿宋" w:eastAsia="仿宋" w:cs="仿宋"/>
        </w:rPr>
        <w:t>13.投标有效期</w:t>
      </w:r>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p>
    <w:p w14:paraId="60FFAAF3">
      <w:pPr>
        <w:textAlignment w:val="baseline"/>
        <w:rPr>
          <w:rFonts w:ascii="仿宋" w:hAnsi="仿宋" w:eastAsia="仿宋" w:cs="仿宋"/>
          <w:sz w:val="24"/>
        </w:rPr>
      </w:pPr>
      <w:r>
        <w:rPr>
          <w:rFonts w:hint="eastAsia" w:ascii="仿宋" w:hAnsi="仿宋" w:eastAsia="仿宋" w:cs="仿宋"/>
          <w:sz w:val="24"/>
        </w:rPr>
        <w:t>13.1</w:t>
      </w:r>
      <w:r>
        <w:rPr>
          <w:rFonts w:hint="eastAsia" w:ascii="仿宋" w:hAnsi="仿宋" w:eastAsia="仿宋" w:cs="仿宋"/>
          <w:sz w:val="24"/>
        </w:rPr>
        <w:tab/>
      </w:r>
      <w:r>
        <w:rPr>
          <w:rFonts w:hint="eastAsia" w:ascii="仿宋" w:hAnsi="仿宋" w:eastAsia="仿宋" w:cs="仿宋"/>
          <w:sz w:val="24"/>
        </w:rPr>
        <w:t>投标应在</w:t>
      </w:r>
      <w:r>
        <w:rPr>
          <w:rFonts w:hint="eastAsia" w:ascii="仿宋" w:hAnsi="仿宋" w:eastAsia="仿宋" w:cs="仿宋"/>
          <w:sz w:val="24"/>
          <w:u w:val="single" w:color="000000"/>
        </w:rPr>
        <w:t>投标人须知资料表</w:t>
      </w:r>
      <w:r>
        <w:rPr>
          <w:rFonts w:hint="eastAsia" w:ascii="仿宋" w:hAnsi="仿宋" w:eastAsia="仿宋" w:cs="仿宋"/>
          <w:sz w:val="24"/>
        </w:rPr>
        <w:t>中规定时间内保持有效。投标有效期不满足要求的投标，其投标将被认定为</w:t>
      </w:r>
      <w:r>
        <w:rPr>
          <w:rFonts w:hint="eastAsia" w:ascii="仿宋" w:hAnsi="仿宋" w:eastAsia="仿宋" w:cs="仿宋"/>
          <w:b/>
          <w:bCs/>
          <w:sz w:val="24"/>
        </w:rPr>
        <w:t>投标无效</w:t>
      </w:r>
      <w:r>
        <w:rPr>
          <w:rFonts w:hint="eastAsia" w:ascii="仿宋" w:hAnsi="仿宋" w:eastAsia="仿宋" w:cs="仿宋"/>
          <w:sz w:val="24"/>
        </w:rPr>
        <w:t>。</w:t>
      </w:r>
    </w:p>
    <w:p w14:paraId="7935FD1F">
      <w:pPr>
        <w:textAlignment w:val="baseline"/>
        <w:rPr>
          <w:rFonts w:ascii="仿宋" w:hAnsi="仿宋" w:eastAsia="仿宋" w:cs="仿宋"/>
          <w:sz w:val="24"/>
        </w:rPr>
      </w:pPr>
      <w:r>
        <w:rPr>
          <w:rFonts w:hint="eastAsia" w:ascii="仿宋" w:hAnsi="仿宋" w:eastAsia="仿宋" w:cs="仿宋"/>
          <w:sz w:val="24"/>
        </w:rPr>
        <w:t>13.2</w:t>
      </w:r>
      <w:r>
        <w:rPr>
          <w:rFonts w:hint="eastAsia" w:ascii="仿宋" w:hAnsi="仿宋" w:eastAsia="仿宋" w:cs="仿宋"/>
          <w:sz w:val="24"/>
        </w:rPr>
        <w:tab/>
      </w:r>
      <w:r>
        <w:rPr>
          <w:rFonts w:hint="eastAsia" w:ascii="仿宋" w:hAnsi="仿宋" w:eastAsia="仿宋" w:cs="仿宋"/>
          <w:sz w:val="24"/>
        </w:rPr>
        <w:t>为保证有充分时间签订合同，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可以拒绝延长投标有效期的要求，其投标保证金将及时无息退还。上述要求和答复都应以书面形式提交。</w:t>
      </w:r>
    </w:p>
    <w:p w14:paraId="2955EE7E">
      <w:pPr>
        <w:pStyle w:val="5"/>
        <w:spacing w:before="0" w:after="0"/>
        <w:textAlignment w:val="baseline"/>
        <w:rPr>
          <w:rFonts w:ascii="仿宋" w:hAnsi="仿宋" w:eastAsia="仿宋" w:cs="仿宋"/>
        </w:rPr>
      </w:pPr>
      <w:bookmarkStart w:id="322" w:name="_Toc28127"/>
      <w:bookmarkStart w:id="323" w:name="_Toc23542"/>
      <w:bookmarkStart w:id="324" w:name="_Toc22416"/>
      <w:bookmarkStart w:id="325" w:name="_Toc9509"/>
      <w:bookmarkStart w:id="326" w:name="_Toc22560"/>
      <w:bookmarkStart w:id="327" w:name="_Toc216582808"/>
      <w:bookmarkStart w:id="328" w:name="_Toc16865"/>
      <w:bookmarkStart w:id="329" w:name="_Toc25925"/>
      <w:bookmarkStart w:id="330" w:name="_Toc31447"/>
      <w:bookmarkStart w:id="331" w:name="_Toc11483"/>
      <w:bookmarkStart w:id="332" w:name="_Toc25200"/>
      <w:bookmarkStart w:id="333" w:name="_Toc11179"/>
      <w:bookmarkStart w:id="334" w:name="_Toc5332"/>
      <w:bookmarkStart w:id="335" w:name="_Toc520356159"/>
      <w:bookmarkStart w:id="336" w:name="_Toc25700"/>
      <w:bookmarkStart w:id="337" w:name="_Toc22843"/>
      <w:bookmarkStart w:id="338" w:name="_Toc515647774"/>
      <w:bookmarkStart w:id="339" w:name="_Toc27533"/>
      <w:bookmarkStart w:id="340" w:name="_Toc7920"/>
      <w:r>
        <w:rPr>
          <w:rFonts w:hint="eastAsia" w:ascii="仿宋" w:hAnsi="仿宋" w:eastAsia="仿宋" w:cs="仿宋"/>
        </w:rPr>
        <w:t>14.投标文件的签署及规定</w:t>
      </w:r>
      <w:bookmarkEnd w:id="322"/>
      <w:bookmarkEnd w:id="323"/>
      <w:bookmarkEnd w:id="324"/>
    </w:p>
    <w:p w14:paraId="71A86BEC">
      <w:pPr>
        <w:textAlignment w:val="baseline"/>
        <w:rPr>
          <w:rFonts w:ascii="仿宋" w:hAnsi="仿宋" w:eastAsia="仿宋" w:cs="仿宋"/>
          <w:sz w:val="24"/>
        </w:rPr>
      </w:pPr>
      <w:r>
        <w:rPr>
          <w:rFonts w:hint="eastAsia" w:ascii="仿宋" w:hAnsi="仿宋" w:eastAsia="仿宋" w:cs="仿宋"/>
          <w:bCs/>
          <w:sz w:val="24"/>
        </w:rPr>
        <w:t xml:space="preserve">14.1 </w:t>
      </w:r>
      <w:r>
        <w:rPr>
          <w:rFonts w:hint="eastAsia" w:ascii="仿宋" w:hAnsi="仿宋" w:eastAsia="仿宋" w:cs="仿宋"/>
          <w:sz w:val="24"/>
        </w:rPr>
        <w:t>投标人应按投标人须知资料表中的规定，准备和递交（加密上传）电子投标文件。</w:t>
      </w:r>
    </w:p>
    <w:p w14:paraId="7FFE34A7">
      <w:pPr>
        <w:textAlignment w:val="baseline"/>
        <w:rPr>
          <w:rFonts w:ascii="仿宋" w:hAnsi="仿宋" w:eastAsia="仿宋" w:cs="仿宋"/>
          <w:sz w:val="24"/>
        </w:rPr>
      </w:pPr>
      <w:r>
        <w:rPr>
          <w:rFonts w:hint="eastAsia" w:ascii="仿宋" w:hAnsi="仿宋" w:eastAsia="仿宋" w:cs="仿宋"/>
          <w:sz w:val="24"/>
        </w:rPr>
        <w:t>14.2 所有投标文件应按照招标文件规定的格式填写、签署和盖章。</w:t>
      </w:r>
    </w:p>
    <w:p w14:paraId="5A4A6F73">
      <w:pPr>
        <w:textAlignment w:val="baseline"/>
        <w:rPr>
          <w:rFonts w:ascii="仿宋" w:hAnsi="仿宋" w:eastAsia="仿宋" w:cs="仿宋"/>
        </w:rPr>
      </w:pPr>
      <w:r>
        <w:rPr>
          <w:rFonts w:hint="eastAsia" w:ascii="仿宋" w:hAnsi="仿宋" w:eastAsia="仿宋" w:cs="仿宋"/>
          <w:sz w:val="24"/>
        </w:rPr>
        <w:t>14.3 投标文件因字迹潦草、表达不清或未按照招标文件规定的格式填写、签署和盖章所引起的后果由投标人负责。</w:t>
      </w:r>
    </w:p>
    <w:p w14:paraId="792C837B">
      <w:pPr>
        <w:pStyle w:val="4"/>
        <w:spacing w:before="0" w:line="240" w:lineRule="auto"/>
        <w:textAlignment w:val="baseline"/>
        <w:rPr>
          <w:rFonts w:ascii="仿宋" w:hAnsi="仿宋" w:eastAsia="仿宋" w:cs="仿宋"/>
          <w:sz w:val="28"/>
          <w:szCs w:val="21"/>
        </w:rPr>
      </w:pPr>
      <w:bookmarkStart w:id="341" w:name="_Toc13702"/>
      <w:bookmarkStart w:id="342" w:name="_Toc12193"/>
      <w:bookmarkStart w:id="343" w:name="_Toc8070"/>
      <w:r>
        <w:rPr>
          <w:rFonts w:hint="eastAsia" w:ascii="仿宋" w:hAnsi="仿宋" w:eastAsia="仿宋" w:cs="仿宋"/>
          <w:sz w:val="28"/>
          <w:szCs w:val="21"/>
        </w:rPr>
        <w:t>四   投标文件的递交</w:t>
      </w:r>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p>
    <w:p w14:paraId="30B19620">
      <w:pPr>
        <w:pStyle w:val="5"/>
        <w:tabs>
          <w:tab w:val="left" w:pos="900"/>
        </w:tabs>
        <w:spacing w:before="0" w:after="0"/>
        <w:textAlignment w:val="baseline"/>
        <w:rPr>
          <w:rFonts w:ascii="仿宋" w:hAnsi="仿宋" w:eastAsia="仿宋" w:cs="仿宋"/>
        </w:rPr>
      </w:pPr>
      <w:bookmarkStart w:id="344" w:name="_Toc32131"/>
      <w:bookmarkStart w:id="345" w:name="_Toc14162"/>
      <w:bookmarkStart w:id="346" w:name="_Toc18877"/>
      <w:bookmarkStart w:id="347" w:name="_Toc26374"/>
      <w:bookmarkStart w:id="348" w:name="_Toc32337"/>
      <w:bookmarkStart w:id="349" w:name="_Toc15077"/>
      <w:bookmarkStart w:id="350" w:name="_Toc520356160"/>
      <w:bookmarkStart w:id="351" w:name="_Toc6343"/>
      <w:bookmarkStart w:id="352" w:name="_Toc21645"/>
      <w:bookmarkStart w:id="353" w:name="_Toc632"/>
      <w:bookmarkStart w:id="354" w:name="_Toc515647775"/>
      <w:bookmarkStart w:id="355" w:name="_Toc11937"/>
      <w:bookmarkStart w:id="356" w:name="_Toc26195"/>
      <w:r>
        <w:rPr>
          <w:rFonts w:hint="eastAsia" w:ascii="仿宋" w:hAnsi="仿宋" w:eastAsia="仿宋" w:cs="仿宋"/>
        </w:rPr>
        <w:t>15.投标文件的密封和标记</w:t>
      </w:r>
      <w:bookmarkEnd w:id="344"/>
      <w:bookmarkEnd w:id="345"/>
      <w:bookmarkEnd w:id="346"/>
      <w:bookmarkEnd w:id="347"/>
      <w:bookmarkEnd w:id="348"/>
      <w:bookmarkEnd w:id="349"/>
      <w:bookmarkEnd w:id="350"/>
      <w:bookmarkEnd w:id="351"/>
      <w:bookmarkEnd w:id="352"/>
      <w:bookmarkEnd w:id="353"/>
      <w:bookmarkEnd w:id="354"/>
      <w:bookmarkEnd w:id="355"/>
      <w:bookmarkEnd w:id="356"/>
    </w:p>
    <w:p w14:paraId="7A5F76CD">
      <w:pPr>
        <w:tabs>
          <w:tab w:val="left" w:pos="-200"/>
          <w:tab w:val="left" w:pos="5580"/>
        </w:tabs>
        <w:jc w:val="left"/>
        <w:rPr>
          <w:rFonts w:ascii="仿宋" w:hAnsi="仿宋" w:eastAsia="仿宋" w:cs="仿宋"/>
          <w:b/>
          <w:bCs/>
          <w:sz w:val="24"/>
        </w:rPr>
      </w:pPr>
      <w:r>
        <w:rPr>
          <w:rFonts w:hint="eastAsia" w:ascii="仿宋" w:hAnsi="仿宋" w:eastAsia="仿宋" w:cs="仿宋"/>
          <w:sz w:val="24"/>
        </w:rPr>
        <w:t xml:space="preserve">15.1   </w:t>
      </w:r>
      <w:r>
        <w:rPr>
          <w:rFonts w:hint="eastAsia" w:ascii="仿宋" w:hAnsi="仿宋" w:eastAsia="仿宋" w:cs="仿宋"/>
          <w:b/>
          <w:bCs/>
          <w:sz w:val="24"/>
        </w:rPr>
        <w:t>投标人应完整地按招标文件提供的投标文件格式及要求编写投标文件， 投标人须在投标截止时间前完成在新疆政采云平台https://www.zcygov.cn 系统上递交电子投标文件。投标人的电子投标文件是经过CA证书加密后上传提交的，任何单位或个人均无法在投标截止时间之前查看或篡改，不存在泄密风险。（严格按照政采云电子投标流程制作并上传电子投标文件）</w:t>
      </w:r>
    </w:p>
    <w:p w14:paraId="298B6A56">
      <w:pPr>
        <w:textAlignment w:val="baseline"/>
        <w:rPr>
          <w:rFonts w:ascii="仿宋" w:hAnsi="仿宋" w:eastAsia="仿宋" w:cs="仿宋"/>
          <w:sz w:val="24"/>
        </w:rPr>
      </w:pPr>
      <w:bookmarkStart w:id="357" w:name="_Toc28106"/>
      <w:r>
        <w:rPr>
          <w:rFonts w:hint="eastAsia" w:ascii="仿宋" w:hAnsi="仿宋" w:eastAsia="仿宋" w:cs="仿宋"/>
          <w:sz w:val="24"/>
        </w:rPr>
        <w:t xml:space="preserve">15.2   </w:t>
      </w:r>
      <w:bookmarkEnd w:id="357"/>
      <w:r>
        <w:rPr>
          <w:rFonts w:hint="eastAsia" w:ascii="仿宋" w:hAnsi="仿宋" w:eastAsia="仿宋" w:cs="仿宋"/>
          <w:sz w:val="24"/>
        </w:rPr>
        <w:t>投标人因自身原因导致电子投标文件无法导入电子评标系统的，该投标文件视为</w:t>
      </w:r>
      <w:r>
        <w:rPr>
          <w:rFonts w:hint="eastAsia" w:ascii="仿宋" w:hAnsi="仿宋" w:eastAsia="仿宋" w:cs="仿宋"/>
          <w:b/>
          <w:bCs/>
          <w:sz w:val="24"/>
        </w:rPr>
        <w:t>无效文件。</w:t>
      </w:r>
    </w:p>
    <w:p w14:paraId="3EDFD576">
      <w:pPr>
        <w:textAlignment w:val="baseline"/>
        <w:rPr>
          <w:rFonts w:ascii="仿宋" w:hAnsi="仿宋" w:eastAsia="仿宋" w:cs="仿宋"/>
          <w:sz w:val="24"/>
        </w:rPr>
      </w:pPr>
      <w:r>
        <w:rPr>
          <w:rFonts w:hint="eastAsia" w:ascii="仿宋" w:hAnsi="仿宋" w:eastAsia="仿宋" w:cs="仿宋"/>
          <w:sz w:val="24"/>
        </w:rPr>
        <w:t>15.3   电子投标文件具有法律效力,与其他形式的投标文件在内容和格式上等同，若投标文件与招标文件要求不一致，其内容影响中标结果时，责任由投标人自行承担。</w:t>
      </w:r>
    </w:p>
    <w:p w14:paraId="3A273D74">
      <w:pPr>
        <w:pStyle w:val="5"/>
        <w:tabs>
          <w:tab w:val="left" w:pos="900"/>
        </w:tabs>
        <w:spacing w:before="0" w:after="0"/>
        <w:textAlignment w:val="baseline"/>
        <w:rPr>
          <w:rFonts w:ascii="仿宋" w:hAnsi="仿宋" w:eastAsia="仿宋" w:cs="仿宋"/>
        </w:rPr>
      </w:pPr>
      <w:bookmarkStart w:id="358" w:name="_Toc1456"/>
      <w:bookmarkStart w:id="359" w:name="_Toc29756"/>
      <w:bookmarkStart w:id="360" w:name="_Toc520356161"/>
      <w:bookmarkStart w:id="361" w:name="_Toc27547"/>
      <w:bookmarkStart w:id="362" w:name="_Toc12751"/>
      <w:bookmarkStart w:id="363" w:name="_Toc515647776"/>
      <w:bookmarkStart w:id="364" w:name="_Toc28170"/>
      <w:bookmarkStart w:id="365" w:name="_Toc17361"/>
      <w:bookmarkStart w:id="366" w:name="_Toc24017"/>
      <w:bookmarkStart w:id="367" w:name="_Toc30360"/>
      <w:bookmarkStart w:id="368" w:name="_Toc12867"/>
      <w:bookmarkStart w:id="369" w:name="_Toc6414"/>
      <w:bookmarkStart w:id="370" w:name="_Toc9840"/>
      <w:r>
        <w:rPr>
          <w:rFonts w:hint="eastAsia" w:ascii="仿宋" w:hAnsi="仿宋" w:eastAsia="仿宋" w:cs="仿宋"/>
        </w:rPr>
        <w:t>16.投标截止</w:t>
      </w:r>
      <w:bookmarkEnd w:id="358"/>
      <w:bookmarkEnd w:id="359"/>
      <w:bookmarkEnd w:id="360"/>
      <w:bookmarkEnd w:id="361"/>
      <w:bookmarkEnd w:id="362"/>
      <w:bookmarkEnd w:id="363"/>
      <w:bookmarkEnd w:id="364"/>
      <w:bookmarkEnd w:id="365"/>
      <w:bookmarkEnd w:id="366"/>
      <w:bookmarkEnd w:id="367"/>
      <w:bookmarkEnd w:id="368"/>
      <w:bookmarkEnd w:id="369"/>
      <w:bookmarkEnd w:id="370"/>
    </w:p>
    <w:p w14:paraId="4A101C3A">
      <w:pPr>
        <w:rPr>
          <w:rFonts w:ascii="仿宋" w:hAnsi="仿宋" w:eastAsia="仿宋" w:cs="仿宋"/>
          <w:b/>
          <w:bCs/>
          <w:sz w:val="24"/>
        </w:rPr>
      </w:pPr>
      <w:r>
        <w:rPr>
          <w:rFonts w:hint="eastAsia" w:ascii="仿宋" w:hAnsi="仿宋" w:eastAsia="仿宋" w:cs="仿宋"/>
          <w:sz w:val="24"/>
        </w:rPr>
        <w:t>16.1</w:t>
      </w:r>
      <w:r>
        <w:rPr>
          <w:rFonts w:hint="eastAsia" w:ascii="仿宋" w:hAnsi="仿宋" w:eastAsia="仿宋" w:cs="仿宋"/>
          <w:sz w:val="24"/>
        </w:rPr>
        <w:tab/>
      </w:r>
      <w:r>
        <w:rPr>
          <w:rFonts w:hint="eastAsia" w:ascii="仿宋" w:hAnsi="仿宋" w:eastAsia="仿宋" w:cs="仿宋"/>
          <w:sz w:val="24"/>
        </w:rPr>
        <w:t>投标人应在</w:t>
      </w:r>
      <w:r>
        <w:rPr>
          <w:rFonts w:hint="eastAsia" w:ascii="仿宋" w:hAnsi="仿宋" w:eastAsia="仿宋" w:cs="仿宋"/>
          <w:b/>
          <w:bCs/>
          <w:sz w:val="24"/>
          <w:u w:val="single"/>
        </w:rPr>
        <w:t>投标人须知资料表</w:t>
      </w:r>
      <w:r>
        <w:rPr>
          <w:rFonts w:hint="eastAsia" w:ascii="仿宋" w:hAnsi="仿宋" w:eastAsia="仿宋" w:cs="仿宋"/>
          <w:sz w:val="24"/>
        </w:rPr>
        <w:t>中规定的截止时间前，将投标文件递交到招标公告中规定的地点。</w:t>
      </w:r>
      <w:r>
        <w:rPr>
          <w:rFonts w:hint="eastAsia" w:ascii="仿宋" w:hAnsi="仿宋" w:eastAsia="仿宋" w:cs="仿宋"/>
          <w:b/>
          <w:bCs/>
          <w:sz w:val="24"/>
        </w:rPr>
        <w:t>解密时间30分钟，逾期未解密的视为投标无效。</w:t>
      </w:r>
    </w:p>
    <w:p w14:paraId="6DE2FA78">
      <w:pPr>
        <w:textAlignment w:val="baseline"/>
        <w:rPr>
          <w:rFonts w:ascii="仿宋" w:hAnsi="仿宋" w:eastAsia="仿宋" w:cs="仿宋"/>
          <w:sz w:val="24"/>
        </w:rPr>
      </w:pPr>
      <w:r>
        <w:rPr>
          <w:rFonts w:hint="eastAsia" w:ascii="仿宋" w:hAnsi="仿宋" w:eastAsia="仿宋" w:cs="仿宋"/>
          <w:sz w:val="24"/>
        </w:rPr>
        <w:t>16.2</w:t>
      </w:r>
      <w:r>
        <w:rPr>
          <w:rFonts w:hint="eastAsia" w:ascii="仿宋" w:hAnsi="仿宋" w:eastAsia="仿宋" w:cs="仿宋"/>
          <w:sz w:val="24"/>
        </w:rPr>
        <w:tab/>
      </w:r>
      <w:r>
        <w:rPr>
          <w:rFonts w:hint="eastAsia" w:ascii="仿宋" w:hAnsi="仿宋" w:eastAsia="仿宋" w:cs="仿宋"/>
          <w:sz w:val="24"/>
        </w:rPr>
        <w:t>采购人和采购代理机构有权按本须知的规定，延迟投标截止时间。在此情况下，采购人、采购代理机构和投标人受投标截止时间制约的所有权利和义务均应延长至新的截止时间。</w:t>
      </w:r>
    </w:p>
    <w:p w14:paraId="2E331E95">
      <w:pPr>
        <w:textAlignment w:val="baseline"/>
        <w:rPr>
          <w:rFonts w:ascii="仿宋" w:hAnsi="仿宋" w:eastAsia="仿宋" w:cs="仿宋"/>
          <w:sz w:val="24"/>
        </w:rPr>
      </w:pPr>
      <w:r>
        <w:rPr>
          <w:rFonts w:hint="eastAsia" w:ascii="仿宋" w:hAnsi="仿宋" w:eastAsia="仿宋" w:cs="仿宋"/>
          <w:sz w:val="24"/>
        </w:rPr>
        <w:t>16.3</w:t>
      </w:r>
      <w:r>
        <w:rPr>
          <w:rFonts w:hint="eastAsia" w:ascii="仿宋" w:hAnsi="仿宋" w:eastAsia="仿宋" w:cs="仿宋"/>
          <w:sz w:val="24"/>
        </w:rPr>
        <w:tab/>
      </w:r>
      <w:r>
        <w:rPr>
          <w:rFonts w:hint="eastAsia" w:ascii="仿宋" w:hAnsi="仿宋" w:eastAsia="仿宋" w:cs="仿宋"/>
          <w:sz w:val="24"/>
        </w:rPr>
        <w:t>采购人和采购代理机构将拒绝接收在投标截止时间后上传的投标文件。</w:t>
      </w:r>
    </w:p>
    <w:p w14:paraId="3EDA3E08">
      <w:pPr>
        <w:pStyle w:val="5"/>
        <w:spacing w:before="0" w:after="0"/>
        <w:rPr>
          <w:rFonts w:ascii="仿宋" w:hAnsi="仿宋" w:eastAsia="仿宋" w:cs="仿宋"/>
        </w:rPr>
      </w:pPr>
      <w:bookmarkStart w:id="371" w:name="_Toc3829"/>
      <w:bookmarkStart w:id="372" w:name="_Toc9987"/>
      <w:bookmarkStart w:id="373" w:name="_Toc520356162"/>
      <w:bookmarkStart w:id="374" w:name="_Toc31670"/>
      <w:bookmarkStart w:id="375" w:name="_Toc21703"/>
      <w:bookmarkStart w:id="376" w:name="_Toc24785"/>
      <w:bookmarkStart w:id="377" w:name="_Toc515647777"/>
      <w:bookmarkStart w:id="378" w:name="_Toc1625"/>
      <w:bookmarkStart w:id="379" w:name="_Toc11458"/>
      <w:bookmarkStart w:id="380" w:name="_Toc22207"/>
      <w:bookmarkStart w:id="381" w:name="_Toc24275"/>
      <w:bookmarkStart w:id="382" w:name="_Toc18537"/>
      <w:bookmarkStart w:id="383" w:name="_Toc18105"/>
      <w:r>
        <w:rPr>
          <w:rFonts w:hint="eastAsia" w:ascii="仿宋" w:hAnsi="仿宋" w:eastAsia="仿宋" w:cs="仿宋"/>
        </w:rPr>
        <w:t>17.投标文件的接收、修改与撤回</w:t>
      </w:r>
      <w:bookmarkEnd w:id="371"/>
      <w:bookmarkEnd w:id="372"/>
      <w:bookmarkEnd w:id="373"/>
      <w:bookmarkEnd w:id="374"/>
      <w:bookmarkEnd w:id="375"/>
      <w:bookmarkEnd w:id="376"/>
      <w:bookmarkEnd w:id="377"/>
      <w:bookmarkEnd w:id="378"/>
      <w:bookmarkEnd w:id="379"/>
      <w:bookmarkEnd w:id="380"/>
      <w:bookmarkEnd w:id="381"/>
      <w:bookmarkEnd w:id="382"/>
      <w:bookmarkEnd w:id="383"/>
    </w:p>
    <w:p w14:paraId="1E07619E">
      <w:pPr>
        <w:rPr>
          <w:rFonts w:ascii="仿宋" w:hAnsi="仿宋" w:eastAsia="仿宋" w:cs="仿宋"/>
          <w:b/>
        </w:rPr>
      </w:pPr>
      <w:r>
        <w:rPr>
          <w:rFonts w:hint="eastAsia" w:ascii="仿宋" w:hAnsi="仿宋" w:eastAsia="仿宋" w:cs="仿宋"/>
          <w:sz w:val="24"/>
        </w:rPr>
        <w:t>17.1</w:t>
      </w:r>
      <w:r>
        <w:rPr>
          <w:rFonts w:hint="eastAsia" w:ascii="仿宋" w:hAnsi="仿宋" w:eastAsia="仿宋" w:cs="仿宋"/>
          <w:sz w:val="24"/>
        </w:rPr>
        <w:tab/>
      </w:r>
      <w:r>
        <w:rPr>
          <w:rFonts w:hint="eastAsia" w:ascii="仿宋" w:hAnsi="仿宋" w:eastAsia="仿宋" w:cs="仿宋"/>
          <w:sz w:val="24"/>
        </w:rPr>
        <w:t>在投标截止时间后上传投标文件的，采购人和采购代理机构将</w:t>
      </w:r>
      <w:r>
        <w:rPr>
          <w:rFonts w:hint="eastAsia" w:ascii="仿宋" w:hAnsi="仿宋" w:eastAsia="仿宋" w:cs="仿宋"/>
          <w:b/>
          <w:bCs/>
          <w:sz w:val="24"/>
        </w:rPr>
        <w:t>拒绝接收</w:t>
      </w:r>
      <w:r>
        <w:rPr>
          <w:rFonts w:hint="eastAsia" w:ascii="仿宋" w:hAnsi="仿宋" w:eastAsia="仿宋" w:cs="仿宋"/>
          <w:sz w:val="24"/>
        </w:rPr>
        <w:t>。</w:t>
      </w:r>
    </w:p>
    <w:p w14:paraId="141EAE4F">
      <w:pPr>
        <w:textAlignment w:val="baseline"/>
        <w:rPr>
          <w:rFonts w:ascii="仿宋" w:hAnsi="仿宋" w:eastAsia="仿宋" w:cs="仿宋"/>
          <w:sz w:val="24"/>
        </w:rPr>
      </w:pPr>
      <w:r>
        <w:rPr>
          <w:rFonts w:hint="eastAsia" w:ascii="仿宋" w:hAnsi="仿宋" w:eastAsia="仿宋" w:cs="仿宋"/>
          <w:sz w:val="24"/>
        </w:rPr>
        <w:t>17.2</w:t>
      </w:r>
      <w:r>
        <w:rPr>
          <w:rFonts w:hint="eastAsia" w:ascii="仿宋" w:hAnsi="仿宋" w:eastAsia="仿宋" w:cs="仿宋"/>
          <w:sz w:val="24"/>
        </w:rPr>
        <w:tab/>
      </w:r>
      <w:r>
        <w:rPr>
          <w:rFonts w:hint="eastAsia" w:ascii="仿宋" w:hAnsi="仿宋" w:eastAsia="仿宋" w:cs="仿宋"/>
          <w:sz w:val="24"/>
        </w:rPr>
        <w:t>递交投标文件以后，如果投标人要进行修改或撤回投标，须提出书面申请并在投标截止时间前上传至</w:t>
      </w:r>
      <w:r>
        <w:rPr>
          <w:rFonts w:hint="eastAsia" w:ascii="仿宋" w:hAnsi="仿宋" w:eastAsia="仿宋" w:cs="仿宋"/>
          <w:b/>
          <w:bCs/>
          <w:sz w:val="24"/>
        </w:rPr>
        <w:t>新疆政采云平台https://www.zcygov.cn</w:t>
      </w:r>
      <w:r>
        <w:rPr>
          <w:rFonts w:hint="eastAsia" w:ascii="仿宋" w:hAnsi="仿宋" w:eastAsia="仿宋" w:cs="仿宋"/>
          <w:sz w:val="24"/>
        </w:rPr>
        <w:t>，投标人对投标文件的修改或撤回通知应按本须知规定编制、密封、标记。采购人和采购代理机构将予以接收，并视为投标文件的组成部分。</w:t>
      </w:r>
    </w:p>
    <w:p w14:paraId="65556BDD">
      <w:pPr>
        <w:textAlignment w:val="baseline"/>
        <w:rPr>
          <w:rFonts w:ascii="仿宋" w:hAnsi="仿宋" w:eastAsia="仿宋" w:cs="仿宋"/>
          <w:sz w:val="24"/>
        </w:rPr>
      </w:pPr>
      <w:r>
        <w:rPr>
          <w:rFonts w:hint="eastAsia" w:ascii="仿宋" w:hAnsi="仿宋" w:eastAsia="仿宋" w:cs="仿宋"/>
          <w:sz w:val="24"/>
        </w:rPr>
        <w:t>17.3</w:t>
      </w:r>
      <w:r>
        <w:rPr>
          <w:rFonts w:hint="eastAsia" w:ascii="仿宋" w:hAnsi="仿宋" w:eastAsia="仿宋" w:cs="仿宋"/>
          <w:sz w:val="24"/>
        </w:rPr>
        <w:tab/>
      </w:r>
      <w:r>
        <w:rPr>
          <w:rFonts w:hint="eastAsia" w:ascii="仿宋" w:hAnsi="仿宋" w:eastAsia="仿宋" w:cs="仿宋"/>
          <w:sz w:val="24"/>
        </w:rPr>
        <w:t>在投标截止期之后，采购人和采购代理机构不接受投标人主动对其投标文件做任何修改。</w:t>
      </w:r>
    </w:p>
    <w:p w14:paraId="60C8AE8E">
      <w:pPr>
        <w:textAlignment w:val="baseline"/>
        <w:rPr>
          <w:rFonts w:ascii="仿宋" w:hAnsi="仿宋" w:eastAsia="仿宋" w:cs="仿宋"/>
        </w:rPr>
      </w:pPr>
      <w:bookmarkStart w:id="384" w:name="_Toc26872"/>
      <w:bookmarkStart w:id="385" w:name="_Toc13495"/>
      <w:bookmarkStart w:id="386" w:name="_Toc19583"/>
      <w:r>
        <w:rPr>
          <w:rFonts w:hint="eastAsia" w:ascii="仿宋" w:hAnsi="仿宋" w:eastAsia="仿宋" w:cs="仿宋"/>
          <w:sz w:val="24"/>
        </w:rPr>
        <w:t>17.4</w:t>
      </w:r>
      <w:r>
        <w:rPr>
          <w:rFonts w:hint="eastAsia" w:ascii="仿宋" w:hAnsi="仿宋" w:eastAsia="仿宋" w:cs="仿宋"/>
          <w:sz w:val="24"/>
        </w:rPr>
        <w:tab/>
      </w:r>
      <w:r>
        <w:rPr>
          <w:rFonts w:hint="eastAsia" w:ascii="仿宋" w:hAnsi="仿宋" w:eastAsia="仿宋" w:cs="仿宋"/>
          <w:sz w:val="24"/>
        </w:rPr>
        <w:t>采购人和采购代理机构对所接收投标文件概不退回。</w:t>
      </w:r>
      <w:bookmarkEnd w:id="384"/>
      <w:bookmarkEnd w:id="385"/>
      <w:bookmarkEnd w:id="386"/>
      <w:bookmarkStart w:id="387" w:name="_Toc22638"/>
      <w:bookmarkStart w:id="388" w:name="_Toc26891"/>
      <w:bookmarkStart w:id="389" w:name="_Toc12436"/>
      <w:bookmarkStart w:id="390" w:name="_Toc28398"/>
      <w:bookmarkStart w:id="391" w:name="_Toc8462"/>
      <w:bookmarkStart w:id="392" w:name="_Toc20246"/>
      <w:bookmarkStart w:id="393" w:name="_Toc216582809"/>
      <w:bookmarkStart w:id="394" w:name="_Toc25610"/>
      <w:bookmarkStart w:id="395" w:name="_Toc515647778"/>
      <w:bookmarkStart w:id="396" w:name="_Toc4683"/>
      <w:bookmarkStart w:id="397" w:name="_Toc26876"/>
      <w:bookmarkStart w:id="398" w:name="_Toc27778"/>
      <w:bookmarkStart w:id="399" w:name="_Toc5077"/>
      <w:bookmarkStart w:id="400" w:name="_Toc520356163"/>
      <w:bookmarkStart w:id="401" w:name="_Toc6326"/>
      <w:bookmarkStart w:id="402" w:name="_Toc28581"/>
      <w:bookmarkStart w:id="403" w:name="_Toc21372"/>
      <w:bookmarkStart w:id="404" w:name="_Toc31290"/>
      <w:bookmarkStart w:id="405" w:name="_Toc19296"/>
      <w:bookmarkStart w:id="406" w:name="_Toc515647780"/>
    </w:p>
    <w:p w14:paraId="7C193A48">
      <w:pPr>
        <w:pStyle w:val="4"/>
        <w:spacing w:before="0" w:line="240" w:lineRule="auto"/>
        <w:textAlignment w:val="baseline"/>
        <w:rPr>
          <w:rFonts w:ascii="仿宋" w:hAnsi="仿宋" w:eastAsia="仿宋" w:cs="仿宋"/>
          <w:sz w:val="28"/>
          <w:szCs w:val="28"/>
        </w:rPr>
      </w:pPr>
      <w:bookmarkStart w:id="407" w:name="_Toc6737"/>
      <w:bookmarkStart w:id="408" w:name="_Toc2696"/>
      <w:bookmarkStart w:id="409" w:name="_Toc17322"/>
      <w:r>
        <w:rPr>
          <w:rFonts w:hint="eastAsia" w:ascii="仿宋" w:hAnsi="仿宋" w:eastAsia="仿宋" w:cs="仿宋"/>
          <w:sz w:val="28"/>
          <w:szCs w:val="28"/>
        </w:rPr>
        <w:t>五   开标及评标</w:t>
      </w:r>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7"/>
      <w:bookmarkEnd w:id="408"/>
      <w:bookmarkEnd w:id="409"/>
    </w:p>
    <w:p w14:paraId="52416AF5">
      <w:pPr>
        <w:pStyle w:val="5"/>
        <w:numPr>
          <w:ilvl w:val="0"/>
          <w:numId w:val="5"/>
        </w:numPr>
        <w:spacing w:before="0" w:after="0"/>
        <w:textAlignment w:val="baseline"/>
        <w:rPr>
          <w:rFonts w:ascii="仿宋" w:hAnsi="仿宋" w:eastAsia="仿宋" w:cs="仿宋"/>
        </w:rPr>
      </w:pPr>
      <w:bookmarkStart w:id="410" w:name="_Toc22221"/>
      <w:bookmarkStart w:id="411" w:name="_Toc25345"/>
      <w:bookmarkStart w:id="412" w:name="_Toc7186"/>
      <w:bookmarkStart w:id="413" w:name="_Toc21932"/>
      <w:bookmarkStart w:id="414" w:name="_Toc11395"/>
      <w:bookmarkStart w:id="415" w:name="_Toc17257"/>
      <w:bookmarkStart w:id="416" w:name="_Toc32258"/>
      <w:bookmarkStart w:id="417" w:name="_Toc6310"/>
      <w:bookmarkStart w:id="418" w:name="_Toc2870"/>
      <w:bookmarkStart w:id="419" w:name="_Toc520356164"/>
      <w:bookmarkStart w:id="420" w:name="_Toc21582"/>
      <w:bookmarkStart w:id="421" w:name="_Toc24428"/>
      <w:bookmarkStart w:id="422" w:name="_Toc28774"/>
      <w:bookmarkStart w:id="423" w:name="_Toc17235"/>
      <w:bookmarkStart w:id="424" w:name="_Toc433"/>
      <w:bookmarkStart w:id="425" w:name="_Toc515647779"/>
      <w:bookmarkStart w:id="426" w:name="_Toc15239"/>
      <w:bookmarkStart w:id="427" w:name="_Toc18521"/>
      <w:r>
        <w:rPr>
          <w:rFonts w:hint="eastAsia" w:ascii="仿宋" w:hAnsi="仿宋" w:eastAsia="仿宋" w:cs="仿宋"/>
        </w:rPr>
        <w:t>开标</w:t>
      </w:r>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p>
    <w:p w14:paraId="0ED6D1AE">
      <w:pPr>
        <w:numPr>
          <w:ilvl w:val="1"/>
          <w:numId w:val="5"/>
        </w:numPr>
        <w:textAlignment w:val="baseline"/>
        <w:rPr>
          <w:rFonts w:ascii="仿宋" w:hAnsi="仿宋" w:eastAsia="仿宋" w:cs="仿宋"/>
          <w:sz w:val="24"/>
        </w:rPr>
      </w:pPr>
      <w:r>
        <w:rPr>
          <w:rFonts w:hint="eastAsia" w:ascii="仿宋" w:hAnsi="仿宋" w:eastAsia="仿宋" w:cs="仿宋"/>
          <w:sz w:val="24"/>
        </w:rPr>
        <w:t>采购人和采购代理机构将按</w:t>
      </w:r>
      <w:r>
        <w:rPr>
          <w:rFonts w:hint="eastAsia" w:ascii="仿宋" w:hAnsi="仿宋" w:eastAsia="仿宋" w:cs="仿宋"/>
          <w:sz w:val="24"/>
          <w:u w:val="single" w:color="000000"/>
        </w:rPr>
        <w:t>投标人须知资料表</w:t>
      </w:r>
      <w:r>
        <w:rPr>
          <w:rFonts w:hint="eastAsia" w:ascii="仿宋" w:hAnsi="仿宋" w:eastAsia="仿宋" w:cs="仿宋"/>
          <w:sz w:val="24"/>
        </w:rPr>
        <w:t>中规定的开标时间和地点组织公开开标并邀请所有投标人代表参加。</w:t>
      </w:r>
    </w:p>
    <w:p w14:paraId="250110DA">
      <w:pPr>
        <w:textAlignment w:val="baseline"/>
        <w:rPr>
          <w:rFonts w:ascii="仿宋" w:hAnsi="仿宋" w:eastAsia="仿宋" w:cs="仿宋"/>
          <w:sz w:val="24"/>
        </w:rPr>
      </w:pPr>
      <w:r>
        <w:rPr>
          <w:rFonts w:hint="eastAsia" w:ascii="仿宋" w:hAnsi="仿宋" w:eastAsia="仿宋" w:cs="仿宋"/>
          <w:sz w:val="24"/>
        </w:rPr>
        <w:t>投标人不足3家的，不得开标。</w:t>
      </w:r>
    </w:p>
    <w:p w14:paraId="16850450">
      <w:pPr>
        <w:textAlignment w:val="baseline"/>
        <w:rPr>
          <w:rFonts w:ascii="仿宋" w:hAnsi="仿宋" w:eastAsia="仿宋" w:cs="仿宋"/>
          <w:sz w:val="24"/>
        </w:rPr>
      </w:pPr>
      <w:r>
        <w:rPr>
          <w:rFonts w:hint="eastAsia" w:ascii="仿宋" w:hAnsi="仿宋" w:eastAsia="仿宋" w:cs="仿宋"/>
          <w:sz w:val="24"/>
        </w:rPr>
        <w:t>18.2   投标人应当按照本招标文件载明的时间和模式等要求参加开标。开标时，投标人应当使用上传本项目（采购包）电子投标文件时加密所用数字证书在开始解密后按照代理机构规定的时间内完成电子投标文件的解密，如遇不可抗力等其他特殊情况，采购代理机构可视情况延长解密时间。投标人未携带数字证书或其他非系统原因导致的在规定时间内未解密响应文件，将作无效投标处理。（采用不见面电子开标，各投标人在参加开标以前须自行对使用电脑的网络环境、驱动安装、客户端安装以及数字证书的有效性等进行检测，确保可以正常使用）。</w:t>
      </w:r>
    </w:p>
    <w:p w14:paraId="7177F126">
      <w:pPr>
        <w:widowControl/>
        <w:jc w:val="left"/>
        <w:rPr>
          <w:rFonts w:ascii="仿宋" w:hAnsi="仿宋" w:eastAsia="仿宋" w:cs="仿宋"/>
          <w:sz w:val="24"/>
        </w:rPr>
      </w:pPr>
      <w:r>
        <w:rPr>
          <w:rFonts w:hint="eastAsia" w:ascii="仿宋" w:hAnsi="仿宋" w:eastAsia="仿宋" w:cs="仿宋"/>
          <w:sz w:val="24"/>
        </w:rPr>
        <w:t>18.3   采购人或采购代理机构将对开标过程进行记录，由参加开标的各投标人代表和相关工作人员签字确认，并存档备查。</w:t>
      </w:r>
    </w:p>
    <w:p w14:paraId="293CD120">
      <w:pPr>
        <w:textAlignment w:val="baseline"/>
        <w:rPr>
          <w:rFonts w:ascii="仿宋" w:hAnsi="仿宋" w:eastAsia="仿宋" w:cs="仿宋"/>
          <w:sz w:val="24"/>
        </w:rPr>
      </w:pPr>
      <w:r>
        <w:rPr>
          <w:rFonts w:hint="eastAsia" w:ascii="仿宋" w:hAnsi="仿宋" w:eastAsia="仿宋" w:cs="仿宋"/>
          <w:sz w:val="24"/>
        </w:rPr>
        <w:t>18.4    投标人代表对开标过程和开标记录有疑义，以及认为采购人、采购代理机构相关工作人员有需要回避的情形的，应当场提出询问或者回避申请。</w:t>
      </w:r>
    </w:p>
    <w:p w14:paraId="18ABEC88">
      <w:pPr>
        <w:pStyle w:val="5"/>
        <w:spacing w:before="0" w:after="0"/>
        <w:textAlignment w:val="baseline"/>
        <w:rPr>
          <w:rFonts w:ascii="仿宋" w:hAnsi="仿宋" w:eastAsia="仿宋" w:cs="仿宋"/>
        </w:rPr>
      </w:pPr>
      <w:bookmarkStart w:id="428" w:name="_Toc30404"/>
      <w:bookmarkStart w:id="429" w:name="_Toc11574"/>
      <w:bookmarkStart w:id="430" w:name="_Toc3940"/>
      <w:bookmarkStart w:id="431" w:name="_Toc1719"/>
      <w:bookmarkStart w:id="432" w:name="_Toc10173"/>
      <w:bookmarkStart w:id="433" w:name="_Toc1947"/>
      <w:bookmarkStart w:id="434" w:name="_Toc16060"/>
      <w:bookmarkStart w:id="435" w:name="_Toc9590"/>
      <w:bookmarkStart w:id="436" w:name="_Toc3739"/>
      <w:bookmarkStart w:id="437" w:name="_Toc3319"/>
      <w:bookmarkStart w:id="438" w:name="_Toc13177"/>
      <w:bookmarkStart w:id="439" w:name="_Toc10635"/>
      <w:bookmarkStart w:id="440" w:name="_Toc14377"/>
      <w:r>
        <w:rPr>
          <w:rFonts w:hint="eastAsia" w:ascii="仿宋" w:hAnsi="仿宋" w:eastAsia="仿宋" w:cs="仿宋"/>
        </w:rPr>
        <w:t>19.资格审查及组建评标委员会</w:t>
      </w:r>
      <w:bookmarkEnd w:id="403"/>
      <w:bookmarkEnd w:id="404"/>
      <w:bookmarkEnd w:id="405"/>
      <w:bookmarkEnd w:id="406"/>
      <w:bookmarkEnd w:id="428"/>
      <w:bookmarkEnd w:id="429"/>
      <w:bookmarkEnd w:id="430"/>
      <w:bookmarkEnd w:id="431"/>
      <w:bookmarkEnd w:id="432"/>
      <w:bookmarkEnd w:id="433"/>
      <w:bookmarkEnd w:id="434"/>
      <w:bookmarkEnd w:id="435"/>
      <w:bookmarkEnd w:id="436"/>
      <w:bookmarkEnd w:id="437"/>
      <w:bookmarkEnd w:id="438"/>
      <w:bookmarkEnd w:id="439"/>
      <w:bookmarkEnd w:id="440"/>
    </w:p>
    <w:p w14:paraId="1ECC6CDB">
      <w:pPr>
        <w:textAlignment w:val="baseline"/>
        <w:rPr>
          <w:rFonts w:ascii="仿宋" w:hAnsi="仿宋" w:eastAsia="仿宋" w:cs="仿宋"/>
          <w:sz w:val="24"/>
        </w:rPr>
      </w:pPr>
      <w:r>
        <w:rPr>
          <w:rFonts w:hint="eastAsia" w:ascii="仿宋" w:hAnsi="仿宋" w:eastAsia="仿宋" w:cs="仿宋"/>
          <w:sz w:val="24"/>
        </w:rPr>
        <w:t>19.1    资格审查小组依据法律法规和招标文件中规定的内容，对投标人的资格进行审查，未通过资格审查的投标人不进入评标；通过资格审查的投标人少于不足三家的，不得评标。</w:t>
      </w:r>
    </w:p>
    <w:p w14:paraId="278C3963">
      <w:pPr>
        <w:rPr>
          <w:rFonts w:ascii="仿宋" w:hAnsi="仿宋" w:eastAsia="仿宋" w:cs="仿宋"/>
          <w:sz w:val="24"/>
        </w:rPr>
      </w:pPr>
      <w:r>
        <w:rPr>
          <w:rFonts w:hint="eastAsia" w:ascii="仿宋" w:hAnsi="仿宋" w:eastAsia="仿宋" w:cs="仿宋"/>
          <w:sz w:val="24"/>
        </w:rPr>
        <w:t xml:space="preserve">19.2   </w:t>
      </w:r>
      <w:bookmarkStart w:id="441" w:name="_Toc520356166"/>
      <w:r>
        <w:rPr>
          <w:rFonts w:hint="eastAsia" w:ascii="仿宋" w:hAnsi="仿宋" w:eastAsia="仿宋" w:cs="仿宋"/>
          <w:sz w:val="24"/>
        </w:rPr>
        <w:t>采购人或采购代理机构将在开标时查询投标人的信用记录。投标人存在不良信用记录的，其投标将被认定为</w:t>
      </w:r>
      <w:r>
        <w:rPr>
          <w:rFonts w:hint="eastAsia" w:ascii="仿宋" w:hAnsi="仿宋" w:eastAsia="仿宋" w:cs="仿宋"/>
          <w:b/>
          <w:bCs/>
          <w:sz w:val="24"/>
        </w:rPr>
        <w:t>投标无效</w:t>
      </w:r>
      <w:r>
        <w:rPr>
          <w:rFonts w:hint="eastAsia" w:ascii="仿宋" w:hAnsi="仿宋" w:eastAsia="仿宋" w:cs="仿宋"/>
          <w:sz w:val="24"/>
        </w:rPr>
        <w:t>。</w:t>
      </w:r>
    </w:p>
    <w:p w14:paraId="238AC22F">
      <w:pPr>
        <w:rPr>
          <w:rFonts w:ascii="仿宋" w:hAnsi="仿宋" w:eastAsia="仿宋" w:cs="仿宋"/>
          <w:sz w:val="24"/>
        </w:rPr>
      </w:pPr>
      <w:r>
        <w:rPr>
          <w:rFonts w:hint="eastAsia" w:ascii="仿宋" w:hAnsi="仿宋" w:eastAsia="仿宋" w:cs="仿宋"/>
          <w:sz w:val="24"/>
        </w:rPr>
        <w:t>19.2.1 不良信用记录指：投标人在中国政府采购网（www.ccgp.gov.cn）被列入政府采购严重违法失信行为记录名单，或在“信用中国”网站（www.creditchina.gov.cn）被列入失信被执行人、重大税收违法案件当事人名单，以及存在《中华人民共和国政府采购法实施条例》第十九条规定的行政处罚记录。</w:t>
      </w:r>
    </w:p>
    <w:p w14:paraId="22397574">
      <w:pPr>
        <w:rPr>
          <w:rFonts w:ascii="仿宋" w:hAnsi="仿宋" w:eastAsia="仿宋" w:cs="仿宋"/>
          <w:sz w:val="24"/>
        </w:rPr>
      </w:pPr>
      <w:r>
        <w:rPr>
          <w:rFonts w:hint="eastAsia" w:ascii="仿宋" w:hAnsi="仿宋" w:eastAsia="仿宋" w:cs="仿宋"/>
          <w:sz w:val="24"/>
        </w:rPr>
        <w:t>以联合体形式参加投标的，联合体任何成员存在以上不良信用记录的，联合体投标将被认定为</w:t>
      </w:r>
      <w:r>
        <w:rPr>
          <w:rFonts w:hint="eastAsia" w:ascii="仿宋" w:hAnsi="仿宋" w:eastAsia="仿宋" w:cs="仿宋"/>
          <w:b/>
          <w:bCs/>
          <w:sz w:val="24"/>
        </w:rPr>
        <w:t>投标无效</w:t>
      </w:r>
      <w:r>
        <w:rPr>
          <w:rFonts w:hint="eastAsia" w:ascii="仿宋" w:hAnsi="仿宋" w:eastAsia="仿宋" w:cs="仿宋"/>
          <w:sz w:val="24"/>
        </w:rPr>
        <w:t>。</w:t>
      </w:r>
    </w:p>
    <w:p w14:paraId="1EA462B7">
      <w:pPr>
        <w:rPr>
          <w:rFonts w:ascii="仿宋" w:hAnsi="仿宋" w:eastAsia="仿宋" w:cs="仿宋"/>
          <w:sz w:val="24"/>
        </w:rPr>
      </w:pPr>
      <w:r>
        <w:rPr>
          <w:rFonts w:hint="eastAsia" w:ascii="仿宋" w:hAnsi="仿宋" w:eastAsia="仿宋" w:cs="仿宋"/>
        </w:rPr>
        <w:t xml:space="preserve">19.2.2 </w:t>
      </w:r>
      <w:r>
        <w:rPr>
          <w:rFonts w:hint="eastAsia" w:ascii="仿宋" w:hAnsi="仿宋" w:eastAsia="仿宋" w:cs="仿宋"/>
          <w:sz w:val="24"/>
        </w:rPr>
        <w:t>查询及记录方式：采购人或采购代理机构经办人将查询网页打印、签字并存档备查。投标人不良信用记录以采购人或采购代理机构查询结果为准。</w:t>
      </w:r>
    </w:p>
    <w:p w14:paraId="4242FC83">
      <w:pPr>
        <w:rPr>
          <w:rFonts w:ascii="仿宋" w:hAnsi="仿宋" w:eastAsia="仿宋" w:cs="仿宋"/>
          <w:sz w:val="24"/>
        </w:rPr>
      </w:pPr>
      <w:r>
        <w:rPr>
          <w:rFonts w:hint="eastAsia" w:ascii="仿宋" w:hAnsi="仿宋" w:eastAsia="仿宋" w:cs="仿宋"/>
          <w:sz w:val="24"/>
        </w:rPr>
        <w:t>在本招标文件规定的查询时间之后，网站信息发生的任何变更均不再作为评标依据。</w:t>
      </w:r>
    </w:p>
    <w:p w14:paraId="0E6747E0">
      <w:pPr>
        <w:rPr>
          <w:rFonts w:ascii="仿宋" w:hAnsi="仿宋" w:eastAsia="仿宋" w:cs="仿宋"/>
          <w:sz w:val="24"/>
        </w:rPr>
      </w:pPr>
      <w:r>
        <w:rPr>
          <w:rFonts w:hint="eastAsia" w:ascii="仿宋" w:hAnsi="仿宋" w:eastAsia="仿宋" w:cs="仿宋"/>
          <w:sz w:val="24"/>
        </w:rPr>
        <w:t>投标人自行提供的与网站信息不一致的其他证明材料亦不作为资格审查依据。</w:t>
      </w:r>
    </w:p>
    <w:p w14:paraId="2EE262FC">
      <w:pPr>
        <w:pStyle w:val="25"/>
        <w:rPr>
          <w:rFonts w:ascii="仿宋" w:hAnsi="仿宋" w:eastAsia="仿宋" w:cs="仿宋"/>
        </w:rPr>
      </w:pPr>
      <w:r>
        <w:rPr>
          <w:rFonts w:hint="eastAsia" w:ascii="仿宋" w:hAnsi="仿宋" w:eastAsia="仿宋" w:cs="仿宋"/>
          <w:sz w:val="24"/>
        </w:rPr>
        <w:t>19.3   按照《中华人民共和国政府采购法》、《中华人民共和国政府采购法实施条例》及本项目本级和上级财政部门的有关规定依法组建的评标委员会，负责评标工作。</w:t>
      </w:r>
      <w:r>
        <w:rPr>
          <w:rFonts w:hint="eastAsia" w:ascii="仿宋" w:hAnsi="仿宋" w:eastAsia="仿宋" w:cs="仿宋"/>
          <w:b/>
          <w:bCs/>
          <w:color w:val="FF0000"/>
          <w:sz w:val="24"/>
          <w:u w:val="single"/>
        </w:rPr>
        <w:t>本项目评标委员会由</w:t>
      </w:r>
      <w:r>
        <w:rPr>
          <w:rFonts w:hint="eastAsia" w:ascii="仿宋" w:hAnsi="仿宋" w:eastAsia="仿宋" w:cs="仿宋"/>
          <w:b/>
          <w:bCs/>
          <w:color w:val="00B0F0"/>
          <w:sz w:val="24"/>
          <w:u w:val="single"/>
        </w:rPr>
        <w:t>5人</w:t>
      </w:r>
      <w:r>
        <w:rPr>
          <w:rFonts w:hint="eastAsia" w:ascii="仿宋" w:hAnsi="仿宋" w:eastAsia="仿宋" w:cs="仿宋"/>
          <w:b/>
          <w:bCs/>
          <w:color w:val="FF0000"/>
          <w:sz w:val="24"/>
          <w:u w:val="single"/>
        </w:rPr>
        <w:t>单数组成，其中：业主代表</w:t>
      </w:r>
      <w:r>
        <w:rPr>
          <w:rFonts w:hint="eastAsia" w:ascii="仿宋" w:hAnsi="仿宋" w:eastAsia="仿宋" w:cs="仿宋"/>
          <w:b/>
          <w:bCs/>
          <w:color w:val="00B0F0"/>
          <w:sz w:val="24"/>
          <w:u w:val="single"/>
        </w:rPr>
        <w:t>1人</w:t>
      </w:r>
      <w:r>
        <w:rPr>
          <w:rFonts w:hint="eastAsia" w:ascii="仿宋" w:hAnsi="仿宋" w:eastAsia="仿宋" w:cs="仿宋"/>
          <w:b/>
          <w:bCs/>
          <w:color w:val="FF0000"/>
          <w:sz w:val="24"/>
          <w:u w:val="single"/>
        </w:rPr>
        <w:t>，评委</w:t>
      </w:r>
      <w:r>
        <w:rPr>
          <w:rFonts w:hint="eastAsia" w:ascii="仿宋" w:hAnsi="仿宋" w:eastAsia="仿宋" w:cs="仿宋"/>
          <w:b/>
          <w:bCs/>
          <w:color w:val="00B0F0"/>
          <w:sz w:val="24"/>
          <w:u w:val="single"/>
        </w:rPr>
        <w:t>4人</w:t>
      </w:r>
      <w:r>
        <w:rPr>
          <w:rFonts w:hint="eastAsia" w:ascii="仿宋" w:hAnsi="仿宋" w:eastAsia="仿宋" w:cs="仿宋"/>
          <w:b/>
          <w:bCs/>
          <w:color w:val="FF0000"/>
          <w:sz w:val="24"/>
          <w:u w:val="single"/>
        </w:rPr>
        <w:t>（政采云专家库随机抽取）。</w:t>
      </w:r>
    </w:p>
    <w:p w14:paraId="4365B68F">
      <w:pPr>
        <w:pStyle w:val="5"/>
        <w:spacing w:before="0" w:after="0"/>
        <w:textAlignment w:val="baseline"/>
        <w:rPr>
          <w:rFonts w:ascii="仿宋" w:hAnsi="仿宋" w:eastAsia="仿宋" w:cs="仿宋"/>
          <w:b w:val="0"/>
          <w:bCs/>
          <w:bdr w:val="single" w:color="auto" w:sz="4" w:space="0"/>
        </w:rPr>
      </w:pPr>
      <w:bookmarkStart w:id="442" w:name="_Toc6973"/>
      <w:bookmarkStart w:id="443" w:name="_Toc25418"/>
      <w:bookmarkStart w:id="444" w:name="_Toc29906"/>
      <w:bookmarkStart w:id="445" w:name="_Toc28479"/>
      <w:bookmarkStart w:id="446" w:name="_Toc23586"/>
      <w:bookmarkStart w:id="447" w:name="_Toc2541"/>
      <w:bookmarkStart w:id="448" w:name="_Toc5695"/>
      <w:bookmarkStart w:id="449" w:name="_Toc1238"/>
      <w:bookmarkStart w:id="450" w:name="_Toc13960"/>
      <w:bookmarkStart w:id="451" w:name="_Toc4341"/>
      <w:bookmarkStart w:id="452" w:name="_Toc19949"/>
      <w:bookmarkStart w:id="453" w:name="_Toc515647781"/>
      <w:bookmarkStart w:id="454" w:name="_Toc21183"/>
      <w:bookmarkStart w:id="455" w:name="_Toc20899"/>
      <w:bookmarkStart w:id="456" w:name="_Toc26332"/>
      <w:bookmarkStart w:id="457" w:name="_Toc12297"/>
      <w:bookmarkStart w:id="458" w:name="_Toc30633"/>
      <w:r>
        <w:rPr>
          <w:rFonts w:hint="eastAsia" w:ascii="仿宋" w:hAnsi="仿宋" w:eastAsia="仿宋" w:cs="仿宋"/>
        </w:rPr>
        <w:t>20.投标文件</w:t>
      </w:r>
      <w:bookmarkEnd w:id="441"/>
      <w:r>
        <w:rPr>
          <w:rFonts w:hint="eastAsia" w:ascii="仿宋" w:hAnsi="仿宋" w:eastAsia="仿宋" w:cs="仿宋"/>
        </w:rPr>
        <w:t>符合性审查与澄清</w:t>
      </w:r>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p>
    <w:p w14:paraId="6B6D00EF">
      <w:pPr>
        <w:textAlignment w:val="baseline"/>
        <w:rPr>
          <w:rFonts w:ascii="仿宋" w:hAnsi="仿宋" w:eastAsia="仿宋" w:cs="仿宋"/>
          <w:sz w:val="24"/>
        </w:rPr>
      </w:pPr>
      <w:r>
        <w:rPr>
          <w:rFonts w:hint="eastAsia" w:ascii="仿宋" w:hAnsi="仿宋" w:eastAsia="仿宋" w:cs="仿宋"/>
          <w:sz w:val="24"/>
        </w:rPr>
        <w:t>20.1   符合性审查是指依据招标文件的规定，从投标文件的有效性和完整性对招标文件的响应程度进行审查，以确定是否对招标文件的实质性要求做出响应。</w:t>
      </w:r>
      <w:bookmarkStart w:id="459" w:name="_Hlt522424701"/>
      <w:bookmarkEnd w:id="459"/>
      <w:bookmarkStart w:id="460" w:name="_Toc520356167"/>
    </w:p>
    <w:p w14:paraId="371B1BE2">
      <w:pPr>
        <w:textAlignment w:val="baseline"/>
        <w:rPr>
          <w:rFonts w:ascii="仿宋" w:hAnsi="仿宋" w:eastAsia="仿宋" w:cs="仿宋"/>
          <w:sz w:val="24"/>
        </w:rPr>
      </w:pPr>
      <w:r>
        <w:rPr>
          <w:rFonts w:hint="eastAsia" w:ascii="仿宋" w:hAnsi="仿宋" w:eastAsia="仿宋" w:cs="仿宋"/>
          <w:sz w:val="24"/>
        </w:rPr>
        <w:t>20.2</w:t>
      </w:r>
      <w:r>
        <w:rPr>
          <w:rFonts w:hint="eastAsia" w:ascii="仿宋" w:hAnsi="仿宋" w:eastAsia="仿宋" w:cs="仿宋"/>
          <w:sz w:val="24"/>
        </w:rPr>
        <w:tab/>
      </w:r>
      <w:r>
        <w:rPr>
          <w:rFonts w:hint="eastAsia" w:ascii="仿宋" w:hAnsi="仿宋" w:eastAsia="仿宋" w:cs="仿宋"/>
          <w:sz w:val="24"/>
        </w:rPr>
        <w:t>投标文件的澄清</w:t>
      </w:r>
    </w:p>
    <w:p w14:paraId="1EE7B330">
      <w:pPr>
        <w:textAlignment w:val="baseline"/>
        <w:rPr>
          <w:rFonts w:ascii="仿宋" w:hAnsi="仿宋" w:eastAsia="仿宋" w:cs="仿宋"/>
          <w:sz w:val="24"/>
        </w:rPr>
      </w:pPr>
      <w:r>
        <w:rPr>
          <w:rFonts w:hint="eastAsia" w:ascii="仿宋" w:hAnsi="仿宋" w:eastAsia="仿宋" w:cs="仿宋"/>
          <w:sz w:val="24"/>
        </w:rPr>
        <w:t>20.2.1  在评标期间，评标委员会将以书面方式要求投标人对其投标文件中含义不明确、对同类问题表述不一致或者有明显文字和计算错误的内容，以及评标委员会认为投标人的报价明显低于其他通过符合性检查投标人的报价，有可能影响履约的情况作必要的澄清、说明或补正。投标人的澄清、说明或补正应在评标委员会规定的时间内以书面方式进行，并不得超出投标文件范围或者改变投标文件的实质性内容。</w:t>
      </w:r>
    </w:p>
    <w:p w14:paraId="0A011C0C">
      <w:pPr>
        <w:textAlignment w:val="baseline"/>
        <w:rPr>
          <w:rFonts w:ascii="仿宋" w:hAnsi="仿宋" w:eastAsia="仿宋" w:cs="仿宋"/>
          <w:sz w:val="24"/>
        </w:rPr>
      </w:pPr>
      <w:r>
        <w:rPr>
          <w:rFonts w:hint="eastAsia" w:ascii="仿宋" w:hAnsi="仿宋" w:eastAsia="仿宋" w:cs="仿宋"/>
          <w:sz w:val="24"/>
        </w:rPr>
        <w:t>20.2.2  投标人的的澄清、说明或补正将作为投标文件的一部分。</w:t>
      </w:r>
    </w:p>
    <w:p w14:paraId="6CD980A2">
      <w:pPr>
        <w:textAlignment w:val="baseline"/>
        <w:rPr>
          <w:rFonts w:ascii="仿宋" w:hAnsi="仿宋" w:eastAsia="仿宋" w:cs="仿宋"/>
          <w:b/>
          <w:bCs/>
          <w:sz w:val="24"/>
        </w:rPr>
      </w:pPr>
      <w:r>
        <w:rPr>
          <w:rFonts w:hint="eastAsia" w:ascii="仿宋" w:hAnsi="仿宋" w:eastAsia="仿宋" w:cs="仿宋"/>
          <w:b/>
          <w:bCs/>
          <w:sz w:val="24"/>
        </w:rPr>
        <w:t>20.3  投标文件报价出现前后不一致的，按照下列规定修正：</w:t>
      </w:r>
    </w:p>
    <w:p w14:paraId="5B9F63F3">
      <w:pPr>
        <w:textAlignment w:val="baseline"/>
        <w:rPr>
          <w:rFonts w:ascii="仿宋" w:hAnsi="仿宋" w:eastAsia="仿宋" w:cs="仿宋"/>
          <w:sz w:val="24"/>
        </w:rPr>
      </w:pPr>
      <w:r>
        <w:rPr>
          <w:rFonts w:hint="eastAsia" w:ascii="仿宋" w:hAnsi="仿宋" w:eastAsia="仿宋" w:cs="仿宋"/>
          <w:sz w:val="24"/>
        </w:rPr>
        <w:t xml:space="preserve">   （一）投标文件中开标一览表（报价表）内容与投标文件中相应内容不一致的，以开标一览表（报价表）为准；</w:t>
      </w:r>
    </w:p>
    <w:p w14:paraId="60DF087F">
      <w:pPr>
        <w:textAlignment w:val="baseline"/>
        <w:rPr>
          <w:rFonts w:ascii="仿宋" w:hAnsi="仿宋" w:eastAsia="仿宋" w:cs="仿宋"/>
          <w:sz w:val="24"/>
        </w:rPr>
      </w:pPr>
      <w:r>
        <w:rPr>
          <w:rFonts w:hint="eastAsia" w:ascii="仿宋" w:hAnsi="仿宋" w:eastAsia="仿宋" w:cs="仿宋"/>
          <w:sz w:val="24"/>
        </w:rPr>
        <w:t xml:space="preserve">   （二）大写金额和小写金额不一致的，以大写金额为准；</w:t>
      </w:r>
    </w:p>
    <w:p w14:paraId="2D3354C6">
      <w:pPr>
        <w:textAlignment w:val="baseline"/>
        <w:rPr>
          <w:rFonts w:ascii="仿宋" w:hAnsi="仿宋" w:eastAsia="仿宋" w:cs="仿宋"/>
          <w:sz w:val="24"/>
        </w:rPr>
      </w:pPr>
      <w:r>
        <w:rPr>
          <w:rFonts w:hint="eastAsia" w:ascii="仿宋" w:hAnsi="仿宋" w:eastAsia="仿宋" w:cs="仿宋"/>
          <w:sz w:val="24"/>
        </w:rPr>
        <w:t xml:space="preserve">   （三）单价金额小数点或者百分比有明显错位的，以开标一览表的总价为准，并修改单价；</w:t>
      </w:r>
    </w:p>
    <w:p w14:paraId="5DF798F4">
      <w:pPr>
        <w:textAlignment w:val="baseline"/>
        <w:rPr>
          <w:rFonts w:ascii="仿宋" w:hAnsi="仿宋" w:eastAsia="仿宋" w:cs="仿宋"/>
          <w:sz w:val="24"/>
        </w:rPr>
      </w:pPr>
      <w:r>
        <w:rPr>
          <w:rFonts w:hint="eastAsia" w:ascii="仿宋" w:hAnsi="仿宋" w:eastAsia="仿宋" w:cs="仿宋"/>
          <w:sz w:val="24"/>
        </w:rPr>
        <w:t xml:space="preserve">   （四）总价金额与按单价汇总金额不一致的，以单价金额计算结果为准。同时出现两种以上不一致的，按照前款规定的顺序修正。修正后的报价按照第20.2条的规定经投标人确认后产生约束力，投标人不确认的，其投标将被认定为</w:t>
      </w:r>
      <w:r>
        <w:rPr>
          <w:rFonts w:hint="eastAsia" w:ascii="仿宋" w:hAnsi="仿宋" w:eastAsia="仿宋" w:cs="仿宋"/>
          <w:b/>
          <w:bCs/>
          <w:sz w:val="24"/>
        </w:rPr>
        <w:t>投标无效</w:t>
      </w:r>
      <w:r>
        <w:rPr>
          <w:rFonts w:hint="eastAsia" w:ascii="仿宋" w:hAnsi="仿宋" w:eastAsia="仿宋" w:cs="仿宋"/>
          <w:sz w:val="24"/>
        </w:rPr>
        <w:t>。</w:t>
      </w:r>
    </w:p>
    <w:p w14:paraId="54851698">
      <w:pPr>
        <w:textAlignment w:val="baseline"/>
        <w:rPr>
          <w:rFonts w:ascii="仿宋" w:hAnsi="仿宋" w:eastAsia="仿宋" w:cs="仿宋"/>
          <w:sz w:val="24"/>
        </w:rPr>
      </w:pPr>
      <w:r>
        <w:rPr>
          <w:rFonts w:hint="eastAsia" w:ascii="仿宋" w:hAnsi="仿宋" w:eastAsia="仿宋" w:cs="仿宋"/>
          <w:sz w:val="24"/>
        </w:rPr>
        <w:t>对不同文字文本投标文件的解释发生异议的，以中文文本为准。</w:t>
      </w:r>
    </w:p>
    <w:p w14:paraId="110246D1">
      <w:pPr>
        <w:textAlignment w:val="baseline"/>
        <w:rPr>
          <w:rFonts w:ascii="仿宋" w:hAnsi="仿宋" w:eastAsia="仿宋" w:cs="仿宋"/>
          <w:b/>
          <w:bCs/>
          <w:sz w:val="24"/>
        </w:rPr>
      </w:pPr>
      <w:r>
        <w:rPr>
          <w:rFonts w:hint="eastAsia" w:ascii="仿宋" w:hAnsi="仿宋" w:eastAsia="仿宋" w:cs="仿宋"/>
          <w:b/>
          <w:bCs/>
          <w:sz w:val="24"/>
        </w:rPr>
        <w:t>20.4   如一个分包内只有一种产品，不同投标人所投产品为同一品牌的，按如下方式处理：</w:t>
      </w:r>
    </w:p>
    <w:p w14:paraId="0FB4988C">
      <w:pPr>
        <w:textAlignment w:val="baseline"/>
        <w:rPr>
          <w:rFonts w:ascii="仿宋" w:hAnsi="仿宋" w:eastAsia="仿宋" w:cs="仿宋"/>
          <w:sz w:val="24"/>
        </w:rPr>
      </w:pPr>
      <w:r>
        <w:rPr>
          <w:rFonts w:hint="eastAsia" w:ascii="仿宋" w:hAnsi="仿宋" w:eastAsia="仿宋" w:cs="仿宋"/>
          <w:sz w:val="24"/>
        </w:rPr>
        <w:t>20.4.1  如本项目使用最低评标价法，提供相同品牌产品的不同投标人以其中通过资格审查、符合性审查且报价最低的参加评标；报价相同的，由采购人或者采购人委托评标委员会按照招标文件第六章中评标办法规定的方式确定一个参加评标的投标人；未规定的采取随机抽取方式确定，其他投标将被认定为</w:t>
      </w:r>
      <w:r>
        <w:rPr>
          <w:rFonts w:hint="eastAsia" w:ascii="仿宋" w:hAnsi="仿宋" w:eastAsia="仿宋" w:cs="仿宋"/>
          <w:b/>
          <w:bCs/>
          <w:sz w:val="24"/>
        </w:rPr>
        <w:t>投标无效</w:t>
      </w:r>
      <w:r>
        <w:rPr>
          <w:rFonts w:hint="eastAsia" w:ascii="仿宋" w:hAnsi="仿宋" w:eastAsia="仿宋" w:cs="仿宋"/>
          <w:sz w:val="24"/>
        </w:rPr>
        <w:t>。</w:t>
      </w:r>
    </w:p>
    <w:p w14:paraId="33087EC6">
      <w:pPr>
        <w:textAlignment w:val="baseline"/>
        <w:rPr>
          <w:rFonts w:ascii="仿宋" w:hAnsi="仿宋" w:eastAsia="仿宋" w:cs="仿宋"/>
          <w:sz w:val="24"/>
        </w:rPr>
      </w:pPr>
      <w:r>
        <w:rPr>
          <w:rFonts w:hint="eastAsia" w:ascii="仿宋" w:hAnsi="仿宋" w:eastAsia="仿宋" w:cs="仿宋"/>
          <w:sz w:val="24"/>
        </w:rPr>
        <w:t>20.4.2  如本项目使用综合评分法，提供相同品牌产品且通过资格审查、符合性审查的不同投标人，按一家投标人计算，评审后得分最高的同品牌投标人获得中标人推荐资格；评审得分相同的，由采购人或者采购人委托评标委员会按照招标文件第六章中评标办法规定的方式确定一个投标人获得中标人推荐资格；未规定的采取随机抽取方式确定，其他同品牌投标人不作为中标候选人。</w:t>
      </w:r>
    </w:p>
    <w:p w14:paraId="405302AD">
      <w:pPr>
        <w:textAlignment w:val="baseline"/>
        <w:rPr>
          <w:rFonts w:ascii="仿宋" w:hAnsi="仿宋" w:eastAsia="仿宋" w:cs="仿宋"/>
          <w:sz w:val="24"/>
        </w:rPr>
      </w:pPr>
      <w:r>
        <w:rPr>
          <w:rFonts w:hint="eastAsia" w:ascii="仿宋" w:hAnsi="仿宋" w:eastAsia="仿宋" w:cs="仿宋"/>
          <w:sz w:val="24"/>
        </w:rPr>
        <w:t>20.5   投标人所投产品如被列入财政部与国家主管部门颁发的节能产品目录或环境标志产品目录，应提供相关证明，在评标时予以优先采购，具体优先采购办法见第六章评标方法和标准。</w:t>
      </w:r>
    </w:p>
    <w:p w14:paraId="0B6A37BE">
      <w:pPr>
        <w:textAlignment w:val="baseline"/>
        <w:rPr>
          <w:rFonts w:ascii="仿宋" w:hAnsi="仿宋" w:eastAsia="仿宋" w:cs="仿宋"/>
          <w:sz w:val="24"/>
        </w:rPr>
      </w:pPr>
      <w:r>
        <w:rPr>
          <w:rFonts w:hint="eastAsia" w:ascii="仿宋" w:hAnsi="仿宋" w:eastAsia="仿宋" w:cs="仿宋"/>
          <w:sz w:val="24"/>
        </w:rPr>
        <w:t xml:space="preserve">      如采购人所采购产品为政府强制采购的节能产品，投标人所投产品的品牌及型号必须为清单中有效期内产品并提供证明文件，否则其投标将被认定为</w:t>
      </w:r>
      <w:r>
        <w:rPr>
          <w:rFonts w:hint="eastAsia" w:ascii="仿宋" w:hAnsi="仿宋" w:eastAsia="仿宋" w:cs="仿宋"/>
          <w:b/>
          <w:bCs/>
          <w:sz w:val="24"/>
        </w:rPr>
        <w:t>投标无效</w:t>
      </w:r>
      <w:r>
        <w:rPr>
          <w:rFonts w:hint="eastAsia" w:ascii="仿宋" w:hAnsi="仿宋" w:eastAsia="仿宋" w:cs="仿宋"/>
          <w:sz w:val="24"/>
        </w:rPr>
        <w:t>。</w:t>
      </w:r>
    </w:p>
    <w:p w14:paraId="5AA0EA9C">
      <w:pPr>
        <w:pStyle w:val="5"/>
        <w:spacing w:before="0" w:after="0"/>
        <w:textAlignment w:val="baseline"/>
        <w:rPr>
          <w:rFonts w:ascii="仿宋" w:hAnsi="仿宋" w:eastAsia="仿宋" w:cs="仿宋"/>
        </w:rPr>
      </w:pPr>
      <w:bookmarkStart w:id="461" w:name="_Toc5986"/>
      <w:bookmarkStart w:id="462" w:name="_Toc5666"/>
      <w:bookmarkStart w:id="463" w:name="_Toc24227"/>
      <w:bookmarkStart w:id="464" w:name="_Toc6364"/>
      <w:bookmarkStart w:id="465" w:name="_Toc15064"/>
      <w:bookmarkStart w:id="466" w:name="_Toc12839"/>
      <w:bookmarkStart w:id="467" w:name="_Toc19169"/>
      <w:bookmarkStart w:id="468" w:name="_Toc18529"/>
      <w:bookmarkStart w:id="469" w:name="_Toc9469"/>
      <w:bookmarkStart w:id="470" w:name="_Toc17153"/>
      <w:bookmarkStart w:id="471" w:name="_Toc15628"/>
      <w:bookmarkStart w:id="472" w:name="_Toc6003"/>
      <w:bookmarkStart w:id="473" w:name="_Toc8063"/>
      <w:bookmarkStart w:id="474" w:name="_Toc19326"/>
      <w:bookmarkStart w:id="475" w:name="_Toc515647782"/>
      <w:bookmarkStart w:id="476" w:name="_Toc25623"/>
      <w:bookmarkStart w:id="477" w:name="_Toc5230"/>
      <w:r>
        <w:rPr>
          <w:rFonts w:hint="eastAsia" w:ascii="仿宋" w:hAnsi="仿宋" w:eastAsia="仿宋" w:cs="仿宋"/>
        </w:rPr>
        <w:t>21.投标偏离</w:t>
      </w:r>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p>
    <w:p w14:paraId="71C3651D">
      <w:pPr>
        <w:textAlignment w:val="baseline"/>
        <w:rPr>
          <w:rFonts w:ascii="仿宋" w:hAnsi="仿宋" w:eastAsia="仿宋" w:cs="仿宋"/>
          <w:sz w:val="24"/>
        </w:rPr>
      </w:pPr>
      <w:r>
        <w:rPr>
          <w:rFonts w:hint="eastAsia" w:ascii="仿宋" w:hAnsi="仿宋" w:eastAsia="仿宋" w:cs="仿宋"/>
          <w:sz w:val="24"/>
        </w:rPr>
        <w:t xml:space="preserve">     评标委员会可以接受投标文件中不构成实质性偏离的不正规或不一致。</w:t>
      </w:r>
    </w:p>
    <w:p w14:paraId="576D9CBD">
      <w:pPr>
        <w:pStyle w:val="5"/>
        <w:spacing w:before="0" w:after="0"/>
        <w:textAlignment w:val="baseline"/>
        <w:rPr>
          <w:rFonts w:ascii="仿宋" w:hAnsi="仿宋" w:eastAsia="仿宋" w:cs="仿宋"/>
        </w:rPr>
      </w:pPr>
      <w:bookmarkStart w:id="478" w:name="_Toc515647783"/>
      <w:bookmarkStart w:id="479" w:name="_Toc18719"/>
      <w:bookmarkStart w:id="480" w:name="_Toc23936"/>
      <w:bookmarkStart w:id="481" w:name="_Toc21597"/>
      <w:bookmarkStart w:id="482" w:name="_Toc6092"/>
      <w:bookmarkStart w:id="483" w:name="_Toc17567"/>
      <w:bookmarkStart w:id="484" w:name="_Toc4950"/>
      <w:bookmarkStart w:id="485" w:name="_Toc5894"/>
      <w:bookmarkStart w:id="486" w:name="_Toc16152"/>
      <w:bookmarkStart w:id="487" w:name="_Toc8784"/>
      <w:bookmarkStart w:id="488" w:name="_Toc506"/>
      <w:bookmarkStart w:id="489" w:name="_Toc32270"/>
      <w:bookmarkStart w:id="490" w:name="_Toc15752"/>
      <w:bookmarkStart w:id="491" w:name="_Toc7006"/>
      <w:bookmarkStart w:id="492" w:name="_Toc21314"/>
      <w:bookmarkStart w:id="493" w:name="_Toc21189"/>
      <w:bookmarkStart w:id="494" w:name="_Toc21694"/>
      <w:r>
        <w:rPr>
          <w:rFonts w:hint="eastAsia" w:ascii="仿宋" w:hAnsi="仿宋" w:eastAsia="仿宋" w:cs="仿宋"/>
        </w:rPr>
        <w:t>22.投标</w:t>
      </w:r>
      <w:bookmarkEnd w:id="478"/>
      <w:r>
        <w:rPr>
          <w:rFonts w:hint="eastAsia" w:ascii="仿宋" w:hAnsi="仿宋" w:eastAsia="仿宋" w:cs="仿宋"/>
        </w:rPr>
        <w:t>无效</w:t>
      </w:r>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p>
    <w:p w14:paraId="34407B21">
      <w:pPr>
        <w:textAlignment w:val="baseline"/>
        <w:rPr>
          <w:rFonts w:ascii="仿宋" w:hAnsi="仿宋" w:eastAsia="仿宋" w:cs="仿宋"/>
          <w:sz w:val="24"/>
        </w:rPr>
      </w:pPr>
      <w:r>
        <w:rPr>
          <w:rFonts w:hint="eastAsia" w:ascii="仿宋" w:hAnsi="仿宋" w:eastAsia="仿宋" w:cs="仿宋"/>
          <w:sz w:val="24"/>
        </w:rPr>
        <w:t>22.1   在比较与评价之前，根据本须知的规定，评标委员会要审查每份投标文件是否实质上响应了招标文件的要求。实质上响应的投标应该是与招标文件要求的全部条款、条件和规格相符，没有重大偏离的投标。对关键条款的偏离，将被认定为</w:t>
      </w:r>
      <w:r>
        <w:rPr>
          <w:rFonts w:hint="eastAsia" w:ascii="仿宋" w:hAnsi="仿宋" w:eastAsia="仿宋" w:cs="仿宋"/>
          <w:b/>
          <w:bCs/>
          <w:sz w:val="24"/>
        </w:rPr>
        <w:t>投标无效</w:t>
      </w:r>
      <w:r>
        <w:rPr>
          <w:rFonts w:hint="eastAsia" w:ascii="仿宋" w:hAnsi="仿宋" w:eastAsia="仿宋" w:cs="仿宋"/>
          <w:sz w:val="24"/>
        </w:rPr>
        <w:t>。投标人不得通过修正或撤销不符合要求的偏离，从而使其投标成为实质上响应的投标。</w:t>
      </w:r>
    </w:p>
    <w:p w14:paraId="09B51835">
      <w:pPr>
        <w:textAlignment w:val="baseline"/>
        <w:rPr>
          <w:rFonts w:ascii="仿宋" w:hAnsi="仿宋" w:eastAsia="仿宋" w:cs="仿宋"/>
          <w:sz w:val="24"/>
        </w:rPr>
      </w:pPr>
      <w:r>
        <w:rPr>
          <w:rFonts w:hint="eastAsia" w:ascii="仿宋" w:hAnsi="仿宋" w:eastAsia="仿宋" w:cs="仿宋"/>
          <w:sz w:val="24"/>
        </w:rPr>
        <w:t>评标委员会决定投标的响应性只根据招标文件要求、投标文件内容及财政主管部门指定相关信息发布媒体。</w:t>
      </w:r>
    </w:p>
    <w:p w14:paraId="4B8CA9E2">
      <w:pPr>
        <w:textAlignment w:val="baseline"/>
        <w:rPr>
          <w:rFonts w:ascii="仿宋" w:hAnsi="仿宋" w:eastAsia="仿宋" w:cs="仿宋"/>
          <w:b/>
          <w:bCs/>
          <w:sz w:val="24"/>
        </w:rPr>
      </w:pPr>
      <w:r>
        <w:rPr>
          <w:rFonts w:hint="eastAsia" w:ascii="仿宋" w:hAnsi="仿宋" w:eastAsia="仿宋" w:cs="仿宋"/>
          <w:sz w:val="24"/>
        </w:rPr>
        <w:t>22.2</w:t>
      </w:r>
      <w:r>
        <w:rPr>
          <w:rFonts w:hint="eastAsia" w:ascii="仿宋" w:hAnsi="仿宋" w:eastAsia="仿宋" w:cs="仿宋"/>
          <w:sz w:val="24"/>
        </w:rPr>
        <w:tab/>
      </w:r>
      <w:r>
        <w:rPr>
          <w:rFonts w:hint="eastAsia" w:ascii="仿宋" w:hAnsi="仿宋" w:eastAsia="仿宋" w:cs="仿宋"/>
          <w:b/>
          <w:bCs/>
          <w:sz w:val="24"/>
        </w:rPr>
        <w:t>如发现下列情况之一的，其投标将被认定为投标无效：（以下情形应当在招标文件中规定，并以醒目的方式标明）</w:t>
      </w:r>
    </w:p>
    <w:p w14:paraId="0B7690BE">
      <w:pPr>
        <w:textAlignment w:val="baseline"/>
        <w:rPr>
          <w:rFonts w:ascii="仿宋" w:hAnsi="仿宋" w:eastAsia="仿宋" w:cs="仿宋"/>
          <w:sz w:val="24"/>
        </w:rPr>
      </w:pPr>
      <w:r>
        <w:rPr>
          <w:rFonts w:hint="eastAsia" w:ascii="仿宋" w:hAnsi="仿宋" w:eastAsia="仿宋" w:cs="仿宋"/>
          <w:sz w:val="24"/>
        </w:rPr>
        <w:t>（1）未按招标文件规定的形式和金额提交投标保证金的；</w:t>
      </w:r>
    </w:p>
    <w:p w14:paraId="00F8F12D">
      <w:pPr>
        <w:textAlignment w:val="baseline"/>
        <w:rPr>
          <w:rFonts w:ascii="仿宋" w:hAnsi="仿宋" w:eastAsia="仿宋" w:cs="仿宋"/>
          <w:sz w:val="24"/>
        </w:rPr>
      </w:pPr>
      <w:r>
        <w:rPr>
          <w:rFonts w:hint="eastAsia" w:ascii="仿宋" w:hAnsi="仿宋" w:eastAsia="仿宋" w:cs="仿宋"/>
          <w:sz w:val="24"/>
        </w:rPr>
        <w:t>（2）未按照招标文件规定要求签署、盖章的；</w:t>
      </w:r>
    </w:p>
    <w:p w14:paraId="489FF013">
      <w:pPr>
        <w:textAlignment w:val="baseline"/>
        <w:rPr>
          <w:rFonts w:ascii="仿宋" w:hAnsi="仿宋" w:eastAsia="仿宋" w:cs="仿宋"/>
          <w:sz w:val="24"/>
        </w:rPr>
      </w:pPr>
      <w:r>
        <w:rPr>
          <w:rFonts w:hint="eastAsia" w:ascii="仿宋" w:hAnsi="仿宋" w:eastAsia="仿宋" w:cs="仿宋"/>
          <w:sz w:val="24"/>
        </w:rPr>
        <w:t>（3）未满足招标文件中技术条款的实质性要求；</w:t>
      </w:r>
    </w:p>
    <w:p w14:paraId="4354A8B6">
      <w:pPr>
        <w:textAlignment w:val="baseline"/>
        <w:rPr>
          <w:rFonts w:ascii="仿宋" w:hAnsi="仿宋" w:eastAsia="仿宋" w:cs="仿宋"/>
          <w:sz w:val="24"/>
        </w:rPr>
      </w:pPr>
      <w:r>
        <w:rPr>
          <w:rFonts w:hint="eastAsia" w:ascii="仿宋" w:hAnsi="仿宋" w:eastAsia="仿宋" w:cs="仿宋"/>
          <w:sz w:val="24"/>
        </w:rPr>
        <w:t>（4）与其他投标人串通投标，或者与招标人串通投标；</w:t>
      </w:r>
    </w:p>
    <w:p w14:paraId="0A448074">
      <w:pPr>
        <w:textAlignment w:val="baseline"/>
        <w:rPr>
          <w:rFonts w:ascii="仿宋" w:hAnsi="仿宋" w:eastAsia="仿宋" w:cs="仿宋"/>
          <w:sz w:val="24"/>
        </w:rPr>
      </w:pPr>
      <w:r>
        <w:rPr>
          <w:rFonts w:hint="eastAsia" w:ascii="仿宋" w:hAnsi="仿宋" w:eastAsia="仿宋" w:cs="仿宋"/>
          <w:sz w:val="24"/>
        </w:rPr>
        <w:t>（5）属于招标文件规定的其他</w:t>
      </w:r>
      <w:r>
        <w:rPr>
          <w:rFonts w:hint="eastAsia" w:ascii="仿宋" w:hAnsi="仿宋" w:eastAsia="仿宋" w:cs="仿宋"/>
          <w:b/>
          <w:bCs/>
          <w:sz w:val="24"/>
        </w:rPr>
        <w:t>投标无效</w:t>
      </w:r>
      <w:r>
        <w:rPr>
          <w:rFonts w:hint="eastAsia" w:ascii="仿宋" w:hAnsi="仿宋" w:eastAsia="仿宋" w:cs="仿宋"/>
          <w:sz w:val="24"/>
        </w:rPr>
        <w:t>情形；</w:t>
      </w:r>
    </w:p>
    <w:p w14:paraId="78BB9A37">
      <w:pPr>
        <w:textAlignment w:val="baseline"/>
        <w:rPr>
          <w:rFonts w:ascii="仿宋" w:hAnsi="仿宋" w:eastAsia="仿宋" w:cs="仿宋"/>
          <w:sz w:val="24"/>
        </w:rPr>
      </w:pPr>
      <w:r>
        <w:rPr>
          <w:rFonts w:hint="eastAsia" w:ascii="仿宋" w:hAnsi="仿宋" w:eastAsia="仿宋" w:cs="仿宋"/>
          <w:sz w:val="24"/>
        </w:rPr>
        <w:t>（6）评标委员会认为投标人的报价明显低于其他通过符合性检查投标人的报价，有可能影响履约的，且投标人未按照规定证明其报价合理性的；</w:t>
      </w:r>
    </w:p>
    <w:p w14:paraId="3D1EA9F0">
      <w:pPr>
        <w:textAlignment w:val="baseline"/>
        <w:rPr>
          <w:rFonts w:ascii="仿宋" w:hAnsi="仿宋" w:eastAsia="仿宋" w:cs="仿宋"/>
          <w:sz w:val="24"/>
        </w:rPr>
      </w:pPr>
      <w:r>
        <w:rPr>
          <w:rFonts w:hint="eastAsia" w:ascii="仿宋" w:hAnsi="仿宋" w:eastAsia="仿宋" w:cs="仿宋"/>
          <w:sz w:val="24"/>
        </w:rPr>
        <w:t>（7）投标文件含有采购人不能接受的附加条件的；</w:t>
      </w:r>
    </w:p>
    <w:p w14:paraId="4305CC43">
      <w:pPr>
        <w:textAlignment w:val="baseline"/>
        <w:rPr>
          <w:rFonts w:ascii="仿宋" w:hAnsi="仿宋" w:eastAsia="仿宋" w:cs="仿宋"/>
          <w:b/>
          <w:sz w:val="24"/>
        </w:rPr>
      </w:pPr>
      <w:r>
        <w:rPr>
          <w:rFonts w:hint="eastAsia" w:ascii="仿宋" w:hAnsi="仿宋" w:eastAsia="仿宋" w:cs="仿宋"/>
          <w:sz w:val="24"/>
        </w:rPr>
        <w:t>（8）不符合法规和招标文件中规定的其他实质性要求的。</w:t>
      </w:r>
      <w:bookmarkStart w:id="495" w:name="_Toc22941"/>
      <w:bookmarkStart w:id="496" w:name="_Toc8521"/>
      <w:bookmarkStart w:id="497" w:name="_Toc13652"/>
      <w:bookmarkStart w:id="498" w:name="_Toc1001"/>
      <w:bookmarkStart w:id="499" w:name="_Toc515647784"/>
    </w:p>
    <w:p w14:paraId="2320119B">
      <w:pPr>
        <w:textAlignment w:val="baseline"/>
        <w:rPr>
          <w:rFonts w:ascii="仿宋" w:hAnsi="仿宋" w:eastAsia="仿宋" w:cs="仿宋"/>
          <w:sz w:val="24"/>
        </w:rPr>
      </w:pPr>
      <w:r>
        <w:rPr>
          <w:rFonts w:hint="eastAsia" w:ascii="仿宋" w:hAnsi="仿宋" w:eastAsia="仿宋" w:cs="仿宋"/>
          <w:sz w:val="24"/>
        </w:rPr>
        <w:t>22.3  有下列情形之一的，属于恶意串通，对投标人依照政府采购法第七十七条第一款的规定追究法律责任，对采购人、采购代理机构及其工作人员依照政府采购法第七十二条的规定追究法律责任：</w:t>
      </w:r>
    </w:p>
    <w:p w14:paraId="24EC11BE">
      <w:pPr>
        <w:textAlignment w:val="baseline"/>
        <w:rPr>
          <w:rFonts w:ascii="仿宋" w:hAnsi="仿宋" w:eastAsia="仿宋" w:cs="仿宋"/>
          <w:sz w:val="24"/>
        </w:rPr>
      </w:pPr>
      <w:r>
        <w:rPr>
          <w:rFonts w:hint="eastAsia" w:ascii="仿宋" w:hAnsi="仿宋" w:eastAsia="仿宋" w:cs="仿宋"/>
          <w:sz w:val="24"/>
        </w:rPr>
        <w:t>（1）投标人直接或者间接从采购人或者采购代理机构处获得其他投标人的相关情况并修改其投标文件或者投标文件；</w:t>
      </w:r>
    </w:p>
    <w:p w14:paraId="58CEB598">
      <w:pPr>
        <w:textAlignment w:val="baseline"/>
        <w:rPr>
          <w:rFonts w:ascii="仿宋" w:hAnsi="仿宋" w:eastAsia="仿宋" w:cs="仿宋"/>
          <w:sz w:val="24"/>
        </w:rPr>
      </w:pPr>
      <w:r>
        <w:rPr>
          <w:rFonts w:hint="eastAsia" w:ascii="仿宋" w:hAnsi="仿宋" w:eastAsia="仿宋" w:cs="仿宋"/>
          <w:sz w:val="24"/>
        </w:rPr>
        <w:t>（2）投标人按照采购人或者采购代理机构的授意撤换、修改投标文件或者投标文件；</w:t>
      </w:r>
    </w:p>
    <w:p w14:paraId="6B0E5B50">
      <w:pPr>
        <w:textAlignment w:val="baseline"/>
        <w:rPr>
          <w:rFonts w:ascii="仿宋" w:hAnsi="仿宋" w:eastAsia="仿宋" w:cs="仿宋"/>
          <w:sz w:val="24"/>
        </w:rPr>
      </w:pPr>
      <w:r>
        <w:rPr>
          <w:rFonts w:hint="eastAsia" w:ascii="仿宋" w:hAnsi="仿宋" w:eastAsia="仿宋" w:cs="仿宋"/>
          <w:sz w:val="24"/>
        </w:rPr>
        <w:t>（3）投标人之间协商报价、技术方案等投标文件或者投标文件的实质性内容；</w:t>
      </w:r>
    </w:p>
    <w:p w14:paraId="29448948">
      <w:pPr>
        <w:textAlignment w:val="baseline"/>
        <w:rPr>
          <w:rFonts w:ascii="仿宋" w:hAnsi="仿宋" w:eastAsia="仿宋" w:cs="仿宋"/>
          <w:sz w:val="24"/>
        </w:rPr>
      </w:pPr>
      <w:r>
        <w:rPr>
          <w:rFonts w:hint="eastAsia" w:ascii="仿宋" w:hAnsi="仿宋" w:eastAsia="仿宋" w:cs="仿宋"/>
          <w:sz w:val="24"/>
        </w:rPr>
        <w:t>（4）属于同一集团、协会、商会等组织成员的投标人按照该组织要求协同参加政府采购活动；</w:t>
      </w:r>
    </w:p>
    <w:p w14:paraId="6AAA08DF">
      <w:pPr>
        <w:textAlignment w:val="baseline"/>
        <w:rPr>
          <w:rFonts w:ascii="仿宋" w:hAnsi="仿宋" w:eastAsia="仿宋" w:cs="仿宋"/>
          <w:sz w:val="24"/>
        </w:rPr>
      </w:pPr>
      <w:r>
        <w:rPr>
          <w:rFonts w:hint="eastAsia" w:ascii="仿宋" w:hAnsi="仿宋" w:eastAsia="仿宋" w:cs="仿宋"/>
          <w:sz w:val="24"/>
        </w:rPr>
        <w:t>（5）投标人之间事先约定由某一特定投标人中标、成交；</w:t>
      </w:r>
    </w:p>
    <w:p w14:paraId="1922AFB1">
      <w:pPr>
        <w:textAlignment w:val="baseline"/>
        <w:rPr>
          <w:rFonts w:ascii="仿宋" w:hAnsi="仿宋" w:eastAsia="仿宋" w:cs="仿宋"/>
          <w:sz w:val="24"/>
        </w:rPr>
      </w:pPr>
      <w:r>
        <w:rPr>
          <w:rFonts w:hint="eastAsia" w:ascii="仿宋" w:hAnsi="仿宋" w:eastAsia="仿宋" w:cs="仿宋"/>
          <w:sz w:val="24"/>
        </w:rPr>
        <w:t>（6）投标人之间商定部分投标人放弃参加政府采购活动或者放弃中标、成交；</w:t>
      </w:r>
    </w:p>
    <w:p w14:paraId="1E100793">
      <w:pPr>
        <w:textAlignment w:val="baseline"/>
        <w:rPr>
          <w:rFonts w:ascii="仿宋" w:hAnsi="仿宋" w:eastAsia="仿宋" w:cs="仿宋"/>
          <w:sz w:val="24"/>
        </w:rPr>
      </w:pPr>
      <w:r>
        <w:rPr>
          <w:rFonts w:hint="eastAsia" w:ascii="仿宋" w:hAnsi="仿宋" w:eastAsia="仿宋" w:cs="仿宋"/>
          <w:sz w:val="24"/>
        </w:rPr>
        <w:t>（7）投标人与采购人或者采购代理机构之间、投标人相互之间，为谋求特定投标人中标、成交或者排斥其他投标人的其他串通行为。</w:t>
      </w:r>
    </w:p>
    <w:bookmarkEnd w:id="460"/>
    <w:bookmarkEnd w:id="495"/>
    <w:bookmarkEnd w:id="496"/>
    <w:bookmarkEnd w:id="497"/>
    <w:bookmarkEnd w:id="498"/>
    <w:bookmarkEnd w:id="499"/>
    <w:p w14:paraId="3FEB69A4">
      <w:pPr>
        <w:pStyle w:val="11"/>
        <w:widowControl/>
        <w:kinsoku w:val="0"/>
        <w:autoSpaceDE w:val="0"/>
        <w:autoSpaceDN w:val="0"/>
        <w:adjustRightInd w:val="0"/>
        <w:snapToGrid w:val="0"/>
        <w:spacing w:line="240" w:lineRule="auto"/>
        <w:jc w:val="left"/>
        <w:textAlignment w:val="baseline"/>
        <w:outlineLvl w:val="2"/>
        <w:rPr>
          <w:rFonts w:ascii="仿宋" w:hAnsi="仿宋" w:eastAsia="仿宋" w:cs="仿宋"/>
          <w:sz w:val="23"/>
          <w:szCs w:val="23"/>
        </w:rPr>
      </w:pPr>
      <w:bookmarkStart w:id="500" w:name="_Toc3083"/>
      <w:bookmarkStart w:id="501" w:name="_Toc23678"/>
      <w:bookmarkStart w:id="502" w:name="_Toc30751"/>
      <w:bookmarkStart w:id="503" w:name="_Toc518923103"/>
      <w:bookmarkStart w:id="504" w:name="_Toc23883"/>
      <w:r>
        <w:rPr>
          <w:rFonts w:hint="eastAsia" w:ascii="仿宋" w:hAnsi="仿宋" w:eastAsia="仿宋" w:cs="仿宋"/>
          <w:b/>
          <w:bCs/>
          <w:spacing w:val="5"/>
          <w:sz w:val="23"/>
          <w:szCs w:val="23"/>
        </w:rPr>
        <w:t>23.比较与评价</w:t>
      </w:r>
    </w:p>
    <w:p w14:paraId="27DD46B7">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8"/>
          <w:sz w:val="23"/>
          <w:szCs w:val="23"/>
        </w:rPr>
        <w:t>23.1</w:t>
      </w:r>
      <w:r>
        <w:rPr>
          <w:rFonts w:hint="eastAsia" w:ascii="仿宋" w:hAnsi="仿宋" w:eastAsia="仿宋" w:cs="仿宋"/>
          <w:spacing w:val="31"/>
          <w:sz w:val="23"/>
          <w:szCs w:val="23"/>
        </w:rPr>
        <w:t xml:space="preserve">   </w:t>
      </w:r>
      <w:r>
        <w:rPr>
          <w:rFonts w:hint="eastAsia" w:ascii="仿宋" w:hAnsi="仿宋" w:eastAsia="仿宋" w:cs="仿宋"/>
          <w:spacing w:val="8"/>
          <w:sz w:val="23"/>
          <w:szCs w:val="23"/>
        </w:rPr>
        <w:t>经符合性审查合格的投标文件，评标委员会将根据</w:t>
      </w:r>
      <w:r>
        <w:rPr>
          <w:rFonts w:hint="eastAsia" w:ascii="仿宋" w:hAnsi="仿宋" w:eastAsia="仿宋" w:cs="仿宋"/>
          <w:spacing w:val="7"/>
          <w:sz w:val="23"/>
          <w:szCs w:val="23"/>
        </w:rPr>
        <w:t>招标文件确定的评审方</w:t>
      </w:r>
      <w:r>
        <w:rPr>
          <w:rFonts w:hint="eastAsia" w:ascii="仿宋" w:hAnsi="仿宋" w:eastAsia="仿宋" w:cs="仿宋"/>
          <w:spacing w:val="8"/>
          <w:sz w:val="23"/>
          <w:szCs w:val="23"/>
        </w:rPr>
        <w:t>法和标准，对其技术部分和商务部分作进一</w:t>
      </w:r>
      <w:r>
        <w:rPr>
          <w:rFonts w:hint="eastAsia" w:ascii="仿宋" w:hAnsi="仿宋" w:eastAsia="仿宋" w:cs="仿宋"/>
          <w:spacing w:val="7"/>
          <w:sz w:val="23"/>
          <w:szCs w:val="23"/>
        </w:rPr>
        <w:t>步的比较和评价。</w:t>
      </w:r>
    </w:p>
    <w:p w14:paraId="05024A05">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8"/>
          <w:sz w:val="23"/>
          <w:szCs w:val="23"/>
        </w:rPr>
        <w:t>23.2</w:t>
      </w:r>
      <w:r>
        <w:rPr>
          <w:rFonts w:hint="eastAsia" w:ascii="仿宋" w:hAnsi="仿宋" w:eastAsia="仿宋" w:cs="仿宋"/>
          <w:spacing w:val="31"/>
          <w:sz w:val="23"/>
          <w:szCs w:val="23"/>
        </w:rPr>
        <w:t xml:space="preserve">   </w:t>
      </w:r>
      <w:r>
        <w:rPr>
          <w:rFonts w:hint="eastAsia" w:ascii="仿宋" w:hAnsi="仿宋" w:eastAsia="仿宋" w:cs="仿宋"/>
          <w:spacing w:val="8"/>
          <w:sz w:val="23"/>
          <w:szCs w:val="23"/>
        </w:rPr>
        <w:t>评审严格按照招标文件的要求和条件进行。根</w:t>
      </w:r>
      <w:r>
        <w:rPr>
          <w:rFonts w:hint="eastAsia" w:ascii="仿宋" w:hAnsi="仿宋" w:eastAsia="仿宋" w:cs="仿宋"/>
          <w:spacing w:val="7"/>
          <w:sz w:val="23"/>
          <w:szCs w:val="23"/>
        </w:rPr>
        <w:t>据实际情况，在</w:t>
      </w:r>
      <w:r>
        <w:rPr>
          <w:rFonts w:hint="eastAsia" w:ascii="仿宋" w:hAnsi="仿宋" w:eastAsia="仿宋" w:cs="仿宋"/>
          <w:spacing w:val="7"/>
          <w:sz w:val="23"/>
          <w:szCs w:val="23"/>
          <w:u w:val="single"/>
        </w:rPr>
        <w:t>投标人须知资料表</w:t>
      </w:r>
      <w:r>
        <w:rPr>
          <w:rFonts w:hint="eastAsia" w:ascii="仿宋" w:hAnsi="仿宋" w:eastAsia="仿宋" w:cs="仿宋"/>
          <w:spacing w:val="-68"/>
          <w:sz w:val="23"/>
          <w:szCs w:val="23"/>
        </w:rPr>
        <w:t xml:space="preserve"> </w:t>
      </w:r>
      <w:r>
        <w:rPr>
          <w:rFonts w:hint="eastAsia" w:ascii="仿宋" w:hAnsi="仿宋" w:eastAsia="仿宋" w:cs="仿宋"/>
          <w:spacing w:val="7"/>
          <w:sz w:val="23"/>
          <w:szCs w:val="23"/>
        </w:rPr>
        <w:t>中规定采用下列一种评审方法，详细评审标准见招标文件</w:t>
      </w:r>
      <w:r>
        <w:rPr>
          <w:rFonts w:hint="eastAsia" w:ascii="仿宋" w:hAnsi="仿宋" w:eastAsia="仿宋" w:cs="仿宋"/>
          <w:spacing w:val="6"/>
          <w:sz w:val="23"/>
          <w:szCs w:val="23"/>
        </w:rPr>
        <w:t>第六</w:t>
      </w:r>
      <w:r>
        <w:rPr>
          <w:rFonts w:hint="eastAsia" w:ascii="仿宋" w:hAnsi="仿宋" w:eastAsia="仿宋" w:cs="仿宋"/>
          <w:spacing w:val="-15"/>
          <w:sz w:val="23"/>
          <w:szCs w:val="23"/>
        </w:rPr>
        <w:t>章：</w:t>
      </w:r>
    </w:p>
    <w:p w14:paraId="512EB9AD">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7"/>
          <w:sz w:val="23"/>
          <w:szCs w:val="23"/>
        </w:rPr>
      </w:pPr>
      <w:r>
        <w:rPr>
          <w:rFonts w:hint="eastAsia" w:ascii="仿宋" w:hAnsi="仿宋" w:eastAsia="仿宋" w:cs="仿宋"/>
          <w:spacing w:val="6"/>
          <w:sz w:val="23"/>
          <w:szCs w:val="23"/>
        </w:rPr>
        <w:t>（1）最低评标价法，是指投标文件满足招标文件全部实质性要求，且投标</w:t>
      </w:r>
      <w:r>
        <w:rPr>
          <w:rFonts w:hint="eastAsia" w:ascii="仿宋" w:hAnsi="仿宋" w:eastAsia="仿宋" w:cs="仿宋"/>
          <w:spacing w:val="7"/>
          <w:sz w:val="23"/>
          <w:szCs w:val="23"/>
        </w:rPr>
        <w:t>报价最低的投标人为中标候选人的评审方法。</w:t>
      </w:r>
    </w:p>
    <w:p w14:paraId="7C59305B">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6"/>
          <w:sz w:val="23"/>
          <w:szCs w:val="23"/>
        </w:rPr>
        <w:t>（2）综合评分法，是指投标文件满足招标文件全部实质性要求，且按照</w:t>
      </w:r>
      <w:r>
        <w:rPr>
          <w:rFonts w:hint="eastAsia" w:ascii="仿宋" w:hAnsi="仿宋" w:eastAsia="仿宋" w:cs="仿宋"/>
          <w:spacing w:val="8"/>
          <w:sz w:val="23"/>
          <w:szCs w:val="23"/>
        </w:rPr>
        <w:t>评审因素的量化指标评审得分最高的投标人为中标候选人的评审方法。</w:t>
      </w:r>
    </w:p>
    <w:p w14:paraId="50B1A5EC">
      <w:pPr>
        <w:pStyle w:val="11"/>
        <w:widowControl/>
        <w:kinsoku w:val="0"/>
        <w:autoSpaceDE w:val="0"/>
        <w:autoSpaceDN w:val="0"/>
        <w:adjustRightInd w:val="0"/>
        <w:snapToGrid w:val="0"/>
        <w:spacing w:before="0" w:line="240" w:lineRule="auto"/>
        <w:textAlignment w:val="baseline"/>
        <w:rPr>
          <w:rFonts w:ascii="仿宋" w:hAnsi="仿宋" w:eastAsia="仿宋" w:cs="仿宋"/>
          <w:sz w:val="23"/>
          <w:szCs w:val="23"/>
        </w:rPr>
      </w:pPr>
      <w:r>
        <w:rPr>
          <w:rFonts w:hint="eastAsia" w:ascii="仿宋" w:hAnsi="仿宋" w:eastAsia="仿宋" w:cs="仿宋"/>
          <w:spacing w:val="1"/>
          <w:sz w:val="23"/>
          <w:szCs w:val="23"/>
        </w:rPr>
        <w:t>23.3   根据《政府采购促进中小企业发展暂行办法》（财库[2020]46</w:t>
      </w:r>
      <w:r>
        <w:rPr>
          <w:rFonts w:hint="eastAsia" w:ascii="仿宋" w:hAnsi="仿宋" w:eastAsia="仿宋" w:cs="仿宋"/>
          <w:spacing w:val="-22"/>
          <w:sz w:val="23"/>
          <w:szCs w:val="23"/>
        </w:rPr>
        <w:t xml:space="preserve"> </w:t>
      </w:r>
      <w:r>
        <w:rPr>
          <w:rFonts w:hint="eastAsia" w:ascii="仿宋" w:hAnsi="仿宋" w:eastAsia="仿宋" w:cs="仿宋"/>
          <w:spacing w:val="1"/>
          <w:sz w:val="23"/>
          <w:szCs w:val="23"/>
        </w:rPr>
        <w:t>号）、《财</w:t>
      </w:r>
      <w:r>
        <w:rPr>
          <w:rFonts w:hint="eastAsia" w:ascii="仿宋" w:hAnsi="仿宋" w:eastAsia="仿宋" w:cs="仿宋"/>
          <w:spacing w:val="11"/>
          <w:sz w:val="23"/>
          <w:szCs w:val="23"/>
        </w:rPr>
        <w:t>政部司法部关于政府采购支持监狱企业发展有关问题的通知》（财库</w:t>
      </w:r>
      <w:r>
        <w:rPr>
          <w:rFonts w:hint="eastAsia" w:ascii="仿宋" w:hAnsi="仿宋" w:eastAsia="仿宋" w:cs="仿宋"/>
          <w:spacing w:val="5"/>
          <w:sz w:val="23"/>
          <w:szCs w:val="23"/>
        </w:rPr>
        <w:t>〔2014〕68号）和《三部门联合发布关于促进残疾人就业政府采购政策</w:t>
      </w:r>
      <w:r>
        <w:rPr>
          <w:rFonts w:hint="eastAsia" w:ascii="仿宋" w:hAnsi="仿宋" w:eastAsia="仿宋" w:cs="仿宋"/>
          <w:spacing w:val="9"/>
          <w:sz w:val="23"/>
          <w:szCs w:val="23"/>
        </w:rPr>
        <w:t>的通知》（财库〔2017〕141号）的规</w:t>
      </w:r>
      <w:r>
        <w:rPr>
          <w:rFonts w:hint="eastAsia" w:ascii="仿宋" w:hAnsi="仿宋" w:eastAsia="仿宋" w:cs="仿宋"/>
          <w:spacing w:val="8"/>
          <w:sz w:val="23"/>
          <w:szCs w:val="23"/>
        </w:rPr>
        <w:t>定，对满足价格扣除条件且在投标文件中提交了《投标人企业类型声明函》或省级以上监狱管理局、戒毒管理局（含新疆生产建设兵团）出具的属于监狱企业的证明文件的投标人</w:t>
      </w:r>
      <w:r>
        <w:rPr>
          <w:rFonts w:hint="eastAsia" w:ascii="仿宋" w:hAnsi="仿宋" w:eastAsia="仿宋" w:cs="仿宋"/>
          <w:spacing w:val="6"/>
          <w:sz w:val="23"/>
          <w:szCs w:val="23"/>
        </w:rPr>
        <w:t>，</w:t>
      </w:r>
      <w:r>
        <w:rPr>
          <w:rFonts w:hint="eastAsia" w:ascii="仿宋" w:hAnsi="仿宋" w:eastAsia="仿宋" w:cs="仿宋"/>
        </w:rPr>
        <w:t>其投标报价扣除10-20%后参与评审。</w:t>
      </w:r>
      <w:r>
        <w:rPr>
          <w:rFonts w:hint="eastAsia" w:ascii="仿宋" w:hAnsi="仿宋" w:eastAsia="仿宋" w:cs="仿宋"/>
          <w:spacing w:val="6"/>
          <w:sz w:val="23"/>
          <w:szCs w:val="23"/>
        </w:rPr>
        <w:t>具体办法详见招标文件第</w:t>
      </w:r>
      <w:r>
        <w:rPr>
          <w:rFonts w:hint="eastAsia" w:ascii="仿宋" w:hAnsi="仿宋" w:eastAsia="仿宋" w:cs="仿宋"/>
          <w:spacing w:val="-45"/>
          <w:sz w:val="23"/>
          <w:szCs w:val="23"/>
        </w:rPr>
        <w:t xml:space="preserve"> </w:t>
      </w:r>
      <w:r>
        <w:rPr>
          <w:rFonts w:hint="eastAsia" w:ascii="仿宋" w:hAnsi="仿宋" w:eastAsia="仿宋" w:cs="仿宋"/>
          <w:spacing w:val="6"/>
          <w:sz w:val="23"/>
          <w:szCs w:val="23"/>
        </w:rPr>
        <w:t>6</w:t>
      </w:r>
      <w:r>
        <w:rPr>
          <w:rFonts w:hint="eastAsia" w:ascii="仿宋" w:hAnsi="仿宋" w:eastAsia="仿宋" w:cs="仿宋"/>
          <w:spacing w:val="-38"/>
          <w:sz w:val="23"/>
          <w:szCs w:val="23"/>
        </w:rPr>
        <w:t xml:space="preserve"> </w:t>
      </w:r>
      <w:r>
        <w:rPr>
          <w:rFonts w:hint="eastAsia" w:ascii="仿宋" w:hAnsi="仿宋" w:eastAsia="仿宋" w:cs="仿宋"/>
          <w:spacing w:val="6"/>
          <w:sz w:val="23"/>
          <w:szCs w:val="23"/>
        </w:rPr>
        <w:t>章。</w:t>
      </w:r>
    </w:p>
    <w:p w14:paraId="3D1AD44A">
      <w:pPr>
        <w:pStyle w:val="11"/>
        <w:spacing w:before="0" w:line="240" w:lineRule="auto"/>
        <w:outlineLvl w:val="2"/>
        <w:rPr>
          <w:rFonts w:ascii="仿宋" w:hAnsi="仿宋" w:eastAsia="仿宋" w:cs="仿宋"/>
          <w:sz w:val="23"/>
          <w:szCs w:val="23"/>
        </w:rPr>
      </w:pPr>
      <w:bookmarkStart w:id="505" w:name="bookmark59"/>
      <w:bookmarkEnd w:id="505"/>
      <w:bookmarkStart w:id="506" w:name="bookmark58"/>
      <w:bookmarkEnd w:id="506"/>
      <w:r>
        <w:rPr>
          <w:rFonts w:hint="eastAsia" w:ascii="仿宋" w:hAnsi="仿宋" w:eastAsia="仿宋" w:cs="仿宋"/>
          <w:b/>
          <w:bCs/>
          <w:spacing w:val="2"/>
          <w:sz w:val="23"/>
          <w:szCs w:val="23"/>
        </w:rPr>
        <w:t>24.废标</w:t>
      </w:r>
    </w:p>
    <w:p w14:paraId="5863378F">
      <w:pPr>
        <w:pStyle w:val="11"/>
        <w:spacing w:before="0" w:line="240" w:lineRule="auto"/>
        <w:rPr>
          <w:rFonts w:ascii="仿宋" w:hAnsi="仿宋" w:eastAsia="仿宋" w:cs="仿宋"/>
          <w:sz w:val="23"/>
          <w:szCs w:val="23"/>
        </w:rPr>
      </w:pPr>
      <w:r>
        <w:rPr>
          <w:rFonts w:hint="eastAsia" w:ascii="仿宋" w:hAnsi="仿宋" w:eastAsia="仿宋" w:cs="仿宋"/>
          <w:b/>
          <w:bCs/>
          <w:spacing w:val="3"/>
          <w:sz w:val="23"/>
          <w:szCs w:val="23"/>
        </w:rPr>
        <w:t>出现下列情形之一，将导致项目废标：</w:t>
      </w:r>
    </w:p>
    <w:p w14:paraId="10F64AAB">
      <w:pPr>
        <w:pStyle w:val="11"/>
        <w:spacing w:before="0" w:line="240" w:lineRule="auto"/>
        <w:rPr>
          <w:rFonts w:ascii="仿宋" w:hAnsi="仿宋" w:eastAsia="仿宋" w:cs="仿宋"/>
          <w:sz w:val="23"/>
          <w:szCs w:val="23"/>
        </w:rPr>
      </w:pPr>
      <w:r>
        <w:rPr>
          <w:rFonts w:hint="eastAsia" w:ascii="仿宋" w:hAnsi="仿宋" w:eastAsia="仿宋" w:cs="仿宋"/>
          <w:b/>
          <w:bCs/>
          <w:spacing w:val="10"/>
          <w:sz w:val="23"/>
          <w:szCs w:val="23"/>
        </w:rPr>
        <w:t>（1）符合专业条件的投标人或者对招标文件做实质性响应的投标人不</w:t>
      </w:r>
      <w:r>
        <w:rPr>
          <w:rFonts w:hint="eastAsia" w:ascii="仿宋" w:hAnsi="仿宋" w:eastAsia="仿宋" w:cs="仿宋"/>
          <w:b/>
          <w:bCs/>
          <w:spacing w:val="-6"/>
          <w:sz w:val="23"/>
          <w:szCs w:val="23"/>
        </w:rPr>
        <w:t>足三家；</w:t>
      </w:r>
    </w:p>
    <w:p w14:paraId="599D75C3">
      <w:pPr>
        <w:pStyle w:val="11"/>
        <w:spacing w:before="0" w:line="240" w:lineRule="auto"/>
        <w:rPr>
          <w:rFonts w:ascii="仿宋" w:hAnsi="仿宋" w:eastAsia="仿宋" w:cs="仿宋"/>
          <w:sz w:val="23"/>
          <w:szCs w:val="23"/>
        </w:rPr>
      </w:pPr>
      <w:r>
        <w:rPr>
          <w:rFonts w:hint="eastAsia" w:ascii="仿宋" w:hAnsi="仿宋" w:eastAsia="仿宋" w:cs="仿宋"/>
          <w:b/>
          <w:bCs/>
          <w:spacing w:val="5"/>
          <w:sz w:val="23"/>
          <w:szCs w:val="23"/>
        </w:rPr>
        <w:t>（2）出现影响采购公正的违法、违规行为的；</w:t>
      </w:r>
    </w:p>
    <w:p w14:paraId="5A3081EC">
      <w:pPr>
        <w:pStyle w:val="11"/>
        <w:spacing w:before="0" w:line="240" w:lineRule="auto"/>
        <w:rPr>
          <w:rFonts w:ascii="仿宋" w:hAnsi="仿宋" w:eastAsia="仿宋" w:cs="仿宋"/>
          <w:sz w:val="23"/>
          <w:szCs w:val="23"/>
        </w:rPr>
      </w:pPr>
      <w:r>
        <w:rPr>
          <w:rFonts w:hint="eastAsia" w:ascii="仿宋" w:hAnsi="仿宋" w:eastAsia="仿宋" w:cs="仿宋"/>
          <w:b/>
          <w:bCs/>
          <w:spacing w:val="5"/>
          <w:sz w:val="23"/>
          <w:szCs w:val="23"/>
        </w:rPr>
        <w:t>（3）投标人的报价均超过了采购预算，采购人不能支付的；</w:t>
      </w:r>
    </w:p>
    <w:p w14:paraId="01088221">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b/>
          <w:bCs/>
          <w:spacing w:val="1"/>
          <w:sz w:val="23"/>
          <w:szCs w:val="23"/>
        </w:rPr>
        <w:t>（4）因重大变故，采购任务取消的。</w:t>
      </w:r>
    </w:p>
    <w:p w14:paraId="6214919A">
      <w:pPr>
        <w:pStyle w:val="11"/>
        <w:widowControl/>
        <w:kinsoku w:val="0"/>
        <w:autoSpaceDE w:val="0"/>
        <w:autoSpaceDN w:val="0"/>
        <w:adjustRightInd w:val="0"/>
        <w:snapToGrid w:val="0"/>
        <w:spacing w:before="0" w:line="240" w:lineRule="auto"/>
        <w:jc w:val="left"/>
        <w:textAlignment w:val="baseline"/>
        <w:outlineLvl w:val="2"/>
        <w:rPr>
          <w:rFonts w:ascii="仿宋" w:hAnsi="仿宋" w:eastAsia="仿宋" w:cs="仿宋"/>
          <w:sz w:val="23"/>
          <w:szCs w:val="23"/>
        </w:rPr>
      </w:pPr>
      <w:bookmarkStart w:id="507" w:name="bookmark60"/>
      <w:bookmarkEnd w:id="507"/>
      <w:bookmarkStart w:id="508" w:name="bookmark61"/>
      <w:bookmarkEnd w:id="508"/>
      <w:r>
        <w:rPr>
          <w:rFonts w:hint="eastAsia" w:ascii="仿宋" w:hAnsi="仿宋" w:eastAsia="仿宋" w:cs="仿宋"/>
          <w:b/>
          <w:bCs/>
          <w:spacing w:val="4"/>
          <w:sz w:val="23"/>
          <w:szCs w:val="23"/>
        </w:rPr>
        <w:t>25.保密原则</w:t>
      </w:r>
    </w:p>
    <w:p w14:paraId="7AB22C8F">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5"/>
          <w:sz w:val="23"/>
          <w:szCs w:val="23"/>
        </w:rPr>
        <w:t>25.1</w:t>
      </w:r>
      <w:r>
        <w:rPr>
          <w:rFonts w:hint="eastAsia" w:ascii="仿宋" w:hAnsi="仿宋" w:eastAsia="仿宋" w:cs="仿宋"/>
          <w:spacing w:val="33"/>
          <w:sz w:val="23"/>
          <w:szCs w:val="23"/>
        </w:rPr>
        <w:t xml:space="preserve">  </w:t>
      </w:r>
      <w:r>
        <w:rPr>
          <w:rFonts w:hint="eastAsia" w:ascii="仿宋" w:hAnsi="仿宋" w:eastAsia="仿宋" w:cs="仿宋"/>
          <w:spacing w:val="5"/>
          <w:sz w:val="23"/>
          <w:szCs w:val="23"/>
        </w:rPr>
        <w:t>评审将在严格保密的情况下进行。</w:t>
      </w:r>
    </w:p>
    <w:p w14:paraId="5077752A">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8"/>
          <w:sz w:val="23"/>
          <w:szCs w:val="23"/>
        </w:rPr>
        <w:t>25.2</w:t>
      </w:r>
      <w:r>
        <w:rPr>
          <w:rFonts w:hint="eastAsia" w:ascii="仿宋" w:hAnsi="仿宋" w:eastAsia="仿宋" w:cs="仿宋"/>
          <w:spacing w:val="31"/>
          <w:sz w:val="23"/>
          <w:szCs w:val="23"/>
        </w:rPr>
        <w:t xml:space="preserve">  </w:t>
      </w:r>
      <w:r>
        <w:rPr>
          <w:rFonts w:hint="eastAsia" w:ascii="仿宋" w:hAnsi="仿宋" w:eastAsia="仿宋" w:cs="仿宋"/>
          <w:spacing w:val="8"/>
          <w:sz w:val="23"/>
          <w:szCs w:val="23"/>
        </w:rPr>
        <w:t>政府采购评审专家应当遵守评审工作纪律，不</w:t>
      </w:r>
      <w:r>
        <w:rPr>
          <w:rFonts w:hint="eastAsia" w:ascii="仿宋" w:hAnsi="仿宋" w:eastAsia="仿宋" w:cs="仿宋"/>
          <w:spacing w:val="7"/>
          <w:sz w:val="23"/>
          <w:szCs w:val="23"/>
        </w:rPr>
        <w:t>得泄露评审文件、评审情</w:t>
      </w:r>
      <w:r>
        <w:rPr>
          <w:rFonts w:hint="eastAsia" w:ascii="仿宋" w:hAnsi="仿宋" w:eastAsia="仿宋" w:cs="仿宋"/>
          <w:spacing w:val="5"/>
          <w:sz w:val="23"/>
          <w:szCs w:val="23"/>
        </w:rPr>
        <w:t>况和评审中获悉的商业秘密。</w:t>
      </w:r>
    </w:p>
    <w:p w14:paraId="74BC9411">
      <w:pPr>
        <w:pStyle w:val="11"/>
        <w:widowControl/>
        <w:kinsoku w:val="0"/>
        <w:autoSpaceDE w:val="0"/>
        <w:autoSpaceDN w:val="0"/>
        <w:adjustRightInd w:val="0"/>
        <w:snapToGrid w:val="0"/>
        <w:spacing w:before="0" w:line="240" w:lineRule="auto"/>
        <w:jc w:val="center"/>
        <w:textAlignment w:val="baseline"/>
        <w:outlineLvl w:val="1"/>
        <w:rPr>
          <w:rFonts w:ascii="仿宋" w:hAnsi="仿宋" w:eastAsia="仿宋" w:cs="仿宋"/>
          <w:sz w:val="28"/>
          <w:szCs w:val="28"/>
        </w:rPr>
      </w:pPr>
      <w:bookmarkStart w:id="509" w:name="bookmark63"/>
      <w:bookmarkEnd w:id="509"/>
      <w:bookmarkStart w:id="510" w:name="bookmark62"/>
      <w:bookmarkEnd w:id="510"/>
      <w:bookmarkStart w:id="511" w:name="bookmark65"/>
      <w:bookmarkEnd w:id="511"/>
      <w:r>
        <w:rPr>
          <w:rFonts w:hint="eastAsia" w:ascii="仿宋" w:hAnsi="仿宋" w:eastAsia="仿宋" w:cs="仿宋"/>
          <w:b/>
          <w:bCs/>
          <w:spacing w:val="-10"/>
          <w:sz w:val="28"/>
          <w:szCs w:val="28"/>
        </w:rPr>
        <w:t>六</w:t>
      </w:r>
      <w:r>
        <w:rPr>
          <w:rFonts w:hint="eastAsia" w:ascii="仿宋" w:hAnsi="仿宋" w:eastAsia="仿宋" w:cs="仿宋"/>
          <w:spacing w:val="8"/>
          <w:sz w:val="28"/>
          <w:szCs w:val="28"/>
        </w:rPr>
        <w:t xml:space="preserve">   </w:t>
      </w:r>
      <w:r>
        <w:rPr>
          <w:rFonts w:hint="eastAsia" w:ascii="仿宋" w:hAnsi="仿宋" w:eastAsia="仿宋" w:cs="仿宋"/>
          <w:b/>
          <w:bCs/>
          <w:spacing w:val="-10"/>
          <w:sz w:val="28"/>
          <w:szCs w:val="28"/>
        </w:rPr>
        <w:t>确定中标</w:t>
      </w:r>
    </w:p>
    <w:p w14:paraId="3506F1C2">
      <w:pPr>
        <w:pStyle w:val="11"/>
        <w:widowControl/>
        <w:kinsoku w:val="0"/>
        <w:autoSpaceDE w:val="0"/>
        <w:autoSpaceDN w:val="0"/>
        <w:adjustRightInd w:val="0"/>
        <w:snapToGrid w:val="0"/>
        <w:spacing w:before="0" w:line="240" w:lineRule="auto"/>
        <w:jc w:val="left"/>
        <w:textAlignment w:val="baseline"/>
        <w:outlineLvl w:val="2"/>
        <w:rPr>
          <w:rFonts w:ascii="仿宋" w:hAnsi="仿宋" w:eastAsia="仿宋" w:cs="仿宋"/>
          <w:sz w:val="23"/>
          <w:szCs w:val="23"/>
        </w:rPr>
      </w:pPr>
      <w:bookmarkStart w:id="512" w:name="bookmark64"/>
      <w:bookmarkEnd w:id="512"/>
      <w:r>
        <w:rPr>
          <w:rFonts w:hint="eastAsia" w:ascii="仿宋" w:hAnsi="仿宋" w:eastAsia="仿宋" w:cs="仿宋"/>
          <w:b/>
          <w:bCs/>
          <w:spacing w:val="3"/>
          <w:sz w:val="23"/>
          <w:szCs w:val="23"/>
        </w:rPr>
        <w:t>26.</w:t>
      </w:r>
      <w:r>
        <w:rPr>
          <w:rFonts w:hint="eastAsia" w:ascii="仿宋" w:hAnsi="仿宋" w:eastAsia="仿宋" w:cs="仿宋"/>
          <w:spacing w:val="-55"/>
          <w:sz w:val="23"/>
          <w:szCs w:val="23"/>
        </w:rPr>
        <w:t xml:space="preserve"> </w:t>
      </w:r>
      <w:r>
        <w:rPr>
          <w:rFonts w:hint="eastAsia" w:ascii="仿宋" w:hAnsi="仿宋" w:eastAsia="仿宋" w:cs="仿宋"/>
          <w:b/>
          <w:bCs/>
          <w:spacing w:val="3"/>
          <w:sz w:val="23"/>
          <w:szCs w:val="23"/>
        </w:rPr>
        <w:t>中标候选人的确定原则及标准</w:t>
      </w:r>
    </w:p>
    <w:p w14:paraId="6B7C3708">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10"/>
          <w:sz w:val="23"/>
          <w:szCs w:val="23"/>
        </w:rPr>
        <w:t>除第</w:t>
      </w:r>
      <w:r>
        <w:rPr>
          <w:rFonts w:hint="eastAsia" w:ascii="仿宋" w:hAnsi="仿宋" w:eastAsia="仿宋" w:cs="仿宋"/>
          <w:spacing w:val="-28"/>
          <w:sz w:val="23"/>
          <w:szCs w:val="23"/>
        </w:rPr>
        <w:t xml:space="preserve"> </w:t>
      </w:r>
      <w:r>
        <w:rPr>
          <w:rFonts w:hint="eastAsia" w:ascii="仿宋" w:hAnsi="仿宋" w:eastAsia="仿宋" w:cs="仿宋"/>
          <w:spacing w:val="10"/>
          <w:sz w:val="23"/>
          <w:szCs w:val="23"/>
        </w:rPr>
        <w:t>28</w:t>
      </w:r>
      <w:r>
        <w:rPr>
          <w:rFonts w:hint="eastAsia" w:ascii="仿宋" w:hAnsi="仿宋" w:eastAsia="仿宋" w:cs="仿宋"/>
          <w:spacing w:val="-32"/>
          <w:sz w:val="23"/>
          <w:szCs w:val="23"/>
        </w:rPr>
        <w:t xml:space="preserve"> </w:t>
      </w:r>
      <w:r>
        <w:rPr>
          <w:rFonts w:hint="eastAsia" w:ascii="仿宋" w:hAnsi="仿宋" w:eastAsia="仿宋" w:cs="仿宋"/>
          <w:spacing w:val="10"/>
          <w:sz w:val="23"/>
          <w:szCs w:val="23"/>
        </w:rPr>
        <w:t>条规定外，对实质上响应招标文件的投标人按下列方法进行排</w:t>
      </w:r>
      <w:r>
        <w:rPr>
          <w:rFonts w:hint="eastAsia" w:ascii="仿宋" w:hAnsi="仿宋" w:eastAsia="仿宋" w:cs="仿宋"/>
          <w:spacing w:val="2"/>
          <w:sz w:val="23"/>
          <w:szCs w:val="23"/>
        </w:rPr>
        <w:t>序，确定中标候选人：</w:t>
      </w:r>
    </w:p>
    <w:p w14:paraId="417F0C38">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12"/>
          <w:sz w:val="23"/>
          <w:szCs w:val="23"/>
        </w:rPr>
        <w:t>（1）采用最低评标价法的，除了算术修正和落实政府采购政策需进行</w:t>
      </w:r>
      <w:r>
        <w:rPr>
          <w:rFonts w:hint="eastAsia" w:ascii="仿宋" w:hAnsi="仿宋" w:eastAsia="仿宋" w:cs="仿宋"/>
          <w:spacing w:val="8"/>
          <w:sz w:val="23"/>
          <w:szCs w:val="23"/>
        </w:rPr>
        <w:t>的价格扣除外，不对投标人的投标价格进行任何调整。评审结果按修正和扣除后的投标报价由低到高顺序排列。报价相同的处理方式详见招标文件</w:t>
      </w:r>
      <w:r>
        <w:rPr>
          <w:rFonts w:hint="eastAsia" w:ascii="仿宋" w:hAnsi="仿宋" w:eastAsia="仿宋" w:cs="仿宋"/>
          <w:spacing w:val="-2"/>
          <w:sz w:val="23"/>
          <w:szCs w:val="23"/>
        </w:rPr>
        <w:t>第</w:t>
      </w:r>
      <w:r>
        <w:rPr>
          <w:rFonts w:hint="eastAsia" w:ascii="仿宋" w:hAnsi="仿宋" w:eastAsia="仿宋" w:cs="仿宋"/>
          <w:spacing w:val="-43"/>
          <w:sz w:val="23"/>
          <w:szCs w:val="23"/>
        </w:rPr>
        <w:t xml:space="preserve"> </w:t>
      </w:r>
      <w:r>
        <w:rPr>
          <w:rFonts w:hint="eastAsia" w:ascii="仿宋" w:hAnsi="仿宋" w:eastAsia="仿宋" w:cs="仿宋"/>
          <w:spacing w:val="-2"/>
          <w:sz w:val="23"/>
          <w:szCs w:val="23"/>
        </w:rPr>
        <w:t>6</w:t>
      </w:r>
      <w:r>
        <w:rPr>
          <w:rFonts w:hint="eastAsia" w:ascii="仿宋" w:hAnsi="仿宋" w:eastAsia="仿宋" w:cs="仿宋"/>
          <w:spacing w:val="-37"/>
          <w:sz w:val="23"/>
          <w:szCs w:val="23"/>
        </w:rPr>
        <w:t xml:space="preserve"> </w:t>
      </w:r>
      <w:r>
        <w:rPr>
          <w:rFonts w:hint="eastAsia" w:ascii="仿宋" w:hAnsi="仿宋" w:eastAsia="仿宋" w:cs="仿宋"/>
          <w:spacing w:val="-2"/>
          <w:sz w:val="23"/>
          <w:szCs w:val="23"/>
        </w:rPr>
        <w:t>章。</w:t>
      </w:r>
    </w:p>
    <w:p w14:paraId="6EDAAEF2">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11"/>
          <w:sz w:val="23"/>
          <w:szCs w:val="23"/>
        </w:rPr>
        <w:t>（2）采用综合评分法的，评审结果按评审后得分由高到低顺</w:t>
      </w:r>
      <w:r>
        <w:rPr>
          <w:rFonts w:hint="eastAsia" w:ascii="仿宋" w:hAnsi="仿宋" w:eastAsia="仿宋" w:cs="仿宋"/>
          <w:spacing w:val="10"/>
          <w:sz w:val="23"/>
          <w:szCs w:val="23"/>
        </w:rPr>
        <w:t>序排列。</w:t>
      </w:r>
      <w:r>
        <w:rPr>
          <w:rFonts w:hint="eastAsia" w:ascii="仿宋" w:hAnsi="仿宋" w:eastAsia="仿宋" w:cs="仿宋"/>
          <w:spacing w:val="8"/>
          <w:sz w:val="23"/>
          <w:szCs w:val="23"/>
        </w:rPr>
        <w:t>得分相同的，按修正和扣除后的投标报价由低到高顺序排列。得分与投</w:t>
      </w:r>
      <w:r>
        <w:rPr>
          <w:rFonts w:hint="eastAsia" w:ascii="仿宋" w:hAnsi="仿宋" w:eastAsia="仿宋" w:cs="仿宋"/>
          <w:spacing w:val="6"/>
          <w:sz w:val="23"/>
          <w:szCs w:val="23"/>
        </w:rPr>
        <w:t>标报价均相同的处理方式详见招标文件第</w:t>
      </w:r>
      <w:r>
        <w:rPr>
          <w:rFonts w:hint="eastAsia" w:ascii="仿宋" w:hAnsi="仿宋" w:eastAsia="仿宋" w:cs="仿宋"/>
          <w:spacing w:val="-30"/>
          <w:sz w:val="23"/>
          <w:szCs w:val="23"/>
        </w:rPr>
        <w:t xml:space="preserve"> </w:t>
      </w:r>
      <w:r>
        <w:rPr>
          <w:rFonts w:hint="eastAsia" w:ascii="仿宋" w:hAnsi="仿宋" w:eastAsia="仿宋" w:cs="仿宋"/>
          <w:spacing w:val="6"/>
          <w:sz w:val="23"/>
          <w:szCs w:val="23"/>
        </w:rPr>
        <w:t>6</w:t>
      </w:r>
      <w:r>
        <w:rPr>
          <w:rFonts w:hint="eastAsia" w:ascii="仿宋" w:hAnsi="仿宋" w:eastAsia="仿宋" w:cs="仿宋"/>
          <w:spacing w:val="-37"/>
          <w:sz w:val="23"/>
          <w:szCs w:val="23"/>
        </w:rPr>
        <w:t xml:space="preserve"> </w:t>
      </w:r>
      <w:r>
        <w:rPr>
          <w:rFonts w:hint="eastAsia" w:ascii="仿宋" w:hAnsi="仿宋" w:eastAsia="仿宋" w:cs="仿宋"/>
          <w:spacing w:val="6"/>
          <w:sz w:val="23"/>
          <w:szCs w:val="23"/>
        </w:rPr>
        <w:t>章。</w:t>
      </w:r>
    </w:p>
    <w:p w14:paraId="4E5C0C40">
      <w:pPr>
        <w:pStyle w:val="11"/>
        <w:widowControl/>
        <w:kinsoku w:val="0"/>
        <w:autoSpaceDE w:val="0"/>
        <w:autoSpaceDN w:val="0"/>
        <w:adjustRightInd w:val="0"/>
        <w:snapToGrid w:val="0"/>
        <w:spacing w:before="0" w:line="240" w:lineRule="auto"/>
        <w:jc w:val="left"/>
        <w:textAlignment w:val="baseline"/>
        <w:outlineLvl w:val="2"/>
        <w:rPr>
          <w:rFonts w:ascii="仿宋" w:hAnsi="仿宋" w:eastAsia="仿宋" w:cs="仿宋"/>
          <w:sz w:val="23"/>
          <w:szCs w:val="23"/>
        </w:rPr>
      </w:pPr>
      <w:bookmarkStart w:id="513" w:name="bookmark67"/>
      <w:bookmarkEnd w:id="513"/>
      <w:bookmarkStart w:id="514" w:name="bookmark66"/>
      <w:bookmarkEnd w:id="514"/>
      <w:r>
        <w:rPr>
          <w:rFonts w:hint="eastAsia" w:ascii="仿宋" w:hAnsi="仿宋" w:eastAsia="仿宋" w:cs="仿宋"/>
          <w:b/>
          <w:bCs/>
          <w:spacing w:val="6"/>
          <w:sz w:val="23"/>
          <w:szCs w:val="23"/>
        </w:rPr>
        <w:t>27.确定中标候选人和中标人</w:t>
      </w:r>
    </w:p>
    <w:p w14:paraId="2C037AA2">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8"/>
          <w:sz w:val="23"/>
          <w:szCs w:val="23"/>
        </w:rPr>
        <w:t>评标委员会将根据评审标准，按</w:t>
      </w:r>
      <w:r>
        <w:rPr>
          <w:rFonts w:hint="eastAsia" w:ascii="仿宋" w:hAnsi="仿宋" w:eastAsia="仿宋" w:cs="仿宋"/>
          <w:spacing w:val="8"/>
          <w:sz w:val="23"/>
          <w:szCs w:val="23"/>
          <w:u w:val="single"/>
        </w:rPr>
        <w:t>投标人须知资料表中</w:t>
      </w:r>
      <w:r>
        <w:rPr>
          <w:rFonts w:hint="eastAsia" w:ascii="仿宋" w:hAnsi="仿宋" w:eastAsia="仿宋" w:cs="仿宋"/>
          <w:spacing w:val="8"/>
          <w:sz w:val="23"/>
          <w:szCs w:val="23"/>
        </w:rPr>
        <w:t>规定数量推荐中标候选人</w:t>
      </w:r>
      <w:r>
        <w:rPr>
          <w:rFonts w:hint="eastAsia" w:ascii="仿宋" w:hAnsi="仿宋" w:eastAsia="仿宋" w:cs="仿宋"/>
          <w:spacing w:val="7"/>
          <w:sz w:val="23"/>
          <w:szCs w:val="23"/>
        </w:rPr>
        <w:t>；或根据采购人的委托，直接确定中标人。</w:t>
      </w:r>
    </w:p>
    <w:p w14:paraId="4197CE2D">
      <w:pPr>
        <w:pStyle w:val="11"/>
        <w:widowControl/>
        <w:kinsoku w:val="0"/>
        <w:autoSpaceDE w:val="0"/>
        <w:autoSpaceDN w:val="0"/>
        <w:adjustRightInd w:val="0"/>
        <w:snapToGrid w:val="0"/>
        <w:spacing w:before="0" w:line="240" w:lineRule="auto"/>
        <w:jc w:val="left"/>
        <w:textAlignment w:val="baseline"/>
        <w:outlineLvl w:val="2"/>
        <w:rPr>
          <w:rFonts w:ascii="仿宋" w:hAnsi="仿宋" w:eastAsia="仿宋" w:cs="仿宋"/>
          <w:sz w:val="23"/>
          <w:szCs w:val="23"/>
        </w:rPr>
      </w:pPr>
      <w:bookmarkStart w:id="515" w:name="bookmark68"/>
      <w:bookmarkEnd w:id="515"/>
      <w:bookmarkStart w:id="516" w:name="bookmark69"/>
      <w:bookmarkEnd w:id="516"/>
      <w:r>
        <w:rPr>
          <w:rFonts w:hint="eastAsia" w:ascii="仿宋" w:hAnsi="仿宋" w:eastAsia="仿宋" w:cs="仿宋"/>
          <w:b/>
          <w:bCs/>
          <w:spacing w:val="5"/>
          <w:sz w:val="23"/>
          <w:szCs w:val="23"/>
        </w:rPr>
        <w:t>28.采购任务取消</w:t>
      </w:r>
    </w:p>
    <w:p w14:paraId="50F9786C">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8"/>
          <w:sz w:val="23"/>
          <w:szCs w:val="23"/>
        </w:rPr>
        <w:t>因重大变故采购任务取消时，采购人有权拒绝任何</w:t>
      </w:r>
      <w:r>
        <w:rPr>
          <w:rFonts w:hint="eastAsia" w:ascii="仿宋" w:hAnsi="仿宋" w:eastAsia="仿宋" w:cs="仿宋"/>
          <w:spacing w:val="7"/>
          <w:sz w:val="23"/>
          <w:szCs w:val="23"/>
        </w:rPr>
        <w:t>投标人成交，且对受</w:t>
      </w:r>
      <w:r>
        <w:rPr>
          <w:rFonts w:hint="eastAsia" w:ascii="仿宋" w:hAnsi="仿宋" w:eastAsia="仿宋" w:cs="仿宋"/>
          <w:spacing w:val="6"/>
          <w:sz w:val="23"/>
          <w:szCs w:val="23"/>
        </w:rPr>
        <w:t>影响的投标人不承担任何责任。</w:t>
      </w:r>
    </w:p>
    <w:p w14:paraId="52BCFF51">
      <w:pPr>
        <w:pStyle w:val="11"/>
        <w:widowControl/>
        <w:kinsoku w:val="0"/>
        <w:autoSpaceDE w:val="0"/>
        <w:autoSpaceDN w:val="0"/>
        <w:adjustRightInd w:val="0"/>
        <w:snapToGrid w:val="0"/>
        <w:spacing w:before="0" w:line="240" w:lineRule="auto"/>
        <w:jc w:val="left"/>
        <w:textAlignment w:val="baseline"/>
        <w:outlineLvl w:val="2"/>
        <w:rPr>
          <w:rFonts w:ascii="仿宋" w:hAnsi="仿宋" w:eastAsia="仿宋" w:cs="仿宋"/>
          <w:sz w:val="23"/>
          <w:szCs w:val="23"/>
        </w:rPr>
      </w:pPr>
      <w:bookmarkStart w:id="517" w:name="bookmark70"/>
      <w:bookmarkEnd w:id="517"/>
      <w:bookmarkStart w:id="518" w:name="bookmark71"/>
      <w:bookmarkEnd w:id="518"/>
      <w:r>
        <w:rPr>
          <w:rFonts w:hint="eastAsia" w:ascii="仿宋" w:hAnsi="仿宋" w:eastAsia="仿宋" w:cs="仿宋"/>
          <w:b/>
          <w:bCs/>
          <w:spacing w:val="3"/>
          <w:sz w:val="23"/>
          <w:szCs w:val="23"/>
        </w:rPr>
        <w:t>29.</w:t>
      </w:r>
      <w:r>
        <w:rPr>
          <w:rFonts w:hint="eastAsia" w:ascii="仿宋" w:hAnsi="仿宋" w:eastAsia="仿宋" w:cs="仿宋"/>
          <w:spacing w:val="-57"/>
          <w:sz w:val="23"/>
          <w:szCs w:val="23"/>
        </w:rPr>
        <w:t xml:space="preserve"> </w:t>
      </w:r>
      <w:r>
        <w:rPr>
          <w:rFonts w:hint="eastAsia" w:ascii="仿宋" w:hAnsi="仿宋" w:eastAsia="仿宋" w:cs="仿宋"/>
          <w:b/>
          <w:bCs/>
          <w:spacing w:val="3"/>
          <w:sz w:val="23"/>
          <w:szCs w:val="23"/>
        </w:rPr>
        <w:t>中标通知书和中标结果通知书</w:t>
      </w:r>
    </w:p>
    <w:p w14:paraId="4D03D3C3">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8"/>
          <w:sz w:val="23"/>
          <w:szCs w:val="23"/>
        </w:rPr>
        <w:t>29.1</w:t>
      </w:r>
      <w:r>
        <w:rPr>
          <w:rFonts w:hint="eastAsia" w:ascii="仿宋" w:hAnsi="仿宋" w:eastAsia="仿宋" w:cs="仿宋"/>
          <w:spacing w:val="31"/>
          <w:sz w:val="23"/>
          <w:szCs w:val="23"/>
        </w:rPr>
        <w:t xml:space="preserve">   </w:t>
      </w:r>
      <w:r>
        <w:rPr>
          <w:rFonts w:hint="eastAsia" w:ascii="仿宋" w:hAnsi="仿宋" w:eastAsia="仿宋" w:cs="仿宋"/>
          <w:spacing w:val="8"/>
          <w:sz w:val="23"/>
          <w:szCs w:val="23"/>
        </w:rPr>
        <w:t>在投标有效期内，中标人确定后，采购人或者采购代理机构发布成交公告，公示同时向中标人发出中标通知书；</w:t>
      </w:r>
    </w:p>
    <w:p w14:paraId="177138FE">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2"/>
          <w:sz w:val="23"/>
          <w:szCs w:val="23"/>
        </w:rPr>
        <w:t>29.2    中标通知书是合同的组成部分；</w:t>
      </w:r>
    </w:p>
    <w:p w14:paraId="1B0EE673">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6"/>
          <w:sz w:val="23"/>
          <w:szCs w:val="23"/>
        </w:rPr>
        <w:t>29.3    中标结果通知书和中标通知书同时发出。中标结果通知书中将告知未通</w:t>
      </w:r>
    </w:p>
    <w:p w14:paraId="25CD2B06">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8"/>
          <w:sz w:val="23"/>
          <w:szCs w:val="23"/>
        </w:rPr>
        <w:t>过资格审查的投标人未通过的原因；采用综合评分法评审的，还将告知</w:t>
      </w:r>
      <w:r>
        <w:rPr>
          <w:rFonts w:hint="eastAsia" w:ascii="仿宋" w:hAnsi="仿宋" w:eastAsia="仿宋" w:cs="仿宋"/>
          <w:spacing w:val="6"/>
          <w:sz w:val="23"/>
          <w:szCs w:val="23"/>
        </w:rPr>
        <w:t>未中标人本人的评审得分和排序。</w:t>
      </w:r>
    </w:p>
    <w:p w14:paraId="631373F0">
      <w:pPr>
        <w:pStyle w:val="11"/>
        <w:widowControl/>
        <w:kinsoku w:val="0"/>
        <w:autoSpaceDE w:val="0"/>
        <w:autoSpaceDN w:val="0"/>
        <w:adjustRightInd w:val="0"/>
        <w:snapToGrid w:val="0"/>
        <w:spacing w:before="0" w:line="240" w:lineRule="auto"/>
        <w:jc w:val="left"/>
        <w:textAlignment w:val="baseline"/>
        <w:outlineLvl w:val="2"/>
        <w:rPr>
          <w:rFonts w:ascii="仿宋" w:hAnsi="仿宋" w:eastAsia="仿宋" w:cs="仿宋"/>
          <w:sz w:val="23"/>
          <w:szCs w:val="23"/>
        </w:rPr>
      </w:pPr>
      <w:bookmarkStart w:id="519" w:name="bookmark73"/>
      <w:bookmarkEnd w:id="519"/>
      <w:bookmarkStart w:id="520" w:name="bookmark72"/>
      <w:bookmarkEnd w:id="520"/>
      <w:r>
        <w:rPr>
          <w:rFonts w:hint="eastAsia" w:ascii="仿宋" w:hAnsi="仿宋" w:eastAsia="仿宋" w:cs="仿宋"/>
          <w:b/>
          <w:bCs/>
          <w:spacing w:val="4"/>
          <w:sz w:val="23"/>
          <w:szCs w:val="23"/>
        </w:rPr>
        <w:t>30.签订合同</w:t>
      </w:r>
    </w:p>
    <w:p w14:paraId="76D4426F">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4"/>
          <w:sz w:val="23"/>
          <w:szCs w:val="23"/>
        </w:rPr>
        <w:t>30.1    中标人应当自发出中标通知书之日起30日内，与采购</w:t>
      </w:r>
      <w:r>
        <w:rPr>
          <w:rFonts w:hint="eastAsia" w:ascii="仿宋" w:hAnsi="仿宋" w:eastAsia="仿宋" w:cs="仿宋"/>
          <w:spacing w:val="3"/>
          <w:sz w:val="23"/>
          <w:szCs w:val="23"/>
        </w:rPr>
        <w:t>人签订合同。</w:t>
      </w:r>
    </w:p>
    <w:p w14:paraId="2972C4CA">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8"/>
          <w:sz w:val="23"/>
          <w:szCs w:val="23"/>
        </w:rPr>
      </w:pPr>
      <w:r>
        <w:rPr>
          <w:rFonts w:hint="eastAsia" w:ascii="仿宋" w:hAnsi="仿宋" w:eastAsia="仿宋" w:cs="仿宋"/>
          <w:spacing w:val="8"/>
          <w:sz w:val="23"/>
          <w:szCs w:val="23"/>
        </w:rPr>
        <w:t>30.2</w:t>
      </w:r>
      <w:r>
        <w:rPr>
          <w:rFonts w:hint="eastAsia" w:ascii="仿宋" w:hAnsi="仿宋" w:eastAsia="仿宋" w:cs="仿宋"/>
          <w:spacing w:val="33"/>
          <w:sz w:val="23"/>
          <w:szCs w:val="23"/>
        </w:rPr>
        <w:t xml:space="preserve">   </w:t>
      </w:r>
      <w:r>
        <w:rPr>
          <w:rFonts w:hint="eastAsia" w:ascii="仿宋" w:hAnsi="仿宋" w:eastAsia="仿宋" w:cs="仿宋"/>
          <w:spacing w:val="8"/>
          <w:sz w:val="23"/>
          <w:szCs w:val="23"/>
        </w:rPr>
        <w:t>投标文件、中标人的投标文件及其澄清文件等，均为签订合同的依据。</w:t>
      </w:r>
    </w:p>
    <w:p w14:paraId="7CEFF2B7">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10"/>
          <w:sz w:val="23"/>
          <w:szCs w:val="23"/>
        </w:rPr>
        <w:t>30.3   中标人拒绝与采购人签订合</w:t>
      </w:r>
      <w:r>
        <w:rPr>
          <w:rFonts w:hint="eastAsia" w:ascii="仿宋" w:hAnsi="仿宋" w:eastAsia="仿宋" w:cs="仿宋"/>
          <w:spacing w:val="9"/>
          <w:sz w:val="23"/>
          <w:szCs w:val="23"/>
        </w:rPr>
        <w:t>同的，采购人可以按照评审报告推荐的中标候选人</w:t>
      </w:r>
      <w:r>
        <w:rPr>
          <w:rFonts w:hint="eastAsia" w:ascii="仿宋" w:hAnsi="仿宋" w:eastAsia="仿宋" w:cs="仿宋"/>
          <w:spacing w:val="8"/>
          <w:sz w:val="23"/>
          <w:szCs w:val="23"/>
        </w:rPr>
        <w:t>名单排序，确定下一中标候选人为中标人，也可以重新开展政府</w:t>
      </w:r>
      <w:r>
        <w:rPr>
          <w:rFonts w:hint="eastAsia" w:ascii="仿宋" w:hAnsi="仿宋" w:eastAsia="仿宋" w:cs="仿宋"/>
          <w:spacing w:val="-1"/>
          <w:sz w:val="23"/>
          <w:szCs w:val="23"/>
        </w:rPr>
        <w:t>采购活动。</w:t>
      </w:r>
    </w:p>
    <w:p w14:paraId="4FEC5A83">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9"/>
          <w:sz w:val="23"/>
          <w:szCs w:val="23"/>
        </w:rPr>
        <w:t>30.4   当出现法规规定的</w:t>
      </w:r>
      <w:r>
        <w:rPr>
          <w:rFonts w:hint="eastAsia" w:ascii="仿宋" w:hAnsi="仿宋" w:eastAsia="仿宋" w:cs="仿宋"/>
          <w:b/>
        </w:rPr>
        <w:t>中标无效或中标结果无效</w:t>
      </w:r>
      <w:r>
        <w:rPr>
          <w:rFonts w:hint="eastAsia" w:ascii="仿宋" w:hAnsi="仿宋" w:eastAsia="仿宋" w:cs="仿宋"/>
          <w:spacing w:val="9"/>
          <w:sz w:val="23"/>
          <w:szCs w:val="23"/>
        </w:rPr>
        <w:t>情形时，采购人可与排名下</w:t>
      </w:r>
      <w:r>
        <w:rPr>
          <w:rFonts w:hint="eastAsia" w:ascii="仿宋" w:hAnsi="仿宋" w:eastAsia="仿宋" w:cs="仿宋"/>
          <w:spacing w:val="8"/>
          <w:sz w:val="23"/>
          <w:szCs w:val="23"/>
        </w:rPr>
        <w:t>一位的中标候选人另行签订合同，或依法重新开展采</w:t>
      </w:r>
      <w:r>
        <w:rPr>
          <w:rFonts w:hint="eastAsia" w:ascii="仿宋" w:hAnsi="仿宋" w:eastAsia="仿宋" w:cs="仿宋"/>
          <w:spacing w:val="7"/>
          <w:sz w:val="23"/>
          <w:szCs w:val="23"/>
        </w:rPr>
        <w:t>购活动。</w:t>
      </w:r>
    </w:p>
    <w:p w14:paraId="17F95545">
      <w:pPr>
        <w:pStyle w:val="11"/>
        <w:widowControl/>
        <w:kinsoku w:val="0"/>
        <w:autoSpaceDE w:val="0"/>
        <w:autoSpaceDN w:val="0"/>
        <w:adjustRightInd w:val="0"/>
        <w:snapToGrid w:val="0"/>
        <w:spacing w:before="0" w:line="240" w:lineRule="auto"/>
        <w:jc w:val="left"/>
        <w:textAlignment w:val="baseline"/>
        <w:outlineLvl w:val="2"/>
        <w:rPr>
          <w:rFonts w:ascii="仿宋" w:hAnsi="仿宋" w:eastAsia="仿宋" w:cs="仿宋"/>
          <w:sz w:val="23"/>
          <w:szCs w:val="23"/>
        </w:rPr>
      </w:pPr>
      <w:bookmarkStart w:id="521" w:name="bookmark75"/>
      <w:bookmarkEnd w:id="521"/>
      <w:bookmarkStart w:id="522" w:name="bookmark74"/>
      <w:bookmarkEnd w:id="522"/>
      <w:r>
        <w:rPr>
          <w:rFonts w:hint="eastAsia" w:ascii="仿宋" w:hAnsi="仿宋" w:eastAsia="仿宋" w:cs="仿宋"/>
          <w:b/>
          <w:bCs/>
          <w:spacing w:val="4"/>
          <w:sz w:val="23"/>
          <w:szCs w:val="23"/>
        </w:rPr>
        <w:t>31.履约保证金</w:t>
      </w:r>
    </w:p>
    <w:p w14:paraId="616A0E3A">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7"/>
          <w:sz w:val="23"/>
          <w:szCs w:val="23"/>
        </w:rPr>
        <w:t>31.1</w:t>
      </w:r>
      <w:r>
        <w:rPr>
          <w:rFonts w:hint="eastAsia" w:ascii="仿宋" w:hAnsi="仿宋" w:eastAsia="仿宋" w:cs="仿宋"/>
          <w:spacing w:val="2"/>
          <w:sz w:val="23"/>
          <w:szCs w:val="23"/>
        </w:rPr>
        <w:t xml:space="preserve">    </w:t>
      </w:r>
      <w:r>
        <w:rPr>
          <w:rFonts w:hint="eastAsia" w:ascii="仿宋" w:hAnsi="仿宋" w:eastAsia="仿宋" w:cs="仿宋"/>
          <w:spacing w:val="7"/>
          <w:sz w:val="23"/>
          <w:szCs w:val="23"/>
        </w:rPr>
        <w:t>中标人应按照</w:t>
      </w:r>
      <w:r>
        <w:rPr>
          <w:rFonts w:hint="eastAsia" w:ascii="仿宋" w:hAnsi="仿宋" w:eastAsia="仿宋" w:cs="仿宋"/>
          <w:spacing w:val="7"/>
          <w:sz w:val="23"/>
          <w:szCs w:val="23"/>
          <w:u w:val="single"/>
        </w:rPr>
        <w:t>投标人须知资料表</w:t>
      </w:r>
      <w:r>
        <w:rPr>
          <w:rFonts w:hint="eastAsia" w:ascii="仿宋" w:hAnsi="仿宋" w:eastAsia="仿宋" w:cs="仿宋"/>
          <w:spacing w:val="7"/>
          <w:sz w:val="23"/>
          <w:szCs w:val="23"/>
        </w:rPr>
        <w:t>规定向采购人缴纳履</w:t>
      </w:r>
      <w:r>
        <w:rPr>
          <w:rFonts w:hint="eastAsia" w:ascii="仿宋" w:hAnsi="仿宋" w:eastAsia="仿宋" w:cs="仿宋"/>
          <w:spacing w:val="6"/>
          <w:sz w:val="23"/>
          <w:szCs w:val="23"/>
        </w:rPr>
        <w:t>约保证金</w:t>
      </w:r>
      <w:r>
        <w:rPr>
          <w:rFonts w:hint="eastAsia" w:ascii="仿宋" w:hAnsi="仿宋" w:eastAsia="仿宋" w:cs="仿宋"/>
          <w:spacing w:val="4"/>
          <w:sz w:val="23"/>
          <w:szCs w:val="23"/>
        </w:rPr>
        <w:t>。</w:t>
      </w:r>
    </w:p>
    <w:p w14:paraId="1E29F7CD">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8"/>
          <w:sz w:val="23"/>
          <w:szCs w:val="23"/>
        </w:rPr>
        <w:t>31.2</w:t>
      </w:r>
      <w:r>
        <w:rPr>
          <w:rFonts w:hint="eastAsia" w:ascii="仿宋" w:hAnsi="仿宋" w:eastAsia="仿宋" w:cs="仿宋"/>
          <w:spacing w:val="31"/>
          <w:sz w:val="23"/>
          <w:szCs w:val="23"/>
        </w:rPr>
        <w:t xml:space="preserve">   </w:t>
      </w:r>
      <w:r>
        <w:rPr>
          <w:rFonts w:hint="eastAsia" w:ascii="仿宋" w:hAnsi="仿宋" w:eastAsia="仿宋" w:cs="仿宋"/>
          <w:spacing w:val="8"/>
          <w:sz w:val="23"/>
          <w:szCs w:val="23"/>
        </w:rPr>
        <w:t>政府采购利用担保试点范围内的项目，除3</w:t>
      </w:r>
      <w:r>
        <w:rPr>
          <w:rFonts w:hint="eastAsia" w:ascii="仿宋" w:hAnsi="仿宋" w:eastAsia="仿宋" w:cs="仿宋"/>
          <w:spacing w:val="7"/>
          <w:sz w:val="23"/>
          <w:szCs w:val="23"/>
        </w:rPr>
        <w:t>1.1规定的情形外，中标人</w:t>
      </w:r>
      <w:r>
        <w:rPr>
          <w:rFonts w:hint="eastAsia" w:ascii="仿宋" w:hAnsi="仿宋" w:eastAsia="仿宋" w:cs="仿宋"/>
          <w:spacing w:val="8"/>
          <w:sz w:val="23"/>
          <w:szCs w:val="23"/>
        </w:rPr>
        <w:t>也可以按照财政部门的规定，向采购人提供合格的履约担保函（格式见</w:t>
      </w:r>
      <w:r>
        <w:rPr>
          <w:rFonts w:hint="eastAsia" w:ascii="仿宋" w:hAnsi="仿宋" w:eastAsia="仿宋" w:cs="仿宋"/>
          <w:spacing w:val="1"/>
          <w:sz w:val="23"/>
          <w:szCs w:val="23"/>
        </w:rPr>
        <w:t>本章附件2）。</w:t>
      </w:r>
    </w:p>
    <w:p w14:paraId="04BEC78E">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5"/>
          <w:sz w:val="23"/>
          <w:szCs w:val="23"/>
        </w:rPr>
        <w:t>31.3   如果中标人没有按照上述履约保证金的规定执行，将视为放弃成交资格，</w:t>
      </w:r>
      <w:r>
        <w:rPr>
          <w:rFonts w:hint="eastAsia" w:ascii="仿宋" w:hAnsi="仿宋" w:eastAsia="仿宋" w:cs="仿宋"/>
          <w:spacing w:val="7"/>
          <w:sz w:val="23"/>
          <w:szCs w:val="23"/>
        </w:rPr>
        <w:t>中标人的投标保证金将不予退还。在此情况下，采购人可确定下一候选</w:t>
      </w:r>
      <w:r>
        <w:rPr>
          <w:rFonts w:hint="eastAsia" w:ascii="仿宋" w:hAnsi="仿宋" w:eastAsia="仿宋" w:cs="仿宋"/>
          <w:spacing w:val="6"/>
          <w:sz w:val="23"/>
          <w:szCs w:val="23"/>
        </w:rPr>
        <w:t>人为中标人，也可以重新开展采购活动。</w:t>
      </w:r>
    </w:p>
    <w:p w14:paraId="63CFC4D1">
      <w:pPr>
        <w:pStyle w:val="11"/>
        <w:widowControl/>
        <w:kinsoku w:val="0"/>
        <w:autoSpaceDE w:val="0"/>
        <w:autoSpaceDN w:val="0"/>
        <w:adjustRightInd w:val="0"/>
        <w:snapToGrid w:val="0"/>
        <w:spacing w:before="0" w:line="240" w:lineRule="auto"/>
        <w:jc w:val="left"/>
        <w:textAlignment w:val="baseline"/>
        <w:outlineLvl w:val="2"/>
        <w:rPr>
          <w:rFonts w:ascii="仿宋" w:hAnsi="仿宋" w:eastAsia="仿宋" w:cs="仿宋"/>
          <w:sz w:val="23"/>
          <w:szCs w:val="23"/>
        </w:rPr>
      </w:pPr>
      <w:bookmarkStart w:id="523" w:name="bookmark77"/>
      <w:bookmarkEnd w:id="523"/>
      <w:bookmarkStart w:id="524" w:name="bookmark76"/>
      <w:bookmarkEnd w:id="524"/>
      <w:r>
        <w:rPr>
          <w:rFonts w:hint="eastAsia" w:ascii="仿宋" w:hAnsi="仿宋" w:eastAsia="仿宋" w:cs="仿宋"/>
          <w:b/>
          <w:bCs/>
          <w:spacing w:val="-2"/>
          <w:sz w:val="23"/>
          <w:szCs w:val="23"/>
        </w:rPr>
        <w:t>32.中标服务费</w:t>
      </w:r>
    </w:p>
    <w:p w14:paraId="53A6FF98">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7"/>
          <w:sz w:val="23"/>
          <w:szCs w:val="23"/>
        </w:rPr>
        <w:t>中标人须按照</w:t>
      </w:r>
      <w:r>
        <w:rPr>
          <w:rFonts w:hint="eastAsia" w:ascii="仿宋" w:hAnsi="仿宋" w:eastAsia="仿宋" w:cs="仿宋"/>
          <w:spacing w:val="7"/>
          <w:sz w:val="23"/>
          <w:szCs w:val="23"/>
          <w:u w:val="single"/>
        </w:rPr>
        <w:t>投标人须知资料表</w:t>
      </w:r>
      <w:r>
        <w:rPr>
          <w:rFonts w:hint="eastAsia" w:ascii="仿宋" w:hAnsi="仿宋" w:eastAsia="仿宋" w:cs="仿宋"/>
          <w:spacing w:val="7"/>
          <w:sz w:val="23"/>
          <w:szCs w:val="23"/>
        </w:rPr>
        <w:t>规定，向采购代理机构支付中标服务费。</w:t>
      </w:r>
    </w:p>
    <w:p w14:paraId="71CF45A0">
      <w:pPr>
        <w:pStyle w:val="11"/>
        <w:widowControl/>
        <w:kinsoku w:val="0"/>
        <w:autoSpaceDE w:val="0"/>
        <w:autoSpaceDN w:val="0"/>
        <w:adjustRightInd w:val="0"/>
        <w:snapToGrid w:val="0"/>
        <w:spacing w:before="0" w:line="240" w:lineRule="auto"/>
        <w:jc w:val="left"/>
        <w:textAlignment w:val="baseline"/>
        <w:outlineLvl w:val="2"/>
        <w:rPr>
          <w:rFonts w:ascii="仿宋" w:hAnsi="仿宋" w:eastAsia="仿宋" w:cs="仿宋"/>
          <w:sz w:val="23"/>
          <w:szCs w:val="23"/>
        </w:rPr>
      </w:pPr>
      <w:bookmarkStart w:id="525" w:name="bookmark78"/>
      <w:bookmarkEnd w:id="525"/>
      <w:bookmarkStart w:id="526" w:name="bookmark79"/>
      <w:bookmarkEnd w:id="526"/>
      <w:r>
        <w:rPr>
          <w:rFonts w:hint="eastAsia" w:ascii="仿宋" w:hAnsi="仿宋" w:eastAsia="仿宋" w:cs="仿宋"/>
          <w:b/>
          <w:bCs/>
          <w:spacing w:val="5"/>
          <w:sz w:val="23"/>
          <w:szCs w:val="23"/>
        </w:rPr>
        <w:t>33.政府采购信用担保</w:t>
      </w:r>
    </w:p>
    <w:p w14:paraId="47A5CCAB">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8"/>
          <w:sz w:val="23"/>
          <w:szCs w:val="23"/>
        </w:rPr>
        <w:t>33.1   本项目是否属于信用担保试点范围见</w:t>
      </w:r>
      <w:r>
        <w:rPr>
          <w:rFonts w:hint="eastAsia" w:ascii="仿宋" w:hAnsi="仿宋" w:eastAsia="仿宋" w:cs="仿宋"/>
          <w:spacing w:val="8"/>
          <w:sz w:val="23"/>
          <w:szCs w:val="23"/>
          <w:u w:val="single"/>
        </w:rPr>
        <w:t>投标人须知资料表</w:t>
      </w:r>
      <w:r>
        <w:rPr>
          <w:rFonts w:hint="eastAsia" w:ascii="仿宋" w:hAnsi="仿宋" w:eastAsia="仿宋" w:cs="仿宋"/>
          <w:spacing w:val="8"/>
          <w:sz w:val="23"/>
          <w:szCs w:val="23"/>
        </w:rPr>
        <w:t>。</w:t>
      </w:r>
    </w:p>
    <w:p w14:paraId="1AD36C36">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1"/>
        </w:rPr>
      </w:pPr>
      <w:r>
        <w:rPr>
          <w:rFonts w:hint="eastAsia" w:ascii="仿宋" w:hAnsi="仿宋" w:eastAsia="仿宋" w:cs="仿宋"/>
          <w:spacing w:val="7"/>
          <w:sz w:val="23"/>
          <w:szCs w:val="23"/>
        </w:rPr>
        <w:t>33.2   如属于政府采购信用担保试点范围内，中小型企业投标人可以自由按照财政部门的规定，采用投标担保、履约担保和融资担保。</w:t>
      </w:r>
    </w:p>
    <w:p w14:paraId="0F456E4A">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8"/>
          <w:sz w:val="23"/>
          <w:szCs w:val="23"/>
        </w:rPr>
        <w:t>33.2.1 投标人递交的投标担保函和履约</w:t>
      </w:r>
      <w:r>
        <w:rPr>
          <w:rFonts w:hint="eastAsia" w:ascii="仿宋" w:hAnsi="仿宋" w:eastAsia="仿宋" w:cs="仿宋"/>
          <w:spacing w:val="7"/>
          <w:sz w:val="23"/>
          <w:szCs w:val="23"/>
        </w:rPr>
        <w:t>担保函应符合本招标文件的规定。</w:t>
      </w:r>
      <w:r>
        <w:rPr>
          <w:rFonts w:hint="eastAsia" w:ascii="仿宋" w:hAnsi="仿宋" w:eastAsia="仿宋" w:cs="仿宋"/>
          <w:spacing w:val="6"/>
          <w:sz w:val="23"/>
          <w:szCs w:val="23"/>
        </w:rPr>
        <w:t>33.2.2</w:t>
      </w:r>
      <w:r>
        <w:rPr>
          <w:rFonts w:hint="eastAsia" w:ascii="仿宋" w:hAnsi="仿宋" w:eastAsia="仿宋" w:cs="仿宋"/>
          <w:spacing w:val="59"/>
          <w:sz w:val="23"/>
          <w:szCs w:val="23"/>
        </w:rPr>
        <w:t xml:space="preserve"> </w:t>
      </w:r>
      <w:r>
        <w:rPr>
          <w:rFonts w:hint="eastAsia" w:ascii="仿宋" w:hAnsi="仿宋" w:eastAsia="仿宋" w:cs="仿宋"/>
          <w:spacing w:val="6"/>
          <w:sz w:val="23"/>
          <w:szCs w:val="23"/>
        </w:rPr>
        <w:t>中标人可以采取融资担保的形式为政府采购项目履约进行融资。</w:t>
      </w:r>
    </w:p>
    <w:p w14:paraId="4154C3DC">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8"/>
          <w:sz w:val="23"/>
          <w:szCs w:val="23"/>
        </w:rPr>
        <w:t>33.2.3 合格的政府采购专业信用担保机构见</w:t>
      </w:r>
      <w:r>
        <w:rPr>
          <w:rFonts w:hint="eastAsia" w:ascii="仿宋" w:hAnsi="仿宋" w:eastAsia="仿宋" w:cs="仿宋"/>
          <w:spacing w:val="8"/>
          <w:sz w:val="23"/>
          <w:szCs w:val="23"/>
          <w:u w:val="single"/>
        </w:rPr>
        <w:t>投标人须知资料表</w:t>
      </w:r>
      <w:r>
        <w:rPr>
          <w:rFonts w:hint="eastAsia" w:ascii="仿宋" w:hAnsi="仿宋" w:eastAsia="仿宋" w:cs="仿宋"/>
          <w:spacing w:val="8"/>
          <w:sz w:val="23"/>
          <w:szCs w:val="23"/>
        </w:rPr>
        <w:t>。</w:t>
      </w:r>
    </w:p>
    <w:p w14:paraId="60A748C7">
      <w:pPr>
        <w:pStyle w:val="11"/>
        <w:widowControl/>
        <w:kinsoku w:val="0"/>
        <w:autoSpaceDE w:val="0"/>
        <w:autoSpaceDN w:val="0"/>
        <w:adjustRightInd w:val="0"/>
        <w:snapToGrid w:val="0"/>
        <w:spacing w:before="0" w:line="240" w:lineRule="auto"/>
        <w:jc w:val="left"/>
        <w:textAlignment w:val="baseline"/>
        <w:outlineLvl w:val="2"/>
        <w:rPr>
          <w:rFonts w:ascii="仿宋" w:hAnsi="仿宋" w:eastAsia="仿宋" w:cs="仿宋"/>
          <w:sz w:val="23"/>
          <w:szCs w:val="23"/>
        </w:rPr>
      </w:pPr>
      <w:bookmarkStart w:id="527" w:name="bookmark81"/>
      <w:bookmarkEnd w:id="527"/>
      <w:bookmarkStart w:id="528" w:name="bookmark80"/>
      <w:bookmarkEnd w:id="528"/>
      <w:r>
        <w:rPr>
          <w:rFonts w:hint="eastAsia" w:ascii="仿宋" w:hAnsi="仿宋" w:eastAsia="仿宋" w:cs="仿宋"/>
          <w:b/>
          <w:bCs/>
          <w:spacing w:val="5"/>
          <w:sz w:val="23"/>
          <w:szCs w:val="23"/>
        </w:rPr>
        <w:t>34.廉洁自律规定</w:t>
      </w:r>
    </w:p>
    <w:p w14:paraId="73B2BB98">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8"/>
          <w:sz w:val="23"/>
          <w:szCs w:val="23"/>
        </w:rPr>
        <w:t>34.1   采购代理机构工作人员不得以不正当手段获取政府采购代理业务，不得</w:t>
      </w:r>
      <w:r>
        <w:rPr>
          <w:rFonts w:hint="eastAsia" w:ascii="仿宋" w:hAnsi="仿宋" w:eastAsia="仿宋" w:cs="仿宋"/>
          <w:spacing w:val="7"/>
          <w:sz w:val="23"/>
          <w:szCs w:val="23"/>
        </w:rPr>
        <w:t>与采购人、投标人恶意串通操纵政府采购活动。</w:t>
      </w:r>
    </w:p>
    <w:p w14:paraId="654E22F3">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9"/>
          <w:sz w:val="23"/>
          <w:szCs w:val="23"/>
        </w:rPr>
        <w:t>34.2   采购代理机构工作人员不得接受采购人</w:t>
      </w:r>
      <w:r>
        <w:rPr>
          <w:rFonts w:hint="eastAsia" w:ascii="仿宋" w:hAnsi="仿宋" w:eastAsia="仿宋" w:cs="仿宋"/>
          <w:spacing w:val="8"/>
          <w:sz w:val="23"/>
          <w:szCs w:val="23"/>
        </w:rPr>
        <w:t>或者投标人组织的宴请、旅游、娱乐，不得收受礼品、现金、有价证券等，不得向采购人或者投标人报</w:t>
      </w:r>
      <w:r>
        <w:rPr>
          <w:rFonts w:hint="eastAsia" w:ascii="仿宋" w:hAnsi="仿宋" w:eastAsia="仿宋" w:cs="仿宋"/>
          <w:spacing w:val="5"/>
          <w:sz w:val="23"/>
          <w:szCs w:val="23"/>
        </w:rPr>
        <w:t>销应当由个人承担的费用。</w:t>
      </w:r>
    </w:p>
    <w:p w14:paraId="6489FF4D">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10"/>
          <w:sz w:val="23"/>
          <w:szCs w:val="23"/>
        </w:rPr>
        <w:t>34.3   为强化采购代理机构内部监</w:t>
      </w:r>
      <w:r>
        <w:rPr>
          <w:rFonts w:hint="eastAsia" w:ascii="仿宋" w:hAnsi="仿宋" w:eastAsia="仿宋" w:cs="仿宋"/>
          <w:spacing w:val="9"/>
          <w:sz w:val="23"/>
          <w:szCs w:val="23"/>
        </w:rPr>
        <w:t>督机制，投标人可按</w:t>
      </w:r>
      <w:r>
        <w:rPr>
          <w:rFonts w:hint="eastAsia" w:ascii="仿宋" w:hAnsi="仿宋" w:eastAsia="仿宋" w:cs="仿宋"/>
          <w:spacing w:val="9"/>
          <w:sz w:val="23"/>
          <w:szCs w:val="23"/>
          <w:u w:val="single"/>
        </w:rPr>
        <w:t>投标人须知资料表中的</w:t>
      </w:r>
      <w:r>
        <w:rPr>
          <w:rFonts w:hint="eastAsia" w:ascii="仿宋" w:hAnsi="仿宋" w:eastAsia="仿宋" w:cs="仿宋"/>
          <w:spacing w:val="7"/>
          <w:sz w:val="23"/>
          <w:szCs w:val="23"/>
        </w:rPr>
        <w:t>监督电话和信箱，反映采购代理机构的廉洁自律等问题。</w:t>
      </w:r>
    </w:p>
    <w:p w14:paraId="4D701427">
      <w:pPr>
        <w:pStyle w:val="11"/>
        <w:widowControl/>
        <w:kinsoku w:val="0"/>
        <w:autoSpaceDE w:val="0"/>
        <w:autoSpaceDN w:val="0"/>
        <w:adjustRightInd w:val="0"/>
        <w:snapToGrid w:val="0"/>
        <w:spacing w:before="0" w:line="240" w:lineRule="auto"/>
        <w:jc w:val="left"/>
        <w:textAlignment w:val="baseline"/>
        <w:outlineLvl w:val="2"/>
        <w:rPr>
          <w:rFonts w:ascii="仿宋" w:hAnsi="仿宋" w:eastAsia="仿宋" w:cs="仿宋"/>
          <w:sz w:val="23"/>
          <w:szCs w:val="23"/>
        </w:rPr>
      </w:pPr>
      <w:bookmarkStart w:id="529" w:name="bookmark83"/>
      <w:bookmarkEnd w:id="529"/>
      <w:bookmarkStart w:id="530" w:name="bookmark82"/>
      <w:bookmarkEnd w:id="530"/>
      <w:r>
        <w:rPr>
          <w:rFonts w:hint="eastAsia" w:ascii="仿宋" w:hAnsi="仿宋" w:eastAsia="仿宋" w:cs="仿宋"/>
          <w:b/>
          <w:bCs/>
          <w:spacing w:val="4"/>
          <w:sz w:val="23"/>
          <w:szCs w:val="23"/>
        </w:rPr>
        <w:t>35.人员回避</w:t>
      </w:r>
    </w:p>
    <w:p w14:paraId="0490897D">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10"/>
          <w:sz w:val="23"/>
          <w:szCs w:val="23"/>
        </w:rPr>
        <w:t>投标人认为采购人员及其相关人员有法律法规所列与其他投标人有利害</w:t>
      </w:r>
      <w:r>
        <w:rPr>
          <w:rFonts w:hint="eastAsia" w:ascii="仿宋" w:hAnsi="仿宋" w:eastAsia="仿宋" w:cs="仿宋"/>
          <w:spacing w:val="3"/>
          <w:sz w:val="23"/>
          <w:szCs w:val="23"/>
        </w:rPr>
        <w:t>关系的，可以向采购人或采购代理机构书面提出回避申请，并说明理由。</w:t>
      </w:r>
    </w:p>
    <w:p w14:paraId="1A4C50A5">
      <w:pPr>
        <w:pStyle w:val="11"/>
        <w:widowControl/>
        <w:kinsoku w:val="0"/>
        <w:autoSpaceDE w:val="0"/>
        <w:autoSpaceDN w:val="0"/>
        <w:adjustRightInd w:val="0"/>
        <w:snapToGrid w:val="0"/>
        <w:spacing w:before="0" w:line="240" w:lineRule="auto"/>
        <w:jc w:val="left"/>
        <w:textAlignment w:val="baseline"/>
        <w:outlineLvl w:val="2"/>
        <w:rPr>
          <w:rFonts w:ascii="仿宋" w:hAnsi="仿宋" w:eastAsia="仿宋" w:cs="仿宋"/>
          <w:sz w:val="23"/>
          <w:szCs w:val="23"/>
        </w:rPr>
      </w:pPr>
      <w:bookmarkStart w:id="531" w:name="bookmark85"/>
      <w:bookmarkEnd w:id="531"/>
      <w:bookmarkStart w:id="532" w:name="bookmark84"/>
      <w:bookmarkEnd w:id="532"/>
      <w:r>
        <w:rPr>
          <w:rFonts w:hint="eastAsia" w:ascii="仿宋" w:hAnsi="仿宋" w:eastAsia="仿宋" w:cs="仿宋"/>
          <w:b/>
          <w:bCs/>
          <w:spacing w:val="4"/>
          <w:sz w:val="23"/>
          <w:szCs w:val="23"/>
        </w:rPr>
        <w:t>36.质疑与接收</w:t>
      </w:r>
    </w:p>
    <w:p w14:paraId="19B2D741">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6"/>
          <w:sz w:val="23"/>
          <w:szCs w:val="23"/>
        </w:rPr>
      </w:pPr>
      <w:r>
        <w:rPr>
          <w:rFonts w:hint="eastAsia" w:ascii="仿宋" w:hAnsi="仿宋" w:eastAsia="仿宋" w:cs="仿宋"/>
          <w:spacing w:val="8"/>
          <w:sz w:val="23"/>
          <w:szCs w:val="23"/>
        </w:rPr>
        <w:t>36.1  投标人认为招标文件、采购过程和</w:t>
      </w:r>
      <w:r>
        <w:rPr>
          <w:rFonts w:hint="eastAsia" w:ascii="仿宋" w:hAnsi="仿宋" w:eastAsia="仿宋" w:cs="仿宋"/>
          <w:spacing w:val="7"/>
          <w:sz w:val="23"/>
          <w:szCs w:val="23"/>
        </w:rPr>
        <w:t>中标结果使自己的权益受到损害的，</w:t>
      </w:r>
      <w:r>
        <w:rPr>
          <w:rFonts w:hint="eastAsia" w:ascii="仿宋" w:hAnsi="仿宋" w:eastAsia="仿宋" w:cs="仿宋"/>
          <w:spacing w:val="10"/>
          <w:sz w:val="23"/>
          <w:szCs w:val="23"/>
        </w:rPr>
        <w:t>可以根据《中华人民共和国政府采购法》、《中华人民共和国政府采购</w:t>
      </w:r>
      <w:r>
        <w:rPr>
          <w:rFonts w:hint="eastAsia" w:ascii="仿宋" w:hAnsi="仿宋" w:eastAsia="仿宋" w:cs="仿宋"/>
          <w:spacing w:val="8"/>
          <w:sz w:val="23"/>
          <w:szCs w:val="23"/>
        </w:rPr>
        <w:t>法实施条例》和《政府采购质疑和投诉办法》的有关</w:t>
      </w:r>
      <w:r>
        <w:rPr>
          <w:rFonts w:hint="eastAsia" w:ascii="仿宋" w:hAnsi="仿宋" w:eastAsia="仿宋" w:cs="仿宋"/>
          <w:spacing w:val="7"/>
          <w:sz w:val="23"/>
          <w:szCs w:val="23"/>
        </w:rPr>
        <w:t>规定，依法向采购</w:t>
      </w:r>
      <w:r>
        <w:rPr>
          <w:rFonts w:hint="eastAsia" w:ascii="仿宋" w:hAnsi="仿宋" w:eastAsia="仿宋" w:cs="仿宋"/>
          <w:spacing w:val="6"/>
          <w:sz w:val="23"/>
          <w:szCs w:val="23"/>
        </w:rPr>
        <w:t>人或其委托的采购代理机构提出质疑。</w:t>
      </w:r>
    </w:p>
    <w:p w14:paraId="27A25F39">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3"/>
          <w:sz w:val="23"/>
          <w:szCs w:val="23"/>
        </w:rPr>
      </w:pPr>
      <w:r>
        <w:rPr>
          <w:rFonts w:hint="eastAsia" w:ascii="仿宋" w:hAnsi="仿宋" w:eastAsia="仿宋" w:cs="仿宋"/>
          <w:spacing w:val="3"/>
          <w:sz w:val="23"/>
          <w:szCs w:val="23"/>
        </w:rPr>
        <w:t>36.2  投标人对本项目提出质疑，必须按照相关法律法规的要求和程序，提供的质疑材料必须具备事实依据和法律依据。质疑函应当包含具体的质疑事项及事实依据，不得进行虚假及恶意质疑，如所提供的质疑材料出现恶意诋毁或与事实不符等现象，我公司将该企业的行为上报相应主管部门。</w:t>
      </w:r>
    </w:p>
    <w:p w14:paraId="5B12ADEC">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6"/>
          <w:sz w:val="23"/>
          <w:szCs w:val="23"/>
        </w:rPr>
      </w:pPr>
      <w:r>
        <w:rPr>
          <w:rFonts w:hint="eastAsia" w:ascii="仿宋" w:hAnsi="仿宋" w:eastAsia="仿宋" w:cs="仿宋"/>
          <w:spacing w:val="3"/>
          <w:sz w:val="23"/>
          <w:szCs w:val="23"/>
        </w:rPr>
        <w:t>36.3  投诉的事项应当包含投诉的请求和法律依据，投诉的事项不得超出所质疑事项的范围。投诉人有捏造事实、提供虚假材料、以非法手段取得证明材料的行为之一的，属于虚假、恶意投诉，由财政部门列入不良行为记录名单，禁止其1至3年内参加政府采购活动。证据来源的合法性存在明显疑问，投诉人无法证明其取得方式合法的，视为以非法手段取得证明材料。</w:t>
      </w:r>
    </w:p>
    <w:p w14:paraId="11FB9FF3">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9"/>
          <w:sz w:val="23"/>
          <w:szCs w:val="23"/>
        </w:rPr>
        <w:t>36.4  质疑投标人应按照财政部制定</w:t>
      </w:r>
      <w:r>
        <w:rPr>
          <w:rFonts w:hint="eastAsia" w:ascii="仿宋" w:hAnsi="仿宋" w:eastAsia="仿宋" w:cs="仿宋"/>
          <w:spacing w:val="8"/>
          <w:sz w:val="23"/>
          <w:szCs w:val="23"/>
        </w:rPr>
        <w:t>的《政府采购质疑函范本》格式（可从财政部官方网站下载）和《政府采购质疑和投诉办法》的要求，在法定质疑期内以纸质形式提出质疑，针对同一采购程序环节的质疑应一次性提</w:t>
      </w:r>
      <w:r>
        <w:rPr>
          <w:rFonts w:hint="eastAsia" w:ascii="仿宋" w:hAnsi="仿宋" w:eastAsia="仿宋" w:cs="仿宋"/>
          <w:spacing w:val="10"/>
          <w:sz w:val="23"/>
          <w:szCs w:val="23"/>
        </w:rPr>
        <w:t>出。超出法定质疑期的、重复提出的、分次提出的或内容、形式不符合</w:t>
      </w:r>
      <w:r>
        <w:rPr>
          <w:rFonts w:hint="eastAsia" w:ascii="仿宋" w:hAnsi="仿宋" w:eastAsia="仿宋" w:cs="仿宋"/>
          <w:spacing w:val="8"/>
          <w:sz w:val="23"/>
          <w:szCs w:val="23"/>
        </w:rPr>
        <w:t>《政府采购质疑和投诉办法》的，质疑投标人将依法承担不利后果。</w:t>
      </w:r>
    </w:p>
    <w:p w14:paraId="579C169C">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3"/>
          <w:sz w:val="23"/>
          <w:szCs w:val="23"/>
        </w:rPr>
      </w:pPr>
      <w:r>
        <w:rPr>
          <w:rFonts w:hint="eastAsia" w:ascii="仿宋" w:hAnsi="仿宋" w:eastAsia="仿宋" w:cs="仿宋"/>
          <w:spacing w:val="3"/>
          <w:sz w:val="23"/>
          <w:szCs w:val="23"/>
        </w:rPr>
        <w:t>36.5  采购代理机构质疑函接收部门、联系电话和通讯地址,见投标人须知资料表。</w:t>
      </w:r>
    </w:p>
    <w:p w14:paraId="7BBFA004">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3"/>
          <w:sz w:val="23"/>
          <w:szCs w:val="23"/>
        </w:rPr>
      </w:pPr>
      <w:r>
        <w:rPr>
          <w:rFonts w:hint="eastAsia" w:ascii="仿宋" w:hAnsi="仿宋" w:eastAsia="仿宋" w:cs="仿宋"/>
          <w:spacing w:val="3"/>
          <w:sz w:val="23"/>
          <w:szCs w:val="23"/>
        </w:rPr>
        <w:t>36.6  投标人认为招标文件、采购过程和中标结果使自己的权益受到损害的，可以在知道或者应知其权益受到损害之日起7个工作日内，以书面形式向采购方提出质疑。投标人应知其权益受到损害之日，是指：</w:t>
      </w:r>
    </w:p>
    <w:p w14:paraId="485169D0">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3"/>
          <w:sz w:val="23"/>
          <w:szCs w:val="23"/>
        </w:rPr>
      </w:pPr>
      <w:r>
        <w:rPr>
          <w:rFonts w:hint="eastAsia" w:ascii="仿宋" w:hAnsi="仿宋" w:eastAsia="仿宋" w:cs="仿宋"/>
          <w:spacing w:val="3"/>
          <w:sz w:val="23"/>
          <w:szCs w:val="23"/>
        </w:rPr>
        <w:t>(一)对可以质疑的投标文件提出质疑的，为收到采购文件之日或者采购文件公告期限届满之日。</w:t>
      </w:r>
    </w:p>
    <w:p w14:paraId="0EE04303">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3"/>
          <w:sz w:val="23"/>
          <w:szCs w:val="23"/>
        </w:rPr>
      </w:pPr>
      <w:r>
        <w:rPr>
          <w:rFonts w:hint="eastAsia" w:ascii="仿宋" w:hAnsi="仿宋" w:eastAsia="仿宋" w:cs="仿宋"/>
          <w:spacing w:val="3"/>
          <w:sz w:val="23"/>
          <w:szCs w:val="23"/>
        </w:rPr>
        <w:t>(二)对采购过程提出质疑的，为各采购程序环节结束之日；</w:t>
      </w:r>
    </w:p>
    <w:p w14:paraId="4A37D731">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3"/>
          <w:sz w:val="23"/>
          <w:szCs w:val="23"/>
        </w:rPr>
      </w:pPr>
      <w:r>
        <w:rPr>
          <w:rFonts w:hint="eastAsia" w:ascii="仿宋" w:hAnsi="仿宋" w:eastAsia="仿宋" w:cs="仿宋"/>
          <w:spacing w:val="3"/>
          <w:sz w:val="23"/>
          <w:szCs w:val="23"/>
        </w:rPr>
        <w:t>(三)对中标结果提出质疑的，为中标结果公告期限届满之日。</w:t>
      </w:r>
    </w:p>
    <w:p w14:paraId="69A11D46">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1"/>
          <w:sz w:val="23"/>
          <w:szCs w:val="23"/>
        </w:rPr>
      </w:pPr>
      <w:r>
        <w:rPr>
          <w:rFonts w:hint="eastAsia" w:ascii="仿宋" w:hAnsi="仿宋" w:eastAsia="仿宋" w:cs="仿宋"/>
          <w:spacing w:val="10"/>
          <w:sz w:val="23"/>
          <w:szCs w:val="23"/>
        </w:rPr>
        <w:t>36.7 本招标文件中所称质疑及答复，是指参加本</w:t>
      </w:r>
      <w:r>
        <w:rPr>
          <w:rFonts w:hint="eastAsia" w:ascii="仿宋" w:hAnsi="仿宋" w:eastAsia="仿宋" w:cs="仿宋"/>
          <w:spacing w:val="9"/>
          <w:sz w:val="23"/>
          <w:szCs w:val="23"/>
        </w:rPr>
        <w:t>次采购活动的投标人对政</w:t>
      </w:r>
      <w:r>
        <w:rPr>
          <w:rFonts w:hint="eastAsia" w:ascii="仿宋" w:hAnsi="仿宋" w:eastAsia="仿宋" w:cs="仿宋"/>
          <w:spacing w:val="7"/>
          <w:sz w:val="23"/>
          <w:szCs w:val="23"/>
        </w:rPr>
        <w:t>府采购活动中的招标文件、采购过程和中标结果向采购方提出质疑，采购方</w:t>
      </w:r>
      <w:r>
        <w:rPr>
          <w:rFonts w:hint="eastAsia" w:ascii="仿宋" w:hAnsi="仿宋" w:eastAsia="仿宋" w:cs="仿宋"/>
          <w:spacing w:val="6"/>
          <w:sz w:val="23"/>
          <w:szCs w:val="23"/>
        </w:rPr>
        <w:t>答复</w:t>
      </w:r>
      <w:r>
        <w:rPr>
          <w:rFonts w:hint="eastAsia" w:ascii="仿宋" w:hAnsi="仿宋" w:eastAsia="仿宋" w:cs="仿宋"/>
          <w:spacing w:val="1"/>
          <w:sz w:val="23"/>
          <w:szCs w:val="23"/>
        </w:rPr>
        <w:t>质疑的行为。</w:t>
      </w:r>
    </w:p>
    <w:p w14:paraId="5CFA7BF1">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11"/>
          <w:sz w:val="23"/>
          <w:szCs w:val="23"/>
        </w:rPr>
      </w:pPr>
      <w:r>
        <w:rPr>
          <w:rFonts w:hint="eastAsia" w:ascii="仿宋" w:hAnsi="仿宋" w:eastAsia="仿宋" w:cs="仿宋"/>
          <w:spacing w:val="11"/>
          <w:sz w:val="23"/>
          <w:szCs w:val="23"/>
        </w:rPr>
        <w:t>36.8 对可以质疑的招标文件提出质疑的，质疑人为参与本项目的报价方或潜在报价方。可质疑的文件为采购公告以及招标文件（包括属于其组成部分的澄清、修改、补充文件和</w:t>
      </w:r>
      <w:r>
        <w:rPr>
          <w:rFonts w:hint="eastAsia" w:ascii="仿宋" w:hAnsi="仿宋" w:eastAsia="仿宋" w:cs="仿宋"/>
          <w:spacing w:val="7"/>
          <w:sz w:val="23"/>
          <w:szCs w:val="23"/>
        </w:rPr>
        <w:t>评标标准</w:t>
      </w:r>
      <w:r>
        <w:rPr>
          <w:rFonts w:hint="eastAsia" w:ascii="仿宋" w:hAnsi="仿宋" w:eastAsia="仿宋" w:cs="仿宋"/>
          <w:spacing w:val="11"/>
          <w:sz w:val="23"/>
          <w:szCs w:val="23"/>
        </w:rPr>
        <w:t>等）。</w:t>
      </w:r>
    </w:p>
    <w:p w14:paraId="799BF087">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1"/>
          <w:sz w:val="23"/>
          <w:szCs w:val="23"/>
        </w:rPr>
      </w:pPr>
      <w:r>
        <w:rPr>
          <w:rFonts w:hint="eastAsia" w:ascii="仿宋" w:hAnsi="仿宋" w:eastAsia="仿宋" w:cs="仿宋"/>
          <w:spacing w:val="11"/>
          <w:sz w:val="23"/>
          <w:szCs w:val="23"/>
        </w:rPr>
        <w:t>36.9 对采购过程和中标结果提出质疑的，质疑人为直接参与本项目的报价方。采购过程,即从采购项目信息公告发布起到中标结果公告止，包括招标文件的发出、提交投标文件、投标文件开启、评审等各个采购程序环节。</w:t>
      </w:r>
    </w:p>
    <w:p w14:paraId="371B59B8">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5"/>
          <w:sz w:val="23"/>
          <w:szCs w:val="23"/>
        </w:rPr>
      </w:pPr>
      <w:r>
        <w:rPr>
          <w:rFonts w:hint="eastAsia" w:ascii="仿宋" w:hAnsi="仿宋" w:eastAsia="仿宋" w:cs="仿宋"/>
          <w:spacing w:val="5"/>
          <w:sz w:val="23"/>
          <w:szCs w:val="23"/>
        </w:rPr>
        <w:t>36.10 提出质疑应当符合下列条件：</w:t>
      </w:r>
    </w:p>
    <w:p w14:paraId="2C98AFE9">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5"/>
          <w:sz w:val="23"/>
          <w:szCs w:val="23"/>
        </w:rPr>
      </w:pPr>
      <w:r>
        <w:rPr>
          <w:rFonts w:hint="eastAsia" w:ascii="仿宋" w:hAnsi="仿宋" w:eastAsia="仿宋" w:cs="仿宋"/>
          <w:spacing w:val="5"/>
          <w:sz w:val="23"/>
          <w:szCs w:val="23"/>
        </w:rPr>
        <w:t>（一）质疑主体应当符合有关规定；</w:t>
      </w:r>
    </w:p>
    <w:p w14:paraId="21269798">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5"/>
          <w:sz w:val="23"/>
          <w:szCs w:val="23"/>
        </w:rPr>
      </w:pPr>
      <w:r>
        <w:rPr>
          <w:rFonts w:hint="eastAsia" w:ascii="仿宋" w:hAnsi="仿宋" w:eastAsia="仿宋" w:cs="仿宋"/>
          <w:spacing w:val="5"/>
          <w:sz w:val="23"/>
          <w:szCs w:val="23"/>
        </w:rPr>
        <w:t>（二）在质疑法定期限内提出；</w:t>
      </w:r>
    </w:p>
    <w:p w14:paraId="45677D6F">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5"/>
          <w:sz w:val="23"/>
          <w:szCs w:val="23"/>
        </w:rPr>
      </w:pPr>
      <w:r>
        <w:rPr>
          <w:rFonts w:hint="eastAsia" w:ascii="仿宋" w:hAnsi="仿宋" w:eastAsia="仿宋" w:cs="仿宋"/>
          <w:spacing w:val="5"/>
          <w:sz w:val="23"/>
          <w:szCs w:val="23"/>
        </w:rPr>
        <w:t>（三）属于可以提出质疑的政府采购事项受理范围和本项目采购人的管辖权范围；</w:t>
      </w:r>
    </w:p>
    <w:p w14:paraId="6C384F96">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5"/>
          <w:sz w:val="23"/>
          <w:szCs w:val="23"/>
        </w:rPr>
      </w:pPr>
      <w:r>
        <w:rPr>
          <w:rFonts w:hint="eastAsia" w:ascii="仿宋" w:hAnsi="仿宋" w:eastAsia="仿宋" w:cs="仿宋"/>
          <w:spacing w:val="5"/>
          <w:sz w:val="23"/>
          <w:szCs w:val="23"/>
        </w:rPr>
        <w:t>（四）政府采购法律、法规、规章规定的其他条件。</w:t>
      </w:r>
    </w:p>
    <w:p w14:paraId="33E8BD38">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11"/>
          <w:sz w:val="23"/>
          <w:szCs w:val="23"/>
        </w:rPr>
        <w:t>36.11</w:t>
      </w:r>
      <w:r>
        <w:rPr>
          <w:rFonts w:hint="eastAsia" w:ascii="仿宋" w:hAnsi="仿宋" w:eastAsia="仿宋" w:cs="仿宋"/>
          <w:spacing w:val="-33"/>
          <w:sz w:val="23"/>
          <w:szCs w:val="23"/>
        </w:rPr>
        <w:t xml:space="preserve"> </w:t>
      </w:r>
      <w:r>
        <w:rPr>
          <w:rFonts w:hint="eastAsia" w:ascii="仿宋" w:hAnsi="仿宋" w:eastAsia="仿宋" w:cs="仿宋"/>
          <w:spacing w:val="7"/>
          <w:sz w:val="23"/>
          <w:szCs w:val="23"/>
        </w:rPr>
        <w:t>提出质疑应当具有明确的请求和提供必要的</w:t>
      </w:r>
      <w:r>
        <w:rPr>
          <w:rFonts w:hint="eastAsia" w:ascii="仿宋" w:hAnsi="仿宋" w:eastAsia="仿宋" w:cs="仿宋"/>
          <w:spacing w:val="6"/>
          <w:sz w:val="23"/>
          <w:szCs w:val="23"/>
        </w:rPr>
        <w:t>证明材料。明确的请求,即质</w:t>
      </w:r>
      <w:r>
        <w:rPr>
          <w:rFonts w:hint="eastAsia" w:ascii="仿宋" w:hAnsi="仿宋" w:eastAsia="仿宋" w:cs="仿宋"/>
          <w:spacing w:val="10"/>
          <w:sz w:val="23"/>
          <w:szCs w:val="23"/>
        </w:rPr>
        <w:t>疑人在质疑函中提出的，要求采购方对其予以支持的主张。必要的证明材料,即</w:t>
      </w:r>
      <w:r>
        <w:rPr>
          <w:rFonts w:hint="eastAsia" w:ascii="仿宋" w:hAnsi="仿宋" w:eastAsia="仿宋" w:cs="仿宋"/>
          <w:spacing w:val="7"/>
          <w:sz w:val="23"/>
          <w:szCs w:val="23"/>
        </w:rPr>
        <w:t>能够证明质疑人的质疑请求成立的必要材料，包括相关证据、依据和其他有关材</w:t>
      </w:r>
      <w:r>
        <w:rPr>
          <w:rFonts w:hint="eastAsia" w:ascii="仿宋" w:hAnsi="仿宋" w:eastAsia="仿宋" w:cs="仿宋"/>
          <w:spacing w:val="-9"/>
          <w:sz w:val="23"/>
          <w:szCs w:val="23"/>
        </w:rPr>
        <w:t>料。</w:t>
      </w:r>
    </w:p>
    <w:p w14:paraId="0C1F3587">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10"/>
          <w:sz w:val="23"/>
          <w:szCs w:val="23"/>
        </w:rPr>
        <w:t>36.12 质疑人所提供的证明材料应当具有真实性、合法性以及与质疑</w:t>
      </w:r>
      <w:r>
        <w:rPr>
          <w:rFonts w:hint="eastAsia" w:ascii="仿宋" w:hAnsi="仿宋" w:eastAsia="仿宋" w:cs="仿宋"/>
          <w:spacing w:val="9"/>
          <w:sz w:val="23"/>
          <w:szCs w:val="23"/>
        </w:rPr>
        <w:t>事项的</w:t>
      </w:r>
      <w:r>
        <w:rPr>
          <w:rFonts w:hint="eastAsia" w:ascii="仿宋" w:hAnsi="仿宋" w:eastAsia="仿宋" w:cs="仿宋"/>
          <w:spacing w:val="8"/>
          <w:sz w:val="23"/>
          <w:szCs w:val="23"/>
        </w:rPr>
        <w:t>关联性和证明力，否则不能作为认定该质疑事</w:t>
      </w:r>
      <w:r>
        <w:rPr>
          <w:rFonts w:hint="eastAsia" w:ascii="仿宋" w:hAnsi="仿宋" w:eastAsia="仿宋" w:cs="仿宋"/>
          <w:spacing w:val="7"/>
          <w:sz w:val="23"/>
          <w:szCs w:val="23"/>
        </w:rPr>
        <w:t>项成立的依据。</w:t>
      </w:r>
    </w:p>
    <w:p w14:paraId="0D005604">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7"/>
          <w:sz w:val="23"/>
          <w:szCs w:val="23"/>
        </w:rPr>
        <w:t>36.13 质疑人提出质疑时应当提交质疑函。质疑函包括下列内容：</w:t>
      </w:r>
    </w:p>
    <w:p w14:paraId="45F4227D">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7"/>
          <w:sz w:val="23"/>
          <w:szCs w:val="23"/>
        </w:rPr>
        <w:t>（一）提出质疑的质疑人的名称、地址、邮编、联系人及联系电话等；</w:t>
      </w:r>
    </w:p>
    <w:p w14:paraId="33ED0215">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4"/>
          <w:sz w:val="23"/>
          <w:szCs w:val="23"/>
        </w:rPr>
        <w:t>（二）质疑项目的名称、编号；</w:t>
      </w:r>
    </w:p>
    <w:p w14:paraId="222F58C9">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z w:val="23"/>
          <w:szCs w:val="23"/>
        </w:rPr>
        <w:t>（三）质疑事项；</w:t>
      </w:r>
    </w:p>
    <w:p w14:paraId="060396E4">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3"/>
          <w:sz w:val="23"/>
          <w:szCs w:val="23"/>
        </w:rPr>
        <w:t>（四）事实依据和证明材料；</w:t>
      </w:r>
    </w:p>
    <w:p w14:paraId="0BBDFA42">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z w:val="23"/>
          <w:szCs w:val="23"/>
        </w:rPr>
        <w:t>（五）法律依据；</w:t>
      </w:r>
    </w:p>
    <w:p w14:paraId="30784871">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4"/>
          <w:sz w:val="23"/>
          <w:szCs w:val="23"/>
        </w:rPr>
        <w:t>（六）提出质疑的日期。</w:t>
      </w:r>
    </w:p>
    <w:p w14:paraId="4449CCE3">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7"/>
          <w:sz w:val="23"/>
          <w:szCs w:val="23"/>
        </w:rPr>
        <w:t>质疑函采用实名制。质疑人为自然人的应当由</w:t>
      </w:r>
      <w:r>
        <w:rPr>
          <w:rFonts w:hint="eastAsia" w:ascii="仿宋" w:hAnsi="仿宋" w:eastAsia="仿宋" w:cs="仿宋"/>
          <w:spacing w:val="6"/>
          <w:sz w:val="23"/>
          <w:szCs w:val="23"/>
        </w:rPr>
        <w:t>本人签字，并附有效身份证明</w:t>
      </w:r>
      <w:r>
        <w:rPr>
          <w:rFonts w:hint="eastAsia" w:ascii="仿宋" w:hAnsi="仿宋" w:eastAsia="仿宋" w:cs="仿宋"/>
          <w:spacing w:val="7"/>
          <w:sz w:val="23"/>
          <w:szCs w:val="23"/>
        </w:rPr>
        <w:t>文件；质疑人为法人或者非法人组织的应当由法定代表人或者负责人签字并加盖</w:t>
      </w:r>
      <w:r>
        <w:rPr>
          <w:rFonts w:hint="eastAsia" w:ascii="仿宋" w:hAnsi="仿宋" w:eastAsia="仿宋" w:cs="仿宋"/>
          <w:spacing w:val="6"/>
          <w:sz w:val="23"/>
          <w:szCs w:val="23"/>
        </w:rPr>
        <w:t>公章，并附有效身份证明文件。</w:t>
      </w:r>
    </w:p>
    <w:p w14:paraId="3D0BA2B8">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10"/>
          <w:sz w:val="23"/>
          <w:szCs w:val="23"/>
        </w:rPr>
        <w:t>36.14 质疑人可以委托代理人进行质疑。代理人应当提交授权委托书</w:t>
      </w:r>
      <w:r>
        <w:rPr>
          <w:rFonts w:hint="eastAsia" w:ascii="仿宋" w:hAnsi="仿宋" w:eastAsia="仿宋" w:cs="仿宋"/>
          <w:spacing w:val="9"/>
          <w:sz w:val="23"/>
          <w:szCs w:val="23"/>
        </w:rPr>
        <w:t>。授权</w:t>
      </w:r>
      <w:r>
        <w:rPr>
          <w:rFonts w:hint="eastAsia" w:ascii="仿宋" w:hAnsi="仿宋" w:eastAsia="仿宋" w:cs="仿宋"/>
          <w:spacing w:val="7"/>
          <w:sz w:val="23"/>
          <w:szCs w:val="23"/>
        </w:rPr>
        <w:t>委托书应当载明委托代理的具体权限、期限和相关事项。</w:t>
      </w:r>
    </w:p>
    <w:p w14:paraId="4AE05E3B">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6"/>
          <w:sz w:val="23"/>
          <w:szCs w:val="23"/>
        </w:rPr>
        <w:t>36.15、质疑的审查和受理</w:t>
      </w:r>
    </w:p>
    <w:p w14:paraId="6B8DEA7F">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10"/>
          <w:sz w:val="23"/>
          <w:szCs w:val="23"/>
        </w:rPr>
        <w:t>采购方在收到质疑函后应当及时审查是否符</w:t>
      </w:r>
      <w:r>
        <w:rPr>
          <w:rFonts w:hint="eastAsia" w:ascii="仿宋" w:hAnsi="仿宋" w:eastAsia="仿宋" w:cs="仿宋"/>
          <w:spacing w:val="9"/>
          <w:sz w:val="23"/>
          <w:szCs w:val="23"/>
        </w:rPr>
        <w:t>合质疑受理条件，对符合质</w:t>
      </w:r>
      <w:r>
        <w:rPr>
          <w:rFonts w:hint="eastAsia" w:ascii="仿宋" w:hAnsi="仿宋" w:eastAsia="仿宋" w:cs="仿宋"/>
          <w:spacing w:val="6"/>
          <w:sz w:val="23"/>
          <w:szCs w:val="23"/>
        </w:rPr>
        <w:t>疑受理条件的，及时予以受理。</w:t>
      </w:r>
    </w:p>
    <w:p w14:paraId="3E12C193">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7"/>
          <w:sz w:val="23"/>
          <w:szCs w:val="23"/>
        </w:rPr>
        <w:t>36.16 对不符合质疑受理条件的，分别按照下列不同情形予以处理：</w:t>
      </w:r>
    </w:p>
    <w:p w14:paraId="27E96874">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7"/>
          <w:sz w:val="23"/>
          <w:szCs w:val="23"/>
        </w:rPr>
        <w:t>（一）质疑函内容不符合规定的，告知质疑人进行修</w:t>
      </w:r>
      <w:r>
        <w:rPr>
          <w:rFonts w:hint="eastAsia" w:ascii="仿宋" w:hAnsi="仿宋" w:eastAsia="仿宋" w:cs="仿宋"/>
          <w:spacing w:val="6"/>
          <w:sz w:val="23"/>
          <w:szCs w:val="23"/>
        </w:rPr>
        <w:t>改并重新提出质疑。修</w:t>
      </w:r>
      <w:r>
        <w:rPr>
          <w:rFonts w:hint="eastAsia" w:ascii="仿宋" w:hAnsi="仿宋" w:eastAsia="仿宋" w:cs="仿宋"/>
          <w:spacing w:val="13"/>
          <w:sz w:val="23"/>
          <w:szCs w:val="23"/>
        </w:rPr>
        <w:t>改后质疑事项仍不具体、不明确或者最终递交质疑函的时间超过质疑法定期限</w:t>
      </w:r>
      <w:r>
        <w:rPr>
          <w:rFonts w:hint="eastAsia" w:ascii="仿宋" w:hAnsi="仿宋" w:eastAsia="仿宋" w:cs="仿宋"/>
          <w:spacing w:val="-3"/>
          <w:sz w:val="23"/>
          <w:szCs w:val="23"/>
        </w:rPr>
        <w:t>的，不予受理；</w:t>
      </w:r>
    </w:p>
    <w:p w14:paraId="79540C8B">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7"/>
          <w:sz w:val="23"/>
          <w:szCs w:val="23"/>
        </w:rPr>
        <w:t>（二）质疑主体不符合有关规定的，告知质疑人不予受</w:t>
      </w:r>
      <w:r>
        <w:rPr>
          <w:rFonts w:hint="eastAsia" w:ascii="仿宋" w:hAnsi="仿宋" w:eastAsia="仿宋" w:cs="仿宋"/>
          <w:spacing w:val="6"/>
          <w:sz w:val="23"/>
          <w:szCs w:val="23"/>
        </w:rPr>
        <w:t>理；</w:t>
      </w:r>
    </w:p>
    <w:p w14:paraId="613541D5">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7"/>
          <w:sz w:val="23"/>
          <w:szCs w:val="23"/>
        </w:rPr>
        <w:t>（三）超过质疑法定期限提出质疑的，告知质疑人不予受理；</w:t>
      </w:r>
    </w:p>
    <w:p w14:paraId="1B6C4CEA">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7"/>
          <w:sz w:val="23"/>
          <w:szCs w:val="23"/>
        </w:rPr>
        <w:t>（四）对不属于可以提出质疑的政府采购事项提</w:t>
      </w:r>
      <w:r>
        <w:rPr>
          <w:rFonts w:hint="eastAsia" w:ascii="仿宋" w:hAnsi="仿宋" w:eastAsia="仿宋" w:cs="仿宋"/>
          <w:spacing w:val="6"/>
          <w:sz w:val="23"/>
          <w:szCs w:val="23"/>
        </w:rPr>
        <w:t>出质疑的，告知质疑人不予</w:t>
      </w:r>
      <w:r>
        <w:rPr>
          <w:rFonts w:hint="eastAsia" w:ascii="仿宋" w:hAnsi="仿宋" w:eastAsia="仿宋" w:cs="仿宋"/>
          <w:spacing w:val="-13"/>
          <w:sz w:val="23"/>
          <w:szCs w:val="23"/>
        </w:rPr>
        <w:t>受理；</w:t>
      </w:r>
    </w:p>
    <w:p w14:paraId="156E7658">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7"/>
          <w:sz w:val="23"/>
          <w:szCs w:val="23"/>
        </w:rPr>
        <w:t>（五）质疑不属于本项目采购方管辖的，告知质</w:t>
      </w:r>
      <w:r>
        <w:rPr>
          <w:rFonts w:hint="eastAsia" w:ascii="仿宋" w:hAnsi="仿宋" w:eastAsia="仿宋" w:cs="仿宋"/>
          <w:spacing w:val="6"/>
          <w:sz w:val="23"/>
          <w:szCs w:val="23"/>
        </w:rPr>
        <w:t>疑人向有管辖权的采购人提</w:t>
      </w:r>
      <w:r>
        <w:rPr>
          <w:rFonts w:hint="eastAsia" w:ascii="仿宋" w:hAnsi="仿宋" w:eastAsia="仿宋" w:cs="仿宋"/>
          <w:spacing w:val="-11"/>
          <w:sz w:val="23"/>
          <w:szCs w:val="23"/>
        </w:rPr>
        <w:t>出质疑；</w:t>
      </w:r>
    </w:p>
    <w:p w14:paraId="23B94D0C">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7"/>
          <w:sz w:val="23"/>
          <w:szCs w:val="23"/>
        </w:rPr>
      </w:pPr>
      <w:r>
        <w:rPr>
          <w:rFonts w:hint="eastAsia" w:ascii="仿宋" w:hAnsi="仿宋" w:eastAsia="仿宋" w:cs="仿宋"/>
          <w:spacing w:val="7"/>
          <w:sz w:val="23"/>
          <w:szCs w:val="23"/>
        </w:rPr>
        <w:t>（六）质疑不符合其他条件的，告知质疑人不予受理。</w:t>
      </w:r>
    </w:p>
    <w:p w14:paraId="390EFA5C">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b/>
          <w:bCs/>
          <w:spacing w:val="6"/>
          <w:sz w:val="23"/>
          <w:szCs w:val="23"/>
        </w:rPr>
        <w:t>37 质疑的处理和答复</w:t>
      </w:r>
    </w:p>
    <w:p w14:paraId="5D43C003">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10"/>
          <w:sz w:val="23"/>
          <w:szCs w:val="23"/>
        </w:rPr>
        <w:t>37.1 采购方受理质疑后，将及时把质疑函发送给被质疑人，并要求</w:t>
      </w:r>
      <w:r>
        <w:rPr>
          <w:rFonts w:hint="eastAsia" w:ascii="仿宋" w:hAnsi="仿宋" w:eastAsia="仿宋" w:cs="仿宋"/>
          <w:spacing w:val="9"/>
          <w:sz w:val="23"/>
          <w:szCs w:val="23"/>
        </w:rPr>
        <w:t>其在一</w:t>
      </w:r>
      <w:r>
        <w:rPr>
          <w:rFonts w:hint="eastAsia" w:ascii="仿宋" w:hAnsi="仿宋" w:eastAsia="仿宋" w:cs="仿宋"/>
          <w:spacing w:val="8"/>
          <w:sz w:val="23"/>
          <w:szCs w:val="23"/>
        </w:rPr>
        <w:t>定限期人提交书面答复，同时提供有关证据、依据和相关</w:t>
      </w:r>
      <w:r>
        <w:rPr>
          <w:rFonts w:hint="eastAsia" w:ascii="仿宋" w:hAnsi="仿宋" w:eastAsia="仿宋" w:cs="仿宋"/>
          <w:spacing w:val="7"/>
          <w:sz w:val="23"/>
          <w:szCs w:val="23"/>
        </w:rPr>
        <w:t>材料。</w:t>
      </w:r>
    </w:p>
    <w:p w14:paraId="5509588F">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6"/>
          <w:sz w:val="23"/>
          <w:szCs w:val="23"/>
        </w:rPr>
        <w:t>37.2  对于质疑事项中涉及的问题较多、情况比较复杂的，为了全面查清事</w:t>
      </w:r>
      <w:r>
        <w:rPr>
          <w:rFonts w:hint="eastAsia" w:ascii="仿宋" w:hAnsi="仿宋" w:eastAsia="仿宋" w:cs="仿宋"/>
          <w:spacing w:val="8"/>
          <w:sz w:val="23"/>
          <w:szCs w:val="23"/>
        </w:rPr>
        <w:t>实、取得充分的证据，采购方认为有必要时，可以进行调查取证或者组织质证。</w:t>
      </w:r>
    </w:p>
    <w:p w14:paraId="0D371F6D">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10"/>
          <w:sz w:val="23"/>
          <w:szCs w:val="23"/>
        </w:rPr>
        <w:t>37.3 对评审过程、中标结果提出质疑的，采购方可以组织原评标委员会</w:t>
      </w:r>
      <w:r>
        <w:rPr>
          <w:rFonts w:hint="eastAsia" w:ascii="仿宋" w:hAnsi="仿宋" w:eastAsia="仿宋" w:cs="仿宋"/>
          <w:spacing w:val="9"/>
          <w:sz w:val="23"/>
          <w:szCs w:val="23"/>
        </w:rPr>
        <w:t>协</w:t>
      </w:r>
      <w:r>
        <w:rPr>
          <w:rFonts w:hint="eastAsia" w:ascii="仿宋" w:hAnsi="仿宋" w:eastAsia="仿宋" w:cs="仿宋"/>
          <w:spacing w:val="1"/>
          <w:sz w:val="23"/>
          <w:szCs w:val="23"/>
        </w:rPr>
        <w:t>助答复质疑。</w:t>
      </w:r>
    </w:p>
    <w:p w14:paraId="257E1DE9">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8"/>
          <w:sz w:val="23"/>
          <w:szCs w:val="23"/>
        </w:rPr>
      </w:pPr>
      <w:r>
        <w:rPr>
          <w:rFonts w:hint="eastAsia" w:ascii="仿宋" w:hAnsi="仿宋" w:eastAsia="仿宋" w:cs="仿宋"/>
          <w:spacing w:val="8"/>
          <w:sz w:val="23"/>
          <w:szCs w:val="23"/>
        </w:rPr>
        <w:t>37.4 质疑处理过程中，质疑人书面申请撤回质疑的，将终止质疑处理程序。</w:t>
      </w:r>
    </w:p>
    <w:p w14:paraId="71FCC9A6">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11"/>
          <w:sz w:val="23"/>
          <w:szCs w:val="23"/>
        </w:rPr>
        <w:t>37.5</w:t>
      </w:r>
      <w:r>
        <w:rPr>
          <w:rFonts w:hint="eastAsia" w:ascii="仿宋" w:hAnsi="仿宋" w:eastAsia="仿宋" w:cs="仿宋"/>
          <w:spacing w:val="-27"/>
          <w:sz w:val="23"/>
          <w:szCs w:val="23"/>
        </w:rPr>
        <w:t xml:space="preserve"> </w:t>
      </w:r>
      <w:r>
        <w:rPr>
          <w:rFonts w:hint="eastAsia" w:ascii="仿宋" w:hAnsi="仿宋" w:eastAsia="仿宋" w:cs="仿宋"/>
          <w:spacing w:val="11"/>
          <w:sz w:val="23"/>
          <w:szCs w:val="23"/>
        </w:rPr>
        <w:t>质疑人拒绝配合采购方依法对质疑进行调查处理的，采购方将按质疑</w:t>
      </w:r>
      <w:r>
        <w:rPr>
          <w:rFonts w:hint="eastAsia" w:ascii="仿宋" w:hAnsi="仿宋" w:eastAsia="仿宋" w:cs="仿宋"/>
          <w:spacing w:val="7"/>
          <w:sz w:val="23"/>
          <w:szCs w:val="23"/>
        </w:rPr>
        <w:t>人自动撤回质疑处理；被质疑人拒绝配合采购方依法对质疑进行调查</w:t>
      </w:r>
      <w:r>
        <w:rPr>
          <w:rFonts w:hint="eastAsia" w:ascii="仿宋" w:hAnsi="仿宋" w:eastAsia="仿宋" w:cs="仿宋"/>
          <w:spacing w:val="6"/>
          <w:sz w:val="23"/>
          <w:szCs w:val="23"/>
        </w:rPr>
        <w:t>处理的，采</w:t>
      </w:r>
      <w:r>
        <w:rPr>
          <w:rFonts w:hint="eastAsia" w:ascii="仿宋" w:hAnsi="仿宋" w:eastAsia="仿宋" w:cs="仿宋"/>
          <w:spacing w:val="5"/>
          <w:sz w:val="23"/>
          <w:szCs w:val="23"/>
        </w:rPr>
        <w:t>购方将视同其认可质疑事项。</w:t>
      </w:r>
    </w:p>
    <w:p w14:paraId="3F6D6D2E">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10"/>
          <w:sz w:val="23"/>
          <w:szCs w:val="23"/>
        </w:rPr>
        <w:t>37.6</w:t>
      </w:r>
      <w:r>
        <w:rPr>
          <w:rFonts w:hint="eastAsia" w:ascii="仿宋" w:hAnsi="仿宋" w:eastAsia="仿宋" w:cs="仿宋"/>
          <w:spacing w:val="-32"/>
          <w:sz w:val="23"/>
          <w:szCs w:val="23"/>
        </w:rPr>
        <w:t xml:space="preserve"> </w:t>
      </w:r>
      <w:r>
        <w:rPr>
          <w:rFonts w:hint="eastAsia" w:ascii="仿宋" w:hAnsi="仿宋" w:eastAsia="仿宋" w:cs="仿宋"/>
          <w:spacing w:val="10"/>
          <w:sz w:val="23"/>
          <w:szCs w:val="23"/>
        </w:rPr>
        <w:t>采购方将在正式受理质疑后</w:t>
      </w:r>
      <w:r>
        <w:rPr>
          <w:rFonts w:hint="eastAsia" w:ascii="仿宋" w:hAnsi="仿宋" w:eastAsia="仿宋" w:cs="仿宋"/>
          <w:spacing w:val="-38"/>
          <w:sz w:val="23"/>
          <w:szCs w:val="23"/>
        </w:rPr>
        <w:t xml:space="preserve"> </w:t>
      </w:r>
      <w:r>
        <w:rPr>
          <w:rFonts w:hint="eastAsia" w:ascii="仿宋" w:hAnsi="仿宋" w:eastAsia="仿宋" w:cs="仿宋"/>
          <w:spacing w:val="10"/>
          <w:sz w:val="23"/>
          <w:szCs w:val="23"/>
        </w:rPr>
        <w:t>7</w:t>
      </w:r>
      <w:r>
        <w:rPr>
          <w:rFonts w:hint="eastAsia" w:ascii="仿宋" w:hAnsi="仿宋" w:eastAsia="仿宋" w:cs="仿宋"/>
          <w:spacing w:val="-36"/>
          <w:sz w:val="23"/>
          <w:szCs w:val="23"/>
        </w:rPr>
        <w:t xml:space="preserve"> </w:t>
      </w:r>
      <w:r>
        <w:rPr>
          <w:rFonts w:hint="eastAsia" w:ascii="仿宋" w:hAnsi="仿宋" w:eastAsia="仿宋" w:cs="仿宋"/>
          <w:spacing w:val="10"/>
          <w:sz w:val="23"/>
          <w:szCs w:val="23"/>
        </w:rPr>
        <w:t>个工作日内作出答复，但处理</w:t>
      </w:r>
      <w:r>
        <w:rPr>
          <w:rFonts w:hint="eastAsia" w:ascii="仿宋" w:hAnsi="仿宋" w:eastAsia="仿宋" w:cs="仿宋"/>
          <w:spacing w:val="9"/>
          <w:sz w:val="23"/>
          <w:szCs w:val="23"/>
        </w:rPr>
        <w:t>质疑需要</w:t>
      </w:r>
      <w:r>
        <w:rPr>
          <w:rFonts w:hint="eastAsia" w:ascii="仿宋" w:hAnsi="仿宋" w:eastAsia="仿宋" w:cs="仿宋"/>
          <w:spacing w:val="8"/>
          <w:sz w:val="23"/>
          <w:szCs w:val="23"/>
        </w:rPr>
        <w:t>进行调查取证、组织专家评标、质疑人及被质疑人提交或补正材料等所</w:t>
      </w:r>
      <w:r>
        <w:rPr>
          <w:rFonts w:hint="eastAsia" w:ascii="仿宋" w:hAnsi="仿宋" w:eastAsia="仿宋" w:cs="仿宋"/>
          <w:spacing w:val="7"/>
          <w:sz w:val="23"/>
          <w:szCs w:val="23"/>
        </w:rPr>
        <w:t>需时间，</w:t>
      </w:r>
      <w:r>
        <w:rPr>
          <w:rFonts w:hint="eastAsia" w:ascii="仿宋" w:hAnsi="仿宋" w:eastAsia="仿宋" w:cs="仿宋"/>
          <w:spacing w:val="5"/>
          <w:sz w:val="23"/>
          <w:szCs w:val="23"/>
        </w:rPr>
        <w:t>不计算在质疑处理期限内。</w:t>
      </w:r>
    </w:p>
    <w:p w14:paraId="6425DCAD">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10"/>
          <w:sz w:val="23"/>
          <w:szCs w:val="23"/>
        </w:rPr>
        <w:t>37.7 采购方经调查、论证、核实，认定质疑不能成立的，继续开展</w:t>
      </w:r>
      <w:r>
        <w:rPr>
          <w:rFonts w:hint="eastAsia" w:ascii="仿宋" w:hAnsi="仿宋" w:eastAsia="仿宋" w:cs="仿宋"/>
          <w:spacing w:val="9"/>
          <w:sz w:val="23"/>
          <w:szCs w:val="23"/>
        </w:rPr>
        <w:t>采购活</w:t>
      </w:r>
      <w:r>
        <w:rPr>
          <w:rFonts w:hint="eastAsia" w:ascii="仿宋" w:hAnsi="仿宋" w:eastAsia="仿宋" w:cs="仿宋"/>
          <w:spacing w:val="5"/>
          <w:sz w:val="23"/>
          <w:szCs w:val="23"/>
        </w:rPr>
        <w:t>动；认定质疑成立的，按照以下情况处理：</w:t>
      </w:r>
    </w:p>
    <w:p w14:paraId="6D3AC71C">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1"/>
          <w:sz w:val="23"/>
          <w:szCs w:val="23"/>
        </w:rPr>
        <w:t>（一）对招标文件提出的质疑未对中标结果构成影响的，继续开展采购活动；</w:t>
      </w:r>
      <w:r>
        <w:rPr>
          <w:rFonts w:hint="eastAsia" w:ascii="仿宋" w:hAnsi="仿宋" w:eastAsia="仿宋" w:cs="仿宋"/>
          <w:spacing w:val="7"/>
          <w:sz w:val="23"/>
          <w:szCs w:val="23"/>
        </w:rPr>
        <w:t>对中标结果构成影响但依法通过澄清或者修改可以继续开展采购活动的，</w:t>
      </w:r>
      <w:r>
        <w:rPr>
          <w:rFonts w:hint="eastAsia" w:ascii="仿宋" w:hAnsi="仿宋" w:eastAsia="仿宋" w:cs="仿宋"/>
          <w:spacing w:val="6"/>
          <w:sz w:val="23"/>
          <w:szCs w:val="23"/>
        </w:rPr>
        <w:t>澄清或</w:t>
      </w:r>
      <w:r>
        <w:rPr>
          <w:rFonts w:hint="eastAsia" w:ascii="仿宋" w:hAnsi="仿宋" w:eastAsia="仿宋" w:cs="仿宋"/>
          <w:spacing w:val="7"/>
          <w:sz w:val="23"/>
          <w:szCs w:val="23"/>
        </w:rPr>
        <w:t>者修改招标文件后继续开展采购活动，否则应当修改招标文件后重新开展</w:t>
      </w:r>
      <w:r>
        <w:rPr>
          <w:rFonts w:hint="eastAsia" w:ascii="仿宋" w:hAnsi="仿宋" w:eastAsia="仿宋" w:cs="仿宋"/>
          <w:spacing w:val="6"/>
          <w:sz w:val="23"/>
          <w:szCs w:val="23"/>
        </w:rPr>
        <w:t>采购活</w:t>
      </w:r>
      <w:r>
        <w:rPr>
          <w:rFonts w:hint="eastAsia" w:ascii="仿宋" w:hAnsi="仿宋" w:eastAsia="仿宋" w:cs="仿宋"/>
          <w:spacing w:val="-9"/>
          <w:sz w:val="23"/>
          <w:szCs w:val="23"/>
        </w:rPr>
        <w:t>动。</w:t>
      </w:r>
    </w:p>
    <w:p w14:paraId="7DEF560B">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7"/>
          <w:sz w:val="23"/>
          <w:szCs w:val="23"/>
        </w:rPr>
        <w:t>（二）对采购过程、中标结果提出的质疑未对中标结果</w:t>
      </w:r>
      <w:r>
        <w:rPr>
          <w:rFonts w:hint="eastAsia" w:ascii="仿宋" w:hAnsi="仿宋" w:eastAsia="仿宋" w:cs="仿宋"/>
          <w:spacing w:val="6"/>
          <w:sz w:val="23"/>
          <w:szCs w:val="23"/>
        </w:rPr>
        <w:t>构成影响的，继续开展采购活动；对中标结果构成影响但合格报价方仍不少于</w:t>
      </w:r>
      <w:r>
        <w:rPr>
          <w:rFonts w:hint="eastAsia" w:ascii="仿宋" w:hAnsi="仿宋" w:eastAsia="仿宋" w:cs="仿宋"/>
          <w:spacing w:val="-42"/>
          <w:sz w:val="23"/>
          <w:szCs w:val="23"/>
        </w:rPr>
        <w:t xml:space="preserve"> </w:t>
      </w:r>
      <w:r>
        <w:rPr>
          <w:rFonts w:hint="eastAsia" w:ascii="仿宋" w:hAnsi="仿宋" w:eastAsia="仿宋" w:cs="仿宋"/>
          <w:spacing w:val="6"/>
          <w:sz w:val="23"/>
          <w:szCs w:val="23"/>
        </w:rPr>
        <w:t>3</w:t>
      </w:r>
      <w:r>
        <w:rPr>
          <w:rFonts w:hint="eastAsia" w:ascii="仿宋" w:hAnsi="仿宋" w:eastAsia="仿宋" w:cs="仿宋"/>
          <w:spacing w:val="-36"/>
          <w:sz w:val="23"/>
          <w:szCs w:val="23"/>
        </w:rPr>
        <w:t xml:space="preserve"> </w:t>
      </w:r>
      <w:r>
        <w:rPr>
          <w:rFonts w:hint="eastAsia" w:ascii="仿宋" w:hAnsi="仿宋" w:eastAsia="仿宋" w:cs="仿宋"/>
          <w:spacing w:val="6"/>
          <w:sz w:val="23"/>
          <w:szCs w:val="23"/>
        </w:rPr>
        <w:t>家时，依法</w:t>
      </w:r>
      <w:r>
        <w:rPr>
          <w:rFonts w:hint="eastAsia" w:ascii="仿宋" w:hAnsi="仿宋" w:eastAsia="仿宋" w:cs="仿宋"/>
          <w:spacing w:val="5"/>
          <w:sz w:val="23"/>
          <w:szCs w:val="23"/>
        </w:rPr>
        <w:t>从合格的</w:t>
      </w:r>
      <w:r>
        <w:rPr>
          <w:rFonts w:hint="eastAsia" w:ascii="仿宋" w:hAnsi="仿宋" w:eastAsia="仿宋" w:cs="仿宋"/>
          <w:spacing w:val="8"/>
          <w:sz w:val="23"/>
          <w:szCs w:val="23"/>
        </w:rPr>
        <w:t>中标候选人中另行确定成交报价方，否则将重新开展采购活动。</w:t>
      </w:r>
    </w:p>
    <w:p w14:paraId="27E0C85B">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6"/>
          <w:sz w:val="23"/>
          <w:szCs w:val="23"/>
        </w:rPr>
        <w:t>37.8 采购方将书面答复质疑，质疑答复包括下列内容：</w:t>
      </w:r>
    </w:p>
    <w:p w14:paraId="0C852601">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1"/>
          <w:sz w:val="23"/>
          <w:szCs w:val="23"/>
        </w:rPr>
        <w:t>（一）质疑人名称；</w:t>
      </w:r>
    </w:p>
    <w:p w14:paraId="224455D9">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7"/>
          <w:sz w:val="23"/>
          <w:szCs w:val="23"/>
        </w:rPr>
        <w:t>（二）收到质疑函的日期、质疑项目名称及编号</w:t>
      </w:r>
      <w:r>
        <w:rPr>
          <w:rFonts w:hint="eastAsia" w:ascii="仿宋" w:hAnsi="仿宋" w:eastAsia="仿宋" w:cs="仿宋"/>
          <w:spacing w:val="-49"/>
          <w:sz w:val="23"/>
          <w:szCs w:val="23"/>
        </w:rPr>
        <w:t xml:space="preserve"> </w:t>
      </w:r>
      <w:r>
        <w:rPr>
          <w:rFonts w:hint="eastAsia" w:ascii="仿宋" w:hAnsi="仿宋" w:eastAsia="仿宋" w:cs="仿宋"/>
          <w:spacing w:val="7"/>
          <w:sz w:val="23"/>
          <w:szCs w:val="23"/>
        </w:rPr>
        <w:t>;</w:t>
      </w:r>
    </w:p>
    <w:p w14:paraId="60FE5E0F">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7"/>
          <w:sz w:val="23"/>
          <w:szCs w:val="23"/>
        </w:rPr>
        <w:t>（三）质疑事项、质疑答复的具体内容、事实依据和法律依据；</w:t>
      </w:r>
    </w:p>
    <w:p w14:paraId="1A86558D">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5"/>
          <w:sz w:val="23"/>
          <w:szCs w:val="23"/>
        </w:rPr>
        <w:t>（四）告知质疑人依法投诉的权利；</w:t>
      </w:r>
    </w:p>
    <w:p w14:paraId="0C345F40">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4"/>
          <w:sz w:val="23"/>
          <w:szCs w:val="23"/>
        </w:rPr>
        <w:t>（五）质疑答复日期。</w:t>
      </w:r>
    </w:p>
    <w:p w14:paraId="7DBDF345">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10"/>
          <w:sz w:val="23"/>
          <w:szCs w:val="23"/>
        </w:rPr>
        <w:t>37.9 质疑人有下列行为之一的，属于虚假、恶意质疑，将由采购方</w:t>
      </w:r>
      <w:r>
        <w:rPr>
          <w:rFonts w:hint="eastAsia" w:ascii="仿宋" w:hAnsi="仿宋" w:eastAsia="仿宋" w:cs="仿宋"/>
          <w:spacing w:val="9"/>
          <w:sz w:val="23"/>
          <w:szCs w:val="23"/>
        </w:rPr>
        <w:t>建议财</w:t>
      </w:r>
      <w:r>
        <w:rPr>
          <w:rFonts w:hint="eastAsia" w:ascii="仿宋" w:hAnsi="仿宋" w:eastAsia="仿宋" w:cs="仿宋"/>
          <w:spacing w:val="5"/>
          <w:sz w:val="23"/>
          <w:szCs w:val="23"/>
        </w:rPr>
        <w:t>政部门将其列入不良行为记录名单，禁止其</w:t>
      </w:r>
      <w:r>
        <w:rPr>
          <w:rFonts w:hint="eastAsia" w:ascii="仿宋" w:hAnsi="仿宋" w:eastAsia="仿宋" w:cs="仿宋"/>
          <w:spacing w:val="-28"/>
          <w:sz w:val="23"/>
          <w:szCs w:val="23"/>
        </w:rPr>
        <w:t xml:space="preserve"> </w:t>
      </w:r>
      <w:r>
        <w:rPr>
          <w:rFonts w:hint="eastAsia" w:ascii="仿宋" w:hAnsi="仿宋" w:eastAsia="仿宋" w:cs="仿宋"/>
          <w:spacing w:val="5"/>
          <w:sz w:val="23"/>
          <w:szCs w:val="23"/>
        </w:rPr>
        <w:t>1</w:t>
      </w:r>
      <w:r>
        <w:rPr>
          <w:rFonts w:hint="eastAsia" w:ascii="仿宋" w:hAnsi="仿宋" w:eastAsia="仿宋" w:cs="仿宋"/>
          <w:spacing w:val="-32"/>
          <w:sz w:val="23"/>
          <w:szCs w:val="23"/>
        </w:rPr>
        <w:t xml:space="preserve"> </w:t>
      </w:r>
      <w:r>
        <w:rPr>
          <w:rFonts w:hint="eastAsia" w:ascii="仿宋" w:hAnsi="仿宋" w:eastAsia="仿宋" w:cs="仿宋"/>
          <w:spacing w:val="5"/>
          <w:sz w:val="23"/>
          <w:szCs w:val="23"/>
        </w:rPr>
        <w:t>至</w:t>
      </w:r>
      <w:r>
        <w:rPr>
          <w:rFonts w:hint="eastAsia" w:ascii="仿宋" w:hAnsi="仿宋" w:eastAsia="仿宋" w:cs="仿宋"/>
          <w:spacing w:val="-42"/>
          <w:sz w:val="23"/>
          <w:szCs w:val="23"/>
        </w:rPr>
        <w:t xml:space="preserve"> </w:t>
      </w:r>
      <w:r>
        <w:rPr>
          <w:rFonts w:hint="eastAsia" w:ascii="仿宋" w:hAnsi="仿宋" w:eastAsia="仿宋" w:cs="仿宋"/>
          <w:spacing w:val="5"/>
          <w:sz w:val="23"/>
          <w:szCs w:val="23"/>
        </w:rPr>
        <w:t>3</w:t>
      </w:r>
      <w:r>
        <w:rPr>
          <w:rFonts w:hint="eastAsia" w:ascii="仿宋" w:hAnsi="仿宋" w:eastAsia="仿宋" w:cs="仿宋"/>
          <w:spacing w:val="-34"/>
          <w:sz w:val="23"/>
          <w:szCs w:val="23"/>
        </w:rPr>
        <w:t xml:space="preserve"> </w:t>
      </w:r>
      <w:r>
        <w:rPr>
          <w:rFonts w:hint="eastAsia" w:ascii="仿宋" w:hAnsi="仿宋" w:eastAsia="仿宋" w:cs="仿宋"/>
          <w:spacing w:val="5"/>
          <w:sz w:val="23"/>
          <w:szCs w:val="23"/>
        </w:rPr>
        <w:t>年内参加政</w:t>
      </w:r>
      <w:r>
        <w:rPr>
          <w:rFonts w:hint="eastAsia" w:ascii="仿宋" w:hAnsi="仿宋" w:eastAsia="仿宋" w:cs="仿宋"/>
          <w:spacing w:val="4"/>
          <w:sz w:val="23"/>
          <w:szCs w:val="23"/>
        </w:rPr>
        <w:t>府采购活动：</w:t>
      </w:r>
    </w:p>
    <w:p w14:paraId="3E796822">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z w:val="23"/>
          <w:szCs w:val="23"/>
        </w:rPr>
        <w:t>（一）捏造事实；</w:t>
      </w:r>
    </w:p>
    <w:p w14:paraId="6A28E7D6">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2"/>
          <w:sz w:val="23"/>
          <w:szCs w:val="23"/>
        </w:rPr>
        <w:t>（二）提供虚假材料；</w:t>
      </w:r>
    </w:p>
    <w:p w14:paraId="2E569E6C">
      <w:pPr>
        <w:pStyle w:val="11"/>
        <w:widowControl/>
        <w:kinsoku w:val="0"/>
        <w:autoSpaceDE w:val="0"/>
        <w:autoSpaceDN w:val="0"/>
        <w:adjustRightInd w:val="0"/>
        <w:snapToGrid w:val="0"/>
        <w:spacing w:before="0" w:line="240" w:lineRule="auto"/>
        <w:jc w:val="left"/>
        <w:textAlignment w:val="baseline"/>
        <w:rPr>
          <w:rFonts w:ascii="仿宋" w:hAnsi="仿宋" w:eastAsia="仿宋" w:cs="仿宋"/>
          <w:sz w:val="23"/>
          <w:szCs w:val="23"/>
        </w:rPr>
      </w:pPr>
      <w:r>
        <w:rPr>
          <w:rFonts w:hint="eastAsia" w:ascii="仿宋" w:hAnsi="仿宋" w:eastAsia="仿宋" w:cs="仿宋"/>
          <w:spacing w:val="7"/>
          <w:sz w:val="23"/>
          <w:szCs w:val="23"/>
        </w:rPr>
        <w:t>（三）以非法手段取得证明材料或者无法提供证据的合法来源；</w:t>
      </w:r>
    </w:p>
    <w:p w14:paraId="692CD41B">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6"/>
          <w:sz w:val="23"/>
          <w:szCs w:val="23"/>
        </w:rPr>
      </w:pPr>
      <w:r>
        <w:rPr>
          <w:rFonts w:hint="eastAsia" w:ascii="仿宋" w:hAnsi="仿宋" w:eastAsia="仿宋" w:cs="仿宋"/>
          <w:spacing w:val="6"/>
          <w:sz w:val="23"/>
          <w:szCs w:val="23"/>
        </w:rPr>
        <w:t>（四）法律法规规定的其他违法情形。</w:t>
      </w:r>
    </w:p>
    <w:p w14:paraId="284245D2">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6"/>
          <w:sz w:val="23"/>
          <w:szCs w:val="23"/>
        </w:rPr>
      </w:pPr>
    </w:p>
    <w:p w14:paraId="0C93DC50">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6"/>
          <w:sz w:val="23"/>
          <w:szCs w:val="23"/>
        </w:rPr>
      </w:pPr>
    </w:p>
    <w:p w14:paraId="68769D11">
      <w:pPr>
        <w:widowControl/>
        <w:kinsoku w:val="0"/>
        <w:autoSpaceDE w:val="0"/>
        <w:autoSpaceDN w:val="0"/>
        <w:adjustRightInd w:val="0"/>
        <w:snapToGrid w:val="0"/>
        <w:jc w:val="center"/>
        <w:textAlignment w:val="baseline"/>
        <w:rPr>
          <w:rFonts w:ascii="仿宋" w:hAnsi="仿宋" w:eastAsia="仿宋" w:cs="仿宋"/>
          <w:sz w:val="31"/>
          <w:szCs w:val="31"/>
        </w:rPr>
      </w:pPr>
      <w:r>
        <w:rPr>
          <w:rFonts w:hint="eastAsia" w:ascii="仿宋" w:hAnsi="仿宋" w:eastAsia="仿宋" w:cs="仿宋"/>
          <w:b/>
          <w:bCs/>
          <w:spacing w:val="1"/>
          <w:sz w:val="31"/>
          <w:szCs w:val="31"/>
        </w:rPr>
        <w:t>质疑函范本</w:t>
      </w:r>
    </w:p>
    <w:p w14:paraId="03985B93">
      <w:pPr>
        <w:widowControl/>
        <w:kinsoku w:val="0"/>
        <w:autoSpaceDE w:val="0"/>
        <w:autoSpaceDN w:val="0"/>
        <w:adjustRightInd w:val="0"/>
        <w:snapToGrid w:val="0"/>
        <w:textAlignment w:val="baseline"/>
        <w:rPr>
          <w:rFonts w:ascii="仿宋" w:hAnsi="仿宋" w:eastAsia="仿宋" w:cs="仿宋"/>
        </w:rPr>
      </w:pPr>
    </w:p>
    <w:p w14:paraId="79120693">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2"/>
          <w:sz w:val="24"/>
        </w:rPr>
        <w:t>一、质疑投标人基本信息</w:t>
      </w:r>
    </w:p>
    <w:p w14:paraId="0A041871">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4"/>
          <w:sz w:val="24"/>
        </w:rPr>
        <w:t>质疑投标人：</w:t>
      </w:r>
    </w:p>
    <w:p w14:paraId="18C9DD59">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3"/>
          <w:sz w:val="24"/>
        </w:rPr>
        <w:t>地址：邮编：</w:t>
      </w:r>
    </w:p>
    <w:p w14:paraId="79E4F05D">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2"/>
          <w:sz w:val="24"/>
        </w:rPr>
        <w:t>联系人：联系电话：</w:t>
      </w:r>
    </w:p>
    <w:p w14:paraId="7298E31C">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4"/>
          <w:sz w:val="24"/>
        </w:rPr>
        <w:t>授权代表：</w:t>
      </w:r>
    </w:p>
    <w:p w14:paraId="1D1FB161">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3"/>
          <w:sz w:val="24"/>
        </w:rPr>
        <w:t>联系电话：</w:t>
      </w:r>
    </w:p>
    <w:p w14:paraId="5D461806">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9"/>
          <w:sz w:val="24"/>
        </w:rPr>
        <w:t>地址：</w:t>
      </w:r>
      <w:r>
        <w:rPr>
          <w:rFonts w:hint="eastAsia" w:ascii="仿宋" w:hAnsi="仿宋" w:eastAsia="仿宋" w:cs="仿宋"/>
          <w:spacing w:val="36"/>
          <w:sz w:val="24"/>
        </w:rPr>
        <w:t xml:space="preserve"> </w:t>
      </w:r>
      <w:r>
        <w:rPr>
          <w:rFonts w:hint="eastAsia" w:ascii="仿宋" w:hAnsi="仿宋" w:eastAsia="仿宋" w:cs="仿宋"/>
          <w:spacing w:val="-9"/>
          <w:sz w:val="24"/>
        </w:rPr>
        <w:t>邮编：</w:t>
      </w:r>
    </w:p>
    <w:p w14:paraId="0552F037">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3"/>
          <w:sz w:val="24"/>
        </w:rPr>
        <w:t>二、质疑项目基本情况</w:t>
      </w:r>
    </w:p>
    <w:p w14:paraId="7BDF1E70">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3"/>
          <w:sz w:val="24"/>
        </w:rPr>
        <w:t>质疑项目的名称：</w:t>
      </w:r>
    </w:p>
    <w:p w14:paraId="68A55BB3">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2"/>
          <w:sz w:val="24"/>
        </w:rPr>
        <w:t>质疑项目的编号：包号：</w:t>
      </w:r>
    </w:p>
    <w:p w14:paraId="5893D958">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3"/>
          <w:sz w:val="24"/>
        </w:rPr>
        <w:t>采购人名称：</w:t>
      </w:r>
    </w:p>
    <w:p w14:paraId="431C7880">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2"/>
          <w:sz w:val="24"/>
        </w:rPr>
        <w:t>招标文件获取日期：</w:t>
      </w:r>
    </w:p>
    <w:p w14:paraId="379AE505">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3"/>
          <w:sz w:val="24"/>
        </w:rPr>
        <w:t>三、质疑事项具体内容</w:t>
      </w:r>
    </w:p>
    <w:p w14:paraId="0272F9E7">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8"/>
          <w:sz w:val="24"/>
        </w:rPr>
        <w:t>质疑事项</w:t>
      </w:r>
      <w:r>
        <w:rPr>
          <w:rFonts w:hint="eastAsia" w:ascii="仿宋" w:hAnsi="仿宋" w:eastAsia="仿宋" w:cs="仿宋"/>
          <w:spacing w:val="-34"/>
          <w:sz w:val="24"/>
        </w:rPr>
        <w:t xml:space="preserve"> </w:t>
      </w:r>
      <w:r>
        <w:rPr>
          <w:rFonts w:hint="eastAsia" w:ascii="仿宋" w:hAnsi="仿宋" w:eastAsia="仿宋" w:cs="仿宋"/>
          <w:spacing w:val="-8"/>
          <w:sz w:val="24"/>
        </w:rPr>
        <w:t>1：</w:t>
      </w:r>
    </w:p>
    <w:p w14:paraId="67F75F3C">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4"/>
          <w:sz w:val="24"/>
        </w:rPr>
        <w:t>事实依据：</w:t>
      </w:r>
    </w:p>
    <w:p w14:paraId="3DAC87DD">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5"/>
          <w:sz w:val="24"/>
        </w:rPr>
        <w:t>法律依据：</w:t>
      </w:r>
    </w:p>
    <w:p w14:paraId="09278AC9">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5"/>
          <w:sz w:val="24"/>
        </w:rPr>
        <w:t>质疑事项</w:t>
      </w:r>
      <w:r>
        <w:rPr>
          <w:rFonts w:hint="eastAsia" w:ascii="仿宋" w:hAnsi="仿宋" w:eastAsia="仿宋" w:cs="仿宋"/>
          <w:spacing w:val="-47"/>
          <w:sz w:val="24"/>
        </w:rPr>
        <w:t xml:space="preserve"> </w:t>
      </w:r>
      <w:r>
        <w:rPr>
          <w:rFonts w:hint="eastAsia" w:ascii="仿宋" w:hAnsi="仿宋" w:eastAsia="仿宋" w:cs="仿宋"/>
          <w:spacing w:val="-5"/>
          <w:sz w:val="24"/>
        </w:rPr>
        <w:t>2</w:t>
      </w:r>
    </w:p>
    <w:p w14:paraId="56FC180E">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13"/>
          <w:sz w:val="24"/>
        </w:rPr>
        <w:t>……</w:t>
      </w:r>
    </w:p>
    <w:p w14:paraId="5A903DCE">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4"/>
          <w:sz w:val="24"/>
        </w:rPr>
        <w:t>四、与质疑事项相关的质疑请求</w:t>
      </w:r>
    </w:p>
    <w:p w14:paraId="78A539DF">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6"/>
          <w:sz w:val="24"/>
        </w:rPr>
        <w:t>请求：</w:t>
      </w:r>
    </w:p>
    <w:p w14:paraId="443ADA3D">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5"/>
          <w:sz w:val="24"/>
        </w:rPr>
        <w:t>签字(签章)：</w:t>
      </w:r>
      <w:r>
        <w:rPr>
          <w:rFonts w:hint="eastAsia" w:ascii="仿宋" w:hAnsi="仿宋" w:eastAsia="仿宋" w:cs="仿宋"/>
          <w:spacing w:val="1"/>
          <w:sz w:val="24"/>
        </w:rPr>
        <w:t xml:space="preserve">                   </w:t>
      </w:r>
      <w:r>
        <w:rPr>
          <w:rFonts w:hint="eastAsia" w:ascii="仿宋" w:hAnsi="仿宋" w:eastAsia="仿宋" w:cs="仿宋"/>
          <w:spacing w:val="-5"/>
          <w:sz w:val="24"/>
        </w:rPr>
        <w:t>公章：</w:t>
      </w:r>
    </w:p>
    <w:p w14:paraId="0A7BB2A9">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23"/>
          <w:sz w:val="24"/>
        </w:rPr>
        <w:t>日期：</w:t>
      </w:r>
    </w:p>
    <w:p w14:paraId="2BE7A146">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3"/>
          <w:sz w:val="24"/>
        </w:rPr>
        <w:t>质疑函制作说明：</w:t>
      </w:r>
    </w:p>
    <w:p w14:paraId="40864023">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1"/>
          <w:sz w:val="24"/>
        </w:rPr>
        <w:t>1.投标人提出质疑时，应提交质疑函和必要的证明材</w:t>
      </w:r>
      <w:r>
        <w:rPr>
          <w:rFonts w:hint="eastAsia" w:ascii="仿宋" w:hAnsi="仿宋" w:eastAsia="仿宋" w:cs="仿宋"/>
          <w:spacing w:val="-2"/>
          <w:sz w:val="24"/>
        </w:rPr>
        <w:t>料。</w:t>
      </w:r>
    </w:p>
    <w:p w14:paraId="7D41B600">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pacing w:val="-1"/>
          <w:sz w:val="24"/>
        </w:rPr>
        <w:t>2.质疑投标人若委托代理人进行质疑的，质疑函应按要求列明“授权代表</w:t>
      </w:r>
      <w:r>
        <w:rPr>
          <w:rFonts w:hint="eastAsia" w:ascii="仿宋" w:hAnsi="仿宋" w:eastAsia="仿宋" w:cs="仿宋"/>
          <w:spacing w:val="-86"/>
          <w:sz w:val="24"/>
        </w:rPr>
        <w:t xml:space="preserve"> </w:t>
      </w:r>
      <w:r>
        <w:rPr>
          <w:rFonts w:hint="eastAsia" w:ascii="仿宋" w:hAnsi="仿宋" w:eastAsia="仿宋" w:cs="仿宋"/>
          <w:spacing w:val="-2"/>
          <w:sz w:val="24"/>
        </w:rPr>
        <w:t>”的</w:t>
      </w:r>
      <w:r>
        <w:rPr>
          <w:rFonts w:hint="eastAsia" w:ascii="仿宋" w:hAnsi="仿宋" w:eastAsia="仿宋" w:cs="仿宋"/>
          <w:sz w:val="24"/>
        </w:rPr>
        <w:t xml:space="preserve"> 有关内容，并在附件中提交由质疑投标人签署的授权委托书。授权委托书应载明代理人的姓名或者名称、代理事项、具体权限、期限和相关事</w:t>
      </w:r>
      <w:r>
        <w:rPr>
          <w:rFonts w:hint="eastAsia" w:ascii="仿宋" w:hAnsi="仿宋" w:eastAsia="仿宋" w:cs="仿宋"/>
          <w:spacing w:val="-7"/>
          <w:sz w:val="24"/>
        </w:rPr>
        <w:t>项。</w:t>
      </w:r>
    </w:p>
    <w:p w14:paraId="0D362523">
      <w:pPr>
        <w:widowControl/>
        <w:kinsoku w:val="0"/>
        <w:autoSpaceDE w:val="0"/>
        <w:autoSpaceDN w:val="0"/>
        <w:adjustRightInd w:val="0"/>
        <w:snapToGrid w:val="0"/>
        <w:textAlignment w:val="baseline"/>
        <w:rPr>
          <w:rFonts w:ascii="仿宋" w:hAnsi="仿宋" w:eastAsia="仿宋" w:cs="仿宋"/>
          <w:sz w:val="24"/>
        </w:rPr>
      </w:pPr>
      <w:r>
        <w:rPr>
          <w:rFonts w:hint="eastAsia" w:ascii="仿宋" w:hAnsi="仿宋" w:eastAsia="仿宋" w:cs="仿宋"/>
          <w:sz w:val="24"/>
        </w:rPr>
        <w:t>3.质疑投标人若对项目的某一分包进行质</w:t>
      </w:r>
      <w:r>
        <w:rPr>
          <w:rFonts w:hint="eastAsia" w:ascii="仿宋" w:hAnsi="仿宋" w:eastAsia="仿宋" w:cs="仿宋"/>
          <w:spacing w:val="-1"/>
          <w:sz w:val="24"/>
        </w:rPr>
        <w:t>疑，质疑函中应列明具体分包号。</w:t>
      </w:r>
    </w:p>
    <w:p w14:paraId="5EFE2CD5">
      <w:pPr>
        <w:widowControl/>
        <w:kinsoku w:val="0"/>
        <w:autoSpaceDE w:val="0"/>
        <w:autoSpaceDN w:val="0"/>
        <w:adjustRightInd w:val="0"/>
        <w:snapToGrid w:val="0"/>
        <w:textAlignment w:val="baseline"/>
        <w:rPr>
          <w:rFonts w:ascii="仿宋" w:hAnsi="仿宋" w:eastAsia="仿宋" w:cs="仿宋"/>
          <w:spacing w:val="18"/>
          <w:sz w:val="24"/>
        </w:rPr>
      </w:pPr>
      <w:r>
        <w:rPr>
          <w:rFonts w:hint="eastAsia" w:ascii="仿宋" w:hAnsi="仿宋" w:eastAsia="仿宋" w:cs="仿宋"/>
          <w:spacing w:val="-2"/>
          <w:sz w:val="24"/>
        </w:rPr>
        <w:t>4.质疑函的质疑事项应具体、明确，并有必要的事实依据和法律依据。</w:t>
      </w:r>
      <w:r>
        <w:rPr>
          <w:rFonts w:hint="eastAsia" w:ascii="仿宋" w:hAnsi="仿宋" w:eastAsia="仿宋" w:cs="仿宋"/>
          <w:spacing w:val="18"/>
          <w:sz w:val="24"/>
        </w:rPr>
        <w:t xml:space="preserve"> </w:t>
      </w:r>
    </w:p>
    <w:p w14:paraId="784E33FA">
      <w:pPr>
        <w:widowControl/>
        <w:kinsoku w:val="0"/>
        <w:autoSpaceDE w:val="0"/>
        <w:autoSpaceDN w:val="0"/>
        <w:adjustRightInd w:val="0"/>
        <w:snapToGrid w:val="0"/>
        <w:textAlignment w:val="baseline"/>
        <w:rPr>
          <w:rFonts w:ascii="仿宋" w:hAnsi="仿宋" w:eastAsia="仿宋" w:cs="仿宋"/>
          <w:spacing w:val="-1"/>
          <w:sz w:val="24"/>
        </w:rPr>
      </w:pPr>
      <w:r>
        <w:rPr>
          <w:rFonts w:hint="eastAsia" w:ascii="仿宋" w:hAnsi="仿宋" w:eastAsia="仿宋" w:cs="仿宋"/>
          <w:spacing w:val="-1"/>
          <w:sz w:val="24"/>
        </w:rPr>
        <w:t>5.质疑函的质疑请求应与质疑事项相关。</w:t>
      </w:r>
    </w:p>
    <w:p w14:paraId="5C010639">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2"/>
        </w:rPr>
      </w:pPr>
      <w:r>
        <w:rPr>
          <w:rFonts w:hint="eastAsia" w:ascii="仿宋" w:hAnsi="仿宋" w:eastAsia="仿宋" w:cs="仿宋"/>
        </w:rPr>
        <w:t>6.质疑投标人为自然人的，质疑函应由本人签字；质疑投标人为法人或者</w:t>
      </w:r>
      <w:r>
        <w:rPr>
          <w:rFonts w:hint="eastAsia" w:ascii="仿宋" w:hAnsi="仿宋" w:eastAsia="仿宋" w:cs="仿宋"/>
          <w:spacing w:val="-1"/>
        </w:rPr>
        <w:t>其他</w:t>
      </w:r>
      <w:r>
        <w:rPr>
          <w:rFonts w:hint="eastAsia" w:ascii="仿宋" w:hAnsi="仿宋" w:eastAsia="仿宋" w:cs="仿宋"/>
        </w:rPr>
        <w:t>组织的，质疑函应由法定代表人、主要负责人，或者其授权代表签字或</w:t>
      </w:r>
      <w:r>
        <w:rPr>
          <w:rFonts w:hint="eastAsia" w:ascii="仿宋" w:hAnsi="仿宋" w:eastAsia="仿宋" w:cs="仿宋"/>
          <w:spacing w:val="-2"/>
        </w:rPr>
        <w:t>者盖章，并加盖公章。</w:t>
      </w:r>
    </w:p>
    <w:p w14:paraId="080CFE6A">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2"/>
        </w:rPr>
      </w:pPr>
    </w:p>
    <w:p w14:paraId="79692C39">
      <w:pPr>
        <w:pStyle w:val="11"/>
        <w:widowControl/>
        <w:kinsoku w:val="0"/>
        <w:autoSpaceDE w:val="0"/>
        <w:autoSpaceDN w:val="0"/>
        <w:adjustRightInd w:val="0"/>
        <w:snapToGrid w:val="0"/>
        <w:spacing w:before="0" w:line="240" w:lineRule="auto"/>
        <w:jc w:val="left"/>
        <w:textAlignment w:val="baseline"/>
        <w:rPr>
          <w:rFonts w:ascii="仿宋" w:hAnsi="仿宋" w:eastAsia="仿宋" w:cs="仿宋"/>
          <w:spacing w:val="-2"/>
        </w:rPr>
      </w:pPr>
    </w:p>
    <w:p w14:paraId="17131854">
      <w:pPr>
        <w:pStyle w:val="11"/>
        <w:widowControl/>
        <w:kinsoku w:val="0"/>
        <w:autoSpaceDE w:val="0"/>
        <w:autoSpaceDN w:val="0"/>
        <w:adjustRightInd w:val="0"/>
        <w:snapToGrid w:val="0"/>
        <w:spacing w:before="0" w:line="240" w:lineRule="auto"/>
        <w:jc w:val="left"/>
        <w:textAlignment w:val="baseline"/>
        <w:rPr>
          <w:rFonts w:ascii="仿宋" w:hAnsi="仿宋" w:eastAsia="仿宋" w:cs="仿宋"/>
        </w:rPr>
      </w:pPr>
      <w:r>
        <w:rPr>
          <w:rFonts w:hint="eastAsia" w:ascii="仿宋" w:hAnsi="仿宋" w:eastAsia="仿宋" w:cs="仿宋"/>
        </w:rPr>
        <w:t>附件1：履约保证金保函（格式）</w:t>
      </w:r>
      <w:bookmarkEnd w:id="500"/>
      <w:bookmarkEnd w:id="501"/>
      <w:bookmarkEnd w:id="502"/>
      <w:bookmarkEnd w:id="503"/>
      <w:bookmarkEnd w:id="504"/>
    </w:p>
    <w:p w14:paraId="2DCFD958">
      <w:pPr>
        <w:pStyle w:val="16"/>
        <w:spacing w:line="240" w:lineRule="atLeast"/>
        <w:ind w:left="1080" w:leftChars="257" w:hanging="540"/>
        <w:jc w:val="center"/>
        <w:rPr>
          <w:rFonts w:ascii="仿宋" w:hAnsi="仿宋" w:eastAsia="仿宋" w:cs="仿宋"/>
          <w:b/>
          <w:sz w:val="24"/>
        </w:rPr>
      </w:pPr>
      <w:r>
        <w:rPr>
          <w:rFonts w:hint="eastAsia" w:ascii="仿宋" w:hAnsi="仿宋" w:eastAsia="仿宋" w:cs="仿宋"/>
          <w:b/>
          <w:sz w:val="24"/>
        </w:rPr>
        <w:t>（中标后开具）</w:t>
      </w:r>
    </w:p>
    <w:p w14:paraId="36C7A568">
      <w:pPr>
        <w:pStyle w:val="16"/>
        <w:spacing w:line="240" w:lineRule="atLeast"/>
        <w:ind w:left="1080" w:leftChars="257" w:hanging="540"/>
        <w:rPr>
          <w:rFonts w:ascii="仿宋" w:hAnsi="仿宋" w:eastAsia="仿宋" w:cs="仿宋"/>
          <w:b/>
          <w:sz w:val="24"/>
        </w:rPr>
      </w:pPr>
    </w:p>
    <w:p w14:paraId="5D3DBB92">
      <w:pPr>
        <w:pStyle w:val="16"/>
        <w:spacing w:line="240" w:lineRule="atLeast"/>
        <w:ind w:left="1080" w:leftChars="257" w:hanging="540"/>
        <w:rPr>
          <w:rFonts w:ascii="仿宋" w:hAnsi="仿宋" w:eastAsia="仿宋" w:cs="仿宋"/>
          <w:b/>
          <w:sz w:val="24"/>
        </w:rPr>
      </w:pPr>
      <w:r>
        <w:rPr>
          <w:rFonts w:hint="eastAsia" w:ascii="仿宋" w:hAnsi="仿宋" w:eastAsia="仿宋" w:cs="仿宋"/>
          <w:b/>
          <w:sz w:val="24"/>
        </w:rPr>
        <w:t xml:space="preserve">                       </w:t>
      </w:r>
    </w:p>
    <w:p w14:paraId="2E64782A">
      <w:pPr>
        <w:pStyle w:val="16"/>
        <w:spacing w:line="240" w:lineRule="atLeast"/>
        <w:rPr>
          <w:rFonts w:ascii="仿宋" w:hAnsi="仿宋" w:eastAsia="仿宋" w:cs="仿宋"/>
          <w:sz w:val="24"/>
          <w:szCs w:val="24"/>
        </w:rPr>
      </w:pPr>
      <w:r>
        <w:rPr>
          <w:rFonts w:hint="eastAsia" w:ascii="仿宋" w:hAnsi="仿宋" w:eastAsia="仿宋" w:cs="仿宋"/>
          <w:sz w:val="24"/>
          <w:szCs w:val="24"/>
        </w:rPr>
        <w:t>致: (</w:t>
      </w:r>
      <w:r>
        <w:rPr>
          <w:rFonts w:hint="eastAsia" w:ascii="仿宋" w:hAnsi="仿宋" w:eastAsia="仿宋" w:cs="仿宋"/>
          <w:i/>
          <w:sz w:val="24"/>
          <w:szCs w:val="24"/>
          <w:u w:val="single"/>
        </w:rPr>
        <w:t>买方名称</w:t>
      </w:r>
      <w:r>
        <w:rPr>
          <w:rFonts w:hint="eastAsia" w:ascii="仿宋" w:hAnsi="仿宋" w:eastAsia="仿宋" w:cs="仿宋"/>
          <w:sz w:val="24"/>
          <w:szCs w:val="24"/>
        </w:rPr>
        <w:t>)</w:t>
      </w:r>
    </w:p>
    <w:p w14:paraId="1EDF7C65">
      <w:pPr>
        <w:pStyle w:val="16"/>
        <w:spacing w:line="240" w:lineRule="atLeast"/>
        <w:ind w:left="1080" w:leftChars="257" w:hanging="540"/>
        <w:jc w:val="center"/>
        <w:rPr>
          <w:rFonts w:ascii="仿宋" w:hAnsi="仿宋" w:eastAsia="仿宋" w:cs="仿宋"/>
          <w:sz w:val="24"/>
          <w:szCs w:val="24"/>
        </w:rPr>
      </w:pPr>
      <w:r>
        <w:rPr>
          <w:rFonts w:hint="eastAsia" w:ascii="仿宋" w:hAnsi="仿宋" w:eastAsia="仿宋" w:cs="仿宋"/>
          <w:sz w:val="24"/>
          <w:szCs w:val="24"/>
          <w:u w:val="single"/>
        </w:rPr>
        <w:t xml:space="preserve">             </w:t>
      </w:r>
      <w:r>
        <w:rPr>
          <w:rFonts w:hint="eastAsia" w:ascii="仿宋" w:hAnsi="仿宋" w:eastAsia="仿宋" w:cs="仿宋"/>
          <w:sz w:val="24"/>
          <w:szCs w:val="24"/>
        </w:rPr>
        <w:t>号合同履约保函</w:t>
      </w:r>
    </w:p>
    <w:p w14:paraId="15D3D2FF">
      <w:pPr>
        <w:pStyle w:val="16"/>
        <w:spacing w:line="240" w:lineRule="atLeast"/>
        <w:ind w:left="1080" w:leftChars="257" w:hanging="540"/>
        <w:jc w:val="center"/>
        <w:rPr>
          <w:rFonts w:ascii="仿宋" w:hAnsi="仿宋" w:eastAsia="仿宋" w:cs="仿宋"/>
          <w:sz w:val="24"/>
          <w:szCs w:val="24"/>
        </w:rPr>
      </w:pPr>
    </w:p>
    <w:p w14:paraId="74BBE687">
      <w:pPr>
        <w:pStyle w:val="16"/>
        <w:spacing w:line="240" w:lineRule="atLeast"/>
        <w:ind w:firstLine="600" w:firstLineChars="250"/>
        <w:rPr>
          <w:rFonts w:ascii="仿宋" w:hAnsi="仿宋" w:eastAsia="仿宋" w:cs="仿宋"/>
          <w:sz w:val="24"/>
          <w:szCs w:val="24"/>
        </w:rPr>
      </w:pPr>
      <w:r>
        <w:rPr>
          <w:rFonts w:hint="eastAsia" w:ascii="仿宋" w:hAnsi="仿宋" w:eastAsia="仿宋" w:cs="仿宋"/>
          <w:sz w:val="24"/>
          <w:szCs w:val="24"/>
        </w:rPr>
        <w:t>本保函作为贵方与(</w:t>
      </w:r>
      <w:r>
        <w:rPr>
          <w:rFonts w:hint="eastAsia" w:ascii="仿宋" w:hAnsi="仿宋" w:eastAsia="仿宋" w:cs="仿宋"/>
          <w:i/>
          <w:sz w:val="24"/>
          <w:szCs w:val="24"/>
          <w:u w:val="single"/>
        </w:rPr>
        <w:t>卖方名称</w:t>
      </w:r>
      <w:r>
        <w:rPr>
          <w:rFonts w:hint="eastAsia" w:ascii="仿宋" w:hAnsi="仿宋" w:eastAsia="仿宋" w:cs="仿宋"/>
          <w:sz w:val="24"/>
          <w:szCs w:val="24"/>
        </w:rPr>
        <w:t>)(以下简称卖方)于</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日就</w:t>
      </w:r>
      <w:r>
        <w:rPr>
          <w:rFonts w:hint="eastAsia" w:ascii="仿宋" w:hAnsi="仿宋" w:eastAsia="仿宋" w:cs="仿宋"/>
          <w:sz w:val="24"/>
          <w:szCs w:val="24"/>
          <w:u w:val="single"/>
        </w:rPr>
        <w:t xml:space="preserve">      </w:t>
      </w:r>
      <w:r>
        <w:rPr>
          <w:rFonts w:hint="eastAsia" w:ascii="仿宋" w:hAnsi="仿宋" w:eastAsia="仿宋" w:cs="仿宋"/>
          <w:sz w:val="24"/>
          <w:szCs w:val="24"/>
        </w:rPr>
        <w:t>项目(以下简称项目)项下提供(</w:t>
      </w:r>
      <w:r>
        <w:rPr>
          <w:rFonts w:hint="eastAsia" w:ascii="仿宋" w:hAnsi="仿宋" w:eastAsia="仿宋" w:cs="仿宋"/>
          <w:i/>
          <w:sz w:val="24"/>
          <w:szCs w:val="24"/>
          <w:u w:val="single"/>
        </w:rPr>
        <w:t>货物名称</w:t>
      </w:r>
      <w:r>
        <w:rPr>
          <w:rFonts w:hint="eastAsia" w:ascii="仿宋" w:hAnsi="仿宋" w:eastAsia="仿宋" w:cs="仿宋"/>
          <w:sz w:val="24"/>
          <w:szCs w:val="24"/>
        </w:rPr>
        <w:t>)(以下简称货物)签订的(</w:t>
      </w:r>
      <w:r>
        <w:rPr>
          <w:rFonts w:hint="eastAsia" w:ascii="仿宋" w:hAnsi="仿宋" w:eastAsia="仿宋" w:cs="仿宋"/>
          <w:i/>
          <w:sz w:val="24"/>
          <w:szCs w:val="24"/>
          <w:u w:val="single"/>
        </w:rPr>
        <w:t>合同号</w:t>
      </w:r>
      <w:r>
        <w:rPr>
          <w:rFonts w:hint="eastAsia" w:ascii="仿宋" w:hAnsi="仿宋" w:eastAsia="仿宋" w:cs="仿宋"/>
          <w:sz w:val="24"/>
          <w:szCs w:val="24"/>
        </w:rPr>
        <w:t>)号合同的履约保函。</w:t>
      </w:r>
    </w:p>
    <w:p w14:paraId="319E067F">
      <w:pPr>
        <w:pStyle w:val="16"/>
        <w:spacing w:line="240" w:lineRule="atLeast"/>
        <w:ind w:firstLine="540" w:firstLineChars="225"/>
        <w:rPr>
          <w:rFonts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i/>
          <w:sz w:val="24"/>
          <w:szCs w:val="24"/>
          <w:u w:val="single"/>
        </w:rPr>
        <w:t>出具保函的银行名称</w:t>
      </w:r>
      <w:r>
        <w:rPr>
          <w:rFonts w:hint="eastAsia" w:ascii="仿宋" w:hAnsi="仿宋" w:eastAsia="仿宋" w:cs="仿宋"/>
          <w:sz w:val="24"/>
          <w:szCs w:val="24"/>
        </w:rPr>
        <w:t>)(以下简称银行)无条件地、不可撤销地具结保证本行、其继承人和受让人无追索地向贵方以(</w:t>
      </w:r>
      <w:r>
        <w:rPr>
          <w:rFonts w:hint="eastAsia" w:ascii="仿宋" w:hAnsi="仿宋" w:eastAsia="仿宋" w:cs="仿宋"/>
          <w:i/>
          <w:sz w:val="24"/>
          <w:szCs w:val="24"/>
          <w:u w:val="single"/>
        </w:rPr>
        <w:t>货币名称</w:t>
      </w:r>
      <w:r>
        <w:rPr>
          <w:rFonts w:hint="eastAsia" w:ascii="仿宋" w:hAnsi="仿宋" w:eastAsia="仿宋" w:cs="仿宋"/>
          <w:sz w:val="24"/>
          <w:szCs w:val="24"/>
        </w:rPr>
        <w:t>)支付总额不超过(</w:t>
      </w:r>
      <w:r>
        <w:rPr>
          <w:rFonts w:hint="eastAsia" w:ascii="仿宋" w:hAnsi="仿宋" w:eastAsia="仿宋" w:cs="仿宋"/>
          <w:i/>
          <w:sz w:val="24"/>
          <w:szCs w:val="24"/>
          <w:u w:val="single"/>
        </w:rPr>
        <w:t>货币数量</w:t>
      </w:r>
      <w:r>
        <w:rPr>
          <w:rFonts w:hint="eastAsia" w:ascii="仿宋" w:hAnsi="仿宋" w:eastAsia="仿宋" w:cs="仿宋"/>
          <w:sz w:val="24"/>
          <w:szCs w:val="24"/>
        </w:rPr>
        <w:t>),即相当于合同价格的</w:t>
      </w:r>
      <w:r>
        <w:rPr>
          <w:rFonts w:hint="eastAsia" w:ascii="仿宋" w:hAnsi="仿宋" w:eastAsia="仿宋" w:cs="仿宋"/>
          <w:sz w:val="24"/>
          <w:szCs w:val="24"/>
          <w:u w:val="single"/>
        </w:rPr>
        <w:t xml:space="preserve">     </w:t>
      </w:r>
      <w:r>
        <w:rPr>
          <w:rFonts w:hint="eastAsia" w:ascii="仿宋" w:hAnsi="仿宋" w:eastAsia="仿宋" w:cs="仿宋"/>
          <w:sz w:val="24"/>
          <w:szCs w:val="24"/>
        </w:rPr>
        <w:t>%,并以此约定如下:</w:t>
      </w:r>
    </w:p>
    <w:p w14:paraId="5A49B610">
      <w:pPr>
        <w:pStyle w:val="16"/>
        <w:spacing w:line="240" w:lineRule="atLeast"/>
        <w:ind w:left="540" w:leftChars="257"/>
        <w:rPr>
          <w:rFonts w:ascii="仿宋" w:hAnsi="仿宋" w:eastAsia="仿宋" w:cs="仿宋"/>
          <w:sz w:val="24"/>
          <w:szCs w:val="24"/>
        </w:rPr>
      </w:pPr>
      <w:r>
        <w:rPr>
          <w:rFonts w:hint="eastAsia" w:ascii="仿宋" w:hAnsi="仿宋" w:eastAsia="仿宋" w:cs="仿宋"/>
          <w:sz w:val="24"/>
          <w:szCs w:val="24"/>
        </w:rPr>
        <w:t>1.只要贵方确定卖方未能忠实地履行所有合同文件的规定和双方此后一致 同意的修改、补充和变动,包括更改和/或修补贵方认为有缺陷的货物(以下简称违约),无论卖方有任何反对,本行将凭贵方关于卖方违约说明的书面通知,立即按贵方提出的累计总额不超过上述金额的款项和按贵方通知规定的方式付给贵方。</w:t>
      </w:r>
    </w:p>
    <w:p w14:paraId="557AC1BD">
      <w:pPr>
        <w:pStyle w:val="16"/>
        <w:spacing w:line="240" w:lineRule="atLeast"/>
        <w:ind w:left="540"/>
        <w:rPr>
          <w:rFonts w:ascii="仿宋" w:hAnsi="仿宋" w:eastAsia="仿宋" w:cs="仿宋"/>
          <w:sz w:val="24"/>
          <w:szCs w:val="24"/>
        </w:rPr>
      </w:pPr>
      <w:r>
        <w:rPr>
          <w:rFonts w:hint="eastAsia" w:ascii="仿宋" w:hAnsi="仿宋" w:eastAsia="仿宋" w:cs="仿宋"/>
          <w:sz w:val="24"/>
          <w:szCs w:val="24"/>
        </w:rPr>
        <w:t>2.本保函项下的任何支付应为免税和净值。对于现有或将来的税收、关税、收费、费用扣减或预提税款，不论这些款项是何种性质和由谁征收，都不应从本保函项下的支付中扣除。</w:t>
      </w:r>
    </w:p>
    <w:p w14:paraId="1F48832C">
      <w:pPr>
        <w:pStyle w:val="16"/>
        <w:spacing w:line="240" w:lineRule="atLeast"/>
        <w:ind w:left="540"/>
        <w:rPr>
          <w:rFonts w:ascii="仿宋" w:hAnsi="仿宋" w:eastAsia="仿宋" w:cs="仿宋"/>
          <w:sz w:val="24"/>
          <w:szCs w:val="24"/>
        </w:rPr>
      </w:pPr>
      <w:r>
        <w:rPr>
          <w:rFonts w:hint="eastAsia" w:ascii="仿宋" w:hAnsi="仿宋" w:eastAsia="仿宋" w:cs="仿宋"/>
          <w:sz w:val="24"/>
          <w:szCs w:val="24"/>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14:paraId="2C2767D6">
      <w:pPr>
        <w:pStyle w:val="16"/>
        <w:spacing w:line="240" w:lineRule="atLeast"/>
        <w:ind w:left="1080" w:leftChars="257" w:hanging="540"/>
        <w:rPr>
          <w:rFonts w:ascii="仿宋" w:hAnsi="仿宋" w:eastAsia="仿宋" w:cs="仿宋"/>
          <w:sz w:val="24"/>
          <w:szCs w:val="24"/>
        </w:rPr>
      </w:pPr>
      <w:bookmarkStart w:id="533" w:name="_Toc6985"/>
      <w:bookmarkStart w:id="534" w:name="_Toc1076"/>
      <w:r>
        <w:rPr>
          <w:rFonts w:hint="eastAsia" w:ascii="仿宋" w:hAnsi="仿宋" w:eastAsia="仿宋" w:cs="仿宋"/>
          <w:sz w:val="24"/>
          <w:szCs w:val="24"/>
        </w:rPr>
        <w:t>4.本保函在本合同规定的保证期期满前完全有效。</w:t>
      </w:r>
      <w:bookmarkEnd w:id="533"/>
      <w:bookmarkEnd w:id="534"/>
    </w:p>
    <w:p w14:paraId="34515834">
      <w:pPr>
        <w:pStyle w:val="16"/>
        <w:spacing w:line="240" w:lineRule="atLeast"/>
        <w:ind w:left="1080" w:leftChars="257" w:hanging="540"/>
        <w:rPr>
          <w:rFonts w:ascii="仿宋" w:hAnsi="仿宋" w:eastAsia="仿宋" w:cs="仿宋"/>
          <w:sz w:val="24"/>
          <w:szCs w:val="24"/>
        </w:rPr>
      </w:pPr>
    </w:p>
    <w:p w14:paraId="232E92FF">
      <w:pPr>
        <w:pStyle w:val="16"/>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谨启</w:t>
      </w:r>
    </w:p>
    <w:p w14:paraId="074E0B36">
      <w:pPr>
        <w:pStyle w:val="16"/>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出具保函银行名称：</w:t>
      </w:r>
      <w:r>
        <w:rPr>
          <w:rFonts w:hint="eastAsia" w:ascii="仿宋" w:hAnsi="仿宋" w:eastAsia="仿宋" w:cs="仿宋"/>
          <w:sz w:val="24"/>
          <w:szCs w:val="24"/>
          <w:u w:val="single"/>
        </w:rPr>
        <w:t xml:space="preserve">                             </w:t>
      </w:r>
    </w:p>
    <w:p w14:paraId="42B0E7E8">
      <w:pPr>
        <w:pStyle w:val="16"/>
        <w:spacing w:line="240" w:lineRule="atLeast"/>
        <w:ind w:left="1080" w:leftChars="257" w:hanging="540"/>
        <w:rPr>
          <w:rFonts w:ascii="仿宋" w:hAnsi="仿宋" w:eastAsia="仿宋" w:cs="仿宋"/>
          <w:sz w:val="24"/>
          <w:szCs w:val="24"/>
          <w:u w:val="single"/>
        </w:rPr>
      </w:pPr>
      <w:r>
        <w:rPr>
          <w:rFonts w:hint="eastAsia" w:ascii="仿宋" w:hAnsi="仿宋" w:eastAsia="仿宋" w:cs="仿宋"/>
          <w:sz w:val="24"/>
          <w:szCs w:val="24"/>
        </w:rPr>
        <w:t>签字人姓名和职务：</w:t>
      </w:r>
      <w:r>
        <w:rPr>
          <w:rFonts w:hint="eastAsia" w:ascii="仿宋" w:hAnsi="仿宋" w:eastAsia="仿宋" w:cs="仿宋"/>
          <w:sz w:val="24"/>
          <w:szCs w:val="24"/>
          <w:u w:val="single"/>
        </w:rPr>
        <w:t xml:space="preserve">                             </w:t>
      </w:r>
    </w:p>
    <w:p w14:paraId="23C151E2">
      <w:pPr>
        <w:pStyle w:val="16"/>
        <w:spacing w:line="240" w:lineRule="atLeast"/>
        <w:ind w:left="1080" w:leftChars="257" w:hanging="540"/>
        <w:rPr>
          <w:rFonts w:ascii="仿宋" w:hAnsi="仿宋" w:eastAsia="仿宋" w:cs="仿宋"/>
          <w:sz w:val="24"/>
          <w:szCs w:val="24"/>
        </w:rPr>
      </w:pPr>
      <w:r>
        <w:rPr>
          <w:rFonts w:hint="eastAsia" w:ascii="仿宋" w:hAnsi="仿宋" w:eastAsia="仿宋" w:cs="仿宋"/>
          <w:sz w:val="24"/>
          <w:szCs w:val="24"/>
        </w:rPr>
        <w:t>签字人签名或签章：</w:t>
      </w:r>
      <w:r>
        <w:rPr>
          <w:rFonts w:hint="eastAsia" w:ascii="仿宋" w:hAnsi="仿宋" w:eastAsia="仿宋" w:cs="仿宋"/>
          <w:sz w:val="24"/>
          <w:szCs w:val="24"/>
          <w:u w:val="single"/>
        </w:rPr>
        <w:t xml:space="preserve">                                   </w:t>
      </w:r>
    </w:p>
    <w:p w14:paraId="632F6415">
      <w:pPr>
        <w:pStyle w:val="16"/>
        <w:spacing w:line="240" w:lineRule="atLeast"/>
        <w:ind w:left="1080" w:leftChars="257" w:hanging="540"/>
        <w:rPr>
          <w:rFonts w:ascii="仿宋" w:hAnsi="仿宋" w:eastAsia="仿宋" w:cs="仿宋"/>
          <w:sz w:val="24"/>
          <w:szCs w:val="24"/>
          <w:u w:val="single"/>
        </w:rPr>
      </w:pPr>
      <w:r>
        <w:rPr>
          <w:rFonts w:hint="eastAsia" w:ascii="仿宋" w:hAnsi="仿宋" w:eastAsia="仿宋" w:cs="仿宋"/>
          <w:sz w:val="24"/>
          <w:szCs w:val="24"/>
        </w:rPr>
        <w:t>公章：</w:t>
      </w:r>
      <w:r>
        <w:rPr>
          <w:rFonts w:hint="eastAsia" w:ascii="仿宋" w:hAnsi="仿宋" w:eastAsia="仿宋" w:cs="仿宋"/>
          <w:sz w:val="24"/>
          <w:szCs w:val="24"/>
          <w:u w:val="single"/>
        </w:rPr>
        <w:t xml:space="preserve">                                         </w:t>
      </w:r>
    </w:p>
    <w:p w14:paraId="1C69975D">
      <w:pPr>
        <w:rPr>
          <w:rFonts w:ascii="仿宋" w:hAnsi="仿宋" w:eastAsia="仿宋" w:cs="仿宋"/>
          <w:sz w:val="24"/>
          <w:u w:val="single"/>
        </w:rPr>
      </w:pPr>
      <w:r>
        <w:rPr>
          <w:rFonts w:hint="eastAsia" w:ascii="仿宋" w:hAnsi="仿宋" w:eastAsia="仿宋" w:cs="仿宋"/>
          <w:sz w:val="24"/>
          <w:u w:val="single"/>
        </w:rPr>
        <w:br w:type="page"/>
      </w:r>
    </w:p>
    <w:p w14:paraId="35BB888A">
      <w:pPr>
        <w:pStyle w:val="16"/>
        <w:spacing w:line="240" w:lineRule="atLeast"/>
        <w:ind w:left="1080" w:leftChars="257" w:hanging="540"/>
        <w:rPr>
          <w:rFonts w:ascii="仿宋" w:hAnsi="仿宋" w:eastAsia="仿宋" w:cs="仿宋"/>
          <w:sz w:val="24"/>
          <w:szCs w:val="24"/>
          <w:u w:val="single"/>
        </w:rPr>
      </w:pPr>
    </w:p>
    <w:p w14:paraId="618B927A">
      <w:pPr>
        <w:spacing w:line="240" w:lineRule="atLeast"/>
        <w:ind w:left="1080" w:leftChars="257" w:hanging="540"/>
        <w:rPr>
          <w:rFonts w:ascii="仿宋" w:hAnsi="仿宋" w:eastAsia="仿宋" w:cs="仿宋"/>
          <w:sz w:val="22"/>
          <w:szCs w:val="28"/>
        </w:rPr>
      </w:pPr>
      <w:bookmarkStart w:id="535" w:name="_Toc518923104"/>
      <w:bookmarkStart w:id="536" w:name="_Toc16707"/>
      <w:bookmarkStart w:id="537" w:name="_Toc27788"/>
      <w:bookmarkStart w:id="538" w:name="_Toc22540"/>
      <w:bookmarkStart w:id="539" w:name="_Toc27581"/>
      <w:bookmarkStart w:id="540" w:name="_Toc21744"/>
      <w:r>
        <w:rPr>
          <w:rFonts w:hint="eastAsia" w:ascii="仿宋" w:hAnsi="仿宋" w:eastAsia="仿宋" w:cs="仿宋"/>
          <w:sz w:val="22"/>
          <w:szCs w:val="28"/>
        </w:rPr>
        <w:t>附件2：履约担保函格式</w:t>
      </w:r>
      <w:bookmarkEnd w:id="535"/>
      <w:bookmarkEnd w:id="536"/>
      <w:bookmarkEnd w:id="537"/>
      <w:bookmarkEnd w:id="538"/>
      <w:bookmarkEnd w:id="539"/>
      <w:bookmarkEnd w:id="540"/>
    </w:p>
    <w:p w14:paraId="13FF7F9C">
      <w:pPr>
        <w:spacing w:line="240" w:lineRule="atLeast"/>
        <w:ind w:left="1080" w:leftChars="257" w:hanging="540"/>
        <w:rPr>
          <w:rFonts w:ascii="仿宋" w:hAnsi="仿宋" w:eastAsia="仿宋" w:cs="仿宋"/>
          <w:sz w:val="22"/>
          <w:szCs w:val="28"/>
        </w:rPr>
      </w:pPr>
      <w:bookmarkStart w:id="541" w:name="_Toc9735"/>
      <w:bookmarkStart w:id="542" w:name="_Toc32574"/>
      <w:bookmarkStart w:id="543" w:name="_Toc515647801"/>
      <w:bookmarkStart w:id="544" w:name="_Toc162"/>
      <w:bookmarkStart w:id="545" w:name="_Toc13962"/>
      <w:bookmarkStart w:id="546" w:name="_Toc7209"/>
      <w:r>
        <w:rPr>
          <w:rFonts w:hint="eastAsia" w:ascii="仿宋" w:hAnsi="仿宋" w:eastAsia="仿宋" w:cs="仿宋"/>
          <w:sz w:val="22"/>
          <w:szCs w:val="28"/>
        </w:rPr>
        <w:t>（采用政府采购信用担保形式时使用）</w:t>
      </w:r>
      <w:bookmarkEnd w:id="541"/>
      <w:bookmarkEnd w:id="542"/>
      <w:bookmarkEnd w:id="543"/>
      <w:bookmarkEnd w:id="544"/>
      <w:bookmarkEnd w:id="545"/>
      <w:bookmarkEnd w:id="546"/>
    </w:p>
    <w:p w14:paraId="4927BB8A">
      <w:pPr>
        <w:spacing w:line="240" w:lineRule="atLeast"/>
        <w:ind w:left="1080" w:leftChars="257" w:hanging="540"/>
        <w:rPr>
          <w:rFonts w:ascii="仿宋" w:hAnsi="仿宋" w:eastAsia="仿宋" w:cs="仿宋"/>
          <w:b/>
          <w:kern w:val="0"/>
          <w:sz w:val="24"/>
          <w:szCs w:val="20"/>
        </w:rPr>
      </w:pPr>
    </w:p>
    <w:p w14:paraId="08CEB8FF">
      <w:pPr>
        <w:jc w:val="center"/>
        <w:rPr>
          <w:rFonts w:ascii="仿宋" w:hAnsi="仿宋" w:eastAsia="仿宋" w:cs="仿宋"/>
          <w:sz w:val="24"/>
        </w:rPr>
      </w:pPr>
      <w:r>
        <w:rPr>
          <w:rFonts w:hint="eastAsia" w:ascii="仿宋" w:hAnsi="仿宋" w:eastAsia="仿宋" w:cs="仿宋"/>
          <w:sz w:val="24"/>
        </w:rPr>
        <w:t>政府采购履约担保函（项目用）</w:t>
      </w:r>
    </w:p>
    <w:p w14:paraId="5686350B">
      <w:pPr>
        <w:rPr>
          <w:rFonts w:ascii="仿宋" w:hAnsi="仿宋" w:eastAsia="仿宋" w:cs="仿宋"/>
          <w:sz w:val="24"/>
        </w:rPr>
      </w:pPr>
      <w:r>
        <w:rPr>
          <w:rFonts w:hint="eastAsia" w:ascii="仿宋" w:hAnsi="仿宋" w:eastAsia="仿宋" w:cs="仿宋"/>
          <w:sz w:val="24"/>
        </w:rPr>
        <w:t xml:space="preserve">                                                   编号：</w:t>
      </w:r>
    </w:p>
    <w:p w14:paraId="04A955E1">
      <w:pPr>
        <w:rPr>
          <w:rFonts w:ascii="仿宋" w:hAnsi="仿宋" w:eastAsia="仿宋" w:cs="仿宋"/>
          <w:sz w:val="24"/>
        </w:rPr>
      </w:pPr>
    </w:p>
    <w:p w14:paraId="2C0DC05A">
      <w:pPr>
        <w:rPr>
          <w:rFonts w:ascii="仿宋" w:hAnsi="仿宋" w:eastAsia="仿宋" w:cs="仿宋"/>
          <w:sz w:val="24"/>
        </w:rPr>
      </w:pPr>
      <w:r>
        <w:rPr>
          <w:rFonts w:hint="eastAsia" w:ascii="仿宋" w:hAnsi="仿宋" w:eastAsia="仿宋" w:cs="仿宋"/>
          <w:sz w:val="24"/>
          <w:u w:val="single"/>
        </w:rPr>
        <w:t xml:space="preserve">                  </w:t>
      </w:r>
      <w:r>
        <w:rPr>
          <w:rFonts w:hint="eastAsia" w:ascii="仿宋" w:hAnsi="仿宋" w:eastAsia="仿宋" w:cs="仿宋"/>
          <w:sz w:val="24"/>
        </w:rPr>
        <w:t>（采购人）：</w:t>
      </w:r>
    </w:p>
    <w:p w14:paraId="3C6CF2B0">
      <w:pPr>
        <w:rPr>
          <w:rFonts w:ascii="仿宋" w:hAnsi="仿宋" w:eastAsia="仿宋" w:cs="仿宋"/>
          <w:sz w:val="24"/>
        </w:rPr>
      </w:pPr>
    </w:p>
    <w:p w14:paraId="6C966ED6">
      <w:pPr>
        <w:ind w:firstLine="480" w:firstLineChars="200"/>
        <w:rPr>
          <w:rFonts w:ascii="仿宋" w:hAnsi="仿宋" w:eastAsia="仿宋" w:cs="仿宋"/>
          <w:sz w:val="24"/>
        </w:rPr>
      </w:pPr>
      <w:r>
        <w:rPr>
          <w:rFonts w:hint="eastAsia" w:ascii="仿宋" w:hAnsi="仿宋" w:eastAsia="仿宋" w:cs="仿宋"/>
          <w:sz w:val="24"/>
        </w:rPr>
        <w:t>鉴于你方与</w:t>
      </w:r>
      <w:r>
        <w:rPr>
          <w:rFonts w:hint="eastAsia" w:ascii="仿宋" w:hAnsi="仿宋" w:eastAsia="仿宋" w:cs="仿宋"/>
          <w:sz w:val="24"/>
          <w:u w:val="single"/>
        </w:rPr>
        <w:t xml:space="preserve">                    </w:t>
      </w:r>
      <w:r>
        <w:rPr>
          <w:rFonts w:hint="eastAsia" w:ascii="仿宋" w:hAnsi="仿宋" w:eastAsia="仿宋" w:cs="仿宋"/>
          <w:sz w:val="24"/>
        </w:rPr>
        <w:t>（以下简称投标人）于</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日签定编号为   的《</w:t>
      </w:r>
      <w:r>
        <w:rPr>
          <w:rFonts w:hint="eastAsia" w:ascii="仿宋" w:hAnsi="仿宋" w:eastAsia="仿宋" w:cs="仿宋"/>
          <w:sz w:val="24"/>
          <w:u w:val="single"/>
        </w:rPr>
        <w:t xml:space="preserve">           </w:t>
      </w:r>
      <w:r>
        <w:rPr>
          <w:rFonts w:hint="eastAsia" w:ascii="仿宋" w:hAnsi="仿宋" w:eastAsia="仿宋" w:cs="仿宋"/>
          <w:sz w:val="24"/>
        </w:rPr>
        <w:t>政府采购合同》（以下简称主合同），且依据该合同的约定，投标人应在</w:t>
      </w:r>
      <w:r>
        <w:rPr>
          <w:rFonts w:hint="eastAsia" w:ascii="仿宋" w:hAnsi="仿宋" w:eastAsia="仿宋" w:cs="仿宋"/>
          <w:sz w:val="24"/>
          <w:u w:val="single"/>
        </w:rPr>
        <w:t xml:space="preserve">    </w:t>
      </w:r>
      <w:r>
        <w:rPr>
          <w:rFonts w:hint="eastAsia" w:ascii="仿宋" w:hAnsi="仿宋" w:eastAsia="仿宋" w:cs="仿宋"/>
          <w:sz w:val="24"/>
        </w:rPr>
        <w:t>年</w:t>
      </w:r>
    </w:p>
    <w:p w14:paraId="3FA7EF9F">
      <w:pPr>
        <w:rPr>
          <w:rFonts w:ascii="仿宋" w:hAnsi="仿宋" w:eastAsia="仿宋" w:cs="仿宋"/>
          <w:sz w:val="24"/>
        </w:rPr>
      </w:pP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日前向你方交纳履约保证金，且可以履约担保函的形式交纳履约保证金。应投标人的申请，我方以保证的方式向你方提供如下履约保证金担保：</w:t>
      </w:r>
    </w:p>
    <w:p w14:paraId="19135B33">
      <w:pPr>
        <w:ind w:firstLine="480" w:firstLineChars="200"/>
        <w:rPr>
          <w:rFonts w:ascii="仿宋" w:hAnsi="仿宋" w:eastAsia="仿宋" w:cs="仿宋"/>
          <w:sz w:val="24"/>
        </w:rPr>
      </w:pPr>
      <w:bookmarkStart w:id="547" w:name="_Toc16807"/>
      <w:r>
        <w:rPr>
          <w:rFonts w:hint="eastAsia" w:ascii="仿宋" w:hAnsi="仿宋" w:eastAsia="仿宋" w:cs="仿宋"/>
          <w:sz w:val="24"/>
        </w:rPr>
        <w:t>一、保证责任的情形及保证金额</w:t>
      </w:r>
      <w:bookmarkEnd w:id="547"/>
    </w:p>
    <w:p w14:paraId="4D90F11B">
      <w:pPr>
        <w:ind w:firstLine="480" w:firstLineChars="200"/>
        <w:rPr>
          <w:rFonts w:ascii="仿宋" w:hAnsi="仿宋" w:eastAsia="仿宋" w:cs="仿宋"/>
          <w:sz w:val="24"/>
        </w:rPr>
      </w:pPr>
      <w:r>
        <w:rPr>
          <w:rFonts w:hint="eastAsia" w:ascii="仿宋" w:hAnsi="仿宋" w:eastAsia="仿宋" w:cs="仿宋"/>
          <w:sz w:val="24"/>
        </w:rPr>
        <w:t>（一）在投标人出现下列情形之一时，我方承担保证责任：</w:t>
      </w:r>
    </w:p>
    <w:p w14:paraId="3F67774C">
      <w:pPr>
        <w:ind w:firstLine="480" w:firstLineChars="200"/>
        <w:rPr>
          <w:rFonts w:ascii="仿宋" w:hAnsi="仿宋" w:eastAsia="仿宋" w:cs="仿宋"/>
          <w:sz w:val="24"/>
        </w:rPr>
      </w:pPr>
      <w:r>
        <w:rPr>
          <w:rFonts w:hint="eastAsia" w:ascii="仿宋" w:hAnsi="仿宋" w:eastAsia="仿宋" w:cs="仿宋"/>
          <w:sz w:val="24"/>
        </w:rPr>
        <w:t>1．将中标项目转让给他人，或者在投标文件中未说明，且未经采购招标机构人同意，将中标项目分包给他人的；</w:t>
      </w:r>
    </w:p>
    <w:p w14:paraId="38A1F2C1">
      <w:pPr>
        <w:rPr>
          <w:rFonts w:ascii="仿宋" w:hAnsi="仿宋" w:eastAsia="仿宋" w:cs="仿宋"/>
          <w:sz w:val="24"/>
        </w:rPr>
      </w:pPr>
      <w:r>
        <w:rPr>
          <w:rFonts w:hint="eastAsia" w:ascii="仿宋" w:hAnsi="仿宋" w:eastAsia="仿宋" w:cs="仿宋"/>
          <w:sz w:val="24"/>
        </w:rPr>
        <w:t>　　</w:t>
      </w:r>
      <w:bookmarkStart w:id="548" w:name="_Toc2434"/>
      <w:bookmarkStart w:id="549" w:name="_Toc806"/>
      <w:bookmarkStart w:id="550" w:name="_Toc30650"/>
      <w:r>
        <w:rPr>
          <w:rFonts w:hint="eastAsia" w:ascii="仿宋" w:hAnsi="仿宋" w:eastAsia="仿宋" w:cs="仿宋"/>
          <w:sz w:val="24"/>
        </w:rPr>
        <w:t>2．主合同约定的应当缴纳履约保证金的情形:</w:t>
      </w:r>
      <w:bookmarkEnd w:id="548"/>
      <w:bookmarkEnd w:id="549"/>
      <w:bookmarkEnd w:id="550"/>
      <w:r>
        <w:rPr>
          <w:rFonts w:hint="eastAsia" w:ascii="仿宋" w:hAnsi="仿宋" w:eastAsia="仿宋" w:cs="仿宋"/>
          <w:sz w:val="24"/>
        </w:rPr>
        <w:t xml:space="preserve"> </w:t>
      </w:r>
    </w:p>
    <w:p w14:paraId="7661BF70">
      <w:pPr>
        <w:ind w:firstLine="480" w:firstLineChars="200"/>
        <w:rPr>
          <w:rFonts w:ascii="仿宋" w:hAnsi="仿宋" w:eastAsia="仿宋" w:cs="仿宋"/>
          <w:sz w:val="24"/>
        </w:rPr>
      </w:pPr>
      <w:r>
        <w:rPr>
          <w:rFonts w:hint="eastAsia" w:ascii="仿宋" w:hAnsi="仿宋" w:eastAsia="仿宋" w:cs="仿宋"/>
          <w:sz w:val="24"/>
        </w:rPr>
        <w:t>（1）未按主合同约定的质量、数量和期限供应货物/提供服务/完成工程的；</w:t>
      </w:r>
    </w:p>
    <w:p w14:paraId="798986DF">
      <w:pPr>
        <w:ind w:firstLine="480" w:firstLineChars="200"/>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u w:val="single"/>
        </w:rPr>
        <w:t xml:space="preserve">                                                           </w:t>
      </w:r>
      <w:r>
        <w:rPr>
          <w:rFonts w:hint="eastAsia" w:ascii="仿宋" w:hAnsi="仿宋" w:eastAsia="仿宋" w:cs="仿宋"/>
          <w:sz w:val="24"/>
        </w:rPr>
        <w:t>。</w:t>
      </w:r>
    </w:p>
    <w:p w14:paraId="78B64F9F">
      <w:pPr>
        <w:ind w:firstLine="480" w:firstLineChars="200"/>
        <w:rPr>
          <w:rFonts w:ascii="仿宋" w:hAnsi="仿宋" w:eastAsia="仿宋" w:cs="仿宋"/>
          <w:sz w:val="24"/>
        </w:rPr>
      </w:pPr>
      <w:r>
        <w:rPr>
          <w:rFonts w:hint="eastAsia" w:ascii="仿宋" w:hAnsi="仿宋" w:eastAsia="仿宋" w:cs="仿宋"/>
          <w:sz w:val="24"/>
        </w:rPr>
        <w:t>（二）我方的保证范围是主合同约定的合同价款总额的</w:t>
      </w:r>
      <w:r>
        <w:rPr>
          <w:rFonts w:hint="eastAsia" w:ascii="仿宋" w:hAnsi="仿宋" w:eastAsia="仿宋" w:cs="仿宋"/>
          <w:sz w:val="24"/>
          <w:u w:val="single"/>
        </w:rPr>
        <w:t xml:space="preserve">      </w:t>
      </w:r>
      <w:r>
        <w:rPr>
          <w:rFonts w:hint="eastAsia" w:ascii="仿宋" w:hAnsi="仿宋" w:eastAsia="仿宋" w:cs="仿宋"/>
          <w:sz w:val="24"/>
        </w:rPr>
        <w:t>%数额为</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），币种为</w:t>
      </w:r>
      <w:r>
        <w:rPr>
          <w:rFonts w:hint="eastAsia" w:ascii="仿宋" w:hAnsi="仿宋" w:eastAsia="仿宋" w:cs="仿宋"/>
          <w:sz w:val="24"/>
          <w:u w:val="single"/>
        </w:rPr>
        <w:t xml:space="preserve">        </w:t>
      </w:r>
      <w:r>
        <w:rPr>
          <w:rFonts w:hint="eastAsia" w:ascii="仿宋" w:hAnsi="仿宋" w:eastAsia="仿宋" w:cs="仿宋"/>
          <w:sz w:val="24"/>
        </w:rPr>
        <w:t>。（即主合同履约保证金金额）</w:t>
      </w:r>
    </w:p>
    <w:p w14:paraId="6286FA3B">
      <w:pPr>
        <w:ind w:firstLine="480" w:firstLineChars="200"/>
        <w:rPr>
          <w:rFonts w:ascii="仿宋" w:hAnsi="仿宋" w:eastAsia="仿宋" w:cs="仿宋"/>
          <w:sz w:val="24"/>
        </w:rPr>
      </w:pPr>
      <w:bookmarkStart w:id="551" w:name="_Toc16733"/>
      <w:r>
        <w:rPr>
          <w:rFonts w:hint="eastAsia" w:ascii="仿宋" w:hAnsi="仿宋" w:eastAsia="仿宋" w:cs="仿宋"/>
          <w:sz w:val="24"/>
        </w:rPr>
        <w:t>二、保证的方式及保证期间</w:t>
      </w:r>
      <w:bookmarkEnd w:id="551"/>
    </w:p>
    <w:p w14:paraId="2BFC0A90">
      <w:pPr>
        <w:ind w:firstLine="480" w:firstLineChars="200"/>
        <w:rPr>
          <w:rFonts w:ascii="仿宋" w:hAnsi="仿宋" w:eastAsia="仿宋" w:cs="仿宋"/>
          <w:sz w:val="24"/>
        </w:rPr>
      </w:pPr>
      <w:r>
        <w:rPr>
          <w:rFonts w:hint="eastAsia" w:ascii="仿宋" w:hAnsi="仿宋" w:eastAsia="仿宋" w:cs="仿宋"/>
          <w:sz w:val="24"/>
        </w:rPr>
        <w:t>我方保证的方式为：连带责任保证。</w:t>
      </w:r>
    </w:p>
    <w:p w14:paraId="7DD7F87F">
      <w:pPr>
        <w:ind w:firstLine="480" w:firstLineChars="200"/>
        <w:rPr>
          <w:rFonts w:ascii="仿宋" w:hAnsi="仿宋" w:eastAsia="仿宋" w:cs="仿宋"/>
          <w:sz w:val="24"/>
        </w:rPr>
      </w:pPr>
      <w:r>
        <w:rPr>
          <w:rFonts w:hint="eastAsia" w:ascii="仿宋" w:hAnsi="仿宋" w:eastAsia="仿宋" w:cs="仿宋"/>
          <w:sz w:val="24"/>
        </w:rPr>
        <w:t>我方保证的期间为：自本合同生效之日起至投标人按照主合同约定的供货/完工期限届满后</w:t>
      </w:r>
      <w:r>
        <w:rPr>
          <w:rFonts w:hint="eastAsia" w:ascii="仿宋" w:hAnsi="仿宋" w:eastAsia="仿宋" w:cs="仿宋"/>
          <w:sz w:val="24"/>
          <w:u w:val="single"/>
        </w:rPr>
        <w:t xml:space="preserve">     </w:t>
      </w:r>
      <w:r>
        <w:rPr>
          <w:rFonts w:hint="eastAsia" w:ascii="仿宋" w:hAnsi="仿宋" w:eastAsia="仿宋" w:cs="仿宋"/>
          <w:sz w:val="24"/>
        </w:rPr>
        <w:t>日内。</w:t>
      </w:r>
    </w:p>
    <w:p w14:paraId="27592171">
      <w:pPr>
        <w:ind w:firstLine="480" w:firstLineChars="200"/>
        <w:rPr>
          <w:rFonts w:ascii="仿宋" w:hAnsi="仿宋" w:eastAsia="仿宋" w:cs="仿宋"/>
          <w:sz w:val="24"/>
        </w:rPr>
      </w:pPr>
      <w:r>
        <w:rPr>
          <w:rFonts w:hint="eastAsia" w:ascii="仿宋" w:hAnsi="仿宋" w:eastAsia="仿宋" w:cs="仿宋"/>
          <w:sz w:val="24"/>
        </w:rPr>
        <w:t>如果投标人未按主合同约定向贵方供应货物/提供服务/完成工程的，由我方在保证金额内向你方支付上述款项。</w:t>
      </w:r>
    </w:p>
    <w:p w14:paraId="4C0D19F5">
      <w:pPr>
        <w:ind w:firstLine="480" w:firstLineChars="200"/>
        <w:rPr>
          <w:rFonts w:ascii="仿宋" w:hAnsi="仿宋" w:eastAsia="仿宋" w:cs="仿宋"/>
          <w:sz w:val="24"/>
        </w:rPr>
      </w:pPr>
      <w:bookmarkStart w:id="552" w:name="_Toc19668"/>
      <w:r>
        <w:rPr>
          <w:rFonts w:hint="eastAsia" w:ascii="仿宋" w:hAnsi="仿宋" w:eastAsia="仿宋" w:cs="仿宋"/>
          <w:sz w:val="24"/>
        </w:rPr>
        <w:t>三、承担保证责任的程序</w:t>
      </w:r>
      <w:bookmarkEnd w:id="552"/>
    </w:p>
    <w:p w14:paraId="1B50B6AD">
      <w:pPr>
        <w:ind w:firstLine="480" w:firstLineChars="200"/>
        <w:rPr>
          <w:rFonts w:ascii="仿宋" w:hAnsi="仿宋" w:eastAsia="仿宋" w:cs="仿宋"/>
          <w:sz w:val="24"/>
        </w:rPr>
      </w:pPr>
      <w:r>
        <w:rPr>
          <w:rFonts w:hint="eastAsia" w:ascii="仿宋" w:hAnsi="仿宋" w:eastAsia="仿宋" w:cs="仿宋"/>
          <w:sz w:val="24"/>
        </w:rPr>
        <w:t>1．你方要求我方承担保证责任的，应在本保函保证期间内向我方发出书面索赔通知。索赔通知应写明要求索赔的金额，支付款项应到达的帐号。并附有证明投标人违约事实的证明材料。</w:t>
      </w:r>
    </w:p>
    <w:p w14:paraId="7E7692D1">
      <w:pPr>
        <w:ind w:firstLine="480" w:firstLineChars="200"/>
        <w:rPr>
          <w:rFonts w:ascii="仿宋" w:hAnsi="仿宋" w:eastAsia="仿宋" w:cs="仿宋"/>
          <w:sz w:val="24"/>
        </w:rPr>
      </w:pPr>
      <w:r>
        <w:rPr>
          <w:rFonts w:hint="eastAsia" w:ascii="仿宋" w:hAnsi="仿宋" w:eastAsia="仿宋" w:cs="仿宋"/>
          <w:sz w:val="24"/>
        </w:rPr>
        <w:t>如果你方与投标人因货物质量问题产生争议，你方还需同时提供</w:t>
      </w:r>
      <w:r>
        <w:rPr>
          <w:rFonts w:hint="eastAsia" w:ascii="仿宋" w:hAnsi="仿宋" w:eastAsia="仿宋" w:cs="仿宋"/>
          <w:sz w:val="24"/>
          <w:u w:val="single"/>
        </w:rPr>
        <w:t xml:space="preserve">        </w:t>
      </w:r>
      <w:r>
        <w:rPr>
          <w:rFonts w:hint="eastAsia" w:ascii="仿宋" w:hAnsi="仿宋" w:eastAsia="仿宋" w:cs="仿宋"/>
          <w:sz w:val="24"/>
        </w:rPr>
        <w:t>部门出具的质量检测报告，或经诉讼（仲裁）程序裁决后的裁决书、调解书，本保证人即按照检测结果或裁决书、调解书决定是否承担保证责任。</w:t>
      </w:r>
    </w:p>
    <w:p w14:paraId="427A5C8E">
      <w:pPr>
        <w:ind w:firstLine="480" w:firstLineChars="200"/>
        <w:rPr>
          <w:rFonts w:ascii="仿宋" w:hAnsi="仿宋" w:eastAsia="仿宋" w:cs="仿宋"/>
          <w:sz w:val="24"/>
        </w:rPr>
      </w:pPr>
      <w:r>
        <w:rPr>
          <w:rFonts w:hint="eastAsia" w:ascii="仿宋" w:hAnsi="仿宋" w:eastAsia="仿宋" w:cs="仿宋"/>
          <w:sz w:val="24"/>
        </w:rPr>
        <w:t>2． 我方收到你方的书面索赔通知及相应证明材料，在</w:t>
      </w:r>
      <w:r>
        <w:rPr>
          <w:rFonts w:hint="eastAsia" w:ascii="仿宋" w:hAnsi="仿宋" w:eastAsia="仿宋" w:cs="仿宋"/>
          <w:sz w:val="24"/>
          <w:u w:val="single"/>
        </w:rPr>
        <w:t xml:space="preserve">     </w:t>
      </w:r>
      <w:r>
        <w:rPr>
          <w:rFonts w:hint="eastAsia" w:ascii="仿宋" w:hAnsi="仿宋" w:eastAsia="仿宋" w:cs="仿宋"/>
          <w:sz w:val="24"/>
        </w:rPr>
        <w:t>工作日内进行核定后按照本保函的承诺承担保证责任。</w:t>
      </w:r>
    </w:p>
    <w:p w14:paraId="1B103D87">
      <w:pPr>
        <w:ind w:firstLine="480" w:firstLineChars="200"/>
        <w:rPr>
          <w:rFonts w:ascii="仿宋" w:hAnsi="仿宋" w:eastAsia="仿宋" w:cs="仿宋"/>
          <w:sz w:val="24"/>
        </w:rPr>
      </w:pPr>
      <w:bookmarkStart w:id="553" w:name="_Toc11641"/>
      <w:r>
        <w:rPr>
          <w:rFonts w:hint="eastAsia" w:ascii="仿宋" w:hAnsi="仿宋" w:eastAsia="仿宋" w:cs="仿宋"/>
          <w:sz w:val="24"/>
        </w:rPr>
        <w:t>四、保证责任的终止</w:t>
      </w:r>
      <w:bookmarkEnd w:id="553"/>
    </w:p>
    <w:p w14:paraId="2F2E67D7">
      <w:pPr>
        <w:ind w:firstLine="480" w:firstLineChars="200"/>
        <w:rPr>
          <w:rFonts w:ascii="仿宋" w:hAnsi="仿宋" w:eastAsia="仿宋" w:cs="仿宋"/>
          <w:sz w:val="24"/>
        </w:rPr>
      </w:pPr>
      <w:r>
        <w:rPr>
          <w:rFonts w:hint="eastAsia" w:ascii="仿宋" w:hAnsi="仿宋" w:eastAsia="仿宋" w:cs="仿宋"/>
          <w:sz w:val="24"/>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1D0A9113">
      <w:pPr>
        <w:ind w:firstLine="480" w:firstLineChars="200"/>
        <w:rPr>
          <w:rFonts w:ascii="仿宋" w:hAnsi="仿宋" w:eastAsia="仿宋" w:cs="仿宋"/>
          <w:sz w:val="24"/>
        </w:rPr>
      </w:pPr>
      <w:r>
        <w:rPr>
          <w:rFonts w:hint="eastAsia" w:ascii="仿宋" w:hAnsi="仿宋" w:eastAsia="仿宋" w:cs="仿宋"/>
          <w:sz w:val="24"/>
        </w:rPr>
        <w:t>2．我方按照本保函向你方履行了保证责任后，自我方向你方支付款项（支付款项从我方账户划出）之日起，保证责任即终止。</w:t>
      </w:r>
    </w:p>
    <w:p w14:paraId="16984FAE">
      <w:pPr>
        <w:ind w:firstLine="480" w:firstLineChars="200"/>
        <w:rPr>
          <w:rFonts w:ascii="仿宋" w:hAnsi="仿宋" w:eastAsia="仿宋" w:cs="仿宋"/>
          <w:sz w:val="24"/>
        </w:rPr>
      </w:pPr>
      <w:r>
        <w:rPr>
          <w:rFonts w:hint="eastAsia" w:ascii="仿宋" w:hAnsi="仿宋" w:eastAsia="仿宋" w:cs="仿宋"/>
          <w:sz w:val="24"/>
        </w:rPr>
        <w:t>3．按照法律法规的规定或出现应终止我方保证责任的其它情形的，我方在本保函项下的保证责任亦终止。</w:t>
      </w:r>
    </w:p>
    <w:p w14:paraId="7B34AE6C">
      <w:pPr>
        <w:ind w:firstLine="480" w:firstLineChars="200"/>
        <w:rPr>
          <w:rFonts w:ascii="仿宋" w:hAnsi="仿宋" w:eastAsia="仿宋" w:cs="仿宋"/>
          <w:sz w:val="24"/>
        </w:rPr>
      </w:pPr>
      <w:r>
        <w:rPr>
          <w:rFonts w:hint="eastAsia" w:ascii="仿宋" w:hAnsi="仿宋" w:eastAsia="仿宋" w:cs="仿宋"/>
          <w:sz w:val="24"/>
        </w:rPr>
        <w:t>4．你方与投标人修改主合同，加重我方保证责任的，我方对加重部分不承担保证责任，但该等修改事先经我方书面同意的除外；你方与投标人修改主合同履行期限，我方保证期间仍依修改前的履行期限计算，但该等修改事先经我方书面同意的除外。</w:t>
      </w:r>
    </w:p>
    <w:p w14:paraId="0A672DA5">
      <w:pPr>
        <w:ind w:firstLine="480" w:firstLineChars="200"/>
        <w:rPr>
          <w:rFonts w:ascii="仿宋" w:hAnsi="仿宋" w:eastAsia="仿宋" w:cs="仿宋"/>
          <w:sz w:val="24"/>
        </w:rPr>
      </w:pPr>
      <w:bookmarkStart w:id="554" w:name="_Toc3542"/>
      <w:r>
        <w:rPr>
          <w:rFonts w:hint="eastAsia" w:ascii="仿宋" w:hAnsi="仿宋" w:eastAsia="仿宋" w:cs="仿宋"/>
          <w:sz w:val="24"/>
        </w:rPr>
        <w:t>五、免责条款</w:t>
      </w:r>
      <w:bookmarkEnd w:id="554"/>
    </w:p>
    <w:p w14:paraId="56D259DE">
      <w:pPr>
        <w:ind w:firstLine="480" w:firstLineChars="200"/>
        <w:rPr>
          <w:rFonts w:ascii="仿宋" w:hAnsi="仿宋" w:eastAsia="仿宋" w:cs="仿宋"/>
          <w:sz w:val="24"/>
        </w:rPr>
      </w:pPr>
      <w:r>
        <w:rPr>
          <w:rFonts w:hint="eastAsia" w:ascii="仿宋" w:hAnsi="仿宋" w:eastAsia="仿宋" w:cs="仿宋"/>
          <w:sz w:val="24"/>
        </w:rPr>
        <w:t>1．因你方违反主合同约定致使投标人不能履行义务的，我方不承担保证责任。</w:t>
      </w:r>
    </w:p>
    <w:p w14:paraId="5C8666A5">
      <w:pPr>
        <w:ind w:firstLine="480" w:firstLineChars="200"/>
        <w:rPr>
          <w:rFonts w:ascii="仿宋" w:hAnsi="仿宋" w:eastAsia="仿宋" w:cs="仿宋"/>
          <w:sz w:val="24"/>
        </w:rPr>
      </w:pPr>
      <w:r>
        <w:rPr>
          <w:rFonts w:hint="eastAsia" w:ascii="仿宋" w:hAnsi="仿宋" w:eastAsia="仿宋" w:cs="仿宋"/>
          <w:sz w:val="24"/>
        </w:rPr>
        <w:t>2．依照法律法规的规定或你方与投标人的另行约定，全部或者部分免除投标人应缴纳的保证金义务的，我方亦免除相应的保证责任。</w:t>
      </w:r>
    </w:p>
    <w:p w14:paraId="7EF3D9AF">
      <w:pPr>
        <w:ind w:firstLine="480" w:firstLineChars="200"/>
        <w:rPr>
          <w:rFonts w:ascii="仿宋" w:hAnsi="仿宋" w:eastAsia="仿宋" w:cs="仿宋"/>
          <w:sz w:val="24"/>
        </w:rPr>
      </w:pPr>
      <w:r>
        <w:rPr>
          <w:rFonts w:hint="eastAsia" w:ascii="仿宋" w:hAnsi="仿宋" w:eastAsia="仿宋" w:cs="仿宋"/>
          <w:sz w:val="24"/>
        </w:rPr>
        <w:t>3．因不可抗力造成投标人不能履行供货义务的，我方不承担保证责任。</w:t>
      </w:r>
    </w:p>
    <w:p w14:paraId="40B60BDB">
      <w:pPr>
        <w:ind w:firstLine="480" w:firstLineChars="200"/>
        <w:rPr>
          <w:rFonts w:ascii="仿宋" w:hAnsi="仿宋" w:eastAsia="仿宋" w:cs="仿宋"/>
          <w:sz w:val="24"/>
        </w:rPr>
      </w:pPr>
      <w:bookmarkStart w:id="555" w:name="_Toc908"/>
      <w:r>
        <w:rPr>
          <w:rFonts w:hint="eastAsia" w:ascii="仿宋" w:hAnsi="仿宋" w:eastAsia="仿宋" w:cs="仿宋"/>
          <w:sz w:val="24"/>
        </w:rPr>
        <w:t>六、争议的解决</w:t>
      </w:r>
      <w:bookmarkEnd w:id="555"/>
    </w:p>
    <w:p w14:paraId="3A76CB37">
      <w:pPr>
        <w:ind w:firstLine="480" w:firstLineChars="200"/>
        <w:rPr>
          <w:rFonts w:ascii="仿宋" w:hAnsi="仿宋" w:eastAsia="仿宋" w:cs="仿宋"/>
          <w:sz w:val="24"/>
        </w:rPr>
      </w:pPr>
      <w:r>
        <w:rPr>
          <w:rFonts w:hint="eastAsia" w:ascii="仿宋" w:hAnsi="仿宋" w:eastAsia="仿宋" w:cs="仿宋"/>
          <w:sz w:val="24"/>
        </w:rPr>
        <w:t>因本保函发生的纠纷，由你我双方协商解决，协商不成的，通过诉讼程序解决，诉讼管辖地法院为</w:t>
      </w:r>
      <w:r>
        <w:rPr>
          <w:rFonts w:hint="eastAsia" w:ascii="仿宋" w:hAnsi="仿宋" w:eastAsia="仿宋" w:cs="仿宋"/>
          <w:sz w:val="24"/>
          <w:u w:val="single"/>
        </w:rPr>
        <w:t xml:space="preserve">        </w:t>
      </w:r>
      <w:r>
        <w:rPr>
          <w:rFonts w:hint="eastAsia" w:ascii="仿宋" w:hAnsi="仿宋" w:eastAsia="仿宋" w:cs="仿宋"/>
          <w:sz w:val="24"/>
        </w:rPr>
        <w:t>法院。</w:t>
      </w:r>
    </w:p>
    <w:p w14:paraId="44828A99">
      <w:pPr>
        <w:ind w:firstLine="480" w:firstLineChars="200"/>
        <w:rPr>
          <w:rFonts w:ascii="仿宋" w:hAnsi="仿宋" w:eastAsia="仿宋" w:cs="仿宋"/>
          <w:sz w:val="24"/>
        </w:rPr>
      </w:pPr>
      <w:bookmarkStart w:id="556" w:name="_Toc17651"/>
      <w:r>
        <w:rPr>
          <w:rFonts w:hint="eastAsia" w:ascii="仿宋" w:hAnsi="仿宋" w:eastAsia="仿宋" w:cs="仿宋"/>
          <w:sz w:val="24"/>
        </w:rPr>
        <w:t>七、保函的生效</w:t>
      </w:r>
      <w:bookmarkEnd w:id="556"/>
    </w:p>
    <w:p w14:paraId="39588BFC">
      <w:pPr>
        <w:ind w:firstLine="480" w:firstLineChars="200"/>
        <w:rPr>
          <w:rFonts w:ascii="仿宋" w:hAnsi="仿宋" w:eastAsia="仿宋" w:cs="仿宋"/>
          <w:sz w:val="24"/>
        </w:rPr>
      </w:pPr>
      <w:r>
        <w:rPr>
          <w:rFonts w:hint="eastAsia" w:ascii="仿宋" w:hAnsi="仿宋" w:eastAsia="仿宋" w:cs="仿宋"/>
          <w:sz w:val="24"/>
        </w:rPr>
        <w:t>本保函自我方加盖公章之日起生效。</w:t>
      </w:r>
    </w:p>
    <w:p w14:paraId="5C23B365">
      <w:pPr>
        <w:pStyle w:val="25"/>
        <w:rPr>
          <w:rFonts w:ascii="仿宋" w:hAnsi="仿宋" w:eastAsia="仿宋" w:cs="仿宋"/>
          <w:sz w:val="24"/>
        </w:rPr>
      </w:pPr>
    </w:p>
    <w:p w14:paraId="017A23B5">
      <w:pPr>
        <w:pStyle w:val="11"/>
        <w:rPr>
          <w:rFonts w:ascii="仿宋" w:hAnsi="仿宋" w:eastAsia="仿宋" w:cs="仿宋"/>
        </w:rPr>
      </w:pPr>
    </w:p>
    <w:p w14:paraId="6819116C">
      <w:pPr>
        <w:rPr>
          <w:rFonts w:ascii="仿宋" w:hAnsi="仿宋" w:eastAsia="仿宋" w:cs="仿宋"/>
          <w:sz w:val="24"/>
        </w:rPr>
      </w:pPr>
    </w:p>
    <w:p w14:paraId="2993C767">
      <w:pPr>
        <w:rPr>
          <w:rFonts w:ascii="仿宋" w:hAnsi="仿宋" w:eastAsia="仿宋" w:cs="仿宋"/>
          <w:sz w:val="24"/>
        </w:rPr>
      </w:pPr>
      <w:r>
        <w:rPr>
          <w:rFonts w:hint="eastAsia" w:ascii="仿宋" w:hAnsi="仿宋" w:eastAsia="仿宋" w:cs="仿宋"/>
          <w:sz w:val="24"/>
        </w:rPr>
        <w:t xml:space="preserve">                                      </w:t>
      </w:r>
    </w:p>
    <w:p w14:paraId="32E242AA">
      <w:pPr>
        <w:ind w:firstLine="5400" w:firstLineChars="2250"/>
        <w:rPr>
          <w:rFonts w:ascii="仿宋" w:hAnsi="仿宋" w:eastAsia="仿宋" w:cs="仿宋"/>
          <w:sz w:val="24"/>
        </w:rPr>
      </w:pPr>
      <w:r>
        <w:rPr>
          <w:rFonts w:hint="eastAsia" w:ascii="仿宋" w:hAnsi="仿宋" w:eastAsia="仿宋" w:cs="仿宋"/>
          <w:sz w:val="24"/>
        </w:rPr>
        <w:t>保证人：（公章）</w:t>
      </w:r>
    </w:p>
    <w:p w14:paraId="26812C58">
      <w:pPr>
        <w:rPr>
          <w:rFonts w:ascii="仿宋" w:hAnsi="仿宋" w:eastAsia="仿宋" w:cs="仿宋"/>
          <w:sz w:val="24"/>
        </w:rPr>
      </w:pPr>
      <w:r>
        <w:rPr>
          <w:rFonts w:hint="eastAsia" w:ascii="仿宋" w:hAnsi="仿宋" w:eastAsia="仿宋" w:cs="仿宋"/>
          <w:sz w:val="24"/>
        </w:rPr>
        <w:t xml:space="preserve">                   </w:t>
      </w:r>
    </w:p>
    <w:p w14:paraId="47C40A02">
      <w:pPr>
        <w:rPr>
          <w:rFonts w:ascii="仿宋" w:hAnsi="仿宋" w:eastAsia="仿宋" w:cs="仿宋"/>
          <w:sz w:val="24"/>
        </w:rPr>
      </w:pPr>
      <w:r>
        <w:rPr>
          <w:rFonts w:hint="eastAsia" w:ascii="仿宋" w:hAnsi="仿宋" w:eastAsia="仿宋" w:cs="仿宋"/>
          <w:sz w:val="24"/>
        </w:rPr>
        <w:t xml:space="preserve">                                                   年     月      日</w:t>
      </w:r>
    </w:p>
    <w:bookmarkEnd w:id="0"/>
    <w:bookmarkEnd w:id="1"/>
    <w:bookmarkEnd w:id="2"/>
    <w:bookmarkEnd w:id="3"/>
    <w:bookmarkEnd w:id="4"/>
    <w:bookmarkEnd w:id="5"/>
    <w:bookmarkEnd w:id="6"/>
    <w:bookmarkEnd w:id="7"/>
    <w:bookmarkEnd w:id="8"/>
    <w:p w14:paraId="5C90ABF2">
      <w:pPr>
        <w:widowControl/>
        <w:jc w:val="left"/>
        <w:rPr>
          <w:rFonts w:ascii="仿宋" w:hAnsi="仿宋" w:eastAsia="仿宋" w:cs="仿宋"/>
          <w:b/>
          <w:kern w:val="0"/>
          <w:sz w:val="44"/>
          <w:szCs w:val="44"/>
        </w:rPr>
      </w:pPr>
      <w:bookmarkStart w:id="557" w:name="_Toc24454"/>
      <w:bookmarkStart w:id="558" w:name="_Toc25831"/>
      <w:bookmarkStart w:id="559" w:name="_Toc13090"/>
      <w:bookmarkStart w:id="560" w:name="_Toc2603"/>
      <w:bookmarkStart w:id="561" w:name="_Toc8096"/>
      <w:bookmarkStart w:id="562" w:name="_Toc1405"/>
      <w:bookmarkStart w:id="563" w:name="_Toc512937850"/>
      <w:bookmarkStart w:id="564" w:name="_Toc10488"/>
      <w:bookmarkStart w:id="565" w:name="_Toc515647830"/>
      <w:bookmarkStart w:id="566" w:name="_Toc20439"/>
      <w:bookmarkStart w:id="567" w:name="_Toc31583"/>
      <w:bookmarkStart w:id="568" w:name="_Toc507399903"/>
      <w:bookmarkStart w:id="569" w:name="_Toc216582823"/>
      <w:r>
        <w:rPr>
          <w:rFonts w:hint="eastAsia" w:ascii="仿宋" w:hAnsi="仿宋" w:eastAsia="仿宋" w:cs="仿宋"/>
          <w:kern w:val="0"/>
          <w:sz w:val="44"/>
          <w:szCs w:val="44"/>
        </w:rPr>
        <w:br w:type="page"/>
      </w:r>
    </w:p>
    <w:p w14:paraId="62A3452A">
      <w:pPr>
        <w:pStyle w:val="3"/>
        <w:tabs>
          <w:tab w:val="left" w:pos="0"/>
        </w:tabs>
        <w:spacing w:before="0" w:after="0" w:line="240" w:lineRule="atLeast"/>
        <w:textAlignment w:val="baseline"/>
        <w:rPr>
          <w:rFonts w:ascii="仿宋" w:hAnsi="仿宋" w:eastAsia="仿宋" w:cs="仿宋"/>
          <w:sz w:val="44"/>
          <w:szCs w:val="44"/>
        </w:rPr>
      </w:pPr>
      <w:r>
        <w:rPr>
          <w:rFonts w:hint="eastAsia" w:ascii="仿宋" w:hAnsi="仿宋" w:eastAsia="仿宋" w:cs="仿宋"/>
          <w:kern w:val="0"/>
          <w:sz w:val="44"/>
          <w:szCs w:val="44"/>
        </w:rPr>
        <w:t>第二章</w:t>
      </w:r>
      <w:r>
        <w:rPr>
          <w:rFonts w:hint="eastAsia" w:ascii="仿宋" w:hAnsi="仿宋" w:eastAsia="仿宋" w:cs="仿宋"/>
          <w:sz w:val="44"/>
          <w:szCs w:val="44"/>
        </w:rPr>
        <w:t xml:space="preserve">  投标文件格式</w:t>
      </w:r>
      <w:bookmarkEnd w:id="557"/>
      <w:bookmarkEnd w:id="558"/>
      <w:bookmarkEnd w:id="559"/>
      <w:bookmarkEnd w:id="560"/>
      <w:bookmarkEnd w:id="561"/>
    </w:p>
    <w:p w14:paraId="4A23D44F">
      <w:pPr>
        <w:textAlignment w:val="baseline"/>
        <w:rPr>
          <w:rFonts w:ascii="仿宋" w:hAnsi="仿宋" w:eastAsia="仿宋" w:cs="仿宋"/>
          <w:sz w:val="20"/>
        </w:rPr>
      </w:pPr>
    </w:p>
    <w:p w14:paraId="2AE30C36">
      <w:pPr>
        <w:pStyle w:val="90"/>
        <w:rPr>
          <w:rFonts w:ascii="仿宋" w:hAnsi="仿宋" w:eastAsia="仿宋" w:cs="仿宋"/>
        </w:rPr>
      </w:pPr>
      <w:bookmarkStart w:id="570" w:name="_Toc15142"/>
      <w:bookmarkStart w:id="571" w:name="_Toc518923107"/>
    </w:p>
    <w:p w14:paraId="2D57AF37">
      <w:pPr>
        <w:pStyle w:val="4"/>
        <w:spacing w:before="0" w:line="240" w:lineRule="atLeast"/>
        <w:ind w:left="1080" w:leftChars="257" w:hanging="540"/>
        <w:textAlignment w:val="baseline"/>
        <w:rPr>
          <w:rFonts w:ascii="仿宋" w:hAnsi="仿宋" w:eastAsia="仿宋" w:cs="仿宋"/>
          <w:sz w:val="24"/>
        </w:rPr>
      </w:pPr>
      <w:bookmarkStart w:id="572" w:name="_Toc10047"/>
      <w:bookmarkStart w:id="573" w:name="_Toc11730"/>
      <w:bookmarkStart w:id="574" w:name="_Toc11201"/>
      <w:bookmarkStart w:id="575" w:name="_Toc13868"/>
      <w:bookmarkStart w:id="576" w:name="_Toc14363"/>
      <w:bookmarkStart w:id="577" w:name="_Toc24822"/>
      <w:bookmarkStart w:id="578" w:name="_Toc17486"/>
      <w:bookmarkStart w:id="579" w:name="_Toc13309"/>
      <w:bookmarkStart w:id="580" w:name="_Toc15037"/>
      <w:bookmarkStart w:id="581" w:name="_Toc7162"/>
      <w:bookmarkStart w:id="582" w:name="_Toc21312"/>
      <w:bookmarkStart w:id="583" w:name="_Toc15435"/>
      <w:bookmarkStart w:id="584" w:name="_Toc11722"/>
      <w:bookmarkStart w:id="585" w:name="_Toc8875"/>
      <w:r>
        <w:rPr>
          <w:rFonts w:hint="eastAsia" w:ascii="仿宋" w:hAnsi="仿宋" w:eastAsia="仿宋" w:cs="仿宋"/>
          <w:sz w:val="24"/>
        </w:rPr>
        <w:t>第一部分 开标一览表及资格证明文件</w:t>
      </w:r>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p>
    <w:p w14:paraId="02C1595D">
      <w:pPr>
        <w:spacing w:line="288" w:lineRule="auto"/>
        <w:textAlignment w:val="baseline"/>
        <w:rPr>
          <w:rFonts w:ascii="仿宋" w:hAnsi="仿宋" w:eastAsia="仿宋" w:cs="仿宋"/>
          <w:sz w:val="24"/>
        </w:rPr>
      </w:pPr>
    </w:p>
    <w:p w14:paraId="0C8CFEC0">
      <w:pPr>
        <w:spacing w:line="240" w:lineRule="atLeast"/>
        <w:ind w:left="708" w:hanging="708" w:hangingChars="295"/>
        <w:jc w:val="center"/>
        <w:textAlignment w:val="baseline"/>
        <w:rPr>
          <w:rFonts w:ascii="仿宋" w:hAnsi="仿宋" w:eastAsia="仿宋" w:cs="仿宋"/>
          <w:sz w:val="24"/>
        </w:rPr>
      </w:pPr>
    </w:p>
    <w:p w14:paraId="2CF70D29">
      <w:pPr>
        <w:pStyle w:val="16"/>
        <w:spacing w:line="288" w:lineRule="auto"/>
        <w:ind w:firstLine="480" w:firstLineChars="200"/>
        <w:jc w:val="left"/>
        <w:textAlignment w:val="baseline"/>
        <w:rPr>
          <w:rFonts w:ascii="仿宋" w:hAnsi="仿宋" w:eastAsia="仿宋" w:cs="仿宋"/>
          <w:sz w:val="24"/>
        </w:rPr>
      </w:pPr>
      <w:r>
        <w:rPr>
          <w:rFonts w:hint="eastAsia" w:ascii="仿宋" w:hAnsi="仿宋" w:eastAsia="仿宋" w:cs="仿宋"/>
          <w:sz w:val="24"/>
        </w:rPr>
        <w:t>1、开标一览表</w:t>
      </w:r>
    </w:p>
    <w:p w14:paraId="418481C9">
      <w:pPr>
        <w:pStyle w:val="16"/>
        <w:spacing w:line="288" w:lineRule="auto"/>
        <w:ind w:firstLine="480" w:firstLineChars="200"/>
        <w:jc w:val="left"/>
        <w:textAlignment w:val="baseline"/>
        <w:rPr>
          <w:rFonts w:ascii="仿宋" w:hAnsi="仿宋" w:eastAsia="仿宋" w:cs="仿宋"/>
          <w:sz w:val="24"/>
        </w:rPr>
      </w:pPr>
      <w:r>
        <w:rPr>
          <w:rFonts w:hint="eastAsia" w:ascii="仿宋" w:hAnsi="仿宋" w:eastAsia="仿宋" w:cs="仿宋"/>
          <w:sz w:val="24"/>
        </w:rPr>
        <w:t>2、具有独立承担民事责任的能力；（提供企业三证合一的法人营业执照或含二维码的营业执照）；</w:t>
      </w:r>
    </w:p>
    <w:p w14:paraId="05EFFDB4">
      <w:pPr>
        <w:pStyle w:val="16"/>
        <w:spacing w:line="288" w:lineRule="auto"/>
        <w:ind w:firstLine="480" w:firstLineChars="200"/>
        <w:jc w:val="left"/>
        <w:textAlignment w:val="baseline"/>
        <w:rPr>
          <w:rFonts w:ascii="仿宋" w:hAnsi="仿宋" w:eastAsia="仿宋" w:cs="仿宋"/>
          <w:sz w:val="24"/>
        </w:rPr>
      </w:pPr>
      <w:r>
        <w:rPr>
          <w:rFonts w:hint="eastAsia" w:ascii="仿宋" w:hAnsi="仿宋" w:eastAsia="仿宋" w:cs="仿宋"/>
          <w:sz w:val="24"/>
        </w:rPr>
        <w:t>3、具有良好的商业信誉和健全的财务会计制度；提供近两年内任意一年的财务审计报告（新成立的公司可提供近一个月的银行资信证明）；</w:t>
      </w:r>
    </w:p>
    <w:p w14:paraId="0F18EBB1">
      <w:pPr>
        <w:pStyle w:val="16"/>
        <w:spacing w:line="288" w:lineRule="auto"/>
        <w:ind w:firstLine="480" w:firstLineChars="200"/>
        <w:jc w:val="left"/>
        <w:textAlignment w:val="baseline"/>
        <w:rPr>
          <w:rFonts w:ascii="仿宋" w:hAnsi="仿宋" w:eastAsia="仿宋" w:cs="仿宋"/>
          <w:sz w:val="24"/>
        </w:rPr>
      </w:pPr>
      <w:r>
        <w:rPr>
          <w:rFonts w:hint="eastAsia" w:ascii="仿宋" w:hAnsi="仿宋" w:eastAsia="仿宋" w:cs="仿宋"/>
          <w:sz w:val="24"/>
        </w:rPr>
        <w:t>4、</w:t>
      </w:r>
      <w:r>
        <w:rPr>
          <w:rFonts w:hint="eastAsia" w:ascii="仿宋" w:hAnsi="仿宋" w:eastAsia="仿宋" w:cs="仿宋"/>
          <w:snapToGrid w:val="0"/>
          <w:sz w:val="24"/>
          <w:szCs w:val="24"/>
          <w:lang w:val="zh-CN"/>
        </w:rPr>
        <w:t>具有履行合同所必需的设备和专业技术能力的承诺书；</w:t>
      </w:r>
    </w:p>
    <w:p w14:paraId="2533C6B1">
      <w:pPr>
        <w:pStyle w:val="16"/>
        <w:spacing w:line="288" w:lineRule="auto"/>
        <w:ind w:firstLine="480" w:firstLineChars="200"/>
        <w:jc w:val="left"/>
        <w:textAlignment w:val="baseline"/>
        <w:rPr>
          <w:rFonts w:ascii="仿宋" w:hAnsi="仿宋" w:eastAsia="仿宋" w:cs="仿宋"/>
          <w:sz w:val="24"/>
        </w:rPr>
      </w:pPr>
      <w:r>
        <w:rPr>
          <w:rFonts w:hint="eastAsia" w:ascii="仿宋" w:hAnsi="仿宋" w:eastAsia="仿宋" w:cs="仿宋"/>
          <w:sz w:val="24"/>
        </w:rPr>
        <w:t>5、有依法缴纳税收和社会保障资金的良好记录；提供依法缴纳近三个月的税收证明和社保凭据（新成立公司可提供近一个月的，零申报需加盖税务局印章或投标截止日内无拖欠税收证明）；</w:t>
      </w:r>
    </w:p>
    <w:p w14:paraId="302D7D1F">
      <w:pPr>
        <w:spacing w:line="240" w:lineRule="atLeast"/>
        <w:ind w:firstLine="480" w:firstLineChars="200"/>
        <w:jc w:val="left"/>
        <w:rPr>
          <w:rFonts w:ascii="仿宋" w:hAnsi="仿宋" w:eastAsia="仿宋" w:cs="仿宋"/>
          <w:sz w:val="24"/>
        </w:rPr>
      </w:pPr>
      <w:r>
        <w:rPr>
          <w:rFonts w:hint="eastAsia" w:ascii="仿宋" w:hAnsi="仿宋" w:eastAsia="仿宋" w:cs="仿宋"/>
          <w:sz w:val="24"/>
        </w:rPr>
        <w:t>6、参加政府采购活动前三年内，在经营活动中没有重大违法记录的声明书；（格式自拟，需加盖单位公章）</w:t>
      </w:r>
    </w:p>
    <w:p w14:paraId="464903A0">
      <w:pPr>
        <w:pStyle w:val="16"/>
        <w:spacing w:line="288" w:lineRule="auto"/>
        <w:ind w:firstLine="480" w:firstLineChars="200"/>
        <w:jc w:val="left"/>
        <w:textAlignment w:val="baseline"/>
        <w:rPr>
          <w:rFonts w:ascii="仿宋" w:hAnsi="仿宋" w:eastAsia="仿宋" w:cs="仿宋"/>
          <w:sz w:val="24"/>
        </w:rPr>
      </w:pPr>
      <w:r>
        <w:rPr>
          <w:rFonts w:hint="eastAsia" w:ascii="仿宋" w:hAnsi="仿宋" w:eastAsia="仿宋" w:cs="仿宋"/>
          <w:sz w:val="24"/>
        </w:rPr>
        <w:t>7、根据《财政部关于在政府采购活动中查询及使用信用记录有关问题的通知》（财库﹝2016﹞125号）的要求，凡拟参加本次采购项目的投标人，如在“信用中国”网站被列入失信被执行人、重大税收违法失信主体(信用中国首页-点击信用服务-查询、网页打印)、中国政府采购网严重违法失信行为记录名单的（尚在处罚期内的），将拒绝其参加本次采购活动（由代理机构现场查询核实）；</w:t>
      </w:r>
    </w:p>
    <w:p w14:paraId="759C51CD">
      <w:pPr>
        <w:spacing w:line="240" w:lineRule="atLeast"/>
        <w:ind w:firstLine="480" w:firstLineChars="200"/>
        <w:jc w:val="left"/>
        <w:rPr>
          <w:rFonts w:ascii="仿宋" w:hAnsi="仿宋" w:eastAsia="仿宋" w:cs="仿宋"/>
          <w:sz w:val="24"/>
        </w:rPr>
      </w:pPr>
      <w:r>
        <w:rPr>
          <w:rFonts w:hint="eastAsia" w:ascii="仿宋" w:hAnsi="仿宋" w:eastAsia="仿宋" w:cs="仿宋"/>
          <w:sz w:val="24"/>
        </w:rPr>
        <w:t>8、投标人应为中小企业，提供有效的《中小企业声明函》。</w:t>
      </w:r>
    </w:p>
    <w:p w14:paraId="601118F8">
      <w:pPr>
        <w:rPr>
          <w:rFonts w:ascii="仿宋" w:hAnsi="仿宋" w:eastAsia="仿宋" w:cs="仿宋"/>
        </w:rPr>
      </w:pPr>
      <w:bookmarkStart w:id="586" w:name="_Toc9159"/>
      <w:bookmarkStart w:id="587" w:name="_Toc14603"/>
      <w:bookmarkStart w:id="588" w:name="_Toc32488"/>
      <w:bookmarkStart w:id="589" w:name="_Toc9428"/>
      <w:bookmarkStart w:id="590" w:name="_Toc29905"/>
      <w:bookmarkStart w:id="591" w:name="_Toc30524"/>
      <w:bookmarkStart w:id="592" w:name="_Toc24557"/>
      <w:bookmarkStart w:id="593" w:name="_Toc14899"/>
      <w:bookmarkStart w:id="594" w:name="_Toc19180"/>
      <w:bookmarkStart w:id="595" w:name="_Toc20950"/>
      <w:bookmarkStart w:id="596" w:name="_Toc12481"/>
      <w:bookmarkStart w:id="597" w:name="_Toc2776"/>
      <w:bookmarkStart w:id="598" w:name="_Toc18565"/>
      <w:bookmarkStart w:id="599" w:name="_Toc4959"/>
      <w:bookmarkStart w:id="600" w:name="_Toc16568"/>
      <w:bookmarkStart w:id="601" w:name="_Toc2495"/>
      <w:bookmarkStart w:id="602" w:name="_Toc515647804"/>
      <w:bookmarkStart w:id="603" w:name="_Toc14309"/>
      <w:r>
        <w:rPr>
          <w:rFonts w:hint="eastAsia" w:ascii="仿宋" w:hAnsi="仿宋" w:eastAsia="仿宋" w:cs="仿宋"/>
        </w:rPr>
        <w:br w:type="page"/>
      </w:r>
    </w:p>
    <w:p w14:paraId="7E336BC4">
      <w:pPr>
        <w:pStyle w:val="5"/>
        <w:widowControl/>
        <w:spacing w:before="0" w:after="0" w:line="288" w:lineRule="auto"/>
        <w:ind w:left="1079" w:leftChars="257" w:hanging="539"/>
        <w:jc w:val="center"/>
        <w:textAlignment w:val="baseline"/>
        <w:rPr>
          <w:rFonts w:ascii="仿宋" w:hAnsi="仿宋" w:eastAsia="仿宋" w:cs="仿宋"/>
          <w:u w:val="none"/>
        </w:rPr>
      </w:pPr>
      <w:r>
        <w:rPr>
          <w:rFonts w:hint="eastAsia" w:ascii="仿宋" w:hAnsi="仿宋" w:eastAsia="仿宋" w:cs="仿宋"/>
          <w:u w:val="none"/>
        </w:rPr>
        <w:t>1、开标一览表</w:t>
      </w:r>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p>
    <w:p w14:paraId="6A09D1A6">
      <w:pPr>
        <w:pStyle w:val="16"/>
        <w:tabs>
          <w:tab w:val="left" w:pos="5580"/>
        </w:tabs>
        <w:spacing w:line="288" w:lineRule="auto"/>
        <w:ind w:left="269" w:leftChars="128"/>
        <w:textAlignment w:val="baseline"/>
        <w:rPr>
          <w:rFonts w:ascii="仿宋" w:hAnsi="仿宋" w:eastAsia="仿宋" w:cs="仿宋"/>
          <w:sz w:val="24"/>
        </w:rPr>
      </w:pPr>
    </w:p>
    <w:p w14:paraId="0AE54ACF">
      <w:pPr>
        <w:pStyle w:val="16"/>
        <w:tabs>
          <w:tab w:val="left" w:pos="5580"/>
        </w:tabs>
        <w:spacing w:line="288" w:lineRule="auto"/>
        <w:ind w:left="269" w:leftChars="128"/>
        <w:textAlignment w:val="baseline"/>
        <w:rPr>
          <w:rFonts w:ascii="仿宋" w:hAnsi="仿宋" w:eastAsia="仿宋" w:cs="仿宋"/>
          <w:sz w:val="24"/>
          <w:szCs w:val="24"/>
        </w:rPr>
      </w:pPr>
    </w:p>
    <w:p w14:paraId="1F0E3B5C">
      <w:pPr>
        <w:pStyle w:val="25"/>
        <w:spacing w:line="288" w:lineRule="auto"/>
        <w:textAlignment w:val="baseline"/>
        <w:rPr>
          <w:rFonts w:ascii="仿宋" w:hAnsi="仿宋" w:eastAsia="仿宋" w:cs="仿宋"/>
          <w:sz w:val="24"/>
        </w:rPr>
      </w:pPr>
      <w:bookmarkStart w:id="604" w:name="_Hlt520356241"/>
      <w:bookmarkEnd w:id="604"/>
      <w:r>
        <w:rPr>
          <w:rFonts w:hint="eastAsia" w:ascii="仿宋" w:hAnsi="仿宋" w:eastAsia="仿宋" w:cs="仿宋"/>
          <w:sz w:val="24"/>
        </w:rPr>
        <w:t>项目名称：</w:t>
      </w:r>
    </w:p>
    <w:p w14:paraId="402EA352">
      <w:pPr>
        <w:pStyle w:val="25"/>
        <w:spacing w:line="288" w:lineRule="auto"/>
        <w:textAlignment w:val="baseline"/>
        <w:rPr>
          <w:rFonts w:ascii="仿宋" w:hAnsi="仿宋" w:eastAsia="仿宋" w:cs="仿宋"/>
          <w:sz w:val="24"/>
        </w:rPr>
      </w:pPr>
      <w:r>
        <w:rPr>
          <w:rFonts w:hint="eastAsia" w:ascii="仿宋" w:hAnsi="仿宋" w:eastAsia="仿宋" w:cs="仿宋"/>
          <w:sz w:val="24"/>
        </w:rPr>
        <w:t>项目编号：</w:t>
      </w:r>
    </w:p>
    <w:p w14:paraId="59E33DCB">
      <w:pPr>
        <w:pStyle w:val="25"/>
        <w:spacing w:line="288" w:lineRule="auto"/>
        <w:textAlignment w:val="baseline"/>
        <w:rPr>
          <w:rFonts w:ascii="仿宋" w:hAnsi="仿宋" w:eastAsia="仿宋" w:cs="仿宋"/>
          <w:sz w:val="24"/>
        </w:rPr>
      </w:pPr>
      <w:r>
        <w:rPr>
          <w:rFonts w:hint="eastAsia" w:ascii="仿宋" w:hAnsi="仿宋" w:eastAsia="仿宋" w:cs="仿宋"/>
          <w:sz w:val="24"/>
        </w:rPr>
        <w:t xml:space="preserve">标    段: </w:t>
      </w:r>
    </w:p>
    <w:p w14:paraId="38AA2573">
      <w:pPr>
        <w:pStyle w:val="25"/>
        <w:jc w:val="center"/>
        <w:textAlignment w:val="baseline"/>
        <w:rPr>
          <w:rFonts w:ascii="仿宋" w:hAnsi="仿宋" w:eastAsia="仿宋" w:cs="仿宋"/>
          <w:sz w:val="24"/>
        </w:rPr>
      </w:pPr>
      <w:r>
        <w:rPr>
          <w:rFonts w:hint="eastAsia" w:ascii="仿宋" w:hAnsi="仿宋" w:eastAsia="仿宋" w:cs="仿宋"/>
        </w:rPr>
        <w:t xml:space="preserve">                                                                   </w:t>
      </w:r>
      <w:r>
        <w:rPr>
          <w:rFonts w:hint="eastAsia" w:ascii="仿宋" w:hAnsi="仿宋" w:eastAsia="仿宋" w:cs="仿宋"/>
          <w:sz w:val="20"/>
          <w:szCs w:val="28"/>
        </w:rPr>
        <w:t xml:space="preserve"> 单位：人民币元</w:t>
      </w:r>
    </w:p>
    <w:p w14:paraId="22DBBB7C">
      <w:pPr>
        <w:pStyle w:val="25"/>
        <w:textAlignment w:val="baseline"/>
        <w:rPr>
          <w:rFonts w:ascii="仿宋" w:hAnsi="仿宋" w:eastAsia="仿宋" w:cs="仿宋"/>
        </w:rPr>
      </w:pPr>
    </w:p>
    <w:tbl>
      <w:tblPr>
        <w:tblStyle w:val="35"/>
        <w:tblpPr w:leftFromText="180" w:rightFromText="180" w:vertAnchor="text" w:horzAnchor="page" w:tblpX="1170" w:tblpY="82"/>
        <w:tblOverlap w:val="never"/>
        <w:tblW w:w="10423" w:type="dxa"/>
        <w:tblInd w:w="0" w:type="dxa"/>
        <w:tblLayout w:type="fixed"/>
        <w:tblCellMar>
          <w:top w:w="15" w:type="dxa"/>
          <w:left w:w="15" w:type="dxa"/>
          <w:bottom w:w="15" w:type="dxa"/>
          <w:right w:w="15" w:type="dxa"/>
        </w:tblCellMar>
      </w:tblPr>
      <w:tblGrid>
        <w:gridCol w:w="1791"/>
        <w:gridCol w:w="1774"/>
        <w:gridCol w:w="1520"/>
        <w:gridCol w:w="1536"/>
        <w:gridCol w:w="1512"/>
        <w:gridCol w:w="1145"/>
        <w:gridCol w:w="1145"/>
      </w:tblGrid>
      <w:tr w14:paraId="30B55B98">
        <w:tblPrEx>
          <w:tblCellMar>
            <w:top w:w="15" w:type="dxa"/>
            <w:left w:w="15" w:type="dxa"/>
            <w:bottom w:w="15" w:type="dxa"/>
            <w:right w:w="15" w:type="dxa"/>
          </w:tblCellMar>
        </w:tblPrEx>
        <w:trPr>
          <w:trHeight w:val="1364" w:hRule="atLeast"/>
        </w:trPr>
        <w:tc>
          <w:tcPr>
            <w:tcW w:w="1791" w:type="dxa"/>
            <w:tcBorders>
              <w:top w:val="single" w:color="auto" w:sz="4" w:space="0"/>
              <w:left w:val="single" w:color="auto" w:sz="4" w:space="0"/>
              <w:bottom w:val="single" w:color="auto" w:sz="4" w:space="0"/>
              <w:right w:val="single" w:color="auto" w:sz="4" w:space="0"/>
            </w:tcBorders>
            <w:vAlign w:val="center"/>
          </w:tcPr>
          <w:p w14:paraId="1DB607A3">
            <w:pPr>
              <w:tabs>
                <w:tab w:val="left" w:pos="5580"/>
              </w:tabs>
              <w:spacing w:line="240" w:lineRule="atLeast"/>
              <w:ind w:right="-199"/>
              <w:jc w:val="center"/>
              <w:rPr>
                <w:rFonts w:ascii="仿宋" w:hAnsi="仿宋" w:eastAsia="仿宋" w:cs="仿宋"/>
                <w:sz w:val="24"/>
                <w:highlight w:val="yellow"/>
              </w:rPr>
            </w:pPr>
            <w:r>
              <w:rPr>
                <w:rFonts w:hint="eastAsia" w:ascii="仿宋" w:hAnsi="仿宋" w:eastAsia="仿宋" w:cs="仿宋"/>
                <w:sz w:val="24"/>
              </w:rPr>
              <w:t>项目名称</w:t>
            </w:r>
          </w:p>
        </w:tc>
        <w:tc>
          <w:tcPr>
            <w:tcW w:w="1774" w:type="dxa"/>
            <w:tcBorders>
              <w:top w:val="single" w:color="auto" w:sz="4" w:space="0"/>
              <w:left w:val="single" w:color="auto" w:sz="4" w:space="0"/>
              <w:bottom w:val="single" w:color="auto" w:sz="4" w:space="0"/>
              <w:right w:val="single" w:color="auto" w:sz="4" w:space="0"/>
            </w:tcBorders>
            <w:vAlign w:val="center"/>
          </w:tcPr>
          <w:p w14:paraId="5254653D">
            <w:pPr>
              <w:tabs>
                <w:tab w:val="left" w:pos="5580"/>
              </w:tabs>
              <w:spacing w:line="240" w:lineRule="atLeast"/>
              <w:ind w:right="-199"/>
              <w:jc w:val="center"/>
              <w:rPr>
                <w:rFonts w:ascii="仿宋" w:hAnsi="仿宋" w:eastAsia="仿宋" w:cs="仿宋"/>
                <w:kern w:val="0"/>
                <w:sz w:val="24"/>
                <w:highlight w:val="yellow"/>
              </w:rPr>
            </w:pPr>
            <w:r>
              <w:rPr>
                <w:rFonts w:hint="eastAsia" w:ascii="仿宋" w:hAnsi="仿宋" w:eastAsia="仿宋" w:cs="仿宋"/>
                <w:sz w:val="24"/>
              </w:rPr>
              <w:t>投标报价(总价、元)</w:t>
            </w:r>
          </w:p>
        </w:tc>
        <w:tc>
          <w:tcPr>
            <w:tcW w:w="1520" w:type="dxa"/>
            <w:tcBorders>
              <w:top w:val="single" w:color="auto" w:sz="4" w:space="0"/>
              <w:left w:val="single" w:color="auto" w:sz="4" w:space="0"/>
              <w:bottom w:val="single" w:color="auto" w:sz="4" w:space="0"/>
              <w:right w:val="single" w:color="auto" w:sz="4" w:space="0"/>
            </w:tcBorders>
            <w:vAlign w:val="center"/>
          </w:tcPr>
          <w:p w14:paraId="1715353B">
            <w:pPr>
              <w:tabs>
                <w:tab w:val="left" w:pos="5580"/>
              </w:tabs>
              <w:jc w:val="center"/>
              <w:rPr>
                <w:rFonts w:ascii="仿宋" w:hAnsi="仿宋" w:eastAsia="仿宋" w:cs="仿宋"/>
                <w:sz w:val="24"/>
                <w:highlight w:val="yellow"/>
              </w:rPr>
            </w:pPr>
            <w:r>
              <w:rPr>
                <w:rFonts w:hint="eastAsia" w:ascii="仿宋" w:hAnsi="仿宋" w:eastAsia="仿宋" w:cs="仿宋"/>
                <w:sz w:val="24"/>
              </w:rPr>
              <w:t>投标保证金缴纳方式及金额</w:t>
            </w:r>
          </w:p>
        </w:tc>
        <w:tc>
          <w:tcPr>
            <w:tcW w:w="1536" w:type="dxa"/>
            <w:tcBorders>
              <w:top w:val="single" w:color="auto" w:sz="4" w:space="0"/>
              <w:left w:val="single" w:color="auto" w:sz="4" w:space="0"/>
              <w:bottom w:val="single" w:color="auto" w:sz="4" w:space="0"/>
              <w:right w:val="single" w:color="auto" w:sz="4" w:space="0"/>
            </w:tcBorders>
            <w:vAlign w:val="center"/>
          </w:tcPr>
          <w:p w14:paraId="339411EC">
            <w:pPr>
              <w:tabs>
                <w:tab w:val="left" w:pos="5580"/>
              </w:tabs>
              <w:spacing w:line="240" w:lineRule="atLeast"/>
              <w:jc w:val="center"/>
              <w:rPr>
                <w:rFonts w:ascii="仿宋" w:hAnsi="仿宋" w:eastAsia="仿宋" w:cs="仿宋"/>
                <w:kern w:val="0"/>
                <w:sz w:val="24"/>
                <w:highlight w:val="yellow"/>
              </w:rPr>
            </w:pPr>
            <w:r>
              <w:rPr>
                <w:rFonts w:hint="eastAsia" w:ascii="仿宋" w:hAnsi="仿宋" w:eastAsia="仿宋" w:cs="仿宋"/>
                <w:sz w:val="24"/>
              </w:rPr>
              <w:t>质保期</w:t>
            </w:r>
          </w:p>
        </w:tc>
        <w:tc>
          <w:tcPr>
            <w:tcW w:w="1512" w:type="dxa"/>
            <w:tcBorders>
              <w:top w:val="single" w:color="auto" w:sz="4" w:space="0"/>
              <w:left w:val="single" w:color="auto" w:sz="4" w:space="0"/>
              <w:bottom w:val="single" w:color="auto" w:sz="4" w:space="0"/>
              <w:right w:val="single" w:color="auto" w:sz="4" w:space="0"/>
            </w:tcBorders>
            <w:vAlign w:val="center"/>
          </w:tcPr>
          <w:p w14:paraId="38B64B73">
            <w:pPr>
              <w:tabs>
                <w:tab w:val="left" w:pos="5580"/>
              </w:tabs>
              <w:spacing w:line="240" w:lineRule="atLeast"/>
              <w:jc w:val="center"/>
              <w:rPr>
                <w:rFonts w:ascii="仿宋" w:hAnsi="仿宋" w:eastAsia="仿宋" w:cs="仿宋"/>
                <w:sz w:val="24"/>
                <w:highlight w:val="yellow"/>
              </w:rPr>
            </w:pPr>
            <w:r>
              <w:rPr>
                <w:rFonts w:hint="eastAsia" w:ascii="仿宋" w:hAnsi="仿宋" w:eastAsia="仿宋" w:cs="仿宋"/>
                <w:sz w:val="24"/>
              </w:rPr>
              <w:t>交货地点</w:t>
            </w:r>
          </w:p>
        </w:tc>
        <w:tc>
          <w:tcPr>
            <w:tcW w:w="1145" w:type="dxa"/>
            <w:tcBorders>
              <w:top w:val="single" w:color="auto" w:sz="4" w:space="0"/>
              <w:left w:val="single" w:color="auto" w:sz="4" w:space="0"/>
              <w:bottom w:val="single" w:color="auto" w:sz="4" w:space="0"/>
              <w:right w:val="single" w:color="auto" w:sz="4" w:space="0"/>
            </w:tcBorders>
            <w:vAlign w:val="center"/>
          </w:tcPr>
          <w:p w14:paraId="58312467">
            <w:pPr>
              <w:tabs>
                <w:tab w:val="left" w:pos="5580"/>
              </w:tabs>
              <w:spacing w:line="240" w:lineRule="atLeast"/>
              <w:jc w:val="center"/>
              <w:rPr>
                <w:rFonts w:ascii="仿宋" w:hAnsi="仿宋" w:eastAsia="仿宋" w:cs="仿宋"/>
                <w:sz w:val="24"/>
              </w:rPr>
            </w:pPr>
            <w:r>
              <w:rPr>
                <w:rFonts w:hint="eastAsia" w:ascii="仿宋" w:hAnsi="仿宋" w:eastAsia="仿宋" w:cs="仿宋"/>
                <w:sz w:val="24"/>
              </w:rPr>
              <w:t>交付期</w:t>
            </w:r>
          </w:p>
        </w:tc>
        <w:tc>
          <w:tcPr>
            <w:tcW w:w="1145" w:type="dxa"/>
            <w:tcBorders>
              <w:top w:val="single" w:color="auto" w:sz="4" w:space="0"/>
              <w:left w:val="single" w:color="auto" w:sz="4" w:space="0"/>
              <w:bottom w:val="single" w:color="auto" w:sz="4" w:space="0"/>
              <w:right w:val="single" w:color="auto" w:sz="4" w:space="0"/>
            </w:tcBorders>
            <w:vAlign w:val="center"/>
          </w:tcPr>
          <w:p w14:paraId="4809A689">
            <w:pPr>
              <w:tabs>
                <w:tab w:val="left" w:pos="5580"/>
              </w:tabs>
              <w:spacing w:line="240" w:lineRule="atLeast"/>
              <w:jc w:val="center"/>
              <w:rPr>
                <w:rFonts w:ascii="仿宋" w:hAnsi="仿宋" w:eastAsia="仿宋" w:cs="仿宋"/>
                <w:sz w:val="24"/>
                <w:highlight w:val="yellow"/>
              </w:rPr>
            </w:pPr>
            <w:r>
              <w:rPr>
                <w:rFonts w:hint="eastAsia" w:ascii="仿宋" w:hAnsi="仿宋" w:eastAsia="仿宋" w:cs="仿宋"/>
                <w:sz w:val="24"/>
              </w:rPr>
              <w:t>备注</w:t>
            </w:r>
          </w:p>
        </w:tc>
      </w:tr>
      <w:tr w14:paraId="0B683F0F">
        <w:tblPrEx>
          <w:tblCellMar>
            <w:top w:w="15" w:type="dxa"/>
            <w:left w:w="15" w:type="dxa"/>
            <w:bottom w:w="15" w:type="dxa"/>
            <w:right w:w="15" w:type="dxa"/>
          </w:tblCellMar>
        </w:tblPrEx>
        <w:trPr>
          <w:trHeight w:val="1441" w:hRule="atLeast"/>
        </w:trPr>
        <w:tc>
          <w:tcPr>
            <w:tcW w:w="1791" w:type="dxa"/>
            <w:tcBorders>
              <w:top w:val="single" w:color="auto" w:sz="4" w:space="0"/>
              <w:left w:val="single" w:color="auto" w:sz="4" w:space="0"/>
              <w:bottom w:val="single" w:color="auto" w:sz="4" w:space="0"/>
              <w:right w:val="single" w:color="auto" w:sz="4" w:space="0"/>
            </w:tcBorders>
            <w:vAlign w:val="center"/>
          </w:tcPr>
          <w:p w14:paraId="57F3D60E">
            <w:pPr>
              <w:tabs>
                <w:tab w:val="left" w:pos="5580"/>
              </w:tabs>
              <w:spacing w:line="240" w:lineRule="atLeast"/>
              <w:jc w:val="center"/>
              <w:rPr>
                <w:rFonts w:ascii="仿宋" w:hAnsi="仿宋" w:eastAsia="仿宋" w:cs="仿宋"/>
                <w:sz w:val="18"/>
                <w:highlight w:val="yellow"/>
              </w:rPr>
            </w:pPr>
          </w:p>
        </w:tc>
        <w:tc>
          <w:tcPr>
            <w:tcW w:w="1774" w:type="dxa"/>
            <w:tcBorders>
              <w:top w:val="single" w:color="auto" w:sz="4" w:space="0"/>
              <w:left w:val="single" w:color="auto" w:sz="4" w:space="0"/>
              <w:bottom w:val="single" w:color="auto" w:sz="4" w:space="0"/>
              <w:right w:val="single" w:color="auto" w:sz="4" w:space="0"/>
            </w:tcBorders>
            <w:vAlign w:val="center"/>
          </w:tcPr>
          <w:p w14:paraId="7EE3EB70">
            <w:pPr>
              <w:tabs>
                <w:tab w:val="left" w:pos="5580"/>
              </w:tabs>
              <w:spacing w:line="240" w:lineRule="atLeast"/>
              <w:rPr>
                <w:rFonts w:ascii="仿宋" w:hAnsi="仿宋" w:eastAsia="仿宋" w:cs="仿宋"/>
              </w:rPr>
            </w:pPr>
            <w:r>
              <w:rPr>
                <w:rFonts w:hint="eastAsia" w:ascii="仿宋" w:hAnsi="仿宋" w:eastAsia="仿宋" w:cs="仿宋"/>
              </w:rPr>
              <w:t>大写：</w:t>
            </w:r>
          </w:p>
          <w:p w14:paraId="68B526C2">
            <w:pPr>
              <w:pStyle w:val="25"/>
              <w:jc w:val="both"/>
              <w:rPr>
                <w:rFonts w:ascii="仿宋" w:hAnsi="仿宋" w:eastAsia="仿宋" w:cs="仿宋"/>
              </w:rPr>
            </w:pPr>
          </w:p>
          <w:p w14:paraId="01DA212C">
            <w:pPr>
              <w:tabs>
                <w:tab w:val="left" w:pos="5580"/>
              </w:tabs>
              <w:spacing w:line="240" w:lineRule="atLeast"/>
              <w:rPr>
                <w:rFonts w:ascii="仿宋" w:hAnsi="仿宋" w:eastAsia="仿宋" w:cs="仿宋"/>
                <w:kern w:val="0"/>
                <w:sz w:val="24"/>
                <w:highlight w:val="yellow"/>
              </w:rPr>
            </w:pPr>
            <w:r>
              <w:rPr>
                <w:rFonts w:hint="eastAsia" w:ascii="仿宋" w:hAnsi="仿宋" w:eastAsia="仿宋" w:cs="仿宋"/>
              </w:rPr>
              <w:t>小写：</w:t>
            </w:r>
          </w:p>
        </w:tc>
        <w:tc>
          <w:tcPr>
            <w:tcW w:w="1520" w:type="dxa"/>
            <w:tcBorders>
              <w:top w:val="single" w:color="auto" w:sz="4" w:space="0"/>
              <w:left w:val="single" w:color="auto" w:sz="4" w:space="0"/>
              <w:bottom w:val="single" w:color="auto" w:sz="4" w:space="0"/>
              <w:right w:val="single" w:color="auto" w:sz="4" w:space="0"/>
            </w:tcBorders>
            <w:vAlign w:val="center"/>
          </w:tcPr>
          <w:p w14:paraId="2494E290">
            <w:pPr>
              <w:tabs>
                <w:tab w:val="left" w:pos="5580"/>
              </w:tabs>
              <w:spacing w:line="240" w:lineRule="atLeast"/>
              <w:ind w:left="1080" w:leftChars="257" w:hanging="540"/>
              <w:jc w:val="center"/>
              <w:rPr>
                <w:rFonts w:ascii="仿宋" w:hAnsi="仿宋" w:eastAsia="仿宋" w:cs="仿宋"/>
                <w:kern w:val="0"/>
                <w:sz w:val="24"/>
                <w:highlight w:val="yellow"/>
              </w:rPr>
            </w:pPr>
          </w:p>
        </w:tc>
        <w:tc>
          <w:tcPr>
            <w:tcW w:w="1536" w:type="dxa"/>
            <w:tcBorders>
              <w:top w:val="single" w:color="auto" w:sz="4" w:space="0"/>
              <w:left w:val="single" w:color="auto" w:sz="4" w:space="0"/>
              <w:bottom w:val="single" w:color="auto" w:sz="4" w:space="0"/>
              <w:right w:val="single" w:color="auto" w:sz="4" w:space="0"/>
            </w:tcBorders>
            <w:vAlign w:val="center"/>
          </w:tcPr>
          <w:p w14:paraId="784445BA">
            <w:pPr>
              <w:tabs>
                <w:tab w:val="left" w:pos="5580"/>
              </w:tabs>
              <w:spacing w:line="240" w:lineRule="atLeast"/>
              <w:jc w:val="center"/>
              <w:rPr>
                <w:rFonts w:ascii="仿宋" w:hAnsi="仿宋" w:eastAsia="仿宋" w:cs="仿宋"/>
                <w:kern w:val="0"/>
                <w:sz w:val="24"/>
                <w:highlight w:val="yellow"/>
              </w:rPr>
            </w:pPr>
          </w:p>
        </w:tc>
        <w:tc>
          <w:tcPr>
            <w:tcW w:w="1512" w:type="dxa"/>
            <w:tcBorders>
              <w:top w:val="single" w:color="auto" w:sz="4" w:space="0"/>
              <w:left w:val="single" w:color="auto" w:sz="4" w:space="0"/>
              <w:bottom w:val="single" w:color="auto" w:sz="4" w:space="0"/>
              <w:right w:val="single" w:color="auto" w:sz="4" w:space="0"/>
            </w:tcBorders>
            <w:vAlign w:val="center"/>
          </w:tcPr>
          <w:p w14:paraId="13C48DBD">
            <w:pPr>
              <w:tabs>
                <w:tab w:val="left" w:pos="5580"/>
              </w:tabs>
              <w:spacing w:line="240" w:lineRule="atLeast"/>
              <w:jc w:val="center"/>
              <w:rPr>
                <w:rFonts w:ascii="仿宋" w:hAnsi="仿宋" w:eastAsia="仿宋" w:cs="仿宋"/>
                <w:kern w:val="0"/>
                <w:sz w:val="24"/>
                <w:highlight w:val="yellow"/>
              </w:rPr>
            </w:pPr>
          </w:p>
        </w:tc>
        <w:tc>
          <w:tcPr>
            <w:tcW w:w="1145" w:type="dxa"/>
            <w:tcBorders>
              <w:top w:val="single" w:color="auto" w:sz="4" w:space="0"/>
              <w:left w:val="single" w:color="auto" w:sz="4" w:space="0"/>
              <w:bottom w:val="single" w:color="auto" w:sz="4" w:space="0"/>
              <w:right w:val="single" w:color="auto" w:sz="4" w:space="0"/>
            </w:tcBorders>
            <w:vAlign w:val="center"/>
          </w:tcPr>
          <w:p w14:paraId="4F131428">
            <w:pPr>
              <w:tabs>
                <w:tab w:val="left" w:pos="5580"/>
              </w:tabs>
              <w:spacing w:line="240" w:lineRule="atLeast"/>
              <w:jc w:val="center"/>
              <w:rPr>
                <w:rFonts w:ascii="仿宋" w:hAnsi="仿宋" w:eastAsia="仿宋" w:cs="仿宋"/>
                <w:kern w:val="0"/>
                <w:sz w:val="24"/>
                <w:highlight w:val="yellow"/>
              </w:rPr>
            </w:pPr>
          </w:p>
        </w:tc>
        <w:tc>
          <w:tcPr>
            <w:tcW w:w="1145" w:type="dxa"/>
            <w:tcBorders>
              <w:top w:val="single" w:color="auto" w:sz="4" w:space="0"/>
              <w:left w:val="single" w:color="auto" w:sz="4" w:space="0"/>
              <w:bottom w:val="single" w:color="auto" w:sz="4" w:space="0"/>
              <w:right w:val="single" w:color="auto" w:sz="4" w:space="0"/>
            </w:tcBorders>
            <w:vAlign w:val="center"/>
          </w:tcPr>
          <w:p w14:paraId="66BCD5C1">
            <w:pPr>
              <w:tabs>
                <w:tab w:val="left" w:pos="5580"/>
              </w:tabs>
              <w:spacing w:line="240" w:lineRule="atLeast"/>
              <w:jc w:val="center"/>
              <w:rPr>
                <w:rFonts w:ascii="仿宋" w:hAnsi="仿宋" w:eastAsia="仿宋" w:cs="仿宋"/>
                <w:kern w:val="0"/>
                <w:sz w:val="24"/>
                <w:highlight w:val="yellow"/>
              </w:rPr>
            </w:pPr>
          </w:p>
        </w:tc>
      </w:tr>
    </w:tbl>
    <w:p w14:paraId="0205448B">
      <w:pPr>
        <w:pStyle w:val="25"/>
        <w:jc w:val="both"/>
        <w:textAlignment w:val="baseline"/>
        <w:rPr>
          <w:rFonts w:ascii="仿宋" w:hAnsi="仿宋" w:eastAsia="仿宋" w:cs="仿宋"/>
          <w:sz w:val="24"/>
        </w:rPr>
      </w:pPr>
    </w:p>
    <w:p w14:paraId="1CA7E013">
      <w:pPr>
        <w:pStyle w:val="25"/>
        <w:jc w:val="both"/>
        <w:textAlignment w:val="baseline"/>
        <w:rPr>
          <w:rFonts w:ascii="仿宋" w:hAnsi="仿宋" w:eastAsia="仿宋" w:cs="仿宋"/>
          <w:sz w:val="24"/>
        </w:rPr>
      </w:pPr>
      <w:r>
        <w:rPr>
          <w:rFonts w:hint="eastAsia" w:ascii="仿宋" w:hAnsi="仿宋" w:eastAsia="仿宋" w:cs="仿宋"/>
          <w:sz w:val="24"/>
        </w:rPr>
        <w:t>注：</w:t>
      </w:r>
    </w:p>
    <w:p w14:paraId="3DCB8C10">
      <w:pPr>
        <w:pStyle w:val="25"/>
        <w:spacing w:line="360" w:lineRule="auto"/>
        <w:ind w:firstLine="480" w:firstLineChars="200"/>
        <w:textAlignment w:val="baseline"/>
        <w:rPr>
          <w:rFonts w:ascii="仿宋" w:hAnsi="仿宋" w:eastAsia="仿宋" w:cs="仿宋"/>
          <w:sz w:val="24"/>
        </w:rPr>
      </w:pPr>
      <w:r>
        <w:rPr>
          <w:rFonts w:hint="eastAsia" w:ascii="仿宋" w:hAnsi="仿宋" w:eastAsia="仿宋" w:cs="仿宋"/>
          <w:sz w:val="24"/>
        </w:rPr>
        <w:t xml:space="preserve">1. “开标一览表”中的报价包含招标文件中规定的所有采购货物且数量一致，报价应是最终用户验收合格后的总价，包括货物运输、保险、代理、安装调试、培训、税费及提供服务产生的一切费用等与本项目有关的一切费用。 </w:t>
      </w:r>
    </w:p>
    <w:p w14:paraId="279DA040">
      <w:pPr>
        <w:spacing w:line="360" w:lineRule="auto"/>
        <w:ind w:firstLine="470" w:firstLineChars="196"/>
        <w:jc w:val="left"/>
        <w:textAlignment w:val="baseline"/>
        <w:rPr>
          <w:rFonts w:ascii="仿宋" w:hAnsi="仿宋" w:eastAsia="仿宋" w:cs="仿宋"/>
          <w:sz w:val="24"/>
        </w:rPr>
      </w:pPr>
      <w:bookmarkStart w:id="605" w:name="_Toc13226"/>
      <w:bookmarkStart w:id="606" w:name="_Toc31653"/>
      <w:bookmarkStart w:id="607" w:name="_Toc2616"/>
      <w:bookmarkStart w:id="608" w:name="_Toc677"/>
      <w:bookmarkStart w:id="609" w:name="_Toc32608"/>
      <w:bookmarkStart w:id="610" w:name="_Toc4333"/>
      <w:r>
        <w:rPr>
          <w:rFonts w:hint="eastAsia" w:ascii="仿宋" w:hAnsi="仿宋" w:eastAsia="仿宋" w:cs="仿宋"/>
          <w:sz w:val="24"/>
        </w:rPr>
        <w:t>2.</w:t>
      </w:r>
      <w:bookmarkEnd w:id="605"/>
      <w:bookmarkEnd w:id="606"/>
      <w:bookmarkEnd w:id="607"/>
      <w:bookmarkEnd w:id="608"/>
      <w:bookmarkEnd w:id="609"/>
      <w:bookmarkEnd w:id="610"/>
      <w:bookmarkStart w:id="611" w:name="_Toc24640"/>
      <w:bookmarkStart w:id="612" w:name="_Toc7822"/>
      <w:bookmarkStart w:id="613" w:name="_Toc16295"/>
      <w:bookmarkStart w:id="614" w:name="_Toc4215"/>
      <w:bookmarkStart w:id="615" w:name="_Toc18302"/>
      <w:bookmarkStart w:id="616" w:name="_Toc24080"/>
      <w:r>
        <w:rPr>
          <w:rFonts w:hint="eastAsia" w:ascii="仿宋" w:hAnsi="仿宋" w:eastAsia="仿宋" w:cs="仿宋"/>
          <w:sz w:val="24"/>
        </w:rPr>
        <w:t>此表中，每包的投标总价应和投标分项报价表的总价相一致。</w:t>
      </w:r>
    </w:p>
    <w:p w14:paraId="588E73C3">
      <w:pPr>
        <w:spacing w:line="360" w:lineRule="auto"/>
        <w:ind w:firstLine="470" w:firstLineChars="196"/>
        <w:jc w:val="left"/>
        <w:textAlignment w:val="baseline"/>
        <w:rPr>
          <w:rFonts w:ascii="仿宋" w:hAnsi="仿宋" w:eastAsia="仿宋" w:cs="仿宋"/>
          <w:sz w:val="24"/>
        </w:rPr>
      </w:pPr>
    </w:p>
    <w:p w14:paraId="70661E55">
      <w:pPr>
        <w:spacing w:line="360" w:lineRule="auto"/>
        <w:ind w:firstLine="470" w:firstLineChars="196"/>
        <w:jc w:val="left"/>
        <w:textAlignment w:val="baseline"/>
        <w:rPr>
          <w:rFonts w:ascii="仿宋" w:hAnsi="仿宋" w:eastAsia="仿宋" w:cs="仿宋"/>
          <w:sz w:val="24"/>
        </w:rPr>
      </w:pPr>
    </w:p>
    <w:p w14:paraId="459581FB">
      <w:pPr>
        <w:spacing w:line="360" w:lineRule="auto"/>
        <w:ind w:firstLine="470" w:firstLineChars="196"/>
        <w:jc w:val="left"/>
        <w:textAlignment w:val="baseline"/>
        <w:rPr>
          <w:rFonts w:ascii="仿宋" w:hAnsi="仿宋" w:eastAsia="仿宋" w:cs="仿宋"/>
          <w:sz w:val="24"/>
        </w:rPr>
      </w:pPr>
      <w:r>
        <w:rPr>
          <w:rFonts w:hint="eastAsia" w:ascii="仿宋" w:hAnsi="仿宋" w:eastAsia="仿宋" w:cs="仿宋"/>
          <w:sz w:val="24"/>
        </w:rPr>
        <w:t>投标人名称：XXXX（单位公章）</w:t>
      </w:r>
      <w:bookmarkEnd w:id="611"/>
      <w:bookmarkEnd w:id="612"/>
      <w:bookmarkEnd w:id="613"/>
      <w:bookmarkEnd w:id="614"/>
      <w:bookmarkEnd w:id="615"/>
      <w:bookmarkEnd w:id="616"/>
    </w:p>
    <w:p w14:paraId="00597505">
      <w:pPr>
        <w:spacing w:line="360" w:lineRule="auto"/>
        <w:ind w:firstLine="470" w:firstLineChars="196"/>
        <w:jc w:val="left"/>
        <w:textAlignment w:val="baseline"/>
        <w:rPr>
          <w:rFonts w:ascii="仿宋" w:hAnsi="仿宋" w:eastAsia="仿宋" w:cs="仿宋"/>
          <w:sz w:val="24"/>
        </w:rPr>
      </w:pPr>
      <w:bookmarkStart w:id="617" w:name="_Toc18382"/>
      <w:bookmarkStart w:id="618" w:name="_Toc16819"/>
      <w:bookmarkStart w:id="619" w:name="_Toc21779"/>
      <w:bookmarkStart w:id="620" w:name="_Toc15175"/>
      <w:bookmarkStart w:id="621" w:name="_Toc5153"/>
      <w:bookmarkStart w:id="622" w:name="_Toc18063"/>
      <w:r>
        <w:rPr>
          <w:rFonts w:hint="eastAsia" w:ascii="仿宋" w:hAnsi="仿宋" w:eastAsia="仿宋" w:cs="仿宋"/>
          <w:sz w:val="24"/>
        </w:rPr>
        <w:t>法定代表人或其委托代理人（签字或签章）：XXXX</w:t>
      </w:r>
      <w:bookmarkEnd w:id="617"/>
      <w:bookmarkEnd w:id="618"/>
      <w:bookmarkEnd w:id="619"/>
      <w:bookmarkEnd w:id="620"/>
      <w:bookmarkEnd w:id="621"/>
      <w:bookmarkEnd w:id="622"/>
    </w:p>
    <w:p w14:paraId="7ADF46DE">
      <w:pPr>
        <w:widowControl/>
        <w:jc w:val="left"/>
        <w:rPr>
          <w:rFonts w:ascii="仿宋" w:hAnsi="仿宋" w:eastAsia="仿宋" w:cs="仿宋"/>
          <w:b/>
          <w:bCs/>
          <w:sz w:val="24"/>
        </w:rPr>
      </w:pPr>
      <w:bookmarkStart w:id="623" w:name="_Toc10990"/>
      <w:bookmarkStart w:id="624" w:name="_Toc19712"/>
      <w:bookmarkStart w:id="625" w:name="_Toc7329"/>
      <w:bookmarkStart w:id="626" w:name="_Toc11556"/>
      <w:bookmarkStart w:id="627" w:name="_Toc29022"/>
      <w:bookmarkStart w:id="628" w:name="_Toc15919"/>
      <w:bookmarkStart w:id="629" w:name="_Toc6247"/>
      <w:bookmarkStart w:id="630" w:name="_Toc21047"/>
      <w:bookmarkStart w:id="631" w:name="_Toc21576"/>
      <w:bookmarkStart w:id="632" w:name="_Toc23863"/>
      <w:bookmarkStart w:id="633" w:name="_Toc7945"/>
      <w:bookmarkStart w:id="634" w:name="_Toc1610"/>
      <w:bookmarkStart w:id="635" w:name="_Toc19756"/>
      <w:bookmarkStart w:id="636" w:name="_Toc21308"/>
    </w:p>
    <w:p w14:paraId="7E005838">
      <w:pPr>
        <w:widowControl/>
        <w:jc w:val="left"/>
        <w:rPr>
          <w:rFonts w:ascii="仿宋" w:hAnsi="仿宋" w:eastAsia="仿宋" w:cs="仿宋"/>
          <w:b/>
          <w:bCs/>
          <w:sz w:val="24"/>
        </w:rPr>
      </w:pPr>
    </w:p>
    <w:p w14:paraId="6E343CF6">
      <w:pPr>
        <w:widowControl/>
        <w:jc w:val="left"/>
        <w:rPr>
          <w:rFonts w:ascii="仿宋" w:hAnsi="仿宋" w:eastAsia="仿宋" w:cs="仿宋"/>
          <w:b/>
          <w:bCs/>
          <w:sz w:val="24"/>
        </w:rPr>
      </w:pPr>
    </w:p>
    <w:p w14:paraId="5BCFBC9E">
      <w:pPr>
        <w:widowControl/>
        <w:jc w:val="left"/>
        <w:rPr>
          <w:rFonts w:ascii="仿宋" w:hAnsi="仿宋" w:eastAsia="仿宋" w:cs="仿宋"/>
          <w:b/>
          <w:bCs/>
          <w:sz w:val="24"/>
        </w:rPr>
      </w:pPr>
    </w:p>
    <w:p w14:paraId="4FB2722A">
      <w:pPr>
        <w:rPr>
          <w:rFonts w:ascii="仿宋" w:hAnsi="仿宋" w:eastAsia="仿宋" w:cs="仿宋"/>
          <w:b/>
          <w:bCs/>
          <w:sz w:val="24"/>
        </w:rPr>
      </w:pPr>
      <w:r>
        <w:rPr>
          <w:rFonts w:hint="eastAsia" w:ascii="仿宋" w:hAnsi="仿宋" w:eastAsia="仿宋" w:cs="仿宋"/>
          <w:b/>
          <w:bCs/>
          <w:sz w:val="24"/>
        </w:rPr>
        <w:br w:type="page"/>
      </w:r>
    </w:p>
    <w:p w14:paraId="71CFC6AE">
      <w:pPr>
        <w:widowControl/>
        <w:jc w:val="left"/>
        <w:rPr>
          <w:rFonts w:ascii="仿宋" w:hAnsi="仿宋" w:eastAsia="仿宋" w:cs="仿宋"/>
          <w:b/>
          <w:bCs/>
          <w:sz w:val="24"/>
        </w:rPr>
      </w:pPr>
      <w:r>
        <w:rPr>
          <w:rFonts w:hint="eastAsia" w:ascii="仿宋" w:hAnsi="仿宋" w:eastAsia="仿宋" w:cs="仿宋"/>
          <w:b/>
          <w:bCs/>
          <w:sz w:val="24"/>
        </w:rPr>
        <w:t>2、具有独立承担民事责任的能力；（提供企业三证合一的法人营业执照或含二维码的营业执照）</w:t>
      </w:r>
    </w:p>
    <w:p w14:paraId="022E927D">
      <w:pPr>
        <w:pStyle w:val="16"/>
        <w:tabs>
          <w:tab w:val="left" w:pos="5580"/>
        </w:tabs>
        <w:spacing w:line="288" w:lineRule="auto"/>
        <w:textAlignment w:val="baseline"/>
        <w:rPr>
          <w:rFonts w:ascii="仿宋" w:hAnsi="仿宋" w:eastAsia="仿宋" w:cs="仿宋"/>
          <w:b/>
          <w:sz w:val="24"/>
        </w:rPr>
      </w:pPr>
    </w:p>
    <w:p w14:paraId="0F0D9122">
      <w:pPr>
        <w:pStyle w:val="16"/>
        <w:tabs>
          <w:tab w:val="left" w:pos="5580"/>
        </w:tabs>
        <w:spacing w:line="240" w:lineRule="atLeast"/>
        <w:ind w:left="1080" w:leftChars="257" w:hanging="540"/>
        <w:rPr>
          <w:rFonts w:ascii="仿宋" w:hAnsi="仿宋" w:eastAsia="仿宋" w:cs="仿宋"/>
          <w:sz w:val="24"/>
        </w:rPr>
      </w:pPr>
      <w:r>
        <w:rPr>
          <w:rFonts w:hint="eastAsia" w:ascii="仿宋" w:hAnsi="仿宋" w:eastAsia="仿宋" w:cs="仿宋"/>
          <w:sz w:val="24"/>
        </w:rPr>
        <w:t>说明：1.提供有效的营业执照等证明文件复印件，复印件上应加盖本单位章。</w:t>
      </w:r>
    </w:p>
    <w:p w14:paraId="3EC71552">
      <w:pPr>
        <w:pStyle w:val="16"/>
        <w:tabs>
          <w:tab w:val="left" w:pos="5580"/>
        </w:tabs>
        <w:spacing w:line="240" w:lineRule="atLeast"/>
        <w:ind w:left="1080" w:leftChars="257" w:hanging="540"/>
        <w:rPr>
          <w:rFonts w:ascii="仿宋" w:hAnsi="仿宋" w:eastAsia="仿宋" w:cs="仿宋"/>
          <w:sz w:val="24"/>
        </w:rPr>
      </w:pPr>
      <w:r>
        <w:rPr>
          <w:rFonts w:hint="eastAsia" w:ascii="仿宋" w:hAnsi="仿宋" w:eastAsia="仿宋" w:cs="仿宋"/>
          <w:sz w:val="24"/>
        </w:rPr>
        <w:t xml:space="preserve">      2. 投标人为自然人的，应提供身份证明的复印件。</w:t>
      </w:r>
    </w:p>
    <w:p w14:paraId="6B309AF4">
      <w:pPr>
        <w:pStyle w:val="16"/>
        <w:tabs>
          <w:tab w:val="left" w:pos="5580"/>
        </w:tabs>
        <w:spacing w:line="240" w:lineRule="atLeast"/>
        <w:ind w:left="1080" w:leftChars="257" w:hanging="540"/>
        <w:rPr>
          <w:rFonts w:ascii="仿宋" w:hAnsi="仿宋" w:eastAsia="仿宋" w:cs="仿宋"/>
          <w:sz w:val="24"/>
        </w:rPr>
      </w:pPr>
      <w:r>
        <w:rPr>
          <w:rFonts w:hint="eastAsia" w:ascii="仿宋" w:hAnsi="仿宋" w:eastAsia="仿宋" w:cs="仿宋"/>
          <w:sz w:val="24"/>
        </w:rPr>
        <w:t xml:space="preserve">    </w:t>
      </w:r>
    </w:p>
    <w:p w14:paraId="4E7D012F">
      <w:pPr>
        <w:pStyle w:val="16"/>
        <w:tabs>
          <w:tab w:val="left" w:pos="5580"/>
        </w:tabs>
        <w:spacing w:line="240" w:lineRule="atLeast"/>
        <w:ind w:left="1080" w:leftChars="257" w:hanging="540"/>
        <w:rPr>
          <w:rFonts w:ascii="仿宋" w:hAnsi="仿宋" w:eastAsia="仿宋" w:cs="仿宋"/>
          <w:sz w:val="24"/>
        </w:rPr>
      </w:pPr>
    </w:p>
    <w:p w14:paraId="69939D91">
      <w:pPr>
        <w:spacing w:line="360" w:lineRule="auto"/>
        <w:jc w:val="left"/>
        <w:textAlignment w:val="baseline"/>
        <w:rPr>
          <w:rFonts w:ascii="仿宋" w:hAnsi="仿宋" w:eastAsia="仿宋" w:cs="仿宋"/>
          <w:b/>
          <w:bCs/>
          <w:sz w:val="24"/>
        </w:rPr>
      </w:pPr>
      <w:bookmarkStart w:id="637" w:name="_Toc3498"/>
      <w:bookmarkStart w:id="638" w:name="_Toc26563"/>
      <w:bookmarkStart w:id="639" w:name="_Toc13066"/>
      <w:bookmarkStart w:id="640" w:name="_Toc7999"/>
      <w:bookmarkStart w:id="641" w:name="_Toc25159"/>
      <w:bookmarkStart w:id="642" w:name="_Toc8196"/>
      <w:bookmarkStart w:id="643" w:name="_Toc26259"/>
      <w:bookmarkStart w:id="644" w:name="_Toc14172"/>
      <w:bookmarkStart w:id="645" w:name="_Toc23004_WPSOffice_Level2"/>
      <w:bookmarkStart w:id="646" w:name="_Toc32588"/>
      <w:bookmarkStart w:id="647" w:name="_Toc1578"/>
      <w:bookmarkStart w:id="648" w:name="_Toc21673"/>
      <w:bookmarkStart w:id="649" w:name="_Toc12767"/>
      <w:bookmarkStart w:id="650" w:name="_Toc15096"/>
      <w:bookmarkStart w:id="651" w:name="_Toc3865"/>
      <w:bookmarkStart w:id="652" w:name="_Toc29158"/>
      <w:bookmarkStart w:id="653" w:name="_Toc31591"/>
      <w:r>
        <w:rPr>
          <w:rFonts w:hint="eastAsia" w:ascii="仿宋" w:hAnsi="仿宋" w:eastAsia="仿宋" w:cs="仿宋"/>
          <w:b/>
          <w:bCs/>
          <w:sz w:val="24"/>
        </w:rPr>
        <w:t>3</w:t>
      </w:r>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Start w:id="654" w:name="_Toc19958"/>
      <w:bookmarkStart w:id="655" w:name="_Toc29966"/>
      <w:bookmarkStart w:id="656" w:name="_Toc5928"/>
      <w:bookmarkStart w:id="657" w:name="_Toc28642"/>
      <w:r>
        <w:rPr>
          <w:rFonts w:hint="eastAsia" w:ascii="仿宋" w:hAnsi="仿宋" w:eastAsia="仿宋" w:cs="仿宋"/>
          <w:b/>
          <w:bCs/>
          <w:sz w:val="24"/>
        </w:rPr>
        <w:t>、具有良好的商业信誉和健全的财务会计制度；提供近两年内任意一年的财务审计报告（新成立的公司可提供近一个月的银行资信证明）；</w:t>
      </w:r>
    </w:p>
    <w:p w14:paraId="1016F6F6">
      <w:pPr>
        <w:widowControl/>
        <w:jc w:val="center"/>
        <w:rPr>
          <w:rFonts w:ascii="仿宋" w:hAnsi="仿宋" w:eastAsia="仿宋" w:cs="仿宋"/>
          <w:b/>
          <w:kern w:val="0"/>
          <w:sz w:val="24"/>
          <w:szCs w:val="20"/>
        </w:rPr>
      </w:pPr>
    </w:p>
    <w:p w14:paraId="149A8CF5">
      <w:pPr>
        <w:spacing w:before="1" w:line="360" w:lineRule="auto"/>
        <w:jc w:val="center"/>
        <w:rPr>
          <w:rFonts w:ascii="仿宋" w:hAnsi="仿宋" w:eastAsia="仿宋" w:cs="仿宋"/>
          <w:b/>
          <w:bCs/>
          <w:spacing w:val="-5"/>
          <w:sz w:val="24"/>
          <w:lang w:val="zh-CN"/>
        </w:rPr>
      </w:pPr>
      <w:r>
        <w:rPr>
          <w:rFonts w:hint="eastAsia" w:ascii="仿宋" w:hAnsi="仿宋" w:eastAsia="仿宋" w:cs="仿宋"/>
          <w:b/>
          <w:bCs/>
          <w:snapToGrid w:val="0"/>
          <w:color w:val="000000"/>
          <w:spacing w:val="-5"/>
          <w:kern w:val="0"/>
          <w:sz w:val="24"/>
        </w:rPr>
        <w:t>4</w:t>
      </w:r>
      <w:r>
        <w:rPr>
          <w:rFonts w:hint="eastAsia" w:ascii="仿宋" w:hAnsi="仿宋" w:eastAsia="仿宋" w:cs="仿宋"/>
          <w:b/>
          <w:bCs/>
          <w:snapToGrid w:val="0"/>
          <w:color w:val="000000"/>
          <w:spacing w:val="-5"/>
          <w:kern w:val="0"/>
          <w:sz w:val="24"/>
          <w:lang w:val="zh-CN"/>
        </w:rPr>
        <w:t>、</w:t>
      </w:r>
      <w:r>
        <w:rPr>
          <w:rFonts w:hint="eastAsia" w:ascii="仿宋" w:hAnsi="仿宋" w:eastAsia="仿宋" w:cs="仿宋"/>
          <w:b/>
          <w:bCs/>
          <w:spacing w:val="-5"/>
          <w:sz w:val="24"/>
        </w:rPr>
        <w:t>具有履行合同所必需的设备和专业技术能力的承诺书；</w:t>
      </w:r>
    </w:p>
    <w:p w14:paraId="24F4254F">
      <w:pPr>
        <w:spacing w:before="185" w:line="360" w:lineRule="auto"/>
        <w:ind w:right="80"/>
        <w:rPr>
          <w:rFonts w:ascii="仿宋" w:hAnsi="仿宋" w:eastAsia="仿宋" w:cs="仿宋"/>
          <w:spacing w:val="9"/>
          <w:sz w:val="22"/>
          <w:szCs w:val="22"/>
        </w:rPr>
      </w:pPr>
      <w:r>
        <w:rPr>
          <w:rFonts w:hint="eastAsia" w:ascii="仿宋" w:hAnsi="仿宋" w:eastAsia="仿宋" w:cs="仿宋"/>
          <w:sz w:val="22"/>
          <w:szCs w:val="22"/>
        </w:rPr>
        <w:t>致：</w:t>
      </w:r>
      <w:r>
        <w:rPr>
          <w:rFonts w:hint="eastAsia" w:ascii="仿宋" w:hAnsi="仿宋" w:eastAsia="仿宋" w:cs="仿宋"/>
          <w:sz w:val="22"/>
          <w:szCs w:val="22"/>
          <w:u w:val="single"/>
        </w:rPr>
        <w:t>采购人</w:t>
      </w:r>
    </w:p>
    <w:p w14:paraId="349A6613">
      <w:pPr>
        <w:spacing w:before="185" w:line="360" w:lineRule="auto"/>
        <w:ind w:left="9" w:right="80" w:firstLine="480"/>
        <w:rPr>
          <w:rFonts w:ascii="仿宋" w:hAnsi="仿宋" w:eastAsia="仿宋" w:cs="仿宋"/>
          <w:sz w:val="22"/>
          <w:szCs w:val="22"/>
        </w:rPr>
      </w:pPr>
      <w:r>
        <w:rPr>
          <w:rFonts w:hint="eastAsia" w:ascii="仿宋" w:hAnsi="仿宋" w:eastAsia="仿宋" w:cs="仿宋"/>
          <w:spacing w:val="9"/>
          <w:sz w:val="22"/>
          <w:szCs w:val="22"/>
        </w:rPr>
        <w:t>我公司自愿参加由贵单位</w:t>
      </w:r>
      <w:r>
        <w:rPr>
          <w:rFonts w:hint="eastAsia" w:ascii="仿宋" w:hAnsi="仿宋" w:eastAsia="仿宋" w:cs="仿宋"/>
          <w:sz w:val="22"/>
          <w:szCs w:val="22"/>
          <w:u w:val="single"/>
        </w:rPr>
        <w:t xml:space="preserve">     （项目名称）     </w:t>
      </w:r>
      <w:r>
        <w:rPr>
          <w:rFonts w:hint="eastAsia" w:ascii="仿宋" w:hAnsi="仿宋" w:eastAsia="仿宋" w:cs="仿宋"/>
          <w:spacing w:val="8"/>
          <w:sz w:val="22"/>
          <w:szCs w:val="22"/>
        </w:rPr>
        <w:t>采购活动，在</w:t>
      </w:r>
      <w:r>
        <w:rPr>
          <w:rFonts w:hint="eastAsia" w:ascii="仿宋" w:hAnsi="仿宋" w:eastAsia="仿宋" w:cs="仿宋"/>
          <w:spacing w:val="-2"/>
          <w:sz w:val="22"/>
          <w:szCs w:val="22"/>
        </w:rPr>
        <w:t>此郑重承诺：</w:t>
      </w:r>
    </w:p>
    <w:p w14:paraId="4E78F8AE">
      <w:pPr>
        <w:spacing w:before="36" w:line="360" w:lineRule="auto"/>
        <w:ind w:left="11" w:firstLine="479"/>
        <w:rPr>
          <w:rFonts w:ascii="仿宋" w:hAnsi="仿宋" w:eastAsia="仿宋" w:cs="仿宋"/>
          <w:sz w:val="22"/>
          <w:szCs w:val="22"/>
        </w:rPr>
      </w:pPr>
      <w:r>
        <w:rPr>
          <w:rFonts w:hint="eastAsia" w:ascii="仿宋" w:hAnsi="仿宋" w:eastAsia="仿宋" w:cs="仿宋"/>
          <w:spacing w:val="8"/>
          <w:sz w:val="22"/>
          <w:szCs w:val="22"/>
        </w:rPr>
        <w:t>我公司完全理解本项目采购的技术要求、商务条款及其他内容，决定参与该项目的</w:t>
      </w:r>
      <w:r>
        <w:rPr>
          <w:rFonts w:hint="eastAsia" w:ascii="仿宋" w:hAnsi="仿宋" w:eastAsia="仿宋" w:cs="仿宋"/>
          <w:spacing w:val="9"/>
          <w:sz w:val="22"/>
          <w:szCs w:val="22"/>
        </w:rPr>
        <w:t>投标活动。并承诺，如成交我公司将提供优质服务</w:t>
      </w:r>
      <w:r>
        <w:rPr>
          <w:rFonts w:hint="eastAsia" w:ascii="仿宋" w:hAnsi="仿宋" w:eastAsia="仿宋" w:cs="仿宋"/>
          <w:spacing w:val="8"/>
          <w:sz w:val="22"/>
          <w:szCs w:val="22"/>
        </w:rPr>
        <w:t>保证本合同履行。</w:t>
      </w:r>
    </w:p>
    <w:p w14:paraId="787E4318">
      <w:pPr>
        <w:spacing w:before="36" w:line="360" w:lineRule="auto"/>
        <w:ind w:left="10" w:right="8" w:firstLine="479"/>
        <w:rPr>
          <w:rFonts w:ascii="仿宋" w:hAnsi="仿宋" w:eastAsia="仿宋" w:cs="仿宋"/>
          <w:spacing w:val="5"/>
          <w:sz w:val="22"/>
          <w:szCs w:val="22"/>
        </w:rPr>
      </w:pPr>
      <w:r>
        <w:rPr>
          <w:rFonts w:hint="eastAsia" w:ascii="仿宋" w:hAnsi="仿宋" w:eastAsia="仿宋" w:cs="仿宋"/>
          <w:spacing w:val="8"/>
          <w:sz w:val="22"/>
          <w:szCs w:val="22"/>
        </w:rPr>
        <w:t>本公司对以上承诺的真实性负责。如有虚假，我公司同意按我方合同违约处理，并</w:t>
      </w:r>
      <w:r>
        <w:rPr>
          <w:rFonts w:hint="eastAsia" w:ascii="仿宋" w:hAnsi="仿宋" w:eastAsia="仿宋" w:cs="仿宋"/>
          <w:spacing w:val="12"/>
          <w:sz w:val="22"/>
          <w:szCs w:val="22"/>
        </w:rPr>
        <w:t xml:space="preserve"> </w:t>
      </w:r>
      <w:r>
        <w:rPr>
          <w:rFonts w:hint="eastAsia" w:ascii="仿宋" w:hAnsi="仿宋" w:eastAsia="仿宋" w:cs="仿宋"/>
          <w:spacing w:val="5"/>
          <w:sz w:val="22"/>
          <w:szCs w:val="22"/>
        </w:rPr>
        <w:t>依法承担相应的法律责任。</w:t>
      </w:r>
    </w:p>
    <w:p w14:paraId="50F68F2F">
      <w:pPr>
        <w:spacing w:before="36" w:line="360" w:lineRule="auto"/>
        <w:ind w:left="10" w:right="8" w:firstLine="479"/>
        <w:rPr>
          <w:rFonts w:ascii="仿宋" w:hAnsi="仿宋" w:eastAsia="仿宋" w:cs="仿宋"/>
          <w:spacing w:val="5"/>
          <w:sz w:val="22"/>
          <w:szCs w:val="22"/>
        </w:rPr>
      </w:pPr>
    </w:p>
    <w:p w14:paraId="0D48BAF0">
      <w:pPr>
        <w:spacing w:line="360" w:lineRule="auto"/>
        <w:rPr>
          <w:rFonts w:ascii="仿宋" w:hAnsi="仿宋" w:eastAsia="仿宋" w:cs="仿宋"/>
          <w:sz w:val="22"/>
          <w:szCs w:val="22"/>
        </w:rPr>
      </w:pPr>
      <w:r>
        <w:rPr>
          <w:rFonts w:hint="eastAsia" w:ascii="仿宋" w:hAnsi="仿宋" w:eastAsia="仿宋" w:cs="仿宋"/>
          <w:sz w:val="22"/>
          <w:szCs w:val="22"/>
        </w:rPr>
        <w:t>投标人名称（单位盖公章）</w:t>
      </w:r>
      <w:r>
        <w:rPr>
          <w:rFonts w:hint="eastAsia" w:ascii="仿宋" w:hAnsi="仿宋" w:eastAsia="仿宋" w:cs="仿宋"/>
          <w:sz w:val="22"/>
          <w:szCs w:val="22"/>
          <w:u w:val="single"/>
        </w:rPr>
        <w:t xml:space="preserve">:                       </w:t>
      </w:r>
      <w:r>
        <w:rPr>
          <w:rFonts w:hint="eastAsia" w:ascii="仿宋" w:hAnsi="仿宋" w:eastAsia="仿宋" w:cs="仿宋"/>
          <w:sz w:val="22"/>
          <w:szCs w:val="22"/>
        </w:rPr>
        <w:t xml:space="preserve">                 </w:t>
      </w:r>
    </w:p>
    <w:p w14:paraId="6EC38258">
      <w:pPr>
        <w:spacing w:line="360" w:lineRule="auto"/>
        <w:rPr>
          <w:rFonts w:ascii="仿宋" w:hAnsi="仿宋" w:eastAsia="仿宋" w:cs="仿宋"/>
          <w:sz w:val="22"/>
          <w:szCs w:val="22"/>
        </w:rPr>
      </w:pPr>
      <w:r>
        <w:rPr>
          <w:rFonts w:hint="eastAsia" w:ascii="仿宋" w:hAnsi="仿宋" w:eastAsia="仿宋" w:cs="仿宋"/>
          <w:sz w:val="22"/>
          <w:szCs w:val="22"/>
        </w:rPr>
        <w:t>法定代表人或其委托代理人（签字或盖章）:</w:t>
      </w:r>
      <w:r>
        <w:rPr>
          <w:rFonts w:hint="eastAsia" w:ascii="仿宋" w:hAnsi="仿宋" w:eastAsia="仿宋" w:cs="仿宋"/>
          <w:sz w:val="22"/>
          <w:szCs w:val="22"/>
          <w:u w:val="single"/>
        </w:rPr>
        <w:t xml:space="preserve"> </w:t>
      </w:r>
      <w:r>
        <w:rPr>
          <w:rFonts w:hint="eastAsia" w:ascii="仿宋" w:hAnsi="仿宋" w:eastAsia="仿宋" w:cs="仿宋"/>
          <w:sz w:val="22"/>
          <w:szCs w:val="22"/>
          <w:u w:val="single"/>
        </w:rPr>
        <w:tab/>
      </w:r>
      <w:r>
        <w:rPr>
          <w:rFonts w:hint="eastAsia" w:ascii="仿宋" w:hAnsi="仿宋" w:eastAsia="仿宋" w:cs="仿宋"/>
          <w:sz w:val="22"/>
          <w:szCs w:val="22"/>
          <w:u w:val="single"/>
        </w:rPr>
        <w:t xml:space="preserve">                 </w:t>
      </w:r>
    </w:p>
    <w:p w14:paraId="60FE4857">
      <w:pPr>
        <w:spacing w:line="360" w:lineRule="auto"/>
        <w:rPr>
          <w:rFonts w:ascii="仿宋" w:hAnsi="仿宋" w:eastAsia="仿宋" w:cs="仿宋"/>
          <w:sz w:val="22"/>
          <w:szCs w:val="22"/>
        </w:rPr>
      </w:pPr>
      <w:r>
        <w:rPr>
          <w:rFonts w:hint="eastAsia" w:ascii="仿宋" w:hAnsi="仿宋" w:eastAsia="仿宋" w:cs="仿宋"/>
          <w:sz w:val="22"/>
          <w:szCs w:val="22"/>
        </w:rPr>
        <w:t>日期：  年  月  日</w:t>
      </w:r>
    </w:p>
    <w:p w14:paraId="0141673A">
      <w:pPr>
        <w:pStyle w:val="11"/>
      </w:pPr>
    </w:p>
    <w:p w14:paraId="18D700EA">
      <w:pPr>
        <w:spacing w:before="1" w:line="360" w:lineRule="auto"/>
        <w:rPr>
          <w:rFonts w:ascii="仿宋" w:hAnsi="仿宋" w:eastAsia="仿宋" w:cs="仿宋"/>
          <w:b/>
          <w:bCs/>
          <w:snapToGrid w:val="0"/>
          <w:color w:val="000000"/>
          <w:spacing w:val="-5"/>
          <w:kern w:val="0"/>
          <w:sz w:val="24"/>
          <w:lang w:val="zh-CN"/>
        </w:rPr>
      </w:pPr>
      <w:r>
        <w:rPr>
          <w:rFonts w:hint="eastAsia" w:ascii="仿宋" w:hAnsi="仿宋" w:eastAsia="仿宋" w:cs="仿宋"/>
          <w:b/>
          <w:bCs/>
          <w:snapToGrid w:val="0"/>
          <w:color w:val="000000"/>
          <w:spacing w:val="-5"/>
          <w:kern w:val="0"/>
          <w:sz w:val="24"/>
        </w:rPr>
        <w:t>5</w:t>
      </w:r>
      <w:r>
        <w:rPr>
          <w:rFonts w:hint="eastAsia" w:ascii="仿宋" w:hAnsi="仿宋" w:eastAsia="仿宋" w:cs="仿宋"/>
          <w:b/>
          <w:bCs/>
          <w:snapToGrid w:val="0"/>
          <w:color w:val="000000"/>
          <w:spacing w:val="-5"/>
          <w:kern w:val="0"/>
          <w:sz w:val="24"/>
          <w:lang w:val="zh-CN"/>
        </w:rPr>
        <w:t>、有依法缴纳税收和社会保障资金的良好记录；提供依法缴纳近三个月的税收证明和社保凭据（新成立公司可提供近一个月的，零申报需加盖税务局印章或投标截止日内无拖欠税收证明）；</w:t>
      </w:r>
    </w:p>
    <w:p w14:paraId="72B1C6E7">
      <w:pPr>
        <w:widowControl/>
        <w:jc w:val="left"/>
        <w:rPr>
          <w:rFonts w:ascii="仿宋" w:hAnsi="仿宋" w:eastAsia="仿宋" w:cs="仿宋"/>
          <w:sz w:val="24"/>
        </w:rPr>
      </w:pPr>
      <w:r>
        <w:rPr>
          <w:rFonts w:hint="eastAsia" w:ascii="仿宋" w:hAnsi="仿宋" w:eastAsia="仿宋" w:cs="仿宋"/>
          <w:sz w:val="24"/>
        </w:rPr>
        <w:t>注：1、“提供税务部门出具的完税证明”：①若投标人某月税收为零申报，须提供当月加盖税务局公章的无欠税证明或“国家税务总局电子税务局12366.chinatax.gov.cn/bsfw/onlinetaxation/main）”的申报结果查询截图 ②完税证明中“税种”非养老保险、医疗保险、失业保险、工伤保险和生育保险。请各投标人注意！</w:t>
      </w:r>
    </w:p>
    <w:p w14:paraId="47C9C9FA">
      <w:pPr>
        <w:pStyle w:val="11"/>
      </w:pPr>
    </w:p>
    <w:p w14:paraId="27AC4ABB">
      <w:pPr>
        <w:spacing w:before="1" w:line="360" w:lineRule="auto"/>
        <w:rPr>
          <w:rFonts w:ascii="仿宋" w:hAnsi="仿宋" w:eastAsia="仿宋" w:cs="仿宋"/>
          <w:b/>
          <w:bCs/>
          <w:snapToGrid w:val="0"/>
          <w:sz w:val="24"/>
        </w:rPr>
      </w:pPr>
      <w:r>
        <w:rPr>
          <w:rFonts w:hint="eastAsia" w:ascii="仿宋" w:hAnsi="仿宋" w:eastAsia="仿宋" w:cs="仿宋"/>
          <w:b/>
          <w:bCs/>
          <w:snapToGrid w:val="0"/>
          <w:sz w:val="24"/>
        </w:rPr>
        <w:t>6、参加政府采购活动前三年内，在经营活动中没有重大违法记录的声明书；（格式自拟，需加盖单位公章）</w:t>
      </w:r>
    </w:p>
    <w:p w14:paraId="5A455941">
      <w:pPr>
        <w:pStyle w:val="11"/>
      </w:pPr>
    </w:p>
    <w:p w14:paraId="3DC7EFBB">
      <w:pPr>
        <w:spacing w:before="1" w:line="360" w:lineRule="auto"/>
        <w:rPr>
          <w:rFonts w:ascii="仿宋" w:hAnsi="仿宋" w:eastAsia="仿宋" w:cs="仿宋"/>
          <w:b/>
          <w:bCs/>
          <w:snapToGrid w:val="0"/>
          <w:sz w:val="24"/>
        </w:rPr>
      </w:pPr>
      <w:r>
        <w:rPr>
          <w:rFonts w:hint="eastAsia" w:ascii="仿宋" w:hAnsi="仿宋" w:eastAsia="仿宋" w:cs="仿宋"/>
          <w:b/>
          <w:bCs/>
          <w:snapToGrid w:val="0"/>
          <w:sz w:val="24"/>
        </w:rPr>
        <w:t>7、根据《财政部关于在政府采购活动中查询及使用信用记录有关问题的通知》（财库﹝2016﹞125号）的要求，凡拟参加本次采购项目的投标人，如在“信用中国”网站被列入失信被执行人、重大税收违法失信主体(信用中国首页-点击信用服务-查询、网页打印)、中国政府采购网严重违法失信行为记录名单的（尚在处罚期内的），将拒绝其参加本次采购活动（由代理机构现场查询核实）；</w:t>
      </w:r>
    </w:p>
    <w:p w14:paraId="7D66461F">
      <w:pPr>
        <w:widowControl/>
        <w:jc w:val="left"/>
        <w:rPr>
          <w:rFonts w:ascii="仿宋" w:hAnsi="仿宋" w:eastAsia="仿宋" w:cs="仿宋"/>
          <w:b/>
          <w:kern w:val="0"/>
          <w:sz w:val="24"/>
          <w:szCs w:val="20"/>
        </w:rPr>
      </w:pPr>
    </w:p>
    <w:p w14:paraId="3B5FA2F5">
      <w:pPr>
        <w:widowControl/>
        <w:jc w:val="left"/>
        <w:rPr>
          <w:rFonts w:ascii="仿宋" w:hAnsi="仿宋" w:eastAsia="仿宋" w:cs="仿宋"/>
          <w:b/>
          <w:kern w:val="0"/>
          <w:sz w:val="24"/>
          <w:szCs w:val="20"/>
        </w:rPr>
      </w:pPr>
      <w:r>
        <w:rPr>
          <w:rFonts w:hint="eastAsia" w:ascii="仿宋" w:hAnsi="仿宋" w:eastAsia="仿宋" w:cs="仿宋"/>
          <w:b/>
          <w:kern w:val="0"/>
          <w:sz w:val="24"/>
          <w:szCs w:val="20"/>
        </w:rPr>
        <w:t>8、投标人应为中小企业，提供有效的《中小企业声明函》。</w:t>
      </w:r>
    </w:p>
    <w:p w14:paraId="073721D4">
      <w:pPr>
        <w:widowControl/>
        <w:jc w:val="left"/>
        <w:rPr>
          <w:rFonts w:ascii="仿宋" w:hAnsi="仿宋" w:eastAsia="仿宋" w:cs="仿宋"/>
          <w:b/>
          <w:kern w:val="0"/>
          <w:sz w:val="24"/>
          <w:szCs w:val="20"/>
        </w:rPr>
      </w:pPr>
      <w:r>
        <w:rPr>
          <w:rFonts w:hint="eastAsia" w:ascii="仿宋" w:hAnsi="仿宋" w:eastAsia="仿宋" w:cs="仿宋"/>
          <w:b/>
          <w:kern w:val="0"/>
          <w:sz w:val="24"/>
          <w:szCs w:val="20"/>
        </w:rPr>
        <w:t>注：按照第二部分商务及技术文件6-1、《中小企业声明函》填写。</w:t>
      </w:r>
    </w:p>
    <w:p w14:paraId="6E6E3387">
      <w:pPr>
        <w:widowControl/>
        <w:jc w:val="left"/>
        <w:rPr>
          <w:rFonts w:ascii="仿宋" w:hAnsi="仿宋" w:eastAsia="仿宋" w:cs="仿宋"/>
          <w:b/>
          <w:kern w:val="0"/>
          <w:sz w:val="24"/>
          <w:szCs w:val="20"/>
        </w:rPr>
      </w:pPr>
    </w:p>
    <w:p w14:paraId="19628C77">
      <w:pPr>
        <w:widowControl/>
        <w:jc w:val="left"/>
        <w:rPr>
          <w:rFonts w:ascii="仿宋" w:hAnsi="仿宋" w:eastAsia="仿宋" w:cs="仿宋"/>
          <w:b/>
          <w:kern w:val="0"/>
          <w:sz w:val="24"/>
          <w:szCs w:val="20"/>
        </w:rPr>
      </w:pPr>
    </w:p>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54"/>
    <w:bookmarkEnd w:id="655"/>
    <w:bookmarkEnd w:id="656"/>
    <w:bookmarkEnd w:id="657"/>
    <w:p w14:paraId="3B13DF74">
      <w:pPr>
        <w:rPr>
          <w:rFonts w:ascii="仿宋" w:hAnsi="仿宋" w:eastAsia="仿宋" w:cs="仿宋"/>
          <w:b/>
          <w:kern w:val="0"/>
          <w:sz w:val="24"/>
        </w:rPr>
      </w:pPr>
      <w:bookmarkStart w:id="658" w:name="_Toc14404"/>
      <w:bookmarkStart w:id="659" w:name="_Toc6294"/>
      <w:bookmarkStart w:id="660" w:name="_Toc2243"/>
      <w:bookmarkStart w:id="661" w:name="_Toc2184"/>
      <w:r>
        <w:rPr>
          <w:rFonts w:hint="eastAsia" w:ascii="仿宋" w:hAnsi="仿宋" w:eastAsia="仿宋" w:cs="仿宋"/>
          <w:b/>
          <w:kern w:val="0"/>
          <w:sz w:val="24"/>
        </w:rPr>
        <w:br w:type="page"/>
      </w:r>
    </w:p>
    <w:p w14:paraId="0EAFBFFC">
      <w:pPr>
        <w:pStyle w:val="16"/>
        <w:tabs>
          <w:tab w:val="left" w:pos="5580"/>
        </w:tabs>
        <w:snapToGrid w:val="0"/>
        <w:spacing w:line="288" w:lineRule="auto"/>
        <w:jc w:val="center"/>
        <w:textAlignment w:val="baseline"/>
        <w:outlineLvl w:val="1"/>
        <w:rPr>
          <w:rFonts w:ascii="仿宋" w:hAnsi="仿宋" w:eastAsia="仿宋" w:cs="仿宋"/>
          <w:sz w:val="24"/>
          <w:szCs w:val="24"/>
          <w:highlight w:val="yellow"/>
        </w:rPr>
      </w:pPr>
      <w:r>
        <w:rPr>
          <w:rFonts w:hint="eastAsia" w:ascii="仿宋" w:hAnsi="仿宋" w:eastAsia="仿宋" w:cs="仿宋"/>
          <w:b/>
          <w:kern w:val="0"/>
          <w:sz w:val="24"/>
        </w:rPr>
        <w:t>第二部分 商务及技术文件</w:t>
      </w:r>
      <w:bookmarkEnd w:id="658"/>
      <w:bookmarkEnd w:id="659"/>
      <w:bookmarkEnd w:id="660"/>
      <w:bookmarkEnd w:id="661"/>
    </w:p>
    <w:p w14:paraId="60C3BF52">
      <w:pPr>
        <w:pStyle w:val="16"/>
        <w:snapToGrid w:val="0"/>
        <w:spacing w:line="360" w:lineRule="auto"/>
        <w:jc w:val="left"/>
        <w:textAlignment w:val="baseline"/>
        <w:rPr>
          <w:rFonts w:ascii="仿宋" w:hAnsi="仿宋" w:eastAsia="仿宋" w:cs="仿宋"/>
          <w:sz w:val="24"/>
          <w:szCs w:val="24"/>
        </w:rPr>
      </w:pPr>
      <w:bookmarkStart w:id="662" w:name="_Toc3618"/>
      <w:bookmarkStart w:id="663" w:name="_Toc30384"/>
      <w:bookmarkStart w:id="664" w:name="_Toc17635"/>
      <w:bookmarkStart w:id="665" w:name="_Toc25733"/>
      <w:bookmarkStart w:id="666" w:name="_Toc21159"/>
      <w:bookmarkStart w:id="667" w:name="_Toc18920"/>
      <w:bookmarkStart w:id="668" w:name="_Toc14062"/>
      <w:bookmarkStart w:id="669" w:name="_Toc25213"/>
      <w:bookmarkStart w:id="670" w:name="_Toc24743"/>
      <w:bookmarkStart w:id="671" w:name="_Toc28670"/>
      <w:bookmarkStart w:id="672" w:name="_Toc31410"/>
      <w:bookmarkStart w:id="673" w:name="_Toc31638"/>
      <w:r>
        <w:rPr>
          <w:rFonts w:hint="eastAsia" w:ascii="仿宋" w:hAnsi="仿宋" w:eastAsia="仿宋" w:cs="仿宋"/>
          <w:sz w:val="24"/>
          <w:szCs w:val="24"/>
        </w:rPr>
        <w:t>1、投标书</w:t>
      </w:r>
    </w:p>
    <w:p w14:paraId="63AF83F9">
      <w:pPr>
        <w:pStyle w:val="16"/>
        <w:snapToGrid w:val="0"/>
        <w:spacing w:line="360" w:lineRule="auto"/>
        <w:jc w:val="left"/>
        <w:textAlignment w:val="baseline"/>
        <w:rPr>
          <w:rFonts w:ascii="仿宋" w:hAnsi="仿宋" w:eastAsia="仿宋" w:cs="仿宋"/>
          <w:sz w:val="24"/>
          <w:szCs w:val="24"/>
        </w:rPr>
      </w:pPr>
      <w:r>
        <w:rPr>
          <w:rFonts w:hint="eastAsia" w:ascii="仿宋" w:hAnsi="仿宋" w:eastAsia="仿宋" w:cs="仿宋"/>
          <w:sz w:val="24"/>
          <w:szCs w:val="24"/>
        </w:rPr>
        <w:t>2、投标分项报价表</w:t>
      </w:r>
    </w:p>
    <w:p w14:paraId="6E69643D">
      <w:pPr>
        <w:pStyle w:val="16"/>
        <w:snapToGrid w:val="0"/>
        <w:spacing w:line="360" w:lineRule="auto"/>
        <w:jc w:val="left"/>
        <w:textAlignment w:val="baseline"/>
        <w:rPr>
          <w:rFonts w:ascii="仿宋" w:hAnsi="仿宋" w:eastAsia="仿宋" w:cs="仿宋"/>
          <w:sz w:val="24"/>
          <w:szCs w:val="24"/>
        </w:rPr>
      </w:pPr>
      <w:r>
        <w:rPr>
          <w:rFonts w:hint="eastAsia" w:ascii="仿宋" w:hAnsi="仿宋" w:eastAsia="仿宋" w:cs="仿宋"/>
          <w:sz w:val="24"/>
          <w:szCs w:val="24"/>
        </w:rPr>
        <w:t>3、货物说明一览表</w:t>
      </w:r>
    </w:p>
    <w:p w14:paraId="09428A9F">
      <w:pPr>
        <w:pStyle w:val="16"/>
        <w:snapToGrid w:val="0"/>
        <w:spacing w:line="360" w:lineRule="auto"/>
        <w:jc w:val="left"/>
        <w:textAlignment w:val="baseline"/>
        <w:rPr>
          <w:rFonts w:ascii="仿宋" w:hAnsi="仿宋" w:eastAsia="仿宋" w:cs="仿宋"/>
          <w:sz w:val="24"/>
          <w:szCs w:val="24"/>
        </w:rPr>
      </w:pPr>
      <w:r>
        <w:rPr>
          <w:rFonts w:hint="eastAsia" w:ascii="仿宋" w:hAnsi="仿宋" w:eastAsia="仿宋" w:cs="仿宋"/>
          <w:sz w:val="24"/>
          <w:szCs w:val="24"/>
        </w:rPr>
        <w:t>4、技术规格偏离表</w:t>
      </w:r>
    </w:p>
    <w:p w14:paraId="1DF56D82">
      <w:pPr>
        <w:pStyle w:val="16"/>
        <w:snapToGrid w:val="0"/>
        <w:spacing w:line="360" w:lineRule="auto"/>
        <w:jc w:val="left"/>
        <w:textAlignment w:val="baseline"/>
        <w:rPr>
          <w:rFonts w:ascii="仿宋" w:hAnsi="仿宋" w:eastAsia="仿宋" w:cs="仿宋"/>
          <w:sz w:val="24"/>
          <w:szCs w:val="24"/>
        </w:rPr>
      </w:pPr>
      <w:r>
        <w:rPr>
          <w:rFonts w:hint="eastAsia" w:ascii="仿宋" w:hAnsi="仿宋" w:eastAsia="仿宋" w:cs="仿宋"/>
          <w:sz w:val="24"/>
          <w:szCs w:val="24"/>
        </w:rPr>
        <w:t>5、商务条款偏离表</w:t>
      </w:r>
    </w:p>
    <w:p w14:paraId="084B7152">
      <w:pPr>
        <w:pStyle w:val="16"/>
        <w:snapToGrid w:val="0"/>
        <w:spacing w:line="360" w:lineRule="auto"/>
        <w:jc w:val="left"/>
        <w:textAlignment w:val="baseline"/>
        <w:rPr>
          <w:rFonts w:ascii="仿宋" w:hAnsi="仿宋" w:eastAsia="仿宋" w:cs="仿宋"/>
          <w:sz w:val="24"/>
          <w:szCs w:val="24"/>
        </w:rPr>
      </w:pPr>
      <w:r>
        <w:rPr>
          <w:rFonts w:hint="eastAsia" w:ascii="仿宋" w:hAnsi="仿宋" w:eastAsia="仿宋" w:cs="仿宋"/>
          <w:sz w:val="24"/>
          <w:szCs w:val="24"/>
        </w:rPr>
        <w:t>6、符合《政府采购促进中小企业发展暂行办法》、《关于政府采购支持监狱企业发展有关问题的通知》和《三部门联合发布关于促进残疾人就业政府采购政策的通知》的投标人须提交）</w:t>
      </w:r>
    </w:p>
    <w:p w14:paraId="312E8432">
      <w:pPr>
        <w:pStyle w:val="16"/>
        <w:snapToGrid w:val="0"/>
        <w:spacing w:line="360" w:lineRule="auto"/>
        <w:jc w:val="left"/>
        <w:textAlignment w:val="baseline"/>
        <w:rPr>
          <w:rFonts w:ascii="仿宋" w:hAnsi="仿宋" w:eastAsia="仿宋" w:cs="仿宋"/>
          <w:sz w:val="24"/>
          <w:szCs w:val="24"/>
        </w:rPr>
      </w:pPr>
      <w:r>
        <w:rPr>
          <w:rFonts w:hint="eastAsia" w:ascii="仿宋" w:hAnsi="仿宋" w:eastAsia="仿宋" w:cs="仿宋"/>
          <w:sz w:val="24"/>
          <w:szCs w:val="24"/>
        </w:rPr>
        <w:t>6-1《中小企业声明函》</w:t>
      </w:r>
    </w:p>
    <w:p w14:paraId="3AE13D43">
      <w:pPr>
        <w:pStyle w:val="16"/>
        <w:snapToGrid w:val="0"/>
        <w:spacing w:line="360" w:lineRule="auto"/>
        <w:jc w:val="left"/>
        <w:textAlignment w:val="baseline"/>
        <w:rPr>
          <w:rFonts w:ascii="仿宋" w:hAnsi="仿宋" w:eastAsia="仿宋" w:cs="仿宋"/>
          <w:sz w:val="24"/>
          <w:szCs w:val="24"/>
        </w:rPr>
      </w:pPr>
      <w:r>
        <w:rPr>
          <w:rFonts w:hint="eastAsia" w:ascii="仿宋" w:hAnsi="仿宋" w:eastAsia="仿宋" w:cs="仿宋"/>
          <w:sz w:val="24"/>
          <w:szCs w:val="24"/>
        </w:rPr>
        <w:t>6-2《残疾人福利性单位声明函》</w:t>
      </w:r>
    </w:p>
    <w:p w14:paraId="666CB076">
      <w:pPr>
        <w:pStyle w:val="16"/>
        <w:snapToGrid w:val="0"/>
        <w:spacing w:line="360" w:lineRule="auto"/>
        <w:jc w:val="left"/>
        <w:textAlignment w:val="baseline"/>
        <w:rPr>
          <w:rFonts w:ascii="仿宋" w:hAnsi="仿宋" w:eastAsia="仿宋" w:cs="仿宋"/>
          <w:sz w:val="24"/>
          <w:szCs w:val="24"/>
        </w:rPr>
      </w:pPr>
      <w:r>
        <w:rPr>
          <w:rFonts w:hint="eastAsia" w:ascii="仿宋" w:hAnsi="仿宋" w:eastAsia="仿宋" w:cs="仿宋"/>
          <w:sz w:val="24"/>
          <w:szCs w:val="24"/>
        </w:rPr>
        <w:t>6-3《监狱企业声明函》</w:t>
      </w:r>
    </w:p>
    <w:p w14:paraId="2959D6DB">
      <w:pPr>
        <w:pStyle w:val="16"/>
        <w:snapToGrid w:val="0"/>
        <w:spacing w:line="360" w:lineRule="auto"/>
        <w:jc w:val="left"/>
        <w:textAlignment w:val="baseline"/>
        <w:rPr>
          <w:rFonts w:ascii="仿宋" w:hAnsi="仿宋" w:eastAsia="仿宋" w:cs="仿宋"/>
          <w:sz w:val="24"/>
          <w:szCs w:val="24"/>
        </w:rPr>
      </w:pPr>
      <w:r>
        <w:rPr>
          <w:rFonts w:hint="eastAsia" w:ascii="仿宋" w:hAnsi="仿宋" w:eastAsia="仿宋" w:cs="仿宋"/>
          <w:sz w:val="24"/>
          <w:szCs w:val="24"/>
        </w:rPr>
        <w:t>7、投标人关联单位的说明</w:t>
      </w:r>
    </w:p>
    <w:p w14:paraId="48D88175">
      <w:pPr>
        <w:pStyle w:val="16"/>
        <w:snapToGrid w:val="0"/>
        <w:spacing w:line="360" w:lineRule="auto"/>
        <w:jc w:val="left"/>
        <w:textAlignment w:val="baseline"/>
        <w:rPr>
          <w:rFonts w:ascii="仿宋" w:hAnsi="仿宋" w:eastAsia="仿宋" w:cs="仿宋"/>
          <w:sz w:val="24"/>
          <w:szCs w:val="24"/>
        </w:rPr>
      </w:pPr>
      <w:r>
        <w:rPr>
          <w:rFonts w:hint="eastAsia" w:ascii="仿宋" w:hAnsi="仿宋" w:eastAsia="仿宋" w:cs="仿宋"/>
          <w:sz w:val="24"/>
          <w:szCs w:val="24"/>
        </w:rPr>
        <w:t>8、投标保证金有效缴纳凭证</w:t>
      </w:r>
    </w:p>
    <w:p w14:paraId="228E2F25">
      <w:pPr>
        <w:pStyle w:val="16"/>
        <w:snapToGrid w:val="0"/>
        <w:spacing w:line="360" w:lineRule="auto"/>
        <w:jc w:val="left"/>
        <w:textAlignment w:val="baseline"/>
        <w:rPr>
          <w:rFonts w:hint="eastAsia" w:ascii="仿宋" w:hAnsi="仿宋" w:eastAsia="仿宋" w:cs="仿宋"/>
          <w:sz w:val="24"/>
          <w:szCs w:val="24"/>
          <w:lang w:val="zh-CN"/>
        </w:rPr>
      </w:pPr>
      <w:r>
        <w:rPr>
          <w:rFonts w:hint="eastAsia" w:ascii="仿宋" w:hAnsi="仿宋" w:eastAsia="仿宋" w:cs="仿宋"/>
          <w:sz w:val="24"/>
          <w:szCs w:val="24"/>
        </w:rPr>
        <w:t>9</w:t>
      </w:r>
      <w:r>
        <w:rPr>
          <w:rFonts w:hint="eastAsia" w:ascii="仿宋" w:hAnsi="仿宋" w:eastAsia="仿宋" w:cs="仿宋"/>
          <w:sz w:val="24"/>
          <w:szCs w:val="24"/>
          <w:lang w:val="zh-CN"/>
        </w:rPr>
        <w:t>、针对本次采购项目《反商业贿赂承诺书》的书面声明</w:t>
      </w:r>
    </w:p>
    <w:p w14:paraId="753A680B">
      <w:pPr>
        <w:pStyle w:val="16"/>
        <w:snapToGrid w:val="0"/>
        <w:spacing w:line="360" w:lineRule="auto"/>
        <w:jc w:val="left"/>
        <w:textAlignment w:val="baseline"/>
        <w:rPr>
          <w:rFonts w:hint="eastAsia" w:ascii="仿宋" w:hAnsi="仿宋" w:eastAsia="仿宋" w:cs="仿宋"/>
          <w:sz w:val="24"/>
          <w:szCs w:val="24"/>
        </w:rPr>
      </w:pPr>
      <w:r>
        <w:rPr>
          <w:rFonts w:hint="eastAsia" w:ascii="仿宋" w:hAnsi="仿宋" w:eastAsia="仿宋" w:cs="仿宋"/>
          <w:sz w:val="24"/>
          <w:szCs w:val="24"/>
        </w:rPr>
        <w:t>10、法定代表人投标需提供法定代表人身份证明；授权人投标需提供法定代表人身份证明及被授权书；</w:t>
      </w:r>
    </w:p>
    <w:p w14:paraId="4F45BD87">
      <w:pPr>
        <w:pStyle w:val="16"/>
        <w:snapToGrid w:val="0"/>
        <w:spacing w:line="360" w:lineRule="auto"/>
        <w:jc w:val="left"/>
        <w:textAlignment w:val="baseline"/>
        <w:rPr>
          <w:rFonts w:ascii="仿宋" w:hAnsi="仿宋" w:eastAsia="仿宋" w:cs="仿宋"/>
          <w:sz w:val="24"/>
          <w:szCs w:val="24"/>
        </w:rPr>
      </w:pPr>
      <w:r>
        <w:rPr>
          <w:rFonts w:hint="eastAsia" w:ascii="仿宋" w:hAnsi="仿宋" w:eastAsia="仿宋" w:cs="仿宋"/>
          <w:sz w:val="24"/>
          <w:szCs w:val="24"/>
        </w:rPr>
        <w:t>11、其他有利于投标人的文件或证明材料</w:t>
      </w:r>
    </w:p>
    <w:p w14:paraId="4EEF7246">
      <w:pPr>
        <w:widowControl/>
        <w:jc w:val="left"/>
        <w:rPr>
          <w:rFonts w:ascii="仿宋" w:hAnsi="仿宋" w:eastAsia="仿宋" w:cs="仿宋"/>
          <w:b/>
          <w:kern w:val="0"/>
          <w:sz w:val="24"/>
          <w:szCs w:val="20"/>
        </w:rPr>
      </w:pPr>
      <w:r>
        <w:rPr>
          <w:rFonts w:hint="eastAsia" w:ascii="仿宋" w:hAnsi="仿宋" w:eastAsia="仿宋" w:cs="仿宋"/>
          <w:sz w:val="24"/>
        </w:rPr>
        <w:br w:type="page"/>
      </w:r>
    </w:p>
    <w:p w14:paraId="5023F954">
      <w:pPr>
        <w:pStyle w:val="4"/>
        <w:spacing w:before="0" w:line="288" w:lineRule="auto"/>
        <w:ind w:firstLine="3614" w:firstLineChars="1500"/>
        <w:jc w:val="both"/>
        <w:rPr>
          <w:rFonts w:ascii="仿宋" w:hAnsi="仿宋" w:eastAsia="仿宋" w:cs="仿宋"/>
          <w:sz w:val="24"/>
        </w:rPr>
      </w:pPr>
      <w:r>
        <w:rPr>
          <w:rFonts w:hint="eastAsia" w:ascii="仿宋" w:hAnsi="仿宋" w:eastAsia="仿宋" w:cs="仿宋"/>
          <w:sz w:val="24"/>
        </w:rPr>
        <w:t>1、投标书</w:t>
      </w:r>
      <w:bookmarkEnd w:id="662"/>
      <w:bookmarkEnd w:id="663"/>
      <w:bookmarkEnd w:id="664"/>
      <w:bookmarkEnd w:id="665"/>
      <w:bookmarkEnd w:id="666"/>
      <w:bookmarkEnd w:id="667"/>
      <w:bookmarkEnd w:id="668"/>
      <w:bookmarkEnd w:id="669"/>
      <w:bookmarkEnd w:id="670"/>
      <w:bookmarkEnd w:id="671"/>
      <w:bookmarkEnd w:id="672"/>
      <w:bookmarkEnd w:id="673"/>
    </w:p>
    <w:p w14:paraId="459D0FAB">
      <w:pPr>
        <w:tabs>
          <w:tab w:val="left" w:pos="5580"/>
        </w:tabs>
        <w:snapToGrid w:val="0"/>
        <w:spacing w:line="360" w:lineRule="exact"/>
        <w:ind w:left="1080" w:leftChars="257" w:hanging="540"/>
        <w:textAlignment w:val="baseline"/>
        <w:rPr>
          <w:rFonts w:ascii="仿宋" w:hAnsi="仿宋" w:eastAsia="仿宋" w:cs="仿宋"/>
          <w:sz w:val="32"/>
          <w:szCs w:val="32"/>
        </w:rPr>
      </w:pPr>
    </w:p>
    <w:p w14:paraId="708ACE6D">
      <w:pPr>
        <w:tabs>
          <w:tab w:val="left" w:pos="5580"/>
        </w:tabs>
        <w:snapToGrid w:val="0"/>
        <w:spacing w:line="360" w:lineRule="exact"/>
        <w:ind w:left="1080" w:hanging="1080"/>
        <w:textAlignment w:val="baseline"/>
        <w:rPr>
          <w:rFonts w:ascii="仿宋" w:hAnsi="仿宋" w:eastAsia="仿宋" w:cs="仿宋"/>
          <w:color w:val="000000"/>
          <w:sz w:val="24"/>
        </w:rPr>
      </w:pPr>
      <w:r>
        <w:rPr>
          <w:rFonts w:hint="eastAsia" w:ascii="仿宋" w:hAnsi="仿宋" w:eastAsia="仿宋" w:cs="仿宋"/>
          <w:color w:val="000000"/>
          <w:sz w:val="24"/>
        </w:rPr>
        <w:t>致：</w:t>
      </w:r>
      <w:r>
        <w:rPr>
          <w:rFonts w:hint="eastAsia" w:ascii="仿宋" w:hAnsi="仿宋" w:eastAsia="仿宋" w:cs="仿宋"/>
          <w:color w:val="000000"/>
          <w:sz w:val="24"/>
          <w:u w:val="single" w:color="000000"/>
        </w:rPr>
        <w:t xml:space="preserve"> （采购人名称）</w:t>
      </w:r>
    </w:p>
    <w:p w14:paraId="2B8803BA">
      <w:pPr>
        <w:pStyle w:val="16"/>
        <w:tabs>
          <w:tab w:val="left" w:pos="720"/>
          <w:tab w:val="left" w:pos="900"/>
        </w:tabs>
        <w:snapToGrid w:val="0"/>
        <w:spacing w:line="360" w:lineRule="exact"/>
        <w:ind w:firstLine="480" w:firstLineChars="200"/>
        <w:textAlignment w:val="baseline"/>
        <w:rPr>
          <w:rFonts w:ascii="仿宋" w:hAnsi="仿宋" w:eastAsia="仿宋" w:cs="仿宋"/>
          <w:color w:val="000000"/>
          <w:sz w:val="24"/>
          <w:u w:val="single" w:color="000000"/>
        </w:rPr>
      </w:pPr>
      <w:r>
        <w:rPr>
          <w:rFonts w:hint="eastAsia" w:ascii="仿宋" w:hAnsi="仿宋" w:eastAsia="仿宋" w:cs="仿宋"/>
          <w:color w:val="000000"/>
          <w:sz w:val="24"/>
          <w:u w:val="single" w:color="000000"/>
        </w:rPr>
        <w:t>根据贵方(项目名称)项目的投标邀请(招标编号),签字代表(姓名、职务)经正式授权并代表投标人（名称、地址）上传投标文件，并以         形式出具的金额为人民币　　　　元的投标保证金。</w:t>
      </w:r>
    </w:p>
    <w:p w14:paraId="1C2C9BB0">
      <w:pPr>
        <w:pStyle w:val="16"/>
        <w:tabs>
          <w:tab w:val="left" w:pos="5580"/>
        </w:tabs>
        <w:snapToGrid w:val="0"/>
        <w:spacing w:line="360" w:lineRule="exact"/>
        <w:ind w:firstLine="480" w:firstLineChars="200"/>
        <w:textAlignment w:val="baseline"/>
        <w:rPr>
          <w:rFonts w:ascii="仿宋" w:hAnsi="仿宋" w:eastAsia="仿宋" w:cs="仿宋"/>
          <w:color w:val="000000"/>
          <w:sz w:val="24"/>
        </w:rPr>
      </w:pPr>
      <w:r>
        <w:rPr>
          <w:rFonts w:hint="eastAsia" w:ascii="仿宋" w:hAnsi="仿宋" w:eastAsia="仿宋" w:cs="仿宋"/>
          <w:color w:val="000000"/>
          <w:sz w:val="24"/>
        </w:rPr>
        <w:t>据此，签字代表宣布同意如下：</w:t>
      </w:r>
    </w:p>
    <w:p w14:paraId="1EB2B9FE">
      <w:pPr>
        <w:pStyle w:val="16"/>
        <w:tabs>
          <w:tab w:val="left" w:pos="5580"/>
        </w:tabs>
        <w:snapToGrid w:val="0"/>
        <w:spacing w:line="360" w:lineRule="exact"/>
        <w:ind w:firstLine="480" w:firstLineChars="200"/>
        <w:textAlignment w:val="baseline"/>
        <w:rPr>
          <w:rFonts w:ascii="仿宋" w:hAnsi="仿宋" w:eastAsia="仿宋" w:cs="仿宋"/>
          <w:color w:val="000000"/>
          <w:sz w:val="24"/>
          <w:u w:val="single" w:color="000000"/>
        </w:rPr>
      </w:pPr>
      <w:r>
        <w:rPr>
          <w:rFonts w:hint="eastAsia" w:ascii="仿宋" w:hAnsi="仿宋" w:eastAsia="仿宋" w:cs="仿宋"/>
          <w:color w:val="000000"/>
          <w:sz w:val="24"/>
        </w:rPr>
        <w:t>（1）附投标价格表中规定的应提供货物的投标总价详见开标一览表。</w:t>
      </w:r>
    </w:p>
    <w:p w14:paraId="19D10F47">
      <w:pPr>
        <w:pStyle w:val="16"/>
        <w:tabs>
          <w:tab w:val="left" w:pos="5580"/>
        </w:tabs>
        <w:snapToGrid w:val="0"/>
        <w:spacing w:line="360" w:lineRule="exact"/>
        <w:ind w:firstLine="480" w:firstLineChars="200"/>
        <w:textAlignment w:val="baseline"/>
        <w:rPr>
          <w:rFonts w:ascii="仿宋" w:hAnsi="仿宋" w:eastAsia="仿宋" w:cs="仿宋"/>
          <w:color w:val="000000"/>
          <w:sz w:val="24"/>
        </w:rPr>
      </w:pPr>
      <w:r>
        <w:rPr>
          <w:rFonts w:hint="eastAsia" w:ascii="仿宋" w:hAnsi="仿宋" w:eastAsia="仿宋" w:cs="仿宋"/>
          <w:color w:val="000000"/>
          <w:sz w:val="24"/>
        </w:rPr>
        <w:t>（2）本投标有效期为自投标截止之日起</w:t>
      </w:r>
      <w:r>
        <w:rPr>
          <w:rFonts w:hint="eastAsia" w:ascii="仿宋" w:hAnsi="仿宋" w:eastAsia="仿宋" w:cs="仿宋"/>
          <w:color w:val="000000"/>
          <w:sz w:val="24"/>
          <w:u w:val="single" w:color="000000"/>
        </w:rPr>
        <w:t xml:space="preserve">  90   </w:t>
      </w:r>
      <w:r>
        <w:rPr>
          <w:rFonts w:hint="eastAsia" w:ascii="仿宋" w:hAnsi="仿宋" w:eastAsia="仿宋" w:cs="仿宋"/>
          <w:color w:val="000000"/>
          <w:sz w:val="24"/>
        </w:rPr>
        <w:t>个日历日。</w:t>
      </w:r>
    </w:p>
    <w:p w14:paraId="4F2C6566">
      <w:pPr>
        <w:pStyle w:val="16"/>
        <w:tabs>
          <w:tab w:val="left" w:pos="5580"/>
        </w:tabs>
        <w:snapToGrid w:val="0"/>
        <w:spacing w:line="360" w:lineRule="exact"/>
        <w:ind w:firstLine="480" w:firstLineChars="200"/>
        <w:textAlignment w:val="baseline"/>
        <w:rPr>
          <w:rFonts w:ascii="仿宋" w:hAnsi="仿宋" w:eastAsia="仿宋" w:cs="仿宋"/>
          <w:color w:val="000000"/>
          <w:sz w:val="24"/>
        </w:rPr>
      </w:pPr>
      <w:r>
        <w:rPr>
          <w:rFonts w:hint="eastAsia" w:ascii="仿宋" w:hAnsi="仿宋" w:eastAsia="仿宋" w:cs="仿宋"/>
          <w:color w:val="000000"/>
          <w:sz w:val="24"/>
        </w:rPr>
        <w:t>（3）联合体中的大中型企业和其他自然人、法人或者非法人组织，与联合体中的小型、微型企业之间</w:t>
      </w:r>
      <w:r>
        <w:rPr>
          <w:rFonts w:hint="eastAsia" w:ascii="仿宋" w:hAnsi="仿宋" w:eastAsia="仿宋" w:cs="仿宋"/>
          <w:color w:val="000000"/>
          <w:sz w:val="24"/>
          <w:u w:val="single" w:color="000000"/>
        </w:rPr>
        <w:t xml:space="preserve">     （</w:t>
      </w:r>
      <w:r>
        <w:rPr>
          <w:rFonts w:hint="eastAsia" w:ascii="仿宋" w:hAnsi="仿宋" w:eastAsia="仿宋" w:cs="仿宋"/>
          <w:color w:val="000000"/>
          <w:sz w:val="24"/>
        </w:rPr>
        <w:t>存在、不存在）投资关系（如果是联合体的话）。</w:t>
      </w:r>
    </w:p>
    <w:p w14:paraId="7DAE977A">
      <w:pPr>
        <w:pStyle w:val="16"/>
        <w:tabs>
          <w:tab w:val="left" w:pos="5580"/>
        </w:tabs>
        <w:snapToGrid w:val="0"/>
        <w:spacing w:line="360" w:lineRule="exact"/>
        <w:ind w:firstLine="480" w:firstLineChars="200"/>
        <w:textAlignment w:val="baseline"/>
        <w:rPr>
          <w:rFonts w:ascii="仿宋" w:hAnsi="仿宋" w:eastAsia="仿宋" w:cs="仿宋"/>
          <w:color w:val="000000"/>
          <w:sz w:val="24"/>
        </w:rPr>
      </w:pPr>
      <w:r>
        <w:rPr>
          <w:rFonts w:hint="eastAsia" w:ascii="仿宋" w:hAnsi="仿宋" w:eastAsia="仿宋" w:cs="仿宋"/>
          <w:color w:val="000000"/>
          <w:sz w:val="24"/>
        </w:rPr>
        <w:t>（4）已详细审查全部招标文件，包括所有补充通知（如果有的话），完全理解并同意放弃对这方面有不明、误解和质疑的权力。</w:t>
      </w:r>
    </w:p>
    <w:p w14:paraId="0D9B0000">
      <w:pPr>
        <w:pStyle w:val="16"/>
        <w:tabs>
          <w:tab w:val="left" w:pos="5580"/>
        </w:tabs>
        <w:snapToGrid w:val="0"/>
        <w:spacing w:line="360" w:lineRule="exact"/>
        <w:ind w:left="1080" w:leftChars="257" w:hanging="540"/>
        <w:textAlignment w:val="baseline"/>
        <w:rPr>
          <w:rFonts w:ascii="仿宋" w:hAnsi="仿宋" w:eastAsia="仿宋" w:cs="仿宋"/>
          <w:color w:val="000000"/>
          <w:sz w:val="24"/>
        </w:rPr>
      </w:pPr>
      <w:r>
        <w:rPr>
          <w:rFonts w:hint="eastAsia" w:ascii="仿宋" w:hAnsi="仿宋" w:eastAsia="仿宋" w:cs="仿宋"/>
          <w:color w:val="000000"/>
          <w:sz w:val="24"/>
        </w:rPr>
        <w:t>（5）在规定的开标时间后，遵守招标文件中有关保证金的规定。</w:t>
      </w:r>
    </w:p>
    <w:p w14:paraId="617DEF5E">
      <w:pPr>
        <w:pStyle w:val="16"/>
        <w:tabs>
          <w:tab w:val="left" w:pos="5580"/>
        </w:tabs>
        <w:snapToGrid w:val="0"/>
        <w:spacing w:line="360" w:lineRule="exact"/>
        <w:ind w:firstLine="480" w:firstLineChars="200"/>
        <w:textAlignment w:val="baseline"/>
        <w:rPr>
          <w:rFonts w:ascii="仿宋" w:hAnsi="仿宋" w:eastAsia="仿宋" w:cs="仿宋"/>
          <w:color w:val="000000"/>
          <w:sz w:val="24"/>
        </w:rPr>
      </w:pPr>
      <w:r>
        <w:rPr>
          <w:rFonts w:hint="eastAsia" w:ascii="仿宋" w:hAnsi="仿宋" w:eastAsia="仿宋" w:cs="仿宋"/>
          <w:color w:val="000000"/>
          <w:sz w:val="24"/>
        </w:rPr>
        <w:t>（6）我方不是为本项目提供整体设计、规范编制或者项目管理、监理、检测等服务的投标人，我方不是采购代理机构的附属机构。</w:t>
      </w:r>
    </w:p>
    <w:p w14:paraId="7F19FB20">
      <w:pPr>
        <w:pStyle w:val="16"/>
        <w:tabs>
          <w:tab w:val="left" w:pos="5580"/>
        </w:tabs>
        <w:snapToGrid w:val="0"/>
        <w:spacing w:line="360" w:lineRule="exact"/>
        <w:ind w:firstLine="480" w:firstLineChars="200"/>
        <w:textAlignment w:val="baseline"/>
        <w:rPr>
          <w:rFonts w:ascii="仿宋" w:hAnsi="仿宋" w:eastAsia="仿宋" w:cs="仿宋"/>
          <w:color w:val="000000"/>
          <w:sz w:val="24"/>
        </w:rPr>
      </w:pPr>
      <w:r>
        <w:rPr>
          <w:rFonts w:hint="eastAsia" w:ascii="仿宋" w:hAnsi="仿宋" w:eastAsia="仿宋" w:cs="仿宋"/>
          <w:color w:val="000000"/>
          <w:sz w:val="24"/>
        </w:rPr>
        <w:t>（7）在领取中标通知书的同时按招标文件规定的形式，向贵方一次性支付中标服务费。</w:t>
      </w:r>
    </w:p>
    <w:p w14:paraId="70E19185">
      <w:pPr>
        <w:pStyle w:val="16"/>
        <w:tabs>
          <w:tab w:val="left" w:pos="5580"/>
        </w:tabs>
        <w:snapToGrid w:val="0"/>
        <w:spacing w:line="360" w:lineRule="exact"/>
        <w:ind w:firstLine="480" w:firstLineChars="200"/>
        <w:textAlignment w:val="baseline"/>
        <w:rPr>
          <w:rFonts w:ascii="仿宋" w:hAnsi="仿宋" w:eastAsia="仿宋" w:cs="仿宋"/>
          <w:color w:val="000000"/>
          <w:sz w:val="24"/>
        </w:rPr>
      </w:pPr>
      <w:r>
        <w:rPr>
          <w:rFonts w:hint="eastAsia" w:ascii="仿宋" w:hAnsi="仿宋" w:eastAsia="仿宋" w:cs="仿宋"/>
          <w:color w:val="000000"/>
          <w:sz w:val="24"/>
        </w:rPr>
        <w:t>（8）按照贵方可能要求，提供与其投标有关的一切数据或资料，完全理解贵方不一定接受最低价的投标或收到的任何投标。</w:t>
      </w:r>
    </w:p>
    <w:p w14:paraId="77ABD6EF">
      <w:pPr>
        <w:pStyle w:val="16"/>
        <w:tabs>
          <w:tab w:val="left" w:pos="5580"/>
        </w:tabs>
        <w:snapToGrid w:val="0"/>
        <w:spacing w:line="360" w:lineRule="exact"/>
        <w:ind w:firstLine="480" w:firstLineChars="200"/>
        <w:textAlignment w:val="baseline"/>
        <w:rPr>
          <w:rFonts w:ascii="仿宋" w:hAnsi="仿宋" w:eastAsia="仿宋" w:cs="仿宋"/>
          <w:color w:val="000000"/>
          <w:sz w:val="24"/>
        </w:rPr>
      </w:pPr>
      <w:r>
        <w:rPr>
          <w:rFonts w:hint="eastAsia" w:ascii="仿宋" w:hAnsi="仿宋" w:eastAsia="仿宋" w:cs="仿宋"/>
          <w:color w:val="000000"/>
          <w:sz w:val="24"/>
        </w:rPr>
        <w:t>（9）在中标公示期过后7个工作日内领取中标通知书，不领取中标通知书视为自动放弃中标资格，采购人可依法进行相应处罚。</w:t>
      </w:r>
    </w:p>
    <w:p w14:paraId="20193E29">
      <w:pPr>
        <w:pStyle w:val="16"/>
        <w:tabs>
          <w:tab w:val="left" w:pos="5580"/>
        </w:tabs>
        <w:snapToGrid w:val="0"/>
        <w:spacing w:line="360" w:lineRule="exact"/>
        <w:ind w:firstLine="480" w:firstLineChars="200"/>
        <w:textAlignment w:val="baseline"/>
        <w:rPr>
          <w:rFonts w:ascii="仿宋" w:hAnsi="仿宋" w:eastAsia="仿宋" w:cs="仿宋"/>
          <w:color w:val="000000"/>
          <w:sz w:val="24"/>
        </w:rPr>
      </w:pPr>
      <w:r>
        <w:rPr>
          <w:rFonts w:hint="eastAsia" w:ascii="仿宋" w:hAnsi="仿宋" w:eastAsia="仿宋" w:cs="仿宋"/>
          <w:color w:val="000000"/>
          <w:sz w:val="24"/>
        </w:rPr>
        <w:t>（10）按照招标文件的规定履行合同责任和义务。</w:t>
      </w:r>
    </w:p>
    <w:p w14:paraId="337AA3FD">
      <w:pPr>
        <w:pStyle w:val="16"/>
        <w:tabs>
          <w:tab w:val="left" w:pos="5580"/>
        </w:tabs>
        <w:snapToGrid w:val="0"/>
        <w:spacing w:line="320" w:lineRule="exact"/>
        <w:ind w:left="359" w:leftChars="68" w:hanging="216" w:hangingChars="90"/>
        <w:textAlignment w:val="baseline"/>
        <w:rPr>
          <w:rFonts w:ascii="仿宋" w:hAnsi="仿宋" w:eastAsia="仿宋" w:cs="仿宋"/>
          <w:color w:val="000000"/>
          <w:sz w:val="24"/>
        </w:rPr>
      </w:pPr>
      <w:r>
        <w:rPr>
          <w:rFonts w:hint="eastAsia" w:ascii="仿宋" w:hAnsi="仿宋" w:eastAsia="仿宋" w:cs="仿宋"/>
          <w:color w:val="000000"/>
          <w:sz w:val="24"/>
        </w:rPr>
        <w:t xml:space="preserve">    与本投标有关的一切正式往来信函请寄：</w:t>
      </w:r>
    </w:p>
    <w:p w14:paraId="39F807E4">
      <w:pPr>
        <w:pStyle w:val="16"/>
        <w:tabs>
          <w:tab w:val="left" w:pos="5580"/>
        </w:tabs>
        <w:snapToGrid w:val="0"/>
        <w:spacing w:line="320" w:lineRule="exact"/>
        <w:ind w:left="1080" w:leftChars="257" w:hanging="540"/>
        <w:textAlignment w:val="baseline"/>
        <w:rPr>
          <w:rFonts w:ascii="仿宋" w:hAnsi="仿宋" w:eastAsia="仿宋" w:cs="仿宋"/>
          <w:color w:val="000000"/>
          <w:sz w:val="24"/>
        </w:rPr>
      </w:pPr>
      <w:r>
        <w:rPr>
          <w:rFonts w:hint="eastAsia" w:ascii="仿宋" w:hAnsi="仿宋" w:eastAsia="仿宋" w:cs="仿宋"/>
          <w:color w:val="000000"/>
          <w:sz w:val="24"/>
        </w:rPr>
        <w:t>地址</w:t>
      </w:r>
      <w:r>
        <w:rPr>
          <w:rFonts w:hint="eastAsia" w:ascii="仿宋" w:hAnsi="仿宋" w:eastAsia="仿宋" w:cs="仿宋"/>
          <w:color w:val="000000"/>
          <w:sz w:val="24"/>
          <w:u w:val="single" w:color="000000"/>
        </w:rPr>
        <w:t xml:space="preserve">                         </w:t>
      </w:r>
      <w:r>
        <w:rPr>
          <w:rFonts w:hint="eastAsia" w:ascii="仿宋" w:hAnsi="仿宋" w:eastAsia="仿宋" w:cs="仿宋"/>
          <w:color w:val="000000"/>
          <w:sz w:val="24"/>
        </w:rPr>
        <w:t xml:space="preserve">     传真</w:t>
      </w:r>
      <w:r>
        <w:rPr>
          <w:rFonts w:hint="eastAsia" w:ascii="仿宋" w:hAnsi="仿宋" w:eastAsia="仿宋" w:cs="仿宋"/>
          <w:color w:val="000000"/>
          <w:sz w:val="24"/>
          <w:u w:val="single" w:color="000000"/>
        </w:rPr>
        <w:t xml:space="preserve">                             </w:t>
      </w:r>
    </w:p>
    <w:p w14:paraId="0616F8B3">
      <w:pPr>
        <w:pStyle w:val="16"/>
        <w:tabs>
          <w:tab w:val="left" w:pos="5580"/>
        </w:tabs>
        <w:snapToGrid w:val="0"/>
        <w:spacing w:line="320" w:lineRule="exact"/>
        <w:ind w:left="1080" w:leftChars="257" w:hanging="540"/>
        <w:textAlignment w:val="baseline"/>
        <w:rPr>
          <w:rFonts w:ascii="仿宋" w:hAnsi="仿宋" w:eastAsia="仿宋" w:cs="仿宋"/>
          <w:color w:val="000000"/>
          <w:sz w:val="24"/>
        </w:rPr>
      </w:pPr>
    </w:p>
    <w:p w14:paraId="3FF79C2A">
      <w:pPr>
        <w:pStyle w:val="16"/>
        <w:tabs>
          <w:tab w:val="left" w:pos="5580"/>
        </w:tabs>
        <w:snapToGrid w:val="0"/>
        <w:spacing w:line="320" w:lineRule="exact"/>
        <w:ind w:left="1080" w:leftChars="257" w:hanging="540"/>
        <w:textAlignment w:val="baseline"/>
        <w:rPr>
          <w:rFonts w:ascii="仿宋" w:hAnsi="仿宋" w:eastAsia="仿宋" w:cs="仿宋"/>
          <w:b/>
          <w:color w:val="000000"/>
          <w:sz w:val="24"/>
        </w:rPr>
      </w:pPr>
      <w:r>
        <w:rPr>
          <w:rFonts w:hint="eastAsia" w:ascii="仿宋" w:hAnsi="仿宋" w:eastAsia="仿宋" w:cs="仿宋"/>
          <w:color w:val="000000"/>
          <w:sz w:val="24"/>
        </w:rPr>
        <w:t>电话</w:t>
      </w:r>
      <w:r>
        <w:rPr>
          <w:rFonts w:hint="eastAsia" w:ascii="仿宋" w:hAnsi="仿宋" w:eastAsia="仿宋" w:cs="仿宋"/>
          <w:color w:val="000000"/>
          <w:sz w:val="24"/>
          <w:u w:val="single" w:color="000000"/>
        </w:rPr>
        <w:t xml:space="preserve">                         </w:t>
      </w:r>
      <w:r>
        <w:rPr>
          <w:rFonts w:hint="eastAsia" w:ascii="仿宋" w:hAnsi="仿宋" w:eastAsia="仿宋" w:cs="仿宋"/>
          <w:color w:val="000000"/>
          <w:sz w:val="24"/>
        </w:rPr>
        <w:t xml:space="preserve">     电子函件</w:t>
      </w:r>
      <w:r>
        <w:rPr>
          <w:rFonts w:hint="eastAsia" w:ascii="仿宋" w:hAnsi="仿宋" w:eastAsia="仿宋" w:cs="仿宋"/>
          <w:color w:val="000000"/>
          <w:sz w:val="24"/>
          <w:u w:val="single" w:color="000000"/>
        </w:rPr>
        <w:t xml:space="preserve">                         </w:t>
      </w:r>
    </w:p>
    <w:p w14:paraId="74DF9101">
      <w:pPr>
        <w:pStyle w:val="16"/>
        <w:tabs>
          <w:tab w:val="left" w:pos="5580"/>
        </w:tabs>
        <w:snapToGrid w:val="0"/>
        <w:spacing w:line="320" w:lineRule="exact"/>
        <w:ind w:left="1080" w:leftChars="257" w:hanging="540"/>
        <w:textAlignment w:val="baseline"/>
        <w:rPr>
          <w:rFonts w:ascii="仿宋" w:hAnsi="仿宋" w:eastAsia="仿宋" w:cs="仿宋"/>
          <w:color w:val="000000"/>
          <w:sz w:val="24"/>
        </w:rPr>
      </w:pPr>
    </w:p>
    <w:p w14:paraId="07E961FB">
      <w:pPr>
        <w:pStyle w:val="16"/>
        <w:tabs>
          <w:tab w:val="left" w:pos="5580"/>
        </w:tabs>
        <w:snapToGrid w:val="0"/>
        <w:spacing w:line="320" w:lineRule="exact"/>
        <w:ind w:left="1080" w:leftChars="257" w:hanging="540"/>
        <w:textAlignment w:val="baseline"/>
        <w:rPr>
          <w:rFonts w:ascii="仿宋" w:hAnsi="仿宋" w:eastAsia="仿宋" w:cs="仿宋"/>
          <w:color w:val="000000"/>
          <w:sz w:val="24"/>
        </w:rPr>
      </w:pPr>
      <w:r>
        <w:rPr>
          <w:rFonts w:hint="eastAsia" w:ascii="仿宋" w:hAnsi="仿宋" w:eastAsia="仿宋" w:cs="仿宋"/>
          <w:color w:val="000000"/>
          <w:sz w:val="24"/>
        </w:rPr>
        <w:t>法定代表人（或企业负责人）或其委托代理人（签字或签章）</w:t>
      </w:r>
      <w:r>
        <w:rPr>
          <w:rFonts w:hint="eastAsia" w:ascii="仿宋" w:hAnsi="仿宋" w:eastAsia="仿宋" w:cs="仿宋"/>
          <w:color w:val="000000"/>
          <w:sz w:val="24"/>
          <w:u w:val="single" w:color="000000"/>
        </w:rPr>
        <w:t xml:space="preserve">               </w:t>
      </w:r>
    </w:p>
    <w:p w14:paraId="5F7D8E75">
      <w:pPr>
        <w:pStyle w:val="16"/>
        <w:tabs>
          <w:tab w:val="left" w:pos="5580"/>
        </w:tabs>
        <w:snapToGrid w:val="0"/>
        <w:spacing w:line="320" w:lineRule="exact"/>
        <w:ind w:left="1080" w:leftChars="257" w:hanging="540"/>
        <w:textAlignment w:val="baseline"/>
        <w:rPr>
          <w:rFonts w:ascii="仿宋" w:hAnsi="仿宋" w:eastAsia="仿宋" w:cs="仿宋"/>
          <w:color w:val="000000"/>
          <w:sz w:val="24"/>
        </w:rPr>
      </w:pPr>
    </w:p>
    <w:p w14:paraId="2C6496BB">
      <w:pPr>
        <w:pStyle w:val="16"/>
        <w:tabs>
          <w:tab w:val="left" w:pos="5580"/>
        </w:tabs>
        <w:snapToGrid w:val="0"/>
        <w:spacing w:line="320" w:lineRule="exact"/>
        <w:ind w:left="1080" w:leftChars="257" w:hanging="540"/>
        <w:textAlignment w:val="baseline"/>
        <w:rPr>
          <w:rFonts w:ascii="仿宋" w:hAnsi="仿宋" w:eastAsia="仿宋" w:cs="仿宋"/>
          <w:color w:val="000000"/>
          <w:sz w:val="24"/>
        </w:rPr>
      </w:pPr>
      <w:r>
        <w:rPr>
          <w:rFonts w:hint="eastAsia" w:ascii="仿宋" w:hAnsi="仿宋" w:eastAsia="仿宋" w:cs="仿宋"/>
          <w:color w:val="000000"/>
          <w:sz w:val="24"/>
        </w:rPr>
        <w:t>投标人名称（全称）</w:t>
      </w:r>
      <w:r>
        <w:rPr>
          <w:rFonts w:hint="eastAsia" w:ascii="仿宋" w:hAnsi="仿宋" w:eastAsia="仿宋" w:cs="仿宋"/>
          <w:color w:val="000000"/>
          <w:sz w:val="24"/>
          <w:u w:val="single" w:color="000000"/>
        </w:rPr>
        <w:t xml:space="preserve">                        </w:t>
      </w:r>
    </w:p>
    <w:p w14:paraId="39FDEAA4">
      <w:pPr>
        <w:pStyle w:val="16"/>
        <w:tabs>
          <w:tab w:val="left" w:pos="5580"/>
        </w:tabs>
        <w:snapToGrid w:val="0"/>
        <w:spacing w:line="320" w:lineRule="exact"/>
        <w:ind w:left="1080" w:leftChars="257" w:hanging="540"/>
        <w:textAlignment w:val="baseline"/>
        <w:rPr>
          <w:rFonts w:ascii="仿宋" w:hAnsi="仿宋" w:eastAsia="仿宋" w:cs="仿宋"/>
          <w:color w:val="000000"/>
          <w:sz w:val="24"/>
        </w:rPr>
      </w:pPr>
    </w:p>
    <w:p w14:paraId="00FE8769">
      <w:pPr>
        <w:pStyle w:val="16"/>
        <w:tabs>
          <w:tab w:val="left" w:pos="5580"/>
        </w:tabs>
        <w:snapToGrid w:val="0"/>
        <w:spacing w:line="320" w:lineRule="exact"/>
        <w:ind w:left="1080" w:leftChars="257" w:hanging="540"/>
        <w:textAlignment w:val="baseline"/>
        <w:rPr>
          <w:rFonts w:ascii="仿宋" w:hAnsi="仿宋" w:eastAsia="仿宋" w:cs="仿宋"/>
          <w:color w:val="000000"/>
          <w:sz w:val="24"/>
        </w:rPr>
      </w:pPr>
      <w:r>
        <w:rPr>
          <w:rFonts w:hint="eastAsia" w:ascii="仿宋" w:hAnsi="仿宋" w:eastAsia="仿宋" w:cs="仿宋"/>
          <w:color w:val="000000"/>
          <w:sz w:val="24"/>
        </w:rPr>
        <w:t>投标人开户银行（全称）</w:t>
      </w:r>
      <w:r>
        <w:rPr>
          <w:rFonts w:hint="eastAsia" w:ascii="仿宋" w:hAnsi="仿宋" w:eastAsia="仿宋" w:cs="仿宋"/>
          <w:color w:val="000000"/>
          <w:sz w:val="24"/>
          <w:u w:val="single" w:color="000000"/>
        </w:rPr>
        <w:t xml:space="preserve">                    </w:t>
      </w:r>
    </w:p>
    <w:p w14:paraId="398B7B6D">
      <w:pPr>
        <w:pStyle w:val="16"/>
        <w:tabs>
          <w:tab w:val="left" w:pos="5580"/>
        </w:tabs>
        <w:snapToGrid w:val="0"/>
        <w:spacing w:line="320" w:lineRule="exact"/>
        <w:ind w:left="1080" w:leftChars="257" w:hanging="540"/>
        <w:textAlignment w:val="baseline"/>
        <w:rPr>
          <w:rFonts w:ascii="仿宋" w:hAnsi="仿宋" w:eastAsia="仿宋" w:cs="仿宋"/>
          <w:color w:val="000000"/>
          <w:sz w:val="24"/>
        </w:rPr>
      </w:pPr>
    </w:p>
    <w:p w14:paraId="61EA8C5D">
      <w:pPr>
        <w:pStyle w:val="16"/>
        <w:tabs>
          <w:tab w:val="left" w:pos="5580"/>
        </w:tabs>
        <w:snapToGrid w:val="0"/>
        <w:spacing w:line="320" w:lineRule="exact"/>
        <w:ind w:left="1080" w:leftChars="257" w:hanging="540"/>
        <w:textAlignment w:val="baseline"/>
        <w:rPr>
          <w:rFonts w:ascii="仿宋" w:hAnsi="仿宋" w:eastAsia="仿宋" w:cs="仿宋"/>
          <w:color w:val="000000"/>
          <w:sz w:val="24"/>
        </w:rPr>
      </w:pPr>
      <w:r>
        <w:rPr>
          <w:rFonts w:hint="eastAsia" w:ascii="仿宋" w:hAnsi="仿宋" w:eastAsia="仿宋" w:cs="仿宋"/>
          <w:color w:val="000000"/>
          <w:sz w:val="24"/>
        </w:rPr>
        <w:t>投标人银行帐号</w:t>
      </w:r>
      <w:r>
        <w:rPr>
          <w:rFonts w:hint="eastAsia" w:ascii="仿宋" w:hAnsi="仿宋" w:eastAsia="仿宋" w:cs="仿宋"/>
          <w:color w:val="000000"/>
          <w:sz w:val="24"/>
          <w:u w:val="single" w:color="000000"/>
        </w:rPr>
        <w:t xml:space="preserve">                            </w:t>
      </w:r>
    </w:p>
    <w:p w14:paraId="08E79512">
      <w:pPr>
        <w:pStyle w:val="16"/>
        <w:tabs>
          <w:tab w:val="left" w:pos="5580"/>
        </w:tabs>
        <w:snapToGrid w:val="0"/>
        <w:spacing w:line="320" w:lineRule="exact"/>
        <w:ind w:left="1080" w:leftChars="257" w:hanging="540"/>
        <w:textAlignment w:val="baseline"/>
        <w:rPr>
          <w:rFonts w:ascii="仿宋" w:hAnsi="仿宋" w:eastAsia="仿宋" w:cs="仿宋"/>
          <w:color w:val="000000"/>
          <w:sz w:val="24"/>
        </w:rPr>
      </w:pPr>
    </w:p>
    <w:p w14:paraId="0D414DC7">
      <w:pPr>
        <w:pStyle w:val="16"/>
        <w:tabs>
          <w:tab w:val="left" w:pos="5580"/>
        </w:tabs>
        <w:snapToGrid w:val="0"/>
        <w:spacing w:line="320" w:lineRule="exact"/>
        <w:ind w:left="1080" w:leftChars="257" w:hanging="540"/>
        <w:textAlignment w:val="baseline"/>
        <w:rPr>
          <w:rFonts w:ascii="仿宋" w:hAnsi="仿宋" w:eastAsia="仿宋" w:cs="仿宋"/>
          <w:color w:val="000000"/>
          <w:sz w:val="24"/>
        </w:rPr>
      </w:pPr>
      <w:r>
        <w:rPr>
          <w:rFonts w:hint="eastAsia" w:ascii="仿宋" w:hAnsi="仿宋" w:eastAsia="仿宋" w:cs="仿宋"/>
          <w:color w:val="000000"/>
          <w:sz w:val="24"/>
        </w:rPr>
        <w:t>投标人单位章</w:t>
      </w:r>
      <w:r>
        <w:rPr>
          <w:rFonts w:hint="eastAsia" w:ascii="仿宋" w:hAnsi="仿宋" w:eastAsia="仿宋" w:cs="仿宋"/>
          <w:color w:val="000000"/>
          <w:sz w:val="24"/>
          <w:u w:val="single" w:color="000000"/>
        </w:rPr>
        <w:t xml:space="preserve">                              </w:t>
      </w:r>
    </w:p>
    <w:p w14:paraId="7D4A3A0F">
      <w:pPr>
        <w:pStyle w:val="16"/>
        <w:tabs>
          <w:tab w:val="left" w:pos="5580"/>
        </w:tabs>
        <w:snapToGrid w:val="0"/>
        <w:spacing w:line="320" w:lineRule="exact"/>
        <w:ind w:left="1080" w:leftChars="257" w:hanging="540"/>
        <w:textAlignment w:val="baseline"/>
        <w:rPr>
          <w:rFonts w:ascii="仿宋" w:hAnsi="仿宋" w:eastAsia="仿宋" w:cs="仿宋"/>
          <w:color w:val="000000"/>
          <w:sz w:val="24"/>
        </w:rPr>
      </w:pPr>
    </w:p>
    <w:p w14:paraId="53C016BD">
      <w:pPr>
        <w:pStyle w:val="16"/>
        <w:tabs>
          <w:tab w:val="left" w:pos="5580"/>
        </w:tabs>
        <w:snapToGrid w:val="0"/>
        <w:spacing w:line="320" w:lineRule="exact"/>
        <w:ind w:left="1080" w:leftChars="257" w:hanging="540"/>
        <w:textAlignment w:val="baseline"/>
        <w:rPr>
          <w:rFonts w:ascii="仿宋" w:hAnsi="仿宋" w:eastAsia="仿宋" w:cs="仿宋"/>
          <w:b/>
          <w:sz w:val="24"/>
        </w:rPr>
      </w:pPr>
      <w:r>
        <w:rPr>
          <w:rFonts w:hint="eastAsia" w:ascii="仿宋" w:hAnsi="仿宋" w:eastAsia="仿宋" w:cs="仿宋"/>
          <w:color w:val="000000"/>
          <w:sz w:val="24"/>
        </w:rPr>
        <w:t>日期</w:t>
      </w:r>
      <w:r>
        <w:rPr>
          <w:rFonts w:hint="eastAsia" w:ascii="仿宋" w:hAnsi="仿宋" w:eastAsia="仿宋" w:cs="仿宋"/>
          <w:color w:val="000000"/>
          <w:sz w:val="24"/>
          <w:u w:val="single" w:color="000000"/>
        </w:rPr>
        <w:t xml:space="preserve">                    </w:t>
      </w:r>
      <w:bookmarkStart w:id="674" w:name="_Toc31304"/>
      <w:bookmarkStart w:id="675" w:name="_Toc14734"/>
      <w:bookmarkStart w:id="676" w:name="_Toc5579"/>
      <w:bookmarkStart w:id="677" w:name="_Toc7944"/>
      <w:bookmarkStart w:id="678" w:name="_Toc12977"/>
      <w:bookmarkStart w:id="679" w:name="_Toc13793"/>
      <w:bookmarkStart w:id="680" w:name="_Toc30989"/>
      <w:bookmarkStart w:id="681" w:name="_Toc8833"/>
      <w:bookmarkStart w:id="682" w:name="_Toc22551"/>
      <w:r>
        <w:rPr>
          <w:rFonts w:hint="eastAsia" w:ascii="仿宋" w:hAnsi="仿宋" w:eastAsia="仿宋" w:cs="仿宋"/>
          <w:color w:val="000000"/>
          <w:sz w:val="24"/>
          <w:u w:val="single" w:color="000000"/>
        </w:rPr>
        <w:t xml:space="preserve">                  </w:t>
      </w:r>
    </w:p>
    <w:p w14:paraId="0D18A6A5">
      <w:pPr>
        <w:pStyle w:val="90"/>
        <w:rPr>
          <w:rFonts w:ascii="仿宋" w:hAnsi="仿宋" w:eastAsia="仿宋" w:cs="仿宋"/>
        </w:rPr>
      </w:pPr>
      <w:bookmarkStart w:id="683" w:name="_Toc8569"/>
      <w:bookmarkStart w:id="684" w:name="_Toc19621"/>
    </w:p>
    <w:p w14:paraId="5766111E">
      <w:pPr>
        <w:pStyle w:val="4"/>
        <w:spacing w:before="0" w:line="288" w:lineRule="auto"/>
        <w:rPr>
          <w:rFonts w:ascii="仿宋" w:hAnsi="仿宋" w:eastAsia="仿宋" w:cs="仿宋"/>
          <w:sz w:val="24"/>
        </w:rPr>
      </w:pPr>
      <w:bookmarkStart w:id="685" w:name="_Toc3836"/>
      <w:r>
        <w:rPr>
          <w:rFonts w:hint="eastAsia" w:ascii="仿宋" w:hAnsi="仿宋" w:eastAsia="仿宋" w:cs="仿宋"/>
          <w:sz w:val="24"/>
        </w:rPr>
        <w:t>2、投标分项报价表</w:t>
      </w:r>
      <w:bookmarkEnd w:id="674"/>
      <w:bookmarkEnd w:id="675"/>
      <w:bookmarkEnd w:id="676"/>
      <w:bookmarkEnd w:id="677"/>
      <w:bookmarkEnd w:id="678"/>
      <w:bookmarkEnd w:id="679"/>
      <w:bookmarkEnd w:id="680"/>
      <w:bookmarkEnd w:id="681"/>
      <w:bookmarkEnd w:id="682"/>
      <w:bookmarkEnd w:id="683"/>
      <w:bookmarkEnd w:id="684"/>
      <w:bookmarkEnd w:id="685"/>
    </w:p>
    <w:p w14:paraId="7C4152DC">
      <w:pPr>
        <w:pStyle w:val="16"/>
        <w:snapToGrid w:val="0"/>
        <w:spacing w:line="240" w:lineRule="atLeast"/>
        <w:ind w:left="1080" w:leftChars="257" w:hanging="540"/>
        <w:textAlignment w:val="baseline"/>
        <w:rPr>
          <w:rFonts w:ascii="仿宋" w:hAnsi="仿宋" w:eastAsia="仿宋" w:cs="仿宋"/>
          <w:sz w:val="24"/>
        </w:rPr>
      </w:pPr>
    </w:p>
    <w:p w14:paraId="6E36246C">
      <w:pPr>
        <w:pStyle w:val="16"/>
        <w:snapToGrid w:val="0"/>
        <w:spacing w:line="240" w:lineRule="atLeast"/>
        <w:ind w:left="79" w:leftChars="-27" w:hanging="136" w:hangingChars="57"/>
        <w:textAlignment w:val="baseline"/>
        <w:rPr>
          <w:rFonts w:ascii="仿宋" w:hAnsi="仿宋" w:eastAsia="仿宋" w:cs="仿宋"/>
          <w:sz w:val="24"/>
        </w:rPr>
      </w:pPr>
      <w:r>
        <w:rPr>
          <w:rFonts w:hint="eastAsia" w:ascii="仿宋" w:hAnsi="仿宋" w:eastAsia="仿宋" w:cs="仿宋"/>
          <w:sz w:val="24"/>
        </w:rPr>
        <w:t xml:space="preserve">项目名称:                                        项目编号:                       </w:t>
      </w:r>
    </w:p>
    <w:p w14:paraId="1DB1FE78">
      <w:pPr>
        <w:pStyle w:val="16"/>
        <w:snapToGrid w:val="0"/>
        <w:spacing w:line="240" w:lineRule="atLeast"/>
        <w:ind w:left="79" w:leftChars="-27" w:hanging="136" w:hangingChars="57"/>
        <w:textAlignment w:val="baseline"/>
        <w:rPr>
          <w:rFonts w:ascii="仿宋" w:hAnsi="仿宋" w:eastAsia="仿宋" w:cs="仿宋"/>
          <w:sz w:val="24"/>
        </w:rPr>
      </w:pPr>
      <w:r>
        <w:rPr>
          <w:rFonts w:hint="eastAsia" w:ascii="仿宋" w:hAnsi="仿宋" w:eastAsia="仿宋" w:cs="仿宋"/>
          <w:sz w:val="24"/>
        </w:rPr>
        <w:t>标    段: 　 　                                  报价单位： 人民币元</w:t>
      </w:r>
    </w:p>
    <w:p w14:paraId="40D08686">
      <w:pPr>
        <w:pStyle w:val="16"/>
        <w:snapToGrid w:val="0"/>
        <w:spacing w:line="240" w:lineRule="atLeast"/>
        <w:ind w:left="1080" w:leftChars="257" w:hanging="540"/>
        <w:textAlignment w:val="baseline"/>
        <w:rPr>
          <w:rFonts w:ascii="仿宋" w:hAnsi="仿宋" w:eastAsia="仿宋" w:cs="仿宋"/>
          <w:sz w:val="24"/>
        </w:rPr>
      </w:pPr>
    </w:p>
    <w:tbl>
      <w:tblPr>
        <w:tblStyle w:val="35"/>
        <w:tblW w:w="9594" w:type="dxa"/>
        <w:tblInd w:w="-10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2"/>
        <w:gridCol w:w="1570"/>
        <w:gridCol w:w="1336"/>
        <w:gridCol w:w="1041"/>
        <w:gridCol w:w="979"/>
        <w:gridCol w:w="1243"/>
        <w:gridCol w:w="963"/>
        <w:gridCol w:w="961"/>
        <w:gridCol w:w="849"/>
      </w:tblGrid>
      <w:tr w14:paraId="16CF1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trPr>
        <w:tc>
          <w:tcPr>
            <w:tcW w:w="652" w:type="dxa"/>
            <w:vAlign w:val="center"/>
          </w:tcPr>
          <w:p w14:paraId="18F7374E">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序号</w:t>
            </w:r>
          </w:p>
        </w:tc>
        <w:tc>
          <w:tcPr>
            <w:tcW w:w="1570" w:type="dxa"/>
            <w:vAlign w:val="center"/>
          </w:tcPr>
          <w:p w14:paraId="55372BB6">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货物名称</w:t>
            </w:r>
          </w:p>
        </w:tc>
        <w:tc>
          <w:tcPr>
            <w:tcW w:w="1336" w:type="dxa"/>
            <w:vAlign w:val="center"/>
          </w:tcPr>
          <w:p w14:paraId="71FF6CB1">
            <w:pPr>
              <w:pStyle w:val="16"/>
              <w:snapToGrid w:val="0"/>
              <w:spacing w:line="240" w:lineRule="atLeast"/>
              <w:jc w:val="center"/>
              <w:textAlignment w:val="baseline"/>
              <w:rPr>
                <w:rFonts w:ascii="仿宋" w:hAnsi="仿宋" w:eastAsia="仿宋" w:cs="仿宋"/>
                <w:sz w:val="24"/>
              </w:rPr>
            </w:pPr>
          </w:p>
          <w:p w14:paraId="72E19721">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品牌型号</w:t>
            </w:r>
          </w:p>
          <w:p w14:paraId="53955CC2">
            <w:pPr>
              <w:pStyle w:val="16"/>
              <w:snapToGrid w:val="0"/>
              <w:spacing w:line="240" w:lineRule="atLeast"/>
              <w:jc w:val="center"/>
              <w:textAlignment w:val="baseline"/>
              <w:rPr>
                <w:rFonts w:ascii="仿宋" w:hAnsi="仿宋" w:eastAsia="仿宋" w:cs="仿宋"/>
                <w:sz w:val="24"/>
              </w:rPr>
            </w:pPr>
          </w:p>
        </w:tc>
        <w:tc>
          <w:tcPr>
            <w:tcW w:w="1041" w:type="dxa"/>
            <w:vAlign w:val="center"/>
          </w:tcPr>
          <w:p w14:paraId="0B2655BA">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数量</w:t>
            </w:r>
          </w:p>
        </w:tc>
        <w:tc>
          <w:tcPr>
            <w:tcW w:w="979" w:type="dxa"/>
            <w:vAlign w:val="center"/>
          </w:tcPr>
          <w:p w14:paraId="10C243DC">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单位</w:t>
            </w:r>
          </w:p>
        </w:tc>
        <w:tc>
          <w:tcPr>
            <w:tcW w:w="1243" w:type="dxa"/>
            <w:vAlign w:val="center"/>
          </w:tcPr>
          <w:p w14:paraId="5CA233B5">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生产厂家</w:t>
            </w:r>
          </w:p>
        </w:tc>
        <w:tc>
          <w:tcPr>
            <w:tcW w:w="963" w:type="dxa"/>
            <w:vAlign w:val="center"/>
          </w:tcPr>
          <w:p w14:paraId="07C9FD9E">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单价</w:t>
            </w:r>
          </w:p>
        </w:tc>
        <w:tc>
          <w:tcPr>
            <w:tcW w:w="961" w:type="dxa"/>
            <w:vAlign w:val="center"/>
          </w:tcPr>
          <w:p w14:paraId="411E07F4">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总价</w:t>
            </w:r>
          </w:p>
        </w:tc>
        <w:tc>
          <w:tcPr>
            <w:tcW w:w="849" w:type="dxa"/>
            <w:vAlign w:val="center"/>
          </w:tcPr>
          <w:p w14:paraId="23F85E73">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备注</w:t>
            </w:r>
          </w:p>
        </w:tc>
      </w:tr>
      <w:tr w14:paraId="1AA81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652" w:type="dxa"/>
            <w:vAlign w:val="center"/>
          </w:tcPr>
          <w:p w14:paraId="23087CBA">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1</w:t>
            </w:r>
          </w:p>
        </w:tc>
        <w:tc>
          <w:tcPr>
            <w:tcW w:w="1570" w:type="dxa"/>
            <w:vAlign w:val="center"/>
          </w:tcPr>
          <w:p w14:paraId="4E5D28B3">
            <w:pPr>
              <w:snapToGrid w:val="0"/>
              <w:jc w:val="center"/>
              <w:textAlignment w:val="center"/>
              <w:rPr>
                <w:rFonts w:ascii="仿宋" w:hAnsi="仿宋" w:eastAsia="仿宋" w:cs="仿宋"/>
                <w:sz w:val="24"/>
              </w:rPr>
            </w:pPr>
          </w:p>
        </w:tc>
        <w:tc>
          <w:tcPr>
            <w:tcW w:w="1336" w:type="dxa"/>
            <w:vAlign w:val="center"/>
          </w:tcPr>
          <w:p w14:paraId="2B506B2F">
            <w:pPr>
              <w:pStyle w:val="16"/>
              <w:snapToGrid w:val="0"/>
              <w:spacing w:line="240" w:lineRule="atLeast"/>
              <w:ind w:left="1080" w:leftChars="257" w:hanging="540"/>
              <w:jc w:val="center"/>
              <w:textAlignment w:val="baseline"/>
              <w:rPr>
                <w:rFonts w:ascii="仿宋" w:hAnsi="仿宋" w:eastAsia="仿宋" w:cs="仿宋"/>
                <w:sz w:val="24"/>
              </w:rPr>
            </w:pPr>
          </w:p>
        </w:tc>
        <w:tc>
          <w:tcPr>
            <w:tcW w:w="1041" w:type="dxa"/>
            <w:vAlign w:val="center"/>
          </w:tcPr>
          <w:p w14:paraId="6096545E">
            <w:pPr>
              <w:pStyle w:val="16"/>
              <w:snapToGrid w:val="0"/>
              <w:spacing w:line="240" w:lineRule="atLeast"/>
              <w:ind w:left="1080" w:leftChars="257" w:hanging="540"/>
              <w:jc w:val="center"/>
              <w:textAlignment w:val="baseline"/>
              <w:rPr>
                <w:rFonts w:ascii="仿宋" w:hAnsi="仿宋" w:eastAsia="仿宋" w:cs="仿宋"/>
                <w:sz w:val="24"/>
              </w:rPr>
            </w:pPr>
          </w:p>
        </w:tc>
        <w:tc>
          <w:tcPr>
            <w:tcW w:w="979" w:type="dxa"/>
            <w:vAlign w:val="center"/>
          </w:tcPr>
          <w:p w14:paraId="705BFC5D">
            <w:pPr>
              <w:pStyle w:val="16"/>
              <w:snapToGrid w:val="0"/>
              <w:spacing w:line="240" w:lineRule="atLeast"/>
              <w:ind w:left="1080" w:leftChars="257" w:hanging="540"/>
              <w:jc w:val="center"/>
              <w:textAlignment w:val="baseline"/>
              <w:rPr>
                <w:rFonts w:ascii="仿宋" w:hAnsi="仿宋" w:eastAsia="仿宋" w:cs="仿宋"/>
                <w:sz w:val="24"/>
              </w:rPr>
            </w:pPr>
          </w:p>
        </w:tc>
        <w:tc>
          <w:tcPr>
            <w:tcW w:w="1243" w:type="dxa"/>
            <w:vAlign w:val="center"/>
          </w:tcPr>
          <w:p w14:paraId="455FD022">
            <w:pPr>
              <w:pStyle w:val="16"/>
              <w:snapToGrid w:val="0"/>
              <w:spacing w:line="240" w:lineRule="atLeast"/>
              <w:ind w:left="1080" w:leftChars="257" w:hanging="540"/>
              <w:jc w:val="center"/>
              <w:textAlignment w:val="baseline"/>
              <w:rPr>
                <w:rFonts w:ascii="仿宋" w:hAnsi="仿宋" w:eastAsia="仿宋" w:cs="仿宋"/>
                <w:sz w:val="24"/>
              </w:rPr>
            </w:pPr>
          </w:p>
        </w:tc>
        <w:tc>
          <w:tcPr>
            <w:tcW w:w="963" w:type="dxa"/>
            <w:vAlign w:val="center"/>
          </w:tcPr>
          <w:p w14:paraId="5FD6810E">
            <w:pPr>
              <w:pStyle w:val="16"/>
              <w:snapToGrid w:val="0"/>
              <w:spacing w:line="240" w:lineRule="atLeast"/>
              <w:ind w:left="1080" w:leftChars="257" w:hanging="540"/>
              <w:jc w:val="center"/>
              <w:textAlignment w:val="baseline"/>
              <w:rPr>
                <w:rFonts w:ascii="仿宋" w:hAnsi="仿宋" w:eastAsia="仿宋" w:cs="仿宋"/>
                <w:sz w:val="24"/>
              </w:rPr>
            </w:pPr>
          </w:p>
        </w:tc>
        <w:tc>
          <w:tcPr>
            <w:tcW w:w="961" w:type="dxa"/>
            <w:vAlign w:val="center"/>
          </w:tcPr>
          <w:p w14:paraId="2ACBCF05">
            <w:pPr>
              <w:pStyle w:val="16"/>
              <w:snapToGrid w:val="0"/>
              <w:spacing w:line="240" w:lineRule="atLeast"/>
              <w:ind w:left="1080" w:leftChars="257" w:hanging="540"/>
              <w:jc w:val="center"/>
              <w:textAlignment w:val="baseline"/>
              <w:rPr>
                <w:rFonts w:ascii="仿宋" w:hAnsi="仿宋" w:eastAsia="仿宋" w:cs="仿宋"/>
                <w:sz w:val="24"/>
              </w:rPr>
            </w:pPr>
          </w:p>
        </w:tc>
        <w:tc>
          <w:tcPr>
            <w:tcW w:w="849" w:type="dxa"/>
            <w:vAlign w:val="center"/>
          </w:tcPr>
          <w:p w14:paraId="6EBB3959">
            <w:pPr>
              <w:pStyle w:val="16"/>
              <w:snapToGrid w:val="0"/>
              <w:spacing w:line="240" w:lineRule="atLeast"/>
              <w:ind w:left="1080" w:leftChars="257" w:hanging="540"/>
              <w:jc w:val="center"/>
              <w:textAlignment w:val="baseline"/>
              <w:rPr>
                <w:rFonts w:ascii="仿宋" w:hAnsi="仿宋" w:eastAsia="仿宋" w:cs="仿宋"/>
                <w:sz w:val="24"/>
              </w:rPr>
            </w:pPr>
          </w:p>
        </w:tc>
      </w:tr>
      <w:tr w14:paraId="6CF2C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652" w:type="dxa"/>
            <w:vAlign w:val="center"/>
          </w:tcPr>
          <w:p w14:paraId="6ED37FBE">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2</w:t>
            </w:r>
          </w:p>
        </w:tc>
        <w:tc>
          <w:tcPr>
            <w:tcW w:w="1570" w:type="dxa"/>
            <w:vAlign w:val="center"/>
          </w:tcPr>
          <w:p w14:paraId="14BB2B57">
            <w:pPr>
              <w:snapToGrid w:val="0"/>
              <w:jc w:val="center"/>
              <w:textAlignment w:val="center"/>
              <w:rPr>
                <w:rFonts w:ascii="仿宋" w:hAnsi="仿宋" w:eastAsia="仿宋" w:cs="仿宋"/>
                <w:sz w:val="24"/>
              </w:rPr>
            </w:pPr>
          </w:p>
        </w:tc>
        <w:tc>
          <w:tcPr>
            <w:tcW w:w="1336" w:type="dxa"/>
            <w:vAlign w:val="center"/>
          </w:tcPr>
          <w:p w14:paraId="61564D94">
            <w:pPr>
              <w:pStyle w:val="16"/>
              <w:snapToGrid w:val="0"/>
              <w:spacing w:line="240" w:lineRule="atLeast"/>
              <w:ind w:left="1080" w:leftChars="257" w:hanging="540"/>
              <w:jc w:val="center"/>
              <w:textAlignment w:val="baseline"/>
              <w:rPr>
                <w:rFonts w:ascii="仿宋" w:hAnsi="仿宋" w:eastAsia="仿宋" w:cs="仿宋"/>
                <w:sz w:val="24"/>
              </w:rPr>
            </w:pPr>
          </w:p>
        </w:tc>
        <w:tc>
          <w:tcPr>
            <w:tcW w:w="1041" w:type="dxa"/>
            <w:vAlign w:val="center"/>
          </w:tcPr>
          <w:p w14:paraId="5F0F3C1E">
            <w:pPr>
              <w:pStyle w:val="16"/>
              <w:snapToGrid w:val="0"/>
              <w:spacing w:line="240" w:lineRule="atLeast"/>
              <w:ind w:left="1080" w:leftChars="257" w:hanging="540"/>
              <w:jc w:val="center"/>
              <w:textAlignment w:val="baseline"/>
              <w:rPr>
                <w:rFonts w:ascii="仿宋" w:hAnsi="仿宋" w:eastAsia="仿宋" w:cs="仿宋"/>
                <w:sz w:val="24"/>
              </w:rPr>
            </w:pPr>
          </w:p>
        </w:tc>
        <w:tc>
          <w:tcPr>
            <w:tcW w:w="979" w:type="dxa"/>
            <w:vAlign w:val="center"/>
          </w:tcPr>
          <w:p w14:paraId="370D7FD3">
            <w:pPr>
              <w:pStyle w:val="16"/>
              <w:snapToGrid w:val="0"/>
              <w:spacing w:line="240" w:lineRule="atLeast"/>
              <w:ind w:left="1080" w:leftChars="257" w:hanging="540"/>
              <w:jc w:val="center"/>
              <w:textAlignment w:val="baseline"/>
              <w:rPr>
                <w:rFonts w:ascii="仿宋" w:hAnsi="仿宋" w:eastAsia="仿宋" w:cs="仿宋"/>
                <w:sz w:val="24"/>
              </w:rPr>
            </w:pPr>
          </w:p>
        </w:tc>
        <w:tc>
          <w:tcPr>
            <w:tcW w:w="1243" w:type="dxa"/>
            <w:vAlign w:val="center"/>
          </w:tcPr>
          <w:p w14:paraId="4C0BF14A">
            <w:pPr>
              <w:pStyle w:val="16"/>
              <w:snapToGrid w:val="0"/>
              <w:spacing w:line="240" w:lineRule="atLeast"/>
              <w:ind w:left="1080" w:leftChars="257" w:hanging="540"/>
              <w:jc w:val="center"/>
              <w:textAlignment w:val="baseline"/>
              <w:rPr>
                <w:rFonts w:ascii="仿宋" w:hAnsi="仿宋" w:eastAsia="仿宋" w:cs="仿宋"/>
                <w:sz w:val="24"/>
              </w:rPr>
            </w:pPr>
          </w:p>
        </w:tc>
        <w:tc>
          <w:tcPr>
            <w:tcW w:w="963" w:type="dxa"/>
            <w:vAlign w:val="center"/>
          </w:tcPr>
          <w:p w14:paraId="530CE054">
            <w:pPr>
              <w:pStyle w:val="16"/>
              <w:snapToGrid w:val="0"/>
              <w:spacing w:line="240" w:lineRule="atLeast"/>
              <w:ind w:left="1080" w:leftChars="257" w:hanging="540"/>
              <w:jc w:val="center"/>
              <w:textAlignment w:val="baseline"/>
              <w:rPr>
                <w:rFonts w:ascii="仿宋" w:hAnsi="仿宋" w:eastAsia="仿宋" w:cs="仿宋"/>
                <w:sz w:val="24"/>
              </w:rPr>
            </w:pPr>
          </w:p>
        </w:tc>
        <w:tc>
          <w:tcPr>
            <w:tcW w:w="961" w:type="dxa"/>
            <w:vAlign w:val="center"/>
          </w:tcPr>
          <w:p w14:paraId="308C1658">
            <w:pPr>
              <w:pStyle w:val="16"/>
              <w:snapToGrid w:val="0"/>
              <w:spacing w:line="240" w:lineRule="atLeast"/>
              <w:ind w:left="1080" w:leftChars="257" w:hanging="540"/>
              <w:jc w:val="center"/>
              <w:textAlignment w:val="baseline"/>
              <w:rPr>
                <w:rFonts w:ascii="仿宋" w:hAnsi="仿宋" w:eastAsia="仿宋" w:cs="仿宋"/>
                <w:sz w:val="24"/>
              </w:rPr>
            </w:pPr>
          </w:p>
        </w:tc>
        <w:tc>
          <w:tcPr>
            <w:tcW w:w="849" w:type="dxa"/>
            <w:vAlign w:val="center"/>
          </w:tcPr>
          <w:p w14:paraId="6F2147FC">
            <w:pPr>
              <w:pStyle w:val="16"/>
              <w:snapToGrid w:val="0"/>
              <w:spacing w:line="240" w:lineRule="atLeast"/>
              <w:ind w:left="1080" w:leftChars="257" w:hanging="540"/>
              <w:jc w:val="center"/>
              <w:textAlignment w:val="baseline"/>
              <w:rPr>
                <w:rFonts w:ascii="仿宋" w:hAnsi="仿宋" w:eastAsia="仿宋" w:cs="仿宋"/>
                <w:sz w:val="24"/>
              </w:rPr>
            </w:pPr>
          </w:p>
        </w:tc>
      </w:tr>
      <w:tr w14:paraId="2FAFE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652" w:type="dxa"/>
            <w:vAlign w:val="center"/>
          </w:tcPr>
          <w:p w14:paraId="4EFC64DD">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3</w:t>
            </w:r>
          </w:p>
        </w:tc>
        <w:tc>
          <w:tcPr>
            <w:tcW w:w="1570" w:type="dxa"/>
            <w:vAlign w:val="center"/>
          </w:tcPr>
          <w:p w14:paraId="08AF20BE">
            <w:pPr>
              <w:snapToGrid w:val="0"/>
              <w:jc w:val="center"/>
              <w:textAlignment w:val="center"/>
              <w:rPr>
                <w:rFonts w:ascii="仿宋" w:hAnsi="仿宋" w:eastAsia="仿宋" w:cs="仿宋"/>
                <w:sz w:val="24"/>
              </w:rPr>
            </w:pPr>
          </w:p>
        </w:tc>
        <w:tc>
          <w:tcPr>
            <w:tcW w:w="1336" w:type="dxa"/>
            <w:vAlign w:val="center"/>
          </w:tcPr>
          <w:p w14:paraId="2755BD3D">
            <w:pPr>
              <w:pStyle w:val="16"/>
              <w:snapToGrid w:val="0"/>
              <w:spacing w:line="240" w:lineRule="atLeast"/>
              <w:ind w:left="1080" w:leftChars="257" w:hanging="540"/>
              <w:jc w:val="center"/>
              <w:textAlignment w:val="baseline"/>
              <w:rPr>
                <w:rFonts w:ascii="仿宋" w:hAnsi="仿宋" w:eastAsia="仿宋" w:cs="仿宋"/>
                <w:sz w:val="24"/>
              </w:rPr>
            </w:pPr>
          </w:p>
        </w:tc>
        <w:tc>
          <w:tcPr>
            <w:tcW w:w="1041" w:type="dxa"/>
            <w:vAlign w:val="center"/>
          </w:tcPr>
          <w:p w14:paraId="4747F159">
            <w:pPr>
              <w:pStyle w:val="16"/>
              <w:snapToGrid w:val="0"/>
              <w:spacing w:line="240" w:lineRule="atLeast"/>
              <w:ind w:left="1080" w:leftChars="257" w:hanging="540"/>
              <w:jc w:val="center"/>
              <w:textAlignment w:val="baseline"/>
              <w:rPr>
                <w:rFonts w:ascii="仿宋" w:hAnsi="仿宋" w:eastAsia="仿宋" w:cs="仿宋"/>
                <w:sz w:val="24"/>
              </w:rPr>
            </w:pPr>
          </w:p>
        </w:tc>
        <w:tc>
          <w:tcPr>
            <w:tcW w:w="979" w:type="dxa"/>
            <w:vAlign w:val="center"/>
          </w:tcPr>
          <w:p w14:paraId="53F53559">
            <w:pPr>
              <w:pStyle w:val="16"/>
              <w:snapToGrid w:val="0"/>
              <w:spacing w:line="240" w:lineRule="atLeast"/>
              <w:ind w:left="1080" w:leftChars="257" w:hanging="540"/>
              <w:jc w:val="center"/>
              <w:textAlignment w:val="baseline"/>
              <w:rPr>
                <w:rFonts w:ascii="仿宋" w:hAnsi="仿宋" w:eastAsia="仿宋" w:cs="仿宋"/>
                <w:sz w:val="24"/>
              </w:rPr>
            </w:pPr>
          </w:p>
        </w:tc>
        <w:tc>
          <w:tcPr>
            <w:tcW w:w="1243" w:type="dxa"/>
            <w:vAlign w:val="center"/>
          </w:tcPr>
          <w:p w14:paraId="1E0EEF41">
            <w:pPr>
              <w:pStyle w:val="16"/>
              <w:snapToGrid w:val="0"/>
              <w:spacing w:line="240" w:lineRule="atLeast"/>
              <w:ind w:left="1080" w:leftChars="257" w:hanging="540"/>
              <w:jc w:val="center"/>
              <w:textAlignment w:val="baseline"/>
              <w:rPr>
                <w:rFonts w:ascii="仿宋" w:hAnsi="仿宋" w:eastAsia="仿宋" w:cs="仿宋"/>
                <w:sz w:val="24"/>
              </w:rPr>
            </w:pPr>
          </w:p>
        </w:tc>
        <w:tc>
          <w:tcPr>
            <w:tcW w:w="963" w:type="dxa"/>
            <w:vAlign w:val="center"/>
          </w:tcPr>
          <w:p w14:paraId="6FA85354">
            <w:pPr>
              <w:pStyle w:val="16"/>
              <w:snapToGrid w:val="0"/>
              <w:spacing w:line="240" w:lineRule="atLeast"/>
              <w:ind w:left="1080" w:leftChars="257" w:hanging="540"/>
              <w:jc w:val="center"/>
              <w:textAlignment w:val="baseline"/>
              <w:rPr>
                <w:rFonts w:ascii="仿宋" w:hAnsi="仿宋" w:eastAsia="仿宋" w:cs="仿宋"/>
                <w:sz w:val="24"/>
              </w:rPr>
            </w:pPr>
          </w:p>
        </w:tc>
        <w:tc>
          <w:tcPr>
            <w:tcW w:w="961" w:type="dxa"/>
            <w:vAlign w:val="center"/>
          </w:tcPr>
          <w:p w14:paraId="048C36A7">
            <w:pPr>
              <w:pStyle w:val="16"/>
              <w:snapToGrid w:val="0"/>
              <w:spacing w:line="240" w:lineRule="atLeast"/>
              <w:ind w:left="1080" w:leftChars="257" w:hanging="540"/>
              <w:jc w:val="center"/>
              <w:textAlignment w:val="baseline"/>
              <w:rPr>
                <w:rFonts w:ascii="仿宋" w:hAnsi="仿宋" w:eastAsia="仿宋" w:cs="仿宋"/>
                <w:sz w:val="24"/>
              </w:rPr>
            </w:pPr>
          </w:p>
        </w:tc>
        <w:tc>
          <w:tcPr>
            <w:tcW w:w="849" w:type="dxa"/>
            <w:vAlign w:val="center"/>
          </w:tcPr>
          <w:p w14:paraId="5B01EDF1">
            <w:pPr>
              <w:pStyle w:val="16"/>
              <w:snapToGrid w:val="0"/>
              <w:spacing w:line="240" w:lineRule="atLeast"/>
              <w:ind w:left="1080" w:leftChars="257" w:hanging="540"/>
              <w:jc w:val="center"/>
              <w:textAlignment w:val="baseline"/>
              <w:rPr>
                <w:rFonts w:ascii="仿宋" w:hAnsi="仿宋" w:eastAsia="仿宋" w:cs="仿宋"/>
                <w:sz w:val="24"/>
              </w:rPr>
            </w:pPr>
          </w:p>
        </w:tc>
      </w:tr>
      <w:tr w14:paraId="4832E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652" w:type="dxa"/>
            <w:vAlign w:val="center"/>
          </w:tcPr>
          <w:p w14:paraId="2741ABE4">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4</w:t>
            </w:r>
          </w:p>
        </w:tc>
        <w:tc>
          <w:tcPr>
            <w:tcW w:w="1570" w:type="dxa"/>
            <w:vAlign w:val="center"/>
          </w:tcPr>
          <w:p w14:paraId="19F478D5">
            <w:pPr>
              <w:snapToGrid w:val="0"/>
              <w:jc w:val="center"/>
              <w:textAlignment w:val="center"/>
              <w:rPr>
                <w:rFonts w:ascii="仿宋" w:hAnsi="仿宋" w:eastAsia="仿宋" w:cs="仿宋"/>
                <w:sz w:val="24"/>
              </w:rPr>
            </w:pPr>
          </w:p>
        </w:tc>
        <w:tc>
          <w:tcPr>
            <w:tcW w:w="1336" w:type="dxa"/>
            <w:vAlign w:val="center"/>
          </w:tcPr>
          <w:p w14:paraId="294A0124">
            <w:pPr>
              <w:pStyle w:val="16"/>
              <w:snapToGrid w:val="0"/>
              <w:spacing w:line="240" w:lineRule="atLeast"/>
              <w:ind w:left="1080" w:leftChars="257" w:hanging="540"/>
              <w:jc w:val="center"/>
              <w:textAlignment w:val="baseline"/>
              <w:rPr>
                <w:rFonts w:ascii="仿宋" w:hAnsi="仿宋" w:eastAsia="仿宋" w:cs="仿宋"/>
                <w:sz w:val="24"/>
              </w:rPr>
            </w:pPr>
          </w:p>
        </w:tc>
        <w:tc>
          <w:tcPr>
            <w:tcW w:w="1041" w:type="dxa"/>
            <w:vAlign w:val="center"/>
          </w:tcPr>
          <w:p w14:paraId="68CB517D">
            <w:pPr>
              <w:pStyle w:val="16"/>
              <w:snapToGrid w:val="0"/>
              <w:spacing w:line="240" w:lineRule="atLeast"/>
              <w:ind w:left="1080" w:leftChars="257" w:hanging="540"/>
              <w:jc w:val="center"/>
              <w:textAlignment w:val="baseline"/>
              <w:rPr>
                <w:rFonts w:ascii="仿宋" w:hAnsi="仿宋" w:eastAsia="仿宋" w:cs="仿宋"/>
                <w:sz w:val="24"/>
              </w:rPr>
            </w:pPr>
          </w:p>
        </w:tc>
        <w:tc>
          <w:tcPr>
            <w:tcW w:w="979" w:type="dxa"/>
            <w:vAlign w:val="center"/>
          </w:tcPr>
          <w:p w14:paraId="31D90E53">
            <w:pPr>
              <w:pStyle w:val="16"/>
              <w:snapToGrid w:val="0"/>
              <w:spacing w:line="240" w:lineRule="atLeast"/>
              <w:ind w:left="1080" w:leftChars="257" w:hanging="540"/>
              <w:jc w:val="center"/>
              <w:textAlignment w:val="baseline"/>
              <w:rPr>
                <w:rFonts w:ascii="仿宋" w:hAnsi="仿宋" w:eastAsia="仿宋" w:cs="仿宋"/>
                <w:sz w:val="24"/>
              </w:rPr>
            </w:pPr>
          </w:p>
        </w:tc>
        <w:tc>
          <w:tcPr>
            <w:tcW w:w="1243" w:type="dxa"/>
            <w:vAlign w:val="center"/>
          </w:tcPr>
          <w:p w14:paraId="26AB6B83">
            <w:pPr>
              <w:pStyle w:val="16"/>
              <w:snapToGrid w:val="0"/>
              <w:spacing w:line="240" w:lineRule="atLeast"/>
              <w:ind w:left="1080" w:leftChars="257" w:hanging="540"/>
              <w:jc w:val="center"/>
              <w:textAlignment w:val="baseline"/>
              <w:rPr>
                <w:rFonts w:ascii="仿宋" w:hAnsi="仿宋" w:eastAsia="仿宋" w:cs="仿宋"/>
                <w:sz w:val="24"/>
              </w:rPr>
            </w:pPr>
          </w:p>
        </w:tc>
        <w:tc>
          <w:tcPr>
            <w:tcW w:w="963" w:type="dxa"/>
            <w:vAlign w:val="center"/>
          </w:tcPr>
          <w:p w14:paraId="4DE0865E">
            <w:pPr>
              <w:pStyle w:val="16"/>
              <w:snapToGrid w:val="0"/>
              <w:spacing w:line="240" w:lineRule="atLeast"/>
              <w:ind w:left="1080" w:leftChars="257" w:hanging="540"/>
              <w:jc w:val="center"/>
              <w:textAlignment w:val="baseline"/>
              <w:rPr>
                <w:rFonts w:ascii="仿宋" w:hAnsi="仿宋" w:eastAsia="仿宋" w:cs="仿宋"/>
                <w:sz w:val="24"/>
              </w:rPr>
            </w:pPr>
          </w:p>
        </w:tc>
        <w:tc>
          <w:tcPr>
            <w:tcW w:w="961" w:type="dxa"/>
            <w:vAlign w:val="center"/>
          </w:tcPr>
          <w:p w14:paraId="696B5C64">
            <w:pPr>
              <w:pStyle w:val="16"/>
              <w:snapToGrid w:val="0"/>
              <w:spacing w:line="240" w:lineRule="atLeast"/>
              <w:ind w:left="1080" w:leftChars="257" w:hanging="540"/>
              <w:jc w:val="center"/>
              <w:textAlignment w:val="baseline"/>
              <w:rPr>
                <w:rFonts w:ascii="仿宋" w:hAnsi="仿宋" w:eastAsia="仿宋" w:cs="仿宋"/>
                <w:sz w:val="24"/>
              </w:rPr>
            </w:pPr>
          </w:p>
        </w:tc>
        <w:tc>
          <w:tcPr>
            <w:tcW w:w="849" w:type="dxa"/>
            <w:vAlign w:val="center"/>
          </w:tcPr>
          <w:p w14:paraId="6982ED64">
            <w:pPr>
              <w:pStyle w:val="16"/>
              <w:snapToGrid w:val="0"/>
              <w:spacing w:line="240" w:lineRule="atLeast"/>
              <w:ind w:left="1080" w:leftChars="257" w:hanging="540"/>
              <w:jc w:val="center"/>
              <w:textAlignment w:val="baseline"/>
              <w:rPr>
                <w:rFonts w:ascii="仿宋" w:hAnsi="仿宋" w:eastAsia="仿宋" w:cs="仿宋"/>
                <w:sz w:val="24"/>
              </w:rPr>
            </w:pPr>
          </w:p>
        </w:tc>
      </w:tr>
      <w:tr w14:paraId="5902B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trPr>
        <w:tc>
          <w:tcPr>
            <w:tcW w:w="652" w:type="dxa"/>
            <w:vAlign w:val="center"/>
          </w:tcPr>
          <w:p w14:paraId="7EA6D9A6">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5</w:t>
            </w:r>
          </w:p>
        </w:tc>
        <w:tc>
          <w:tcPr>
            <w:tcW w:w="1570" w:type="dxa"/>
            <w:vAlign w:val="center"/>
          </w:tcPr>
          <w:p w14:paraId="1E42E386">
            <w:pPr>
              <w:snapToGrid w:val="0"/>
              <w:jc w:val="center"/>
              <w:textAlignment w:val="center"/>
              <w:rPr>
                <w:rFonts w:ascii="仿宋" w:hAnsi="仿宋" w:eastAsia="仿宋" w:cs="仿宋"/>
                <w:sz w:val="24"/>
              </w:rPr>
            </w:pPr>
          </w:p>
        </w:tc>
        <w:tc>
          <w:tcPr>
            <w:tcW w:w="1336" w:type="dxa"/>
            <w:vAlign w:val="center"/>
          </w:tcPr>
          <w:p w14:paraId="76416391">
            <w:pPr>
              <w:pStyle w:val="16"/>
              <w:snapToGrid w:val="0"/>
              <w:spacing w:line="240" w:lineRule="atLeast"/>
              <w:ind w:left="1080" w:leftChars="257" w:hanging="540"/>
              <w:jc w:val="center"/>
              <w:textAlignment w:val="baseline"/>
              <w:rPr>
                <w:rFonts w:ascii="仿宋" w:hAnsi="仿宋" w:eastAsia="仿宋" w:cs="仿宋"/>
                <w:sz w:val="24"/>
              </w:rPr>
            </w:pPr>
          </w:p>
        </w:tc>
        <w:tc>
          <w:tcPr>
            <w:tcW w:w="1041" w:type="dxa"/>
            <w:vAlign w:val="center"/>
          </w:tcPr>
          <w:p w14:paraId="7C88E528">
            <w:pPr>
              <w:pStyle w:val="16"/>
              <w:snapToGrid w:val="0"/>
              <w:spacing w:line="240" w:lineRule="atLeast"/>
              <w:ind w:left="1080" w:leftChars="257" w:hanging="540"/>
              <w:jc w:val="center"/>
              <w:textAlignment w:val="baseline"/>
              <w:rPr>
                <w:rFonts w:ascii="仿宋" w:hAnsi="仿宋" w:eastAsia="仿宋" w:cs="仿宋"/>
                <w:sz w:val="24"/>
              </w:rPr>
            </w:pPr>
          </w:p>
        </w:tc>
        <w:tc>
          <w:tcPr>
            <w:tcW w:w="979" w:type="dxa"/>
            <w:vAlign w:val="center"/>
          </w:tcPr>
          <w:p w14:paraId="7CC65593">
            <w:pPr>
              <w:pStyle w:val="16"/>
              <w:snapToGrid w:val="0"/>
              <w:spacing w:line="240" w:lineRule="atLeast"/>
              <w:ind w:left="1080" w:leftChars="257" w:hanging="540"/>
              <w:jc w:val="center"/>
              <w:textAlignment w:val="baseline"/>
              <w:rPr>
                <w:rFonts w:ascii="仿宋" w:hAnsi="仿宋" w:eastAsia="仿宋" w:cs="仿宋"/>
                <w:sz w:val="24"/>
              </w:rPr>
            </w:pPr>
          </w:p>
        </w:tc>
        <w:tc>
          <w:tcPr>
            <w:tcW w:w="1243" w:type="dxa"/>
            <w:vAlign w:val="center"/>
          </w:tcPr>
          <w:p w14:paraId="4088B822">
            <w:pPr>
              <w:pStyle w:val="16"/>
              <w:snapToGrid w:val="0"/>
              <w:spacing w:line="240" w:lineRule="atLeast"/>
              <w:ind w:left="1080" w:leftChars="257" w:hanging="540"/>
              <w:jc w:val="center"/>
              <w:textAlignment w:val="baseline"/>
              <w:rPr>
                <w:rFonts w:ascii="仿宋" w:hAnsi="仿宋" w:eastAsia="仿宋" w:cs="仿宋"/>
                <w:sz w:val="24"/>
              </w:rPr>
            </w:pPr>
          </w:p>
        </w:tc>
        <w:tc>
          <w:tcPr>
            <w:tcW w:w="963" w:type="dxa"/>
            <w:vAlign w:val="center"/>
          </w:tcPr>
          <w:p w14:paraId="573303A6">
            <w:pPr>
              <w:pStyle w:val="16"/>
              <w:snapToGrid w:val="0"/>
              <w:spacing w:line="240" w:lineRule="atLeast"/>
              <w:ind w:left="1080" w:leftChars="257" w:hanging="540"/>
              <w:jc w:val="center"/>
              <w:textAlignment w:val="baseline"/>
              <w:rPr>
                <w:rFonts w:ascii="仿宋" w:hAnsi="仿宋" w:eastAsia="仿宋" w:cs="仿宋"/>
                <w:sz w:val="24"/>
              </w:rPr>
            </w:pPr>
          </w:p>
        </w:tc>
        <w:tc>
          <w:tcPr>
            <w:tcW w:w="961" w:type="dxa"/>
            <w:vAlign w:val="center"/>
          </w:tcPr>
          <w:p w14:paraId="2CD768F2">
            <w:pPr>
              <w:pStyle w:val="16"/>
              <w:snapToGrid w:val="0"/>
              <w:spacing w:line="240" w:lineRule="atLeast"/>
              <w:ind w:left="1080" w:leftChars="257" w:hanging="540"/>
              <w:jc w:val="center"/>
              <w:textAlignment w:val="baseline"/>
              <w:rPr>
                <w:rFonts w:ascii="仿宋" w:hAnsi="仿宋" w:eastAsia="仿宋" w:cs="仿宋"/>
                <w:sz w:val="24"/>
              </w:rPr>
            </w:pPr>
          </w:p>
        </w:tc>
        <w:tc>
          <w:tcPr>
            <w:tcW w:w="849" w:type="dxa"/>
            <w:vAlign w:val="center"/>
          </w:tcPr>
          <w:p w14:paraId="7A6FD250">
            <w:pPr>
              <w:pStyle w:val="16"/>
              <w:snapToGrid w:val="0"/>
              <w:spacing w:line="240" w:lineRule="atLeast"/>
              <w:ind w:left="1080" w:leftChars="257" w:hanging="540"/>
              <w:jc w:val="center"/>
              <w:textAlignment w:val="baseline"/>
              <w:rPr>
                <w:rFonts w:ascii="仿宋" w:hAnsi="仿宋" w:eastAsia="仿宋" w:cs="仿宋"/>
                <w:sz w:val="24"/>
              </w:rPr>
            </w:pPr>
          </w:p>
        </w:tc>
      </w:tr>
      <w:tr w14:paraId="1E773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trPr>
        <w:tc>
          <w:tcPr>
            <w:tcW w:w="652" w:type="dxa"/>
            <w:vAlign w:val="center"/>
          </w:tcPr>
          <w:p w14:paraId="02E3BD2A">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6</w:t>
            </w:r>
          </w:p>
        </w:tc>
        <w:tc>
          <w:tcPr>
            <w:tcW w:w="1570" w:type="dxa"/>
            <w:vAlign w:val="center"/>
          </w:tcPr>
          <w:p w14:paraId="59429F5C">
            <w:pPr>
              <w:snapToGrid w:val="0"/>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w:t>
            </w:r>
          </w:p>
        </w:tc>
        <w:tc>
          <w:tcPr>
            <w:tcW w:w="1336" w:type="dxa"/>
            <w:vAlign w:val="center"/>
          </w:tcPr>
          <w:p w14:paraId="458ECC88">
            <w:pPr>
              <w:pStyle w:val="16"/>
              <w:snapToGrid w:val="0"/>
              <w:spacing w:line="240" w:lineRule="atLeast"/>
              <w:ind w:left="1080" w:leftChars="257" w:hanging="540"/>
              <w:jc w:val="center"/>
              <w:textAlignment w:val="baseline"/>
              <w:rPr>
                <w:rFonts w:ascii="仿宋" w:hAnsi="仿宋" w:eastAsia="仿宋" w:cs="仿宋"/>
                <w:sz w:val="24"/>
              </w:rPr>
            </w:pPr>
          </w:p>
        </w:tc>
        <w:tc>
          <w:tcPr>
            <w:tcW w:w="1041" w:type="dxa"/>
            <w:vAlign w:val="center"/>
          </w:tcPr>
          <w:p w14:paraId="60157E05">
            <w:pPr>
              <w:pStyle w:val="16"/>
              <w:snapToGrid w:val="0"/>
              <w:spacing w:line="240" w:lineRule="atLeast"/>
              <w:ind w:left="1080" w:leftChars="257" w:hanging="540"/>
              <w:jc w:val="center"/>
              <w:textAlignment w:val="baseline"/>
              <w:rPr>
                <w:rFonts w:ascii="仿宋" w:hAnsi="仿宋" w:eastAsia="仿宋" w:cs="仿宋"/>
                <w:sz w:val="24"/>
              </w:rPr>
            </w:pPr>
          </w:p>
        </w:tc>
        <w:tc>
          <w:tcPr>
            <w:tcW w:w="979" w:type="dxa"/>
            <w:vAlign w:val="center"/>
          </w:tcPr>
          <w:p w14:paraId="5C7909FD">
            <w:pPr>
              <w:pStyle w:val="16"/>
              <w:snapToGrid w:val="0"/>
              <w:spacing w:line="240" w:lineRule="atLeast"/>
              <w:ind w:left="1080" w:leftChars="257" w:hanging="540"/>
              <w:jc w:val="center"/>
              <w:textAlignment w:val="baseline"/>
              <w:rPr>
                <w:rFonts w:ascii="仿宋" w:hAnsi="仿宋" w:eastAsia="仿宋" w:cs="仿宋"/>
                <w:sz w:val="24"/>
              </w:rPr>
            </w:pPr>
          </w:p>
        </w:tc>
        <w:tc>
          <w:tcPr>
            <w:tcW w:w="1243" w:type="dxa"/>
            <w:vAlign w:val="center"/>
          </w:tcPr>
          <w:p w14:paraId="1E8EEE86">
            <w:pPr>
              <w:pStyle w:val="16"/>
              <w:snapToGrid w:val="0"/>
              <w:spacing w:line="240" w:lineRule="atLeast"/>
              <w:ind w:left="1080" w:leftChars="257" w:hanging="540"/>
              <w:jc w:val="center"/>
              <w:textAlignment w:val="baseline"/>
              <w:rPr>
                <w:rFonts w:ascii="仿宋" w:hAnsi="仿宋" w:eastAsia="仿宋" w:cs="仿宋"/>
                <w:sz w:val="24"/>
              </w:rPr>
            </w:pPr>
          </w:p>
        </w:tc>
        <w:tc>
          <w:tcPr>
            <w:tcW w:w="963" w:type="dxa"/>
            <w:vAlign w:val="center"/>
          </w:tcPr>
          <w:p w14:paraId="19129C80">
            <w:pPr>
              <w:pStyle w:val="16"/>
              <w:snapToGrid w:val="0"/>
              <w:spacing w:line="240" w:lineRule="atLeast"/>
              <w:ind w:left="1080" w:leftChars="257" w:hanging="540"/>
              <w:jc w:val="center"/>
              <w:textAlignment w:val="baseline"/>
              <w:rPr>
                <w:rFonts w:ascii="仿宋" w:hAnsi="仿宋" w:eastAsia="仿宋" w:cs="仿宋"/>
                <w:sz w:val="24"/>
              </w:rPr>
            </w:pPr>
          </w:p>
        </w:tc>
        <w:tc>
          <w:tcPr>
            <w:tcW w:w="961" w:type="dxa"/>
            <w:vAlign w:val="center"/>
          </w:tcPr>
          <w:p w14:paraId="4E81F27E">
            <w:pPr>
              <w:pStyle w:val="16"/>
              <w:snapToGrid w:val="0"/>
              <w:spacing w:line="240" w:lineRule="atLeast"/>
              <w:ind w:left="1080" w:leftChars="257" w:hanging="540"/>
              <w:jc w:val="center"/>
              <w:textAlignment w:val="baseline"/>
              <w:rPr>
                <w:rFonts w:ascii="仿宋" w:hAnsi="仿宋" w:eastAsia="仿宋" w:cs="仿宋"/>
                <w:sz w:val="24"/>
              </w:rPr>
            </w:pPr>
          </w:p>
        </w:tc>
        <w:tc>
          <w:tcPr>
            <w:tcW w:w="849" w:type="dxa"/>
            <w:vAlign w:val="center"/>
          </w:tcPr>
          <w:p w14:paraId="0E004857">
            <w:pPr>
              <w:pStyle w:val="16"/>
              <w:snapToGrid w:val="0"/>
              <w:spacing w:line="240" w:lineRule="atLeast"/>
              <w:ind w:left="1080" w:leftChars="257" w:hanging="540"/>
              <w:jc w:val="center"/>
              <w:textAlignment w:val="baseline"/>
              <w:rPr>
                <w:rFonts w:ascii="仿宋" w:hAnsi="仿宋" w:eastAsia="仿宋" w:cs="仿宋"/>
                <w:sz w:val="24"/>
              </w:rPr>
            </w:pPr>
          </w:p>
        </w:tc>
      </w:tr>
    </w:tbl>
    <w:p w14:paraId="7F8631A3">
      <w:pPr>
        <w:pStyle w:val="16"/>
        <w:snapToGrid w:val="0"/>
        <w:spacing w:line="240" w:lineRule="atLeast"/>
        <w:textAlignment w:val="baseline"/>
        <w:rPr>
          <w:rFonts w:ascii="仿宋" w:hAnsi="仿宋" w:eastAsia="仿宋" w:cs="仿宋"/>
          <w:color w:val="000000"/>
          <w:sz w:val="24"/>
        </w:rPr>
      </w:pPr>
      <w:bookmarkStart w:id="686" w:name="_Toc32398"/>
      <w:bookmarkStart w:id="687" w:name="_Toc515647819"/>
      <w:bookmarkStart w:id="688" w:name="_Toc14037"/>
      <w:bookmarkStart w:id="689" w:name="_Toc18267"/>
      <w:bookmarkStart w:id="690" w:name="_Toc216582816"/>
    </w:p>
    <w:p w14:paraId="7A500B41">
      <w:pPr>
        <w:pStyle w:val="16"/>
        <w:snapToGrid w:val="0"/>
        <w:spacing w:line="240" w:lineRule="atLeast"/>
        <w:textAlignment w:val="baseline"/>
        <w:rPr>
          <w:rFonts w:ascii="仿宋" w:hAnsi="仿宋" w:eastAsia="仿宋" w:cs="仿宋"/>
          <w:color w:val="000000"/>
          <w:sz w:val="24"/>
        </w:rPr>
      </w:pPr>
      <w:r>
        <w:rPr>
          <w:rFonts w:hint="eastAsia" w:ascii="仿宋" w:hAnsi="仿宋" w:eastAsia="仿宋" w:cs="仿宋"/>
          <w:color w:val="000000"/>
          <w:sz w:val="24"/>
        </w:rPr>
        <w:t>法定代表人或其委托代理人（签字或签章）:</w:t>
      </w:r>
      <w:r>
        <w:rPr>
          <w:rFonts w:hint="eastAsia" w:ascii="仿宋" w:hAnsi="仿宋" w:eastAsia="仿宋" w:cs="仿宋"/>
          <w:color w:val="000000"/>
          <w:sz w:val="24"/>
          <w:u w:val="single" w:color="000000"/>
        </w:rPr>
        <w:t xml:space="preserve"> </w:t>
      </w:r>
      <w:r>
        <w:rPr>
          <w:rFonts w:hint="eastAsia" w:ascii="仿宋" w:hAnsi="仿宋" w:eastAsia="仿宋" w:cs="仿宋"/>
          <w:color w:val="000000"/>
          <w:sz w:val="24"/>
          <w:u w:val="single" w:color="000000"/>
        </w:rPr>
        <w:tab/>
      </w:r>
      <w:r>
        <w:rPr>
          <w:rFonts w:hint="eastAsia" w:ascii="仿宋" w:hAnsi="仿宋" w:eastAsia="仿宋" w:cs="仿宋"/>
          <w:color w:val="000000"/>
          <w:sz w:val="24"/>
          <w:u w:val="single" w:color="000000"/>
        </w:rPr>
        <w:t xml:space="preserve">                 </w:t>
      </w:r>
    </w:p>
    <w:p w14:paraId="010C8FA7">
      <w:pPr>
        <w:pStyle w:val="16"/>
        <w:tabs>
          <w:tab w:val="left" w:pos="5370"/>
        </w:tabs>
        <w:snapToGrid w:val="0"/>
        <w:spacing w:line="240" w:lineRule="atLeast"/>
        <w:textAlignment w:val="baseline"/>
        <w:rPr>
          <w:rFonts w:ascii="仿宋" w:hAnsi="仿宋" w:eastAsia="仿宋" w:cs="仿宋"/>
          <w:color w:val="000000"/>
          <w:sz w:val="24"/>
          <w:u w:val="single" w:color="000000"/>
        </w:rPr>
      </w:pPr>
      <w:r>
        <w:rPr>
          <w:rFonts w:hint="eastAsia" w:ascii="仿宋" w:hAnsi="仿宋" w:eastAsia="仿宋" w:cs="仿宋"/>
          <w:color w:val="000000"/>
          <w:sz w:val="24"/>
        </w:rPr>
        <w:t>投标人(盖单位章):</w:t>
      </w:r>
      <w:r>
        <w:rPr>
          <w:rFonts w:hint="eastAsia" w:ascii="仿宋" w:hAnsi="仿宋" w:eastAsia="仿宋" w:cs="仿宋"/>
          <w:color w:val="000000"/>
          <w:sz w:val="24"/>
          <w:u w:val="single" w:color="000000"/>
        </w:rPr>
        <w:tab/>
      </w:r>
    </w:p>
    <w:p w14:paraId="28B75122">
      <w:pPr>
        <w:pStyle w:val="16"/>
        <w:snapToGrid w:val="0"/>
        <w:spacing w:line="240" w:lineRule="atLeast"/>
        <w:textAlignment w:val="baseline"/>
        <w:rPr>
          <w:rFonts w:ascii="仿宋" w:hAnsi="仿宋" w:eastAsia="仿宋" w:cs="仿宋"/>
          <w:color w:val="000000"/>
          <w:sz w:val="24"/>
        </w:rPr>
      </w:pPr>
      <w:r>
        <w:rPr>
          <w:rFonts w:hint="eastAsia" w:ascii="仿宋" w:hAnsi="仿宋" w:eastAsia="仿宋" w:cs="仿宋"/>
          <w:color w:val="000000"/>
          <w:sz w:val="24"/>
        </w:rPr>
        <w:t>注: 1.如果投标人认为需要，每种服务、货物填写一份该表。</w:t>
      </w:r>
    </w:p>
    <w:p w14:paraId="53C8B428">
      <w:pPr>
        <w:pStyle w:val="16"/>
        <w:snapToGrid w:val="0"/>
        <w:spacing w:line="240" w:lineRule="atLeast"/>
        <w:ind w:firstLine="480" w:firstLineChars="200"/>
        <w:textAlignment w:val="baseline"/>
        <w:rPr>
          <w:rFonts w:ascii="仿宋" w:hAnsi="仿宋" w:eastAsia="仿宋" w:cs="仿宋"/>
          <w:color w:val="000000"/>
          <w:sz w:val="24"/>
        </w:rPr>
      </w:pPr>
      <w:r>
        <w:rPr>
          <w:rFonts w:hint="eastAsia" w:ascii="仿宋" w:hAnsi="仿宋" w:eastAsia="仿宋" w:cs="仿宋"/>
          <w:color w:val="000000"/>
          <w:sz w:val="24"/>
        </w:rPr>
        <w:t>2.如果按单价计算的结果与总价不一致,以单价为准修正总价。</w:t>
      </w:r>
    </w:p>
    <w:p w14:paraId="0580C962">
      <w:pPr>
        <w:pStyle w:val="16"/>
        <w:snapToGrid w:val="0"/>
        <w:spacing w:line="240" w:lineRule="atLeast"/>
        <w:ind w:firstLine="480" w:firstLineChars="200"/>
        <w:textAlignment w:val="baseline"/>
        <w:rPr>
          <w:rFonts w:ascii="仿宋" w:hAnsi="仿宋" w:eastAsia="仿宋" w:cs="仿宋"/>
          <w:color w:val="000000"/>
          <w:sz w:val="24"/>
        </w:rPr>
      </w:pPr>
      <w:r>
        <w:rPr>
          <w:rFonts w:hint="eastAsia" w:ascii="仿宋" w:hAnsi="仿宋" w:eastAsia="仿宋" w:cs="仿宋"/>
          <w:color w:val="000000"/>
          <w:sz w:val="24"/>
        </w:rPr>
        <w:t>3.如果不提供详细分项报价将视为没有实质性响应招标文件。</w:t>
      </w:r>
    </w:p>
    <w:p w14:paraId="468FAF68">
      <w:pPr>
        <w:pStyle w:val="16"/>
        <w:snapToGrid w:val="0"/>
        <w:spacing w:line="240" w:lineRule="atLeast"/>
        <w:ind w:firstLine="480" w:firstLineChars="200"/>
        <w:textAlignment w:val="baseline"/>
        <w:rPr>
          <w:rFonts w:ascii="仿宋" w:hAnsi="仿宋" w:eastAsia="仿宋" w:cs="仿宋"/>
          <w:color w:val="000000"/>
          <w:sz w:val="24"/>
        </w:rPr>
      </w:pPr>
      <w:r>
        <w:rPr>
          <w:rFonts w:hint="eastAsia" w:ascii="仿宋" w:hAnsi="仿宋" w:eastAsia="仿宋" w:cs="仿宋"/>
          <w:color w:val="000000"/>
          <w:sz w:val="24"/>
        </w:rPr>
        <w:t>4.上述各项的详细分项报价，应另页描述。</w:t>
      </w:r>
    </w:p>
    <w:p w14:paraId="3BEB8CF3">
      <w:pPr>
        <w:pStyle w:val="16"/>
        <w:snapToGrid w:val="0"/>
        <w:spacing w:line="240" w:lineRule="atLeast"/>
        <w:ind w:firstLine="480" w:firstLineChars="200"/>
        <w:textAlignment w:val="baseline"/>
        <w:rPr>
          <w:rFonts w:ascii="仿宋" w:hAnsi="仿宋" w:eastAsia="仿宋" w:cs="仿宋"/>
          <w:color w:val="000000"/>
          <w:sz w:val="24"/>
        </w:rPr>
      </w:pPr>
      <w:r>
        <w:rPr>
          <w:rFonts w:hint="eastAsia" w:ascii="仿宋" w:hAnsi="仿宋" w:eastAsia="仿宋" w:cs="仿宋"/>
          <w:color w:val="000000"/>
          <w:sz w:val="24"/>
        </w:rPr>
        <w:t>5.如果开标一览表（报价表）内容与投标文件中明细表内容不一致的，以开标一览表（报价表）内容为准。</w:t>
      </w:r>
    </w:p>
    <w:p w14:paraId="664ABBA4">
      <w:pPr>
        <w:pStyle w:val="16"/>
        <w:snapToGrid w:val="0"/>
        <w:spacing w:line="240" w:lineRule="atLeast"/>
        <w:ind w:firstLine="480" w:firstLineChars="200"/>
        <w:textAlignment w:val="baseline"/>
        <w:rPr>
          <w:rFonts w:ascii="仿宋" w:hAnsi="仿宋" w:eastAsia="仿宋" w:cs="仿宋"/>
          <w:sz w:val="24"/>
        </w:rPr>
      </w:pPr>
      <w:r>
        <w:rPr>
          <w:rFonts w:hint="eastAsia" w:ascii="仿宋" w:hAnsi="仿宋" w:eastAsia="仿宋" w:cs="仿宋"/>
          <w:sz w:val="24"/>
        </w:rPr>
        <w:t>6.投标人可根据需要自行增减表格行数。</w:t>
      </w:r>
    </w:p>
    <w:p w14:paraId="5DBBD817">
      <w:pPr>
        <w:pStyle w:val="16"/>
        <w:snapToGrid w:val="0"/>
        <w:spacing w:line="240" w:lineRule="atLeast"/>
        <w:ind w:firstLine="480" w:firstLineChars="200"/>
        <w:textAlignment w:val="baseline"/>
        <w:rPr>
          <w:rFonts w:ascii="仿宋" w:hAnsi="仿宋" w:eastAsia="仿宋" w:cs="仿宋"/>
          <w:sz w:val="24"/>
        </w:rPr>
      </w:pPr>
      <w:r>
        <w:rPr>
          <w:rFonts w:hint="eastAsia" w:ascii="仿宋" w:hAnsi="仿宋" w:eastAsia="仿宋" w:cs="仿宋"/>
          <w:sz w:val="24"/>
        </w:rPr>
        <w:t>7.投标人对所报相关内容的真实性负责，采购代理机构有权将相关内容进行公示，因弄虚作假导致的后果由投标人自行承担。</w:t>
      </w:r>
    </w:p>
    <w:p w14:paraId="32550496">
      <w:pPr>
        <w:pStyle w:val="16"/>
        <w:snapToGrid w:val="0"/>
        <w:spacing w:line="240" w:lineRule="atLeast"/>
        <w:ind w:firstLine="480" w:firstLineChars="200"/>
        <w:textAlignment w:val="baseline"/>
        <w:rPr>
          <w:rFonts w:ascii="仿宋" w:hAnsi="仿宋" w:eastAsia="仿宋" w:cs="仿宋"/>
          <w:color w:val="FF0000"/>
        </w:rPr>
      </w:pPr>
      <w:r>
        <w:rPr>
          <w:rFonts w:hint="eastAsia" w:ascii="仿宋" w:hAnsi="仿宋" w:eastAsia="仿宋" w:cs="仿宋"/>
          <w:sz w:val="24"/>
        </w:rPr>
        <w:t>8.本项目为交钥匙工程，以上报价包含货物、技术服务，包装、仓储、运输、装卸、保险、安装、</w:t>
      </w:r>
      <w:r>
        <w:rPr>
          <w:rFonts w:hint="eastAsia" w:ascii="仿宋" w:hAnsi="仿宋" w:eastAsia="仿宋" w:cs="仿宋"/>
          <w:kern w:val="0"/>
          <w:sz w:val="24"/>
        </w:rPr>
        <w:t>种植、</w:t>
      </w:r>
      <w:r>
        <w:rPr>
          <w:rFonts w:hint="eastAsia" w:ascii="仿宋" w:hAnsi="仿宋" w:eastAsia="仿宋" w:cs="仿宋"/>
          <w:sz w:val="24"/>
        </w:rPr>
        <w:t>税金（规费、税金）等的一切费用。</w:t>
      </w:r>
    </w:p>
    <w:p w14:paraId="5F7AC8AA">
      <w:pPr>
        <w:pStyle w:val="16"/>
        <w:snapToGrid w:val="0"/>
        <w:spacing w:line="240" w:lineRule="atLeast"/>
        <w:ind w:firstLine="420" w:firstLineChars="200"/>
        <w:textAlignment w:val="baseline"/>
        <w:rPr>
          <w:rFonts w:ascii="仿宋" w:hAnsi="仿宋" w:eastAsia="仿宋" w:cs="仿宋"/>
          <w:color w:val="FF0000"/>
        </w:rPr>
      </w:pPr>
    </w:p>
    <w:p w14:paraId="4B5236A6">
      <w:pPr>
        <w:pStyle w:val="90"/>
        <w:rPr>
          <w:rFonts w:ascii="仿宋" w:hAnsi="仿宋" w:eastAsia="仿宋" w:cs="仿宋"/>
        </w:rPr>
      </w:pPr>
    </w:p>
    <w:p w14:paraId="1A34EE01">
      <w:pPr>
        <w:snapToGrid w:val="0"/>
        <w:textAlignment w:val="baseline"/>
        <w:rPr>
          <w:rFonts w:ascii="仿宋" w:hAnsi="仿宋" w:eastAsia="仿宋" w:cs="仿宋"/>
          <w:sz w:val="32"/>
          <w:szCs w:val="32"/>
        </w:rPr>
      </w:pPr>
    </w:p>
    <w:p w14:paraId="46E6E42F">
      <w:pPr>
        <w:pStyle w:val="4"/>
        <w:spacing w:before="0" w:line="288" w:lineRule="auto"/>
        <w:rPr>
          <w:rFonts w:ascii="仿宋" w:hAnsi="仿宋" w:eastAsia="仿宋" w:cs="仿宋"/>
          <w:sz w:val="24"/>
        </w:rPr>
      </w:pPr>
      <w:bookmarkStart w:id="691" w:name="_Toc1486"/>
      <w:bookmarkStart w:id="692" w:name="_Toc7368"/>
      <w:bookmarkStart w:id="693" w:name="_Toc19912"/>
      <w:bookmarkStart w:id="694" w:name="_Toc11861"/>
      <w:bookmarkStart w:id="695" w:name="_Toc4839"/>
      <w:bookmarkStart w:id="696" w:name="_Toc7334"/>
      <w:bookmarkStart w:id="697" w:name="_Toc25123"/>
      <w:bookmarkStart w:id="698" w:name="_Toc24906"/>
      <w:bookmarkStart w:id="699" w:name="_Toc17121"/>
      <w:bookmarkStart w:id="700" w:name="_Toc21472"/>
      <w:bookmarkStart w:id="701" w:name="_Toc682"/>
      <w:bookmarkStart w:id="702" w:name="_Toc30769"/>
    </w:p>
    <w:p w14:paraId="58F0A7F8">
      <w:pPr>
        <w:pStyle w:val="4"/>
        <w:spacing w:before="0" w:line="288" w:lineRule="auto"/>
        <w:rPr>
          <w:rFonts w:ascii="仿宋" w:hAnsi="仿宋" w:eastAsia="仿宋" w:cs="仿宋"/>
          <w:sz w:val="24"/>
        </w:rPr>
      </w:pPr>
    </w:p>
    <w:p w14:paraId="225C77FD">
      <w:pPr>
        <w:pStyle w:val="4"/>
        <w:spacing w:before="0" w:line="288" w:lineRule="auto"/>
        <w:rPr>
          <w:rFonts w:ascii="仿宋" w:hAnsi="仿宋" w:eastAsia="仿宋" w:cs="仿宋"/>
          <w:sz w:val="24"/>
        </w:rPr>
      </w:pPr>
      <w:r>
        <w:rPr>
          <w:rFonts w:hint="eastAsia" w:ascii="仿宋" w:hAnsi="仿宋" w:eastAsia="仿宋" w:cs="仿宋"/>
          <w:sz w:val="24"/>
        </w:rPr>
        <w:t>3、货物说明一览表</w:t>
      </w:r>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p>
    <w:p w14:paraId="5A6E26B9">
      <w:pPr>
        <w:pStyle w:val="16"/>
        <w:snapToGrid w:val="0"/>
        <w:spacing w:line="240" w:lineRule="atLeast"/>
        <w:ind w:left="1080" w:leftChars="257" w:hanging="540"/>
        <w:textAlignment w:val="baseline"/>
        <w:rPr>
          <w:rFonts w:ascii="仿宋" w:hAnsi="仿宋" w:eastAsia="仿宋" w:cs="仿宋"/>
          <w:sz w:val="24"/>
        </w:rPr>
      </w:pPr>
    </w:p>
    <w:p w14:paraId="3B6208E5">
      <w:pPr>
        <w:pStyle w:val="16"/>
        <w:snapToGrid w:val="0"/>
        <w:spacing w:line="240" w:lineRule="atLeast"/>
        <w:ind w:left="1080" w:leftChars="257" w:hanging="540"/>
        <w:textAlignment w:val="baseline"/>
        <w:rPr>
          <w:rFonts w:ascii="仿宋" w:hAnsi="仿宋" w:eastAsia="仿宋" w:cs="仿宋"/>
          <w:sz w:val="24"/>
        </w:rPr>
      </w:pPr>
      <w:r>
        <w:rPr>
          <w:rFonts w:hint="eastAsia" w:ascii="仿宋" w:hAnsi="仿宋" w:eastAsia="仿宋" w:cs="仿宋"/>
          <w:sz w:val="24"/>
        </w:rPr>
        <w:t xml:space="preserve">项目名称:           项目编号:              标段:                      </w:t>
      </w:r>
    </w:p>
    <w:p w14:paraId="01E287F6">
      <w:pPr>
        <w:pStyle w:val="16"/>
        <w:snapToGrid w:val="0"/>
        <w:spacing w:line="240" w:lineRule="atLeast"/>
        <w:ind w:left="1080" w:leftChars="257" w:hanging="540"/>
        <w:textAlignment w:val="baseline"/>
        <w:rPr>
          <w:rFonts w:ascii="仿宋" w:hAnsi="仿宋" w:eastAsia="仿宋" w:cs="仿宋"/>
          <w:sz w:val="24"/>
        </w:rPr>
      </w:pPr>
    </w:p>
    <w:tbl>
      <w:tblPr>
        <w:tblStyle w:val="35"/>
        <w:tblpPr w:leftFromText="180" w:rightFromText="180" w:vertAnchor="text" w:horzAnchor="page" w:tblpX="1506" w:tblpY="217"/>
        <w:tblOverlap w:val="never"/>
        <w:tblW w:w="86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5"/>
        <w:gridCol w:w="1326"/>
        <w:gridCol w:w="1205"/>
        <w:gridCol w:w="1085"/>
        <w:gridCol w:w="1056"/>
        <w:gridCol w:w="2126"/>
        <w:gridCol w:w="917"/>
      </w:tblGrid>
      <w:tr w14:paraId="00B4A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trPr>
        <w:tc>
          <w:tcPr>
            <w:tcW w:w="965" w:type="dxa"/>
            <w:vAlign w:val="center"/>
          </w:tcPr>
          <w:p w14:paraId="77C6D37D">
            <w:pPr>
              <w:pStyle w:val="16"/>
              <w:snapToGrid w:val="0"/>
              <w:spacing w:line="240" w:lineRule="atLeast"/>
              <w:ind w:firstLine="240" w:firstLineChars="100"/>
              <w:jc w:val="center"/>
              <w:textAlignment w:val="baseline"/>
              <w:rPr>
                <w:rFonts w:ascii="仿宋" w:hAnsi="仿宋" w:eastAsia="仿宋" w:cs="仿宋"/>
                <w:sz w:val="24"/>
              </w:rPr>
            </w:pPr>
            <w:r>
              <w:rPr>
                <w:rFonts w:hint="eastAsia" w:ascii="仿宋" w:hAnsi="仿宋" w:eastAsia="仿宋" w:cs="仿宋"/>
                <w:sz w:val="24"/>
              </w:rPr>
              <w:t>序号</w:t>
            </w:r>
          </w:p>
        </w:tc>
        <w:tc>
          <w:tcPr>
            <w:tcW w:w="1326" w:type="dxa"/>
            <w:vAlign w:val="center"/>
          </w:tcPr>
          <w:p w14:paraId="7052DDCF">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货物名称</w:t>
            </w:r>
          </w:p>
        </w:tc>
        <w:tc>
          <w:tcPr>
            <w:tcW w:w="1205" w:type="dxa"/>
            <w:vAlign w:val="center"/>
          </w:tcPr>
          <w:p w14:paraId="207B39DC">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品牌型号</w:t>
            </w:r>
          </w:p>
          <w:p w14:paraId="494B5D58">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主要规格</w:t>
            </w:r>
          </w:p>
        </w:tc>
        <w:tc>
          <w:tcPr>
            <w:tcW w:w="1085" w:type="dxa"/>
            <w:vAlign w:val="center"/>
          </w:tcPr>
          <w:p w14:paraId="2390B139">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数量</w:t>
            </w:r>
          </w:p>
        </w:tc>
        <w:tc>
          <w:tcPr>
            <w:tcW w:w="1056" w:type="dxa"/>
            <w:vAlign w:val="center"/>
          </w:tcPr>
          <w:p w14:paraId="4A43CB41">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交货期</w:t>
            </w:r>
          </w:p>
        </w:tc>
        <w:tc>
          <w:tcPr>
            <w:tcW w:w="2126" w:type="dxa"/>
            <w:vAlign w:val="center"/>
          </w:tcPr>
          <w:p w14:paraId="6E657BEA">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交货地点</w:t>
            </w:r>
          </w:p>
        </w:tc>
        <w:tc>
          <w:tcPr>
            <w:tcW w:w="917" w:type="dxa"/>
            <w:vAlign w:val="center"/>
          </w:tcPr>
          <w:p w14:paraId="7DE13468">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其它</w:t>
            </w:r>
          </w:p>
        </w:tc>
      </w:tr>
      <w:tr w14:paraId="0E2EE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965" w:type="dxa"/>
          </w:tcPr>
          <w:p w14:paraId="05E631A1">
            <w:pPr>
              <w:pStyle w:val="16"/>
              <w:snapToGrid w:val="0"/>
              <w:spacing w:line="240" w:lineRule="atLeast"/>
              <w:ind w:left="1080" w:leftChars="257" w:hanging="540"/>
              <w:textAlignment w:val="baseline"/>
              <w:rPr>
                <w:rFonts w:ascii="仿宋" w:hAnsi="仿宋" w:eastAsia="仿宋" w:cs="仿宋"/>
                <w:sz w:val="24"/>
              </w:rPr>
            </w:pPr>
          </w:p>
        </w:tc>
        <w:tc>
          <w:tcPr>
            <w:tcW w:w="1326" w:type="dxa"/>
          </w:tcPr>
          <w:p w14:paraId="76A8A1E7">
            <w:pPr>
              <w:pStyle w:val="16"/>
              <w:snapToGrid w:val="0"/>
              <w:spacing w:line="240" w:lineRule="atLeast"/>
              <w:ind w:left="1080" w:leftChars="257" w:hanging="540"/>
              <w:textAlignment w:val="baseline"/>
              <w:rPr>
                <w:rFonts w:ascii="仿宋" w:hAnsi="仿宋" w:eastAsia="仿宋" w:cs="仿宋"/>
                <w:sz w:val="24"/>
              </w:rPr>
            </w:pPr>
          </w:p>
        </w:tc>
        <w:tc>
          <w:tcPr>
            <w:tcW w:w="1205" w:type="dxa"/>
          </w:tcPr>
          <w:p w14:paraId="1148EE27">
            <w:pPr>
              <w:pStyle w:val="16"/>
              <w:snapToGrid w:val="0"/>
              <w:spacing w:line="240" w:lineRule="atLeast"/>
              <w:ind w:left="1080" w:leftChars="257" w:hanging="540"/>
              <w:textAlignment w:val="baseline"/>
              <w:rPr>
                <w:rFonts w:ascii="仿宋" w:hAnsi="仿宋" w:eastAsia="仿宋" w:cs="仿宋"/>
                <w:sz w:val="24"/>
              </w:rPr>
            </w:pPr>
          </w:p>
        </w:tc>
        <w:tc>
          <w:tcPr>
            <w:tcW w:w="1085" w:type="dxa"/>
          </w:tcPr>
          <w:p w14:paraId="598F2E5B">
            <w:pPr>
              <w:pStyle w:val="16"/>
              <w:snapToGrid w:val="0"/>
              <w:spacing w:line="240" w:lineRule="atLeast"/>
              <w:ind w:left="1080" w:leftChars="257" w:hanging="540"/>
              <w:textAlignment w:val="baseline"/>
              <w:rPr>
                <w:rFonts w:ascii="仿宋" w:hAnsi="仿宋" w:eastAsia="仿宋" w:cs="仿宋"/>
                <w:sz w:val="24"/>
              </w:rPr>
            </w:pPr>
          </w:p>
        </w:tc>
        <w:tc>
          <w:tcPr>
            <w:tcW w:w="1056" w:type="dxa"/>
          </w:tcPr>
          <w:p w14:paraId="25535D4A">
            <w:pPr>
              <w:pStyle w:val="16"/>
              <w:snapToGrid w:val="0"/>
              <w:spacing w:line="240" w:lineRule="atLeast"/>
              <w:ind w:left="1080" w:leftChars="257" w:hanging="540"/>
              <w:textAlignment w:val="baseline"/>
              <w:rPr>
                <w:rFonts w:ascii="仿宋" w:hAnsi="仿宋" w:eastAsia="仿宋" w:cs="仿宋"/>
                <w:sz w:val="24"/>
              </w:rPr>
            </w:pPr>
          </w:p>
        </w:tc>
        <w:tc>
          <w:tcPr>
            <w:tcW w:w="2126" w:type="dxa"/>
          </w:tcPr>
          <w:p w14:paraId="4B2DAE0C">
            <w:pPr>
              <w:pStyle w:val="16"/>
              <w:snapToGrid w:val="0"/>
              <w:spacing w:line="240" w:lineRule="atLeast"/>
              <w:ind w:left="1080" w:leftChars="257" w:hanging="540"/>
              <w:textAlignment w:val="baseline"/>
              <w:rPr>
                <w:rFonts w:ascii="仿宋" w:hAnsi="仿宋" w:eastAsia="仿宋" w:cs="仿宋"/>
                <w:sz w:val="24"/>
              </w:rPr>
            </w:pPr>
          </w:p>
        </w:tc>
        <w:tc>
          <w:tcPr>
            <w:tcW w:w="917" w:type="dxa"/>
          </w:tcPr>
          <w:p w14:paraId="4320A972">
            <w:pPr>
              <w:pStyle w:val="16"/>
              <w:snapToGrid w:val="0"/>
              <w:spacing w:line="240" w:lineRule="atLeast"/>
              <w:ind w:left="1080" w:leftChars="257" w:hanging="540"/>
              <w:textAlignment w:val="baseline"/>
              <w:rPr>
                <w:rFonts w:ascii="仿宋" w:hAnsi="仿宋" w:eastAsia="仿宋" w:cs="仿宋"/>
                <w:sz w:val="24"/>
              </w:rPr>
            </w:pPr>
          </w:p>
        </w:tc>
      </w:tr>
      <w:tr w14:paraId="59C9D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965" w:type="dxa"/>
          </w:tcPr>
          <w:p w14:paraId="52EA7A6C">
            <w:pPr>
              <w:pStyle w:val="16"/>
              <w:snapToGrid w:val="0"/>
              <w:spacing w:line="240" w:lineRule="atLeast"/>
              <w:ind w:left="1080" w:leftChars="257" w:hanging="540"/>
              <w:textAlignment w:val="baseline"/>
              <w:rPr>
                <w:rFonts w:ascii="仿宋" w:hAnsi="仿宋" w:eastAsia="仿宋" w:cs="仿宋"/>
                <w:sz w:val="24"/>
              </w:rPr>
            </w:pPr>
          </w:p>
        </w:tc>
        <w:tc>
          <w:tcPr>
            <w:tcW w:w="1326" w:type="dxa"/>
          </w:tcPr>
          <w:p w14:paraId="3A8E3E51">
            <w:pPr>
              <w:pStyle w:val="16"/>
              <w:snapToGrid w:val="0"/>
              <w:spacing w:line="240" w:lineRule="atLeast"/>
              <w:ind w:left="1080" w:leftChars="257" w:hanging="540"/>
              <w:textAlignment w:val="baseline"/>
              <w:rPr>
                <w:rFonts w:ascii="仿宋" w:hAnsi="仿宋" w:eastAsia="仿宋" w:cs="仿宋"/>
                <w:sz w:val="24"/>
              </w:rPr>
            </w:pPr>
          </w:p>
        </w:tc>
        <w:tc>
          <w:tcPr>
            <w:tcW w:w="1205" w:type="dxa"/>
          </w:tcPr>
          <w:p w14:paraId="37613567">
            <w:pPr>
              <w:pStyle w:val="16"/>
              <w:snapToGrid w:val="0"/>
              <w:spacing w:line="240" w:lineRule="atLeast"/>
              <w:ind w:left="1080" w:leftChars="257" w:hanging="540"/>
              <w:textAlignment w:val="baseline"/>
              <w:rPr>
                <w:rFonts w:ascii="仿宋" w:hAnsi="仿宋" w:eastAsia="仿宋" w:cs="仿宋"/>
                <w:sz w:val="24"/>
              </w:rPr>
            </w:pPr>
          </w:p>
        </w:tc>
        <w:tc>
          <w:tcPr>
            <w:tcW w:w="1085" w:type="dxa"/>
          </w:tcPr>
          <w:p w14:paraId="1C23633C">
            <w:pPr>
              <w:pStyle w:val="16"/>
              <w:snapToGrid w:val="0"/>
              <w:spacing w:line="240" w:lineRule="atLeast"/>
              <w:ind w:left="1080" w:leftChars="257" w:hanging="540"/>
              <w:textAlignment w:val="baseline"/>
              <w:rPr>
                <w:rFonts w:ascii="仿宋" w:hAnsi="仿宋" w:eastAsia="仿宋" w:cs="仿宋"/>
                <w:sz w:val="24"/>
              </w:rPr>
            </w:pPr>
          </w:p>
        </w:tc>
        <w:tc>
          <w:tcPr>
            <w:tcW w:w="1056" w:type="dxa"/>
          </w:tcPr>
          <w:p w14:paraId="1CA19007">
            <w:pPr>
              <w:pStyle w:val="16"/>
              <w:snapToGrid w:val="0"/>
              <w:spacing w:line="240" w:lineRule="atLeast"/>
              <w:ind w:left="1080" w:leftChars="257" w:hanging="540"/>
              <w:textAlignment w:val="baseline"/>
              <w:rPr>
                <w:rFonts w:ascii="仿宋" w:hAnsi="仿宋" w:eastAsia="仿宋" w:cs="仿宋"/>
                <w:sz w:val="24"/>
              </w:rPr>
            </w:pPr>
          </w:p>
        </w:tc>
        <w:tc>
          <w:tcPr>
            <w:tcW w:w="2126" w:type="dxa"/>
          </w:tcPr>
          <w:p w14:paraId="0CA80A0F">
            <w:pPr>
              <w:pStyle w:val="16"/>
              <w:snapToGrid w:val="0"/>
              <w:spacing w:line="240" w:lineRule="atLeast"/>
              <w:ind w:left="1080" w:leftChars="257" w:hanging="540"/>
              <w:textAlignment w:val="baseline"/>
              <w:rPr>
                <w:rFonts w:ascii="仿宋" w:hAnsi="仿宋" w:eastAsia="仿宋" w:cs="仿宋"/>
                <w:sz w:val="24"/>
              </w:rPr>
            </w:pPr>
          </w:p>
        </w:tc>
        <w:tc>
          <w:tcPr>
            <w:tcW w:w="917" w:type="dxa"/>
          </w:tcPr>
          <w:p w14:paraId="4395B951">
            <w:pPr>
              <w:pStyle w:val="16"/>
              <w:snapToGrid w:val="0"/>
              <w:spacing w:line="240" w:lineRule="atLeast"/>
              <w:ind w:left="1080" w:leftChars="257" w:hanging="540"/>
              <w:textAlignment w:val="baseline"/>
              <w:rPr>
                <w:rFonts w:ascii="仿宋" w:hAnsi="仿宋" w:eastAsia="仿宋" w:cs="仿宋"/>
                <w:sz w:val="24"/>
              </w:rPr>
            </w:pPr>
          </w:p>
        </w:tc>
      </w:tr>
      <w:tr w14:paraId="75F9D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965" w:type="dxa"/>
          </w:tcPr>
          <w:p w14:paraId="1023FE97">
            <w:pPr>
              <w:pStyle w:val="16"/>
              <w:snapToGrid w:val="0"/>
              <w:spacing w:line="240" w:lineRule="atLeast"/>
              <w:ind w:left="1080" w:leftChars="257" w:hanging="540"/>
              <w:textAlignment w:val="baseline"/>
              <w:rPr>
                <w:rFonts w:ascii="仿宋" w:hAnsi="仿宋" w:eastAsia="仿宋" w:cs="仿宋"/>
                <w:sz w:val="24"/>
              </w:rPr>
            </w:pPr>
          </w:p>
        </w:tc>
        <w:tc>
          <w:tcPr>
            <w:tcW w:w="1326" w:type="dxa"/>
          </w:tcPr>
          <w:p w14:paraId="43D0891A">
            <w:pPr>
              <w:pStyle w:val="16"/>
              <w:snapToGrid w:val="0"/>
              <w:spacing w:line="240" w:lineRule="atLeast"/>
              <w:ind w:left="1080" w:leftChars="257" w:hanging="540"/>
              <w:textAlignment w:val="baseline"/>
              <w:rPr>
                <w:rFonts w:ascii="仿宋" w:hAnsi="仿宋" w:eastAsia="仿宋" w:cs="仿宋"/>
                <w:sz w:val="24"/>
              </w:rPr>
            </w:pPr>
          </w:p>
        </w:tc>
        <w:tc>
          <w:tcPr>
            <w:tcW w:w="1205" w:type="dxa"/>
          </w:tcPr>
          <w:p w14:paraId="25F4BB88">
            <w:pPr>
              <w:pStyle w:val="16"/>
              <w:snapToGrid w:val="0"/>
              <w:spacing w:line="240" w:lineRule="atLeast"/>
              <w:ind w:left="1080" w:leftChars="257" w:hanging="540"/>
              <w:textAlignment w:val="baseline"/>
              <w:rPr>
                <w:rFonts w:ascii="仿宋" w:hAnsi="仿宋" w:eastAsia="仿宋" w:cs="仿宋"/>
                <w:sz w:val="24"/>
              </w:rPr>
            </w:pPr>
          </w:p>
        </w:tc>
        <w:tc>
          <w:tcPr>
            <w:tcW w:w="1085" w:type="dxa"/>
          </w:tcPr>
          <w:p w14:paraId="7E1FDB72">
            <w:pPr>
              <w:pStyle w:val="16"/>
              <w:snapToGrid w:val="0"/>
              <w:spacing w:line="240" w:lineRule="atLeast"/>
              <w:ind w:left="1080" w:leftChars="257" w:hanging="540"/>
              <w:textAlignment w:val="baseline"/>
              <w:rPr>
                <w:rFonts w:ascii="仿宋" w:hAnsi="仿宋" w:eastAsia="仿宋" w:cs="仿宋"/>
                <w:sz w:val="24"/>
              </w:rPr>
            </w:pPr>
          </w:p>
        </w:tc>
        <w:tc>
          <w:tcPr>
            <w:tcW w:w="1056" w:type="dxa"/>
          </w:tcPr>
          <w:p w14:paraId="7F64B0B3">
            <w:pPr>
              <w:pStyle w:val="16"/>
              <w:snapToGrid w:val="0"/>
              <w:spacing w:line="240" w:lineRule="atLeast"/>
              <w:ind w:left="1080" w:leftChars="257" w:hanging="540"/>
              <w:textAlignment w:val="baseline"/>
              <w:rPr>
                <w:rFonts w:ascii="仿宋" w:hAnsi="仿宋" w:eastAsia="仿宋" w:cs="仿宋"/>
                <w:sz w:val="24"/>
              </w:rPr>
            </w:pPr>
          </w:p>
        </w:tc>
        <w:tc>
          <w:tcPr>
            <w:tcW w:w="2126" w:type="dxa"/>
          </w:tcPr>
          <w:p w14:paraId="64757585">
            <w:pPr>
              <w:pStyle w:val="16"/>
              <w:snapToGrid w:val="0"/>
              <w:spacing w:line="240" w:lineRule="atLeast"/>
              <w:ind w:left="1080" w:leftChars="257" w:hanging="540"/>
              <w:textAlignment w:val="baseline"/>
              <w:rPr>
                <w:rFonts w:ascii="仿宋" w:hAnsi="仿宋" w:eastAsia="仿宋" w:cs="仿宋"/>
                <w:sz w:val="24"/>
              </w:rPr>
            </w:pPr>
          </w:p>
        </w:tc>
        <w:tc>
          <w:tcPr>
            <w:tcW w:w="917" w:type="dxa"/>
          </w:tcPr>
          <w:p w14:paraId="42AB4830">
            <w:pPr>
              <w:pStyle w:val="16"/>
              <w:snapToGrid w:val="0"/>
              <w:spacing w:line="240" w:lineRule="atLeast"/>
              <w:ind w:left="1080" w:leftChars="257" w:hanging="540"/>
              <w:textAlignment w:val="baseline"/>
              <w:rPr>
                <w:rFonts w:ascii="仿宋" w:hAnsi="仿宋" w:eastAsia="仿宋" w:cs="仿宋"/>
                <w:sz w:val="24"/>
              </w:rPr>
            </w:pPr>
          </w:p>
        </w:tc>
      </w:tr>
      <w:tr w14:paraId="302B4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965" w:type="dxa"/>
          </w:tcPr>
          <w:p w14:paraId="2BA968E4">
            <w:pPr>
              <w:pStyle w:val="16"/>
              <w:snapToGrid w:val="0"/>
              <w:spacing w:line="240" w:lineRule="atLeast"/>
              <w:ind w:left="1080" w:leftChars="257" w:hanging="540"/>
              <w:textAlignment w:val="baseline"/>
              <w:rPr>
                <w:rFonts w:ascii="仿宋" w:hAnsi="仿宋" w:eastAsia="仿宋" w:cs="仿宋"/>
                <w:sz w:val="24"/>
              </w:rPr>
            </w:pPr>
          </w:p>
        </w:tc>
        <w:tc>
          <w:tcPr>
            <w:tcW w:w="1326" w:type="dxa"/>
          </w:tcPr>
          <w:p w14:paraId="1AC5390E">
            <w:pPr>
              <w:pStyle w:val="16"/>
              <w:snapToGrid w:val="0"/>
              <w:spacing w:line="240" w:lineRule="atLeast"/>
              <w:ind w:left="1080" w:leftChars="257" w:hanging="540"/>
              <w:textAlignment w:val="baseline"/>
              <w:rPr>
                <w:rFonts w:ascii="仿宋" w:hAnsi="仿宋" w:eastAsia="仿宋" w:cs="仿宋"/>
                <w:sz w:val="24"/>
              </w:rPr>
            </w:pPr>
          </w:p>
        </w:tc>
        <w:tc>
          <w:tcPr>
            <w:tcW w:w="1205" w:type="dxa"/>
          </w:tcPr>
          <w:p w14:paraId="6CA7C20C">
            <w:pPr>
              <w:pStyle w:val="16"/>
              <w:snapToGrid w:val="0"/>
              <w:spacing w:line="240" w:lineRule="atLeast"/>
              <w:ind w:left="1080" w:leftChars="257" w:hanging="540"/>
              <w:textAlignment w:val="baseline"/>
              <w:rPr>
                <w:rFonts w:ascii="仿宋" w:hAnsi="仿宋" w:eastAsia="仿宋" w:cs="仿宋"/>
                <w:sz w:val="24"/>
              </w:rPr>
            </w:pPr>
          </w:p>
        </w:tc>
        <w:tc>
          <w:tcPr>
            <w:tcW w:w="1085" w:type="dxa"/>
          </w:tcPr>
          <w:p w14:paraId="317FE98F">
            <w:pPr>
              <w:pStyle w:val="16"/>
              <w:snapToGrid w:val="0"/>
              <w:spacing w:line="240" w:lineRule="atLeast"/>
              <w:ind w:left="1080" w:leftChars="257" w:hanging="540"/>
              <w:textAlignment w:val="baseline"/>
              <w:rPr>
                <w:rFonts w:ascii="仿宋" w:hAnsi="仿宋" w:eastAsia="仿宋" w:cs="仿宋"/>
                <w:sz w:val="24"/>
              </w:rPr>
            </w:pPr>
          </w:p>
        </w:tc>
        <w:tc>
          <w:tcPr>
            <w:tcW w:w="1056" w:type="dxa"/>
          </w:tcPr>
          <w:p w14:paraId="0ED6060B">
            <w:pPr>
              <w:pStyle w:val="16"/>
              <w:snapToGrid w:val="0"/>
              <w:spacing w:line="240" w:lineRule="atLeast"/>
              <w:ind w:left="1080" w:leftChars="257" w:hanging="540"/>
              <w:textAlignment w:val="baseline"/>
              <w:rPr>
                <w:rFonts w:ascii="仿宋" w:hAnsi="仿宋" w:eastAsia="仿宋" w:cs="仿宋"/>
                <w:sz w:val="24"/>
              </w:rPr>
            </w:pPr>
          </w:p>
        </w:tc>
        <w:tc>
          <w:tcPr>
            <w:tcW w:w="2126" w:type="dxa"/>
          </w:tcPr>
          <w:p w14:paraId="0166CF9A">
            <w:pPr>
              <w:pStyle w:val="16"/>
              <w:snapToGrid w:val="0"/>
              <w:spacing w:line="240" w:lineRule="atLeast"/>
              <w:ind w:left="1080" w:leftChars="257" w:hanging="540"/>
              <w:textAlignment w:val="baseline"/>
              <w:rPr>
                <w:rFonts w:ascii="仿宋" w:hAnsi="仿宋" w:eastAsia="仿宋" w:cs="仿宋"/>
                <w:sz w:val="24"/>
              </w:rPr>
            </w:pPr>
          </w:p>
        </w:tc>
        <w:tc>
          <w:tcPr>
            <w:tcW w:w="917" w:type="dxa"/>
          </w:tcPr>
          <w:p w14:paraId="01DA5B25">
            <w:pPr>
              <w:pStyle w:val="16"/>
              <w:snapToGrid w:val="0"/>
              <w:spacing w:line="240" w:lineRule="atLeast"/>
              <w:ind w:left="1080" w:leftChars="257" w:hanging="540"/>
              <w:textAlignment w:val="baseline"/>
              <w:rPr>
                <w:rFonts w:ascii="仿宋" w:hAnsi="仿宋" w:eastAsia="仿宋" w:cs="仿宋"/>
                <w:sz w:val="24"/>
              </w:rPr>
            </w:pPr>
          </w:p>
        </w:tc>
      </w:tr>
      <w:tr w14:paraId="20224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965" w:type="dxa"/>
          </w:tcPr>
          <w:p w14:paraId="48591031">
            <w:pPr>
              <w:pStyle w:val="16"/>
              <w:snapToGrid w:val="0"/>
              <w:spacing w:line="240" w:lineRule="atLeast"/>
              <w:ind w:left="1080" w:leftChars="257" w:hanging="540"/>
              <w:textAlignment w:val="baseline"/>
              <w:rPr>
                <w:rFonts w:ascii="仿宋" w:hAnsi="仿宋" w:eastAsia="仿宋" w:cs="仿宋"/>
                <w:sz w:val="24"/>
              </w:rPr>
            </w:pPr>
          </w:p>
        </w:tc>
        <w:tc>
          <w:tcPr>
            <w:tcW w:w="1326" w:type="dxa"/>
          </w:tcPr>
          <w:p w14:paraId="1C0842B3">
            <w:pPr>
              <w:pStyle w:val="16"/>
              <w:snapToGrid w:val="0"/>
              <w:spacing w:line="240" w:lineRule="atLeast"/>
              <w:ind w:left="1080" w:leftChars="257" w:hanging="540"/>
              <w:textAlignment w:val="baseline"/>
              <w:rPr>
                <w:rFonts w:ascii="仿宋" w:hAnsi="仿宋" w:eastAsia="仿宋" w:cs="仿宋"/>
                <w:sz w:val="24"/>
              </w:rPr>
            </w:pPr>
          </w:p>
        </w:tc>
        <w:tc>
          <w:tcPr>
            <w:tcW w:w="1205" w:type="dxa"/>
          </w:tcPr>
          <w:p w14:paraId="16360818">
            <w:pPr>
              <w:pStyle w:val="16"/>
              <w:snapToGrid w:val="0"/>
              <w:spacing w:line="240" w:lineRule="atLeast"/>
              <w:ind w:left="1080" w:leftChars="257" w:hanging="540"/>
              <w:textAlignment w:val="baseline"/>
              <w:rPr>
                <w:rFonts w:ascii="仿宋" w:hAnsi="仿宋" w:eastAsia="仿宋" w:cs="仿宋"/>
                <w:sz w:val="24"/>
              </w:rPr>
            </w:pPr>
          </w:p>
        </w:tc>
        <w:tc>
          <w:tcPr>
            <w:tcW w:w="1085" w:type="dxa"/>
          </w:tcPr>
          <w:p w14:paraId="37BF4694">
            <w:pPr>
              <w:pStyle w:val="16"/>
              <w:snapToGrid w:val="0"/>
              <w:spacing w:line="240" w:lineRule="atLeast"/>
              <w:ind w:left="1080" w:leftChars="257" w:hanging="540"/>
              <w:textAlignment w:val="baseline"/>
              <w:rPr>
                <w:rFonts w:ascii="仿宋" w:hAnsi="仿宋" w:eastAsia="仿宋" w:cs="仿宋"/>
                <w:sz w:val="24"/>
              </w:rPr>
            </w:pPr>
          </w:p>
        </w:tc>
        <w:tc>
          <w:tcPr>
            <w:tcW w:w="1056" w:type="dxa"/>
          </w:tcPr>
          <w:p w14:paraId="78B3968C">
            <w:pPr>
              <w:pStyle w:val="16"/>
              <w:snapToGrid w:val="0"/>
              <w:spacing w:line="240" w:lineRule="atLeast"/>
              <w:ind w:left="1080" w:leftChars="257" w:hanging="540"/>
              <w:textAlignment w:val="baseline"/>
              <w:rPr>
                <w:rFonts w:ascii="仿宋" w:hAnsi="仿宋" w:eastAsia="仿宋" w:cs="仿宋"/>
                <w:sz w:val="24"/>
              </w:rPr>
            </w:pPr>
          </w:p>
        </w:tc>
        <w:tc>
          <w:tcPr>
            <w:tcW w:w="2126" w:type="dxa"/>
          </w:tcPr>
          <w:p w14:paraId="08FDF9BC">
            <w:pPr>
              <w:pStyle w:val="16"/>
              <w:snapToGrid w:val="0"/>
              <w:spacing w:line="240" w:lineRule="atLeast"/>
              <w:ind w:left="1080" w:leftChars="257" w:hanging="540"/>
              <w:textAlignment w:val="baseline"/>
              <w:rPr>
                <w:rFonts w:ascii="仿宋" w:hAnsi="仿宋" w:eastAsia="仿宋" w:cs="仿宋"/>
                <w:sz w:val="24"/>
              </w:rPr>
            </w:pPr>
          </w:p>
        </w:tc>
        <w:tc>
          <w:tcPr>
            <w:tcW w:w="917" w:type="dxa"/>
          </w:tcPr>
          <w:p w14:paraId="0090C8D7">
            <w:pPr>
              <w:pStyle w:val="16"/>
              <w:snapToGrid w:val="0"/>
              <w:spacing w:line="240" w:lineRule="atLeast"/>
              <w:ind w:left="1080" w:leftChars="257" w:hanging="540"/>
              <w:textAlignment w:val="baseline"/>
              <w:rPr>
                <w:rFonts w:ascii="仿宋" w:hAnsi="仿宋" w:eastAsia="仿宋" w:cs="仿宋"/>
                <w:sz w:val="24"/>
              </w:rPr>
            </w:pPr>
          </w:p>
        </w:tc>
      </w:tr>
      <w:tr w14:paraId="4BA6D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965" w:type="dxa"/>
          </w:tcPr>
          <w:p w14:paraId="34B37005">
            <w:pPr>
              <w:pStyle w:val="16"/>
              <w:snapToGrid w:val="0"/>
              <w:spacing w:line="240" w:lineRule="atLeast"/>
              <w:ind w:left="1080" w:leftChars="257" w:hanging="540"/>
              <w:textAlignment w:val="baseline"/>
              <w:rPr>
                <w:rFonts w:ascii="仿宋" w:hAnsi="仿宋" w:eastAsia="仿宋" w:cs="仿宋"/>
                <w:sz w:val="24"/>
              </w:rPr>
            </w:pPr>
          </w:p>
        </w:tc>
        <w:tc>
          <w:tcPr>
            <w:tcW w:w="1326" w:type="dxa"/>
          </w:tcPr>
          <w:p w14:paraId="35C33A24">
            <w:pPr>
              <w:pStyle w:val="16"/>
              <w:snapToGrid w:val="0"/>
              <w:spacing w:line="240" w:lineRule="atLeast"/>
              <w:ind w:left="1080" w:leftChars="257" w:hanging="540"/>
              <w:textAlignment w:val="baseline"/>
              <w:rPr>
                <w:rFonts w:ascii="仿宋" w:hAnsi="仿宋" w:eastAsia="仿宋" w:cs="仿宋"/>
                <w:sz w:val="24"/>
              </w:rPr>
            </w:pPr>
          </w:p>
        </w:tc>
        <w:tc>
          <w:tcPr>
            <w:tcW w:w="1205" w:type="dxa"/>
          </w:tcPr>
          <w:p w14:paraId="3F5ACD98">
            <w:pPr>
              <w:pStyle w:val="16"/>
              <w:snapToGrid w:val="0"/>
              <w:spacing w:line="240" w:lineRule="atLeast"/>
              <w:ind w:left="1080" w:leftChars="257" w:hanging="540"/>
              <w:textAlignment w:val="baseline"/>
              <w:rPr>
                <w:rFonts w:ascii="仿宋" w:hAnsi="仿宋" w:eastAsia="仿宋" w:cs="仿宋"/>
                <w:sz w:val="24"/>
              </w:rPr>
            </w:pPr>
          </w:p>
        </w:tc>
        <w:tc>
          <w:tcPr>
            <w:tcW w:w="1085" w:type="dxa"/>
          </w:tcPr>
          <w:p w14:paraId="2AABC7B7">
            <w:pPr>
              <w:pStyle w:val="16"/>
              <w:snapToGrid w:val="0"/>
              <w:spacing w:line="240" w:lineRule="atLeast"/>
              <w:ind w:left="1080" w:leftChars="257" w:hanging="540"/>
              <w:textAlignment w:val="baseline"/>
              <w:rPr>
                <w:rFonts w:ascii="仿宋" w:hAnsi="仿宋" w:eastAsia="仿宋" w:cs="仿宋"/>
                <w:sz w:val="24"/>
              </w:rPr>
            </w:pPr>
          </w:p>
        </w:tc>
        <w:tc>
          <w:tcPr>
            <w:tcW w:w="1056" w:type="dxa"/>
          </w:tcPr>
          <w:p w14:paraId="5E67703F">
            <w:pPr>
              <w:pStyle w:val="16"/>
              <w:snapToGrid w:val="0"/>
              <w:spacing w:line="240" w:lineRule="atLeast"/>
              <w:ind w:left="1080" w:leftChars="257" w:hanging="540"/>
              <w:textAlignment w:val="baseline"/>
              <w:rPr>
                <w:rFonts w:ascii="仿宋" w:hAnsi="仿宋" w:eastAsia="仿宋" w:cs="仿宋"/>
                <w:sz w:val="24"/>
              </w:rPr>
            </w:pPr>
          </w:p>
        </w:tc>
        <w:tc>
          <w:tcPr>
            <w:tcW w:w="2126" w:type="dxa"/>
          </w:tcPr>
          <w:p w14:paraId="6C9BD7F8">
            <w:pPr>
              <w:pStyle w:val="16"/>
              <w:snapToGrid w:val="0"/>
              <w:spacing w:line="240" w:lineRule="atLeast"/>
              <w:ind w:left="1080" w:leftChars="257" w:hanging="540"/>
              <w:textAlignment w:val="baseline"/>
              <w:rPr>
                <w:rFonts w:ascii="仿宋" w:hAnsi="仿宋" w:eastAsia="仿宋" w:cs="仿宋"/>
                <w:sz w:val="24"/>
              </w:rPr>
            </w:pPr>
          </w:p>
        </w:tc>
        <w:tc>
          <w:tcPr>
            <w:tcW w:w="917" w:type="dxa"/>
          </w:tcPr>
          <w:p w14:paraId="7192BE04">
            <w:pPr>
              <w:pStyle w:val="16"/>
              <w:snapToGrid w:val="0"/>
              <w:spacing w:line="240" w:lineRule="atLeast"/>
              <w:ind w:left="1080" w:leftChars="257" w:hanging="540"/>
              <w:textAlignment w:val="baseline"/>
              <w:rPr>
                <w:rFonts w:ascii="仿宋" w:hAnsi="仿宋" w:eastAsia="仿宋" w:cs="仿宋"/>
                <w:sz w:val="24"/>
              </w:rPr>
            </w:pPr>
          </w:p>
        </w:tc>
      </w:tr>
      <w:tr w14:paraId="23C36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965" w:type="dxa"/>
          </w:tcPr>
          <w:p w14:paraId="6AC2ABA5">
            <w:pPr>
              <w:pStyle w:val="16"/>
              <w:snapToGrid w:val="0"/>
              <w:spacing w:line="240" w:lineRule="atLeast"/>
              <w:ind w:left="1080" w:leftChars="257" w:hanging="540"/>
              <w:textAlignment w:val="baseline"/>
              <w:rPr>
                <w:rFonts w:ascii="仿宋" w:hAnsi="仿宋" w:eastAsia="仿宋" w:cs="仿宋"/>
                <w:sz w:val="24"/>
              </w:rPr>
            </w:pPr>
          </w:p>
        </w:tc>
        <w:tc>
          <w:tcPr>
            <w:tcW w:w="1326" w:type="dxa"/>
          </w:tcPr>
          <w:p w14:paraId="1B123929">
            <w:pPr>
              <w:pStyle w:val="16"/>
              <w:snapToGrid w:val="0"/>
              <w:spacing w:line="240" w:lineRule="atLeast"/>
              <w:ind w:left="1080" w:leftChars="257" w:hanging="540"/>
              <w:textAlignment w:val="baseline"/>
              <w:rPr>
                <w:rFonts w:ascii="仿宋" w:hAnsi="仿宋" w:eastAsia="仿宋" w:cs="仿宋"/>
                <w:sz w:val="24"/>
              </w:rPr>
            </w:pPr>
          </w:p>
        </w:tc>
        <w:tc>
          <w:tcPr>
            <w:tcW w:w="1205" w:type="dxa"/>
          </w:tcPr>
          <w:p w14:paraId="491EA13B">
            <w:pPr>
              <w:pStyle w:val="16"/>
              <w:snapToGrid w:val="0"/>
              <w:spacing w:line="240" w:lineRule="atLeast"/>
              <w:ind w:left="1080" w:leftChars="257" w:hanging="540"/>
              <w:textAlignment w:val="baseline"/>
              <w:rPr>
                <w:rFonts w:ascii="仿宋" w:hAnsi="仿宋" w:eastAsia="仿宋" w:cs="仿宋"/>
                <w:sz w:val="24"/>
              </w:rPr>
            </w:pPr>
          </w:p>
        </w:tc>
        <w:tc>
          <w:tcPr>
            <w:tcW w:w="1085" w:type="dxa"/>
          </w:tcPr>
          <w:p w14:paraId="4207A0F1">
            <w:pPr>
              <w:pStyle w:val="16"/>
              <w:snapToGrid w:val="0"/>
              <w:spacing w:line="240" w:lineRule="atLeast"/>
              <w:ind w:left="1080" w:leftChars="257" w:hanging="540"/>
              <w:textAlignment w:val="baseline"/>
              <w:rPr>
                <w:rFonts w:ascii="仿宋" w:hAnsi="仿宋" w:eastAsia="仿宋" w:cs="仿宋"/>
                <w:sz w:val="24"/>
              </w:rPr>
            </w:pPr>
          </w:p>
        </w:tc>
        <w:tc>
          <w:tcPr>
            <w:tcW w:w="1056" w:type="dxa"/>
          </w:tcPr>
          <w:p w14:paraId="7BC3E491">
            <w:pPr>
              <w:pStyle w:val="16"/>
              <w:snapToGrid w:val="0"/>
              <w:spacing w:line="240" w:lineRule="atLeast"/>
              <w:ind w:left="1080" w:leftChars="257" w:hanging="540"/>
              <w:textAlignment w:val="baseline"/>
              <w:rPr>
                <w:rFonts w:ascii="仿宋" w:hAnsi="仿宋" w:eastAsia="仿宋" w:cs="仿宋"/>
                <w:sz w:val="24"/>
              </w:rPr>
            </w:pPr>
          </w:p>
        </w:tc>
        <w:tc>
          <w:tcPr>
            <w:tcW w:w="2126" w:type="dxa"/>
          </w:tcPr>
          <w:p w14:paraId="20953256">
            <w:pPr>
              <w:pStyle w:val="16"/>
              <w:snapToGrid w:val="0"/>
              <w:spacing w:line="240" w:lineRule="atLeast"/>
              <w:ind w:left="1080" w:leftChars="257" w:hanging="540"/>
              <w:textAlignment w:val="baseline"/>
              <w:rPr>
                <w:rFonts w:ascii="仿宋" w:hAnsi="仿宋" w:eastAsia="仿宋" w:cs="仿宋"/>
                <w:sz w:val="24"/>
              </w:rPr>
            </w:pPr>
          </w:p>
        </w:tc>
        <w:tc>
          <w:tcPr>
            <w:tcW w:w="917" w:type="dxa"/>
          </w:tcPr>
          <w:p w14:paraId="3C0B0D4D">
            <w:pPr>
              <w:pStyle w:val="16"/>
              <w:snapToGrid w:val="0"/>
              <w:spacing w:line="240" w:lineRule="atLeast"/>
              <w:ind w:left="1080" w:leftChars="257" w:hanging="540"/>
              <w:textAlignment w:val="baseline"/>
              <w:rPr>
                <w:rFonts w:ascii="仿宋" w:hAnsi="仿宋" w:eastAsia="仿宋" w:cs="仿宋"/>
                <w:sz w:val="24"/>
              </w:rPr>
            </w:pPr>
          </w:p>
        </w:tc>
      </w:tr>
      <w:tr w14:paraId="133A3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 w:hRule="atLeast"/>
        </w:trPr>
        <w:tc>
          <w:tcPr>
            <w:tcW w:w="965" w:type="dxa"/>
          </w:tcPr>
          <w:p w14:paraId="47D445A2">
            <w:pPr>
              <w:pStyle w:val="16"/>
              <w:snapToGrid w:val="0"/>
              <w:spacing w:line="240" w:lineRule="atLeast"/>
              <w:ind w:left="1080" w:leftChars="257" w:hanging="540"/>
              <w:textAlignment w:val="baseline"/>
              <w:rPr>
                <w:rFonts w:ascii="仿宋" w:hAnsi="仿宋" w:eastAsia="仿宋" w:cs="仿宋"/>
                <w:sz w:val="24"/>
              </w:rPr>
            </w:pPr>
          </w:p>
        </w:tc>
        <w:tc>
          <w:tcPr>
            <w:tcW w:w="1326" w:type="dxa"/>
          </w:tcPr>
          <w:p w14:paraId="00DDE314">
            <w:pPr>
              <w:pStyle w:val="16"/>
              <w:snapToGrid w:val="0"/>
              <w:spacing w:line="240" w:lineRule="atLeast"/>
              <w:ind w:left="1080" w:leftChars="257" w:hanging="540"/>
              <w:textAlignment w:val="baseline"/>
              <w:rPr>
                <w:rFonts w:ascii="仿宋" w:hAnsi="仿宋" w:eastAsia="仿宋" w:cs="仿宋"/>
                <w:sz w:val="24"/>
              </w:rPr>
            </w:pPr>
          </w:p>
        </w:tc>
        <w:tc>
          <w:tcPr>
            <w:tcW w:w="1205" w:type="dxa"/>
          </w:tcPr>
          <w:p w14:paraId="13A31F8C">
            <w:pPr>
              <w:pStyle w:val="16"/>
              <w:snapToGrid w:val="0"/>
              <w:spacing w:line="240" w:lineRule="atLeast"/>
              <w:ind w:left="1080" w:leftChars="257" w:hanging="540"/>
              <w:textAlignment w:val="baseline"/>
              <w:rPr>
                <w:rFonts w:ascii="仿宋" w:hAnsi="仿宋" w:eastAsia="仿宋" w:cs="仿宋"/>
                <w:sz w:val="24"/>
              </w:rPr>
            </w:pPr>
          </w:p>
        </w:tc>
        <w:tc>
          <w:tcPr>
            <w:tcW w:w="1085" w:type="dxa"/>
          </w:tcPr>
          <w:p w14:paraId="16786233">
            <w:pPr>
              <w:pStyle w:val="16"/>
              <w:snapToGrid w:val="0"/>
              <w:spacing w:line="240" w:lineRule="atLeast"/>
              <w:ind w:left="1080" w:leftChars="257" w:hanging="540"/>
              <w:textAlignment w:val="baseline"/>
              <w:rPr>
                <w:rFonts w:ascii="仿宋" w:hAnsi="仿宋" w:eastAsia="仿宋" w:cs="仿宋"/>
                <w:sz w:val="24"/>
              </w:rPr>
            </w:pPr>
          </w:p>
        </w:tc>
        <w:tc>
          <w:tcPr>
            <w:tcW w:w="1056" w:type="dxa"/>
          </w:tcPr>
          <w:p w14:paraId="12B5BC78">
            <w:pPr>
              <w:pStyle w:val="16"/>
              <w:snapToGrid w:val="0"/>
              <w:spacing w:line="240" w:lineRule="atLeast"/>
              <w:ind w:left="1080" w:leftChars="257" w:hanging="540"/>
              <w:textAlignment w:val="baseline"/>
              <w:rPr>
                <w:rFonts w:ascii="仿宋" w:hAnsi="仿宋" w:eastAsia="仿宋" w:cs="仿宋"/>
                <w:sz w:val="24"/>
              </w:rPr>
            </w:pPr>
          </w:p>
        </w:tc>
        <w:tc>
          <w:tcPr>
            <w:tcW w:w="2126" w:type="dxa"/>
          </w:tcPr>
          <w:p w14:paraId="7DC26B26">
            <w:pPr>
              <w:pStyle w:val="16"/>
              <w:snapToGrid w:val="0"/>
              <w:spacing w:line="240" w:lineRule="atLeast"/>
              <w:ind w:left="1080" w:leftChars="257" w:hanging="540"/>
              <w:textAlignment w:val="baseline"/>
              <w:rPr>
                <w:rFonts w:ascii="仿宋" w:hAnsi="仿宋" w:eastAsia="仿宋" w:cs="仿宋"/>
                <w:sz w:val="24"/>
              </w:rPr>
            </w:pPr>
          </w:p>
        </w:tc>
        <w:tc>
          <w:tcPr>
            <w:tcW w:w="917" w:type="dxa"/>
          </w:tcPr>
          <w:p w14:paraId="4BF2B794">
            <w:pPr>
              <w:pStyle w:val="16"/>
              <w:snapToGrid w:val="0"/>
              <w:spacing w:line="240" w:lineRule="atLeast"/>
              <w:ind w:left="1080" w:leftChars="257" w:hanging="540"/>
              <w:textAlignment w:val="baseline"/>
              <w:rPr>
                <w:rFonts w:ascii="仿宋" w:hAnsi="仿宋" w:eastAsia="仿宋" w:cs="仿宋"/>
                <w:sz w:val="24"/>
              </w:rPr>
            </w:pPr>
          </w:p>
        </w:tc>
      </w:tr>
    </w:tbl>
    <w:p w14:paraId="147CB56B">
      <w:pPr>
        <w:pStyle w:val="16"/>
        <w:snapToGrid w:val="0"/>
        <w:spacing w:line="240" w:lineRule="atLeast"/>
        <w:ind w:left="1080" w:leftChars="257" w:hanging="540"/>
        <w:textAlignment w:val="baseline"/>
        <w:rPr>
          <w:rFonts w:ascii="仿宋" w:hAnsi="仿宋" w:eastAsia="仿宋" w:cs="仿宋"/>
          <w:sz w:val="24"/>
        </w:rPr>
      </w:pPr>
    </w:p>
    <w:p w14:paraId="132C0643">
      <w:pPr>
        <w:pStyle w:val="16"/>
        <w:snapToGrid w:val="0"/>
        <w:spacing w:line="240" w:lineRule="atLeast"/>
        <w:ind w:left="1080" w:leftChars="257" w:hanging="540"/>
        <w:textAlignment w:val="baseline"/>
        <w:rPr>
          <w:rFonts w:ascii="仿宋" w:hAnsi="仿宋" w:eastAsia="仿宋" w:cs="仿宋"/>
          <w:sz w:val="24"/>
        </w:rPr>
      </w:pPr>
    </w:p>
    <w:p w14:paraId="10008D24">
      <w:pPr>
        <w:pStyle w:val="16"/>
        <w:snapToGrid w:val="0"/>
        <w:spacing w:line="240" w:lineRule="atLeast"/>
        <w:ind w:left="1080" w:leftChars="257" w:hanging="540"/>
        <w:textAlignment w:val="baseline"/>
        <w:rPr>
          <w:rFonts w:ascii="仿宋" w:hAnsi="仿宋" w:eastAsia="仿宋" w:cs="仿宋"/>
          <w:sz w:val="24"/>
        </w:rPr>
      </w:pPr>
      <w:r>
        <w:rPr>
          <w:rFonts w:hint="eastAsia" w:ascii="仿宋" w:hAnsi="仿宋" w:eastAsia="仿宋" w:cs="仿宋"/>
          <w:sz w:val="24"/>
        </w:rPr>
        <w:t>法定代表人或其委托代理人</w:t>
      </w:r>
      <w:r>
        <w:rPr>
          <w:rFonts w:hint="eastAsia" w:ascii="仿宋" w:hAnsi="仿宋" w:eastAsia="仿宋" w:cs="仿宋"/>
          <w:color w:val="000000"/>
          <w:sz w:val="24"/>
        </w:rPr>
        <w:t>（签字或签章）</w:t>
      </w:r>
      <w:r>
        <w:rPr>
          <w:rFonts w:hint="eastAsia" w:ascii="仿宋" w:hAnsi="仿宋" w:eastAsia="仿宋" w:cs="仿宋"/>
          <w:sz w:val="24"/>
        </w:rPr>
        <w:t>: __________</w:t>
      </w:r>
      <w:r>
        <w:rPr>
          <w:rFonts w:hint="eastAsia" w:ascii="仿宋" w:hAnsi="仿宋" w:eastAsia="仿宋" w:cs="仿宋"/>
          <w:sz w:val="24"/>
          <w:u w:val="single" w:color="000000"/>
        </w:rPr>
        <w:t xml:space="preserve">  </w:t>
      </w:r>
    </w:p>
    <w:p w14:paraId="65DE705D">
      <w:pPr>
        <w:pStyle w:val="16"/>
        <w:tabs>
          <w:tab w:val="left" w:pos="5370"/>
        </w:tabs>
        <w:snapToGrid w:val="0"/>
        <w:spacing w:line="240" w:lineRule="atLeast"/>
        <w:ind w:left="1080" w:leftChars="257" w:hanging="540"/>
        <w:textAlignment w:val="baseline"/>
        <w:rPr>
          <w:rFonts w:ascii="仿宋" w:hAnsi="仿宋" w:eastAsia="仿宋" w:cs="仿宋"/>
          <w:sz w:val="24"/>
        </w:rPr>
      </w:pPr>
    </w:p>
    <w:p w14:paraId="3814D45B">
      <w:pPr>
        <w:pStyle w:val="16"/>
        <w:tabs>
          <w:tab w:val="left" w:pos="5370"/>
        </w:tabs>
        <w:snapToGrid w:val="0"/>
        <w:spacing w:line="240" w:lineRule="atLeast"/>
        <w:ind w:left="1080" w:leftChars="257" w:hanging="540"/>
        <w:textAlignment w:val="baseline"/>
        <w:rPr>
          <w:rFonts w:ascii="仿宋" w:hAnsi="仿宋" w:eastAsia="仿宋" w:cs="仿宋"/>
          <w:sz w:val="24"/>
          <w:u w:val="single"/>
        </w:rPr>
      </w:pPr>
      <w:r>
        <w:rPr>
          <w:rFonts w:hint="eastAsia" w:ascii="仿宋" w:hAnsi="仿宋" w:eastAsia="仿宋" w:cs="仿宋"/>
          <w:sz w:val="24"/>
        </w:rPr>
        <w:t>投标人(盖单位章):</w:t>
      </w:r>
      <w:r>
        <w:rPr>
          <w:rFonts w:hint="eastAsia" w:ascii="仿宋" w:hAnsi="仿宋" w:eastAsia="仿宋" w:cs="仿宋"/>
          <w:sz w:val="24"/>
          <w:u w:val="single" w:color="000000"/>
        </w:rPr>
        <w:tab/>
      </w:r>
    </w:p>
    <w:p w14:paraId="3CBD3179">
      <w:pPr>
        <w:pStyle w:val="16"/>
        <w:snapToGrid w:val="0"/>
        <w:spacing w:line="240" w:lineRule="atLeast"/>
        <w:ind w:left="1080" w:leftChars="257" w:hanging="540"/>
        <w:textAlignment w:val="baseline"/>
        <w:rPr>
          <w:rFonts w:ascii="仿宋" w:hAnsi="仿宋" w:eastAsia="仿宋" w:cs="仿宋"/>
          <w:sz w:val="24"/>
        </w:rPr>
      </w:pPr>
    </w:p>
    <w:p w14:paraId="161A92EF">
      <w:pPr>
        <w:pStyle w:val="16"/>
        <w:snapToGrid w:val="0"/>
        <w:spacing w:line="240" w:lineRule="atLeast"/>
        <w:ind w:left="1080" w:leftChars="257" w:hanging="540"/>
        <w:jc w:val="center"/>
        <w:textAlignment w:val="baseline"/>
        <w:rPr>
          <w:rFonts w:ascii="仿宋" w:hAnsi="仿宋" w:eastAsia="仿宋" w:cs="仿宋"/>
          <w:sz w:val="24"/>
        </w:rPr>
      </w:pPr>
    </w:p>
    <w:p w14:paraId="19B0BE3F">
      <w:pPr>
        <w:pStyle w:val="16"/>
        <w:snapToGrid w:val="0"/>
        <w:spacing w:line="240" w:lineRule="atLeast"/>
        <w:ind w:left="1080" w:leftChars="257" w:hanging="540"/>
        <w:jc w:val="center"/>
        <w:textAlignment w:val="baseline"/>
        <w:rPr>
          <w:rFonts w:ascii="仿宋" w:hAnsi="仿宋" w:eastAsia="仿宋" w:cs="仿宋"/>
          <w:sz w:val="24"/>
        </w:rPr>
        <w:sectPr>
          <w:headerReference r:id="rId5" w:type="default"/>
          <w:footerReference r:id="rId6" w:type="default"/>
          <w:pgSz w:w="11906" w:h="16838"/>
          <w:pgMar w:top="1440" w:right="1797" w:bottom="1440" w:left="1797" w:header="851" w:footer="992" w:gutter="0"/>
          <w:cols w:space="720" w:num="1"/>
          <w:docGrid w:linePitch="312" w:charSpace="0"/>
        </w:sectPr>
      </w:pPr>
    </w:p>
    <w:p w14:paraId="5EFE2A34">
      <w:pPr>
        <w:pStyle w:val="4"/>
        <w:spacing w:before="0" w:line="288" w:lineRule="auto"/>
        <w:rPr>
          <w:rFonts w:ascii="仿宋" w:hAnsi="仿宋" w:eastAsia="仿宋" w:cs="仿宋"/>
          <w:sz w:val="24"/>
        </w:rPr>
      </w:pPr>
      <w:bookmarkStart w:id="703" w:name="_Toc216582817"/>
      <w:bookmarkStart w:id="704" w:name="_Toc13515"/>
      <w:bookmarkStart w:id="705" w:name="_Toc10052"/>
      <w:bookmarkStart w:id="706" w:name="_Toc5951"/>
      <w:bookmarkStart w:id="707" w:name="_Toc29133"/>
      <w:bookmarkStart w:id="708" w:name="_Toc515647820"/>
      <w:bookmarkStart w:id="709" w:name="_Toc29780"/>
      <w:bookmarkStart w:id="710" w:name="_Toc32464"/>
      <w:bookmarkStart w:id="711" w:name="_Toc28689"/>
      <w:bookmarkStart w:id="712" w:name="_Toc22563"/>
      <w:bookmarkStart w:id="713" w:name="_Toc1112"/>
      <w:bookmarkStart w:id="714" w:name="_Toc11330"/>
      <w:bookmarkStart w:id="715" w:name="_Toc24855"/>
      <w:bookmarkStart w:id="716" w:name="_Toc24289"/>
      <w:bookmarkStart w:id="717" w:name="_Toc28959"/>
      <w:bookmarkStart w:id="718" w:name="_Toc1197"/>
      <w:bookmarkStart w:id="719" w:name="_Toc12128"/>
      <w:r>
        <w:rPr>
          <w:rFonts w:hint="eastAsia" w:ascii="仿宋" w:hAnsi="仿宋" w:eastAsia="仿宋" w:cs="仿宋"/>
          <w:sz w:val="24"/>
        </w:rPr>
        <w:t>4、技术规格偏离表</w:t>
      </w:r>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p>
    <w:p w14:paraId="57579E4B">
      <w:pPr>
        <w:pStyle w:val="16"/>
        <w:snapToGrid w:val="0"/>
        <w:spacing w:line="240" w:lineRule="atLeast"/>
        <w:ind w:left="1080" w:leftChars="257" w:hanging="540"/>
        <w:textAlignment w:val="baseline"/>
        <w:rPr>
          <w:rFonts w:ascii="仿宋" w:hAnsi="仿宋" w:eastAsia="仿宋" w:cs="仿宋"/>
          <w:sz w:val="24"/>
        </w:rPr>
      </w:pPr>
    </w:p>
    <w:p w14:paraId="516425F3">
      <w:pPr>
        <w:pStyle w:val="16"/>
        <w:snapToGrid w:val="0"/>
        <w:spacing w:line="240" w:lineRule="atLeast"/>
        <w:ind w:firstLine="360" w:firstLineChars="150"/>
        <w:textAlignment w:val="baseline"/>
        <w:rPr>
          <w:rFonts w:ascii="仿宋" w:hAnsi="仿宋" w:eastAsia="仿宋" w:cs="仿宋"/>
          <w:sz w:val="24"/>
        </w:rPr>
      </w:pPr>
      <w:r>
        <w:rPr>
          <w:rFonts w:hint="eastAsia" w:ascii="仿宋" w:hAnsi="仿宋" w:eastAsia="仿宋" w:cs="仿宋"/>
          <w:sz w:val="24"/>
        </w:rPr>
        <w:t>项目名称:                      项目编号:             标段:</w:t>
      </w:r>
    </w:p>
    <w:p w14:paraId="30554F8E">
      <w:pPr>
        <w:pStyle w:val="16"/>
        <w:snapToGrid w:val="0"/>
        <w:spacing w:line="240" w:lineRule="atLeast"/>
        <w:ind w:left="1080" w:leftChars="257" w:hanging="540"/>
        <w:textAlignment w:val="baseline"/>
        <w:rPr>
          <w:rFonts w:ascii="仿宋" w:hAnsi="仿宋" w:eastAsia="仿宋" w:cs="仿宋"/>
          <w:sz w:val="24"/>
        </w:rPr>
      </w:pPr>
    </w:p>
    <w:tbl>
      <w:tblPr>
        <w:tblStyle w:val="35"/>
        <w:tblW w:w="51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5"/>
        <w:gridCol w:w="1218"/>
        <w:gridCol w:w="2410"/>
        <w:gridCol w:w="2406"/>
        <w:gridCol w:w="1313"/>
        <w:gridCol w:w="764"/>
      </w:tblGrid>
      <w:tr w14:paraId="16488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466" w:type="pct"/>
            <w:vAlign w:val="center"/>
          </w:tcPr>
          <w:p w14:paraId="257B4CA4">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序号</w:t>
            </w:r>
          </w:p>
        </w:tc>
        <w:tc>
          <w:tcPr>
            <w:tcW w:w="680" w:type="pct"/>
            <w:vAlign w:val="center"/>
          </w:tcPr>
          <w:p w14:paraId="7A4DD986">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货物名称</w:t>
            </w:r>
          </w:p>
        </w:tc>
        <w:tc>
          <w:tcPr>
            <w:tcW w:w="1346" w:type="pct"/>
            <w:vAlign w:val="center"/>
          </w:tcPr>
          <w:p w14:paraId="58DC0B43">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招标文件的技术规格</w:t>
            </w:r>
          </w:p>
        </w:tc>
        <w:tc>
          <w:tcPr>
            <w:tcW w:w="1344" w:type="pct"/>
            <w:vAlign w:val="center"/>
          </w:tcPr>
          <w:p w14:paraId="2906ABAD">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投标文件的技术规格</w:t>
            </w:r>
          </w:p>
        </w:tc>
        <w:tc>
          <w:tcPr>
            <w:tcW w:w="734" w:type="pct"/>
            <w:vAlign w:val="center"/>
          </w:tcPr>
          <w:p w14:paraId="44B62AD5">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偏离情况</w:t>
            </w:r>
          </w:p>
        </w:tc>
        <w:tc>
          <w:tcPr>
            <w:tcW w:w="427" w:type="pct"/>
            <w:vAlign w:val="center"/>
          </w:tcPr>
          <w:p w14:paraId="7CE27B2B">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说明</w:t>
            </w:r>
          </w:p>
        </w:tc>
      </w:tr>
      <w:tr w14:paraId="4CDB1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466" w:type="pct"/>
          </w:tcPr>
          <w:p w14:paraId="081F22A2">
            <w:pPr>
              <w:pStyle w:val="16"/>
              <w:snapToGrid w:val="0"/>
              <w:spacing w:line="240" w:lineRule="atLeast"/>
              <w:ind w:left="1080" w:leftChars="257" w:hanging="540"/>
              <w:textAlignment w:val="baseline"/>
              <w:rPr>
                <w:rFonts w:ascii="仿宋" w:hAnsi="仿宋" w:eastAsia="仿宋" w:cs="仿宋"/>
                <w:sz w:val="24"/>
              </w:rPr>
            </w:pPr>
          </w:p>
        </w:tc>
        <w:tc>
          <w:tcPr>
            <w:tcW w:w="680" w:type="pct"/>
          </w:tcPr>
          <w:p w14:paraId="52167D60">
            <w:pPr>
              <w:pStyle w:val="16"/>
              <w:snapToGrid w:val="0"/>
              <w:spacing w:line="240" w:lineRule="atLeast"/>
              <w:ind w:left="1080" w:leftChars="257" w:hanging="540"/>
              <w:textAlignment w:val="baseline"/>
              <w:rPr>
                <w:rFonts w:ascii="仿宋" w:hAnsi="仿宋" w:eastAsia="仿宋" w:cs="仿宋"/>
                <w:sz w:val="24"/>
              </w:rPr>
            </w:pPr>
          </w:p>
        </w:tc>
        <w:tc>
          <w:tcPr>
            <w:tcW w:w="1346" w:type="pct"/>
          </w:tcPr>
          <w:p w14:paraId="5E5F1E43">
            <w:pPr>
              <w:pStyle w:val="16"/>
              <w:snapToGrid w:val="0"/>
              <w:spacing w:line="240" w:lineRule="atLeast"/>
              <w:ind w:left="1080" w:leftChars="257" w:hanging="540"/>
              <w:textAlignment w:val="baseline"/>
              <w:rPr>
                <w:rFonts w:ascii="仿宋" w:hAnsi="仿宋" w:eastAsia="仿宋" w:cs="仿宋"/>
                <w:sz w:val="24"/>
              </w:rPr>
            </w:pPr>
          </w:p>
        </w:tc>
        <w:tc>
          <w:tcPr>
            <w:tcW w:w="1344" w:type="pct"/>
          </w:tcPr>
          <w:p w14:paraId="0F29826C">
            <w:pPr>
              <w:pStyle w:val="16"/>
              <w:snapToGrid w:val="0"/>
              <w:spacing w:line="240" w:lineRule="atLeast"/>
              <w:ind w:left="1080" w:leftChars="257" w:hanging="540"/>
              <w:textAlignment w:val="baseline"/>
              <w:rPr>
                <w:rFonts w:ascii="仿宋" w:hAnsi="仿宋" w:eastAsia="仿宋" w:cs="仿宋"/>
                <w:sz w:val="24"/>
              </w:rPr>
            </w:pPr>
          </w:p>
        </w:tc>
        <w:tc>
          <w:tcPr>
            <w:tcW w:w="734" w:type="pct"/>
          </w:tcPr>
          <w:p w14:paraId="1F6B9E5C">
            <w:pPr>
              <w:pStyle w:val="16"/>
              <w:snapToGrid w:val="0"/>
              <w:spacing w:line="240" w:lineRule="atLeast"/>
              <w:ind w:left="1080" w:leftChars="257" w:hanging="540"/>
              <w:textAlignment w:val="baseline"/>
              <w:rPr>
                <w:rFonts w:ascii="仿宋" w:hAnsi="仿宋" w:eastAsia="仿宋" w:cs="仿宋"/>
                <w:sz w:val="24"/>
              </w:rPr>
            </w:pPr>
          </w:p>
        </w:tc>
        <w:tc>
          <w:tcPr>
            <w:tcW w:w="427" w:type="pct"/>
          </w:tcPr>
          <w:p w14:paraId="0C777DB0">
            <w:pPr>
              <w:pStyle w:val="16"/>
              <w:snapToGrid w:val="0"/>
              <w:spacing w:line="240" w:lineRule="atLeast"/>
              <w:ind w:left="1080" w:leftChars="257" w:hanging="540"/>
              <w:textAlignment w:val="baseline"/>
              <w:rPr>
                <w:rFonts w:ascii="仿宋" w:hAnsi="仿宋" w:eastAsia="仿宋" w:cs="仿宋"/>
                <w:sz w:val="24"/>
              </w:rPr>
            </w:pPr>
          </w:p>
        </w:tc>
      </w:tr>
      <w:tr w14:paraId="613CDC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466" w:type="pct"/>
          </w:tcPr>
          <w:p w14:paraId="59EB9C66">
            <w:pPr>
              <w:pStyle w:val="16"/>
              <w:snapToGrid w:val="0"/>
              <w:spacing w:line="240" w:lineRule="atLeast"/>
              <w:ind w:left="1080" w:leftChars="257" w:hanging="540"/>
              <w:textAlignment w:val="baseline"/>
              <w:rPr>
                <w:rFonts w:ascii="仿宋" w:hAnsi="仿宋" w:eastAsia="仿宋" w:cs="仿宋"/>
                <w:sz w:val="24"/>
              </w:rPr>
            </w:pPr>
          </w:p>
        </w:tc>
        <w:tc>
          <w:tcPr>
            <w:tcW w:w="680" w:type="pct"/>
          </w:tcPr>
          <w:p w14:paraId="09D90BD6">
            <w:pPr>
              <w:pStyle w:val="16"/>
              <w:snapToGrid w:val="0"/>
              <w:spacing w:line="240" w:lineRule="atLeast"/>
              <w:ind w:left="1080" w:leftChars="257" w:hanging="540"/>
              <w:textAlignment w:val="baseline"/>
              <w:rPr>
                <w:rFonts w:ascii="仿宋" w:hAnsi="仿宋" w:eastAsia="仿宋" w:cs="仿宋"/>
                <w:sz w:val="24"/>
              </w:rPr>
            </w:pPr>
          </w:p>
        </w:tc>
        <w:tc>
          <w:tcPr>
            <w:tcW w:w="1346" w:type="pct"/>
          </w:tcPr>
          <w:p w14:paraId="3B09C787">
            <w:pPr>
              <w:pStyle w:val="16"/>
              <w:snapToGrid w:val="0"/>
              <w:spacing w:line="240" w:lineRule="atLeast"/>
              <w:ind w:left="1080" w:leftChars="257" w:hanging="540"/>
              <w:textAlignment w:val="baseline"/>
              <w:rPr>
                <w:rFonts w:ascii="仿宋" w:hAnsi="仿宋" w:eastAsia="仿宋" w:cs="仿宋"/>
                <w:sz w:val="24"/>
              </w:rPr>
            </w:pPr>
          </w:p>
        </w:tc>
        <w:tc>
          <w:tcPr>
            <w:tcW w:w="1344" w:type="pct"/>
          </w:tcPr>
          <w:p w14:paraId="4BADEC8D">
            <w:pPr>
              <w:pStyle w:val="16"/>
              <w:snapToGrid w:val="0"/>
              <w:spacing w:line="240" w:lineRule="atLeast"/>
              <w:ind w:left="1080" w:leftChars="257" w:hanging="540"/>
              <w:textAlignment w:val="baseline"/>
              <w:rPr>
                <w:rFonts w:ascii="仿宋" w:hAnsi="仿宋" w:eastAsia="仿宋" w:cs="仿宋"/>
                <w:sz w:val="24"/>
              </w:rPr>
            </w:pPr>
          </w:p>
        </w:tc>
        <w:tc>
          <w:tcPr>
            <w:tcW w:w="734" w:type="pct"/>
          </w:tcPr>
          <w:p w14:paraId="0D6FCCBA">
            <w:pPr>
              <w:pStyle w:val="16"/>
              <w:snapToGrid w:val="0"/>
              <w:spacing w:line="240" w:lineRule="atLeast"/>
              <w:ind w:left="1080" w:leftChars="257" w:hanging="540"/>
              <w:textAlignment w:val="baseline"/>
              <w:rPr>
                <w:rFonts w:ascii="仿宋" w:hAnsi="仿宋" w:eastAsia="仿宋" w:cs="仿宋"/>
                <w:sz w:val="24"/>
              </w:rPr>
            </w:pPr>
          </w:p>
        </w:tc>
        <w:tc>
          <w:tcPr>
            <w:tcW w:w="427" w:type="pct"/>
          </w:tcPr>
          <w:p w14:paraId="103F9E5E">
            <w:pPr>
              <w:pStyle w:val="16"/>
              <w:snapToGrid w:val="0"/>
              <w:spacing w:line="240" w:lineRule="atLeast"/>
              <w:ind w:left="1080" w:leftChars="257" w:hanging="540"/>
              <w:textAlignment w:val="baseline"/>
              <w:rPr>
                <w:rFonts w:ascii="仿宋" w:hAnsi="仿宋" w:eastAsia="仿宋" w:cs="仿宋"/>
                <w:sz w:val="24"/>
              </w:rPr>
            </w:pPr>
          </w:p>
        </w:tc>
      </w:tr>
      <w:tr w14:paraId="5B3F2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466" w:type="pct"/>
          </w:tcPr>
          <w:p w14:paraId="79BA2842">
            <w:pPr>
              <w:pStyle w:val="16"/>
              <w:snapToGrid w:val="0"/>
              <w:spacing w:line="240" w:lineRule="atLeast"/>
              <w:ind w:left="1080" w:leftChars="257" w:hanging="540"/>
              <w:textAlignment w:val="baseline"/>
              <w:rPr>
                <w:rFonts w:ascii="仿宋" w:hAnsi="仿宋" w:eastAsia="仿宋" w:cs="仿宋"/>
                <w:sz w:val="24"/>
              </w:rPr>
            </w:pPr>
          </w:p>
        </w:tc>
        <w:tc>
          <w:tcPr>
            <w:tcW w:w="680" w:type="pct"/>
          </w:tcPr>
          <w:p w14:paraId="220E86F0">
            <w:pPr>
              <w:pStyle w:val="16"/>
              <w:snapToGrid w:val="0"/>
              <w:spacing w:line="240" w:lineRule="atLeast"/>
              <w:ind w:left="1080" w:leftChars="257" w:hanging="540"/>
              <w:textAlignment w:val="baseline"/>
              <w:rPr>
                <w:rFonts w:ascii="仿宋" w:hAnsi="仿宋" w:eastAsia="仿宋" w:cs="仿宋"/>
                <w:sz w:val="24"/>
              </w:rPr>
            </w:pPr>
          </w:p>
        </w:tc>
        <w:tc>
          <w:tcPr>
            <w:tcW w:w="1346" w:type="pct"/>
          </w:tcPr>
          <w:p w14:paraId="00C90F30">
            <w:pPr>
              <w:pStyle w:val="16"/>
              <w:snapToGrid w:val="0"/>
              <w:spacing w:line="240" w:lineRule="atLeast"/>
              <w:ind w:left="1080" w:leftChars="257" w:hanging="540"/>
              <w:textAlignment w:val="baseline"/>
              <w:rPr>
                <w:rFonts w:ascii="仿宋" w:hAnsi="仿宋" w:eastAsia="仿宋" w:cs="仿宋"/>
                <w:sz w:val="24"/>
              </w:rPr>
            </w:pPr>
          </w:p>
        </w:tc>
        <w:tc>
          <w:tcPr>
            <w:tcW w:w="1344" w:type="pct"/>
          </w:tcPr>
          <w:p w14:paraId="41ADE649">
            <w:pPr>
              <w:pStyle w:val="16"/>
              <w:snapToGrid w:val="0"/>
              <w:spacing w:line="240" w:lineRule="atLeast"/>
              <w:ind w:left="1080" w:leftChars="257" w:hanging="540"/>
              <w:textAlignment w:val="baseline"/>
              <w:rPr>
                <w:rFonts w:ascii="仿宋" w:hAnsi="仿宋" w:eastAsia="仿宋" w:cs="仿宋"/>
                <w:sz w:val="24"/>
              </w:rPr>
            </w:pPr>
          </w:p>
        </w:tc>
        <w:tc>
          <w:tcPr>
            <w:tcW w:w="734" w:type="pct"/>
          </w:tcPr>
          <w:p w14:paraId="23D3A974">
            <w:pPr>
              <w:pStyle w:val="16"/>
              <w:snapToGrid w:val="0"/>
              <w:spacing w:line="240" w:lineRule="atLeast"/>
              <w:ind w:left="1080" w:leftChars="257" w:hanging="540"/>
              <w:textAlignment w:val="baseline"/>
              <w:rPr>
                <w:rFonts w:ascii="仿宋" w:hAnsi="仿宋" w:eastAsia="仿宋" w:cs="仿宋"/>
                <w:sz w:val="24"/>
              </w:rPr>
            </w:pPr>
          </w:p>
        </w:tc>
        <w:tc>
          <w:tcPr>
            <w:tcW w:w="427" w:type="pct"/>
          </w:tcPr>
          <w:p w14:paraId="5F1F0F00">
            <w:pPr>
              <w:pStyle w:val="16"/>
              <w:snapToGrid w:val="0"/>
              <w:spacing w:line="240" w:lineRule="atLeast"/>
              <w:ind w:left="1080" w:leftChars="257" w:hanging="540"/>
              <w:textAlignment w:val="baseline"/>
              <w:rPr>
                <w:rFonts w:ascii="仿宋" w:hAnsi="仿宋" w:eastAsia="仿宋" w:cs="仿宋"/>
                <w:sz w:val="24"/>
              </w:rPr>
            </w:pPr>
          </w:p>
        </w:tc>
      </w:tr>
      <w:tr w14:paraId="524FE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466" w:type="pct"/>
          </w:tcPr>
          <w:p w14:paraId="7D5DAD78">
            <w:pPr>
              <w:pStyle w:val="16"/>
              <w:snapToGrid w:val="0"/>
              <w:spacing w:line="240" w:lineRule="atLeast"/>
              <w:ind w:left="1080" w:leftChars="257" w:hanging="540"/>
              <w:textAlignment w:val="baseline"/>
              <w:rPr>
                <w:rFonts w:ascii="仿宋" w:hAnsi="仿宋" w:eastAsia="仿宋" w:cs="仿宋"/>
                <w:sz w:val="24"/>
              </w:rPr>
            </w:pPr>
          </w:p>
        </w:tc>
        <w:tc>
          <w:tcPr>
            <w:tcW w:w="680" w:type="pct"/>
          </w:tcPr>
          <w:p w14:paraId="21F72DA4">
            <w:pPr>
              <w:pStyle w:val="16"/>
              <w:snapToGrid w:val="0"/>
              <w:spacing w:line="240" w:lineRule="atLeast"/>
              <w:ind w:left="1080" w:leftChars="257" w:hanging="540"/>
              <w:textAlignment w:val="baseline"/>
              <w:rPr>
                <w:rFonts w:ascii="仿宋" w:hAnsi="仿宋" w:eastAsia="仿宋" w:cs="仿宋"/>
                <w:sz w:val="24"/>
              </w:rPr>
            </w:pPr>
          </w:p>
        </w:tc>
        <w:tc>
          <w:tcPr>
            <w:tcW w:w="1346" w:type="pct"/>
          </w:tcPr>
          <w:p w14:paraId="32976A95">
            <w:pPr>
              <w:pStyle w:val="16"/>
              <w:snapToGrid w:val="0"/>
              <w:spacing w:line="240" w:lineRule="atLeast"/>
              <w:ind w:left="1080" w:leftChars="257" w:hanging="540"/>
              <w:textAlignment w:val="baseline"/>
              <w:rPr>
                <w:rFonts w:ascii="仿宋" w:hAnsi="仿宋" w:eastAsia="仿宋" w:cs="仿宋"/>
                <w:sz w:val="24"/>
              </w:rPr>
            </w:pPr>
          </w:p>
        </w:tc>
        <w:tc>
          <w:tcPr>
            <w:tcW w:w="1344" w:type="pct"/>
          </w:tcPr>
          <w:p w14:paraId="1EADEB67">
            <w:pPr>
              <w:pStyle w:val="16"/>
              <w:snapToGrid w:val="0"/>
              <w:spacing w:line="240" w:lineRule="atLeast"/>
              <w:ind w:left="1080" w:leftChars="257" w:hanging="540"/>
              <w:textAlignment w:val="baseline"/>
              <w:rPr>
                <w:rFonts w:ascii="仿宋" w:hAnsi="仿宋" w:eastAsia="仿宋" w:cs="仿宋"/>
                <w:sz w:val="24"/>
              </w:rPr>
            </w:pPr>
          </w:p>
        </w:tc>
        <w:tc>
          <w:tcPr>
            <w:tcW w:w="734" w:type="pct"/>
          </w:tcPr>
          <w:p w14:paraId="76B18043">
            <w:pPr>
              <w:pStyle w:val="16"/>
              <w:snapToGrid w:val="0"/>
              <w:spacing w:line="240" w:lineRule="atLeast"/>
              <w:ind w:left="1080" w:leftChars="257" w:hanging="540"/>
              <w:textAlignment w:val="baseline"/>
              <w:rPr>
                <w:rFonts w:ascii="仿宋" w:hAnsi="仿宋" w:eastAsia="仿宋" w:cs="仿宋"/>
                <w:sz w:val="24"/>
              </w:rPr>
            </w:pPr>
          </w:p>
        </w:tc>
        <w:tc>
          <w:tcPr>
            <w:tcW w:w="427" w:type="pct"/>
          </w:tcPr>
          <w:p w14:paraId="21C2B270">
            <w:pPr>
              <w:pStyle w:val="16"/>
              <w:snapToGrid w:val="0"/>
              <w:spacing w:line="240" w:lineRule="atLeast"/>
              <w:ind w:left="1080" w:leftChars="257" w:hanging="540"/>
              <w:textAlignment w:val="baseline"/>
              <w:rPr>
                <w:rFonts w:ascii="仿宋" w:hAnsi="仿宋" w:eastAsia="仿宋" w:cs="仿宋"/>
                <w:sz w:val="24"/>
              </w:rPr>
            </w:pPr>
          </w:p>
        </w:tc>
      </w:tr>
      <w:tr w14:paraId="48060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466" w:type="pct"/>
          </w:tcPr>
          <w:p w14:paraId="5F271FA5">
            <w:pPr>
              <w:pStyle w:val="16"/>
              <w:snapToGrid w:val="0"/>
              <w:spacing w:line="240" w:lineRule="atLeast"/>
              <w:ind w:left="1080" w:leftChars="257" w:hanging="540"/>
              <w:textAlignment w:val="baseline"/>
              <w:rPr>
                <w:rFonts w:ascii="仿宋" w:hAnsi="仿宋" w:eastAsia="仿宋" w:cs="仿宋"/>
                <w:sz w:val="24"/>
              </w:rPr>
            </w:pPr>
          </w:p>
        </w:tc>
        <w:tc>
          <w:tcPr>
            <w:tcW w:w="680" w:type="pct"/>
          </w:tcPr>
          <w:p w14:paraId="2B3FCEFC">
            <w:pPr>
              <w:pStyle w:val="16"/>
              <w:snapToGrid w:val="0"/>
              <w:spacing w:line="240" w:lineRule="atLeast"/>
              <w:ind w:left="1080" w:leftChars="257" w:hanging="540"/>
              <w:textAlignment w:val="baseline"/>
              <w:rPr>
                <w:rFonts w:ascii="仿宋" w:hAnsi="仿宋" w:eastAsia="仿宋" w:cs="仿宋"/>
                <w:sz w:val="24"/>
              </w:rPr>
            </w:pPr>
          </w:p>
        </w:tc>
        <w:tc>
          <w:tcPr>
            <w:tcW w:w="1346" w:type="pct"/>
          </w:tcPr>
          <w:p w14:paraId="28474A3B">
            <w:pPr>
              <w:pStyle w:val="16"/>
              <w:snapToGrid w:val="0"/>
              <w:spacing w:line="240" w:lineRule="atLeast"/>
              <w:ind w:left="1080" w:leftChars="257" w:hanging="540"/>
              <w:textAlignment w:val="baseline"/>
              <w:rPr>
                <w:rFonts w:ascii="仿宋" w:hAnsi="仿宋" w:eastAsia="仿宋" w:cs="仿宋"/>
                <w:sz w:val="24"/>
              </w:rPr>
            </w:pPr>
          </w:p>
        </w:tc>
        <w:tc>
          <w:tcPr>
            <w:tcW w:w="1344" w:type="pct"/>
          </w:tcPr>
          <w:p w14:paraId="4D119F73">
            <w:pPr>
              <w:pStyle w:val="16"/>
              <w:snapToGrid w:val="0"/>
              <w:spacing w:line="240" w:lineRule="atLeast"/>
              <w:ind w:left="1080" w:leftChars="257" w:hanging="540"/>
              <w:textAlignment w:val="baseline"/>
              <w:rPr>
                <w:rFonts w:ascii="仿宋" w:hAnsi="仿宋" w:eastAsia="仿宋" w:cs="仿宋"/>
                <w:sz w:val="24"/>
              </w:rPr>
            </w:pPr>
          </w:p>
        </w:tc>
        <w:tc>
          <w:tcPr>
            <w:tcW w:w="734" w:type="pct"/>
          </w:tcPr>
          <w:p w14:paraId="32F4EB65">
            <w:pPr>
              <w:pStyle w:val="16"/>
              <w:snapToGrid w:val="0"/>
              <w:spacing w:line="240" w:lineRule="atLeast"/>
              <w:ind w:left="1080" w:leftChars="257" w:hanging="540"/>
              <w:textAlignment w:val="baseline"/>
              <w:rPr>
                <w:rFonts w:ascii="仿宋" w:hAnsi="仿宋" w:eastAsia="仿宋" w:cs="仿宋"/>
                <w:sz w:val="24"/>
              </w:rPr>
            </w:pPr>
          </w:p>
        </w:tc>
        <w:tc>
          <w:tcPr>
            <w:tcW w:w="427" w:type="pct"/>
          </w:tcPr>
          <w:p w14:paraId="45D4E02D">
            <w:pPr>
              <w:pStyle w:val="16"/>
              <w:snapToGrid w:val="0"/>
              <w:spacing w:line="240" w:lineRule="atLeast"/>
              <w:ind w:left="1080" w:leftChars="257" w:hanging="540"/>
              <w:textAlignment w:val="baseline"/>
              <w:rPr>
                <w:rFonts w:ascii="仿宋" w:hAnsi="仿宋" w:eastAsia="仿宋" w:cs="仿宋"/>
                <w:sz w:val="24"/>
              </w:rPr>
            </w:pPr>
          </w:p>
        </w:tc>
      </w:tr>
      <w:tr w14:paraId="4EF10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466" w:type="pct"/>
          </w:tcPr>
          <w:p w14:paraId="75BA8FA0">
            <w:pPr>
              <w:pStyle w:val="16"/>
              <w:snapToGrid w:val="0"/>
              <w:spacing w:line="240" w:lineRule="atLeast"/>
              <w:ind w:left="1080" w:leftChars="257" w:hanging="540"/>
              <w:textAlignment w:val="baseline"/>
              <w:rPr>
                <w:rFonts w:ascii="仿宋" w:hAnsi="仿宋" w:eastAsia="仿宋" w:cs="仿宋"/>
                <w:sz w:val="24"/>
              </w:rPr>
            </w:pPr>
          </w:p>
        </w:tc>
        <w:tc>
          <w:tcPr>
            <w:tcW w:w="680" w:type="pct"/>
          </w:tcPr>
          <w:p w14:paraId="6FACC5D9">
            <w:pPr>
              <w:pStyle w:val="16"/>
              <w:snapToGrid w:val="0"/>
              <w:spacing w:line="240" w:lineRule="atLeast"/>
              <w:ind w:left="1080" w:leftChars="257" w:hanging="540"/>
              <w:textAlignment w:val="baseline"/>
              <w:rPr>
                <w:rFonts w:ascii="仿宋" w:hAnsi="仿宋" w:eastAsia="仿宋" w:cs="仿宋"/>
                <w:sz w:val="24"/>
              </w:rPr>
            </w:pPr>
          </w:p>
        </w:tc>
        <w:tc>
          <w:tcPr>
            <w:tcW w:w="1346" w:type="pct"/>
          </w:tcPr>
          <w:p w14:paraId="27516D60">
            <w:pPr>
              <w:pStyle w:val="16"/>
              <w:snapToGrid w:val="0"/>
              <w:spacing w:line="240" w:lineRule="atLeast"/>
              <w:ind w:left="1080" w:leftChars="257" w:hanging="540"/>
              <w:textAlignment w:val="baseline"/>
              <w:rPr>
                <w:rFonts w:ascii="仿宋" w:hAnsi="仿宋" w:eastAsia="仿宋" w:cs="仿宋"/>
                <w:sz w:val="24"/>
              </w:rPr>
            </w:pPr>
          </w:p>
        </w:tc>
        <w:tc>
          <w:tcPr>
            <w:tcW w:w="1344" w:type="pct"/>
          </w:tcPr>
          <w:p w14:paraId="028BDAA0">
            <w:pPr>
              <w:pStyle w:val="16"/>
              <w:snapToGrid w:val="0"/>
              <w:spacing w:line="240" w:lineRule="atLeast"/>
              <w:ind w:left="1080" w:leftChars="257" w:hanging="540"/>
              <w:textAlignment w:val="baseline"/>
              <w:rPr>
                <w:rFonts w:ascii="仿宋" w:hAnsi="仿宋" w:eastAsia="仿宋" w:cs="仿宋"/>
                <w:sz w:val="24"/>
              </w:rPr>
            </w:pPr>
          </w:p>
        </w:tc>
        <w:tc>
          <w:tcPr>
            <w:tcW w:w="734" w:type="pct"/>
          </w:tcPr>
          <w:p w14:paraId="51387321">
            <w:pPr>
              <w:pStyle w:val="16"/>
              <w:snapToGrid w:val="0"/>
              <w:spacing w:line="240" w:lineRule="atLeast"/>
              <w:ind w:left="1080" w:leftChars="257" w:hanging="540"/>
              <w:textAlignment w:val="baseline"/>
              <w:rPr>
                <w:rFonts w:ascii="仿宋" w:hAnsi="仿宋" w:eastAsia="仿宋" w:cs="仿宋"/>
                <w:sz w:val="24"/>
              </w:rPr>
            </w:pPr>
          </w:p>
        </w:tc>
        <w:tc>
          <w:tcPr>
            <w:tcW w:w="427" w:type="pct"/>
          </w:tcPr>
          <w:p w14:paraId="119BB395">
            <w:pPr>
              <w:pStyle w:val="16"/>
              <w:snapToGrid w:val="0"/>
              <w:spacing w:line="240" w:lineRule="atLeast"/>
              <w:ind w:left="1080" w:leftChars="257" w:hanging="540"/>
              <w:textAlignment w:val="baseline"/>
              <w:rPr>
                <w:rFonts w:ascii="仿宋" w:hAnsi="仿宋" w:eastAsia="仿宋" w:cs="仿宋"/>
                <w:sz w:val="24"/>
              </w:rPr>
            </w:pPr>
          </w:p>
        </w:tc>
      </w:tr>
      <w:tr w14:paraId="6D010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466" w:type="pct"/>
          </w:tcPr>
          <w:p w14:paraId="1DB842B7">
            <w:pPr>
              <w:pStyle w:val="16"/>
              <w:snapToGrid w:val="0"/>
              <w:spacing w:line="240" w:lineRule="atLeast"/>
              <w:ind w:left="1080" w:leftChars="257" w:hanging="540"/>
              <w:textAlignment w:val="baseline"/>
              <w:rPr>
                <w:rFonts w:ascii="仿宋" w:hAnsi="仿宋" w:eastAsia="仿宋" w:cs="仿宋"/>
                <w:sz w:val="24"/>
              </w:rPr>
            </w:pPr>
          </w:p>
        </w:tc>
        <w:tc>
          <w:tcPr>
            <w:tcW w:w="680" w:type="pct"/>
          </w:tcPr>
          <w:p w14:paraId="10CF2A65">
            <w:pPr>
              <w:pStyle w:val="16"/>
              <w:snapToGrid w:val="0"/>
              <w:spacing w:line="240" w:lineRule="atLeast"/>
              <w:ind w:left="1080" w:leftChars="257" w:hanging="540"/>
              <w:textAlignment w:val="baseline"/>
              <w:rPr>
                <w:rFonts w:ascii="仿宋" w:hAnsi="仿宋" w:eastAsia="仿宋" w:cs="仿宋"/>
                <w:sz w:val="24"/>
              </w:rPr>
            </w:pPr>
          </w:p>
        </w:tc>
        <w:tc>
          <w:tcPr>
            <w:tcW w:w="1346" w:type="pct"/>
          </w:tcPr>
          <w:p w14:paraId="250E1714">
            <w:pPr>
              <w:pStyle w:val="16"/>
              <w:snapToGrid w:val="0"/>
              <w:spacing w:line="240" w:lineRule="atLeast"/>
              <w:ind w:left="1080" w:leftChars="257" w:hanging="540"/>
              <w:textAlignment w:val="baseline"/>
              <w:rPr>
                <w:rFonts w:ascii="仿宋" w:hAnsi="仿宋" w:eastAsia="仿宋" w:cs="仿宋"/>
                <w:sz w:val="24"/>
              </w:rPr>
            </w:pPr>
          </w:p>
        </w:tc>
        <w:tc>
          <w:tcPr>
            <w:tcW w:w="1344" w:type="pct"/>
          </w:tcPr>
          <w:p w14:paraId="46982EF2">
            <w:pPr>
              <w:pStyle w:val="16"/>
              <w:snapToGrid w:val="0"/>
              <w:spacing w:line="240" w:lineRule="atLeast"/>
              <w:ind w:left="1080" w:leftChars="257" w:hanging="540"/>
              <w:textAlignment w:val="baseline"/>
              <w:rPr>
                <w:rFonts w:ascii="仿宋" w:hAnsi="仿宋" w:eastAsia="仿宋" w:cs="仿宋"/>
                <w:sz w:val="24"/>
              </w:rPr>
            </w:pPr>
          </w:p>
        </w:tc>
        <w:tc>
          <w:tcPr>
            <w:tcW w:w="734" w:type="pct"/>
          </w:tcPr>
          <w:p w14:paraId="6B9A1440">
            <w:pPr>
              <w:pStyle w:val="16"/>
              <w:snapToGrid w:val="0"/>
              <w:spacing w:line="240" w:lineRule="atLeast"/>
              <w:ind w:left="1080" w:leftChars="257" w:hanging="540"/>
              <w:textAlignment w:val="baseline"/>
              <w:rPr>
                <w:rFonts w:ascii="仿宋" w:hAnsi="仿宋" w:eastAsia="仿宋" w:cs="仿宋"/>
                <w:sz w:val="24"/>
              </w:rPr>
            </w:pPr>
          </w:p>
        </w:tc>
        <w:tc>
          <w:tcPr>
            <w:tcW w:w="427" w:type="pct"/>
          </w:tcPr>
          <w:p w14:paraId="576B1BAE">
            <w:pPr>
              <w:pStyle w:val="16"/>
              <w:snapToGrid w:val="0"/>
              <w:spacing w:line="240" w:lineRule="atLeast"/>
              <w:ind w:left="1080" w:leftChars="257" w:hanging="540"/>
              <w:textAlignment w:val="baseline"/>
              <w:rPr>
                <w:rFonts w:ascii="仿宋" w:hAnsi="仿宋" w:eastAsia="仿宋" w:cs="仿宋"/>
                <w:sz w:val="24"/>
              </w:rPr>
            </w:pPr>
          </w:p>
        </w:tc>
      </w:tr>
      <w:tr w14:paraId="34482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466" w:type="pct"/>
          </w:tcPr>
          <w:p w14:paraId="0CCE8931">
            <w:pPr>
              <w:pStyle w:val="16"/>
              <w:snapToGrid w:val="0"/>
              <w:spacing w:line="240" w:lineRule="atLeast"/>
              <w:ind w:left="1080" w:leftChars="257" w:hanging="540"/>
              <w:textAlignment w:val="baseline"/>
              <w:rPr>
                <w:rFonts w:ascii="仿宋" w:hAnsi="仿宋" w:eastAsia="仿宋" w:cs="仿宋"/>
                <w:sz w:val="24"/>
              </w:rPr>
            </w:pPr>
          </w:p>
        </w:tc>
        <w:tc>
          <w:tcPr>
            <w:tcW w:w="680" w:type="pct"/>
          </w:tcPr>
          <w:p w14:paraId="797EA612">
            <w:pPr>
              <w:pStyle w:val="16"/>
              <w:snapToGrid w:val="0"/>
              <w:spacing w:line="240" w:lineRule="atLeast"/>
              <w:ind w:left="1080" w:leftChars="257" w:hanging="540"/>
              <w:textAlignment w:val="baseline"/>
              <w:rPr>
                <w:rFonts w:ascii="仿宋" w:hAnsi="仿宋" w:eastAsia="仿宋" w:cs="仿宋"/>
                <w:sz w:val="24"/>
              </w:rPr>
            </w:pPr>
          </w:p>
        </w:tc>
        <w:tc>
          <w:tcPr>
            <w:tcW w:w="1346" w:type="pct"/>
          </w:tcPr>
          <w:p w14:paraId="49227F78">
            <w:pPr>
              <w:pStyle w:val="16"/>
              <w:snapToGrid w:val="0"/>
              <w:spacing w:line="240" w:lineRule="atLeast"/>
              <w:ind w:left="1080" w:leftChars="257" w:hanging="540"/>
              <w:textAlignment w:val="baseline"/>
              <w:rPr>
                <w:rFonts w:ascii="仿宋" w:hAnsi="仿宋" w:eastAsia="仿宋" w:cs="仿宋"/>
                <w:sz w:val="24"/>
              </w:rPr>
            </w:pPr>
          </w:p>
        </w:tc>
        <w:tc>
          <w:tcPr>
            <w:tcW w:w="1344" w:type="pct"/>
          </w:tcPr>
          <w:p w14:paraId="1B948A18">
            <w:pPr>
              <w:pStyle w:val="16"/>
              <w:snapToGrid w:val="0"/>
              <w:spacing w:line="240" w:lineRule="atLeast"/>
              <w:ind w:left="1080" w:leftChars="257" w:hanging="540"/>
              <w:textAlignment w:val="baseline"/>
              <w:rPr>
                <w:rFonts w:ascii="仿宋" w:hAnsi="仿宋" w:eastAsia="仿宋" w:cs="仿宋"/>
                <w:sz w:val="24"/>
              </w:rPr>
            </w:pPr>
          </w:p>
        </w:tc>
        <w:tc>
          <w:tcPr>
            <w:tcW w:w="734" w:type="pct"/>
          </w:tcPr>
          <w:p w14:paraId="0AE191BC">
            <w:pPr>
              <w:pStyle w:val="16"/>
              <w:snapToGrid w:val="0"/>
              <w:spacing w:line="240" w:lineRule="atLeast"/>
              <w:ind w:left="1080" w:leftChars="257" w:hanging="540"/>
              <w:textAlignment w:val="baseline"/>
              <w:rPr>
                <w:rFonts w:ascii="仿宋" w:hAnsi="仿宋" w:eastAsia="仿宋" w:cs="仿宋"/>
                <w:sz w:val="24"/>
              </w:rPr>
            </w:pPr>
          </w:p>
        </w:tc>
        <w:tc>
          <w:tcPr>
            <w:tcW w:w="427" w:type="pct"/>
          </w:tcPr>
          <w:p w14:paraId="2F5C986C">
            <w:pPr>
              <w:pStyle w:val="16"/>
              <w:snapToGrid w:val="0"/>
              <w:spacing w:line="240" w:lineRule="atLeast"/>
              <w:ind w:left="1080" w:leftChars="257" w:hanging="540"/>
              <w:textAlignment w:val="baseline"/>
              <w:rPr>
                <w:rFonts w:ascii="仿宋" w:hAnsi="仿宋" w:eastAsia="仿宋" w:cs="仿宋"/>
                <w:sz w:val="24"/>
              </w:rPr>
            </w:pPr>
          </w:p>
        </w:tc>
      </w:tr>
      <w:tr w14:paraId="600F7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466" w:type="pct"/>
          </w:tcPr>
          <w:p w14:paraId="3D870DC5">
            <w:pPr>
              <w:pStyle w:val="16"/>
              <w:snapToGrid w:val="0"/>
              <w:spacing w:line="240" w:lineRule="atLeast"/>
              <w:ind w:left="1080" w:leftChars="257" w:hanging="540"/>
              <w:textAlignment w:val="baseline"/>
              <w:rPr>
                <w:rFonts w:ascii="仿宋" w:hAnsi="仿宋" w:eastAsia="仿宋" w:cs="仿宋"/>
                <w:sz w:val="24"/>
              </w:rPr>
            </w:pPr>
          </w:p>
        </w:tc>
        <w:tc>
          <w:tcPr>
            <w:tcW w:w="680" w:type="pct"/>
          </w:tcPr>
          <w:p w14:paraId="439E28E1">
            <w:pPr>
              <w:pStyle w:val="16"/>
              <w:snapToGrid w:val="0"/>
              <w:spacing w:line="240" w:lineRule="atLeast"/>
              <w:ind w:left="1080" w:leftChars="257" w:hanging="540"/>
              <w:textAlignment w:val="baseline"/>
              <w:rPr>
                <w:rFonts w:ascii="仿宋" w:hAnsi="仿宋" w:eastAsia="仿宋" w:cs="仿宋"/>
                <w:sz w:val="24"/>
              </w:rPr>
            </w:pPr>
          </w:p>
        </w:tc>
        <w:tc>
          <w:tcPr>
            <w:tcW w:w="1346" w:type="pct"/>
          </w:tcPr>
          <w:p w14:paraId="2A87E69D">
            <w:pPr>
              <w:pStyle w:val="16"/>
              <w:snapToGrid w:val="0"/>
              <w:spacing w:line="240" w:lineRule="atLeast"/>
              <w:ind w:left="1080" w:leftChars="257" w:hanging="540"/>
              <w:textAlignment w:val="baseline"/>
              <w:rPr>
                <w:rFonts w:ascii="仿宋" w:hAnsi="仿宋" w:eastAsia="仿宋" w:cs="仿宋"/>
                <w:sz w:val="24"/>
              </w:rPr>
            </w:pPr>
          </w:p>
        </w:tc>
        <w:tc>
          <w:tcPr>
            <w:tcW w:w="1344" w:type="pct"/>
          </w:tcPr>
          <w:p w14:paraId="53F43342">
            <w:pPr>
              <w:pStyle w:val="16"/>
              <w:snapToGrid w:val="0"/>
              <w:spacing w:line="240" w:lineRule="atLeast"/>
              <w:ind w:left="1080" w:leftChars="257" w:hanging="540"/>
              <w:textAlignment w:val="baseline"/>
              <w:rPr>
                <w:rFonts w:ascii="仿宋" w:hAnsi="仿宋" w:eastAsia="仿宋" w:cs="仿宋"/>
                <w:sz w:val="24"/>
              </w:rPr>
            </w:pPr>
          </w:p>
        </w:tc>
        <w:tc>
          <w:tcPr>
            <w:tcW w:w="734" w:type="pct"/>
          </w:tcPr>
          <w:p w14:paraId="66034994">
            <w:pPr>
              <w:pStyle w:val="16"/>
              <w:snapToGrid w:val="0"/>
              <w:spacing w:line="240" w:lineRule="atLeast"/>
              <w:ind w:left="1080" w:leftChars="257" w:hanging="540"/>
              <w:textAlignment w:val="baseline"/>
              <w:rPr>
                <w:rFonts w:ascii="仿宋" w:hAnsi="仿宋" w:eastAsia="仿宋" w:cs="仿宋"/>
                <w:sz w:val="24"/>
              </w:rPr>
            </w:pPr>
          </w:p>
        </w:tc>
        <w:tc>
          <w:tcPr>
            <w:tcW w:w="427" w:type="pct"/>
          </w:tcPr>
          <w:p w14:paraId="51707637">
            <w:pPr>
              <w:pStyle w:val="16"/>
              <w:snapToGrid w:val="0"/>
              <w:spacing w:line="240" w:lineRule="atLeast"/>
              <w:ind w:left="1080" w:leftChars="257" w:hanging="540"/>
              <w:textAlignment w:val="baseline"/>
              <w:rPr>
                <w:rFonts w:ascii="仿宋" w:hAnsi="仿宋" w:eastAsia="仿宋" w:cs="仿宋"/>
                <w:sz w:val="24"/>
              </w:rPr>
            </w:pPr>
          </w:p>
        </w:tc>
      </w:tr>
      <w:tr w14:paraId="03EEF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466" w:type="pct"/>
          </w:tcPr>
          <w:p w14:paraId="322BCE58">
            <w:pPr>
              <w:pStyle w:val="16"/>
              <w:snapToGrid w:val="0"/>
              <w:spacing w:line="240" w:lineRule="atLeast"/>
              <w:ind w:left="1080" w:leftChars="257" w:hanging="540"/>
              <w:textAlignment w:val="baseline"/>
              <w:rPr>
                <w:rFonts w:ascii="仿宋" w:hAnsi="仿宋" w:eastAsia="仿宋" w:cs="仿宋"/>
                <w:sz w:val="24"/>
              </w:rPr>
            </w:pPr>
          </w:p>
        </w:tc>
        <w:tc>
          <w:tcPr>
            <w:tcW w:w="680" w:type="pct"/>
          </w:tcPr>
          <w:p w14:paraId="077D2DE3">
            <w:pPr>
              <w:pStyle w:val="16"/>
              <w:snapToGrid w:val="0"/>
              <w:spacing w:line="240" w:lineRule="atLeast"/>
              <w:ind w:left="1080" w:leftChars="257" w:hanging="540"/>
              <w:textAlignment w:val="baseline"/>
              <w:rPr>
                <w:rFonts w:ascii="仿宋" w:hAnsi="仿宋" w:eastAsia="仿宋" w:cs="仿宋"/>
                <w:sz w:val="24"/>
              </w:rPr>
            </w:pPr>
          </w:p>
        </w:tc>
        <w:tc>
          <w:tcPr>
            <w:tcW w:w="1346" w:type="pct"/>
          </w:tcPr>
          <w:p w14:paraId="0A72CCF0">
            <w:pPr>
              <w:pStyle w:val="16"/>
              <w:snapToGrid w:val="0"/>
              <w:spacing w:line="240" w:lineRule="atLeast"/>
              <w:ind w:left="1080" w:leftChars="257" w:hanging="540"/>
              <w:textAlignment w:val="baseline"/>
              <w:rPr>
                <w:rFonts w:ascii="仿宋" w:hAnsi="仿宋" w:eastAsia="仿宋" w:cs="仿宋"/>
                <w:sz w:val="24"/>
              </w:rPr>
            </w:pPr>
          </w:p>
        </w:tc>
        <w:tc>
          <w:tcPr>
            <w:tcW w:w="1344" w:type="pct"/>
          </w:tcPr>
          <w:p w14:paraId="1422D743">
            <w:pPr>
              <w:pStyle w:val="16"/>
              <w:snapToGrid w:val="0"/>
              <w:spacing w:line="240" w:lineRule="atLeast"/>
              <w:ind w:left="1080" w:leftChars="257" w:hanging="540"/>
              <w:textAlignment w:val="baseline"/>
              <w:rPr>
                <w:rFonts w:ascii="仿宋" w:hAnsi="仿宋" w:eastAsia="仿宋" w:cs="仿宋"/>
                <w:sz w:val="24"/>
              </w:rPr>
            </w:pPr>
          </w:p>
        </w:tc>
        <w:tc>
          <w:tcPr>
            <w:tcW w:w="734" w:type="pct"/>
          </w:tcPr>
          <w:p w14:paraId="4CDC3D7B">
            <w:pPr>
              <w:pStyle w:val="16"/>
              <w:snapToGrid w:val="0"/>
              <w:spacing w:line="240" w:lineRule="atLeast"/>
              <w:ind w:left="1080" w:leftChars="257" w:hanging="540"/>
              <w:textAlignment w:val="baseline"/>
              <w:rPr>
                <w:rFonts w:ascii="仿宋" w:hAnsi="仿宋" w:eastAsia="仿宋" w:cs="仿宋"/>
                <w:sz w:val="24"/>
              </w:rPr>
            </w:pPr>
          </w:p>
        </w:tc>
        <w:tc>
          <w:tcPr>
            <w:tcW w:w="427" w:type="pct"/>
          </w:tcPr>
          <w:p w14:paraId="5F78CDF6">
            <w:pPr>
              <w:pStyle w:val="16"/>
              <w:snapToGrid w:val="0"/>
              <w:spacing w:line="240" w:lineRule="atLeast"/>
              <w:ind w:left="1080" w:leftChars="257" w:hanging="540"/>
              <w:textAlignment w:val="baseline"/>
              <w:rPr>
                <w:rFonts w:ascii="仿宋" w:hAnsi="仿宋" w:eastAsia="仿宋" w:cs="仿宋"/>
                <w:sz w:val="24"/>
              </w:rPr>
            </w:pPr>
          </w:p>
        </w:tc>
      </w:tr>
      <w:tr w14:paraId="32739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466" w:type="pct"/>
          </w:tcPr>
          <w:p w14:paraId="27AC9EAB">
            <w:pPr>
              <w:pStyle w:val="16"/>
              <w:snapToGrid w:val="0"/>
              <w:spacing w:line="240" w:lineRule="atLeast"/>
              <w:ind w:left="1080" w:leftChars="257" w:hanging="540"/>
              <w:textAlignment w:val="baseline"/>
              <w:rPr>
                <w:rFonts w:ascii="仿宋" w:hAnsi="仿宋" w:eastAsia="仿宋" w:cs="仿宋"/>
                <w:sz w:val="24"/>
              </w:rPr>
            </w:pPr>
          </w:p>
        </w:tc>
        <w:tc>
          <w:tcPr>
            <w:tcW w:w="680" w:type="pct"/>
          </w:tcPr>
          <w:p w14:paraId="3EB821AF">
            <w:pPr>
              <w:pStyle w:val="16"/>
              <w:snapToGrid w:val="0"/>
              <w:spacing w:line="240" w:lineRule="atLeast"/>
              <w:ind w:left="1080" w:leftChars="257" w:hanging="540"/>
              <w:textAlignment w:val="baseline"/>
              <w:rPr>
                <w:rFonts w:ascii="仿宋" w:hAnsi="仿宋" w:eastAsia="仿宋" w:cs="仿宋"/>
                <w:sz w:val="24"/>
              </w:rPr>
            </w:pPr>
          </w:p>
        </w:tc>
        <w:tc>
          <w:tcPr>
            <w:tcW w:w="1346" w:type="pct"/>
          </w:tcPr>
          <w:p w14:paraId="375B4F1A">
            <w:pPr>
              <w:pStyle w:val="16"/>
              <w:snapToGrid w:val="0"/>
              <w:spacing w:line="240" w:lineRule="atLeast"/>
              <w:ind w:left="1080" w:leftChars="257" w:hanging="540"/>
              <w:textAlignment w:val="baseline"/>
              <w:rPr>
                <w:rFonts w:ascii="仿宋" w:hAnsi="仿宋" w:eastAsia="仿宋" w:cs="仿宋"/>
                <w:sz w:val="24"/>
              </w:rPr>
            </w:pPr>
          </w:p>
        </w:tc>
        <w:tc>
          <w:tcPr>
            <w:tcW w:w="1344" w:type="pct"/>
          </w:tcPr>
          <w:p w14:paraId="2137A4E4">
            <w:pPr>
              <w:pStyle w:val="16"/>
              <w:snapToGrid w:val="0"/>
              <w:spacing w:line="240" w:lineRule="atLeast"/>
              <w:ind w:left="1080" w:leftChars="257" w:hanging="540"/>
              <w:textAlignment w:val="baseline"/>
              <w:rPr>
                <w:rFonts w:ascii="仿宋" w:hAnsi="仿宋" w:eastAsia="仿宋" w:cs="仿宋"/>
                <w:sz w:val="24"/>
              </w:rPr>
            </w:pPr>
          </w:p>
        </w:tc>
        <w:tc>
          <w:tcPr>
            <w:tcW w:w="734" w:type="pct"/>
          </w:tcPr>
          <w:p w14:paraId="472CBBF1">
            <w:pPr>
              <w:pStyle w:val="16"/>
              <w:snapToGrid w:val="0"/>
              <w:spacing w:line="240" w:lineRule="atLeast"/>
              <w:ind w:left="1080" w:leftChars="257" w:hanging="540"/>
              <w:textAlignment w:val="baseline"/>
              <w:rPr>
                <w:rFonts w:ascii="仿宋" w:hAnsi="仿宋" w:eastAsia="仿宋" w:cs="仿宋"/>
                <w:sz w:val="24"/>
              </w:rPr>
            </w:pPr>
          </w:p>
        </w:tc>
        <w:tc>
          <w:tcPr>
            <w:tcW w:w="427" w:type="pct"/>
          </w:tcPr>
          <w:p w14:paraId="3E895F8C">
            <w:pPr>
              <w:pStyle w:val="16"/>
              <w:snapToGrid w:val="0"/>
              <w:spacing w:line="240" w:lineRule="atLeast"/>
              <w:ind w:left="1080" w:leftChars="257" w:hanging="540"/>
              <w:textAlignment w:val="baseline"/>
              <w:rPr>
                <w:rFonts w:ascii="仿宋" w:hAnsi="仿宋" w:eastAsia="仿宋" w:cs="仿宋"/>
                <w:sz w:val="24"/>
              </w:rPr>
            </w:pPr>
          </w:p>
        </w:tc>
      </w:tr>
      <w:tr w14:paraId="2FF6F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466" w:type="pct"/>
          </w:tcPr>
          <w:p w14:paraId="46253B1B">
            <w:pPr>
              <w:pStyle w:val="16"/>
              <w:snapToGrid w:val="0"/>
              <w:spacing w:line="240" w:lineRule="atLeast"/>
              <w:ind w:left="1080" w:leftChars="257" w:hanging="540"/>
              <w:textAlignment w:val="baseline"/>
              <w:rPr>
                <w:rFonts w:ascii="仿宋" w:hAnsi="仿宋" w:eastAsia="仿宋" w:cs="仿宋"/>
                <w:sz w:val="24"/>
              </w:rPr>
            </w:pPr>
          </w:p>
        </w:tc>
        <w:tc>
          <w:tcPr>
            <w:tcW w:w="680" w:type="pct"/>
          </w:tcPr>
          <w:p w14:paraId="7C0C1A43">
            <w:pPr>
              <w:pStyle w:val="16"/>
              <w:snapToGrid w:val="0"/>
              <w:spacing w:line="240" w:lineRule="atLeast"/>
              <w:ind w:left="1080" w:leftChars="257" w:hanging="540"/>
              <w:textAlignment w:val="baseline"/>
              <w:rPr>
                <w:rFonts w:ascii="仿宋" w:hAnsi="仿宋" w:eastAsia="仿宋" w:cs="仿宋"/>
                <w:sz w:val="24"/>
              </w:rPr>
            </w:pPr>
          </w:p>
        </w:tc>
        <w:tc>
          <w:tcPr>
            <w:tcW w:w="1346" w:type="pct"/>
          </w:tcPr>
          <w:p w14:paraId="2F0B1325">
            <w:pPr>
              <w:pStyle w:val="16"/>
              <w:snapToGrid w:val="0"/>
              <w:spacing w:line="240" w:lineRule="atLeast"/>
              <w:ind w:left="1080" w:leftChars="257" w:hanging="540"/>
              <w:textAlignment w:val="baseline"/>
              <w:rPr>
                <w:rFonts w:ascii="仿宋" w:hAnsi="仿宋" w:eastAsia="仿宋" w:cs="仿宋"/>
                <w:sz w:val="24"/>
              </w:rPr>
            </w:pPr>
          </w:p>
        </w:tc>
        <w:tc>
          <w:tcPr>
            <w:tcW w:w="1344" w:type="pct"/>
          </w:tcPr>
          <w:p w14:paraId="1821F5C6">
            <w:pPr>
              <w:pStyle w:val="16"/>
              <w:snapToGrid w:val="0"/>
              <w:spacing w:line="240" w:lineRule="atLeast"/>
              <w:ind w:left="1080" w:leftChars="257" w:hanging="540"/>
              <w:textAlignment w:val="baseline"/>
              <w:rPr>
                <w:rFonts w:ascii="仿宋" w:hAnsi="仿宋" w:eastAsia="仿宋" w:cs="仿宋"/>
                <w:sz w:val="24"/>
              </w:rPr>
            </w:pPr>
          </w:p>
        </w:tc>
        <w:tc>
          <w:tcPr>
            <w:tcW w:w="734" w:type="pct"/>
          </w:tcPr>
          <w:p w14:paraId="318A2D43">
            <w:pPr>
              <w:pStyle w:val="16"/>
              <w:snapToGrid w:val="0"/>
              <w:spacing w:line="240" w:lineRule="atLeast"/>
              <w:ind w:left="1080" w:leftChars="257" w:hanging="540"/>
              <w:textAlignment w:val="baseline"/>
              <w:rPr>
                <w:rFonts w:ascii="仿宋" w:hAnsi="仿宋" w:eastAsia="仿宋" w:cs="仿宋"/>
                <w:sz w:val="24"/>
              </w:rPr>
            </w:pPr>
          </w:p>
        </w:tc>
        <w:tc>
          <w:tcPr>
            <w:tcW w:w="427" w:type="pct"/>
          </w:tcPr>
          <w:p w14:paraId="49432928">
            <w:pPr>
              <w:pStyle w:val="16"/>
              <w:snapToGrid w:val="0"/>
              <w:spacing w:line="240" w:lineRule="atLeast"/>
              <w:ind w:left="1080" w:leftChars="257" w:hanging="540"/>
              <w:textAlignment w:val="baseline"/>
              <w:rPr>
                <w:rFonts w:ascii="仿宋" w:hAnsi="仿宋" w:eastAsia="仿宋" w:cs="仿宋"/>
                <w:sz w:val="24"/>
              </w:rPr>
            </w:pPr>
          </w:p>
        </w:tc>
      </w:tr>
    </w:tbl>
    <w:p w14:paraId="3D48BB34">
      <w:pPr>
        <w:pStyle w:val="16"/>
        <w:snapToGrid w:val="0"/>
        <w:spacing w:line="240" w:lineRule="atLeast"/>
        <w:ind w:left="1080" w:leftChars="257" w:hanging="540"/>
        <w:textAlignment w:val="baseline"/>
        <w:rPr>
          <w:rFonts w:ascii="仿宋" w:hAnsi="仿宋" w:eastAsia="仿宋" w:cs="仿宋"/>
          <w:sz w:val="24"/>
        </w:rPr>
      </w:pPr>
    </w:p>
    <w:p w14:paraId="74E31C52">
      <w:pPr>
        <w:pStyle w:val="16"/>
        <w:snapToGrid w:val="0"/>
        <w:spacing w:line="240" w:lineRule="atLeast"/>
        <w:ind w:left="1080" w:leftChars="257" w:hanging="540"/>
        <w:textAlignment w:val="baseline"/>
        <w:rPr>
          <w:rFonts w:ascii="仿宋" w:hAnsi="仿宋" w:eastAsia="仿宋" w:cs="仿宋"/>
          <w:sz w:val="24"/>
        </w:rPr>
      </w:pPr>
      <w:r>
        <w:rPr>
          <w:rFonts w:hint="eastAsia" w:ascii="仿宋" w:hAnsi="仿宋" w:eastAsia="仿宋" w:cs="仿宋"/>
          <w:sz w:val="24"/>
        </w:rPr>
        <w:t>法定代表人或其委托代理人</w:t>
      </w:r>
      <w:r>
        <w:rPr>
          <w:rFonts w:hint="eastAsia" w:ascii="仿宋" w:hAnsi="仿宋" w:eastAsia="仿宋" w:cs="仿宋"/>
          <w:color w:val="000000"/>
          <w:sz w:val="24"/>
        </w:rPr>
        <w:t>（签字或签章）</w:t>
      </w:r>
      <w:r>
        <w:rPr>
          <w:rFonts w:hint="eastAsia" w:ascii="仿宋" w:hAnsi="仿宋" w:eastAsia="仿宋" w:cs="仿宋"/>
          <w:sz w:val="24"/>
        </w:rPr>
        <w:t>:___________</w:t>
      </w:r>
    </w:p>
    <w:p w14:paraId="3E521580">
      <w:pPr>
        <w:pStyle w:val="16"/>
        <w:tabs>
          <w:tab w:val="left" w:pos="5370"/>
        </w:tabs>
        <w:snapToGrid w:val="0"/>
        <w:spacing w:line="240" w:lineRule="atLeast"/>
        <w:ind w:left="1080" w:leftChars="257" w:hanging="540"/>
        <w:textAlignment w:val="baseline"/>
        <w:rPr>
          <w:rFonts w:ascii="仿宋" w:hAnsi="仿宋" w:eastAsia="仿宋" w:cs="仿宋"/>
          <w:sz w:val="24"/>
        </w:rPr>
      </w:pPr>
    </w:p>
    <w:p w14:paraId="7BBDE50F">
      <w:pPr>
        <w:pStyle w:val="16"/>
        <w:tabs>
          <w:tab w:val="left" w:pos="5370"/>
        </w:tabs>
        <w:snapToGrid w:val="0"/>
        <w:spacing w:line="240" w:lineRule="atLeast"/>
        <w:ind w:left="1080" w:leftChars="257" w:hanging="540"/>
        <w:textAlignment w:val="baseline"/>
        <w:rPr>
          <w:rFonts w:ascii="仿宋" w:hAnsi="仿宋" w:eastAsia="仿宋" w:cs="仿宋"/>
          <w:sz w:val="24"/>
          <w:u w:val="single"/>
        </w:rPr>
      </w:pPr>
      <w:r>
        <w:rPr>
          <w:rFonts w:hint="eastAsia" w:ascii="仿宋" w:hAnsi="仿宋" w:eastAsia="仿宋" w:cs="仿宋"/>
          <w:sz w:val="24"/>
        </w:rPr>
        <w:t>投标人(盖单位章):</w:t>
      </w:r>
      <w:r>
        <w:rPr>
          <w:rFonts w:hint="eastAsia" w:ascii="仿宋" w:hAnsi="仿宋" w:eastAsia="仿宋" w:cs="仿宋"/>
          <w:sz w:val="24"/>
          <w:u w:val="single" w:color="000000"/>
        </w:rPr>
        <w:tab/>
      </w:r>
    </w:p>
    <w:p w14:paraId="6CFC5C2E">
      <w:pPr>
        <w:pStyle w:val="16"/>
        <w:tabs>
          <w:tab w:val="left" w:pos="5580"/>
        </w:tabs>
        <w:snapToGrid w:val="0"/>
        <w:spacing w:line="240" w:lineRule="atLeast"/>
        <w:textAlignment w:val="baseline"/>
        <w:rPr>
          <w:rFonts w:ascii="仿宋" w:hAnsi="仿宋" w:eastAsia="仿宋" w:cs="仿宋"/>
          <w:sz w:val="24"/>
          <w:u w:val="single"/>
        </w:rPr>
      </w:pPr>
    </w:p>
    <w:p w14:paraId="3902104C">
      <w:pPr>
        <w:snapToGrid w:val="0"/>
        <w:jc w:val="left"/>
        <w:textAlignment w:val="baseline"/>
        <w:rPr>
          <w:rFonts w:ascii="仿宋" w:hAnsi="仿宋" w:eastAsia="仿宋" w:cs="仿宋"/>
          <w:kern w:val="0"/>
          <w:sz w:val="20"/>
          <w:szCs w:val="20"/>
        </w:rPr>
      </w:pPr>
      <w:r>
        <w:rPr>
          <w:rFonts w:hint="eastAsia" w:ascii="仿宋" w:hAnsi="仿宋" w:eastAsia="仿宋" w:cs="仿宋"/>
          <w:spacing w:val="-1"/>
          <w:sz w:val="24"/>
        </w:rPr>
        <w:t>注：投标人必须明确写明是否“偏离”，不</w:t>
      </w:r>
      <w:r>
        <w:rPr>
          <w:rFonts w:hint="eastAsia" w:ascii="仿宋" w:hAnsi="仿宋" w:eastAsia="仿宋" w:cs="仿宋"/>
          <w:spacing w:val="-2"/>
          <w:sz w:val="24"/>
        </w:rPr>
        <w:t>得空白，否则视为无</w:t>
      </w:r>
      <w:r>
        <w:rPr>
          <w:rFonts w:hint="eastAsia" w:ascii="仿宋" w:hAnsi="仿宋" w:eastAsia="仿宋" w:cs="仿宋"/>
          <w:spacing w:val="-1"/>
          <w:sz w:val="24"/>
        </w:rPr>
        <w:t>效投标。</w:t>
      </w:r>
    </w:p>
    <w:p w14:paraId="55F53FAC">
      <w:pPr>
        <w:pStyle w:val="5"/>
        <w:widowControl/>
        <w:spacing w:before="0" w:after="0" w:line="288" w:lineRule="auto"/>
        <w:ind w:left="1079" w:leftChars="257" w:hanging="539"/>
        <w:jc w:val="center"/>
        <w:textAlignment w:val="baseline"/>
        <w:rPr>
          <w:rFonts w:ascii="仿宋" w:hAnsi="仿宋" w:eastAsia="仿宋" w:cs="仿宋"/>
          <w:u w:val="none"/>
        </w:rPr>
      </w:pPr>
      <w:bookmarkStart w:id="720" w:name="_Toc14202"/>
      <w:bookmarkStart w:id="721" w:name="_Toc28374"/>
      <w:bookmarkStart w:id="722" w:name="_Toc8322"/>
      <w:bookmarkStart w:id="723" w:name="_Toc9803"/>
      <w:bookmarkStart w:id="724" w:name="_Toc515647821"/>
      <w:bookmarkStart w:id="725" w:name="_Toc1980"/>
      <w:bookmarkStart w:id="726" w:name="_Toc16991"/>
      <w:bookmarkStart w:id="727" w:name="_Toc471"/>
      <w:bookmarkStart w:id="728" w:name="_Toc13720"/>
      <w:bookmarkStart w:id="729" w:name="_Toc23"/>
      <w:bookmarkStart w:id="730" w:name="_Toc29157"/>
      <w:bookmarkStart w:id="731" w:name="_Toc13108"/>
      <w:bookmarkStart w:id="732" w:name="_Toc13083"/>
      <w:bookmarkStart w:id="733" w:name="_Toc216582818"/>
      <w:bookmarkStart w:id="734" w:name="_Toc17874"/>
      <w:bookmarkStart w:id="735" w:name="_Toc5952"/>
      <w:bookmarkStart w:id="736" w:name="_Toc21884"/>
    </w:p>
    <w:p w14:paraId="0D62EC11">
      <w:pPr>
        <w:rPr>
          <w:rFonts w:ascii="仿宋" w:hAnsi="仿宋" w:eastAsia="仿宋" w:cs="仿宋"/>
        </w:rPr>
      </w:pPr>
      <w:r>
        <w:rPr>
          <w:rFonts w:hint="eastAsia" w:ascii="仿宋" w:hAnsi="仿宋" w:eastAsia="仿宋" w:cs="仿宋"/>
        </w:rPr>
        <w:br w:type="page"/>
      </w:r>
    </w:p>
    <w:p w14:paraId="3A75B183">
      <w:pPr>
        <w:pStyle w:val="5"/>
        <w:widowControl/>
        <w:spacing w:before="0" w:after="0" w:line="288" w:lineRule="auto"/>
        <w:ind w:left="1079" w:leftChars="257" w:hanging="539"/>
        <w:jc w:val="center"/>
        <w:textAlignment w:val="baseline"/>
        <w:rPr>
          <w:rFonts w:ascii="仿宋" w:hAnsi="仿宋" w:eastAsia="仿宋" w:cs="仿宋"/>
          <w:u w:val="none"/>
        </w:rPr>
      </w:pPr>
      <w:r>
        <w:rPr>
          <w:rFonts w:hint="eastAsia" w:ascii="仿宋" w:hAnsi="仿宋" w:eastAsia="仿宋" w:cs="仿宋"/>
          <w:u w:val="none"/>
        </w:rPr>
        <w:t>5、商务条款偏离表</w:t>
      </w:r>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p>
    <w:p w14:paraId="44A22C37">
      <w:pPr>
        <w:pStyle w:val="16"/>
        <w:snapToGrid w:val="0"/>
        <w:spacing w:line="240" w:lineRule="atLeast"/>
        <w:ind w:left="1080" w:leftChars="257" w:hanging="540"/>
        <w:textAlignment w:val="baseline"/>
        <w:rPr>
          <w:rFonts w:ascii="仿宋" w:hAnsi="仿宋" w:eastAsia="仿宋" w:cs="仿宋"/>
          <w:sz w:val="24"/>
        </w:rPr>
      </w:pPr>
    </w:p>
    <w:p w14:paraId="6F18CD12">
      <w:pPr>
        <w:pStyle w:val="16"/>
        <w:snapToGrid w:val="0"/>
        <w:spacing w:line="240" w:lineRule="atLeast"/>
        <w:ind w:left="1080" w:leftChars="257" w:hanging="540"/>
        <w:textAlignment w:val="baseline"/>
        <w:rPr>
          <w:rFonts w:ascii="仿宋" w:hAnsi="仿宋" w:eastAsia="仿宋" w:cs="仿宋"/>
          <w:sz w:val="24"/>
        </w:rPr>
      </w:pPr>
    </w:p>
    <w:p w14:paraId="3BEBA8BB">
      <w:pPr>
        <w:pStyle w:val="16"/>
        <w:snapToGrid w:val="0"/>
        <w:spacing w:line="240" w:lineRule="atLeast"/>
        <w:ind w:left="1080" w:leftChars="257" w:hanging="540"/>
        <w:textAlignment w:val="baseline"/>
        <w:rPr>
          <w:rFonts w:ascii="仿宋" w:hAnsi="仿宋" w:eastAsia="仿宋" w:cs="仿宋"/>
          <w:sz w:val="24"/>
        </w:rPr>
      </w:pPr>
      <w:r>
        <w:rPr>
          <w:rFonts w:hint="eastAsia" w:ascii="仿宋" w:hAnsi="仿宋" w:eastAsia="仿宋" w:cs="仿宋"/>
          <w:sz w:val="24"/>
        </w:rPr>
        <w:t>项目名称:                      项目编号:           标段:</w:t>
      </w:r>
    </w:p>
    <w:p w14:paraId="7AA7D356">
      <w:pPr>
        <w:pStyle w:val="16"/>
        <w:snapToGrid w:val="0"/>
        <w:spacing w:line="240" w:lineRule="atLeast"/>
        <w:ind w:left="1080" w:leftChars="257" w:hanging="540"/>
        <w:textAlignment w:val="baseline"/>
        <w:rPr>
          <w:rFonts w:ascii="仿宋" w:hAnsi="仿宋" w:eastAsia="仿宋" w:cs="仿宋"/>
          <w:sz w:val="24"/>
        </w:rPr>
      </w:pPr>
    </w:p>
    <w:tbl>
      <w:tblPr>
        <w:tblStyle w:val="35"/>
        <w:tblW w:w="81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2570"/>
        <w:gridCol w:w="2700"/>
        <w:gridCol w:w="1316"/>
        <w:gridCol w:w="829"/>
      </w:tblGrid>
      <w:tr w14:paraId="7D1C3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774" w:type="dxa"/>
            <w:vAlign w:val="center"/>
          </w:tcPr>
          <w:p w14:paraId="2AF852D7">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序号</w:t>
            </w:r>
          </w:p>
        </w:tc>
        <w:tc>
          <w:tcPr>
            <w:tcW w:w="2570" w:type="dxa"/>
            <w:vAlign w:val="center"/>
          </w:tcPr>
          <w:p w14:paraId="28924D75">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招标文件的商务条款</w:t>
            </w:r>
          </w:p>
        </w:tc>
        <w:tc>
          <w:tcPr>
            <w:tcW w:w="2700" w:type="dxa"/>
            <w:vAlign w:val="center"/>
          </w:tcPr>
          <w:p w14:paraId="14B2BE3A">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投标文件的商务条款</w:t>
            </w:r>
          </w:p>
        </w:tc>
        <w:tc>
          <w:tcPr>
            <w:tcW w:w="1316" w:type="dxa"/>
            <w:vAlign w:val="center"/>
          </w:tcPr>
          <w:p w14:paraId="755173E1">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偏离情况</w:t>
            </w:r>
          </w:p>
        </w:tc>
        <w:tc>
          <w:tcPr>
            <w:tcW w:w="829" w:type="dxa"/>
            <w:vAlign w:val="center"/>
          </w:tcPr>
          <w:p w14:paraId="3B12E22A">
            <w:pPr>
              <w:pStyle w:val="16"/>
              <w:snapToGrid w:val="0"/>
              <w:spacing w:line="240" w:lineRule="atLeast"/>
              <w:jc w:val="center"/>
              <w:textAlignment w:val="baseline"/>
              <w:rPr>
                <w:rFonts w:ascii="仿宋" w:hAnsi="仿宋" w:eastAsia="仿宋" w:cs="仿宋"/>
                <w:sz w:val="24"/>
              </w:rPr>
            </w:pPr>
            <w:r>
              <w:rPr>
                <w:rFonts w:hint="eastAsia" w:ascii="仿宋" w:hAnsi="仿宋" w:eastAsia="仿宋" w:cs="仿宋"/>
                <w:sz w:val="24"/>
              </w:rPr>
              <w:t>说明</w:t>
            </w:r>
          </w:p>
        </w:tc>
      </w:tr>
      <w:tr w14:paraId="2BCA3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774" w:type="dxa"/>
          </w:tcPr>
          <w:p w14:paraId="7427C467">
            <w:pPr>
              <w:pStyle w:val="16"/>
              <w:snapToGrid w:val="0"/>
              <w:spacing w:line="240" w:lineRule="atLeast"/>
              <w:ind w:left="1080" w:leftChars="257" w:hanging="540"/>
              <w:textAlignment w:val="baseline"/>
              <w:rPr>
                <w:rFonts w:ascii="仿宋" w:hAnsi="仿宋" w:eastAsia="仿宋" w:cs="仿宋"/>
                <w:sz w:val="24"/>
              </w:rPr>
            </w:pPr>
          </w:p>
        </w:tc>
        <w:tc>
          <w:tcPr>
            <w:tcW w:w="2570" w:type="dxa"/>
          </w:tcPr>
          <w:p w14:paraId="2EAF7186">
            <w:pPr>
              <w:pStyle w:val="16"/>
              <w:snapToGrid w:val="0"/>
              <w:spacing w:line="240" w:lineRule="atLeast"/>
              <w:ind w:left="1080" w:leftChars="257" w:hanging="540"/>
              <w:jc w:val="center"/>
              <w:textAlignment w:val="baseline"/>
              <w:rPr>
                <w:rFonts w:ascii="仿宋" w:hAnsi="仿宋" w:eastAsia="仿宋" w:cs="仿宋"/>
                <w:sz w:val="24"/>
              </w:rPr>
            </w:pPr>
          </w:p>
        </w:tc>
        <w:tc>
          <w:tcPr>
            <w:tcW w:w="2700" w:type="dxa"/>
          </w:tcPr>
          <w:p w14:paraId="7C42D984">
            <w:pPr>
              <w:pStyle w:val="16"/>
              <w:snapToGrid w:val="0"/>
              <w:spacing w:line="240" w:lineRule="atLeast"/>
              <w:ind w:left="1080" w:leftChars="257" w:hanging="540"/>
              <w:jc w:val="center"/>
              <w:textAlignment w:val="baseline"/>
              <w:rPr>
                <w:rFonts w:ascii="仿宋" w:hAnsi="仿宋" w:eastAsia="仿宋" w:cs="仿宋"/>
                <w:sz w:val="24"/>
              </w:rPr>
            </w:pPr>
          </w:p>
        </w:tc>
        <w:tc>
          <w:tcPr>
            <w:tcW w:w="1316" w:type="dxa"/>
          </w:tcPr>
          <w:p w14:paraId="11777288">
            <w:pPr>
              <w:pStyle w:val="16"/>
              <w:snapToGrid w:val="0"/>
              <w:spacing w:line="240" w:lineRule="atLeast"/>
              <w:ind w:left="1080" w:leftChars="257" w:hanging="540"/>
              <w:jc w:val="center"/>
              <w:textAlignment w:val="baseline"/>
              <w:rPr>
                <w:rFonts w:ascii="仿宋" w:hAnsi="仿宋" w:eastAsia="仿宋" w:cs="仿宋"/>
                <w:sz w:val="24"/>
              </w:rPr>
            </w:pPr>
          </w:p>
        </w:tc>
        <w:tc>
          <w:tcPr>
            <w:tcW w:w="829" w:type="dxa"/>
          </w:tcPr>
          <w:p w14:paraId="7D9308E2">
            <w:pPr>
              <w:pStyle w:val="16"/>
              <w:snapToGrid w:val="0"/>
              <w:spacing w:line="240" w:lineRule="atLeast"/>
              <w:ind w:left="1080" w:leftChars="257" w:hanging="540"/>
              <w:textAlignment w:val="baseline"/>
              <w:rPr>
                <w:rFonts w:ascii="仿宋" w:hAnsi="仿宋" w:eastAsia="仿宋" w:cs="仿宋"/>
                <w:sz w:val="24"/>
              </w:rPr>
            </w:pPr>
          </w:p>
        </w:tc>
      </w:tr>
      <w:tr w14:paraId="34CDF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774" w:type="dxa"/>
          </w:tcPr>
          <w:p w14:paraId="6D61C93B">
            <w:pPr>
              <w:pStyle w:val="16"/>
              <w:snapToGrid w:val="0"/>
              <w:spacing w:line="240" w:lineRule="atLeast"/>
              <w:ind w:left="1080" w:leftChars="257" w:hanging="540"/>
              <w:textAlignment w:val="baseline"/>
              <w:rPr>
                <w:rFonts w:ascii="仿宋" w:hAnsi="仿宋" w:eastAsia="仿宋" w:cs="仿宋"/>
                <w:sz w:val="24"/>
              </w:rPr>
            </w:pPr>
          </w:p>
        </w:tc>
        <w:tc>
          <w:tcPr>
            <w:tcW w:w="2570" w:type="dxa"/>
          </w:tcPr>
          <w:p w14:paraId="74C50361">
            <w:pPr>
              <w:pStyle w:val="16"/>
              <w:snapToGrid w:val="0"/>
              <w:spacing w:line="240" w:lineRule="atLeast"/>
              <w:ind w:left="1080" w:leftChars="257" w:hanging="540"/>
              <w:textAlignment w:val="baseline"/>
              <w:rPr>
                <w:rFonts w:ascii="仿宋" w:hAnsi="仿宋" w:eastAsia="仿宋" w:cs="仿宋"/>
                <w:sz w:val="24"/>
              </w:rPr>
            </w:pPr>
          </w:p>
        </w:tc>
        <w:tc>
          <w:tcPr>
            <w:tcW w:w="2700" w:type="dxa"/>
          </w:tcPr>
          <w:p w14:paraId="0E08DFB8">
            <w:pPr>
              <w:pStyle w:val="16"/>
              <w:snapToGrid w:val="0"/>
              <w:spacing w:line="240" w:lineRule="atLeast"/>
              <w:ind w:left="1080" w:leftChars="257" w:hanging="540"/>
              <w:textAlignment w:val="baseline"/>
              <w:rPr>
                <w:rFonts w:ascii="仿宋" w:hAnsi="仿宋" w:eastAsia="仿宋" w:cs="仿宋"/>
                <w:sz w:val="24"/>
              </w:rPr>
            </w:pPr>
          </w:p>
        </w:tc>
        <w:tc>
          <w:tcPr>
            <w:tcW w:w="1316" w:type="dxa"/>
          </w:tcPr>
          <w:p w14:paraId="20C4B77B">
            <w:pPr>
              <w:pStyle w:val="16"/>
              <w:snapToGrid w:val="0"/>
              <w:spacing w:line="240" w:lineRule="atLeast"/>
              <w:ind w:left="1080" w:leftChars="257" w:hanging="540"/>
              <w:textAlignment w:val="baseline"/>
              <w:rPr>
                <w:rFonts w:ascii="仿宋" w:hAnsi="仿宋" w:eastAsia="仿宋" w:cs="仿宋"/>
                <w:sz w:val="24"/>
              </w:rPr>
            </w:pPr>
          </w:p>
        </w:tc>
        <w:tc>
          <w:tcPr>
            <w:tcW w:w="829" w:type="dxa"/>
          </w:tcPr>
          <w:p w14:paraId="224550A4">
            <w:pPr>
              <w:pStyle w:val="16"/>
              <w:snapToGrid w:val="0"/>
              <w:spacing w:line="240" w:lineRule="atLeast"/>
              <w:ind w:left="1080" w:leftChars="257" w:hanging="540"/>
              <w:textAlignment w:val="baseline"/>
              <w:rPr>
                <w:rFonts w:ascii="仿宋" w:hAnsi="仿宋" w:eastAsia="仿宋" w:cs="仿宋"/>
                <w:sz w:val="24"/>
              </w:rPr>
            </w:pPr>
          </w:p>
        </w:tc>
      </w:tr>
      <w:tr w14:paraId="59B4F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774" w:type="dxa"/>
          </w:tcPr>
          <w:p w14:paraId="2615E2F1">
            <w:pPr>
              <w:pStyle w:val="16"/>
              <w:snapToGrid w:val="0"/>
              <w:spacing w:line="240" w:lineRule="atLeast"/>
              <w:ind w:left="1080" w:leftChars="257" w:hanging="540"/>
              <w:textAlignment w:val="baseline"/>
              <w:rPr>
                <w:rFonts w:ascii="仿宋" w:hAnsi="仿宋" w:eastAsia="仿宋" w:cs="仿宋"/>
                <w:sz w:val="24"/>
              </w:rPr>
            </w:pPr>
          </w:p>
        </w:tc>
        <w:tc>
          <w:tcPr>
            <w:tcW w:w="2570" w:type="dxa"/>
          </w:tcPr>
          <w:p w14:paraId="7F741E89">
            <w:pPr>
              <w:pStyle w:val="16"/>
              <w:snapToGrid w:val="0"/>
              <w:spacing w:line="240" w:lineRule="atLeast"/>
              <w:ind w:left="1080" w:leftChars="257" w:hanging="540"/>
              <w:textAlignment w:val="baseline"/>
              <w:rPr>
                <w:rFonts w:ascii="仿宋" w:hAnsi="仿宋" w:eastAsia="仿宋" w:cs="仿宋"/>
                <w:sz w:val="24"/>
              </w:rPr>
            </w:pPr>
          </w:p>
        </w:tc>
        <w:tc>
          <w:tcPr>
            <w:tcW w:w="2700" w:type="dxa"/>
          </w:tcPr>
          <w:p w14:paraId="42E9CD2E">
            <w:pPr>
              <w:pStyle w:val="16"/>
              <w:snapToGrid w:val="0"/>
              <w:spacing w:line="240" w:lineRule="atLeast"/>
              <w:ind w:left="1080" w:leftChars="257" w:hanging="540"/>
              <w:textAlignment w:val="baseline"/>
              <w:rPr>
                <w:rFonts w:ascii="仿宋" w:hAnsi="仿宋" w:eastAsia="仿宋" w:cs="仿宋"/>
                <w:sz w:val="24"/>
              </w:rPr>
            </w:pPr>
          </w:p>
        </w:tc>
        <w:tc>
          <w:tcPr>
            <w:tcW w:w="1316" w:type="dxa"/>
          </w:tcPr>
          <w:p w14:paraId="5CF4417E">
            <w:pPr>
              <w:pStyle w:val="16"/>
              <w:snapToGrid w:val="0"/>
              <w:spacing w:line="240" w:lineRule="atLeast"/>
              <w:ind w:left="1080" w:leftChars="257" w:hanging="540"/>
              <w:textAlignment w:val="baseline"/>
              <w:rPr>
                <w:rFonts w:ascii="仿宋" w:hAnsi="仿宋" w:eastAsia="仿宋" w:cs="仿宋"/>
                <w:sz w:val="24"/>
              </w:rPr>
            </w:pPr>
          </w:p>
        </w:tc>
        <w:tc>
          <w:tcPr>
            <w:tcW w:w="829" w:type="dxa"/>
          </w:tcPr>
          <w:p w14:paraId="5A34F9AE">
            <w:pPr>
              <w:pStyle w:val="16"/>
              <w:snapToGrid w:val="0"/>
              <w:spacing w:line="240" w:lineRule="atLeast"/>
              <w:ind w:left="1080" w:leftChars="257" w:hanging="540"/>
              <w:textAlignment w:val="baseline"/>
              <w:rPr>
                <w:rFonts w:ascii="仿宋" w:hAnsi="仿宋" w:eastAsia="仿宋" w:cs="仿宋"/>
                <w:sz w:val="24"/>
              </w:rPr>
            </w:pPr>
          </w:p>
        </w:tc>
      </w:tr>
      <w:tr w14:paraId="1A1BF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774" w:type="dxa"/>
          </w:tcPr>
          <w:p w14:paraId="4A8FF161">
            <w:pPr>
              <w:pStyle w:val="16"/>
              <w:snapToGrid w:val="0"/>
              <w:spacing w:line="240" w:lineRule="atLeast"/>
              <w:ind w:left="1080" w:leftChars="257" w:hanging="540"/>
              <w:textAlignment w:val="baseline"/>
              <w:rPr>
                <w:rFonts w:ascii="仿宋" w:hAnsi="仿宋" w:eastAsia="仿宋" w:cs="仿宋"/>
                <w:sz w:val="24"/>
              </w:rPr>
            </w:pPr>
          </w:p>
        </w:tc>
        <w:tc>
          <w:tcPr>
            <w:tcW w:w="2570" w:type="dxa"/>
          </w:tcPr>
          <w:p w14:paraId="2913198F">
            <w:pPr>
              <w:pStyle w:val="16"/>
              <w:snapToGrid w:val="0"/>
              <w:spacing w:line="240" w:lineRule="atLeast"/>
              <w:ind w:left="1080" w:leftChars="257" w:hanging="540"/>
              <w:textAlignment w:val="baseline"/>
              <w:rPr>
                <w:rFonts w:ascii="仿宋" w:hAnsi="仿宋" w:eastAsia="仿宋" w:cs="仿宋"/>
                <w:sz w:val="24"/>
              </w:rPr>
            </w:pPr>
          </w:p>
        </w:tc>
        <w:tc>
          <w:tcPr>
            <w:tcW w:w="2700" w:type="dxa"/>
          </w:tcPr>
          <w:p w14:paraId="7D920BC9">
            <w:pPr>
              <w:pStyle w:val="16"/>
              <w:snapToGrid w:val="0"/>
              <w:spacing w:line="240" w:lineRule="atLeast"/>
              <w:ind w:left="1080" w:leftChars="257" w:hanging="540"/>
              <w:textAlignment w:val="baseline"/>
              <w:rPr>
                <w:rFonts w:ascii="仿宋" w:hAnsi="仿宋" w:eastAsia="仿宋" w:cs="仿宋"/>
                <w:sz w:val="24"/>
              </w:rPr>
            </w:pPr>
          </w:p>
        </w:tc>
        <w:tc>
          <w:tcPr>
            <w:tcW w:w="1316" w:type="dxa"/>
          </w:tcPr>
          <w:p w14:paraId="53F2F377">
            <w:pPr>
              <w:pStyle w:val="16"/>
              <w:snapToGrid w:val="0"/>
              <w:spacing w:line="240" w:lineRule="atLeast"/>
              <w:ind w:left="1080" w:leftChars="257" w:hanging="540"/>
              <w:textAlignment w:val="baseline"/>
              <w:rPr>
                <w:rFonts w:ascii="仿宋" w:hAnsi="仿宋" w:eastAsia="仿宋" w:cs="仿宋"/>
                <w:sz w:val="24"/>
              </w:rPr>
            </w:pPr>
          </w:p>
        </w:tc>
        <w:tc>
          <w:tcPr>
            <w:tcW w:w="829" w:type="dxa"/>
          </w:tcPr>
          <w:p w14:paraId="2D54C86F">
            <w:pPr>
              <w:pStyle w:val="16"/>
              <w:snapToGrid w:val="0"/>
              <w:spacing w:line="240" w:lineRule="atLeast"/>
              <w:ind w:left="1080" w:leftChars="257" w:hanging="540"/>
              <w:textAlignment w:val="baseline"/>
              <w:rPr>
                <w:rFonts w:ascii="仿宋" w:hAnsi="仿宋" w:eastAsia="仿宋" w:cs="仿宋"/>
                <w:sz w:val="24"/>
              </w:rPr>
            </w:pPr>
          </w:p>
        </w:tc>
      </w:tr>
      <w:tr w14:paraId="1510C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774" w:type="dxa"/>
          </w:tcPr>
          <w:p w14:paraId="701E3C9C">
            <w:pPr>
              <w:pStyle w:val="16"/>
              <w:snapToGrid w:val="0"/>
              <w:spacing w:line="240" w:lineRule="atLeast"/>
              <w:ind w:left="1080" w:leftChars="257" w:hanging="540"/>
              <w:textAlignment w:val="baseline"/>
              <w:rPr>
                <w:rFonts w:ascii="仿宋" w:hAnsi="仿宋" w:eastAsia="仿宋" w:cs="仿宋"/>
                <w:sz w:val="24"/>
              </w:rPr>
            </w:pPr>
          </w:p>
        </w:tc>
        <w:tc>
          <w:tcPr>
            <w:tcW w:w="2570" w:type="dxa"/>
          </w:tcPr>
          <w:p w14:paraId="03C4152B">
            <w:pPr>
              <w:pStyle w:val="16"/>
              <w:snapToGrid w:val="0"/>
              <w:spacing w:line="240" w:lineRule="atLeast"/>
              <w:ind w:left="1080" w:leftChars="257" w:hanging="540"/>
              <w:textAlignment w:val="baseline"/>
              <w:rPr>
                <w:rFonts w:ascii="仿宋" w:hAnsi="仿宋" w:eastAsia="仿宋" w:cs="仿宋"/>
                <w:sz w:val="24"/>
              </w:rPr>
            </w:pPr>
          </w:p>
        </w:tc>
        <w:tc>
          <w:tcPr>
            <w:tcW w:w="2700" w:type="dxa"/>
          </w:tcPr>
          <w:p w14:paraId="5C35C5F4">
            <w:pPr>
              <w:pStyle w:val="16"/>
              <w:snapToGrid w:val="0"/>
              <w:spacing w:line="240" w:lineRule="atLeast"/>
              <w:ind w:left="1080" w:leftChars="257" w:hanging="540"/>
              <w:textAlignment w:val="baseline"/>
              <w:rPr>
                <w:rFonts w:ascii="仿宋" w:hAnsi="仿宋" w:eastAsia="仿宋" w:cs="仿宋"/>
                <w:sz w:val="24"/>
              </w:rPr>
            </w:pPr>
          </w:p>
        </w:tc>
        <w:tc>
          <w:tcPr>
            <w:tcW w:w="1316" w:type="dxa"/>
          </w:tcPr>
          <w:p w14:paraId="307B39C7">
            <w:pPr>
              <w:pStyle w:val="16"/>
              <w:snapToGrid w:val="0"/>
              <w:spacing w:line="240" w:lineRule="atLeast"/>
              <w:ind w:left="1080" w:leftChars="257" w:hanging="540"/>
              <w:textAlignment w:val="baseline"/>
              <w:rPr>
                <w:rFonts w:ascii="仿宋" w:hAnsi="仿宋" w:eastAsia="仿宋" w:cs="仿宋"/>
                <w:sz w:val="24"/>
              </w:rPr>
            </w:pPr>
          </w:p>
        </w:tc>
        <w:tc>
          <w:tcPr>
            <w:tcW w:w="829" w:type="dxa"/>
          </w:tcPr>
          <w:p w14:paraId="66837468">
            <w:pPr>
              <w:pStyle w:val="16"/>
              <w:snapToGrid w:val="0"/>
              <w:spacing w:line="240" w:lineRule="atLeast"/>
              <w:ind w:left="1080" w:leftChars="257" w:hanging="540"/>
              <w:textAlignment w:val="baseline"/>
              <w:rPr>
                <w:rFonts w:ascii="仿宋" w:hAnsi="仿宋" w:eastAsia="仿宋" w:cs="仿宋"/>
                <w:sz w:val="24"/>
              </w:rPr>
            </w:pPr>
          </w:p>
        </w:tc>
      </w:tr>
      <w:tr w14:paraId="4D82FA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774" w:type="dxa"/>
          </w:tcPr>
          <w:p w14:paraId="144B07C0">
            <w:pPr>
              <w:pStyle w:val="16"/>
              <w:snapToGrid w:val="0"/>
              <w:spacing w:line="240" w:lineRule="atLeast"/>
              <w:ind w:left="1080" w:leftChars="257" w:hanging="540"/>
              <w:textAlignment w:val="baseline"/>
              <w:rPr>
                <w:rFonts w:ascii="仿宋" w:hAnsi="仿宋" w:eastAsia="仿宋" w:cs="仿宋"/>
                <w:sz w:val="24"/>
              </w:rPr>
            </w:pPr>
          </w:p>
        </w:tc>
        <w:tc>
          <w:tcPr>
            <w:tcW w:w="2570" w:type="dxa"/>
          </w:tcPr>
          <w:p w14:paraId="413340F1">
            <w:pPr>
              <w:pStyle w:val="16"/>
              <w:snapToGrid w:val="0"/>
              <w:spacing w:line="240" w:lineRule="atLeast"/>
              <w:ind w:left="1080" w:leftChars="257" w:hanging="540"/>
              <w:textAlignment w:val="baseline"/>
              <w:rPr>
                <w:rFonts w:ascii="仿宋" w:hAnsi="仿宋" w:eastAsia="仿宋" w:cs="仿宋"/>
                <w:sz w:val="24"/>
              </w:rPr>
            </w:pPr>
          </w:p>
        </w:tc>
        <w:tc>
          <w:tcPr>
            <w:tcW w:w="2700" w:type="dxa"/>
          </w:tcPr>
          <w:p w14:paraId="6C4EE0AE">
            <w:pPr>
              <w:pStyle w:val="16"/>
              <w:snapToGrid w:val="0"/>
              <w:spacing w:line="240" w:lineRule="atLeast"/>
              <w:ind w:left="1080" w:leftChars="257" w:hanging="540"/>
              <w:textAlignment w:val="baseline"/>
              <w:rPr>
                <w:rFonts w:ascii="仿宋" w:hAnsi="仿宋" w:eastAsia="仿宋" w:cs="仿宋"/>
                <w:sz w:val="24"/>
              </w:rPr>
            </w:pPr>
          </w:p>
        </w:tc>
        <w:tc>
          <w:tcPr>
            <w:tcW w:w="1316" w:type="dxa"/>
          </w:tcPr>
          <w:p w14:paraId="168DC563">
            <w:pPr>
              <w:pStyle w:val="16"/>
              <w:snapToGrid w:val="0"/>
              <w:spacing w:line="240" w:lineRule="atLeast"/>
              <w:ind w:left="1080" w:leftChars="257" w:hanging="540"/>
              <w:textAlignment w:val="baseline"/>
              <w:rPr>
                <w:rFonts w:ascii="仿宋" w:hAnsi="仿宋" w:eastAsia="仿宋" w:cs="仿宋"/>
                <w:sz w:val="24"/>
              </w:rPr>
            </w:pPr>
          </w:p>
        </w:tc>
        <w:tc>
          <w:tcPr>
            <w:tcW w:w="829" w:type="dxa"/>
          </w:tcPr>
          <w:p w14:paraId="41EDD938">
            <w:pPr>
              <w:pStyle w:val="16"/>
              <w:snapToGrid w:val="0"/>
              <w:spacing w:line="240" w:lineRule="atLeast"/>
              <w:ind w:left="1080" w:leftChars="257" w:hanging="540"/>
              <w:textAlignment w:val="baseline"/>
              <w:rPr>
                <w:rFonts w:ascii="仿宋" w:hAnsi="仿宋" w:eastAsia="仿宋" w:cs="仿宋"/>
                <w:sz w:val="24"/>
              </w:rPr>
            </w:pPr>
          </w:p>
        </w:tc>
      </w:tr>
      <w:tr w14:paraId="682A4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774" w:type="dxa"/>
          </w:tcPr>
          <w:p w14:paraId="680BD28D">
            <w:pPr>
              <w:pStyle w:val="16"/>
              <w:snapToGrid w:val="0"/>
              <w:spacing w:line="240" w:lineRule="atLeast"/>
              <w:ind w:left="1080" w:leftChars="257" w:hanging="540"/>
              <w:textAlignment w:val="baseline"/>
              <w:rPr>
                <w:rFonts w:ascii="仿宋" w:hAnsi="仿宋" w:eastAsia="仿宋" w:cs="仿宋"/>
                <w:sz w:val="24"/>
              </w:rPr>
            </w:pPr>
          </w:p>
        </w:tc>
        <w:tc>
          <w:tcPr>
            <w:tcW w:w="2570" w:type="dxa"/>
          </w:tcPr>
          <w:p w14:paraId="5F3BC260">
            <w:pPr>
              <w:pStyle w:val="16"/>
              <w:snapToGrid w:val="0"/>
              <w:spacing w:line="240" w:lineRule="atLeast"/>
              <w:ind w:left="1080" w:leftChars="257" w:hanging="540"/>
              <w:textAlignment w:val="baseline"/>
              <w:rPr>
                <w:rFonts w:ascii="仿宋" w:hAnsi="仿宋" w:eastAsia="仿宋" w:cs="仿宋"/>
                <w:sz w:val="24"/>
              </w:rPr>
            </w:pPr>
          </w:p>
        </w:tc>
        <w:tc>
          <w:tcPr>
            <w:tcW w:w="2700" w:type="dxa"/>
          </w:tcPr>
          <w:p w14:paraId="270D2579">
            <w:pPr>
              <w:pStyle w:val="16"/>
              <w:snapToGrid w:val="0"/>
              <w:spacing w:line="240" w:lineRule="atLeast"/>
              <w:ind w:left="1080" w:leftChars="257" w:hanging="540"/>
              <w:textAlignment w:val="baseline"/>
              <w:rPr>
                <w:rFonts w:ascii="仿宋" w:hAnsi="仿宋" w:eastAsia="仿宋" w:cs="仿宋"/>
                <w:sz w:val="24"/>
              </w:rPr>
            </w:pPr>
          </w:p>
        </w:tc>
        <w:tc>
          <w:tcPr>
            <w:tcW w:w="1316" w:type="dxa"/>
          </w:tcPr>
          <w:p w14:paraId="6065B1C0">
            <w:pPr>
              <w:pStyle w:val="16"/>
              <w:snapToGrid w:val="0"/>
              <w:spacing w:line="240" w:lineRule="atLeast"/>
              <w:ind w:left="1080" w:leftChars="257" w:hanging="540"/>
              <w:textAlignment w:val="baseline"/>
              <w:rPr>
                <w:rFonts w:ascii="仿宋" w:hAnsi="仿宋" w:eastAsia="仿宋" w:cs="仿宋"/>
                <w:sz w:val="24"/>
              </w:rPr>
            </w:pPr>
          </w:p>
        </w:tc>
        <w:tc>
          <w:tcPr>
            <w:tcW w:w="829" w:type="dxa"/>
          </w:tcPr>
          <w:p w14:paraId="4237BACC">
            <w:pPr>
              <w:pStyle w:val="16"/>
              <w:snapToGrid w:val="0"/>
              <w:spacing w:line="240" w:lineRule="atLeast"/>
              <w:ind w:left="1080" w:leftChars="257" w:hanging="540"/>
              <w:textAlignment w:val="baseline"/>
              <w:rPr>
                <w:rFonts w:ascii="仿宋" w:hAnsi="仿宋" w:eastAsia="仿宋" w:cs="仿宋"/>
                <w:sz w:val="24"/>
              </w:rPr>
            </w:pPr>
          </w:p>
        </w:tc>
      </w:tr>
      <w:tr w14:paraId="4EE24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774" w:type="dxa"/>
          </w:tcPr>
          <w:p w14:paraId="66587810">
            <w:pPr>
              <w:pStyle w:val="16"/>
              <w:snapToGrid w:val="0"/>
              <w:spacing w:line="240" w:lineRule="atLeast"/>
              <w:ind w:left="1080" w:leftChars="257" w:hanging="540"/>
              <w:textAlignment w:val="baseline"/>
              <w:rPr>
                <w:rFonts w:ascii="仿宋" w:hAnsi="仿宋" w:eastAsia="仿宋" w:cs="仿宋"/>
                <w:sz w:val="24"/>
              </w:rPr>
            </w:pPr>
          </w:p>
        </w:tc>
        <w:tc>
          <w:tcPr>
            <w:tcW w:w="2570" w:type="dxa"/>
          </w:tcPr>
          <w:p w14:paraId="66455E0E">
            <w:pPr>
              <w:pStyle w:val="16"/>
              <w:snapToGrid w:val="0"/>
              <w:spacing w:line="240" w:lineRule="atLeast"/>
              <w:ind w:left="1080" w:leftChars="257" w:hanging="540"/>
              <w:textAlignment w:val="baseline"/>
              <w:rPr>
                <w:rFonts w:ascii="仿宋" w:hAnsi="仿宋" w:eastAsia="仿宋" w:cs="仿宋"/>
                <w:sz w:val="24"/>
              </w:rPr>
            </w:pPr>
          </w:p>
        </w:tc>
        <w:tc>
          <w:tcPr>
            <w:tcW w:w="2700" w:type="dxa"/>
          </w:tcPr>
          <w:p w14:paraId="20AA3B83">
            <w:pPr>
              <w:pStyle w:val="16"/>
              <w:snapToGrid w:val="0"/>
              <w:spacing w:line="240" w:lineRule="atLeast"/>
              <w:ind w:left="1080" w:leftChars="257" w:hanging="540"/>
              <w:textAlignment w:val="baseline"/>
              <w:rPr>
                <w:rFonts w:ascii="仿宋" w:hAnsi="仿宋" w:eastAsia="仿宋" w:cs="仿宋"/>
                <w:sz w:val="24"/>
              </w:rPr>
            </w:pPr>
          </w:p>
        </w:tc>
        <w:tc>
          <w:tcPr>
            <w:tcW w:w="1316" w:type="dxa"/>
          </w:tcPr>
          <w:p w14:paraId="0636C606">
            <w:pPr>
              <w:pStyle w:val="16"/>
              <w:snapToGrid w:val="0"/>
              <w:spacing w:line="240" w:lineRule="atLeast"/>
              <w:ind w:left="1080" w:leftChars="257" w:hanging="540"/>
              <w:textAlignment w:val="baseline"/>
              <w:rPr>
                <w:rFonts w:ascii="仿宋" w:hAnsi="仿宋" w:eastAsia="仿宋" w:cs="仿宋"/>
                <w:sz w:val="24"/>
              </w:rPr>
            </w:pPr>
          </w:p>
        </w:tc>
        <w:tc>
          <w:tcPr>
            <w:tcW w:w="829" w:type="dxa"/>
          </w:tcPr>
          <w:p w14:paraId="219F59B5">
            <w:pPr>
              <w:pStyle w:val="16"/>
              <w:snapToGrid w:val="0"/>
              <w:spacing w:line="240" w:lineRule="atLeast"/>
              <w:ind w:left="1080" w:leftChars="257" w:hanging="540"/>
              <w:textAlignment w:val="baseline"/>
              <w:rPr>
                <w:rFonts w:ascii="仿宋" w:hAnsi="仿宋" w:eastAsia="仿宋" w:cs="仿宋"/>
                <w:sz w:val="24"/>
              </w:rPr>
            </w:pPr>
          </w:p>
        </w:tc>
      </w:tr>
      <w:tr w14:paraId="05578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774" w:type="dxa"/>
          </w:tcPr>
          <w:p w14:paraId="1370D5F3">
            <w:pPr>
              <w:pStyle w:val="16"/>
              <w:snapToGrid w:val="0"/>
              <w:spacing w:line="240" w:lineRule="atLeast"/>
              <w:ind w:left="1080" w:leftChars="257" w:hanging="540"/>
              <w:textAlignment w:val="baseline"/>
              <w:rPr>
                <w:rFonts w:ascii="仿宋" w:hAnsi="仿宋" w:eastAsia="仿宋" w:cs="仿宋"/>
                <w:sz w:val="24"/>
              </w:rPr>
            </w:pPr>
          </w:p>
        </w:tc>
        <w:tc>
          <w:tcPr>
            <w:tcW w:w="2570" w:type="dxa"/>
          </w:tcPr>
          <w:p w14:paraId="08D6186C">
            <w:pPr>
              <w:pStyle w:val="16"/>
              <w:snapToGrid w:val="0"/>
              <w:spacing w:line="240" w:lineRule="atLeast"/>
              <w:ind w:left="1080" w:leftChars="257" w:hanging="540"/>
              <w:textAlignment w:val="baseline"/>
              <w:rPr>
                <w:rFonts w:ascii="仿宋" w:hAnsi="仿宋" w:eastAsia="仿宋" w:cs="仿宋"/>
                <w:sz w:val="24"/>
              </w:rPr>
            </w:pPr>
          </w:p>
        </w:tc>
        <w:tc>
          <w:tcPr>
            <w:tcW w:w="2700" w:type="dxa"/>
          </w:tcPr>
          <w:p w14:paraId="454FDB6F">
            <w:pPr>
              <w:pStyle w:val="16"/>
              <w:snapToGrid w:val="0"/>
              <w:spacing w:line="240" w:lineRule="atLeast"/>
              <w:ind w:left="1080" w:leftChars="257" w:hanging="540"/>
              <w:textAlignment w:val="baseline"/>
              <w:rPr>
                <w:rFonts w:ascii="仿宋" w:hAnsi="仿宋" w:eastAsia="仿宋" w:cs="仿宋"/>
                <w:sz w:val="24"/>
              </w:rPr>
            </w:pPr>
          </w:p>
        </w:tc>
        <w:tc>
          <w:tcPr>
            <w:tcW w:w="1316" w:type="dxa"/>
          </w:tcPr>
          <w:p w14:paraId="4130638F">
            <w:pPr>
              <w:pStyle w:val="16"/>
              <w:snapToGrid w:val="0"/>
              <w:spacing w:line="240" w:lineRule="atLeast"/>
              <w:ind w:left="1080" w:leftChars="257" w:hanging="540"/>
              <w:textAlignment w:val="baseline"/>
              <w:rPr>
                <w:rFonts w:ascii="仿宋" w:hAnsi="仿宋" w:eastAsia="仿宋" w:cs="仿宋"/>
                <w:sz w:val="24"/>
              </w:rPr>
            </w:pPr>
          </w:p>
        </w:tc>
        <w:tc>
          <w:tcPr>
            <w:tcW w:w="829" w:type="dxa"/>
          </w:tcPr>
          <w:p w14:paraId="475AC7D2">
            <w:pPr>
              <w:pStyle w:val="16"/>
              <w:snapToGrid w:val="0"/>
              <w:spacing w:line="240" w:lineRule="atLeast"/>
              <w:ind w:left="1080" w:leftChars="257" w:hanging="540"/>
              <w:textAlignment w:val="baseline"/>
              <w:rPr>
                <w:rFonts w:ascii="仿宋" w:hAnsi="仿宋" w:eastAsia="仿宋" w:cs="仿宋"/>
                <w:sz w:val="24"/>
              </w:rPr>
            </w:pPr>
          </w:p>
        </w:tc>
      </w:tr>
      <w:tr w14:paraId="7306E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774" w:type="dxa"/>
          </w:tcPr>
          <w:p w14:paraId="1BB34393">
            <w:pPr>
              <w:pStyle w:val="16"/>
              <w:snapToGrid w:val="0"/>
              <w:spacing w:line="240" w:lineRule="atLeast"/>
              <w:ind w:left="1080" w:leftChars="257" w:hanging="540"/>
              <w:textAlignment w:val="baseline"/>
              <w:rPr>
                <w:rFonts w:ascii="仿宋" w:hAnsi="仿宋" w:eastAsia="仿宋" w:cs="仿宋"/>
                <w:sz w:val="24"/>
              </w:rPr>
            </w:pPr>
          </w:p>
        </w:tc>
        <w:tc>
          <w:tcPr>
            <w:tcW w:w="2570" w:type="dxa"/>
          </w:tcPr>
          <w:p w14:paraId="287303DD">
            <w:pPr>
              <w:pStyle w:val="16"/>
              <w:snapToGrid w:val="0"/>
              <w:spacing w:line="240" w:lineRule="atLeast"/>
              <w:ind w:left="1080" w:leftChars="257" w:hanging="540"/>
              <w:textAlignment w:val="baseline"/>
              <w:rPr>
                <w:rFonts w:ascii="仿宋" w:hAnsi="仿宋" w:eastAsia="仿宋" w:cs="仿宋"/>
                <w:sz w:val="24"/>
              </w:rPr>
            </w:pPr>
          </w:p>
        </w:tc>
        <w:tc>
          <w:tcPr>
            <w:tcW w:w="2700" w:type="dxa"/>
          </w:tcPr>
          <w:p w14:paraId="17096007">
            <w:pPr>
              <w:pStyle w:val="16"/>
              <w:snapToGrid w:val="0"/>
              <w:spacing w:line="240" w:lineRule="atLeast"/>
              <w:ind w:left="1080" w:leftChars="257" w:hanging="540"/>
              <w:textAlignment w:val="baseline"/>
              <w:rPr>
                <w:rFonts w:ascii="仿宋" w:hAnsi="仿宋" w:eastAsia="仿宋" w:cs="仿宋"/>
                <w:sz w:val="24"/>
              </w:rPr>
            </w:pPr>
          </w:p>
        </w:tc>
        <w:tc>
          <w:tcPr>
            <w:tcW w:w="1316" w:type="dxa"/>
          </w:tcPr>
          <w:p w14:paraId="72FF79A7">
            <w:pPr>
              <w:pStyle w:val="16"/>
              <w:snapToGrid w:val="0"/>
              <w:spacing w:line="240" w:lineRule="atLeast"/>
              <w:ind w:left="1080" w:leftChars="257" w:hanging="540"/>
              <w:textAlignment w:val="baseline"/>
              <w:rPr>
                <w:rFonts w:ascii="仿宋" w:hAnsi="仿宋" w:eastAsia="仿宋" w:cs="仿宋"/>
                <w:sz w:val="24"/>
              </w:rPr>
            </w:pPr>
          </w:p>
        </w:tc>
        <w:tc>
          <w:tcPr>
            <w:tcW w:w="829" w:type="dxa"/>
          </w:tcPr>
          <w:p w14:paraId="0A7454BD">
            <w:pPr>
              <w:pStyle w:val="16"/>
              <w:snapToGrid w:val="0"/>
              <w:spacing w:line="240" w:lineRule="atLeast"/>
              <w:ind w:left="1080" w:leftChars="257" w:hanging="540"/>
              <w:textAlignment w:val="baseline"/>
              <w:rPr>
                <w:rFonts w:ascii="仿宋" w:hAnsi="仿宋" w:eastAsia="仿宋" w:cs="仿宋"/>
                <w:sz w:val="24"/>
              </w:rPr>
            </w:pPr>
          </w:p>
        </w:tc>
      </w:tr>
      <w:tr w14:paraId="11704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774" w:type="dxa"/>
          </w:tcPr>
          <w:p w14:paraId="1D805152">
            <w:pPr>
              <w:pStyle w:val="16"/>
              <w:snapToGrid w:val="0"/>
              <w:spacing w:line="240" w:lineRule="atLeast"/>
              <w:ind w:left="1080" w:leftChars="257" w:hanging="540"/>
              <w:textAlignment w:val="baseline"/>
              <w:rPr>
                <w:rFonts w:ascii="仿宋" w:hAnsi="仿宋" w:eastAsia="仿宋" w:cs="仿宋"/>
                <w:sz w:val="24"/>
              </w:rPr>
            </w:pPr>
          </w:p>
        </w:tc>
        <w:tc>
          <w:tcPr>
            <w:tcW w:w="2570" w:type="dxa"/>
          </w:tcPr>
          <w:p w14:paraId="51DE1F30">
            <w:pPr>
              <w:pStyle w:val="16"/>
              <w:snapToGrid w:val="0"/>
              <w:spacing w:line="240" w:lineRule="atLeast"/>
              <w:ind w:left="1080" w:leftChars="257" w:hanging="540"/>
              <w:textAlignment w:val="baseline"/>
              <w:rPr>
                <w:rFonts w:ascii="仿宋" w:hAnsi="仿宋" w:eastAsia="仿宋" w:cs="仿宋"/>
                <w:sz w:val="24"/>
              </w:rPr>
            </w:pPr>
          </w:p>
        </w:tc>
        <w:tc>
          <w:tcPr>
            <w:tcW w:w="2700" w:type="dxa"/>
          </w:tcPr>
          <w:p w14:paraId="50951D95">
            <w:pPr>
              <w:pStyle w:val="16"/>
              <w:snapToGrid w:val="0"/>
              <w:spacing w:line="240" w:lineRule="atLeast"/>
              <w:ind w:left="1080" w:leftChars="257" w:hanging="540"/>
              <w:textAlignment w:val="baseline"/>
              <w:rPr>
                <w:rFonts w:ascii="仿宋" w:hAnsi="仿宋" w:eastAsia="仿宋" w:cs="仿宋"/>
                <w:sz w:val="24"/>
              </w:rPr>
            </w:pPr>
          </w:p>
        </w:tc>
        <w:tc>
          <w:tcPr>
            <w:tcW w:w="1316" w:type="dxa"/>
          </w:tcPr>
          <w:p w14:paraId="4AB7B8E6">
            <w:pPr>
              <w:pStyle w:val="16"/>
              <w:snapToGrid w:val="0"/>
              <w:spacing w:line="240" w:lineRule="atLeast"/>
              <w:ind w:left="1080" w:leftChars="257" w:hanging="540"/>
              <w:textAlignment w:val="baseline"/>
              <w:rPr>
                <w:rFonts w:ascii="仿宋" w:hAnsi="仿宋" w:eastAsia="仿宋" w:cs="仿宋"/>
                <w:sz w:val="24"/>
              </w:rPr>
            </w:pPr>
          </w:p>
        </w:tc>
        <w:tc>
          <w:tcPr>
            <w:tcW w:w="829" w:type="dxa"/>
          </w:tcPr>
          <w:p w14:paraId="5C4BFD0C">
            <w:pPr>
              <w:pStyle w:val="16"/>
              <w:snapToGrid w:val="0"/>
              <w:spacing w:line="240" w:lineRule="atLeast"/>
              <w:ind w:left="1080" w:leftChars="257" w:hanging="540"/>
              <w:textAlignment w:val="baseline"/>
              <w:rPr>
                <w:rFonts w:ascii="仿宋" w:hAnsi="仿宋" w:eastAsia="仿宋" w:cs="仿宋"/>
                <w:sz w:val="24"/>
              </w:rPr>
            </w:pPr>
          </w:p>
        </w:tc>
      </w:tr>
      <w:tr w14:paraId="665F2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774" w:type="dxa"/>
          </w:tcPr>
          <w:p w14:paraId="04FF717F">
            <w:pPr>
              <w:pStyle w:val="16"/>
              <w:snapToGrid w:val="0"/>
              <w:spacing w:line="240" w:lineRule="atLeast"/>
              <w:ind w:left="1080" w:leftChars="257" w:hanging="540"/>
              <w:textAlignment w:val="baseline"/>
              <w:rPr>
                <w:rFonts w:ascii="仿宋" w:hAnsi="仿宋" w:eastAsia="仿宋" w:cs="仿宋"/>
                <w:sz w:val="24"/>
              </w:rPr>
            </w:pPr>
          </w:p>
        </w:tc>
        <w:tc>
          <w:tcPr>
            <w:tcW w:w="2570" w:type="dxa"/>
          </w:tcPr>
          <w:p w14:paraId="6CF21114">
            <w:pPr>
              <w:pStyle w:val="16"/>
              <w:snapToGrid w:val="0"/>
              <w:spacing w:line="240" w:lineRule="atLeast"/>
              <w:ind w:left="1080" w:leftChars="257" w:hanging="540"/>
              <w:textAlignment w:val="baseline"/>
              <w:rPr>
                <w:rFonts w:ascii="仿宋" w:hAnsi="仿宋" w:eastAsia="仿宋" w:cs="仿宋"/>
                <w:sz w:val="24"/>
              </w:rPr>
            </w:pPr>
          </w:p>
        </w:tc>
        <w:tc>
          <w:tcPr>
            <w:tcW w:w="2700" w:type="dxa"/>
          </w:tcPr>
          <w:p w14:paraId="13C43DD0">
            <w:pPr>
              <w:pStyle w:val="16"/>
              <w:snapToGrid w:val="0"/>
              <w:spacing w:line="240" w:lineRule="atLeast"/>
              <w:ind w:left="1080" w:leftChars="257" w:hanging="540"/>
              <w:textAlignment w:val="baseline"/>
              <w:rPr>
                <w:rFonts w:ascii="仿宋" w:hAnsi="仿宋" w:eastAsia="仿宋" w:cs="仿宋"/>
                <w:sz w:val="24"/>
              </w:rPr>
            </w:pPr>
          </w:p>
        </w:tc>
        <w:tc>
          <w:tcPr>
            <w:tcW w:w="1316" w:type="dxa"/>
          </w:tcPr>
          <w:p w14:paraId="45D1C7BE">
            <w:pPr>
              <w:pStyle w:val="16"/>
              <w:snapToGrid w:val="0"/>
              <w:spacing w:line="240" w:lineRule="atLeast"/>
              <w:ind w:left="1080" w:leftChars="257" w:hanging="540"/>
              <w:textAlignment w:val="baseline"/>
              <w:rPr>
                <w:rFonts w:ascii="仿宋" w:hAnsi="仿宋" w:eastAsia="仿宋" w:cs="仿宋"/>
                <w:sz w:val="24"/>
              </w:rPr>
            </w:pPr>
          </w:p>
        </w:tc>
        <w:tc>
          <w:tcPr>
            <w:tcW w:w="829" w:type="dxa"/>
          </w:tcPr>
          <w:p w14:paraId="2A112593">
            <w:pPr>
              <w:pStyle w:val="16"/>
              <w:snapToGrid w:val="0"/>
              <w:spacing w:line="240" w:lineRule="atLeast"/>
              <w:ind w:left="1080" w:leftChars="257" w:hanging="540"/>
              <w:textAlignment w:val="baseline"/>
              <w:rPr>
                <w:rFonts w:ascii="仿宋" w:hAnsi="仿宋" w:eastAsia="仿宋" w:cs="仿宋"/>
                <w:sz w:val="24"/>
              </w:rPr>
            </w:pPr>
          </w:p>
        </w:tc>
      </w:tr>
      <w:tr w14:paraId="3A8AD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774" w:type="dxa"/>
          </w:tcPr>
          <w:p w14:paraId="0BBF48AC">
            <w:pPr>
              <w:pStyle w:val="16"/>
              <w:snapToGrid w:val="0"/>
              <w:spacing w:line="240" w:lineRule="atLeast"/>
              <w:ind w:left="1080" w:leftChars="257" w:hanging="540"/>
              <w:textAlignment w:val="baseline"/>
              <w:rPr>
                <w:rFonts w:ascii="仿宋" w:hAnsi="仿宋" w:eastAsia="仿宋" w:cs="仿宋"/>
                <w:sz w:val="24"/>
              </w:rPr>
            </w:pPr>
          </w:p>
        </w:tc>
        <w:tc>
          <w:tcPr>
            <w:tcW w:w="2570" w:type="dxa"/>
          </w:tcPr>
          <w:p w14:paraId="52CEFBE1">
            <w:pPr>
              <w:pStyle w:val="16"/>
              <w:snapToGrid w:val="0"/>
              <w:spacing w:line="240" w:lineRule="atLeast"/>
              <w:ind w:left="1080" w:leftChars="257" w:hanging="540"/>
              <w:textAlignment w:val="baseline"/>
              <w:rPr>
                <w:rFonts w:ascii="仿宋" w:hAnsi="仿宋" w:eastAsia="仿宋" w:cs="仿宋"/>
                <w:sz w:val="24"/>
              </w:rPr>
            </w:pPr>
          </w:p>
        </w:tc>
        <w:tc>
          <w:tcPr>
            <w:tcW w:w="2700" w:type="dxa"/>
          </w:tcPr>
          <w:p w14:paraId="3A70CECD">
            <w:pPr>
              <w:pStyle w:val="16"/>
              <w:snapToGrid w:val="0"/>
              <w:spacing w:line="240" w:lineRule="atLeast"/>
              <w:ind w:left="1080" w:leftChars="257" w:hanging="540"/>
              <w:textAlignment w:val="baseline"/>
              <w:rPr>
                <w:rFonts w:ascii="仿宋" w:hAnsi="仿宋" w:eastAsia="仿宋" w:cs="仿宋"/>
                <w:sz w:val="24"/>
              </w:rPr>
            </w:pPr>
          </w:p>
        </w:tc>
        <w:tc>
          <w:tcPr>
            <w:tcW w:w="1316" w:type="dxa"/>
          </w:tcPr>
          <w:p w14:paraId="3065ABD6">
            <w:pPr>
              <w:pStyle w:val="16"/>
              <w:snapToGrid w:val="0"/>
              <w:spacing w:line="240" w:lineRule="atLeast"/>
              <w:ind w:left="1080" w:leftChars="257" w:hanging="540"/>
              <w:textAlignment w:val="baseline"/>
              <w:rPr>
                <w:rFonts w:ascii="仿宋" w:hAnsi="仿宋" w:eastAsia="仿宋" w:cs="仿宋"/>
                <w:sz w:val="24"/>
              </w:rPr>
            </w:pPr>
          </w:p>
        </w:tc>
        <w:tc>
          <w:tcPr>
            <w:tcW w:w="829" w:type="dxa"/>
          </w:tcPr>
          <w:p w14:paraId="6759509F">
            <w:pPr>
              <w:pStyle w:val="16"/>
              <w:snapToGrid w:val="0"/>
              <w:spacing w:line="240" w:lineRule="atLeast"/>
              <w:ind w:left="1080" w:leftChars="257" w:hanging="540"/>
              <w:textAlignment w:val="baseline"/>
              <w:rPr>
                <w:rFonts w:ascii="仿宋" w:hAnsi="仿宋" w:eastAsia="仿宋" w:cs="仿宋"/>
                <w:sz w:val="24"/>
              </w:rPr>
            </w:pPr>
          </w:p>
        </w:tc>
      </w:tr>
      <w:tr w14:paraId="75966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774" w:type="dxa"/>
          </w:tcPr>
          <w:p w14:paraId="015503E9">
            <w:pPr>
              <w:pStyle w:val="16"/>
              <w:snapToGrid w:val="0"/>
              <w:spacing w:line="240" w:lineRule="atLeast"/>
              <w:ind w:left="1080" w:leftChars="257" w:hanging="540"/>
              <w:textAlignment w:val="baseline"/>
              <w:rPr>
                <w:rFonts w:ascii="仿宋" w:hAnsi="仿宋" w:eastAsia="仿宋" w:cs="仿宋"/>
                <w:sz w:val="24"/>
              </w:rPr>
            </w:pPr>
          </w:p>
        </w:tc>
        <w:tc>
          <w:tcPr>
            <w:tcW w:w="2570" w:type="dxa"/>
          </w:tcPr>
          <w:p w14:paraId="1C2A209E">
            <w:pPr>
              <w:pStyle w:val="16"/>
              <w:snapToGrid w:val="0"/>
              <w:spacing w:line="240" w:lineRule="atLeast"/>
              <w:ind w:left="1080" w:leftChars="257" w:hanging="540"/>
              <w:textAlignment w:val="baseline"/>
              <w:rPr>
                <w:rFonts w:ascii="仿宋" w:hAnsi="仿宋" w:eastAsia="仿宋" w:cs="仿宋"/>
                <w:sz w:val="24"/>
              </w:rPr>
            </w:pPr>
          </w:p>
        </w:tc>
        <w:tc>
          <w:tcPr>
            <w:tcW w:w="2700" w:type="dxa"/>
          </w:tcPr>
          <w:p w14:paraId="1DC08CAA">
            <w:pPr>
              <w:pStyle w:val="16"/>
              <w:snapToGrid w:val="0"/>
              <w:spacing w:line="240" w:lineRule="atLeast"/>
              <w:ind w:left="1080" w:leftChars="257" w:hanging="540"/>
              <w:textAlignment w:val="baseline"/>
              <w:rPr>
                <w:rFonts w:ascii="仿宋" w:hAnsi="仿宋" w:eastAsia="仿宋" w:cs="仿宋"/>
                <w:sz w:val="24"/>
              </w:rPr>
            </w:pPr>
          </w:p>
        </w:tc>
        <w:tc>
          <w:tcPr>
            <w:tcW w:w="1316" w:type="dxa"/>
          </w:tcPr>
          <w:p w14:paraId="5BE26C2E">
            <w:pPr>
              <w:pStyle w:val="16"/>
              <w:snapToGrid w:val="0"/>
              <w:spacing w:line="240" w:lineRule="atLeast"/>
              <w:ind w:left="1080" w:leftChars="257" w:hanging="540"/>
              <w:textAlignment w:val="baseline"/>
              <w:rPr>
                <w:rFonts w:ascii="仿宋" w:hAnsi="仿宋" w:eastAsia="仿宋" w:cs="仿宋"/>
                <w:sz w:val="24"/>
              </w:rPr>
            </w:pPr>
          </w:p>
        </w:tc>
        <w:tc>
          <w:tcPr>
            <w:tcW w:w="829" w:type="dxa"/>
          </w:tcPr>
          <w:p w14:paraId="6297F293">
            <w:pPr>
              <w:pStyle w:val="16"/>
              <w:snapToGrid w:val="0"/>
              <w:spacing w:line="240" w:lineRule="atLeast"/>
              <w:ind w:left="1080" w:leftChars="257" w:hanging="540"/>
              <w:textAlignment w:val="baseline"/>
              <w:rPr>
                <w:rFonts w:ascii="仿宋" w:hAnsi="仿宋" w:eastAsia="仿宋" w:cs="仿宋"/>
                <w:sz w:val="24"/>
              </w:rPr>
            </w:pPr>
          </w:p>
        </w:tc>
      </w:tr>
      <w:tr w14:paraId="49AB7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774" w:type="dxa"/>
          </w:tcPr>
          <w:p w14:paraId="38ABFED3">
            <w:pPr>
              <w:pStyle w:val="16"/>
              <w:snapToGrid w:val="0"/>
              <w:spacing w:line="240" w:lineRule="atLeast"/>
              <w:ind w:left="1080" w:leftChars="257" w:hanging="540"/>
              <w:textAlignment w:val="baseline"/>
              <w:rPr>
                <w:rFonts w:ascii="仿宋" w:hAnsi="仿宋" w:eastAsia="仿宋" w:cs="仿宋"/>
                <w:sz w:val="24"/>
              </w:rPr>
            </w:pPr>
          </w:p>
        </w:tc>
        <w:tc>
          <w:tcPr>
            <w:tcW w:w="2570" w:type="dxa"/>
          </w:tcPr>
          <w:p w14:paraId="077B6C7E">
            <w:pPr>
              <w:pStyle w:val="16"/>
              <w:snapToGrid w:val="0"/>
              <w:spacing w:line="240" w:lineRule="atLeast"/>
              <w:ind w:left="1080" w:leftChars="257" w:hanging="540"/>
              <w:textAlignment w:val="baseline"/>
              <w:rPr>
                <w:rFonts w:ascii="仿宋" w:hAnsi="仿宋" w:eastAsia="仿宋" w:cs="仿宋"/>
                <w:sz w:val="24"/>
              </w:rPr>
            </w:pPr>
          </w:p>
        </w:tc>
        <w:tc>
          <w:tcPr>
            <w:tcW w:w="2700" w:type="dxa"/>
          </w:tcPr>
          <w:p w14:paraId="6701679E">
            <w:pPr>
              <w:pStyle w:val="16"/>
              <w:snapToGrid w:val="0"/>
              <w:spacing w:line="240" w:lineRule="atLeast"/>
              <w:ind w:left="1080" w:leftChars="257" w:hanging="540"/>
              <w:textAlignment w:val="baseline"/>
              <w:rPr>
                <w:rFonts w:ascii="仿宋" w:hAnsi="仿宋" w:eastAsia="仿宋" w:cs="仿宋"/>
                <w:sz w:val="24"/>
              </w:rPr>
            </w:pPr>
          </w:p>
        </w:tc>
        <w:tc>
          <w:tcPr>
            <w:tcW w:w="1316" w:type="dxa"/>
          </w:tcPr>
          <w:p w14:paraId="15241936">
            <w:pPr>
              <w:pStyle w:val="16"/>
              <w:snapToGrid w:val="0"/>
              <w:spacing w:line="240" w:lineRule="atLeast"/>
              <w:ind w:left="1080" w:leftChars="257" w:hanging="540"/>
              <w:textAlignment w:val="baseline"/>
              <w:rPr>
                <w:rFonts w:ascii="仿宋" w:hAnsi="仿宋" w:eastAsia="仿宋" w:cs="仿宋"/>
                <w:sz w:val="24"/>
              </w:rPr>
            </w:pPr>
          </w:p>
        </w:tc>
        <w:tc>
          <w:tcPr>
            <w:tcW w:w="829" w:type="dxa"/>
          </w:tcPr>
          <w:p w14:paraId="016F734A">
            <w:pPr>
              <w:pStyle w:val="16"/>
              <w:snapToGrid w:val="0"/>
              <w:spacing w:line="240" w:lineRule="atLeast"/>
              <w:ind w:left="1080" w:leftChars="257" w:hanging="540"/>
              <w:textAlignment w:val="baseline"/>
              <w:rPr>
                <w:rFonts w:ascii="仿宋" w:hAnsi="仿宋" w:eastAsia="仿宋" w:cs="仿宋"/>
                <w:sz w:val="24"/>
              </w:rPr>
            </w:pPr>
          </w:p>
        </w:tc>
      </w:tr>
      <w:tr w14:paraId="40E7D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774" w:type="dxa"/>
          </w:tcPr>
          <w:p w14:paraId="5E5DEF44">
            <w:pPr>
              <w:pStyle w:val="16"/>
              <w:snapToGrid w:val="0"/>
              <w:spacing w:line="240" w:lineRule="atLeast"/>
              <w:ind w:left="1080" w:leftChars="257" w:hanging="540"/>
              <w:textAlignment w:val="baseline"/>
              <w:rPr>
                <w:rFonts w:ascii="仿宋" w:hAnsi="仿宋" w:eastAsia="仿宋" w:cs="仿宋"/>
                <w:sz w:val="24"/>
              </w:rPr>
            </w:pPr>
          </w:p>
        </w:tc>
        <w:tc>
          <w:tcPr>
            <w:tcW w:w="2570" w:type="dxa"/>
          </w:tcPr>
          <w:p w14:paraId="52CFC8C4">
            <w:pPr>
              <w:pStyle w:val="16"/>
              <w:snapToGrid w:val="0"/>
              <w:spacing w:line="240" w:lineRule="atLeast"/>
              <w:ind w:left="1080" w:leftChars="257" w:hanging="540"/>
              <w:textAlignment w:val="baseline"/>
              <w:rPr>
                <w:rFonts w:ascii="仿宋" w:hAnsi="仿宋" w:eastAsia="仿宋" w:cs="仿宋"/>
                <w:sz w:val="24"/>
              </w:rPr>
            </w:pPr>
          </w:p>
        </w:tc>
        <w:tc>
          <w:tcPr>
            <w:tcW w:w="2700" w:type="dxa"/>
          </w:tcPr>
          <w:p w14:paraId="3269F6F2">
            <w:pPr>
              <w:pStyle w:val="16"/>
              <w:snapToGrid w:val="0"/>
              <w:spacing w:line="240" w:lineRule="atLeast"/>
              <w:ind w:left="1080" w:leftChars="257" w:hanging="540"/>
              <w:textAlignment w:val="baseline"/>
              <w:rPr>
                <w:rFonts w:ascii="仿宋" w:hAnsi="仿宋" w:eastAsia="仿宋" w:cs="仿宋"/>
                <w:sz w:val="24"/>
              </w:rPr>
            </w:pPr>
          </w:p>
        </w:tc>
        <w:tc>
          <w:tcPr>
            <w:tcW w:w="1316" w:type="dxa"/>
          </w:tcPr>
          <w:p w14:paraId="7D616B85">
            <w:pPr>
              <w:pStyle w:val="16"/>
              <w:snapToGrid w:val="0"/>
              <w:spacing w:line="240" w:lineRule="atLeast"/>
              <w:ind w:left="1080" w:leftChars="257" w:hanging="540"/>
              <w:textAlignment w:val="baseline"/>
              <w:rPr>
                <w:rFonts w:ascii="仿宋" w:hAnsi="仿宋" w:eastAsia="仿宋" w:cs="仿宋"/>
                <w:sz w:val="24"/>
              </w:rPr>
            </w:pPr>
          </w:p>
        </w:tc>
        <w:tc>
          <w:tcPr>
            <w:tcW w:w="829" w:type="dxa"/>
          </w:tcPr>
          <w:p w14:paraId="133023B0">
            <w:pPr>
              <w:pStyle w:val="16"/>
              <w:snapToGrid w:val="0"/>
              <w:spacing w:line="240" w:lineRule="atLeast"/>
              <w:ind w:left="1080" w:leftChars="257" w:hanging="540"/>
              <w:textAlignment w:val="baseline"/>
              <w:rPr>
                <w:rFonts w:ascii="仿宋" w:hAnsi="仿宋" w:eastAsia="仿宋" w:cs="仿宋"/>
                <w:sz w:val="24"/>
              </w:rPr>
            </w:pPr>
          </w:p>
        </w:tc>
      </w:tr>
      <w:tr w14:paraId="59608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774" w:type="dxa"/>
          </w:tcPr>
          <w:p w14:paraId="789BC59C">
            <w:pPr>
              <w:pStyle w:val="16"/>
              <w:snapToGrid w:val="0"/>
              <w:spacing w:line="240" w:lineRule="atLeast"/>
              <w:ind w:left="1080" w:leftChars="257" w:hanging="540"/>
              <w:textAlignment w:val="baseline"/>
              <w:rPr>
                <w:rFonts w:ascii="仿宋" w:hAnsi="仿宋" w:eastAsia="仿宋" w:cs="仿宋"/>
                <w:sz w:val="24"/>
              </w:rPr>
            </w:pPr>
          </w:p>
        </w:tc>
        <w:tc>
          <w:tcPr>
            <w:tcW w:w="2570" w:type="dxa"/>
          </w:tcPr>
          <w:p w14:paraId="17C6DFBC">
            <w:pPr>
              <w:pStyle w:val="16"/>
              <w:snapToGrid w:val="0"/>
              <w:spacing w:line="240" w:lineRule="atLeast"/>
              <w:ind w:left="1080" w:leftChars="257" w:hanging="540"/>
              <w:textAlignment w:val="baseline"/>
              <w:rPr>
                <w:rFonts w:ascii="仿宋" w:hAnsi="仿宋" w:eastAsia="仿宋" w:cs="仿宋"/>
                <w:sz w:val="24"/>
              </w:rPr>
            </w:pPr>
          </w:p>
        </w:tc>
        <w:tc>
          <w:tcPr>
            <w:tcW w:w="2700" w:type="dxa"/>
          </w:tcPr>
          <w:p w14:paraId="6F631669">
            <w:pPr>
              <w:pStyle w:val="16"/>
              <w:snapToGrid w:val="0"/>
              <w:spacing w:line="240" w:lineRule="atLeast"/>
              <w:ind w:left="1080" w:leftChars="257" w:hanging="540"/>
              <w:textAlignment w:val="baseline"/>
              <w:rPr>
                <w:rFonts w:ascii="仿宋" w:hAnsi="仿宋" w:eastAsia="仿宋" w:cs="仿宋"/>
                <w:sz w:val="24"/>
              </w:rPr>
            </w:pPr>
          </w:p>
        </w:tc>
        <w:tc>
          <w:tcPr>
            <w:tcW w:w="1316" w:type="dxa"/>
          </w:tcPr>
          <w:p w14:paraId="3A0398BA">
            <w:pPr>
              <w:pStyle w:val="16"/>
              <w:snapToGrid w:val="0"/>
              <w:spacing w:line="240" w:lineRule="atLeast"/>
              <w:ind w:left="1080" w:leftChars="257" w:hanging="540"/>
              <w:textAlignment w:val="baseline"/>
              <w:rPr>
                <w:rFonts w:ascii="仿宋" w:hAnsi="仿宋" w:eastAsia="仿宋" w:cs="仿宋"/>
                <w:sz w:val="24"/>
              </w:rPr>
            </w:pPr>
          </w:p>
        </w:tc>
        <w:tc>
          <w:tcPr>
            <w:tcW w:w="829" w:type="dxa"/>
          </w:tcPr>
          <w:p w14:paraId="2813F31D">
            <w:pPr>
              <w:pStyle w:val="16"/>
              <w:snapToGrid w:val="0"/>
              <w:spacing w:line="240" w:lineRule="atLeast"/>
              <w:ind w:left="1080" w:leftChars="257" w:hanging="540"/>
              <w:textAlignment w:val="baseline"/>
              <w:rPr>
                <w:rFonts w:ascii="仿宋" w:hAnsi="仿宋" w:eastAsia="仿宋" w:cs="仿宋"/>
                <w:sz w:val="24"/>
              </w:rPr>
            </w:pPr>
          </w:p>
        </w:tc>
      </w:tr>
    </w:tbl>
    <w:p w14:paraId="7A6E5410">
      <w:pPr>
        <w:pStyle w:val="16"/>
        <w:snapToGrid w:val="0"/>
        <w:spacing w:line="240" w:lineRule="atLeast"/>
        <w:ind w:left="1080" w:leftChars="257" w:hanging="540"/>
        <w:textAlignment w:val="baseline"/>
        <w:rPr>
          <w:rFonts w:ascii="仿宋" w:hAnsi="仿宋" w:eastAsia="仿宋" w:cs="仿宋"/>
          <w:sz w:val="24"/>
        </w:rPr>
      </w:pPr>
    </w:p>
    <w:p w14:paraId="46809D83">
      <w:pPr>
        <w:pStyle w:val="16"/>
        <w:snapToGrid w:val="0"/>
        <w:spacing w:line="240" w:lineRule="atLeast"/>
        <w:ind w:left="1080" w:leftChars="257" w:hanging="540"/>
        <w:textAlignment w:val="baseline"/>
        <w:rPr>
          <w:rFonts w:ascii="仿宋" w:hAnsi="仿宋" w:eastAsia="仿宋" w:cs="仿宋"/>
          <w:sz w:val="24"/>
        </w:rPr>
      </w:pPr>
    </w:p>
    <w:p w14:paraId="593F7D7C">
      <w:pPr>
        <w:pStyle w:val="16"/>
        <w:snapToGrid w:val="0"/>
        <w:spacing w:line="240" w:lineRule="atLeast"/>
        <w:ind w:left="1080" w:leftChars="257" w:hanging="540"/>
        <w:textAlignment w:val="baseline"/>
        <w:rPr>
          <w:rFonts w:ascii="仿宋" w:hAnsi="仿宋" w:eastAsia="仿宋" w:cs="仿宋"/>
          <w:sz w:val="24"/>
        </w:rPr>
      </w:pPr>
      <w:r>
        <w:rPr>
          <w:rFonts w:hint="eastAsia" w:ascii="仿宋" w:hAnsi="仿宋" w:eastAsia="仿宋" w:cs="仿宋"/>
          <w:sz w:val="24"/>
        </w:rPr>
        <w:t>法定代表人或其委托代理人</w:t>
      </w:r>
      <w:r>
        <w:rPr>
          <w:rFonts w:hint="eastAsia" w:ascii="仿宋" w:hAnsi="仿宋" w:eastAsia="仿宋" w:cs="仿宋"/>
          <w:color w:val="000000"/>
          <w:sz w:val="24"/>
        </w:rPr>
        <w:t>（签字或签章）</w:t>
      </w:r>
      <w:r>
        <w:rPr>
          <w:rFonts w:hint="eastAsia" w:ascii="仿宋" w:hAnsi="仿宋" w:eastAsia="仿宋" w:cs="仿宋"/>
          <w:sz w:val="24"/>
        </w:rPr>
        <w:t>:_________</w:t>
      </w:r>
      <w:r>
        <w:rPr>
          <w:rFonts w:hint="eastAsia" w:ascii="仿宋" w:hAnsi="仿宋" w:eastAsia="仿宋" w:cs="仿宋"/>
          <w:sz w:val="24"/>
          <w:u w:val="single" w:color="000000"/>
        </w:rPr>
        <w:t xml:space="preserve">         </w:t>
      </w:r>
    </w:p>
    <w:p w14:paraId="707F6613">
      <w:pPr>
        <w:pStyle w:val="16"/>
        <w:tabs>
          <w:tab w:val="left" w:pos="5370"/>
        </w:tabs>
        <w:snapToGrid w:val="0"/>
        <w:spacing w:line="240" w:lineRule="atLeast"/>
        <w:ind w:left="1080" w:leftChars="257" w:hanging="540"/>
        <w:textAlignment w:val="baseline"/>
        <w:rPr>
          <w:rFonts w:ascii="仿宋" w:hAnsi="仿宋" w:eastAsia="仿宋" w:cs="仿宋"/>
          <w:sz w:val="24"/>
        </w:rPr>
      </w:pPr>
    </w:p>
    <w:p w14:paraId="61D0BB58">
      <w:pPr>
        <w:pStyle w:val="16"/>
        <w:tabs>
          <w:tab w:val="left" w:pos="5370"/>
        </w:tabs>
        <w:snapToGrid w:val="0"/>
        <w:spacing w:line="240" w:lineRule="atLeast"/>
        <w:ind w:left="1080" w:leftChars="257" w:hanging="540"/>
        <w:textAlignment w:val="baseline"/>
        <w:rPr>
          <w:rFonts w:ascii="仿宋" w:hAnsi="仿宋" w:eastAsia="仿宋" w:cs="仿宋"/>
          <w:sz w:val="24"/>
          <w:u w:val="single"/>
        </w:rPr>
      </w:pPr>
      <w:r>
        <w:rPr>
          <w:rFonts w:hint="eastAsia" w:ascii="仿宋" w:hAnsi="仿宋" w:eastAsia="仿宋" w:cs="仿宋"/>
          <w:sz w:val="24"/>
        </w:rPr>
        <w:t>投标人(盖单位章):</w:t>
      </w:r>
      <w:r>
        <w:rPr>
          <w:rFonts w:hint="eastAsia" w:ascii="仿宋" w:hAnsi="仿宋" w:eastAsia="仿宋" w:cs="仿宋"/>
          <w:sz w:val="24"/>
          <w:u w:val="single" w:color="000000"/>
        </w:rPr>
        <w:tab/>
      </w:r>
    </w:p>
    <w:p w14:paraId="0D8AFA20">
      <w:pPr>
        <w:pStyle w:val="4"/>
        <w:widowControl/>
        <w:spacing w:before="0" w:line="288" w:lineRule="auto"/>
        <w:jc w:val="both"/>
        <w:textAlignment w:val="baseline"/>
        <w:rPr>
          <w:rFonts w:ascii="仿宋" w:hAnsi="仿宋" w:eastAsia="仿宋" w:cs="仿宋"/>
          <w:spacing w:val="-1"/>
          <w:sz w:val="24"/>
          <w:szCs w:val="24"/>
        </w:rPr>
      </w:pPr>
      <w:bookmarkStart w:id="737" w:name="_Hlt520343392"/>
      <w:bookmarkEnd w:id="737"/>
      <w:bookmarkStart w:id="738" w:name="_Hlt520273973"/>
      <w:bookmarkEnd w:id="738"/>
      <w:bookmarkStart w:id="739" w:name="_Hlt520343000"/>
      <w:bookmarkEnd w:id="739"/>
      <w:bookmarkStart w:id="740" w:name="_Hlt520274407"/>
      <w:bookmarkEnd w:id="740"/>
      <w:bookmarkStart w:id="741" w:name="_Hlt520273711"/>
      <w:bookmarkEnd w:id="741"/>
      <w:bookmarkStart w:id="742" w:name="_Hlt520350918"/>
      <w:bookmarkEnd w:id="742"/>
      <w:bookmarkStart w:id="743" w:name="_Hlt520271212"/>
      <w:bookmarkEnd w:id="743"/>
      <w:bookmarkStart w:id="744" w:name="_Hlt520274393"/>
      <w:bookmarkEnd w:id="744"/>
      <w:bookmarkStart w:id="745" w:name="_Hlt520274065"/>
      <w:bookmarkEnd w:id="745"/>
      <w:bookmarkStart w:id="746" w:name="_Hlt520350957"/>
      <w:bookmarkEnd w:id="746"/>
      <w:bookmarkStart w:id="747" w:name="_Hlt520274911"/>
      <w:bookmarkEnd w:id="747"/>
      <w:bookmarkStart w:id="748" w:name="_Toc26188"/>
      <w:bookmarkStart w:id="749" w:name="_Toc6406"/>
      <w:bookmarkStart w:id="750" w:name="_Toc16312"/>
    </w:p>
    <w:p w14:paraId="0203F8CC">
      <w:pPr>
        <w:pStyle w:val="4"/>
        <w:widowControl/>
        <w:spacing w:before="0" w:line="288" w:lineRule="auto"/>
        <w:jc w:val="both"/>
        <w:textAlignment w:val="baseline"/>
        <w:rPr>
          <w:rFonts w:ascii="仿宋" w:hAnsi="仿宋" w:eastAsia="仿宋" w:cs="仿宋"/>
          <w:sz w:val="24"/>
        </w:rPr>
      </w:pPr>
      <w:r>
        <w:rPr>
          <w:rFonts w:hint="eastAsia" w:ascii="仿宋" w:hAnsi="仿宋" w:eastAsia="仿宋" w:cs="仿宋"/>
          <w:b w:val="0"/>
          <w:kern w:val="2"/>
          <w:sz w:val="24"/>
        </w:rPr>
        <w:t>注：投标人必须明确写明是否“偏离”，不得空白，否则视为无效投标。</w:t>
      </w:r>
      <w:r>
        <w:rPr>
          <w:rFonts w:hint="eastAsia" w:ascii="仿宋" w:hAnsi="仿宋" w:eastAsia="仿宋" w:cs="仿宋"/>
          <w:sz w:val="24"/>
        </w:rPr>
        <w:br w:type="page"/>
      </w:r>
      <w:bookmarkEnd w:id="748"/>
      <w:bookmarkEnd w:id="749"/>
      <w:bookmarkEnd w:id="750"/>
      <w:bookmarkStart w:id="751" w:name="_Toc25791"/>
      <w:bookmarkStart w:id="752" w:name="_Toc28936"/>
      <w:bookmarkStart w:id="753" w:name="_Toc4283"/>
      <w:bookmarkStart w:id="754" w:name="_Toc10725"/>
      <w:bookmarkStart w:id="755" w:name="_Toc27603"/>
      <w:bookmarkStart w:id="756" w:name="_Toc18491"/>
      <w:bookmarkStart w:id="757" w:name="_Toc18272"/>
      <w:bookmarkStart w:id="758" w:name="_Toc515647823"/>
      <w:bookmarkStart w:id="759" w:name="_Toc20622"/>
      <w:bookmarkStart w:id="760" w:name="_Toc5437"/>
    </w:p>
    <w:p w14:paraId="30F51378">
      <w:pPr>
        <w:rPr>
          <w:rFonts w:ascii="仿宋" w:hAnsi="仿宋" w:eastAsia="仿宋" w:cs="仿宋"/>
          <w:b/>
          <w:sz w:val="24"/>
        </w:rPr>
      </w:pPr>
    </w:p>
    <w:p w14:paraId="09019A4A">
      <w:pPr>
        <w:pStyle w:val="13"/>
        <w:ind w:left="1470" w:right="1470" w:firstLine="1205" w:firstLineChars="500"/>
        <w:rPr>
          <w:rFonts w:ascii="仿宋" w:hAnsi="仿宋" w:eastAsia="仿宋" w:cs="仿宋"/>
        </w:rPr>
      </w:pPr>
      <w:r>
        <w:rPr>
          <w:rFonts w:hint="eastAsia" w:ascii="仿宋" w:hAnsi="仿宋" w:eastAsia="仿宋" w:cs="仿宋"/>
          <w:b/>
          <w:sz w:val="24"/>
        </w:rPr>
        <w:t>6-1、《中小企业声明函》（货物）</w:t>
      </w:r>
    </w:p>
    <w:bookmarkEnd w:id="751"/>
    <w:bookmarkEnd w:id="752"/>
    <w:bookmarkEnd w:id="753"/>
    <w:bookmarkEnd w:id="754"/>
    <w:bookmarkEnd w:id="755"/>
    <w:bookmarkEnd w:id="756"/>
    <w:bookmarkEnd w:id="757"/>
    <w:bookmarkEnd w:id="758"/>
    <w:bookmarkEnd w:id="759"/>
    <w:p w14:paraId="66FDAF5E">
      <w:pPr>
        <w:widowControl/>
        <w:spacing w:before="100" w:beforeAutospacing="1" w:after="100" w:afterAutospacing="1"/>
        <w:ind w:firstLine="480"/>
        <w:jc w:val="left"/>
        <w:rPr>
          <w:rFonts w:ascii="仿宋" w:hAnsi="仿宋" w:eastAsia="仿宋" w:cs="仿宋"/>
          <w:color w:val="333333"/>
          <w:sz w:val="24"/>
        </w:rPr>
      </w:pPr>
      <w:bookmarkStart w:id="761" w:name="_Toc11803"/>
      <w:bookmarkStart w:id="762" w:name="_Toc10977"/>
      <w:bookmarkStart w:id="763" w:name="_Toc515647824"/>
      <w:r>
        <w:rPr>
          <w:rFonts w:hint="eastAsia" w:ascii="仿宋" w:hAnsi="仿宋" w:eastAsia="仿宋" w:cs="仿宋"/>
          <w:color w:val="333333"/>
          <w:kern w:val="0"/>
          <w:sz w:val="24"/>
          <w:shd w:val="clear" w:color="auto" w:fill="FFFFFF"/>
          <w:lang w:bidi="ar"/>
        </w:rPr>
        <w:t>本公司（联合体）郑重声明，根据《政府采购促进中小企业发展管理办法》（财库﹝2020﹞46 号）的规定，本公司（联合体）参加</w:t>
      </w:r>
      <w:r>
        <w:rPr>
          <w:rFonts w:hint="eastAsia" w:ascii="仿宋" w:hAnsi="仿宋" w:eastAsia="仿宋" w:cs="仿宋"/>
          <w:color w:val="333333"/>
          <w:kern w:val="0"/>
          <w:sz w:val="24"/>
          <w:u w:val="single"/>
          <w:shd w:val="clear" w:color="auto" w:fill="FFFFFF"/>
          <w:lang w:bidi="ar"/>
        </w:rPr>
        <w:t>     （单位名称）</w:t>
      </w:r>
      <w:r>
        <w:rPr>
          <w:rFonts w:hint="eastAsia" w:ascii="仿宋" w:hAnsi="仿宋" w:eastAsia="仿宋" w:cs="仿宋"/>
          <w:color w:val="333333"/>
          <w:kern w:val="0"/>
          <w:sz w:val="24"/>
          <w:shd w:val="clear" w:color="auto" w:fill="FFFFFF"/>
          <w:lang w:bidi="ar"/>
        </w:rPr>
        <w:t>的</w:t>
      </w:r>
      <w:r>
        <w:rPr>
          <w:rFonts w:hint="eastAsia" w:ascii="仿宋" w:hAnsi="仿宋" w:eastAsia="仿宋" w:cs="仿宋"/>
          <w:color w:val="333333"/>
          <w:kern w:val="0"/>
          <w:sz w:val="24"/>
          <w:u w:val="single"/>
          <w:shd w:val="clear" w:color="auto" w:fill="FFFFFF"/>
          <w:lang w:bidi="ar"/>
        </w:rPr>
        <w:t>    （项目名称）</w:t>
      </w:r>
      <w:r>
        <w:rPr>
          <w:rFonts w:hint="eastAsia" w:ascii="仿宋" w:hAnsi="仿宋" w:eastAsia="仿宋" w:cs="仿宋"/>
          <w:color w:val="333333"/>
          <w:kern w:val="0"/>
          <w:sz w:val="24"/>
          <w:shd w:val="clear" w:color="auto" w:fill="FFFFFF"/>
          <w:lang w:bidi="ar"/>
        </w:rPr>
        <w:t>采购活动，提供的货物全部由符合政策要求的中小企业制造。相关企业（含联合体中的中小企业、签订分包意向协议的中小企业）的具体情况如下：</w:t>
      </w:r>
    </w:p>
    <w:p w14:paraId="29A302C2">
      <w:pPr>
        <w:widowControl/>
        <w:spacing w:before="100" w:beforeAutospacing="1" w:after="100" w:afterAutospacing="1"/>
        <w:ind w:firstLine="480"/>
        <w:jc w:val="left"/>
        <w:rPr>
          <w:rFonts w:ascii="仿宋" w:hAnsi="仿宋" w:eastAsia="仿宋" w:cs="仿宋"/>
          <w:color w:val="333333"/>
          <w:sz w:val="24"/>
        </w:rPr>
      </w:pPr>
      <w:r>
        <w:rPr>
          <w:rFonts w:hint="eastAsia" w:ascii="仿宋" w:hAnsi="仿宋" w:eastAsia="仿宋" w:cs="仿宋"/>
          <w:color w:val="333333"/>
          <w:kern w:val="0"/>
          <w:sz w:val="24"/>
          <w:shd w:val="clear" w:color="auto" w:fill="FFFFFF"/>
          <w:lang w:bidi="ar"/>
        </w:rPr>
        <w:t>1.</w:t>
      </w:r>
      <w:r>
        <w:rPr>
          <w:rFonts w:hint="eastAsia" w:ascii="仿宋" w:hAnsi="仿宋" w:eastAsia="仿宋" w:cs="仿宋"/>
          <w:color w:val="333333"/>
          <w:kern w:val="0"/>
          <w:sz w:val="24"/>
          <w:u w:val="single"/>
          <w:shd w:val="clear" w:color="auto" w:fill="FFFFFF"/>
          <w:lang w:bidi="ar"/>
        </w:rPr>
        <w:t>     （标的名称）</w:t>
      </w:r>
      <w:r>
        <w:rPr>
          <w:rFonts w:hint="eastAsia" w:ascii="仿宋" w:hAnsi="仿宋" w:eastAsia="仿宋" w:cs="仿宋"/>
          <w:color w:val="333333"/>
          <w:kern w:val="0"/>
          <w:sz w:val="24"/>
          <w:shd w:val="clear" w:color="auto" w:fill="FFFFFF"/>
          <w:lang w:bidi="ar"/>
        </w:rPr>
        <w:t>，属于</w:t>
      </w:r>
      <w:r>
        <w:rPr>
          <w:rFonts w:hint="eastAsia" w:ascii="仿宋" w:hAnsi="仿宋" w:eastAsia="仿宋" w:cs="仿宋"/>
          <w:color w:val="333333"/>
          <w:kern w:val="0"/>
          <w:sz w:val="24"/>
          <w:u w:val="single"/>
          <w:shd w:val="clear" w:color="auto" w:fill="FFFFFF"/>
          <w:lang w:bidi="ar"/>
        </w:rPr>
        <w:t>     （采购文件中明确的所属行业）</w:t>
      </w:r>
      <w:r>
        <w:rPr>
          <w:rFonts w:hint="eastAsia" w:ascii="仿宋" w:hAnsi="仿宋" w:eastAsia="仿宋" w:cs="仿宋"/>
          <w:color w:val="333333"/>
          <w:kern w:val="0"/>
          <w:sz w:val="24"/>
          <w:shd w:val="clear" w:color="auto" w:fill="FFFFFF"/>
          <w:lang w:bidi="ar"/>
        </w:rPr>
        <w:t>行业；制造商为</w:t>
      </w:r>
      <w:r>
        <w:rPr>
          <w:rFonts w:hint="eastAsia" w:ascii="仿宋" w:hAnsi="仿宋" w:eastAsia="仿宋" w:cs="仿宋"/>
          <w:color w:val="333333"/>
          <w:kern w:val="0"/>
          <w:sz w:val="24"/>
          <w:u w:val="single"/>
          <w:shd w:val="clear" w:color="auto" w:fill="FFFFFF"/>
          <w:lang w:bidi="ar"/>
        </w:rPr>
        <w:t>       （企业名称）</w:t>
      </w:r>
      <w:r>
        <w:rPr>
          <w:rFonts w:hint="eastAsia" w:ascii="仿宋" w:hAnsi="仿宋" w:eastAsia="仿宋" w:cs="仿宋"/>
          <w:color w:val="333333"/>
          <w:kern w:val="0"/>
          <w:sz w:val="24"/>
          <w:shd w:val="clear" w:color="auto" w:fill="FFFFFF"/>
          <w:lang w:bidi="ar"/>
        </w:rPr>
        <w:t>，从业人员</w:t>
      </w:r>
      <w:r>
        <w:rPr>
          <w:rFonts w:hint="eastAsia" w:ascii="仿宋" w:hAnsi="仿宋" w:eastAsia="仿宋" w:cs="仿宋"/>
          <w:color w:val="333333"/>
          <w:kern w:val="0"/>
          <w:sz w:val="24"/>
          <w:u w:val="single"/>
          <w:shd w:val="clear" w:color="auto" w:fill="FFFFFF"/>
          <w:lang w:bidi="ar"/>
        </w:rPr>
        <w:t>    </w:t>
      </w:r>
      <w:r>
        <w:rPr>
          <w:rFonts w:hint="eastAsia" w:ascii="仿宋" w:hAnsi="仿宋" w:eastAsia="仿宋" w:cs="仿宋"/>
          <w:color w:val="333333"/>
          <w:kern w:val="0"/>
          <w:sz w:val="24"/>
          <w:shd w:val="clear" w:color="auto" w:fill="FFFFFF"/>
          <w:lang w:bidi="ar"/>
        </w:rPr>
        <w:t>人，营业收入为</w:t>
      </w:r>
      <w:r>
        <w:rPr>
          <w:rFonts w:hint="eastAsia" w:ascii="仿宋" w:hAnsi="仿宋" w:eastAsia="仿宋" w:cs="仿宋"/>
          <w:color w:val="333333"/>
          <w:kern w:val="0"/>
          <w:sz w:val="24"/>
          <w:u w:val="single"/>
          <w:shd w:val="clear" w:color="auto" w:fill="FFFFFF"/>
          <w:lang w:bidi="ar"/>
        </w:rPr>
        <w:t>    </w:t>
      </w:r>
      <w:r>
        <w:rPr>
          <w:rFonts w:hint="eastAsia" w:ascii="仿宋" w:hAnsi="仿宋" w:eastAsia="仿宋" w:cs="仿宋"/>
          <w:color w:val="333333"/>
          <w:kern w:val="0"/>
          <w:sz w:val="24"/>
          <w:shd w:val="clear" w:color="auto" w:fill="FFFFFF"/>
          <w:lang w:bidi="ar"/>
        </w:rPr>
        <w:t>万元，资产总额为</w:t>
      </w:r>
      <w:r>
        <w:rPr>
          <w:rFonts w:hint="eastAsia" w:ascii="仿宋" w:hAnsi="仿宋" w:eastAsia="仿宋" w:cs="仿宋"/>
          <w:color w:val="333333"/>
          <w:kern w:val="0"/>
          <w:sz w:val="24"/>
          <w:u w:val="single"/>
          <w:shd w:val="clear" w:color="auto" w:fill="FFFFFF"/>
          <w:lang w:bidi="ar"/>
        </w:rPr>
        <w:t>   </w:t>
      </w:r>
      <w:r>
        <w:rPr>
          <w:rFonts w:hint="eastAsia" w:ascii="仿宋" w:hAnsi="仿宋" w:eastAsia="仿宋" w:cs="仿宋"/>
          <w:color w:val="333333"/>
          <w:kern w:val="0"/>
          <w:sz w:val="24"/>
          <w:shd w:val="clear" w:color="auto" w:fill="FFFFFF"/>
          <w:lang w:bidi="ar"/>
        </w:rPr>
        <w:t>万元</w:t>
      </w:r>
      <w:r>
        <w:rPr>
          <w:rFonts w:hint="eastAsia" w:ascii="仿宋" w:hAnsi="仿宋" w:eastAsia="仿宋" w:cs="仿宋"/>
          <w:color w:val="333333"/>
          <w:kern w:val="0"/>
          <w:sz w:val="24"/>
          <w:shd w:val="clear" w:color="auto" w:fill="FFFFFF"/>
          <w:vertAlign w:val="superscript"/>
          <w:lang w:bidi="ar"/>
        </w:rPr>
        <w:t>1</w:t>
      </w:r>
      <w:r>
        <w:rPr>
          <w:rFonts w:hint="eastAsia" w:ascii="仿宋" w:hAnsi="仿宋" w:eastAsia="仿宋" w:cs="仿宋"/>
          <w:color w:val="333333"/>
          <w:kern w:val="0"/>
          <w:sz w:val="24"/>
          <w:shd w:val="clear" w:color="auto" w:fill="FFFFFF"/>
          <w:lang w:bidi="ar"/>
        </w:rPr>
        <w:t>，属于</w:t>
      </w:r>
      <w:r>
        <w:rPr>
          <w:rFonts w:hint="eastAsia" w:ascii="仿宋" w:hAnsi="仿宋" w:eastAsia="仿宋" w:cs="仿宋"/>
          <w:color w:val="333333"/>
          <w:kern w:val="0"/>
          <w:sz w:val="24"/>
          <w:u w:val="single"/>
          <w:shd w:val="clear" w:color="auto" w:fill="FFFFFF"/>
          <w:lang w:bidi="ar"/>
        </w:rPr>
        <w:t>     （中型企业、小型企业、微型企业）</w:t>
      </w:r>
      <w:r>
        <w:rPr>
          <w:rFonts w:hint="eastAsia" w:ascii="仿宋" w:hAnsi="仿宋" w:eastAsia="仿宋" w:cs="仿宋"/>
          <w:color w:val="333333"/>
          <w:kern w:val="0"/>
          <w:sz w:val="24"/>
          <w:shd w:val="clear" w:color="auto" w:fill="FFFFFF"/>
          <w:lang w:bidi="ar"/>
        </w:rPr>
        <w:t>；</w:t>
      </w:r>
    </w:p>
    <w:p w14:paraId="26844547">
      <w:pPr>
        <w:widowControl/>
        <w:spacing w:before="100" w:beforeAutospacing="1" w:after="100" w:afterAutospacing="1"/>
        <w:ind w:firstLine="480"/>
        <w:jc w:val="left"/>
        <w:rPr>
          <w:rFonts w:ascii="仿宋" w:hAnsi="仿宋" w:eastAsia="仿宋" w:cs="仿宋"/>
          <w:color w:val="333333"/>
          <w:sz w:val="24"/>
        </w:rPr>
      </w:pPr>
      <w:r>
        <w:rPr>
          <w:rFonts w:hint="eastAsia" w:ascii="仿宋" w:hAnsi="仿宋" w:eastAsia="仿宋" w:cs="仿宋"/>
          <w:color w:val="333333"/>
          <w:kern w:val="0"/>
          <w:sz w:val="24"/>
          <w:shd w:val="clear" w:color="auto" w:fill="FFFFFF"/>
          <w:lang w:bidi="ar"/>
        </w:rPr>
        <w:t>2.</w:t>
      </w:r>
      <w:r>
        <w:rPr>
          <w:rFonts w:hint="eastAsia" w:ascii="仿宋" w:hAnsi="仿宋" w:eastAsia="仿宋" w:cs="仿宋"/>
          <w:color w:val="333333"/>
          <w:kern w:val="0"/>
          <w:sz w:val="24"/>
          <w:u w:val="single"/>
          <w:shd w:val="clear" w:color="auto" w:fill="FFFFFF"/>
          <w:lang w:bidi="ar"/>
        </w:rPr>
        <w:t>     （标的名称）</w:t>
      </w:r>
      <w:r>
        <w:rPr>
          <w:rFonts w:hint="eastAsia" w:ascii="仿宋" w:hAnsi="仿宋" w:eastAsia="仿宋" w:cs="仿宋"/>
          <w:color w:val="333333"/>
          <w:kern w:val="0"/>
          <w:sz w:val="24"/>
          <w:shd w:val="clear" w:color="auto" w:fill="FFFFFF"/>
          <w:lang w:bidi="ar"/>
        </w:rPr>
        <w:t>，属于</w:t>
      </w:r>
      <w:r>
        <w:rPr>
          <w:rFonts w:hint="eastAsia" w:ascii="仿宋" w:hAnsi="仿宋" w:eastAsia="仿宋" w:cs="仿宋"/>
          <w:color w:val="333333"/>
          <w:kern w:val="0"/>
          <w:sz w:val="24"/>
          <w:u w:val="single"/>
          <w:shd w:val="clear" w:color="auto" w:fill="FFFFFF"/>
          <w:lang w:bidi="ar"/>
        </w:rPr>
        <w:t>     （采购文件中明确的所属行业）</w:t>
      </w:r>
      <w:r>
        <w:rPr>
          <w:rFonts w:hint="eastAsia" w:ascii="仿宋" w:hAnsi="仿宋" w:eastAsia="仿宋" w:cs="仿宋"/>
          <w:color w:val="333333"/>
          <w:kern w:val="0"/>
          <w:sz w:val="24"/>
          <w:shd w:val="clear" w:color="auto" w:fill="FFFFFF"/>
          <w:lang w:bidi="ar"/>
        </w:rPr>
        <w:t>行业；制造商为</w:t>
      </w:r>
      <w:r>
        <w:rPr>
          <w:rFonts w:hint="eastAsia" w:ascii="仿宋" w:hAnsi="仿宋" w:eastAsia="仿宋" w:cs="仿宋"/>
          <w:color w:val="333333"/>
          <w:kern w:val="0"/>
          <w:sz w:val="24"/>
          <w:u w:val="single"/>
          <w:shd w:val="clear" w:color="auto" w:fill="FFFFFF"/>
          <w:lang w:bidi="ar"/>
        </w:rPr>
        <w:t>       （企业名称）</w:t>
      </w:r>
      <w:r>
        <w:rPr>
          <w:rFonts w:hint="eastAsia" w:ascii="仿宋" w:hAnsi="仿宋" w:eastAsia="仿宋" w:cs="仿宋"/>
          <w:color w:val="333333"/>
          <w:kern w:val="0"/>
          <w:sz w:val="24"/>
          <w:shd w:val="clear" w:color="auto" w:fill="FFFFFF"/>
          <w:lang w:bidi="ar"/>
        </w:rPr>
        <w:t>，从业人员</w:t>
      </w:r>
      <w:r>
        <w:rPr>
          <w:rFonts w:hint="eastAsia" w:ascii="仿宋" w:hAnsi="仿宋" w:eastAsia="仿宋" w:cs="仿宋"/>
          <w:color w:val="333333"/>
          <w:kern w:val="0"/>
          <w:sz w:val="24"/>
          <w:u w:val="single"/>
          <w:shd w:val="clear" w:color="auto" w:fill="FFFFFF"/>
          <w:lang w:bidi="ar"/>
        </w:rPr>
        <w:t>    </w:t>
      </w:r>
      <w:r>
        <w:rPr>
          <w:rFonts w:hint="eastAsia" w:ascii="仿宋" w:hAnsi="仿宋" w:eastAsia="仿宋" w:cs="仿宋"/>
          <w:color w:val="333333"/>
          <w:kern w:val="0"/>
          <w:sz w:val="24"/>
          <w:shd w:val="clear" w:color="auto" w:fill="FFFFFF"/>
          <w:lang w:bidi="ar"/>
        </w:rPr>
        <w:t>人，营业收入为</w:t>
      </w:r>
      <w:r>
        <w:rPr>
          <w:rFonts w:hint="eastAsia" w:ascii="仿宋" w:hAnsi="仿宋" w:eastAsia="仿宋" w:cs="仿宋"/>
          <w:color w:val="333333"/>
          <w:kern w:val="0"/>
          <w:sz w:val="24"/>
          <w:u w:val="single"/>
          <w:shd w:val="clear" w:color="auto" w:fill="FFFFFF"/>
          <w:lang w:bidi="ar"/>
        </w:rPr>
        <w:t>    </w:t>
      </w:r>
      <w:r>
        <w:rPr>
          <w:rFonts w:hint="eastAsia" w:ascii="仿宋" w:hAnsi="仿宋" w:eastAsia="仿宋" w:cs="仿宋"/>
          <w:color w:val="333333"/>
          <w:kern w:val="0"/>
          <w:sz w:val="24"/>
          <w:shd w:val="clear" w:color="auto" w:fill="FFFFFF"/>
          <w:lang w:bidi="ar"/>
        </w:rPr>
        <w:t>万元，资产总额为</w:t>
      </w:r>
      <w:r>
        <w:rPr>
          <w:rFonts w:hint="eastAsia" w:ascii="仿宋" w:hAnsi="仿宋" w:eastAsia="仿宋" w:cs="仿宋"/>
          <w:color w:val="333333"/>
          <w:kern w:val="0"/>
          <w:sz w:val="24"/>
          <w:u w:val="single"/>
          <w:shd w:val="clear" w:color="auto" w:fill="FFFFFF"/>
          <w:lang w:bidi="ar"/>
        </w:rPr>
        <w:t>   </w:t>
      </w:r>
      <w:r>
        <w:rPr>
          <w:rFonts w:hint="eastAsia" w:ascii="仿宋" w:hAnsi="仿宋" w:eastAsia="仿宋" w:cs="仿宋"/>
          <w:color w:val="333333"/>
          <w:kern w:val="0"/>
          <w:sz w:val="24"/>
          <w:shd w:val="clear" w:color="auto" w:fill="FFFFFF"/>
          <w:lang w:bidi="ar"/>
        </w:rPr>
        <w:t>万元</w:t>
      </w:r>
      <w:r>
        <w:rPr>
          <w:rFonts w:hint="eastAsia" w:ascii="仿宋" w:hAnsi="仿宋" w:eastAsia="仿宋" w:cs="仿宋"/>
          <w:color w:val="333333"/>
          <w:kern w:val="0"/>
          <w:sz w:val="24"/>
          <w:shd w:val="clear" w:color="auto" w:fill="FFFFFF"/>
          <w:vertAlign w:val="superscript"/>
          <w:lang w:bidi="ar"/>
        </w:rPr>
        <w:t>1</w:t>
      </w:r>
      <w:r>
        <w:rPr>
          <w:rFonts w:hint="eastAsia" w:ascii="仿宋" w:hAnsi="仿宋" w:eastAsia="仿宋" w:cs="仿宋"/>
          <w:color w:val="333333"/>
          <w:kern w:val="0"/>
          <w:sz w:val="24"/>
          <w:shd w:val="clear" w:color="auto" w:fill="FFFFFF"/>
          <w:lang w:bidi="ar"/>
        </w:rPr>
        <w:t>，属于</w:t>
      </w:r>
      <w:r>
        <w:rPr>
          <w:rFonts w:hint="eastAsia" w:ascii="仿宋" w:hAnsi="仿宋" w:eastAsia="仿宋" w:cs="仿宋"/>
          <w:color w:val="333333"/>
          <w:kern w:val="0"/>
          <w:sz w:val="24"/>
          <w:u w:val="single"/>
          <w:shd w:val="clear" w:color="auto" w:fill="FFFFFF"/>
          <w:lang w:bidi="ar"/>
        </w:rPr>
        <w:t>     （中型企业、小型企业、微型企业）</w:t>
      </w:r>
      <w:r>
        <w:rPr>
          <w:rFonts w:hint="eastAsia" w:ascii="仿宋" w:hAnsi="仿宋" w:eastAsia="仿宋" w:cs="仿宋"/>
          <w:color w:val="333333"/>
          <w:kern w:val="0"/>
          <w:sz w:val="24"/>
          <w:shd w:val="clear" w:color="auto" w:fill="FFFFFF"/>
          <w:lang w:bidi="ar"/>
        </w:rPr>
        <w:t>；</w:t>
      </w:r>
    </w:p>
    <w:p w14:paraId="710C87C3">
      <w:pPr>
        <w:widowControl/>
        <w:spacing w:before="100" w:beforeAutospacing="1" w:after="100" w:afterAutospacing="1"/>
        <w:ind w:firstLine="480"/>
        <w:jc w:val="left"/>
        <w:rPr>
          <w:rFonts w:ascii="仿宋" w:hAnsi="仿宋" w:eastAsia="仿宋" w:cs="仿宋"/>
          <w:color w:val="333333"/>
          <w:sz w:val="24"/>
        </w:rPr>
      </w:pPr>
      <w:r>
        <w:rPr>
          <w:rFonts w:hint="eastAsia" w:ascii="仿宋" w:hAnsi="仿宋" w:eastAsia="仿宋" w:cs="仿宋"/>
          <w:color w:val="333333"/>
          <w:kern w:val="0"/>
          <w:sz w:val="24"/>
          <w:shd w:val="clear" w:color="auto" w:fill="FFFFFF"/>
          <w:lang w:bidi="ar"/>
        </w:rPr>
        <w:t>……</w:t>
      </w:r>
    </w:p>
    <w:p w14:paraId="2653E7E7">
      <w:pPr>
        <w:widowControl/>
        <w:spacing w:before="100" w:beforeAutospacing="1" w:after="100" w:afterAutospacing="1"/>
        <w:ind w:firstLine="480"/>
        <w:jc w:val="left"/>
        <w:rPr>
          <w:rFonts w:ascii="仿宋" w:hAnsi="仿宋" w:eastAsia="仿宋" w:cs="仿宋"/>
          <w:color w:val="333333"/>
          <w:sz w:val="24"/>
        </w:rPr>
      </w:pPr>
      <w:r>
        <w:rPr>
          <w:rFonts w:hint="eastAsia" w:ascii="仿宋" w:hAnsi="仿宋" w:eastAsia="仿宋" w:cs="仿宋"/>
          <w:color w:val="333333"/>
          <w:kern w:val="0"/>
          <w:sz w:val="24"/>
          <w:shd w:val="clear" w:color="auto" w:fill="FFFFFF"/>
          <w:lang w:bidi="ar"/>
        </w:rPr>
        <w:t>以上企业，不属于大企业的分支机构，不存在控股股东为大企业的情形，也不存在与大企业的负责人为同一人的情形。</w:t>
      </w:r>
    </w:p>
    <w:p w14:paraId="090260B8">
      <w:pPr>
        <w:widowControl/>
        <w:spacing w:before="100" w:beforeAutospacing="1" w:after="100" w:afterAutospacing="1" w:line="435" w:lineRule="atLeast"/>
        <w:jc w:val="center"/>
        <w:rPr>
          <w:rFonts w:ascii="仿宋" w:hAnsi="仿宋" w:eastAsia="仿宋" w:cs="仿宋"/>
          <w:color w:val="333333"/>
          <w:kern w:val="0"/>
          <w:sz w:val="24"/>
          <w:shd w:val="clear" w:color="auto" w:fill="FFFFFF"/>
          <w:lang w:bidi="ar"/>
        </w:rPr>
      </w:pPr>
      <w:r>
        <w:rPr>
          <w:rFonts w:hint="eastAsia" w:ascii="仿宋" w:hAnsi="仿宋" w:eastAsia="仿宋" w:cs="仿宋"/>
          <w:color w:val="333333"/>
          <w:kern w:val="0"/>
          <w:sz w:val="24"/>
          <w:shd w:val="clear" w:color="auto" w:fill="FFFFFF"/>
          <w:lang w:bidi="ar"/>
        </w:rPr>
        <w:t>本企业对上述声明内容的真实性负责。如有虚假，将依法承担相应责任。</w:t>
      </w:r>
    </w:p>
    <w:p w14:paraId="22A992DD">
      <w:pPr>
        <w:widowControl/>
        <w:spacing w:before="100" w:beforeAutospacing="1" w:after="100" w:afterAutospacing="1"/>
        <w:ind w:firstLine="480" w:firstLineChars="200"/>
        <w:jc w:val="left"/>
        <w:rPr>
          <w:rFonts w:ascii="仿宋" w:hAnsi="仿宋" w:eastAsia="仿宋" w:cs="仿宋"/>
          <w:color w:val="333333"/>
          <w:szCs w:val="21"/>
        </w:rPr>
      </w:pPr>
      <w:r>
        <w:rPr>
          <w:rFonts w:hint="eastAsia" w:ascii="仿宋" w:hAnsi="仿宋" w:eastAsia="仿宋" w:cs="仿宋"/>
          <w:color w:val="333333"/>
          <w:kern w:val="0"/>
          <w:sz w:val="24"/>
          <w:shd w:val="clear" w:color="auto" w:fill="FFFFFF"/>
          <w:lang w:bidi="ar"/>
        </w:rPr>
        <w:t>企业名称（盖章）：</w:t>
      </w:r>
    </w:p>
    <w:p w14:paraId="74072863">
      <w:pPr>
        <w:widowControl/>
        <w:spacing w:before="100" w:beforeAutospacing="1" w:after="100" w:afterAutospacing="1"/>
        <w:ind w:firstLine="480" w:firstLineChars="200"/>
        <w:jc w:val="left"/>
        <w:rPr>
          <w:rFonts w:ascii="仿宋" w:hAnsi="仿宋" w:eastAsia="仿宋" w:cs="仿宋"/>
          <w:color w:val="333333"/>
          <w:szCs w:val="21"/>
        </w:rPr>
      </w:pPr>
      <w:r>
        <w:rPr>
          <w:rFonts w:hint="eastAsia" w:ascii="仿宋" w:hAnsi="仿宋" w:eastAsia="仿宋" w:cs="仿宋"/>
          <w:color w:val="333333"/>
          <w:kern w:val="0"/>
          <w:sz w:val="24"/>
          <w:shd w:val="clear" w:color="auto" w:fill="FFFFFF"/>
          <w:lang w:bidi="ar"/>
        </w:rPr>
        <w:t>日 期：</w:t>
      </w:r>
    </w:p>
    <w:p w14:paraId="276AFFF6">
      <w:pPr>
        <w:widowControl/>
        <w:spacing w:before="100" w:beforeAutospacing="1" w:after="100" w:afterAutospacing="1"/>
        <w:ind w:firstLine="480"/>
        <w:jc w:val="left"/>
        <w:rPr>
          <w:rFonts w:ascii="仿宋" w:hAnsi="仿宋" w:eastAsia="仿宋" w:cs="仿宋"/>
          <w:b/>
          <w:bCs/>
          <w:color w:val="333333"/>
          <w:kern w:val="0"/>
          <w:sz w:val="24"/>
          <w:shd w:val="clear" w:color="auto" w:fill="FFFFFF"/>
          <w:lang w:bidi="ar"/>
        </w:rPr>
      </w:pPr>
      <w:r>
        <w:rPr>
          <w:rFonts w:hint="eastAsia" w:ascii="仿宋" w:hAnsi="仿宋" w:eastAsia="仿宋" w:cs="仿宋"/>
          <w:b/>
          <w:bCs/>
          <w:color w:val="333333"/>
          <w:kern w:val="0"/>
          <w:sz w:val="24"/>
          <w:shd w:val="clear" w:color="auto" w:fill="FFFFFF"/>
          <w:lang w:bidi="ar"/>
        </w:rPr>
        <w:t>注：</w:t>
      </w:r>
    </w:p>
    <w:p w14:paraId="1700F1B3">
      <w:pPr>
        <w:widowControl/>
        <w:numPr>
          <w:ilvl w:val="0"/>
          <w:numId w:val="6"/>
        </w:numPr>
        <w:spacing w:before="100" w:beforeAutospacing="1" w:after="100" w:afterAutospacing="1"/>
        <w:ind w:firstLine="480"/>
        <w:jc w:val="left"/>
        <w:rPr>
          <w:rFonts w:ascii="仿宋" w:hAnsi="仿宋" w:eastAsia="仿宋" w:cs="仿宋"/>
          <w:b/>
          <w:bCs/>
          <w:color w:val="333333"/>
          <w:kern w:val="0"/>
          <w:sz w:val="24"/>
          <w:shd w:val="clear" w:color="auto" w:fill="FFFFFF"/>
          <w:lang w:bidi="ar"/>
        </w:rPr>
      </w:pPr>
      <w:r>
        <w:rPr>
          <w:rFonts w:hint="eastAsia" w:ascii="仿宋" w:hAnsi="仿宋" w:eastAsia="仿宋" w:cs="仿宋"/>
          <w:b/>
          <w:bCs/>
          <w:color w:val="333333"/>
          <w:kern w:val="0"/>
          <w:sz w:val="24"/>
          <w:shd w:val="clear" w:color="auto" w:fill="FFFFFF"/>
          <w:lang w:bidi="ar"/>
        </w:rPr>
        <w:t>从业人员、营业收入、资产总额填报上一年度数据，无上一年度数据的新成立企业可不填报。</w:t>
      </w:r>
    </w:p>
    <w:p w14:paraId="21747745">
      <w:pPr>
        <w:widowControl/>
        <w:numPr>
          <w:ilvl w:val="0"/>
          <w:numId w:val="6"/>
        </w:numPr>
        <w:spacing w:before="100" w:beforeAutospacing="1" w:after="100" w:afterAutospacing="1"/>
        <w:ind w:firstLine="480"/>
        <w:jc w:val="left"/>
        <w:rPr>
          <w:rFonts w:ascii="仿宋" w:hAnsi="仿宋" w:eastAsia="仿宋" w:cs="仿宋"/>
          <w:b/>
          <w:bCs/>
          <w:color w:val="333333"/>
          <w:kern w:val="0"/>
          <w:sz w:val="24"/>
          <w:shd w:val="clear" w:color="auto" w:fill="FFFFFF"/>
          <w:lang w:bidi="ar"/>
        </w:rPr>
      </w:pPr>
      <w:r>
        <w:rPr>
          <w:rFonts w:hint="eastAsia" w:ascii="仿宋" w:hAnsi="仿宋" w:eastAsia="仿宋" w:cs="仿宋"/>
          <w:b/>
          <w:bCs/>
          <w:color w:val="333333"/>
          <w:kern w:val="0"/>
          <w:sz w:val="24"/>
          <w:shd w:val="clear" w:color="auto" w:fill="FFFFFF"/>
          <w:lang w:bidi="ar"/>
        </w:rPr>
        <w:t>潜在投标企业属于中小微企业的，请在投标文件中提供“中小企业声明函”，如果未提供或提供虚假的“中小企业声明函”，投标企业将承担由此造成的一切不利后果。注：对中小企业的认定，由货物制造商或者工程、服务投标人注册登记所在地的县级以上人民政府中小企业主管部门负责。如因投标人提供的《中小企业声明函》引起的质疑、投诉、信访或其他方式情况反映等，投标人须自行澄清，并提供由中小企业主管部门出具的企业划型证明。对于不能出具企业划型证明的投标人，自行承担由此产生的一切后果，包括声明内容视为无效、不享受相关政府采购优惠政策等。</w:t>
      </w:r>
      <w:bookmarkEnd w:id="761"/>
      <w:bookmarkEnd w:id="762"/>
      <w:bookmarkEnd w:id="763"/>
      <w:bookmarkStart w:id="764" w:name="_Toc28524"/>
    </w:p>
    <w:p w14:paraId="0DE3A2B1">
      <w:pPr>
        <w:widowControl/>
        <w:numPr>
          <w:ilvl w:val="0"/>
          <w:numId w:val="6"/>
        </w:numPr>
        <w:spacing w:before="100" w:beforeAutospacing="1" w:after="100" w:afterAutospacing="1"/>
        <w:ind w:firstLine="480"/>
        <w:jc w:val="left"/>
        <w:rPr>
          <w:rFonts w:ascii="仿宋" w:hAnsi="仿宋" w:eastAsia="仿宋" w:cs="仿宋"/>
          <w:b/>
          <w:kern w:val="0"/>
          <w:sz w:val="24"/>
        </w:rPr>
      </w:pPr>
      <w:r>
        <w:rPr>
          <w:rFonts w:hint="eastAsia" w:ascii="仿宋" w:hAnsi="仿宋" w:eastAsia="仿宋" w:cs="仿宋"/>
          <w:b/>
          <w:bCs/>
          <w:color w:val="333333"/>
          <w:kern w:val="0"/>
          <w:sz w:val="24"/>
          <w:shd w:val="clear" w:color="auto" w:fill="FFFFFF"/>
          <w:lang w:bidi="ar"/>
        </w:rPr>
        <w:t>（本项目对应的中小企业划分标准所属行业为：</w:t>
      </w:r>
      <w:r>
        <w:rPr>
          <w:rFonts w:hint="eastAsia" w:ascii="仿宋" w:hAnsi="仿宋" w:eastAsia="仿宋" w:cs="仿宋"/>
          <w:b/>
          <w:bCs/>
          <w:kern w:val="0"/>
          <w:sz w:val="24"/>
        </w:rPr>
        <w:t>农、林、牧、渔</w:t>
      </w:r>
      <w:r>
        <w:rPr>
          <w:rFonts w:hint="eastAsia" w:ascii="仿宋" w:hAnsi="仿宋" w:eastAsia="仿宋" w:cs="仿宋"/>
          <w:b/>
          <w:bCs/>
          <w:color w:val="333333"/>
          <w:kern w:val="0"/>
          <w:sz w:val="24"/>
          <w:shd w:val="clear" w:color="auto" w:fill="FFFFFF"/>
          <w:lang w:bidi="ar"/>
        </w:rPr>
        <w:t>）</w:t>
      </w:r>
    </w:p>
    <w:p w14:paraId="39AE533C">
      <w:pPr>
        <w:rPr>
          <w:rFonts w:ascii="仿宋" w:hAnsi="仿宋" w:eastAsia="仿宋" w:cs="仿宋"/>
          <w:b/>
          <w:kern w:val="0"/>
          <w:sz w:val="24"/>
        </w:rPr>
      </w:pPr>
      <w:r>
        <w:rPr>
          <w:rFonts w:hint="eastAsia" w:ascii="仿宋" w:hAnsi="仿宋" w:eastAsia="仿宋" w:cs="仿宋"/>
          <w:b/>
          <w:kern w:val="0"/>
          <w:sz w:val="24"/>
        </w:rPr>
        <w:br w:type="page"/>
      </w:r>
    </w:p>
    <w:p w14:paraId="15438095">
      <w:pPr>
        <w:rPr>
          <w:rFonts w:ascii="仿宋" w:hAnsi="仿宋" w:eastAsia="仿宋" w:cs="仿宋"/>
        </w:rPr>
      </w:pPr>
      <w:r>
        <w:rPr>
          <w:rFonts w:hint="eastAsia" w:ascii="仿宋" w:hAnsi="仿宋" w:eastAsia="仿宋" w:cs="仿宋"/>
          <w:b/>
          <w:kern w:val="0"/>
          <w:sz w:val="24"/>
        </w:rPr>
        <w:t>附：</w:t>
      </w:r>
    </w:p>
    <w:p w14:paraId="2DED36CC">
      <w:pPr>
        <w:widowControl/>
        <w:spacing w:line="460" w:lineRule="exact"/>
        <w:ind w:firstLine="2880" w:firstLineChars="1200"/>
        <w:jc w:val="left"/>
        <w:rPr>
          <w:rFonts w:ascii="仿宋" w:hAnsi="仿宋" w:eastAsia="仿宋" w:cs="仿宋"/>
        </w:rPr>
      </w:pPr>
      <w:r>
        <w:rPr>
          <w:rFonts w:hint="eastAsia" w:ascii="仿宋" w:hAnsi="仿宋" w:eastAsia="仿宋" w:cs="仿宋"/>
          <w:kern w:val="0"/>
          <w:sz w:val="24"/>
          <w:shd w:val="clear" w:color="auto" w:fill="FFFFFF"/>
        </w:rPr>
        <w:t>中小微企业划型标准</w:t>
      </w:r>
    </w:p>
    <w:tbl>
      <w:tblPr>
        <w:tblStyle w:val="35"/>
        <w:tblW w:w="9378" w:type="dxa"/>
        <w:jc w:val="center"/>
        <w:tblLayout w:type="fixed"/>
        <w:tblCellMar>
          <w:top w:w="0" w:type="dxa"/>
          <w:left w:w="108" w:type="dxa"/>
          <w:bottom w:w="0" w:type="dxa"/>
          <w:right w:w="108" w:type="dxa"/>
        </w:tblCellMar>
      </w:tblPr>
      <w:tblGrid>
        <w:gridCol w:w="1570"/>
        <w:gridCol w:w="1660"/>
        <w:gridCol w:w="1466"/>
        <w:gridCol w:w="1903"/>
        <w:gridCol w:w="1692"/>
        <w:gridCol w:w="1087"/>
      </w:tblGrid>
      <w:tr w14:paraId="696F7340">
        <w:trPr>
          <w:trHeight w:val="252" w:hRule="atLeast"/>
          <w:jc w:val="center"/>
        </w:trPr>
        <w:tc>
          <w:tcPr>
            <w:tcW w:w="1570" w:type="dxa"/>
            <w:tcBorders>
              <w:top w:val="single" w:color="auto" w:sz="4" w:space="0"/>
              <w:left w:val="single" w:color="auto" w:sz="4" w:space="0"/>
              <w:bottom w:val="single" w:color="auto" w:sz="4" w:space="0"/>
              <w:right w:val="single" w:color="auto" w:sz="4" w:space="0"/>
            </w:tcBorders>
            <w:vAlign w:val="center"/>
          </w:tcPr>
          <w:p w14:paraId="6C9CDF47">
            <w:pPr>
              <w:widowControl/>
              <w:snapToGrid w:val="0"/>
              <w:contextualSpacing/>
              <w:jc w:val="center"/>
              <w:rPr>
                <w:rFonts w:ascii="仿宋" w:hAnsi="仿宋" w:eastAsia="仿宋" w:cs="仿宋"/>
                <w:b/>
                <w:kern w:val="0"/>
                <w:sz w:val="24"/>
              </w:rPr>
            </w:pPr>
            <w:r>
              <w:rPr>
                <w:rFonts w:hint="eastAsia" w:ascii="仿宋" w:hAnsi="仿宋" w:eastAsia="仿宋" w:cs="仿宋"/>
                <w:b/>
                <w:kern w:val="0"/>
                <w:sz w:val="24"/>
              </w:rPr>
              <w:t>行业名称</w:t>
            </w:r>
          </w:p>
        </w:tc>
        <w:tc>
          <w:tcPr>
            <w:tcW w:w="1660" w:type="dxa"/>
            <w:tcBorders>
              <w:top w:val="single" w:color="auto" w:sz="4" w:space="0"/>
              <w:left w:val="nil"/>
              <w:bottom w:val="single" w:color="auto" w:sz="4" w:space="0"/>
              <w:right w:val="single" w:color="auto" w:sz="4" w:space="0"/>
            </w:tcBorders>
            <w:vAlign w:val="center"/>
          </w:tcPr>
          <w:p w14:paraId="67C525A7">
            <w:pPr>
              <w:widowControl/>
              <w:snapToGrid w:val="0"/>
              <w:contextualSpacing/>
              <w:jc w:val="center"/>
              <w:rPr>
                <w:rFonts w:ascii="仿宋" w:hAnsi="仿宋" w:eastAsia="仿宋" w:cs="仿宋"/>
                <w:b/>
                <w:kern w:val="0"/>
                <w:sz w:val="24"/>
              </w:rPr>
            </w:pPr>
            <w:r>
              <w:rPr>
                <w:rFonts w:hint="eastAsia" w:ascii="仿宋" w:hAnsi="仿宋" w:eastAsia="仿宋" w:cs="仿宋"/>
                <w:b/>
                <w:kern w:val="0"/>
                <w:sz w:val="24"/>
              </w:rPr>
              <w:t>指标名称</w:t>
            </w:r>
          </w:p>
        </w:tc>
        <w:tc>
          <w:tcPr>
            <w:tcW w:w="1466" w:type="dxa"/>
            <w:tcBorders>
              <w:top w:val="single" w:color="auto" w:sz="4" w:space="0"/>
              <w:left w:val="nil"/>
              <w:bottom w:val="single" w:color="auto" w:sz="4" w:space="0"/>
              <w:right w:val="single" w:color="auto" w:sz="4" w:space="0"/>
            </w:tcBorders>
            <w:vAlign w:val="center"/>
          </w:tcPr>
          <w:p w14:paraId="38DD4B42">
            <w:pPr>
              <w:widowControl/>
              <w:snapToGrid w:val="0"/>
              <w:contextualSpacing/>
              <w:jc w:val="center"/>
              <w:rPr>
                <w:rFonts w:ascii="仿宋" w:hAnsi="仿宋" w:eastAsia="仿宋" w:cs="仿宋"/>
                <w:b/>
                <w:kern w:val="0"/>
                <w:sz w:val="24"/>
              </w:rPr>
            </w:pPr>
            <w:r>
              <w:rPr>
                <w:rFonts w:hint="eastAsia" w:ascii="仿宋" w:hAnsi="仿宋" w:eastAsia="仿宋" w:cs="仿宋"/>
                <w:b/>
                <w:kern w:val="0"/>
                <w:sz w:val="24"/>
              </w:rPr>
              <w:t>计量单位</w:t>
            </w:r>
          </w:p>
        </w:tc>
        <w:tc>
          <w:tcPr>
            <w:tcW w:w="1903" w:type="dxa"/>
            <w:tcBorders>
              <w:top w:val="single" w:color="auto" w:sz="4" w:space="0"/>
              <w:left w:val="nil"/>
              <w:bottom w:val="single" w:color="auto" w:sz="4" w:space="0"/>
              <w:right w:val="single" w:color="auto" w:sz="4" w:space="0"/>
            </w:tcBorders>
            <w:vAlign w:val="center"/>
          </w:tcPr>
          <w:p w14:paraId="7A835712">
            <w:pPr>
              <w:widowControl/>
              <w:snapToGrid w:val="0"/>
              <w:contextualSpacing/>
              <w:jc w:val="center"/>
              <w:rPr>
                <w:rFonts w:ascii="仿宋" w:hAnsi="仿宋" w:eastAsia="仿宋" w:cs="仿宋"/>
                <w:b/>
                <w:kern w:val="0"/>
                <w:sz w:val="24"/>
              </w:rPr>
            </w:pPr>
            <w:r>
              <w:rPr>
                <w:rFonts w:hint="eastAsia" w:ascii="仿宋" w:hAnsi="仿宋" w:eastAsia="仿宋" w:cs="仿宋"/>
                <w:b/>
                <w:kern w:val="0"/>
                <w:sz w:val="24"/>
              </w:rPr>
              <w:t>中型</w:t>
            </w:r>
          </w:p>
        </w:tc>
        <w:tc>
          <w:tcPr>
            <w:tcW w:w="1692" w:type="dxa"/>
            <w:tcBorders>
              <w:top w:val="single" w:color="auto" w:sz="4" w:space="0"/>
              <w:left w:val="nil"/>
              <w:bottom w:val="single" w:color="auto" w:sz="4" w:space="0"/>
              <w:right w:val="single" w:color="auto" w:sz="4" w:space="0"/>
            </w:tcBorders>
            <w:vAlign w:val="center"/>
          </w:tcPr>
          <w:p w14:paraId="53BBBE65">
            <w:pPr>
              <w:widowControl/>
              <w:snapToGrid w:val="0"/>
              <w:contextualSpacing/>
              <w:jc w:val="center"/>
              <w:rPr>
                <w:rFonts w:ascii="仿宋" w:hAnsi="仿宋" w:eastAsia="仿宋" w:cs="仿宋"/>
                <w:b/>
                <w:kern w:val="0"/>
                <w:sz w:val="24"/>
              </w:rPr>
            </w:pPr>
            <w:r>
              <w:rPr>
                <w:rFonts w:hint="eastAsia" w:ascii="仿宋" w:hAnsi="仿宋" w:eastAsia="仿宋" w:cs="仿宋"/>
                <w:b/>
                <w:kern w:val="0"/>
                <w:sz w:val="24"/>
              </w:rPr>
              <w:t>小型</w:t>
            </w:r>
          </w:p>
        </w:tc>
        <w:tc>
          <w:tcPr>
            <w:tcW w:w="1087" w:type="dxa"/>
            <w:tcBorders>
              <w:top w:val="single" w:color="auto" w:sz="4" w:space="0"/>
              <w:left w:val="nil"/>
              <w:bottom w:val="single" w:color="auto" w:sz="4" w:space="0"/>
              <w:right w:val="single" w:color="auto" w:sz="4" w:space="0"/>
            </w:tcBorders>
            <w:vAlign w:val="center"/>
          </w:tcPr>
          <w:p w14:paraId="6AC193AE">
            <w:pPr>
              <w:widowControl/>
              <w:snapToGrid w:val="0"/>
              <w:contextualSpacing/>
              <w:jc w:val="center"/>
              <w:rPr>
                <w:rFonts w:ascii="仿宋" w:hAnsi="仿宋" w:eastAsia="仿宋" w:cs="仿宋"/>
                <w:b/>
                <w:kern w:val="0"/>
                <w:sz w:val="24"/>
              </w:rPr>
            </w:pPr>
            <w:r>
              <w:rPr>
                <w:rFonts w:hint="eastAsia" w:ascii="仿宋" w:hAnsi="仿宋" w:eastAsia="仿宋" w:cs="仿宋"/>
                <w:b/>
                <w:kern w:val="0"/>
                <w:sz w:val="24"/>
              </w:rPr>
              <w:t>微型</w:t>
            </w:r>
          </w:p>
        </w:tc>
      </w:tr>
      <w:tr w14:paraId="49FD01AD">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vAlign w:val="center"/>
          </w:tcPr>
          <w:p w14:paraId="16746090">
            <w:pPr>
              <w:widowControl/>
              <w:snapToGrid w:val="0"/>
              <w:contextualSpacing/>
              <w:jc w:val="center"/>
              <w:rPr>
                <w:rFonts w:ascii="仿宋" w:hAnsi="仿宋" w:eastAsia="仿宋" w:cs="仿宋"/>
                <w:b/>
                <w:bCs/>
                <w:kern w:val="0"/>
                <w:sz w:val="24"/>
              </w:rPr>
            </w:pPr>
            <w:r>
              <w:rPr>
                <w:rFonts w:hint="eastAsia" w:ascii="仿宋" w:hAnsi="仿宋" w:eastAsia="仿宋" w:cs="仿宋"/>
                <w:b/>
                <w:bCs/>
                <w:kern w:val="0"/>
                <w:sz w:val="24"/>
              </w:rPr>
              <w:t>农、林、牧、渔</w:t>
            </w:r>
          </w:p>
        </w:tc>
        <w:tc>
          <w:tcPr>
            <w:tcW w:w="1660" w:type="dxa"/>
            <w:tcBorders>
              <w:top w:val="nil"/>
              <w:left w:val="nil"/>
              <w:bottom w:val="single" w:color="auto" w:sz="4" w:space="0"/>
              <w:right w:val="single" w:color="auto" w:sz="4" w:space="0"/>
            </w:tcBorders>
            <w:vAlign w:val="center"/>
          </w:tcPr>
          <w:p w14:paraId="1AE82C3B">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营业收入（Y）</w:t>
            </w:r>
          </w:p>
        </w:tc>
        <w:tc>
          <w:tcPr>
            <w:tcW w:w="1466" w:type="dxa"/>
            <w:tcBorders>
              <w:top w:val="nil"/>
              <w:left w:val="nil"/>
              <w:bottom w:val="single" w:color="auto" w:sz="4" w:space="0"/>
              <w:right w:val="single" w:color="auto" w:sz="4" w:space="0"/>
            </w:tcBorders>
            <w:vAlign w:val="center"/>
          </w:tcPr>
          <w:p w14:paraId="559D319C">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4A82B6CC">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500≤Y＜20000</w:t>
            </w:r>
          </w:p>
        </w:tc>
        <w:tc>
          <w:tcPr>
            <w:tcW w:w="1692" w:type="dxa"/>
            <w:tcBorders>
              <w:top w:val="nil"/>
              <w:left w:val="nil"/>
              <w:bottom w:val="single" w:color="auto" w:sz="4" w:space="0"/>
              <w:right w:val="single" w:color="auto" w:sz="4" w:space="0"/>
            </w:tcBorders>
            <w:vAlign w:val="center"/>
          </w:tcPr>
          <w:p w14:paraId="58CC3401">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50≤Y＜500</w:t>
            </w:r>
          </w:p>
        </w:tc>
        <w:tc>
          <w:tcPr>
            <w:tcW w:w="1087" w:type="dxa"/>
            <w:tcBorders>
              <w:top w:val="nil"/>
              <w:left w:val="nil"/>
              <w:bottom w:val="single" w:color="auto" w:sz="4" w:space="0"/>
              <w:right w:val="single" w:color="auto" w:sz="4" w:space="0"/>
            </w:tcBorders>
            <w:vAlign w:val="center"/>
          </w:tcPr>
          <w:p w14:paraId="71309753">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Y＜50</w:t>
            </w:r>
          </w:p>
        </w:tc>
      </w:tr>
      <w:tr w14:paraId="016B7658">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0C5E7AEC">
            <w:pPr>
              <w:widowControl/>
              <w:snapToGrid w:val="0"/>
              <w:contextualSpacing/>
              <w:jc w:val="center"/>
              <w:rPr>
                <w:rFonts w:ascii="仿宋" w:hAnsi="仿宋" w:eastAsia="仿宋" w:cs="仿宋"/>
                <w:b/>
                <w:bCs/>
                <w:kern w:val="0"/>
                <w:sz w:val="24"/>
              </w:rPr>
            </w:pPr>
            <w:r>
              <w:rPr>
                <w:rFonts w:hint="eastAsia" w:ascii="仿宋" w:hAnsi="仿宋" w:eastAsia="仿宋" w:cs="仿宋"/>
                <w:b/>
                <w:bCs/>
                <w:kern w:val="0"/>
                <w:sz w:val="24"/>
              </w:rPr>
              <w:t>工业</w:t>
            </w:r>
          </w:p>
        </w:tc>
        <w:tc>
          <w:tcPr>
            <w:tcW w:w="1660" w:type="dxa"/>
            <w:tcBorders>
              <w:top w:val="nil"/>
              <w:left w:val="nil"/>
              <w:bottom w:val="single" w:color="auto" w:sz="4" w:space="0"/>
              <w:right w:val="single" w:color="auto" w:sz="4" w:space="0"/>
            </w:tcBorders>
            <w:vAlign w:val="center"/>
          </w:tcPr>
          <w:p w14:paraId="0D1B9F40">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从业人员（X）</w:t>
            </w:r>
          </w:p>
        </w:tc>
        <w:tc>
          <w:tcPr>
            <w:tcW w:w="1466" w:type="dxa"/>
            <w:tcBorders>
              <w:top w:val="nil"/>
              <w:left w:val="nil"/>
              <w:bottom w:val="single" w:color="auto" w:sz="4" w:space="0"/>
              <w:right w:val="single" w:color="auto" w:sz="4" w:space="0"/>
            </w:tcBorders>
            <w:vAlign w:val="center"/>
          </w:tcPr>
          <w:p w14:paraId="256F99D8">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36E335A9">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300≤X＜1000</w:t>
            </w:r>
          </w:p>
        </w:tc>
        <w:tc>
          <w:tcPr>
            <w:tcW w:w="1692" w:type="dxa"/>
            <w:tcBorders>
              <w:top w:val="nil"/>
              <w:left w:val="nil"/>
              <w:bottom w:val="single" w:color="auto" w:sz="4" w:space="0"/>
              <w:right w:val="single" w:color="auto" w:sz="4" w:space="0"/>
            </w:tcBorders>
            <w:vAlign w:val="center"/>
          </w:tcPr>
          <w:p w14:paraId="702F2EE7">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20≤X＜300</w:t>
            </w:r>
          </w:p>
        </w:tc>
        <w:tc>
          <w:tcPr>
            <w:tcW w:w="1087" w:type="dxa"/>
            <w:tcBorders>
              <w:top w:val="nil"/>
              <w:left w:val="nil"/>
              <w:bottom w:val="single" w:color="auto" w:sz="4" w:space="0"/>
              <w:right w:val="single" w:color="auto" w:sz="4" w:space="0"/>
            </w:tcBorders>
            <w:vAlign w:val="center"/>
          </w:tcPr>
          <w:p w14:paraId="7221D8A9">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X＜20</w:t>
            </w:r>
          </w:p>
        </w:tc>
      </w:tr>
      <w:tr w14:paraId="59E70928">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2E2EB223">
            <w:pPr>
              <w:widowControl/>
              <w:snapToGrid w:val="0"/>
              <w:contextualSpacing/>
              <w:jc w:val="center"/>
              <w:rPr>
                <w:rFonts w:ascii="仿宋" w:hAnsi="仿宋" w:eastAsia="仿宋" w:cs="仿宋"/>
                <w:b/>
                <w:bCs/>
                <w:kern w:val="0"/>
                <w:sz w:val="24"/>
              </w:rPr>
            </w:pPr>
          </w:p>
        </w:tc>
        <w:tc>
          <w:tcPr>
            <w:tcW w:w="1660" w:type="dxa"/>
            <w:tcBorders>
              <w:top w:val="nil"/>
              <w:left w:val="nil"/>
              <w:bottom w:val="single" w:color="auto" w:sz="4" w:space="0"/>
              <w:right w:val="single" w:color="auto" w:sz="4" w:space="0"/>
            </w:tcBorders>
            <w:vAlign w:val="center"/>
          </w:tcPr>
          <w:p w14:paraId="3D2662C5">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营业收入（Y）</w:t>
            </w:r>
          </w:p>
        </w:tc>
        <w:tc>
          <w:tcPr>
            <w:tcW w:w="1466" w:type="dxa"/>
            <w:tcBorders>
              <w:top w:val="nil"/>
              <w:left w:val="nil"/>
              <w:bottom w:val="single" w:color="auto" w:sz="4" w:space="0"/>
              <w:right w:val="single" w:color="auto" w:sz="4" w:space="0"/>
            </w:tcBorders>
            <w:vAlign w:val="center"/>
          </w:tcPr>
          <w:p w14:paraId="5A7ECCD0">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3C6EE60A">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2000≤Y＜40000</w:t>
            </w:r>
          </w:p>
        </w:tc>
        <w:tc>
          <w:tcPr>
            <w:tcW w:w="1692" w:type="dxa"/>
            <w:tcBorders>
              <w:top w:val="nil"/>
              <w:left w:val="nil"/>
              <w:bottom w:val="single" w:color="auto" w:sz="4" w:space="0"/>
              <w:right w:val="single" w:color="auto" w:sz="4" w:space="0"/>
            </w:tcBorders>
            <w:vAlign w:val="center"/>
          </w:tcPr>
          <w:p w14:paraId="66CB6B77">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300≤Y＜2000</w:t>
            </w:r>
          </w:p>
        </w:tc>
        <w:tc>
          <w:tcPr>
            <w:tcW w:w="1087" w:type="dxa"/>
            <w:tcBorders>
              <w:top w:val="nil"/>
              <w:left w:val="nil"/>
              <w:bottom w:val="single" w:color="auto" w:sz="4" w:space="0"/>
              <w:right w:val="single" w:color="auto" w:sz="4" w:space="0"/>
            </w:tcBorders>
            <w:vAlign w:val="center"/>
          </w:tcPr>
          <w:p w14:paraId="1AFF8547">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Y＜300</w:t>
            </w:r>
          </w:p>
        </w:tc>
      </w:tr>
      <w:tr w14:paraId="19444C79">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1860A7CB">
            <w:pPr>
              <w:widowControl/>
              <w:snapToGrid w:val="0"/>
              <w:contextualSpacing/>
              <w:jc w:val="center"/>
              <w:rPr>
                <w:rFonts w:ascii="仿宋" w:hAnsi="仿宋" w:eastAsia="仿宋" w:cs="仿宋"/>
                <w:b/>
                <w:bCs/>
                <w:kern w:val="0"/>
                <w:sz w:val="24"/>
              </w:rPr>
            </w:pPr>
            <w:r>
              <w:rPr>
                <w:rFonts w:hint="eastAsia" w:ascii="仿宋" w:hAnsi="仿宋" w:eastAsia="仿宋" w:cs="仿宋"/>
                <w:b/>
                <w:bCs/>
                <w:kern w:val="0"/>
                <w:sz w:val="24"/>
              </w:rPr>
              <w:t>建筑业</w:t>
            </w:r>
          </w:p>
        </w:tc>
        <w:tc>
          <w:tcPr>
            <w:tcW w:w="1660" w:type="dxa"/>
            <w:tcBorders>
              <w:top w:val="nil"/>
              <w:left w:val="nil"/>
              <w:bottom w:val="single" w:color="auto" w:sz="4" w:space="0"/>
              <w:right w:val="single" w:color="auto" w:sz="4" w:space="0"/>
            </w:tcBorders>
            <w:vAlign w:val="center"/>
          </w:tcPr>
          <w:p w14:paraId="33A64CFE">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营业收入（Y）</w:t>
            </w:r>
          </w:p>
        </w:tc>
        <w:tc>
          <w:tcPr>
            <w:tcW w:w="1466" w:type="dxa"/>
            <w:tcBorders>
              <w:top w:val="nil"/>
              <w:left w:val="nil"/>
              <w:bottom w:val="single" w:color="auto" w:sz="4" w:space="0"/>
              <w:right w:val="single" w:color="auto" w:sz="4" w:space="0"/>
            </w:tcBorders>
            <w:vAlign w:val="center"/>
          </w:tcPr>
          <w:p w14:paraId="245412AB">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69005EA8">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6000≤Y＜80000</w:t>
            </w:r>
          </w:p>
        </w:tc>
        <w:tc>
          <w:tcPr>
            <w:tcW w:w="1692" w:type="dxa"/>
            <w:tcBorders>
              <w:top w:val="nil"/>
              <w:left w:val="nil"/>
              <w:bottom w:val="single" w:color="auto" w:sz="4" w:space="0"/>
              <w:right w:val="single" w:color="auto" w:sz="4" w:space="0"/>
            </w:tcBorders>
            <w:vAlign w:val="center"/>
          </w:tcPr>
          <w:p w14:paraId="16580D11">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300≤Y＜6000</w:t>
            </w:r>
          </w:p>
        </w:tc>
        <w:tc>
          <w:tcPr>
            <w:tcW w:w="1087" w:type="dxa"/>
            <w:tcBorders>
              <w:top w:val="nil"/>
              <w:left w:val="nil"/>
              <w:bottom w:val="single" w:color="auto" w:sz="4" w:space="0"/>
              <w:right w:val="single" w:color="auto" w:sz="4" w:space="0"/>
            </w:tcBorders>
            <w:vAlign w:val="center"/>
          </w:tcPr>
          <w:p w14:paraId="2BD7A354">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Y＜300</w:t>
            </w:r>
          </w:p>
        </w:tc>
      </w:tr>
      <w:tr w14:paraId="5FAD26ED">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62A84CC1">
            <w:pPr>
              <w:widowControl/>
              <w:snapToGrid w:val="0"/>
              <w:contextualSpacing/>
              <w:jc w:val="center"/>
              <w:rPr>
                <w:rFonts w:ascii="仿宋" w:hAnsi="仿宋" w:eastAsia="仿宋" w:cs="仿宋"/>
                <w:b/>
                <w:bCs/>
                <w:kern w:val="0"/>
                <w:sz w:val="24"/>
              </w:rPr>
            </w:pPr>
          </w:p>
        </w:tc>
        <w:tc>
          <w:tcPr>
            <w:tcW w:w="1660" w:type="dxa"/>
            <w:tcBorders>
              <w:top w:val="nil"/>
              <w:left w:val="nil"/>
              <w:bottom w:val="single" w:color="auto" w:sz="4" w:space="0"/>
              <w:right w:val="single" w:color="auto" w:sz="4" w:space="0"/>
            </w:tcBorders>
            <w:vAlign w:val="center"/>
          </w:tcPr>
          <w:p w14:paraId="385CCDD8">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资产总额（Z）</w:t>
            </w:r>
          </w:p>
        </w:tc>
        <w:tc>
          <w:tcPr>
            <w:tcW w:w="1466" w:type="dxa"/>
            <w:tcBorders>
              <w:top w:val="nil"/>
              <w:left w:val="nil"/>
              <w:bottom w:val="single" w:color="auto" w:sz="4" w:space="0"/>
              <w:right w:val="single" w:color="auto" w:sz="4" w:space="0"/>
            </w:tcBorders>
            <w:vAlign w:val="center"/>
          </w:tcPr>
          <w:p w14:paraId="4D78FBA7">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7A5F3190">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5000≤Z＜80000</w:t>
            </w:r>
          </w:p>
        </w:tc>
        <w:tc>
          <w:tcPr>
            <w:tcW w:w="1692" w:type="dxa"/>
            <w:tcBorders>
              <w:top w:val="nil"/>
              <w:left w:val="nil"/>
              <w:bottom w:val="single" w:color="auto" w:sz="4" w:space="0"/>
              <w:right w:val="single" w:color="auto" w:sz="4" w:space="0"/>
            </w:tcBorders>
            <w:vAlign w:val="center"/>
          </w:tcPr>
          <w:p w14:paraId="4963E8DC">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300≤Z＜5000</w:t>
            </w:r>
          </w:p>
        </w:tc>
        <w:tc>
          <w:tcPr>
            <w:tcW w:w="1087" w:type="dxa"/>
            <w:tcBorders>
              <w:top w:val="nil"/>
              <w:left w:val="nil"/>
              <w:bottom w:val="single" w:color="auto" w:sz="4" w:space="0"/>
              <w:right w:val="single" w:color="auto" w:sz="4" w:space="0"/>
            </w:tcBorders>
            <w:vAlign w:val="center"/>
          </w:tcPr>
          <w:p w14:paraId="4F41C043">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Z＜300</w:t>
            </w:r>
          </w:p>
        </w:tc>
      </w:tr>
      <w:tr w14:paraId="22DA8571">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1E35487D">
            <w:pPr>
              <w:widowControl/>
              <w:snapToGrid w:val="0"/>
              <w:contextualSpacing/>
              <w:jc w:val="center"/>
              <w:rPr>
                <w:rFonts w:ascii="仿宋" w:hAnsi="仿宋" w:eastAsia="仿宋" w:cs="仿宋"/>
                <w:b/>
                <w:bCs/>
                <w:kern w:val="0"/>
                <w:sz w:val="24"/>
              </w:rPr>
            </w:pPr>
            <w:r>
              <w:rPr>
                <w:rFonts w:hint="eastAsia" w:ascii="仿宋" w:hAnsi="仿宋" w:eastAsia="仿宋" w:cs="仿宋"/>
                <w:b/>
                <w:bCs/>
                <w:kern w:val="0"/>
                <w:sz w:val="24"/>
              </w:rPr>
              <w:t>批发业</w:t>
            </w:r>
          </w:p>
        </w:tc>
        <w:tc>
          <w:tcPr>
            <w:tcW w:w="1660" w:type="dxa"/>
            <w:tcBorders>
              <w:top w:val="nil"/>
              <w:left w:val="nil"/>
              <w:bottom w:val="single" w:color="auto" w:sz="4" w:space="0"/>
              <w:right w:val="single" w:color="auto" w:sz="4" w:space="0"/>
            </w:tcBorders>
            <w:vAlign w:val="center"/>
          </w:tcPr>
          <w:p w14:paraId="255512D1">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从业人员（X）</w:t>
            </w:r>
          </w:p>
        </w:tc>
        <w:tc>
          <w:tcPr>
            <w:tcW w:w="1466" w:type="dxa"/>
            <w:tcBorders>
              <w:top w:val="nil"/>
              <w:left w:val="nil"/>
              <w:bottom w:val="single" w:color="auto" w:sz="4" w:space="0"/>
              <w:right w:val="single" w:color="auto" w:sz="4" w:space="0"/>
            </w:tcBorders>
            <w:vAlign w:val="center"/>
          </w:tcPr>
          <w:p w14:paraId="37315A45">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74C73DEB">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20≤X＜200</w:t>
            </w:r>
          </w:p>
        </w:tc>
        <w:tc>
          <w:tcPr>
            <w:tcW w:w="1692" w:type="dxa"/>
            <w:tcBorders>
              <w:top w:val="nil"/>
              <w:left w:val="nil"/>
              <w:bottom w:val="single" w:color="auto" w:sz="4" w:space="0"/>
              <w:right w:val="single" w:color="auto" w:sz="4" w:space="0"/>
            </w:tcBorders>
            <w:vAlign w:val="center"/>
          </w:tcPr>
          <w:p w14:paraId="1318918B">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5≤X＜20</w:t>
            </w:r>
          </w:p>
        </w:tc>
        <w:tc>
          <w:tcPr>
            <w:tcW w:w="1087" w:type="dxa"/>
            <w:tcBorders>
              <w:top w:val="nil"/>
              <w:left w:val="nil"/>
              <w:bottom w:val="single" w:color="auto" w:sz="4" w:space="0"/>
              <w:right w:val="single" w:color="auto" w:sz="4" w:space="0"/>
            </w:tcBorders>
            <w:vAlign w:val="center"/>
          </w:tcPr>
          <w:p w14:paraId="4B4200BC">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X＜5</w:t>
            </w:r>
          </w:p>
        </w:tc>
      </w:tr>
      <w:tr w14:paraId="180D9830">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4760A0F1">
            <w:pPr>
              <w:widowControl/>
              <w:snapToGrid w:val="0"/>
              <w:contextualSpacing/>
              <w:jc w:val="center"/>
              <w:rPr>
                <w:rFonts w:ascii="仿宋" w:hAnsi="仿宋" w:eastAsia="仿宋" w:cs="仿宋"/>
                <w:b/>
                <w:bCs/>
                <w:kern w:val="0"/>
                <w:sz w:val="24"/>
              </w:rPr>
            </w:pPr>
          </w:p>
        </w:tc>
        <w:tc>
          <w:tcPr>
            <w:tcW w:w="1660" w:type="dxa"/>
            <w:tcBorders>
              <w:top w:val="nil"/>
              <w:left w:val="nil"/>
              <w:bottom w:val="single" w:color="auto" w:sz="4" w:space="0"/>
              <w:right w:val="single" w:color="auto" w:sz="4" w:space="0"/>
            </w:tcBorders>
            <w:vAlign w:val="center"/>
          </w:tcPr>
          <w:p w14:paraId="3F4A9471">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营业收入（Y）</w:t>
            </w:r>
          </w:p>
        </w:tc>
        <w:tc>
          <w:tcPr>
            <w:tcW w:w="1466" w:type="dxa"/>
            <w:tcBorders>
              <w:top w:val="nil"/>
              <w:left w:val="nil"/>
              <w:bottom w:val="single" w:color="auto" w:sz="4" w:space="0"/>
              <w:right w:val="single" w:color="auto" w:sz="4" w:space="0"/>
            </w:tcBorders>
            <w:vAlign w:val="center"/>
          </w:tcPr>
          <w:p w14:paraId="66D051D4">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0D985366">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5000≤Y＜40000</w:t>
            </w:r>
          </w:p>
        </w:tc>
        <w:tc>
          <w:tcPr>
            <w:tcW w:w="1692" w:type="dxa"/>
            <w:tcBorders>
              <w:top w:val="nil"/>
              <w:left w:val="nil"/>
              <w:bottom w:val="single" w:color="auto" w:sz="4" w:space="0"/>
              <w:right w:val="single" w:color="auto" w:sz="4" w:space="0"/>
            </w:tcBorders>
            <w:vAlign w:val="center"/>
          </w:tcPr>
          <w:p w14:paraId="164D6357">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1000≤Y＜5000</w:t>
            </w:r>
          </w:p>
        </w:tc>
        <w:tc>
          <w:tcPr>
            <w:tcW w:w="1087" w:type="dxa"/>
            <w:tcBorders>
              <w:top w:val="nil"/>
              <w:left w:val="nil"/>
              <w:bottom w:val="single" w:color="auto" w:sz="4" w:space="0"/>
              <w:right w:val="single" w:color="auto" w:sz="4" w:space="0"/>
            </w:tcBorders>
            <w:vAlign w:val="center"/>
          </w:tcPr>
          <w:p w14:paraId="7A9A433E">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Y＜1000</w:t>
            </w:r>
          </w:p>
        </w:tc>
      </w:tr>
      <w:tr w14:paraId="40376C85">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1A730C88">
            <w:pPr>
              <w:widowControl/>
              <w:snapToGrid w:val="0"/>
              <w:contextualSpacing/>
              <w:jc w:val="center"/>
              <w:rPr>
                <w:rFonts w:ascii="仿宋" w:hAnsi="仿宋" w:eastAsia="仿宋" w:cs="仿宋"/>
                <w:b/>
                <w:bCs/>
                <w:kern w:val="0"/>
                <w:sz w:val="24"/>
              </w:rPr>
            </w:pPr>
            <w:r>
              <w:rPr>
                <w:rFonts w:hint="eastAsia" w:ascii="仿宋" w:hAnsi="仿宋" w:eastAsia="仿宋" w:cs="仿宋"/>
                <w:b/>
                <w:bCs/>
                <w:kern w:val="0"/>
                <w:sz w:val="24"/>
              </w:rPr>
              <w:t>零售业</w:t>
            </w:r>
          </w:p>
        </w:tc>
        <w:tc>
          <w:tcPr>
            <w:tcW w:w="1660" w:type="dxa"/>
            <w:tcBorders>
              <w:top w:val="nil"/>
              <w:left w:val="nil"/>
              <w:bottom w:val="single" w:color="auto" w:sz="4" w:space="0"/>
              <w:right w:val="single" w:color="auto" w:sz="4" w:space="0"/>
            </w:tcBorders>
            <w:vAlign w:val="center"/>
          </w:tcPr>
          <w:p w14:paraId="1821F221">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从业人员（X）</w:t>
            </w:r>
          </w:p>
        </w:tc>
        <w:tc>
          <w:tcPr>
            <w:tcW w:w="1466" w:type="dxa"/>
            <w:tcBorders>
              <w:top w:val="nil"/>
              <w:left w:val="nil"/>
              <w:bottom w:val="single" w:color="auto" w:sz="4" w:space="0"/>
              <w:right w:val="single" w:color="auto" w:sz="4" w:space="0"/>
            </w:tcBorders>
            <w:vAlign w:val="center"/>
          </w:tcPr>
          <w:p w14:paraId="6469BF10">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5D29D410">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50≤X＜300</w:t>
            </w:r>
          </w:p>
        </w:tc>
        <w:tc>
          <w:tcPr>
            <w:tcW w:w="1692" w:type="dxa"/>
            <w:tcBorders>
              <w:top w:val="nil"/>
              <w:left w:val="nil"/>
              <w:bottom w:val="single" w:color="auto" w:sz="4" w:space="0"/>
              <w:right w:val="single" w:color="auto" w:sz="4" w:space="0"/>
            </w:tcBorders>
            <w:vAlign w:val="center"/>
          </w:tcPr>
          <w:p w14:paraId="53F471AC">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10≤X＜50</w:t>
            </w:r>
          </w:p>
        </w:tc>
        <w:tc>
          <w:tcPr>
            <w:tcW w:w="1087" w:type="dxa"/>
            <w:tcBorders>
              <w:top w:val="nil"/>
              <w:left w:val="nil"/>
              <w:bottom w:val="single" w:color="auto" w:sz="4" w:space="0"/>
              <w:right w:val="single" w:color="auto" w:sz="4" w:space="0"/>
            </w:tcBorders>
            <w:vAlign w:val="center"/>
          </w:tcPr>
          <w:p w14:paraId="41846959">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X＜10</w:t>
            </w:r>
          </w:p>
        </w:tc>
      </w:tr>
      <w:tr w14:paraId="07653EEF">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7D9EE3C5">
            <w:pPr>
              <w:widowControl/>
              <w:snapToGrid w:val="0"/>
              <w:contextualSpacing/>
              <w:jc w:val="center"/>
              <w:rPr>
                <w:rFonts w:ascii="仿宋" w:hAnsi="仿宋" w:eastAsia="仿宋" w:cs="仿宋"/>
                <w:b/>
                <w:bCs/>
                <w:kern w:val="0"/>
                <w:sz w:val="24"/>
              </w:rPr>
            </w:pPr>
          </w:p>
        </w:tc>
        <w:tc>
          <w:tcPr>
            <w:tcW w:w="1660" w:type="dxa"/>
            <w:tcBorders>
              <w:top w:val="nil"/>
              <w:left w:val="nil"/>
              <w:bottom w:val="single" w:color="auto" w:sz="4" w:space="0"/>
              <w:right w:val="single" w:color="auto" w:sz="4" w:space="0"/>
            </w:tcBorders>
            <w:vAlign w:val="center"/>
          </w:tcPr>
          <w:p w14:paraId="556357E6">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营业收入（Y）</w:t>
            </w:r>
          </w:p>
        </w:tc>
        <w:tc>
          <w:tcPr>
            <w:tcW w:w="1466" w:type="dxa"/>
            <w:tcBorders>
              <w:top w:val="nil"/>
              <w:left w:val="nil"/>
              <w:bottom w:val="single" w:color="auto" w:sz="4" w:space="0"/>
              <w:right w:val="single" w:color="auto" w:sz="4" w:space="0"/>
            </w:tcBorders>
            <w:vAlign w:val="center"/>
          </w:tcPr>
          <w:p w14:paraId="53087A27">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75A01E47">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500≤Y＜20000</w:t>
            </w:r>
          </w:p>
        </w:tc>
        <w:tc>
          <w:tcPr>
            <w:tcW w:w="1692" w:type="dxa"/>
            <w:tcBorders>
              <w:top w:val="nil"/>
              <w:left w:val="nil"/>
              <w:bottom w:val="single" w:color="auto" w:sz="4" w:space="0"/>
              <w:right w:val="single" w:color="auto" w:sz="4" w:space="0"/>
            </w:tcBorders>
            <w:vAlign w:val="center"/>
          </w:tcPr>
          <w:p w14:paraId="1D2CD09D">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100≤Y＜500</w:t>
            </w:r>
          </w:p>
        </w:tc>
        <w:tc>
          <w:tcPr>
            <w:tcW w:w="1087" w:type="dxa"/>
            <w:tcBorders>
              <w:top w:val="nil"/>
              <w:left w:val="nil"/>
              <w:bottom w:val="single" w:color="auto" w:sz="4" w:space="0"/>
              <w:right w:val="single" w:color="auto" w:sz="4" w:space="0"/>
            </w:tcBorders>
            <w:vAlign w:val="center"/>
          </w:tcPr>
          <w:p w14:paraId="2A5035EE">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Y＜100</w:t>
            </w:r>
          </w:p>
        </w:tc>
      </w:tr>
      <w:tr w14:paraId="1FA5863E">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03134708">
            <w:pPr>
              <w:widowControl/>
              <w:snapToGrid w:val="0"/>
              <w:contextualSpacing/>
              <w:jc w:val="center"/>
              <w:rPr>
                <w:rFonts w:ascii="仿宋" w:hAnsi="仿宋" w:eastAsia="仿宋" w:cs="仿宋"/>
                <w:b/>
                <w:bCs/>
                <w:kern w:val="0"/>
                <w:sz w:val="24"/>
              </w:rPr>
            </w:pPr>
            <w:r>
              <w:rPr>
                <w:rFonts w:hint="eastAsia" w:ascii="仿宋" w:hAnsi="仿宋" w:eastAsia="仿宋" w:cs="仿宋"/>
                <w:b/>
                <w:bCs/>
                <w:kern w:val="0"/>
                <w:sz w:val="24"/>
              </w:rPr>
              <w:t>交通运输业</w:t>
            </w:r>
          </w:p>
        </w:tc>
        <w:tc>
          <w:tcPr>
            <w:tcW w:w="1660" w:type="dxa"/>
            <w:tcBorders>
              <w:top w:val="nil"/>
              <w:left w:val="nil"/>
              <w:bottom w:val="single" w:color="auto" w:sz="4" w:space="0"/>
              <w:right w:val="single" w:color="auto" w:sz="4" w:space="0"/>
            </w:tcBorders>
            <w:vAlign w:val="center"/>
          </w:tcPr>
          <w:p w14:paraId="4B6F7C3A">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从业人员（X）</w:t>
            </w:r>
          </w:p>
        </w:tc>
        <w:tc>
          <w:tcPr>
            <w:tcW w:w="1466" w:type="dxa"/>
            <w:tcBorders>
              <w:top w:val="nil"/>
              <w:left w:val="nil"/>
              <w:bottom w:val="single" w:color="auto" w:sz="4" w:space="0"/>
              <w:right w:val="single" w:color="auto" w:sz="4" w:space="0"/>
            </w:tcBorders>
            <w:vAlign w:val="center"/>
          </w:tcPr>
          <w:p w14:paraId="4C5F74B8">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7390C802">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300≤X＜1000</w:t>
            </w:r>
          </w:p>
        </w:tc>
        <w:tc>
          <w:tcPr>
            <w:tcW w:w="1692" w:type="dxa"/>
            <w:tcBorders>
              <w:top w:val="nil"/>
              <w:left w:val="nil"/>
              <w:bottom w:val="single" w:color="auto" w:sz="4" w:space="0"/>
              <w:right w:val="single" w:color="auto" w:sz="4" w:space="0"/>
            </w:tcBorders>
            <w:vAlign w:val="center"/>
          </w:tcPr>
          <w:p w14:paraId="6E98179F">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20≤X＜300</w:t>
            </w:r>
          </w:p>
        </w:tc>
        <w:tc>
          <w:tcPr>
            <w:tcW w:w="1087" w:type="dxa"/>
            <w:tcBorders>
              <w:top w:val="nil"/>
              <w:left w:val="nil"/>
              <w:bottom w:val="single" w:color="auto" w:sz="4" w:space="0"/>
              <w:right w:val="single" w:color="auto" w:sz="4" w:space="0"/>
            </w:tcBorders>
            <w:vAlign w:val="center"/>
          </w:tcPr>
          <w:p w14:paraId="4DF5256A">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X＜20</w:t>
            </w:r>
          </w:p>
        </w:tc>
      </w:tr>
      <w:tr w14:paraId="5274639E">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56C11E13">
            <w:pPr>
              <w:widowControl/>
              <w:snapToGrid w:val="0"/>
              <w:contextualSpacing/>
              <w:jc w:val="center"/>
              <w:rPr>
                <w:rFonts w:ascii="仿宋" w:hAnsi="仿宋" w:eastAsia="仿宋" w:cs="仿宋"/>
                <w:b/>
                <w:bCs/>
                <w:kern w:val="0"/>
                <w:sz w:val="24"/>
              </w:rPr>
            </w:pPr>
          </w:p>
        </w:tc>
        <w:tc>
          <w:tcPr>
            <w:tcW w:w="1660" w:type="dxa"/>
            <w:tcBorders>
              <w:top w:val="nil"/>
              <w:left w:val="nil"/>
              <w:bottom w:val="single" w:color="auto" w:sz="4" w:space="0"/>
              <w:right w:val="single" w:color="auto" w:sz="4" w:space="0"/>
            </w:tcBorders>
            <w:vAlign w:val="center"/>
          </w:tcPr>
          <w:p w14:paraId="03796FD4">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营业收入（Y）</w:t>
            </w:r>
          </w:p>
        </w:tc>
        <w:tc>
          <w:tcPr>
            <w:tcW w:w="1466" w:type="dxa"/>
            <w:tcBorders>
              <w:top w:val="nil"/>
              <w:left w:val="nil"/>
              <w:bottom w:val="single" w:color="auto" w:sz="4" w:space="0"/>
              <w:right w:val="single" w:color="auto" w:sz="4" w:space="0"/>
            </w:tcBorders>
            <w:vAlign w:val="center"/>
          </w:tcPr>
          <w:p w14:paraId="0B3A251F">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5F7C624D">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3000≤Y＜30000</w:t>
            </w:r>
          </w:p>
        </w:tc>
        <w:tc>
          <w:tcPr>
            <w:tcW w:w="1692" w:type="dxa"/>
            <w:tcBorders>
              <w:top w:val="nil"/>
              <w:left w:val="nil"/>
              <w:bottom w:val="single" w:color="auto" w:sz="4" w:space="0"/>
              <w:right w:val="single" w:color="auto" w:sz="4" w:space="0"/>
            </w:tcBorders>
            <w:vAlign w:val="center"/>
          </w:tcPr>
          <w:p w14:paraId="3758A776">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200≤Y＜3000</w:t>
            </w:r>
          </w:p>
        </w:tc>
        <w:tc>
          <w:tcPr>
            <w:tcW w:w="1087" w:type="dxa"/>
            <w:tcBorders>
              <w:top w:val="nil"/>
              <w:left w:val="nil"/>
              <w:bottom w:val="single" w:color="auto" w:sz="4" w:space="0"/>
              <w:right w:val="single" w:color="auto" w:sz="4" w:space="0"/>
            </w:tcBorders>
            <w:vAlign w:val="center"/>
          </w:tcPr>
          <w:p w14:paraId="39B49CEA">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Y＜200</w:t>
            </w:r>
          </w:p>
        </w:tc>
      </w:tr>
      <w:tr w14:paraId="36F90162">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1D214338">
            <w:pPr>
              <w:widowControl/>
              <w:snapToGrid w:val="0"/>
              <w:contextualSpacing/>
              <w:jc w:val="center"/>
              <w:rPr>
                <w:rFonts w:ascii="仿宋" w:hAnsi="仿宋" w:eastAsia="仿宋" w:cs="仿宋"/>
                <w:b/>
                <w:bCs/>
                <w:kern w:val="0"/>
                <w:sz w:val="24"/>
              </w:rPr>
            </w:pPr>
            <w:r>
              <w:rPr>
                <w:rFonts w:hint="eastAsia" w:ascii="仿宋" w:hAnsi="仿宋" w:eastAsia="仿宋" w:cs="仿宋"/>
                <w:b/>
                <w:bCs/>
                <w:kern w:val="0"/>
                <w:sz w:val="24"/>
              </w:rPr>
              <w:t>仓储业</w:t>
            </w:r>
          </w:p>
        </w:tc>
        <w:tc>
          <w:tcPr>
            <w:tcW w:w="1660" w:type="dxa"/>
            <w:tcBorders>
              <w:top w:val="nil"/>
              <w:left w:val="nil"/>
              <w:bottom w:val="single" w:color="auto" w:sz="4" w:space="0"/>
              <w:right w:val="single" w:color="auto" w:sz="4" w:space="0"/>
            </w:tcBorders>
            <w:vAlign w:val="center"/>
          </w:tcPr>
          <w:p w14:paraId="49929A56">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从业人员（X）</w:t>
            </w:r>
          </w:p>
        </w:tc>
        <w:tc>
          <w:tcPr>
            <w:tcW w:w="1466" w:type="dxa"/>
            <w:tcBorders>
              <w:top w:val="nil"/>
              <w:left w:val="nil"/>
              <w:bottom w:val="single" w:color="auto" w:sz="4" w:space="0"/>
              <w:right w:val="single" w:color="auto" w:sz="4" w:space="0"/>
            </w:tcBorders>
            <w:vAlign w:val="center"/>
          </w:tcPr>
          <w:p w14:paraId="1CC90953">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32801CCD">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100≤X＜200</w:t>
            </w:r>
          </w:p>
        </w:tc>
        <w:tc>
          <w:tcPr>
            <w:tcW w:w="1692" w:type="dxa"/>
            <w:tcBorders>
              <w:top w:val="nil"/>
              <w:left w:val="nil"/>
              <w:bottom w:val="single" w:color="auto" w:sz="4" w:space="0"/>
              <w:right w:val="single" w:color="auto" w:sz="4" w:space="0"/>
            </w:tcBorders>
            <w:vAlign w:val="center"/>
          </w:tcPr>
          <w:p w14:paraId="49D9B935">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20≤X＜100</w:t>
            </w:r>
          </w:p>
        </w:tc>
        <w:tc>
          <w:tcPr>
            <w:tcW w:w="1087" w:type="dxa"/>
            <w:tcBorders>
              <w:top w:val="nil"/>
              <w:left w:val="nil"/>
              <w:bottom w:val="single" w:color="auto" w:sz="4" w:space="0"/>
              <w:right w:val="single" w:color="auto" w:sz="4" w:space="0"/>
            </w:tcBorders>
            <w:vAlign w:val="center"/>
          </w:tcPr>
          <w:p w14:paraId="7CAEDE77">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X＜20</w:t>
            </w:r>
          </w:p>
        </w:tc>
      </w:tr>
      <w:tr w14:paraId="21579FC4">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05BB500C">
            <w:pPr>
              <w:widowControl/>
              <w:snapToGrid w:val="0"/>
              <w:contextualSpacing/>
              <w:jc w:val="center"/>
              <w:rPr>
                <w:rFonts w:ascii="仿宋" w:hAnsi="仿宋" w:eastAsia="仿宋" w:cs="仿宋"/>
                <w:b/>
                <w:bCs/>
                <w:kern w:val="0"/>
                <w:sz w:val="24"/>
              </w:rPr>
            </w:pPr>
          </w:p>
        </w:tc>
        <w:tc>
          <w:tcPr>
            <w:tcW w:w="1660" w:type="dxa"/>
            <w:tcBorders>
              <w:top w:val="nil"/>
              <w:left w:val="nil"/>
              <w:bottom w:val="single" w:color="auto" w:sz="4" w:space="0"/>
              <w:right w:val="single" w:color="auto" w:sz="4" w:space="0"/>
            </w:tcBorders>
            <w:vAlign w:val="center"/>
          </w:tcPr>
          <w:p w14:paraId="4329A17C">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营业收入（Y）</w:t>
            </w:r>
          </w:p>
        </w:tc>
        <w:tc>
          <w:tcPr>
            <w:tcW w:w="1466" w:type="dxa"/>
            <w:tcBorders>
              <w:top w:val="nil"/>
              <w:left w:val="nil"/>
              <w:bottom w:val="single" w:color="auto" w:sz="4" w:space="0"/>
              <w:right w:val="single" w:color="auto" w:sz="4" w:space="0"/>
            </w:tcBorders>
            <w:vAlign w:val="center"/>
          </w:tcPr>
          <w:p w14:paraId="360FCE41">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24F078E7">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1000≤Y＜30000</w:t>
            </w:r>
          </w:p>
        </w:tc>
        <w:tc>
          <w:tcPr>
            <w:tcW w:w="1692" w:type="dxa"/>
            <w:tcBorders>
              <w:top w:val="nil"/>
              <w:left w:val="nil"/>
              <w:bottom w:val="single" w:color="auto" w:sz="4" w:space="0"/>
              <w:right w:val="single" w:color="auto" w:sz="4" w:space="0"/>
            </w:tcBorders>
            <w:vAlign w:val="center"/>
          </w:tcPr>
          <w:p w14:paraId="470012C3">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100≤Y＜1000</w:t>
            </w:r>
          </w:p>
        </w:tc>
        <w:tc>
          <w:tcPr>
            <w:tcW w:w="1087" w:type="dxa"/>
            <w:tcBorders>
              <w:top w:val="nil"/>
              <w:left w:val="nil"/>
              <w:bottom w:val="single" w:color="auto" w:sz="4" w:space="0"/>
              <w:right w:val="single" w:color="auto" w:sz="4" w:space="0"/>
            </w:tcBorders>
            <w:vAlign w:val="center"/>
          </w:tcPr>
          <w:p w14:paraId="009083C8">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Y＜100</w:t>
            </w:r>
          </w:p>
        </w:tc>
      </w:tr>
      <w:tr w14:paraId="15C6BF7C">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12BD7AFF">
            <w:pPr>
              <w:widowControl/>
              <w:snapToGrid w:val="0"/>
              <w:contextualSpacing/>
              <w:jc w:val="center"/>
              <w:rPr>
                <w:rFonts w:ascii="仿宋" w:hAnsi="仿宋" w:eastAsia="仿宋" w:cs="仿宋"/>
                <w:b/>
                <w:bCs/>
                <w:kern w:val="0"/>
                <w:sz w:val="24"/>
              </w:rPr>
            </w:pPr>
            <w:r>
              <w:rPr>
                <w:rFonts w:hint="eastAsia" w:ascii="仿宋" w:hAnsi="仿宋" w:eastAsia="仿宋" w:cs="仿宋"/>
                <w:b/>
                <w:bCs/>
                <w:kern w:val="0"/>
                <w:sz w:val="24"/>
              </w:rPr>
              <w:t>邮政业</w:t>
            </w:r>
          </w:p>
        </w:tc>
        <w:tc>
          <w:tcPr>
            <w:tcW w:w="1660" w:type="dxa"/>
            <w:tcBorders>
              <w:top w:val="nil"/>
              <w:left w:val="nil"/>
              <w:bottom w:val="single" w:color="auto" w:sz="4" w:space="0"/>
              <w:right w:val="single" w:color="auto" w:sz="4" w:space="0"/>
            </w:tcBorders>
            <w:vAlign w:val="center"/>
          </w:tcPr>
          <w:p w14:paraId="0D230C7F">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从业人员（X）</w:t>
            </w:r>
          </w:p>
        </w:tc>
        <w:tc>
          <w:tcPr>
            <w:tcW w:w="1466" w:type="dxa"/>
            <w:tcBorders>
              <w:top w:val="nil"/>
              <w:left w:val="nil"/>
              <w:bottom w:val="single" w:color="auto" w:sz="4" w:space="0"/>
              <w:right w:val="single" w:color="auto" w:sz="4" w:space="0"/>
            </w:tcBorders>
            <w:vAlign w:val="center"/>
          </w:tcPr>
          <w:p w14:paraId="2AA7D144">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0F440FAA">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300≤X＜1000</w:t>
            </w:r>
          </w:p>
        </w:tc>
        <w:tc>
          <w:tcPr>
            <w:tcW w:w="1692" w:type="dxa"/>
            <w:tcBorders>
              <w:top w:val="nil"/>
              <w:left w:val="nil"/>
              <w:bottom w:val="single" w:color="auto" w:sz="4" w:space="0"/>
              <w:right w:val="single" w:color="auto" w:sz="4" w:space="0"/>
            </w:tcBorders>
            <w:vAlign w:val="center"/>
          </w:tcPr>
          <w:p w14:paraId="740CE8B1">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20≤X＜300</w:t>
            </w:r>
          </w:p>
        </w:tc>
        <w:tc>
          <w:tcPr>
            <w:tcW w:w="1087" w:type="dxa"/>
            <w:tcBorders>
              <w:top w:val="nil"/>
              <w:left w:val="nil"/>
              <w:bottom w:val="single" w:color="auto" w:sz="4" w:space="0"/>
              <w:right w:val="single" w:color="auto" w:sz="4" w:space="0"/>
            </w:tcBorders>
            <w:vAlign w:val="center"/>
          </w:tcPr>
          <w:p w14:paraId="4427DA88">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X＜20</w:t>
            </w:r>
          </w:p>
        </w:tc>
      </w:tr>
      <w:tr w14:paraId="3E4E924D">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57A6D031">
            <w:pPr>
              <w:widowControl/>
              <w:snapToGrid w:val="0"/>
              <w:contextualSpacing/>
              <w:jc w:val="center"/>
              <w:rPr>
                <w:rFonts w:ascii="仿宋" w:hAnsi="仿宋" w:eastAsia="仿宋" w:cs="仿宋"/>
                <w:b/>
                <w:bCs/>
                <w:kern w:val="0"/>
                <w:sz w:val="24"/>
              </w:rPr>
            </w:pPr>
          </w:p>
        </w:tc>
        <w:tc>
          <w:tcPr>
            <w:tcW w:w="1660" w:type="dxa"/>
            <w:tcBorders>
              <w:top w:val="nil"/>
              <w:left w:val="nil"/>
              <w:bottom w:val="single" w:color="auto" w:sz="4" w:space="0"/>
              <w:right w:val="single" w:color="auto" w:sz="4" w:space="0"/>
            </w:tcBorders>
            <w:vAlign w:val="center"/>
          </w:tcPr>
          <w:p w14:paraId="7718D44A">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营业收入（Y）</w:t>
            </w:r>
          </w:p>
        </w:tc>
        <w:tc>
          <w:tcPr>
            <w:tcW w:w="1466" w:type="dxa"/>
            <w:tcBorders>
              <w:top w:val="nil"/>
              <w:left w:val="nil"/>
              <w:bottom w:val="single" w:color="auto" w:sz="4" w:space="0"/>
              <w:right w:val="single" w:color="auto" w:sz="4" w:space="0"/>
            </w:tcBorders>
            <w:vAlign w:val="center"/>
          </w:tcPr>
          <w:p w14:paraId="1B6A5AD4">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719DB0E9">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2000≤Y＜30000</w:t>
            </w:r>
          </w:p>
        </w:tc>
        <w:tc>
          <w:tcPr>
            <w:tcW w:w="1692" w:type="dxa"/>
            <w:tcBorders>
              <w:top w:val="nil"/>
              <w:left w:val="nil"/>
              <w:bottom w:val="single" w:color="auto" w:sz="4" w:space="0"/>
              <w:right w:val="single" w:color="auto" w:sz="4" w:space="0"/>
            </w:tcBorders>
            <w:vAlign w:val="center"/>
          </w:tcPr>
          <w:p w14:paraId="3835C1DA">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100≤Y＜2000</w:t>
            </w:r>
          </w:p>
        </w:tc>
        <w:tc>
          <w:tcPr>
            <w:tcW w:w="1087" w:type="dxa"/>
            <w:tcBorders>
              <w:top w:val="nil"/>
              <w:left w:val="nil"/>
              <w:bottom w:val="single" w:color="auto" w:sz="4" w:space="0"/>
              <w:right w:val="single" w:color="auto" w:sz="4" w:space="0"/>
            </w:tcBorders>
            <w:vAlign w:val="center"/>
          </w:tcPr>
          <w:p w14:paraId="0CB657C2">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Y＜100</w:t>
            </w:r>
          </w:p>
        </w:tc>
      </w:tr>
      <w:tr w14:paraId="3F7327EB">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74A064FD">
            <w:pPr>
              <w:widowControl/>
              <w:snapToGrid w:val="0"/>
              <w:contextualSpacing/>
              <w:jc w:val="center"/>
              <w:rPr>
                <w:rFonts w:ascii="仿宋" w:hAnsi="仿宋" w:eastAsia="仿宋" w:cs="仿宋"/>
                <w:b/>
                <w:bCs/>
                <w:kern w:val="0"/>
                <w:sz w:val="24"/>
              </w:rPr>
            </w:pPr>
            <w:r>
              <w:rPr>
                <w:rFonts w:hint="eastAsia" w:ascii="仿宋" w:hAnsi="仿宋" w:eastAsia="仿宋" w:cs="仿宋"/>
                <w:b/>
                <w:bCs/>
                <w:kern w:val="0"/>
                <w:sz w:val="24"/>
              </w:rPr>
              <w:t>住宿业</w:t>
            </w:r>
          </w:p>
        </w:tc>
        <w:tc>
          <w:tcPr>
            <w:tcW w:w="1660" w:type="dxa"/>
            <w:tcBorders>
              <w:top w:val="nil"/>
              <w:left w:val="nil"/>
              <w:bottom w:val="single" w:color="auto" w:sz="4" w:space="0"/>
              <w:right w:val="single" w:color="auto" w:sz="4" w:space="0"/>
            </w:tcBorders>
            <w:vAlign w:val="center"/>
          </w:tcPr>
          <w:p w14:paraId="3B8F6C38">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从业人员（X）</w:t>
            </w:r>
          </w:p>
        </w:tc>
        <w:tc>
          <w:tcPr>
            <w:tcW w:w="1466" w:type="dxa"/>
            <w:tcBorders>
              <w:top w:val="nil"/>
              <w:left w:val="nil"/>
              <w:bottom w:val="single" w:color="auto" w:sz="4" w:space="0"/>
              <w:right w:val="single" w:color="auto" w:sz="4" w:space="0"/>
            </w:tcBorders>
            <w:vAlign w:val="center"/>
          </w:tcPr>
          <w:p w14:paraId="4CF3413F">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47197964">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100≤X＜300</w:t>
            </w:r>
          </w:p>
        </w:tc>
        <w:tc>
          <w:tcPr>
            <w:tcW w:w="1692" w:type="dxa"/>
            <w:tcBorders>
              <w:top w:val="nil"/>
              <w:left w:val="nil"/>
              <w:bottom w:val="single" w:color="auto" w:sz="4" w:space="0"/>
              <w:right w:val="single" w:color="auto" w:sz="4" w:space="0"/>
            </w:tcBorders>
            <w:vAlign w:val="center"/>
          </w:tcPr>
          <w:p w14:paraId="5E520530">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10≤X＜100</w:t>
            </w:r>
          </w:p>
        </w:tc>
        <w:tc>
          <w:tcPr>
            <w:tcW w:w="1087" w:type="dxa"/>
            <w:tcBorders>
              <w:top w:val="nil"/>
              <w:left w:val="nil"/>
              <w:bottom w:val="single" w:color="auto" w:sz="4" w:space="0"/>
              <w:right w:val="single" w:color="auto" w:sz="4" w:space="0"/>
            </w:tcBorders>
            <w:vAlign w:val="center"/>
          </w:tcPr>
          <w:p w14:paraId="2D35C4E7">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X＜10</w:t>
            </w:r>
          </w:p>
        </w:tc>
      </w:tr>
      <w:tr w14:paraId="4D9D57C1">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29CFEB12">
            <w:pPr>
              <w:widowControl/>
              <w:snapToGrid w:val="0"/>
              <w:contextualSpacing/>
              <w:jc w:val="center"/>
              <w:rPr>
                <w:rFonts w:ascii="仿宋" w:hAnsi="仿宋" w:eastAsia="仿宋" w:cs="仿宋"/>
                <w:b/>
                <w:bCs/>
                <w:kern w:val="0"/>
                <w:sz w:val="24"/>
              </w:rPr>
            </w:pPr>
          </w:p>
        </w:tc>
        <w:tc>
          <w:tcPr>
            <w:tcW w:w="1660" w:type="dxa"/>
            <w:tcBorders>
              <w:top w:val="nil"/>
              <w:left w:val="nil"/>
              <w:bottom w:val="single" w:color="auto" w:sz="4" w:space="0"/>
              <w:right w:val="single" w:color="auto" w:sz="4" w:space="0"/>
            </w:tcBorders>
            <w:vAlign w:val="center"/>
          </w:tcPr>
          <w:p w14:paraId="3F6C2689">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营业收入（Y）</w:t>
            </w:r>
          </w:p>
        </w:tc>
        <w:tc>
          <w:tcPr>
            <w:tcW w:w="1466" w:type="dxa"/>
            <w:tcBorders>
              <w:top w:val="nil"/>
              <w:left w:val="nil"/>
              <w:bottom w:val="single" w:color="auto" w:sz="4" w:space="0"/>
              <w:right w:val="single" w:color="auto" w:sz="4" w:space="0"/>
            </w:tcBorders>
            <w:vAlign w:val="center"/>
          </w:tcPr>
          <w:p w14:paraId="06303AA1">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26D8A4BC">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2000≤Y＜10000</w:t>
            </w:r>
          </w:p>
        </w:tc>
        <w:tc>
          <w:tcPr>
            <w:tcW w:w="1692" w:type="dxa"/>
            <w:tcBorders>
              <w:top w:val="nil"/>
              <w:left w:val="nil"/>
              <w:bottom w:val="single" w:color="auto" w:sz="4" w:space="0"/>
              <w:right w:val="single" w:color="auto" w:sz="4" w:space="0"/>
            </w:tcBorders>
            <w:vAlign w:val="center"/>
          </w:tcPr>
          <w:p w14:paraId="462588A1">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100≤Y＜2000</w:t>
            </w:r>
          </w:p>
        </w:tc>
        <w:tc>
          <w:tcPr>
            <w:tcW w:w="1087" w:type="dxa"/>
            <w:tcBorders>
              <w:top w:val="nil"/>
              <w:left w:val="nil"/>
              <w:bottom w:val="single" w:color="auto" w:sz="4" w:space="0"/>
              <w:right w:val="single" w:color="auto" w:sz="4" w:space="0"/>
            </w:tcBorders>
            <w:vAlign w:val="center"/>
          </w:tcPr>
          <w:p w14:paraId="60F48AB9">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Y＜100</w:t>
            </w:r>
          </w:p>
        </w:tc>
      </w:tr>
      <w:tr w14:paraId="2AA7D997">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5D0D21C6">
            <w:pPr>
              <w:widowControl/>
              <w:snapToGrid w:val="0"/>
              <w:contextualSpacing/>
              <w:jc w:val="center"/>
              <w:rPr>
                <w:rFonts w:ascii="仿宋" w:hAnsi="仿宋" w:eastAsia="仿宋" w:cs="仿宋"/>
                <w:b/>
                <w:bCs/>
                <w:kern w:val="0"/>
                <w:sz w:val="24"/>
              </w:rPr>
            </w:pPr>
            <w:r>
              <w:rPr>
                <w:rFonts w:hint="eastAsia" w:ascii="仿宋" w:hAnsi="仿宋" w:eastAsia="仿宋" w:cs="仿宋"/>
                <w:b/>
                <w:bCs/>
                <w:kern w:val="0"/>
                <w:sz w:val="24"/>
              </w:rPr>
              <w:t>餐饮业</w:t>
            </w:r>
          </w:p>
        </w:tc>
        <w:tc>
          <w:tcPr>
            <w:tcW w:w="1660" w:type="dxa"/>
            <w:tcBorders>
              <w:top w:val="nil"/>
              <w:left w:val="nil"/>
              <w:bottom w:val="single" w:color="auto" w:sz="4" w:space="0"/>
              <w:right w:val="single" w:color="auto" w:sz="4" w:space="0"/>
            </w:tcBorders>
            <w:vAlign w:val="center"/>
          </w:tcPr>
          <w:p w14:paraId="6DB8C2C6">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从业人员（X）</w:t>
            </w:r>
          </w:p>
        </w:tc>
        <w:tc>
          <w:tcPr>
            <w:tcW w:w="1466" w:type="dxa"/>
            <w:tcBorders>
              <w:top w:val="nil"/>
              <w:left w:val="nil"/>
              <w:bottom w:val="single" w:color="auto" w:sz="4" w:space="0"/>
              <w:right w:val="single" w:color="auto" w:sz="4" w:space="0"/>
            </w:tcBorders>
            <w:vAlign w:val="center"/>
          </w:tcPr>
          <w:p w14:paraId="28B02D10">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428F3EE5">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100≤X＜300</w:t>
            </w:r>
          </w:p>
        </w:tc>
        <w:tc>
          <w:tcPr>
            <w:tcW w:w="1692" w:type="dxa"/>
            <w:tcBorders>
              <w:top w:val="nil"/>
              <w:left w:val="nil"/>
              <w:bottom w:val="single" w:color="auto" w:sz="4" w:space="0"/>
              <w:right w:val="single" w:color="auto" w:sz="4" w:space="0"/>
            </w:tcBorders>
            <w:vAlign w:val="center"/>
          </w:tcPr>
          <w:p w14:paraId="5F5D58B1">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10≤X＜100</w:t>
            </w:r>
          </w:p>
        </w:tc>
        <w:tc>
          <w:tcPr>
            <w:tcW w:w="1087" w:type="dxa"/>
            <w:tcBorders>
              <w:top w:val="nil"/>
              <w:left w:val="nil"/>
              <w:bottom w:val="single" w:color="auto" w:sz="4" w:space="0"/>
              <w:right w:val="single" w:color="auto" w:sz="4" w:space="0"/>
            </w:tcBorders>
            <w:vAlign w:val="center"/>
          </w:tcPr>
          <w:p w14:paraId="4D86705C">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X＜10</w:t>
            </w:r>
          </w:p>
        </w:tc>
      </w:tr>
      <w:tr w14:paraId="7E6990C4">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6145148D">
            <w:pPr>
              <w:widowControl/>
              <w:snapToGrid w:val="0"/>
              <w:contextualSpacing/>
              <w:jc w:val="center"/>
              <w:rPr>
                <w:rFonts w:ascii="仿宋" w:hAnsi="仿宋" w:eastAsia="仿宋" w:cs="仿宋"/>
                <w:b/>
                <w:bCs/>
                <w:kern w:val="0"/>
                <w:sz w:val="24"/>
              </w:rPr>
            </w:pPr>
          </w:p>
        </w:tc>
        <w:tc>
          <w:tcPr>
            <w:tcW w:w="1660" w:type="dxa"/>
            <w:tcBorders>
              <w:top w:val="nil"/>
              <w:left w:val="nil"/>
              <w:bottom w:val="single" w:color="auto" w:sz="4" w:space="0"/>
              <w:right w:val="single" w:color="auto" w:sz="4" w:space="0"/>
            </w:tcBorders>
            <w:vAlign w:val="center"/>
          </w:tcPr>
          <w:p w14:paraId="619F6AF4">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营业收入（Y）</w:t>
            </w:r>
          </w:p>
        </w:tc>
        <w:tc>
          <w:tcPr>
            <w:tcW w:w="1466" w:type="dxa"/>
            <w:tcBorders>
              <w:top w:val="nil"/>
              <w:left w:val="nil"/>
              <w:bottom w:val="single" w:color="auto" w:sz="4" w:space="0"/>
              <w:right w:val="single" w:color="auto" w:sz="4" w:space="0"/>
            </w:tcBorders>
            <w:vAlign w:val="center"/>
          </w:tcPr>
          <w:p w14:paraId="7F7EBBE5">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6DE97E6C">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2000≤Y＜10000</w:t>
            </w:r>
          </w:p>
        </w:tc>
        <w:tc>
          <w:tcPr>
            <w:tcW w:w="1692" w:type="dxa"/>
            <w:tcBorders>
              <w:top w:val="nil"/>
              <w:left w:val="nil"/>
              <w:bottom w:val="single" w:color="auto" w:sz="4" w:space="0"/>
              <w:right w:val="single" w:color="auto" w:sz="4" w:space="0"/>
            </w:tcBorders>
            <w:vAlign w:val="center"/>
          </w:tcPr>
          <w:p w14:paraId="07E53944">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100≤Y＜2000</w:t>
            </w:r>
          </w:p>
        </w:tc>
        <w:tc>
          <w:tcPr>
            <w:tcW w:w="1087" w:type="dxa"/>
            <w:tcBorders>
              <w:top w:val="nil"/>
              <w:left w:val="nil"/>
              <w:bottom w:val="single" w:color="auto" w:sz="4" w:space="0"/>
              <w:right w:val="single" w:color="auto" w:sz="4" w:space="0"/>
            </w:tcBorders>
            <w:vAlign w:val="center"/>
          </w:tcPr>
          <w:p w14:paraId="0F96BEF5">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Y＜100</w:t>
            </w:r>
          </w:p>
        </w:tc>
      </w:tr>
      <w:tr w14:paraId="386F7323">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60D4584C">
            <w:pPr>
              <w:widowControl/>
              <w:snapToGrid w:val="0"/>
              <w:contextualSpacing/>
              <w:jc w:val="center"/>
              <w:rPr>
                <w:rFonts w:ascii="仿宋" w:hAnsi="仿宋" w:eastAsia="仿宋" w:cs="仿宋"/>
                <w:b/>
                <w:bCs/>
                <w:kern w:val="0"/>
                <w:sz w:val="24"/>
              </w:rPr>
            </w:pPr>
            <w:r>
              <w:rPr>
                <w:rFonts w:hint="eastAsia" w:ascii="仿宋" w:hAnsi="仿宋" w:eastAsia="仿宋" w:cs="仿宋"/>
                <w:b/>
                <w:bCs/>
                <w:kern w:val="0"/>
                <w:sz w:val="24"/>
              </w:rPr>
              <w:t>信息传输业</w:t>
            </w:r>
          </w:p>
        </w:tc>
        <w:tc>
          <w:tcPr>
            <w:tcW w:w="1660" w:type="dxa"/>
            <w:tcBorders>
              <w:top w:val="nil"/>
              <w:left w:val="nil"/>
              <w:bottom w:val="single" w:color="auto" w:sz="4" w:space="0"/>
              <w:right w:val="single" w:color="auto" w:sz="4" w:space="0"/>
            </w:tcBorders>
            <w:vAlign w:val="center"/>
          </w:tcPr>
          <w:p w14:paraId="1FA15A2A">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从业人员（X）</w:t>
            </w:r>
          </w:p>
        </w:tc>
        <w:tc>
          <w:tcPr>
            <w:tcW w:w="1466" w:type="dxa"/>
            <w:tcBorders>
              <w:top w:val="nil"/>
              <w:left w:val="nil"/>
              <w:bottom w:val="single" w:color="auto" w:sz="4" w:space="0"/>
              <w:right w:val="single" w:color="auto" w:sz="4" w:space="0"/>
            </w:tcBorders>
            <w:vAlign w:val="center"/>
          </w:tcPr>
          <w:p w14:paraId="0A6E725E">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47B12B4D">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100≤X＜2000</w:t>
            </w:r>
          </w:p>
        </w:tc>
        <w:tc>
          <w:tcPr>
            <w:tcW w:w="1692" w:type="dxa"/>
            <w:tcBorders>
              <w:top w:val="nil"/>
              <w:left w:val="nil"/>
              <w:bottom w:val="single" w:color="auto" w:sz="4" w:space="0"/>
              <w:right w:val="single" w:color="auto" w:sz="4" w:space="0"/>
            </w:tcBorders>
            <w:vAlign w:val="center"/>
          </w:tcPr>
          <w:p w14:paraId="4BF1FE1F">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10≤X＜100</w:t>
            </w:r>
          </w:p>
        </w:tc>
        <w:tc>
          <w:tcPr>
            <w:tcW w:w="1087" w:type="dxa"/>
            <w:tcBorders>
              <w:top w:val="nil"/>
              <w:left w:val="nil"/>
              <w:bottom w:val="single" w:color="auto" w:sz="4" w:space="0"/>
              <w:right w:val="single" w:color="auto" w:sz="4" w:space="0"/>
            </w:tcBorders>
            <w:vAlign w:val="center"/>
          </w:tcPr>
          <w:p w14:paraId="205C93C0">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X＜10</w:t>
            </w:r>
          </w:p>
        </w:tc>
      </w:tr>
      <w:tr w14:paraId="7DF76386">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227ED0CC">
            <w:pPr>
              <w:widowControl/>
              <w:snapToGrid w:val="0"/>
              <w:contextualSpacing/>
              <w:jc w:val="center"/>
              <w:rPr>
                <w:rFonts w:ascii="仿宋" w:hAnsi="仿宋" w:eastAsia="仿宋" w:cs="仿宋"/>
                <w:b/>
                <w:bCs/>
                <w:kern w:val="0"/>
                <w:sz w:val="24"/>
              </w:rPr>
            </w:pPr>
          </w:p>
        </w:tc>
        <w:tc>
          <w:tcPr>
            <w:tcW w:w="1660" w:type="dxa"/>
            <w:tcBorders>
              <w:top w:val="nil"/>
              <w:left w:val="nil"/>
              <w:bottom w:val="single" w:color="auto" w:sz="4" w:space="0"/>
              <w:right w:val="single" w:color="auto" w:sz="4" w:space="0"/>
            </w:tcBorders>
            <w:vAlign w:val="center"/>
          </w:tcPr>
          <w:p w14:paraId="64AAA3AD">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营业收入（Y）</w:t>
            </w:r>
          </w:p>
        </w:tc>
        <w:tc>
          <w:tcPr>
            <w:tcW w:w="1466" w:type="dxa"/>
            <w:tcBorders>
              <w:top w:val="nil"/>
              <w:left w:val="nil"/>
              <w:bottom w:val="single" w:color="auto" w:sz="4" w:space="0"/>
              <w:right w:val="single" w:color="auto" w:sz="4" w:space="0"/>
            </w:tcBorders>
            <w:vAlign w:val="center"/>
          </w:tcPr>
          <w:p w14:paraId="273A0D36">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13B902AF">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1000≤Y＜100000</w:t>
            </w:r>
          </w:p>
        </w:tc>
        <w:tc>
          <w:tcPr>
            <w:tcW w:w="1692" w:type="dxa"/>
            <w:tcBorders>
              <w:top w:val="nil"/>
              <w:left w:val="nil"/>
              <w:bottom w:val="single" w:color="auto" w:sz="4" w:space="0"/>
              <w:right w:val="single" w:color="auto" w:sz="4" w:space="0"/>
            </w:tcBorders>
            <w:vAlign w:val="center"/>
          </w:tcPr>
          <w:p w14:paraId="5011D477">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100≤Y＜1000</w:t>
            </w:r>
          </w:p>
        </w:tc>
        <w:tc>
          <w:tcPr>
            <w:tcW w:w="1087" w:type="dxa"/>
            <w:tcBorders>
              <w:top w:val="nil"/>
              <w:left w:val="nil"/>
              <w:bottom w:val="single" w:color="auto" w:sz="4" w:space="0"/>
              <w:right w:val="single" w:color="auto" w:sz="4" w:space="0"/>
            </w:tcBorders>
            <w:vAlign w:val="center"/>
          </w:tcPr>
          <w:p w14:paraId="63635C1B">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Y＜100</w:t>
            </w:r>
          </w:p>
        </w:tc>
      </w:tr>
      <w:tr w14:paraId="0F66F618">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3B2D0C42">
            <w:pPr>
              <w:widowControl/>
              <w:snapToGrid w:val="0"/>
              <w:contextualSpacing/>
              <w:jc w:val="center"/>
              <w:rPr>
                <w:rFonts w:ascii="仿宋" w:hAnsi="仿宋" w:eastAsia="仿宋" w:cs="仿宋"/>
                <w:b/>
                <w:bCs/>
                <w:kern w:val="0"/>
                <w:sz w:val="24"/>
              </w:rPr>
            </w:pPr>
            <w:r>
              <w:rPr>
                <w:rFonts w:hint="eastAsia" w:ascii="仿宋" w:hAnsi="仿宋" w:eastAsia="仿宋" w:cs="仿宋"/>
                <w:b/>
                <w:bCs/>
                <w:kern w:val="0"/>
                <w:sz w:val="24"/>
              </w:rPr>
              <w:t>软件和信息技术服务业</w:t>
            </w:r>
          </w:p>
        </w:tc>
        <w:tc>
          <w:tcPr>
            <w:tcW w:w="1660" w:type="dxa"/>
            <w:tcBorders>
              <w:top w:val="nil"/>
              <w:left w:val="nil"/>
              <w:bottom w:val="single" w:color="auto" w:sz="4" w:space="0"/>
              <w:right w:val="single" w:color="auto" w:sz="4" w:space="0"/>
            </w:tcBorders>
            <w:vAlign w:val="center"/>
          </w:tcPr>
          <w:p w14:paraId="1A1ACA21">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从业人员（X）</w:t>
            </w:r>
          </w:p>
        </w:tc>
        <w:tc>
          <w:tcPr>
            <w:tcW w:w="1466" w:type="dxa"/>
            <w:tcBorders>
              <w:top w:val="nil"/>
              <w:left w:val="nil"/>
              <w:bottom w:val="single" w:color="auto" w:sz="4" w:space="0"/>
              <w:right w:val="single" w:color="auto" w:sz="4" w:space="0"/>
            </w:tcBorders>
            <w:vAlign w:val="center"/>
          </w:tcPr>
          <w:p w14:paraId="01D2D8F9">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6287304B">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100≤X＜300</w:t>
            </w:r>
          </w:p>
        </w:tc>
        <w:tc>
          <w:tcPr>
            <w:tcW w:w="1692" w:type="dxa"/>
            <w:tcBorders>
              <w:top w:val="nil"/>
              <w:left w:val="nil"/>
              <w:bottom w:val="single" w:color="auto" w:sz="4" w:space="0"/>
              <w:right w:val="single" w:color="auto" w:sz="4" w:space="0"/>
            </w:tcBorders>
            <w:vAlign w:val="center"/>
          </w:tcPr>
          <w:p w14:paraId="173DD965">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10≤X＜100</w:t>
            </w:r>
          </w:p>
        </w:tc>
        <w:tc>
          <w:tcPr>
            <w:tcW w:w="1087" w:type="dxa"/>
            <w:tcBorders>
              <w:top w:val="nil"/>
              <w:left w:val="nil"/>
              <w:bottom w:val="single" w:color="auto" w:sz="4" w:space="0"/>
              <w:right w:val="single" w:color="auto" w:sz="4" w:space="0"/>
            </w:tcBorders>
            <w:vAlign w:val="center"/>
          </w:tcPr>
          <w:p w14:paraId="73F17492">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X＜10</w:t>
            </w:r>
          </w:p>
        </w:tc>
      </w:tr>
      <w:tr w14:paraId="2629D29B">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3E2FADC6">
            <w:pPr>
              <w:widowControl/>
              <w:snapToGrid w:val="0"/>
              <w:contextualSpacing/>
              <w:jc w:val="center"/>
              <w:rPr>
                <w:rFonts w:ascii="仿宋" w:hAnsi="仿宋" w:eastAsia="仿宋" w:cs="仿宋"/>
                <w:b/>
                <w:bCs/>
                <w:kern w:val="0"/>
                <w:sz w:val="24"/>
              </w:rPr>
            </w:pPr>
          </w:p>
        </w:tc>
        <w:tc>
          <w:tcPr>
            <w:tcW w:w="1660" w:type="dxa"/>
            <w:tcBorders>
              <w:top w:val="nil"/>
              <w:left w:val="nil"/>
              <w:bottom w:val="single" w:color="auto" w:sz="4" w:space="0"/>
              <w:right w:val="single" w:color="auto" w:sz="4" w:space="0"/>
            </w:tcBorders>
            <w:vAlign w:val="center"/>
          </w:tcPr>
          <w:p w14:paraId="0E5A1793">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营业收入（Y）</w:t>
            </w:r>
          </w:p>
        </w:tc>
        <w:tc>
          <w:tcPr>
            <w:tcW w:w="1466" w:type="dxa"/>
            <w:tcBorders>
              <w:top w:val="nil"/>
              <w:left w:val="nil"/>
              <w:bottom w:val="single" w:color="auto" w:sz="4" w:space="0"/>
              <w:right w:val="single" w:color="auto" w:sz="4" w:space="0"/>
            </w:tcBorders>
            <w:vAlign w:val="center"/>
          </w:tcPr>
          <w:p w14:paraId="3F7371D3">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32C54CF9">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1000≤Y＜10000</w:t>
            </w:r>
          </w:p>
        </w:tc>
        <w:tc>
          <w:tcPr>
            <w:tcW w:w="1692" w:type="dxa"/>
            <w:tcBorders>
              <w:top w:val="nil"/>
              <w:left w:val="nil"/>
              <w:bottom w:val="single" w:color="auto" w:sz="4" w:space="0"/>
              <w:right w:val="single" w:color="auto" w:sz="4" w:space="0"/>
            </w:tcBorders>
            <w:vAlign w:val="center"/>
          </w:tcPr>
          <w:p w14:paraId="1D0815F7">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50≤Y＜1000</w:t>
            </w:r>
          </w:p>
        </w:tc>
        <w:tc>
          <w:tcPr>
            <w:tcW w:w="1087" w:type="dxa"/>
            <w:tcBorders>
              <w:top w:val="nil"/>
              <w:left w:val="nil"/>
              <w:bottom w:val="single" w:color="auto" w:sz="4" w:space="0"/>
              <w:right w:val="single" w:color="auto" w:sz="4" w:space="0"/>
            </w:tcBorders>
            <w:vAlign w:val="center"/>
          </w:tcPr>
          <w:p w14:paraId="58F0E391">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Y＜50</w:t>
            </w:r>
          </w:p>
        </w:tc>
      </w:tr>
      <w:tr w14:paraId="21356E08">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0E427001">
            <w:pPr>
              <w:widowControl/>
              <w:snapToGrid w:val="0"/>
              <w:contextualSpacing/>
              <w:jc w:val="center"/>
              <w:rPr>
                <w:rFonts w:ascii="仿宋" w:hAnsi="仿宋" w:eastAsia="仿宋" w:cs="仿宋"/>
                <w:b/>
                <w:bCs/>
                <w:kern w:val="0"/>
                <w:sz w:val="24"/>
              </w:rPr>
            </w:pPr>
            <w:r>
              <w:rPr>
                <w:rFonts w:hint="eastAsia" w:ascii="仿宋" w:hAnsi="仿宋" w:eastAsia="仿宋" w:cs="仿宋"/>
                <w:b/>
                <w:bCs/>
                <w:kern w:val="0"/>
                <w:sz w:val="24"/>
              </w:rPr>
              <w:t>房地产开发经营</w:t>
            </w:r>
          </w:p>
        </w:tc>
        <w:tc>
          <w:tcPr>
            <w:tcW w:w="1660" w:type="dxa"/>
            <w:tcBorders>
              <w:top w:val="nil"/>
              <w:left w:val="nil"/>
              <w:bottom w:val="single" w:color="auto" w:sz="4" w:space="0"/>
              <w:right w:val="single" w:color="auto" w:sz="4" w:space="0"/>
            </w:tcBorders>
            <w:vAlign w:val="center"/>
          </w:tcPr>
          <w:p w14:paraId="5C39C35F">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营业收入（Y）</w:t>
            </w:r>
          </w:p>
        </w:tc>
        <w:tc>
          <w:tcPr>
            <w:tcW w:w="1466" w:type="dxa"/>
            <w:tcBorders>
              <w:top w:val="nil"/>
              <w:left w:val="nil"/>
              <w:bottom w:val="single" w:color="auto" w:sz="4" w:space="0"/>
              <w:right w:val="single" w:color="auto" w:sz="4" w:space="0"/>
            </w:tcBorders>
            <w:vAlign w:val="center"/>
          </w:tcPr>
          <w:p w14:paraId="100C3378">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3BE78D95">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1000≤Y＜200000</w:t>
            </w:r>
          </w:p>
        </w:tc>
        <w:tc>
          <w:tcPr>
            <w:tcW w:w="1692" w:type="dxa"/>
            <w:tcBorders>
              <w:top w:val="nil"/>
              <w:left w:val="nil"/>
              <w:bottom w:val="single" w:color="auto" w:sz="4" w:space="0"/>
              <w:right w:val="single" w:color="auto" w:sz="4" w:space="0"/>
            </w:tcBorders>
            <w:vAlign w:val="center"/>
          </w:tcPr>
          <w:p w14:paraId="3066A636">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100≤X＜1000</w:t>
            </w:r>
          </w:p>
        </w:tc>
        <w:tc>
          <w:tcPr>
            <w:tcW w:w="1087" w:type="dxa"/>
            <w:tcBorders>
              <w:top w:val="nil"/>
              <w:left w:val="nil"/>
              <w:bottom w:val="single" w:color="auto" w:sz="4" w:space="0"/>
              <w:right w:val="single" w:color="auto" w:sz="4" w:space="0"/>
            </w:tcBorders>
            <w:vAlign w:val="center"/>
          </w:tcPr>
          <w:p w14:paraId="279BFDDA">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X＜100</w:t>
            </w:r>
          </w:p>
        </w:tc>
      </w:tr>
      <w:tr w14:paraId="1E83CFF4">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3E58EE1A">
            <w:pPr>
              <w:widowControl/>
              <w:snapToGrid w:val="0"/>
              <w:contextualSpacing/>
              <w:jc w:val="center"/>
              <w:rPr>
                <w:rFonts w:ascii="仿宋" w:hAnsi="仿宋" w:eastAsia="仿宋" w:cs="仿宋"/>
                <w:b/>
                <w:bCs/>
                <w:kern w:val="0"/>
                <w:sz w:val="24"/>
              </w:rPr>
            </w:pPr>
          </w:p>
        </w:tc>
        <w:tc>
          <w:tcPr>
            <w:tcW w:w="1660" w:type="dxa"/>
            <w:tcBorders>
              <w:top w:val="nil"/>
              <w:left w:val="nil"/>
              <w:bottom w:val="single" w:color="auto" w:sz="4" w:space="0"/>
              <w:right w:val="single" w:color="auto" w:sz="4" w:space="0"/>
            </w:tcBorders>
            <w:vAlign w:val="center"/>
          </w:tcPr>
          <w:p w14:paraId="16B3C79B">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资产总额（Z）</w:t>
            </w:r>
          </w:p>
        </w:tc>
        <w:tc>
          <w:tcPr>
            <w:tcW w:w="1466" w:type="dxa"/>
            <w:tcBorders>
              <w:top w:val="nil"/>
              <w:left w:val="nil"/>
              <w:bottom w:val="single" w:color="auto" w:sz="4" w:space="0"/>
              <w:right w:val="single" w:color="auto" w:sz="4" w:space="0"/>
            </w:tcBorders>
            <w:vAlign w:val="center"/>
          </w:tcPr>
          <w:p w14:paraId="45A88E33">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35D47EFD">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5000≤Z＜10000</w:t>
            </w:r>
          </w:p>
        </w:tc>
        <w:tc>
          <w:tcPr>
            <w:tcW w:w="1692" w:type="dxa"/>
            <w:tcBorders>
              <w:top w:val="nil"/>
              <w:left w:val="nil"/>
              <w:bottom w:val="single" w:color="auto" w:sz="4" w:space="0"/>
              <w:right w:val="single" w:color="auto" w:sz="4" w:space="0"/>
            </w:tcBorders>
            <w:vAlign w:val="center"/>
          </w:tcPr>
          <w:p w14:paraId="7E8EE707">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2000≤Y＜5000</w:t>
            </w:r>
          </w:p>
        </w:tc>
        <w:tc>
          <w:tcPr>
            <w:tcW w:w="1087" w:type="dxa"/>
            <w:tcBorders>
              <w:top w:val="nil"/>
              <w:left w:val="nil"/>
              <w:bottom w:val="single" w:color="auto" w:sz="4" w:space="0"/>
              <w:right w:val="single" w:color="auto" w:sz="4" w:space="0"/>
            </w:tcBorders>
            <w:vAlign w:val="center"/>
          </w:tcPr>
          <w:p w14:paraId="32AF78D7">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Y＜2000</w:t>
            </w:r>
          </w:p>
        </w:tc>
      </w:tr>
      <w:tr w14:paraId="343F0413">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4D0B4DE0">
            <w:pPr>
              <w:widowControl/>
              <w:snapToGrid w:val="0"/>
              <w:contextualSpacing/>
              <w:jc w:val="center"/>
              <w:rPr>
                <w:rFonts w:ascii="仿宋" w:hAnsi="仿宋" w:eastAsia="仿宋" w:cs="仿宋"/>
                <w:b/>
                <w:bCs/>
                <w:kern w:val="0"/>
                <w:sz w:val="24"/>
              </w:rPr>
            </w:pPr>
            <w:r>
              <w:rPr>
                <w:rFonts w:hint="eastAsia" w:ascii="仿宋" w:hAnsi="仿宋" w:eastAsia="仿宋" w:cs="仿宋"/>
                <w:b/>
                <w:bCs/>
                <w:kern w:val="0"/>
                <w:sz w:val="24"/>
              </w:rPr>
              <w:t>物业管理</w:t>
            </w:r>
          </w:p>
        </w:tc>
        <w:tc>
          <w:tcPr>
            <w:tcW w:w="1660" w:type="dxa"/>
            <w:tcBorders>
              <w:top w:val="nil"/>
              <w:left w:val="nil"/>
              <w:bottom w:val="single" w:color="auto" w:sz="4" w:space="0"/>
              <w:right w:val="single" w:color="auto" w:sz="4" w:space="0"/>
            </w:tcBorders>
            <w:vAlign w:val="center"/>
          </w:tcPr>
          <w:p w14:paraId="2AB552C2">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从业人员（X）</w:t>
            </w:r>
          </w:p>
        </w:tc>
        <w:tc>
          <w:tcPr>
            <w:tcW w:w="1466" w:type="dxa"/>
            <w:tcBorders>
              <w:top w:val="nil"/>
              <w:left w:val="nil"/>
              <w:bottom w:val="single" w:color="auto" w:sz="4" w:space="0"/>
              <w:right w:val="single" w:color="auto" w:sz="4" w:space="0"/>
            </w:tcBorders>
            <w:vAlign w:val="center"/>
          </w:tcPr>
          <w:p w14:paraId="5DCEC1EC">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54F4632B">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300≤X＜1000</w:t>
            </w:r>
          </w:p>
        </w:tc>
        <w:tc>
          <w:tcPr>
            <w:tcW w:w="1692" w:type="dxa"/>
            <w:tcBorders>
              <w:top w:val="nil"/>
              <w:left w:val="nil"/>
              <w:bottom w:val="single" w:color="auto" w:sz="4" w:space="0"/>
              <w:right w:val="single" w:color="auto" w:sz="4" w:space="0"/>
            </w:tcBorders>
            <w:vAlign w:val="center"/>
          </w:tcPr>
          <w:p w14:paraId="10CBCA84">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100≤X＜300</w:t>
            </w:r>
          </w:p>
        </w:tc>
        <w:tc>
          <w:tcPr>
            <w:tcW w:w="1087" w:type="dxa"/>
            <w:tcBorders>
              <w:top w:val="nil"/>
              <w:left w:val="nil"/>
              <w:bottom w:val="single" w:color="auto" w:sz="4" w:space="0"/>
              <w:right w:val="single" w:color="auto" w:sz="4" w:space="0"/>
            </w:tcBorders>
            <w:vAlign w:val="center"/>
          </w:tcPr>
          <w:p w14:paraId="331E6AD5">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X＜100</w:t>
            </w:r>
          </w:p>
        </w:tc>
      </w:tr>
      <w:tr w14:paraId="523AE2D5">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36412D04">
            <w:pPr>
              <w:widowControl/>
              <w:snapToGrid w:val="0"/>
              <w:contextualSpacing/>
              <w:jc w:val="center"/>
              <w:rPr>
                <w:rFonts w:ascii="仿宋" w:hAnsi="仿宋" w:eastAsia="仿宋" w:cs="仿宋"/>
                <w:b/>
                <w:bCs/>
                <w:kern w:val="0"/>
                <w:sz w:val="24"/>
              </w:rPr>
            </w:pPr>
          </w:p>
        </w:tc>
        <w:tc>
          <w:tcPr>
            <w:tcW w:w="1660" w:type="dxa"/>
            <w:tcBorders>
              <w:top w:val="nil"/>
              <w:left w:val="nil"/>
              <w:bottom w:val="single" w:color="auto" w:sz="4" w:space="0"/>
              <w:right w:val="single" w:color="auto" w:sz="4" w:space="0"/>
            </w:tcBorders>
            <w:vAlign w:val="center"/>
          </w:tcPr>
          <w:p w14:paraId="090202EF">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营业收入（Y）</w:t>
            </w:r>
          </w:p>
        </w:tc>
        <w:tc>
          <w:tcPr>
            <w:tcW w:w="1466" w:type="dxa"/>
            <w:tcBorders>
              <w:top w:val="nil"/>
              <w:left w:val="nil"/>
              <w:bottom w:val="single" w:color="auto" w:sz="4" w:space="0"/>
              <w:right w:val="single" w:color="auto" w:sz="4" w:space="0"/>
            </w:tcBorders>
            <w:vAlign w:val="center"/>
          </w:tcPr>
          <w:p w14:paraId="63E28C6A">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0FDB8EC8">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1000≤Y＜5000</w:t>
            </w:r>
          </w:p>
        </w:tc>
        <w:tc>
          <w:tcPr>
            <w:tcW w:w="1692" w:type="dxa"/>
            <w:tcBorders>
              <w:top w:val="nil"/>
              <w:left w:val="nil"/>
              <w:bottom w:val="single" w:color="auto" w:sz="4" w:space="0"/>
              <w:right w:val="single" w:color="auto" w:sz="4" w:space="0"/>
            </w:tcBorders>
            <w:vAlign w:val="center"/>
          </w:tcPr>
          <w:p w14:paraId="1B4555EF">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500≤Y＜1000</w:t>
            </w:r>
          </w:p>
        </w:tc>
        <w:tc>
          <w:tcPr>
            <w:tcW w:w="1087" w:type="dxa"/>
            <w:tcBorders>
              <w:top w:val="nil"/>
              <w:left w:val="nil"/>
              <w:bottom w:val="single" w:color="auto" w:sz="4" w:space="0"/>
              <w:right w:val="single" w:color="auto" w:sz="4" w:space="0"/>
            </w:tcBorders>
            <w:vAlign w:val="center"/>
          </w:tcPr>
          <w:p w14:paraId="69D014B7">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Y＜500</w:t>
            </w:r>
          </w:p>
        </w:tc>
      </w:tr>
      <w:tr w14:paraId="13819590">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6F5019AF">
            <w:pPr>
              <w:widowControl/>
              <w:snapToGrid w:val="0"/>
              <w:contextualSpacing/>
              <w:jc w:val="center"/>
              <w:rPr>
                <w:rFonts w:ascii="仿宋" w:hAnsi="仿宋" w:eastAsia="仿宋" w:cs="仿宋"/>
                <w:b/>
                <w:bCs/>
                <w:kern w:val="0"/>
                <w:sz w:val="24"/>
              </w:rPr>
            </w:pPr>
            <w:r>
              <w:rPr>
                <w:rFonts w:hint="eastAsia" w:ascii="仿宋" w:hAnsi="仿宋" w:eastAsia="仿宋" w:cs="仿宋"/>
                <w:b/>
                <w:bCs/>
                <w:kern w:val="0"/>
                <w:sz w:val="24"/>
              </w:rPr>
              <w:t>租赁和商务服务业</w:t>
            </w:r>
          </w:p>
        </w:tc>
        <w:tc>
          <w:tcPr>
            <w:tcW w:w="1660" w:type="dxa"/>
            <w:tcBorders>
              <w:top w:val="nil"/>
              <w:left w:val="nil"/>
              <w:bottom w:val="single" w:color="auto" w:sz="4" w:space="0"/>
              <w:right w:val="single" w:color="auto" w:sz="4" w:space="0"/>
            </w:tcBorders>
            <w:vAlign w:val="center"/>
          </w:tcPr>
          <w:p w14:paraId="07F1B328">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从业人员（X）</w:t>
            </w:r>
          </w:p>
        </w:tc>
        <w:tc>
          <w:tcPr>
            <w:tcW w:w="1466" w:type="dxa"/>
            <w:tcBorders>
              <w:top w:val="nil"/>
              <w:left w:val="nil"/>
              <w:bottom w:val="single" w:color="auto" w:sz="4" w:space="0"/>
              <w:right w:val="single" w:color="auto" w:sz="4" w:space="0"/>
            </w:tcBorders>
            <w:vAlign w:val="center"/>
          </w:tcPr>
          <w:p w14:paraId="63DC4688">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39103FA4">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100≤X＜300</w:t>
            </w:r>
          </w:p>
        </w:tc>
        <w:tc>
          <w:tcPr>
            <w:tcW w:w="1692" w:type="dxa"/>
            <w:tcBorders>
              <w:top w:val="nil"/>
              <w:left w:val="nil"/>
              <w:bottom w:val="single" w:color="auto" w:sz="4" w:space="0"/>
              <w:right w:val="single" w:color="auto" w:sz="4" w:space="0"/>
            </w:tcBorders>
            <w:vAlign w:val="center"/>
          </w:tcPr>
          <w:p w14:paraId="46BECA69">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10≤X＜100</w:t>
            </w:r>
          </w:p>
        </w:tc>
        <w:tc>
          <w:tcPr>
            <w:tcW w:w="1087" w:type="dxa"/>
            <w:tcBorders>
              <w:top w:val="nil"/>
              <w:left w:val="nil"/>
              <w:bottom w:val="single" w:color="auto" w:sz="4" w:space="0"/>
              <w:right w:val="single" w:color="auto" w:sz="4" w:space="0"/>
            </w:tcBorders>
            <w:vAlign w:val="center"/>
          </w:tcPr>
          <w:p w14:paraId="66CDA22E">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X＜10</w:t>
            </w:r>
          </w:p>
        </w:tc>
      </w:tr>
      <w:tr w14:paraId="59108E30">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66A82FF8">
            <w:pPr>
              <w:widowControl/>
              <w:snapToGrid w:val="0"/>
              <w:contextualSpacing/>
              <w:jc w:val="center"/>
              <w:rPr>
                <w:rFonts w:ascii="仿宋" w:hAnsi="仿宋" w:eastAsia="仿宋" w:cs="仿宋"/>
                <w:b/>
                <w:bCs/>
                <w:kern w:val="0"/>
                <w:sz w:val="24"/>
              </w:rPr>
            </w:pPr>
          </w:p>
        </w:tc>
        <w:tc>
          <w:tcPr>
            <w:tcW w:w="1660" w:type="dxa"/>
            <w:tcBorders>
              <w:top w:val="nil"/>
              <w:left w:val="nil"/>
              <w:bottom w:val="single" w:color="auto" w:sz="4" w:space="0"/>
              <w:right w:val="single" w:color="auto" w:sz="4" w:space="0"/>
            </w:tcBorders>
            <w:vAlign w:val="center"/>
          </w:tcPr>
          <w:p w14:paraId="0D2A81B4">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资产总额（Z）</w:t>
            </w:r>
          </w:p>
        </w:tc>
        <w:tc>
          <w:tcPr>
            <w:tcW w:w="1466" w:type="dxa"/>
            <w:tcBorders>
              <w:top w:val="nil"/>
              <w:left w:val="nil"/>
              <w:bottom w:val="single" w:color="auto" w:sz="4" w:space="0"/>
              <w:right w:val="single" w:color="auto" w:sz="4" w:space="0"/>
            </w:tcBorders>
            <w:vAlign w:val="center"/>
          </w:tcPr>
          <w:p w14:paraId="658701CD">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万元</w:t>
            </w:r>
          </w:p>
        </w:tc>
        <w:tc>
          <w:tcPr>
            <w:tcW w:w="1903" w:type="dxa"/>
            <w:tcBorders>
              <w:top w:val="nil"/>
              <w:left w:val="nil"/>
              <w:bottom w:val="single" w:color="auto" w:sz="4" w:space="0"/>
              <w:right w:val="single" w:color="auto" w:sz="4" w:space="0"/>
            </w:tcBorders>
            <w:vAlign w:val="center"/>
          </w:tcPr>
          <w:p w14:paraId="7D7323DA">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8000≤Z＜120000</w:t>
            </w:r>
          </w:p>
        </w:tc>
        <w:tc>
          <w:tcPr>
            <w:tcW w:w="1692" w:type="dxa"/>
            <w:tcBorders>
              <w:top w:val="nil"/>
              <w:left w:val="nil"/>
              <w:bottom w:val="single" w:color="auto" w:sz="4" w:space="0"/>
              <w:right w:val="single" w:color="auto" w:sz="4" w:space="0"/>
            </w:tcBorders>
            <w:vAlign w:val="center"/>
          </w:tcPr>
          <w:p w14:paraId="3B52F6F7">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100≤Z＜8000</w:t>
            </w:r>
          </w:p>
        </w:tc>
        <w:tc>
          <w:tcPr>
            <w:tcW w:w="1087" w:type="dxa"/>
            <w:tcBorders>
              <w:top w:val="nil"/>
              <w:left w:val="nil"/>
              <w:bottom w:val="single" w:color="auto" w:sz="4" w:space="0"/>
              <w:right w:val="single" w:color="auto" w:sz="4" w:space="0"/>
            </w:tcBorders>
            <w:vAlign w:val="center"/>
          </w:tcPr>
          <w:p w14:paraId="7B82F5F1">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Y＜100</w:t>
            </w:r>
          </w:p>
        </w:tc>
      </w:tr>
      <w:tr w14:paraId="6475DE1C">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vAlign w:val="center"/>
          </w:tcPr>
          <w:p w14:paraId="6F9DC942">
            <w:pPr>
              <w:widowControl/>
              <w:snapToGrid w:val="0"/>
              <w:contextualSpacing/>
              <w:jc w:val="center"/>
              <w:rPr>
                <w:rFonts w:ascii="仿宋" w:hAnsi="仿宋" w:eastAsia="仿宋" w:cs="仿宋"/>
                <w:b/>
                <w:bCs/>
                <w:kern w:val="0"/>
                <w:sz w:val="24"/>
              </w:rPr>
            </w:pPr>
            <w:r>
              <w:rPr>
                <w:rFonts w:hint="eastAsia" w:ascii="仿宋" w:hAnsi="仿宋" w:eastAsia="仿宋" w:cs="仿宋"/>
                <w:b/>
                <w:bCs/>
                <w:kern w:val="0"/>
                <w:sz w:val="24"/>
              </w:rPr>
              <w:t>其他未列明行业</w:t>
            </w:r>
          </w:p>
        </w:tc>
        <w:tc>
          <w:tcPr>
            <w:tcW w:w="1660" w:type="dxa"/>
            <w:tcBorders>
              <w:top w:val="nil"/>
              <w:left w:val="nil"/>
              <w:bottom w:val="single" w:color="auto" w:sz="4" w:space="0"/>
              <w:right w:val="single" w:color="auto" w:sz="4" w:space="0"/>
            </w:tcBorders>
            <w:vAlign w:val="center"/>
          </w:tcPr>
          <w:p w14:paraId="060013D9">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从业人员（X）</w:t>
            </w:r>
          </w:p>
        </w:tc>
        <w:tc>
          <w:tcPr>
            <w:tcW w:w="1466" w:type="dxa"/>
            <w:tcBorders>
              <w:top w:val="nil"/>
              <w:left w:val="nil"/>
              <w:bottom w:val="single" w:color="auto" w:sz="4" w:space="0"/>
              <w:right w:val="single" w:color="auto" w:sz="4" w:space="0"/>
            </w:tcBorders>
            <w:vAlign w:val="center"/>
          </w:tcPr>
          <w:p w14:paraId="3C4EB59B">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人</w:t>
            </w:r>
          </w:p>
        </w:tc>
        <w:tc>
          <w:tcPr>
            <w:tcW w:w="1903" w:type="dxa"/>
            <w:tcBorders>
              <w:top w:val="nil"/>
              <w:left w:val="nil"/>
              <w:bottom w:val="single" w:color="auto" w:sz="4" w:space="0"/>
              <w:right w:val="single" w:color="auto" w:sz="4" w:space="0"/>
            </w:tcBorders>
            <w:vAlign w:val="center"/>
          </w:tcPr>
          <w:p w14:paraId="568A2F44">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100≤X＜300</w:t>
            </w:r>
          </w:p>
        </w:tc>
        <w:tc>
          <w:tcPr>
            <w:tcW w:w="1692" w:type="dxa"/>
            <w:tcBorders>
              <w:top w:val="nil"/>
              <w:left w:val="nil"/>
              <w:bottom w:val="single" w:color="auto" w:sz="4" w:space="0"/>
              <w:right w:val="single" w:color="auto" w:sz="4" w:space="0"/>
            </w:tcBorders>
            <w:vAlign w:val="center"/>
          </w:tcPr>
          <w:p w14:paraId="639FAE8D">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10≤X＜100</w:t>
            </w:r>
          </w:p>
        </w:tc>
        <w:tc>
          <w:tcPr>
            <w:tcW w:w="1087" w:type="dxa"/>
            <w:tcBorders>
              <w:top w:val="nil"/>
              <w:left w:val="nil"/>
              <w:bottom w:val="single" w:color="auto" w:sz="4" w:space="0"/>
              <w:right w:val="single" w:color="auto" w:sz="4" w:space="0"/>
            </w:tcBorders>
            <w:vAlign w:val="center"/>
          </w:tcPr>
          <w:p w14:paraId="6A7E2848">
            <w:pPr>
              <w:widowControl/>
              <w:snapToGrid w:val="0"/>
              <w:contextualSpacing/>
              <w:jc w:val="center"/>
              <w:rPr>
                <w:rFonts w:ascii="仿宋" w:hAnsi="仿宋" w:eastAsia="仿宋" w:cs="仿宋"/>
                <w:kern w:val="0"/>
                <w:sz w:val="24"/>
              </w:rPr>
            </w:pPr>
            <w:r>
              <w:rPr>
                <w:rFonts w:hint="eastAsia" w:ascii="仿宋" w:hAnsi="仿宋" w:eastAsia="仿宋" w:cs="仿宋"/>
                <w:kern w:val="0"/>
                <w:sz w:val="24"/>
              </w:rPr>
              <w:t>X＜10</w:t>
            </w:r>
          </w:p>
        </w:tc>
      </w:tr>
    </w:tbl>
    <w:p w14:paraId="08179D8D">
      <w:pPr>
        <w:widowControl/>
        <w:spacing w:line="460" w:lineRule="exact"/>
        <w:ind w:firstLine="482" w:firstLineChars="200"/>
        <w:jc w:val="left"/>
        <w:rPr>
          <w:rFonts w:ascii="仿宋" w:hAnsi="仿宋" w:eastAsia="仿宋" w:cs="仿宋"/>
          <w:kern w:val="0"/>
          <w:sz w:val="24"/>
          <w:shd w:val="clear" w:color="auto" w:fill="FFFFFF"/>
        </w:rPr>
      </w:pPr>
      <w:r>
        <w:rPr>
          <w:rFonts w:hint="eastAsia" w:ascii="仿宋" w:hAnsi="仿宋" w:eastAsia="仿宋" w:cs="仿宋"/>
          <w:b/>
          <w:bCs/>
          <w:kern w:val="0"/>
          <w:sz w:val="24"/>
          <w:shd w:val="clear" w:color="auto" w:fill="FFFFFF"/>
        </w:rPr>
        <w:t>说明：</w:t>
      </w:r>
      <w:r>
        <w:rPr>
          <w:rFonts w:hint="eastAsia" w:ascii="仿宋" w:hAnsi="仿宋" w:eastAsia="仿宋" w:cs="仿宋"/>
          <w:kern w:val="0"/>
          <w:sz w:val="24"/>
          <w:shd w:val="clear" w:color="auto" w:fill="FFFFFF"/>
        </w:rPr>
        <w:t>上述标准参照《关于印发中小企业划型标准规定的通知》（工信部联企业[2011]300号），大型、中型和小型企业须同时满足所列指标的下限，否则下划一档；微型企业只须满足所列指标中的一项即可。</w:t>
      </w:r>
    </w:p>
    <w:p w14:paraId="1FED8ADF">
      <w:pPr>
        <w:widowControl/>
        <w:spacing w:line="460" w:lineRule="exact"/>
        <w:ind w:firstLine="480" w:firstLineChars="200"/>
        <w:jc w:val="left"/>
        <w:rPr>
          <w:rFonts w:ascii="仿宋" w:hAnsi="仿宋" w:eastAsia="仿宋" w:cs="仿宋"/>
          <w:kern w:val="0"/>
          <w:sz w:val="24"/>
          <w:shd w:val="clear" w:color="auto" w:fill="FFFFFF"/>
        </w:rPr>
      </w:pPr>
      <w:r>
        <w:rPr>
          <w:rFonts w:hint="eastAsia" w:ascii="仿宋" w:hAnsi="仿宋" w:eastAsia="仿宋" w:cs="仿宋"/>
          <w:kern w:val="0"/>
          <w:sz w:val="24"/>
          <w:shd w:val="clear" w:color="auto" w:fill="FFFFFF"/>
        </w:rPr>
        <w:t>本招标文件所称中小企业，是指在中华人民共和国境内依法设立，依据国务院批准的</w:t>
      </w:r>
    </w:p>
    <w:p w14:paraId="626A7AFA">
      <w:pPr>
        <w:widowControl/>
        <w:spacing w:line="460" w:lineRule="exact"/>
        <w:ind w:firstLine="480" w:firstLineChars="200"/>
        <w:jc w:val="left"/>
        <w:rPr>
          <w:rFonts w:ascii="仿宋" w:hAnsi="仿宋" w:eastAsia="仿宋" w:cs="仿宋"/>
          <w:kern w:val="0"/>
          <w:sz w:val="24"/>
          <w:shd w:val="clear" w:color="auto" w:fill="FFFFFF"/>
        </w:rPr>
      </w:pPr>
      <w:r>
        <w:rPr>
          <w:rFonts w:hint="eastAsia" w:ascii="仿宋" w:hAnsi="仿宋" w:eastAsia="仿宋" w:cs="仿宋"/>
          <w:kern w:val="0"/>
          <w:sz w:val="24"/>
          <w:shd w:val="clear" w:color="auto" w:fill="FFFFFF"/>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投标人提供的货物、工程或者服务符合下列情形的，享受本招标文件规定的中小企业扶持政策：</w:t>
      </w:r>
    </w:p>
    <w:p w14:paraId="26FC5D7D">
      <w:pPr>
        <w:widowControl/>
        <w:spacing w:line="460" w:lineRule="exact"/>
        <w:ind w:firstLine="480" w:firstLineChars="200"/>
        <w:jc w:val="left"/>
        <w:rPr>
          <w:rFonts w:ascii="仿宋" w:hAnsi="仿宋" w:eastAsia="仿宋" w:cs="仿宋"/>
          <w:kern w:val="0"/>
          <w:sz w:val="24"/>
          <w:shd w:val="clear" w:color="auto" w:fill="FFFFFF"/>
        </w:rPr>
      </w:pPr>
      <w:r>
        <w:rPr>
          <w:rFonts w:hint="eastAsia" w:ascii="仿宋" w:hAnsi="仿宋" w:eastAsia="仿宋" w:cs="仿宋"/>
          <w:kern w:val="0"/>
          <w:sz w:val="24"/>
          <w:shd w:val="clear" w:color="auto" w:fill="FFFFFF"/>
        </w:rPr>
        <w:t>（1）在货物采购项目中，货物由中小企业制造，即货物由中小企业生产且使用该中小企业商号或者注册商标，不对其中涉及的工程承建商和服务的承接商作出要求；</w:t>
      </w:r>
    </w:p>
    <w:p w14:paraId="47CCAEE3">
      <w:pPr>
        <w:widowControl/>
        <w:spacing w:line="460" w:lineRule="exact"/>
        <w:ind w:firstLine="480" w:firstLineChars="200"/>
        <w:jc w:val="left"/>
        <w:rPr>
          <w:rFonts w:ascii="仿宋" w:hAnsi="仿宋" w:eastAsia="仿宋" w:cs="仿宋"/>
          <w:kern w:val="0"/>
          <w:sz w:val="24"/>
          <w:shd w:val="clear" w:color="auto" w:fill="FFFFFF"/>
        </w:rPr>
      </w:pPr>
      <w:r>
        <w:rPr>
          <w:rFonts w:hint="eastAsia" w:ascii="仿宋" w:hAnsi="仿宋" w:eastAsia="仿宋" w:cs="仿宋"/>
          <w:kern w:val="0"/>
          <w:sz w:val="24"/>
          <w:shd w:val="clear" w:color="auto" w:fill="FFFFFF"/>
        </w:rPr>
        <w:t>（2）在工程采购项目中，工程由中小企业承建，即工程施工单位为中小企业，不对其中涉及的货物的制造商和服务的承接商作出要求；</w:t>
      </w:r>
    </w:p>
    <w:p w14:paraId="6AB83F1E">
      <w:pPr>
        <w:widowControl/>
        <w:spacing w:line="460" w:lineRule="exact"/>
        <w:ind w:firstLine="480" w:firstLineChars="200"/>
        <w:jc w:val="left"/>
        <w:rPr>
          <w:rFonts w:ascii="仿宋" w:hAnsi="仿宋" w:eastAsia="仿宋" w:cs="仿宋"/>
          <w:kern w:val="0"/>
          <w:sz w:val="24"/>
          <w:shd w:val="clear" w:color="auto" w:fill="FFFFFF"/>
        </w:rPr>
      </w:pPr>
      <w:r>
        <w:rPr>
          <w:rFonts w:hint="eastAsia" w:ascii="仿宋" w:hAnsi="仿宋" w:eastAsia="仿宋" w:cs="仿宋"/>
          <w:kern w:val="0"/>
          <w:sz w:val="24"/>
          <w:shd w:val="clear" w:color="auto" w:fill="FFFFFF"/>
        </w:rPr>
        <w:t>（3）在服务采购项目中，服务由中小企业承接，即提供服务的人员为中小企业依照《中华人民共和国劳动合同法》订立劳动合同的从业人员，不对其中涉及的货物的制造商和工程承建商作出要求。</w:t>
      </w:r>
    </w:p>
    <w:p w14:paraId="5BA5DFA1">
      <w:pPr>
        <w:widowControl/>
        <w:spacing w:line="460" w:lineRule="exact"/>
        <w:ind w:firstLine="480" w:firstLineChars="200"/>
        <w:jc w:val="left"/>
        <w:rPr>
          <w:rFonts w:ascii="仿宋" w:hAnsi="仿宋" w:eastAsia="仿宋" w:cs="仿宋"/>
          <w:kern w:val="0"/>
          <w:sz w:val="24"/>
          <w:shd w:val="clear" w:color="auto" w:fill="FFFFFF"/>
        </w:rPr>
      </w:pPr>
      <w:r>
        <w:rPr>
          <w:rFonts w:hint="eastAsia" w:ascii="仿宋" w:hAnsi="仿宋" w:eastAsia="仿宋" w:cs="仿宋"/>
          <w:kern w:val="0"/>
          <w:sz w:val="24"/>
          <w:shd w:val="clear" w:color="auto" w:fill="FFFFFF"/>
        </w:rPr>
        <w:t>在货物采购项目中，投标人提供的货物既有中小企业制造货物，也有大型企业制造货物的，不享受本招标文件规定的中小企业扶持政策。以联合体形式参加政府采购活动，联合体各方均为中小企业的，联合体视同中小企业。其中，联合体各方均为小微企业的，联合体视同小微企业。</w:t>
      </w:r>
    </w:p>
    <w:p w14:paraId="1C5DAAFC">
      <w:pPr>
        <w:widowControl/>
        <w:spacing w:line="460" w:lineRule="exact"/>
        <w:ind w:firstLine="480" w:firstLineChars="200"/>
        <w:jc w:val="left"/>
        <w:rPr>
          <w:rFonts w:ascii="仿宋" w:hAnsi="仿宋" w:eastAsia="仿宋" w:cs="仿宋"/>
          <w:kern w:val="0"/>
          <w:sz w:val="24"/>
          <w:shd w:val="clear" w:color="auto" w:fill="FFFFFF"/>
        </w:rPr>
      </w:pPr>
      <w:r>
        <w:rPr>
          <w:rFonts w:hint="eastAsia" w:ascii="仿宋" w:hAnsi="仿宋" w:eastAsia="仿宋" w:cs="仿宋"/>
          <w:kern w:val="0"/>
          <w:sz w:val="24"/>
          <w:shd w:val="clear" w:color="auto" w:fill="FFFFFF"/>
        </w:rPr>
        <w:t>依据本招标文件规定享受扶持政策获得政府采购合同的，小微企业不得将合同分包给大中型企业，中型企业不得将合同分包给大型企业。</w:t>
      </w:r>
    </w:p>
    <w:p w14:paraId="54B31049">
      <w:pPr>
        <w:rPr>
          <w:rFonts w:ascii="仿宋" w:hAnsi="仿宋" w:eastAsia="仿宋" w:cs="仿宋"/>
        </w:rPr>
      </w:pPr>
      <w:bookmarkStart w:id="765" w:name="_Toc25363"/>
      <w:bookmarkStart w:id="766" w:name="_Toc27168"/>
      <w:bookmarkStart w:id="767" w:name="_Toc27811"/>
    </w:p>
    <w:p w14:paraId="1CE014DA">
      <w:pPr>
        <w:rPr>
          <w:rFonts w:ascii="仿宋" w:hAnsi="仿宋" w:eastAsia="仿宋" w:cs="仿宋"/>
          <w:sz w:val="24"/>
        </w:rPr>
      </w:pPr>
      <w:bookmarkStart w:id="768" w:name="_Toc28053"/>
      <w:r>
        <w:rPr>
          <w:rFonts w:hint="eastAsia" w:ascii="仿宋" w:hAnsi="仿宋" w:eastAsia="仿宋" w:cs="仿宋"/>
          <w:sz w:val="24"/>
        </w:rPr>
        <w:br w:type="page"/>
      </w:r>
    </w:p>
    <w:p w14:paraId="284500ED">
      <w:pPr>
        <w:pStyle w:val="4"/>
        <w:widowControl/>
        <w:spacing w:before="0" w:line="288" w:lineRule="auto"/>
        <w:ind w:firstLine="2650" w:firstLineChars="1100"/>
        <w:jc w:val="both"/>
        <w:textAlignment w:val="baseline"/>
        <w:rPr>
          <w:rFonts w:ascii="仿宋" w:hAnsi="仿宋" w:eastAsia="仿宋" w:cs="仿宋"/>
          <w:color w:val="000000"/>
          <w:sz w:val="24"/>
          <w:szCs w:val="24"/>
        </w:rPr>
      </w:pPr>
      <w:r>
        <w:rPr>
          <w:rFonts w:hint="eastAsia" w:ascii="仿宋" w:hAnsi="仿宋" w:eastAsia="仿宋" w:cs="仿宋"/>
          <w:sz w:val="24"/>
        </w:rPr>
        <w:t>6-2</w:t>
      </w:r>
      <w:bookmarkEnd w:id="764"/>
      <w:bookmarkEnd w:id="765"/>
      <w:bookmarkEnd w:id="766"/>
      <w:bookmarkEnd w:id="767"/>
      <w:bookmarkEnd w:id="768"/>
      <w:r>
        <w:rPr>
          <w:rFonts w:hint="eastAsia" w:ascii="仿宋" w:hAnsi="仿宋" w:eastAsia="仿宋" w:cs="仿宋"/>
          <w:sz w:val="24"/>
        </w:rPr>
        <w:t>、</w:t>
      </w:r>
      <w:r>
        <w:rPr>
          <w:rFonts w:hint="eastAsia" w:ascii="仿宋" w:hAnsi="仿宋" w:eastAsia="仿宋" w:cs="仿宋"/>
          <w:sz w:val="24"/>
          <w:szCs w:val="24"/>
        </w:rPr>
        <w:t>《残疾人福利性单位声明函》</w:t>
      </w:r>
    </w:p>
    <w:p w14:paraId="1BD71FC6">
      <w:pPr>
        <w:snapToGrid w:val="0"/>
        <w:spacing w:line="360" w:lineRule="auto"/>
        <w:ind w:firstLine="567"/>
        <w:textAlignment w:val="baseline"/>
        <w:rPr>
          <w:rFonts w:ascii="仿宋" w:hAnsi="仿宋" w:eastAsia="仿宋" w:cs="仿宋"/>
          <w:kern w:val="0"/>
          <w:sz w:val="24"/>
        </w:rPr>
      </w:pPr>
      <w:bookmarkStart w:id="769" w:name="_Toc13378"/>
      <w:bookmarkStart w:id="770" w:name="_Toc11271"/>
      <w:bookmarkStart w:id="771" w:name="_Toc9078"/>
      <w:bookmarkStart w:id="772" w:name="_Toc28310"/>
      <w:bookmarkStart w:id="773" w:name="_Toc16783"/>
      <w:bookmarkStart w:id="774" w:name="_Toc12073"/>
      <w:bookmarkStart w:id="775" w:name="_Toc9071"/>
      <w:bookmarkStart w:id="776" w:name="_Toc19677"/>
      <w:bookmarkStart w:id="777" w:name="_Toc17181"/>
      <w:bookmarkStart w:id="778" w:name="_Toc7440"/>
      <w:bookmarkStart w:id="779" w:name="_Toc5731"/>
      <w:bookmarkStart w:id="780" w:name="_Toc17299"/>
      <w:bookmarkStart w:id="781" w:name="_Toc8498"/>
      <w:bookmarkStart w:id="782" w:name="_Toc19006"/>
      <w:bookmarkStart w:id="783" w:name="_Toc2813"/>
      <w:r>
        <w:rPr>
          <w:rFonts w:hint="eastAsia" w:ascii="仿宋" w:hAnsi="仿宋" w:eastAsia="仿宋" w:cs="仿宋"/>
          <w:kern w:val="0"/>
          <w:sz w:val="24"/>
        </w:rPr>
        <w:t>本单位郑重声明，根据《财政部民政部中国残疾人联合会关于促进残疾人就业政府采购政策的通知》（财库〔2017〕141号）的规定，本单位为符合条件的残疾人福利性单位，且本单位参加______单位的______项目采购活动提供本单位制造的货物、承担的工程或者服务（以下简称产品），或者提供其他残疾人福利性单位制造的货物（不包括使用非残疾人福利性单位注册商标的货物）。</w:t>
      </w:r>
    </w:p>
    <w:p w14:paraId="566ED8D2">
      <w:pPr>
        <w:snapToGrid w:val="0"/>
        <w:spacing w:line="360" w:lineRule="auto"/>
        <w:ind w:left="1080" w:leftChars="257" w:hanging="540"/>
        <w:textAlignment w:val="baseline"/>
        <w:rPr>
          <w:rFonts w:ascii="仿宋" w:hAnsi="仿宋" w:eastAsia="仿宋" w:cs="仿宋"/>
          <w:kern w:val="0"/>
          <w:sz w:val="24"/>
        </w:rPr>
      </w:pPr>
      <w:r>
        <w:rPr>
          <w:rFonts w:hint="eastAsia" w:ascii="仿宋" w:hAnsi="仿宋" w:eastAsia="仿宋" w:cs="仿宋"/>
          <w:kern w:val="0"/>
          <w:sz w:val="24"/>
        </w:rPr>
        <w:t>本单位对上述声明的真实性负责。如有虚假，将依法承担相应责任。</w:t>
      </w:r>
    </w:p>
    <w:p w14:paraId="7AFF4C69">
      <w:pPr>
        <w:snapToGrid w:val="0"/>
        <w:spacing w:line="360" w:lineRule="auto"/>
        <w:textAlignment w:val="baseline"/>
        <w:rPr>
          <w:rFonts w:ascii="仿宋" w:hAnsi="仿宋" w:eastAsia="仿宋" w:cs="仿宋"/>
          <w:kern w:val="0"/>
          <w:sz w:val="24"/>
        </w:rPr>
      </w:pPr>
    </w:p>
    <w:p w14:paraId="2FC64D76">
      <w:pPr>
        <w:snapToGrid w:val="0"/>
        <w:spacing w:line="360" w:lineRule="auto"/>
        <w:ind w:left="1080" w:leftChars="257" w:hanging="540"/>
        <w:jc w:val="center"/>
        <w:textAlignment w:val="baseline"/>
        <w:rPr>
          <w:rFonts w:ascii="仿宋" w:hAnsi="仿宋" w:eastAsia="仿宋" w:cs="仿宋"/>
          <w:kern w:val="0"/>
          <w:sz w:val="24"/>
        </w:rPr>
      </w:pPr>
      <w:r>
        <w:rPr>
          <w:rFonts w:hint="eastAsia" w:ascii="仿宋" w:hAnsi="仿宋" w:eastAsia="仿宋" w:cs="仿宋"/>
          <w:kern w:val="0"/>
          <w:sz w:val="24"/>
        </w:rPr>
        <w:t xml:space="preserve">              残疾人福利性单位名称（盖公章）：______________</w:t>
      </w:r>
    </w:p>
    <w:p w14:paraId="5D4C83BD">
      <w:pPr>
        <w:pStyle w:val="7"/>
        <w:spacing w:line="360" w:lineRule="auto"/>
        <w:rPr>
          <w:rFonts w:ascii="仿宋" w:hAnsi="仿宋" w:eastAsia="仿宋" w:cs="仿宋"/>
          <w:szCs w:val="24"/>
        </w:rPr>
      </w:pPr>
      <w:r>
        <w:rPr>
          <w:rFonts w:hint="eastAsia" w:ascii="仿宋" w:hAnsi="仿宋" w:eastAsia="仿宋" w:cs="仿宋"/>
          <w:szCs w:val="24"/>
        </w:rPr>
        <w:t xml:space="preserve">                      日  期：_____________________________________</w:t>
      </w:r>
    </w:p>
    <w:p w14:paraId="3FCAAB66">
      <w:pPr>
        <w:pStyle w:val="11"/>
        <w:spacing w:before="181" w:line="231" w:lineRule="auto"/>
        <w:ind w:left="2645"/>
        <w:rPr>
          <w:sz w:val="23"/>
          <w:szCs w:val="23"/>
        </w:rPr>
      </w:pPr>
    </w:p>
    <w:p w14:paraId="37A142BA">
      <w:pPr>
        <w:spacing w:line="268" w:lineRule="auto"/>
        <w:rPr>
          <w:rFonts w:ascii="Arial"/>
        </w:rPr>
      </w:pPr>
    </w:p>
    <w:p w14:paraId="2A7DC555">
      <w:pPr>
        <w:spacing w:line="269" w:lineRule="auto"/>
        <w:rPr>
          <w:rFonts w:ascii="Arial"/>
        </w:rPr>
      </w:pPr>
    </w:p>
    <w:p w14:paraId="58CD6EBC">
      <w:pPr>
        <w:spacing w:line="269" w:lineRule="auto"/>
        <w:rPr>
          <w:rFonts w:ascii="Arial"/>
        </w:rPr>
      </w:pPr>
    </w:p>
    <w:p w14:paraId="1B55F331">
      <w:pPr>
        <w:spacing w:line="269" w:lineRule="auto"/>
        <w:rPr>
          <w:rFonts w:ascii="Arial"/>
        </w:rPr>
      </w:pPr>
    </w:p>
    <w:p w14:paraId="62E1BA31">
      <w:pPr>
        <w:pStyle w:val="11"/>
        <w:spacing w:before="0" w:line="240" w:lineRule="auto"/>
        <w:jc w:val="left"/>
        <w:rPr>
          <w:rFonts w:ascii="仿宋" w:hAnsi="仿宋" w:eastAsia="仿宋" w:cs="仿宋"/>
          <w:sz w:val="23"/>
          <w:szCs w:val="23"/>
        </w:rPr>
      </w:pPr>
      <w:r>
        <w:rPr>
          <w:rFonts w:hint="eastAsia" w:ascii="仿宋" w:hAnsi="仿宋" w:eastAsia="仿宋" w:cs="仿宋"/>
          <w:spacing w:val="9"/>
          <w:sz w:val="23"/>
          <w:szCs w:val="23"/>
        </w:rPr>
        <w:t>说明：根据财库〔2017〕141</w:t>
      </w:r>
      <w:r>
        <w:rPr>
          <w:rFonts w:hint="eastAsia" w:ascii="仿宋" w:hAnsi="仿宋" w:eastAsia="仿宋" w:cs="仿宋"/>
          <w:spacing w:val="-29"/>
          <w:sz w:val="23"/>
          <w:szCs w:val="23"/>
        </w:rPr>
        <w:t xml:space="preserve"> </w:t>
      </w:r>
      <w:r>
        <w:rPr>
          <w:rFonts w:hint="eastAsia" w:ascii="仿宋" w:hAnsi="仿宋" w:eastAsia="仿宋" w:cs="仿宋"/>
          <w:spacing w:val="9"/>
          <w:sz w:val="23"/>
          <w:szCs w:val="23"/>
        </w:rPr>
        <w:t>号文件的规定,享受政府采购支持政策</w:t>
      </w:r>
      <w:r>
        <w:rPr>
          <w:rFonts w:hint="eastAsia" w:ascii="仿宋" w:hAnsi="仿宋" w:eastAsia="仿宋" w:cs="仿宋"/>
          <w:spacing w:val="8"/>
          <w:sz w:val="23"/>
          <w:szCs w:val="23"/>
        </w:rPr>
        <w:t>的残疾人福利性单</w:t>
      </w:r>
      <w:r>
        <w:rPr>
          <w:rFonts w:hint="eastAsia" w:ascii="仿宋" w:hAnsi="仿宋" w:eastAsia="仿宋" w:cs="仿宋"/>
          <w:spacing w:val="3"/>
          <w:sz w:val="23"/>
          <w:szCs w:val="23"/>
        </w:rPr>
        <w:t>位应当同时满足以下条件：</w:t>
      </w:r>
    </w:p>
    <w:p w14:paraId="4F1C87AE">
      <w:pPr>
        <w:pStyle w:val="11"/>
        <w:spacing w:before="0" w:line="240" w:lineRule="auto"/>
        <w:jc w:val="left"/>
        <w:rPr>
          <w:rFonts w:ascii="仿宋" w:hAnsi="仿宋" w:eastAsia="仿宋" w:cs="仿宋"/>
          <w:b/>
          <w:bCs/>
          <w:sz w:val="23"/>
          <w:szCs w:val="23"/>
        </w:rPr>
      </w:pPr>
      <w:r>
        <w:rPr>
          <w:rFonts w:hint="eastAsia" w:ascii="仿宋" w:hAnsi="仿宋" w:eastAsia="仿宋" w:cs="仿宋"/>
          <w:b/>
          <w:bCs/>
          <w:spacing w:val="8"/>
          <w:sz w:val="23"/>
          <w:szCs w:val="23"/>
        </w:rPr>
        <w:t>（一）安置的残疾人占本单位在职职工人数的比例不低于</w:t>
      </w:r>
      <w:r>
        <w:rPr>
          <w:rFonts w:hint="eastAsia" w:ascii="仿宋" w:hAnsi="仿宋" w:eastAsia="仿宋" w:cs="仿宋"/>
          <w:b/>
          <w:bCs/>
          <w:spacing w:val="-41"/>
          <w:sz w:val="23"/>
          <w:szCs w:val="23"/>
        </w:rPr>
        <w:t xml:space="preserve"> </w:t>
      </w:r>
      <w:r>
        <w:rPr>
          <w:rFonts w:hint="eastAsia" w:ascii="仿宋" w:hAnsi="仿宋" w:eastAsia="仿宋" w:cs="仿宋"/>
          <w:b/>
          <w:bCs/>
          <w:spacing w:val="8"/>
          <w:sz w:val="23"/>
          <w:szCs w:val="23"/>
        </w:rPr>
        <w:t>25%（含25%</w:t>
      </w:r>
      <w:r>
        <w:rPr>
          <w:rFonts w:hint="eastAsia" w:ascii="仿宋" w:hAnsi="仿宋" w:eastAsia="仿宋" w:cs="仿宋"/>
          <w:b/>
          <w:bCs/>
          <w:spacing w:val="7"/>
          <w:sz w:val="23"/>
          <w:szCs w:val="23"/>
        </w:rPr>
        <w:t>），</w:t>
      </w:r>
      <w:r>
        <w:rPr>
          <w:rFonts w:hint="eastAsia" w:ascii="仿宋" w:hAnsi="仿宋" w:eastAsia="仿宋" w:cs="仿宋"/>
          <w:b/>
          <w:bCs/>
          <w:spacing w:val="8"/>
          <w:sz w:val="23"/>
          <w:szCs w:val="23"/>
        </w:rPr>
        <w:t>并且安</w:t>
      </w:r>
      <w:r>
        <w:rPr>
          <w:rFonts w:hint="eastAsia" w:ascii="仿宋" w:hAnsi="仿宋" w:eastAsia="仿宋" w:cs="仿宋"/>
          <w:b/>
          <w:bCs/>
          <w:spacing w:val="7"/>
          <w:sz w:val="23"/>
          <w:szCs w:val="23"/>
        </w:rPr>
        <w:t>置的</w:t>
      </w:r>
      <w:r>
        <w:rPr>
          <w:rFonts w:hint="eastAsia" w:ascii="仿宋" w:hAnsi="仿宋" w:eastAsia="仿宋" w:cs="仿宋"/>
          <w:b/>
          <w:bCs/>
          <w:sz w:val="23"/>
          <w:szCs w:val="23"/>
        </w:rPr>
        <w:t>残疾人人数不少于</w:t>
      </w:r>
      <w:r>
        <w:rPr>
          <w:rFonts w:hint="eastAsia" w:ascii="仿宋" w:hAnsi="仿宋" w:eastAsia="仿宋" w:cs="仿宋"/>
          <w:b/>
          <w:bCs/>
          <w:spacing w:val="-28"/>
          <w:sz w:val="23"/>
          <w:szCs w:val="23"/>
        </w:rPr>
        <w:t xml:space="preserve"> </w:t>
      </w:r>
      <w:r>
        <w:rPr>
          <w:rFonts w:hint="eastAsia" w:ascii="仿宋" w:hAnsi="仿宋" w:eastAsia="仿宋" w:cs="仿宋"/>
          <w:b/>
          <w:bCs/>
          <w:sz w:val="23"/>
          <w:szCs w:val="23"/>
        </w:rPr>
        <w:t>10</w:t>
      </w:r>
      <w:r>
        <w:rPr>
          <w:rFonts w:hint="eastAsia" w:ascii="仿宋" w:hAnsi="仿宋" w:eastAsia="仿宋" w:cs="仿宋"/>
          <w:b/>
          <w:bCs/>
          <w:spacing w:val="-33"/>
          <w:sz w:val="23"/>
          <w:szCs w:val="23"/>
        </w:rPr>
        <w:t xml:space="preserve"> </w:t>
      </w:r>
      <w:r>
        <w:rPr>
          <w:rFonts w:hint="eastAsia" w:ascii="仿宋" w:hAnsi="仿宋" w:eastAsia="仿宋" w:cs="仿宋"/>
          <w:b/>
          <w:bCs/>
          <w:sz w:val="23"/>
          <w:szCs w:val="23"/>
        </w:rPr>
        <w:t>人（含</w:t>
      </w:r>
      <w:r>
        <w:rPr>
          <w:rFonts w:hint="eastAsia" w:ascii="仿宋" w:hAnsi="仿宋" w:eastAsia="仿宋" w:cs="仿宋"/>
          <w:b/>
          <w:bCs/>
          <w:spacing w:val="-29"/>
          <w:sz w:val="23"/>
          <w:szCs w:val="23"/>
        </w:rPr>
        <w:t xml:space="preserve"> </w:t>
      </w:r>
      <w:r>
        <w:rPr>
          <w:rFonts w:hint="eastAsia" w:ascii="仿宋" w:hAnsi="仿宋" w:eastAsia="仿宋" w:cs="仿宋"/>
          <w:b/>
          <w:bCs/>
          <w:sz w:val="23"/>
          <w:szCs w:val="23"/>
        </w:rPr>
        <w:t>10</w:t>
      </w:r>
      <w:r>
        <w:rPr>
          <w:rFonts w:hint="eastAsia" w:ascii="仿宋" w:hAnsi="仿宋" w:eastAsia="仿宋" w:cs="仿宋"/>
          <w:b/>
          <w:bCs/>
          <w:spacing w:val="-33"/>
          <w:sz w:val="23"/>
          <w:szCs w:val="23"/>
        </w:rPr>
        <w:t xml:space="preserve"> </w:t>
      </w:r>
      <w:r>
        <w:rPr>
          <w:rFonts w:hint="eastAsia" w:ascii="仿宋" w:hAnsi="仿宋" w:eastAsia="仿宋" w:cs="仿宋"/>
          <w:b/>
          <w:bCs/>
          <w:sz w:val="23"/>
          <w:szCs w:val="23"/>
        </w:rPr>
        <w:t>人</w:t>
      </w:r>
      <w:r>
        <w:rPr>
          <w:rFonts w:hint="eastAsia" w:ascii="仿宋" w:hAnsi="仿宋" w:eastAsia="仿宋" w:cs="仿宋"/>
          <w:b/>
          <w:bCs/>
          <w:spacing w:val="1"/>
          <w:sz w:val="23"/>
          <w:szCs w:val="23"/>
        </w:rPr>
        <w:t>）；</w:t>
      </w:r>
    </w:p>
    <w:p w14:paraId="5FCE00B9">
      <w:pPr>
        <w:pStyle w:val="11"/>
        <w:spacing w:before="0" w:line="240" w:lineRule="auto"/>
        <w:jc w:val="left"/>
        <w:rPr>
          <w:rFonts w:ascii="仿宋" w:hAnsi="仿宋" w:eastAsia="仿宋" w:cs="仿宋"/>
          <w:sz w:val="23"/>
          <w:szCs w:val="23"/>
        </w:rPr>
      </w:pPr>
      <w:r>
        <w:rPr>
          <w:rFonts w:hint="eastAsia" w:ascii="仿宋" w:hAnsi="仿宋" w:eastAsia="仿宋" w:cs="仿宋"/>
          <w:spacing w:val="8"/>
          <w:sz w:val="23"/>
          <w:szCs w:val="23"/>
        </w:rPr>
        <w:t>（二）依法与安置的每位残疾人签订了一年以上（含一年）的劳动合同</w:t>
      </w:r>
      <w:r>
        <w:rPr>
          <w:rFonts w:hint="eastAsia" w:ascii="仿宋" w:hAnsi="仿宋" w:eastAsia="仿宋" w:cs="仿宋"/>
          <w:spacing w:val="7"/>
          <w:sz w:val="23"/>
          <w:szCs w:val="23"/>
        </w:rPr>
        <w:t>或服务协议；</w:t>
      </w:r>
    </w:p>
    <w:p w14:paraId="20C5458C">
      <w:pPr>
        <w:pStyle w:val="11"/>
        <w:spacing w:before="0" w:line="240" w:lineRule="auto"/>
        <w:jc w:val="left"/>
        <w:rPr>
          <w:rFonts w:ascii="仿宋" w:hAnsi="仿宋" w:eastAsia="仿宋" w:cs="仿宋"/>
          <w:sz w:val="23"/>
          <w:szCs w:val="23"/>
        </w:rPr>
      </w:pPr>
      <w:r>
        <w:rPr>
          <w:rFonts w:hint="eastAsia" w:ascii="仿宋" w:hAnsi="仿宋" w:eastAsia="仿宋" w:cs="仿宋"/>
          <w:spacing w:val="7"/>
          <w:sz w:val="23"/>
          <w:szCs w:val="23"/>
        </w:rPr>
        <w:t>（三）</w:t>
      </w:r>
      <w:r>
        <w:rPr>
          <w:rFonts w:hint="eastAsia" w:ascii="仿宋" w:hAnsi="仿宋" w:eastAsia="仿宋" w:cs="仿宋"/>
          <w:spacing w:val="-67"/>
          <w:sz w:val="23"/>
          <w:szCs w:val="23"/>
        </w:rPr>
        <w:t xml:space="preserve"> </w:t>
      </w:r>
      <w:r>
        <w:rPr>
          <w:rFonts w:hint="eastAsia" w:ascii="仿宋" w:hAnsi="仿宋" w:eastAsia="仿宋" w:cs="仿宋"/>
          <w:spacing w:val="7"/>
          <w:sz w:val="23"/>
          <w:szCs w:val="23"/>
        </w:rPr>
        <w:t>为安置的每位残疾人按月足额缴纳了基本</w:t>
      </w:r>
      <w:r>
        <w:rPr>
          <w:rFonts w:hint="eastAsia" w:ascii="仿宋" w:hAnsi="仿宋" w:eastAsia="仿宋" w:cs="仿宋"/>
          <w:spacing w:val="6"/>
          <w:sz w:val="23"/>
          <w:szCs w:val="23"/>
        </w:rPr>
        <w:t>养老保险、基本医疗保险、失业保险、</w:t>
      </w:r>
      <w:r>
        <w:rPr>
          <w:rFonts w:hint="eastAsia" w:ascii="仿宋" w:hAnsi="仿宋" w:eastAsia="仿宋" w:cs="仿宋"/>
          <w:spacing w:val="5"/>
          <w:sz w:val="23"/>
          <w:szCs w:val="23"/>
        </w:rPr>
        <w:t>工伤保险和生育保险等社会保险费；</w:t>
      </w:r>
    </w:p>
    <w:p w14:paraId="0F0A8A4C">
      <w:pPr>
        <w:pStyle w:val="11"/>
        <w:spacing w:before="0" w:line="240" w:lineRule="auto"/>
        <w:jc w:val="left"/>
        <w:rPr>
          <w:rFonts w:ascii="仿宋" w:hAnsi="仿宋" w:eastAsia="仿宋" w:cs="仿宋"/>
          <w:sz w:val="23"/>
          <w:szCs w:val="23"/>
        </w:rPr>
      </w:pPr>
      <w:r>
        <w:rPr>
          <w:rFonts w:hint="eastAsia" w:ascii="仿宋" w:hAnsi="仿宋" w:eastAsia="仿宋" w:cs="仿宋"/>
          <w:spacing w:val="12"/>
          <w:sz w:val="23"/>
          <w:szCs w:val="23"/>
        </w:rPr>
        <w:t>（四）通过银行等金融机构向安置的每位残疾人，</w:t>
      </w:r>
      <w:r>
        <w:rPr>
          <w:rFonts w:hint="eastAsia" w:ascii="仿宋" w:hAnsi="仿宋" w:eastAsia="仿宋" w:cs="仿宋"/>
          <w:spacing w:val="11"/>
          <w:sz w:val="23"/>
          <w:szCs w:val="23"/>
        </w:rPr>
        <w:t>按月支付了不低于单位所在区县适</w:t>
      </w:r>
      <w:r>
        <w:rPr>
          <w:rFonts w:hint="eastAsia" w:ascii="仿宋" w:hAnsi="仿宋" w:eastAsia="仿宋" w:cs="仿宋"/>
          <w:sz w:val="23"/>
          <w:szCs w:val="23"/>
        </w:rPr>
        <w:t xml:space="preserve"> </w:t>
      </w:r>
      <w:r>
        <w:rPr>
          <w:rFonts w:hint="eastAsia" w:ascii="仿宋" w:hAnsi="仿宋" w:eastAsia="仿宋" w:cs="仿宋"/>
          <w:spacing w:val="6"/>
          <w:sz w:val="23"/>
          <w:szCs w:val="23"/>
        </w:rPr>
        <w:t>用的经省级人民政府批准的月最低工资标准的工资；</w:t>
      </w:r>
    </w:p>
    <w:p w14:paraId="32F445EC">
      <w:pPr>
        <w:pStyle w:val="90"/>
        <w:spacing w:line="240" w:lineRule="auto"/>
        <w:ind w:firstLine="0" w:firstLineChars="0"/>
        <w:jc w:val="left"/>
        <w:rPr>
          <w:rFonts w:ascii="仿宋" w:hAnsi="仿宋" w:eastAsia="仿宋" w:cs="仿宋"/>
          <w:b w:val="0"/>
        </w:rPr>
      </w:pPr>
      <w:r>
        <w:rPr>
          <w:rFonts w:hint="eastAsia" w:ascii="仿宋" w:hAnsi="仿宋" w:eastAsia="仿宋" w:cs="仿宋"/>
          <w:b w:val="0"/>
          <w:spacing w:val="11"/>
          <w:sz w:val="23"/>
          <w:szCs w:val="23"/>
        </w:rPr>
        <w:t>（五）提供本单位制造的货物、承担的工程或者服务（以下简称产品</w:t>
      </w:r>
      <w:r>
        <w:rPr>
          <w:rFonts w:hint="eastAsia" w:ascii="仿宋" w:hAnsi="仿宋" w:eastAsia="仿宋" w:cs="仿宋"/>
          <w:b w:val="0"/>
          <w:spacing w:val="8"/>
          <w:sz w:val="23"/>
          <w:szCs w:val="23"/>
        </w:rPr>
        <w:t>）</w:t>
      </w:r>
      <w:r>
        <w:rPr>
          <w:rFonts w:hint="eastAsia" w:ascii="仿宋" w:hAnsi="仿宋" w:eastAsia="仿宋" w:cs="仿宋"/>
          <w:b w:val="0"/>
          <w:spacing w:val="-68"/>
          <w:sz w:val="23"/>
          <w:szCs w:val="23"/>
        </w:rPr>
        <w:t xml:space="preserve"> </w:t>
      </w:r>
      <w:r>
        <w:rPr>
          <w:rFonts w:hint="eastAsia" w:ascii="仿宋" w:hAnsi="仿宋" w:eastAsia="仿宋" w:cs="仿宋"/>
          <w:b w:val="0"/>
          <w:spacing w:val="8"/>
          <w:sz w:val="23"/>
          <w:szCs w:val="23"/>
        </w:rPr>
        <w:t>，</w:t>
      </w:r>
      <w:r>
        <w:rPr>
          <w:rFonts w:hint="eastAsia" w:ascii="仿宋" w:hAnsi="仿宋" w:eastAsia="仿宋" w:cs="仿宋"/>
          <w:b w:val="0"/>
          <w:spacing w:val="11"/>
          <w:sz w:val="23"/>
          <w:szCs w:val="23"/>
        </w:rPr>
        <w:t>或者提供其</w:t>
      </w:r>
      <w:r>
        <w:rPr>
          <w:rFonts w:hint="eastAsia" w:ascii="仿宋" w:hAnsi="仿宋" w:eastAsia="仿宋" w:cs="仿宋"/>
          <w:b w:val="0"/>
          <w:spacing w:val="12"/>
          <w:sz w:val="23"/>
          <w:szCs w:val="23"/>
        </w:rPr>
        <w:t>他残疾人福利性单位制造的货物（不包括使用非残疾人福利性单位注册商标的货物）。前款所称残疾人是指法定劳动年龄内，持有《中华人民共和国残疾人证》或者《中华人民共</w:t>
      </w:r>
      <w:r>
        <w:rPr>
          <w:rFonts w:hint="eastAsia" w:ascii="仿宋" w:hAnsi="仿宋" w:eastAsia="仿宋" w:cs="仿宋"/>
          <w:b w:val="0"/>
          <w:spacing w:val="6"/>
          <w:sz w:val="23"/>
          <w:szCs w:val="23"/>
        </w:rPr>
        <w:t>和国残疾军人证（1</w:t>
      </w:r>
      <w:r>
        <w:rPr>
          <w:rFonts w:hint="eastAsia" w:ascii="仿宋" w:hAnsi="仿宋" w:eastAsia="仿宋" w:cs="仿宋"/>
          <w:b w:val="0"/>
          <w:spacing w:val="-29"/>
          <w:sz w:val="23"/>
          <w:szCs w:val="23"/>
        </w:rPr>
        <w:t xml:space="preserve"> </w:t>
      </w:r>
      <w:r>
        <w:rPr>
          <w:rFonts w:hint="eastAsia" w:ascii="仿宋" w:hAnsi="仿宋" w:eastAsia="仿宋" w:cs="仿宋"/>
          <w:b w:val="0"/>
          <w:spacing w:val="6"/>
          <w:sz w:val="23"/>
          <w:szCs w:val="23"/>
        </w:rPr>
        <w:t>至</w:t>
      </w:r>
      <w:r>
        <w:rPr>
          <w:rFonts w:hint="eastAsia" w:ascii="仿宋" w:hAnsi="仿宋" w:eastAsia="仿宋" w:cs="仿宋"/>
          <w:b w:val="0"/>
          <w:spacing w:val="-46"/>
          <w:sz w:val="23"/>
          <w:szCs w:val="23"/>
        </w:rPr>
        <w:t xml:space="preserve"> </w:t>
      </w:r>
      <w:r>
        <w:rPr>
          <w:rFonts w:hint="eastAsia" w:ascii="仿宋" w:hAnsi="仿宋" w:eastAsia="仿宋" w:cs="仿宋"/>
          <w:b w:val="0"/>
          <w:spacing w:val="6"/>
          <w:sz w:val="23"/>
          <w:szCs w:val="23"/>
        </w:rPr>
        <w:t>8</w:t>
      </w:r>
      <w:r>
        <w:rPr>
          <w:rFonts w:hint="eastAsia" w:ascii="仿宋" w:hAnsi="仿宋" w:eastAsia="仿宋" w:cs="仿宋"/>
          <w:b w:val="0"/>
          <w:spacing w:val="-36"/>
          <w:sz w:val="23"/>
          <w:szCs w:val="23"/>
        </w:rPr>
        <w:t xml:space="preserve"> </w:t>
      </w:r>
      <w:r>
        <w:rPr>
          <w:rFonts w:hint="eastAsia" w:ascii="仿宋" w:hAnsi="仿宋" w:eastAsia="仿宋" w:cs="仿宋"/>
          <w:b w:val="0"/>
          <w:spacing w:val="6"/>
          <w:sz w:val="23"/>
          <w:szCs w:val="23"/>
        </w:rPr>
        <w:t>级）》的自然人，包括具有劳动条件和劳动意愿的精神残疾人。在</w:t>
      </w:r>
      <w:r>
        <w:rPr>
          <w:rFonts w:hint="eastAsia" w:ascii="仿宋" w:hAnsi="仿宋" w:eastAsia="仿宋" w:cs="仿宋"/>
          <w:b w:val="0"/>
          <w:spacing w:val="12"/>
          <w:sz w:val="23"/>
          <w:szCs w:val="23"/>
        </w:rPr>
        <w:t>职职工人数是指与残疾人福利性单位建立劳动关系并依法签订劳动合同或者服务协议的雇</w:t>
      </w:r>
      <w:r>
        <w:rPr>
          <w:rFonts w:hint="eastAsia" w:ascii="仿宋" w:hAnsi="仿宋" w:eastAsia="仿宋" w:cs="仿宋"/>
          <w:b w:val="0"/>
          <w:spacing w:val="4"/>
          <w:sz w:val="23"/>
          <w:szCs w:val="23"/>
        </w:rPr>
        <w:t>员人数。</w:t>
      </w:r>
    </w:p>
    <w:bookmarkEnd w:id="760"/>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p w14:paraId="457D91EF">
      <w:pPr>
        <w:rPr>
          <w:rFonts w:ascii="仿宋" w:hAnsi="仿宋" w:eastAsia="仿宋" w:cs="仿宋"/>
          <w:sz w:val="24"/>
        </w:rPr>
      </w:pPr>
      <w:r>
        <w:rPr>
          <w:rFonts w:hint="eastAsia" w:ascii="仿宋" w:hAnsi="仿宋" w:eastAsia="仿宋" w:cs="仿宋"/>
          <w:sz w:val="24"/>
        </w:rPr>
        <w:br w:type="page"/>
      </w:r>
    </w:p>
    <w:p w14:paraId="353C00D6">
      <w:pPr>
        <w:pStyle w:val="4"/>
        <w:widowControl/>
        <w:spacing w:before="0" w:line="288" w:lineRule="auto"/>
        <w:textAlignment w:val="baseline"/>
        <w:rPr>
          <w:rFonts w:ascii="仿宋" w:hAnsi="仿宋" w:eastAsia="仿宋" w:cs="仿宋"/>
          <w:sz w:val="21"/>
        </w:rPr>
      </w:pPr>
      <w:r>
        <w:rPr>
          <w:rFonts w:hint="eastAsia" w:ascii="仿宋" w:hAnsi="仿宋" w:eastAsia="仿宋" w:cs="仿宋"/>
          <w:sz w:val="24"/>
        </w:rPr>
        <w:t>6-3</w:t>
      </w:r>
      <w:bookmarkStart w:id="784" w:name="_Toc2485"/>
      <w:bookmarkStart w:id="785" w:name="_Toc22178"/>
      <w:bookmarkStart w:id="786" w:name="_Toc5785"/>
      <w:bookmarkStart w:id="787" w:name="_Toc21571"/>
      <w:bookmarkStart w:id="788" w:name="_Toc4354"/>
      <w:r>
        <w:rPr>
          <w:rFonts w:hint="eastAsia" w:ascii="仿宋" w:hAnsi="仿宋" w:eastAsia="仿宋" w:cs="仿宋"/>
          <w:sz w:val="24"/>
        </w:rPr>
        <w:t>、《监狱企业声明函》</w:t>
      </w:r>
    </w:p>
    <w:p w14:paraId="659DD751">
      <w:pPr>
        <w:spacing w:line="294" w:lineRule="auto"/>
        <w:rPr>
          <w:rFonts w:ascii="仿宋" w:hAnsi="仿宋" w:eastAsia="仿宋" w:cs="仿宋"/>
        </w:rPr>
      </w:pPr>
    </w:p>
    <w:bookmarkEnd w:id="784"/>
    <w:bookmarkEnd w:id="785"/>
    <w:bookmarkEnd w:id="786"/>
    <w:bookmarkEnd w:id="787"/>
    <w:bookmarkEnd w:id="788"/>
    <w:p w14:paraId="6DDCC7DA">
      <w:pPr>
        <w:snapToGrid w:val="0"/>
        <w:spacing w:line="360" w:lineRule="auto"/>
        <w:ind w:firstLine="567"/>
        <w:textAlignment w:val="baseline"/>
        <w:rPr>
          <w:rFonts w:ascii="仿宋" w:hAnsi="仿宋" w:eastAsia="仿宋" w:cs="仿宋"/>
          <w:kern w:val="0"/>
          <w:sz w:val="24"/>
        </w:rPr>
      </w:pPr>
      <w:bookmarkStart w:id="789" w:name="_Toc515647827"/>
      <w:bookmarkStart w:id="790" w:name="_Toc28099"/>
      <w:bookmarkStart w:id="791" w:name="_Toc30795"/>
      <w:bookmarkStart w:id="792" w:name="_Toc10002"/>
      <w:r>
        <w:rPr>
          <w:rFonts w:hint="eastAsia" w:ascii="仿宋" w:hAnsi="仿宋" w:eastAsia="仿宋" w:cs="仿宋"/>
          <w:kern w:val="0"/>
          <w:sz w:val="24"/>
        </w:rPr>
        <w:t>本单位郑重声明，根据《财政部司法部关于政府采购支持监狱企业发展有关问题的通知》（财库〔2014〕68号）的规定，本单位为符合条件的监狱企业福利性单位，本单位参加______单位的______项目采购活动，货物/施工/服务全部由符合政策要求的监狱企业承接。相关监狱企业的具体情况如下：</w:t>
      </w:r>
    </w:p>
    <w:p w14:paraId="7798C8A9">
      <w:pPr>
        <w:spacing w:after="60" w:afterLines="25" w:line="300" w:lineRule="auto"/>
        <w:ind w:firstLine="480" w:firstLineChars="200"/>
        <w:rPr>
          <w:rFonts w:ascii="仿宋" w:hAnsi="仿宋" w:eastAsia="仿宋" w:cs="仿宋"/>
          <w:sz w:val="24"/>
        </w:rPr>
      </w:pPr>
      <w:r>
        <w:rPr>
          <w:rFonts w:hint="eastAsia" w:ascii="仿宋" w:hAnsi="仿宋" w:eastAsia="仿宋" w:cs="仿宋"/>
          <w:sz w:val="24"/>
        </w:rPr>
        <w:t>1.</w:t>
      </w:r>
      <w:r>
        <w:rPr>
          <w:rFonts w:hint="eastAsia" w:ascii="仿宋" w:hAnsi="仿宋" w:eastAsia="仿宋" w:cs="仿宋"/>
          <w:b/>
          <w:bCs/>
          <w:sz w:val="24"/>
          <w:u w:val="single"/>
        </w:rPr>
        <w:t>（标的名称）</w:t>
      </w:r>
      <w:r>
        <w:rPr>
          <w:rFonts w:hint="eastAsia" w:ascii="仿宋" w:hAnsi="仿宋" w:eastAsia="仿宋" w:cs="仿宋"/>
          <w:sz w:val="24"/>
        </w:rPr>
        <w:t>，承接单位为</w:t>
      </w:r>
      <w:r>
        <w:rPr>
          <w:rFonts w:hint="eastAsia" w:ascii="仿宋" w:hAnsi="仿宋" w:eastAsia="仿宋" w:cs="仿宋"/>
          <w:b/>
          <w:bCs/>
          <w:sz w:val="24"/>
          <w:u w:val="single"/>
        </w:rPr>
        <w:t>（企业名称）</w:t>
      </w:r>
      <w:r>
        <w:rPr>
          <w:rFonts w:hint="eastAsia" w:ascii="仿宋" w:hAnsi="仿宋" w:eastAsia="仿宋" w:cs="仿宋"/>
          <w:sz w:val="24"/>
        </w:rPr>
        <w:t>，属于</w:t>
      </w:r>
      <w:r>
        <w:rPr>
          <w:rFonts w:hint="eastAsia" w:ascii="仿宋" w:hAnsi="仿宋" w:eastAsia="仿宋" w:cs="仿宋"/>
          <w:b/>
          <w:bCs/>
          <w:sz w:val="24"/>
          <w:u w:val="single"/>
        </w:rPr>
        <w:t>监狱企业</w:t>
      </w:r>
      <w:r>
        <w:rPr>
          <w:rFonts w:hint="eastAsia" w:ascii="仿宋" w:hAnsi="仿宋" w:eastAsia="仿宋" w:cs="仿宋"/>
          <w:sz w:val="24"/>
        </w:rPr>
        <w:t>；</w:t>
      </w:r>
    </w:p>
    <w:p w14:paraId="0F75F733">
      <w:pPr>
        <w:spacing w:after="60" w:afterLines="25" w:line="300" w:lineRule="auto"/>
        <w:ind w:firstLine="480" w:firstLineChars="200"/>
        <w:rPr>
          <w:rFonts w:ascii="仿宋" w:hAnsi="仿宋" w:eastAsia="仿宋" w:cs="仿宋"/>
          <w:sz w:val="24"/>
        </w:rPr>
      </w:pPr>
      <w:r>
        <w:rPr>
          <w:rFonts w:hint="eastAsia" w:ascii="仿宋" w:hAnsi="仿宋" w:eastAsia="仿宋" w:cs="仿宋"/>
          <w:sz w:val="24"/>
        </w:rPr>
        <w:t>2.</w:t>
      </w:r>
      <w:r>
        <w:rPr>
          <w:rFonts w:hint="eastAsia" w:ascii="仿宋" w:hAnsi="仿宋" w:eastAsia="仿宋" w:cs="仿宋"/>
          <w:b/>
          <w:bCs/>
          <w:sz w:val="24"/>
          <w:u w:val="single"/>
        </w:rPr>
        <w:t>（标的名称）</w:t>
      </w:r>
      <w:r>
        <w:rPr>
          <w:rFonts w:hint="eastAsia" w:ascii="仿宋" w:hAnsi="仿宋" w:eastAsia="仿宋" w:cs="仿宋"/>
          <w:sz w:val="24"/>
        </w:rPr>
        <w:t>，承接单位为</w:t>
      </w:r>
      <w:r>
        <w:rPr>
          <w:rFonts w:hint="eastAsia" w:ascii="仿宋" w:hAnsi="仿宋" w:eastAsia="仿宋" w:cs="仿宋"/>
          <w:b/>
          <w:bCs/>
          <w:sz w:val="24"/>
          <w:u w:val="single"/>
        </w:rPr>
        <w:t>（企业名称）</w:t>
      </w:r>
      <w:r>
        <w:rPr>
          <w:rFonts w:hint="eastAsia" w:ascii="仿宋" w:hAnsi="仿宋" w:eastAsia="仿宋" w:cs="仿宋"/>
          <w:sz w:val="24"/>
        </w:rPr>
        <w:t>，属于</w:t>
      </w:r>
      <w:r>
        <w:rPr>
          <w:rFonts w:hint="eastAsia" w:ascii="仿宋" w:hAnsi="仿宋" w:eastAsia="仿宋" w:cs="仿宋"/>
          <w:b/>
          <w:bCs/>
          <w:sz w:val="24"/>
          <w:u w:val="single"/>
        </w:rPr>
        <w:t>监狱企业</w:t>
      </w:r>
      <w:r>
        <w:rPr>
          <w:rFonts w:hint="eastAsia" w:ascii="仿宋" w:hAnsi="仿宋" w:eastAsia="仿宋" w:cs="仿宋"/>
          <w:sz w:val="24"/>
        </w:rPr>
        <w:t>。</w:t>
      </w:r>
    </w:p>
    <w:p w14:paraId="30E94326">
      <w:pPr>
        <w:spacing w:after="60" w:afterLines="25" w:line="300" w:lineRule="auto"/>
        <w:ind w:firstLine="480" w:firstLineChars="200"/>
        <w:rPr>
          <w:rFonts w:ascii="仿宋" w:hAnsi="仿宋" w:eastAsia="仿宋" w:cs="仿宋"/>
          <w:kern w:val="0"/>
          <w:sz w:val="24"/>
        </w:rPr>
      </w:pPr>
      <w:r>
        <w:rPr>
          <w:rFonts w:hint="eastAsia" w:ascii="仿宋" w:hAnsi="仿宋" w:eastAsia="仿宋" w:cs="仿宋"/>
          <w:sz w:val="24"/>
        </w:rPr>
        <w:t xml:space="preserve">…… </w:t>
      </w:r>
    </w:p>
    <w:p w14:paraId="7A609753">
      <w:pPr>
        <w:snapToGrid w:val="0"/>
        <w:spacing w:line="360" w:lineRule="auto"/>
        <w:ind w:left="1080" w:leftChars="257" w:hanging="540"/>
        <w:textAlignment w:val="baseline"/>
        <w:rPr>
          <w:rFonts w:ascii="仿宋" w:hAnsi="仿宋" w:eastAsia="仿宋" w:cs="仿宋"/>
          <w:kern w:val="0"/>
          <w:sz w:val="24"/>
        </w:rPr>
      </w:pPr>
      <w:r>
        <w:rPr>
          <w:rFonts w:hint="eastAsia" w:ascii="仿宋" w:hAnsi="仿宋" w:eastAsia="仿宋" w:cs="仿宋"/>
          <w:kern w:val="0"/>
          <w:sz w:val="24"/>
        </w:rPr>
        <w:t>本单位对上述声明的真实性负责。如有虚假，将依法承担相应责任。</w:t>
      </w:r>
    </w:p>
    <w:p w14:paraId="026197F4">
      <w:pPr>
        <w:snapToGrid w:val="0"/>
        <w:spacing w:line="360" w:lineRule="auto"/>
        <w:textAlignment w:val="baseline"/>
        <w:rPr>
          <w:rFonts w:ascii="仿宋" w:hAnsi="仿宋" w:eastAsia="仿宋" w:cs="仿宋"/>
          <w:kern w:val="0"/>
          <w:sz w:val="24"/>
        </w:rPr>
      </w:pPr>
    </w:p>
    <w:p w14:paraId="2BBEEBBA">
      <w:pPr>
        <w:snapToGrid w:val="0"/>
        <w:spacing w:line="360" w:lineRule="auto"/>
        <w:ind w:firstLine="482" w:firstLineChars="200"/>
        <w:textAlignment w:val="baseline"/>
        <w:rPr>
          <w:rFonts w:ascii="仿宋" w:hAnsi="仿宋" w:eastAsia="仿宋" w:cs="仿宋"/>
          <w:kern w:val="0"/>
          <w:sz w:val="24"/>
        </w:rPr>
      </w:pPr>
      <w:r>
        <w:rPr>
          <w:rFonts w:hint="eastAsia" w:ascii="仿宋" w:hAnsi="仿宋" w:eastAsia="仿宋" w:cs="仿宋"/>
          <w:b/>
          <w:sz w:val="24"/>
        </w:rPr>
        <w:t>附：省级以上监狱管理局、戒毒管理局（含新疆生产建设兵团）出具的监狱企业证明文件。</w:t>
      </w:r>
    </w:p>
    <w:p w14:paraId="554E2BF1">
      <w:pPr>
        <w:snapToGrid w:val="0"/>
        <w:spacing w:line="360" w:lineRule="auto"/>
        <w:ind w:left="1080" w:leftChars="257" w:hanging="540"/>
        <w:textAlignment w:val="baseline"/>
        <w:rPr>
          <w:rFonts w:ascii="仿宋" w:hAnsi="仿宋" w:eastAsia="仿宋" w:cs="仿宋"/>
          <w:kern w:val="0"/>
          <w:sz w:val="24"/>
        </w:rPr>
      </w:pPr>
    </w:p>
    <w:p w14:paraId="24B24CB3">
      <w:pPr>
        <w:snapToGrid w:val="0"/>
        <w:spacing w:line="360" w:lineRule="auto"/>
        <w:ind w:left="1080" w:leftChars="257" w:hanging="540"/>
        <w:textAlignment w:val="baseline"/>
        <w:rPr>
          <w:rFonts w:ascii="仿宋" w:hAnsi="仿宋" w:eastAsia="仿宋" w:cs="仿宋"/>
          <w:kern w:val="0"/>
          <w:sz w:val="24"/>
        </w:rPr>
      </w:pPr>
      <w:r>
        <w:rPr>
          <w:rFonts w:hint="eastAsia" w:ascii="仿宋" w:hAnsi="仿宋" w:eastAsia="仿宋" w:cs="仿宋"/>
          <w:kern w:val="0"/>
          <w:sz w:val="24"/>
        </w:rPr>
        <w:t>投标人（单位盖公章）：________</w:t>
      </w:r>
    </w:p>
    <w:p w14:paraId="07BD6EA3">
      <w:pPr>
        <w:ind w:firstLine="480" w:firstLineChars="200"/>
        <w:rPr>
          <w:rFonts w:ascii="仿宋" w:hAnsi="仿宋" w:eastAsia="仿宋" w:cs="仿宋"/>
        </w:rPr>
      </w:pPr>
      <w:r>
        <w:rPr>
          <w:rFonts w:hint="eastAsia" w:ascii="仿宋" w:hAnsi="仿宋" w:eastAsia="仿宋" w:cs="仿宋"/>
          <w:kern w:val="0"/>
          <w:sz w:val="24"/>
        </w:rPr>
        <w:t>日  期：_______</w:t>
      </w:r>
    </w:p>
    <w:p w14:paraId="7B24F4F8">
      <w:pPr>
        <w:spacing w:line="180" w:lineRule="auto"/>
        <w:ind w:left="3168"/>
        <w:rPr>
          <w:rFonts w:ascii="仿宋" w:hAnsi="仿宋" w:eastAsia="仿宋" w:cs="仿宋"/>
          <w:sz w:val="24"/>
        </w:rPr>
        <w:sectPr>
          <w:headerReference r:id="rId7" w:type="default"/>
          <w:footerReference r:id="rId8" w:type="default"/>
          <w:pgSz w:w="11906" w:h="16839"/>
          <w:pgMar w:top="1274" w:right="1728" w:bottom="1171" w:left="1785" w:header="852" w:footer="992" w:gutter="0"/>
          <w:cols w:space="720" w:num="1"/>
        </w:sectPr>
      </w:pPr>
    </w:p>
    <w:bookmarkEnd w:id="789"/>
    <w:bookmarkEnd w:id="790"/>
    <w:bookmarkEnd w:id="791"/>
    <w:bookmarkEnd w:id="792"/>
    <w:p w14:paraId="5674CA71">
      <w:pPr>
        <w:pStyle w:val="5"/>
        <w:widowControl/>
        <w:spacing w:before="0" w:after="0" w:line="288" w:lineRule="auto"/>
        <w:ind w:left="1079" w:leftChars="257" w:hanging="539"/>
        <w:jc w:val="center"/>
        <w:textAlignment w:val="baseline"/>
        <w:rPr>
          <w:rFonts w:ascii="仿宋" w:hAnsi="仿宋" w:eastAsia="仿宋" w:cs="仿宋"/>
          <w:u w:val="none"/>
        </w:rPr>
      </w:pPr>
      <w:bookmarkStart w:id="793" w:name="_Toc8798"/>
      <w:r>
        <w:rPr>
          <w:rFonts w:hint="eastAsia" w:ascii="仿宋" w:hAnsi="仿宋" w:eastAsia="仿宋" w:cs="仿宋"/>
          <w:u w:val="none"/>
        </w:rPr>
        <w:t>7、投标人关联单位的说明</w:t>
      </w:r>
      <w:bookmarkEnd w:id="793"/>
    </w:p>
    <w:p w14:paraId="7DE4A4C1">
      <w:pPr>
        <w:pStyle w:val="7"/>
        <w:snapToGrid w:val="0"/>
        <w:jc w:val="center"/>
        <w:textAlignment w:val="baseline"/>
        <w:rPr>
          <w:rFonts w:ascii="仿宋" w:hAnsi="仿宋" w:eastAsia="仿宋" w:cs="仿宋"/>
        </w:rPr>
      </w:pPr>
    </w:p>
    <w:p w14:paraId="2C6B3C7F">
      <w:pPr>
        <w:pStyle w:val="11"/>
        <w:spacing w:before="61" w:line="221" w:lineRule="auto"/>
        <w:ind w:left="2"/>
        <w:rPr>
          <w:rFonts w:ascii="仿宋" w:hAnsi="仿宋" w:eastAsia="仿宋" w:cs="仿宋"/>
        </w:rPr>
      </w:pPr>
      <w:r>
        <w:rPr>
          <w:rFonts w:hint="eastAsia" w:ascii="仿宋" w:hAnsi="仿宋" w:eastAsia="仿宋" w:cs="仿宋"/>
          <w:spacing w:val="11"/>
        </w:rPr>
        <w:t>致</w:t>
      </w:r>
      <w:r>
        <w:rPr>
          <w:rFonts w:hint="eastAsia" w:ascii="仿宋" w:hAnsi="仿宋" w:eastAsia="仿宋" w:cs="仿宋"/>
          <w:spacing w:val="-41"/>
        </w:rPr>
        <w:t>：</w:t>
      </w:r>
      <w:r>
        <w:rPr>
          <w:rFonts w:hint="eastAsia" w:ascii="仿宋" w:hAnsi="仿宋" w:eastAsia="仿宋" w:cs="仿宋"/>
          <w:spacing w:val="-41"/>
          <w:u w:val="single"/>
        </w:rPr>
        <w:t>（</w:t>
      </w:r>
      <w:r>
        <w:rPr>
          <w:rFonts w:hint="eastAsia" w:ascii="仿宋" w:hAnsi="仿宋" w:eastAsia="仿宋" w:cs="仿宋"/>
          <w:spacing w:val="11"/>
          <w:u w:val="single"/>
        </w:rPr>
        <w:t>采购人名称）</w:t>
      </w:r>
    </w:p>
    <w:p w14:paraId="1A4A00C0">
      <w:pPr>
        <w:pStyle w:val="11"/>
        <w:spacing w:before="61" w:line="226" w:lineRule="auto"/>
        <w:ind w:left="2" w:firstLine="478"/>
        <w:rPr>
          <w:rFonts w:ascii="仿宋" w:hAnsi="仿宋" w:eastAsia="仿宋" w:cs="仿宋"/>
        </w:rPr>
      </w:pPr>
      <w:r>
        <w:rPr>
          <w:rFonts w:hint="eastAsia" w:ascii="仿宋" w:hAnsi="仿宋" w:eastAsia="仿宋" w:cs="仿宋"/>
          <w:spacing w:val="-1"/>
        </w:rPr>
        <w:t>我方参加</w:t>
      </w:r>
      <w:r>
        <w:rPr>
          <w:rFonts w:hint="eastAsia" w:ascii="仿宋" w:hAnsi="仿宋" w:eastAsia="仿宋" w:cs="仿宋"/>
          <w:spacing w:val="-1"/>
          <w:u w:val="single"/>
        </w:rPr>
        <w:t xml:space="preserve">                （项目名称）</w:t>
      </w:r>
      <w:r>
        <w:rPr>
          <w:rFonts w:hint="eastAsia" w:ascii="仿宋" w:hAnsi="仿宋" w:eastAsia="仿宋" w:cs="仿宋"/>
          <w:spacing w:val="-1"/>
        </w:rPr>
        <w:t>的申请，根据法律法规维护投标公正性的相关规定，特</w:t>
      </w:r>
      <w:r>
        <w:rPr>
          <w:rFonts w:hint="eastAsia" w:ascii="仿宋" w:hAnsi="仿宋" w:eastAsia="仿宋" w:cs="仿宋"/>
        </w:rPr>
        <w:t>就本单位控股及管理关系情况申报如下，并承担申报</w:t>
      </w:r>
      <w:r>
        <w:rPr>
          <w:rFonts w:hint="eastAsia" w:ascii="仿宋" w:hAnsi="仿宋" w:eastAsia="仿宋" w:cs="仿宋"/>
          <w:spacing w:val="-1"/>
        </w:rPr>
        <w:t>不实的责任。</w:t>
      </w:r>
    </w:p>
    <w:tbl>
      <w:tblPr>
        <w:tblStyle w:val="103"/>
        <w:tblW w:w="5011"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2990"/>
        <w:gridCol w:w="2027"/>
        <w:gridCol w:w="3485"/>
      </w:tblGrid>
      <w:tr w14:paraId="351ED9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758" w:type="pct"/>
            <w:vAlign w:val="center"/>
          </w:tcPr>
          <w:p w14:paraId="50B2EB65">
            <w:pPr>
              <w:spacing w:before="100" w:line="183" w:lineRule="auto"/>
              <w:jc w:val="center"/>
              <w:rPr>
                <w:rFonts w:ascii="仿宋" w:hAnsi="仿宋" w:eastAsia="仿宋" w:cs="仿宋"/>
                <w:sz w:val="24"/>
              </w:rPr>
            </w:pPr>
            <w:r>
              <w:rPr>
                <w:rFonts w:hint="eastAsia" w:ascii="仿宋" w:hAnsi="仿宋" w:eastAsia="仿宋" w:cs="仿宋"/>
                <w:spacing w:val="-5"/>
                <w:sz w:val="24"/>
              </w:rPr>
              <w:t>申报人名称</w:t>
            </w:r>
          </w:p>
        </w:tc>
        <w:tc>
          <w:tcPr>
            <w:tcW w:w="3241" w:type="pct"/>
            <w:gridSpan w:val="2"/>
            <w:vAlign w:val="center"/>
          </w:tcPr>
          <w:p w14:paraId="1070A350">
            <w:pPr>
              <w:pStyle w:val="108"/>
              <w:jc w:val="left"/>
              <w:rPr>
                <w:rFonts w:ascii="仿宋" w:hAnsi="仿宋" w:eastAsia="仿宋" w:cs="仿宋"/>
                <w:sz w:val="24"/>
                <w:szCs w:val="24"/>
              </w:rPr>
            </w:pPr>
          </w:p>
        </w:tc>
      </w:tr>
      <w:tr w14:paraId="772ACA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trPr>
        <w:tc>
          <w:tcPr>
            <w:tcW w:w="1758" w:type="pct"/>
            <w:vMerge w:val="restart"/>
            <w:tcBorders>
              <w:bottom w:val="nil"/>
            </w:tcBorders>
            <w:vAlign w:val="center"/>
          </w:tcPr>
          <w:p w14:paraId="35B29BB4">
            <w:pPr>
              <w:spacing w:before="103" w:line="225" w:lineRule="auto"/>
              <w:jc w:val="center"/>
              <w:rPr>
                <w:rFonts w:ascii="仿宋" w:hAnsi="仿宋" w:eastAsia="仿宋" w:cs="仿宋"/>
                <w:sz w:val="24"/>
              </w:rPr>
            </w:pPr>
            <w:r>
              <w:rPr>
                <w:rFonts w:hint="eastAsia" w:ascii="仿宋" w:hAnsi="仿宋" w:eastAsia="仿宋" w:cs="仿宋"/>
                <w:spacing w:val="-1"/>
                <w:sz w:val="24"/>
              </w:rPr>
              <w:t>法定代表人/单位负责人</w:t>
            </w:r>
          </w:p>
        </w:tc>
        <w:tc>
          <w:tcPr>
            <w:tcW w:w="1192" w:type="pct"/>
            <w:vAlign w:val="center"/>
          </w:tcPr>
          <w:p w14:paraId="0BF9100E">
            <w:pPr>
              <w:spacing w:before="99" w:line="182" w:lineRule="auto"/>
              <w:jc w:val="left"/>
              <w:rPr>
                <w:rFonts w:ascii="仿宋" w:hAnsi="仿宋" w:eastAsia="仿宋" w:cs="仿宋"/>
                <w:sz w:val="24"/>
              </w:rPr>
            </w:pPr>
            <w:r>
              <w:rPr>
                <w:rFonts w:hint="eastAsia" w:ascii="仿宋" w:hAnsi="仿宋" w:eastAsia="仿宋" w:cs="仿宋"/>
                <w:spacing w:val="-2"/>
                <w:sz w:val="24"/>
              </w:rPr>
              <w:t>姓</w:t>
            </w:r>
            <w:r>
              <w:rPr>
                <w:rFonts w:hint="eastAsia" w:ascii="仿宋" w:hAnsi="仿宋" w:eastAsia="仿宋" w:cs="仿宋"/>
                <w:spacing w:val="9"/>
                <w:sz w:val="24"/>
              </w:rPr>
              <w:t xml:space="preserve">    </w:t>
            </w:r>
            <w:r>
              <w:rPr>
                <w:rFonts w:hint="eastAsia" w:ascii="仿宋" w:hAnsi="仿宋" w:eastAsia="仿宋" w:cs="仿宋"/>
                <w:spacing w:val="-2"/>
                <w:sz w:val="24"/>
              </w:rPr>
              <w:t>名</w:t>
            </w:r>
          </w:p>
        </w:tc>
        <w:tc>
          <w:tcPr>
            <w:tcW w:w="2049" w:type="pct"/>
            <w:vAlign w:val="center"/>
          </w:tcPr>
          <w:p w14:paraId="3E83F502">
            <w:pPr>
              <w:pStyle w:val="108"/>
              <w:jc w:val="left"/>
              <w:rPr>
                <w:rFonts w:ascii="仿宋" w:hAnsi="仿宋" w:eastAsia="仿宋" w:cs="仿宋"/>
                <w:sz w:val="24"/>
                <w:szCs w:val="24"/>
              </w:rPr>
            </w:pPr>
          </w:p>
        </w:tc>
      </w:tr>
      <w:tr w14:paraId="19DA2E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trPr>
        <w:tc>
          <w:tcPr>
            <w:tcW w:w="1758" w:type="pct"/>
            <w:vMerge w:val="continue"/>
            <w:tcBorders>
              <w:top w:val="nil"/>
            </w:tcBorders>
            <w:vAlign w:val="center"/>
          </w:tcPr>
          <w:p w14:paraId="324C66B1">
            <w:pPr>
              <w:pStyle w:val="108"/>
              <w:jc w:val="center"/>
              <w:rPr>
                <w:rFonts w:ascii="仿宋" w:hAnsi="仿宋" w:eastAsia="仿宋" w:cs="仿宋"/>
                <w:sz w:val="24"/>
                <w:szCs w:val="24"/>
              </w:rPr>
            </w:pPr>
          </w:p>
        </w:tc>
        <w:tc>
          <w:tcPr>
            <w:tcW w:w="1192" w:type="pct"/>
            <w:vAlign w:val="center"/>
          </w:tcPr>
          <w:p w14:paraId="567F00BA">
            <w:pPr>
              <w:spacing w:before="98" w:line="183" w:lineRule="auto"/>
              <w:jc w:val="left"/>
              <w:rPr>
                <w:rFonts w:ascii="仿宋" w:hAnsi="仿宋" w:eastAsia="仿宋" w:cs="仿宋"/>
                <w:sz w:val="24"/>
              </w:rPr>
            </w:pPr>
            <w:r>
              <w:rPr>
                <w:rFonts w:hint="eastAsia" w:ascii="仿宋" w:hAnsi="仿宋" w:eastAsia="仿宋" w:cs="仿宋"/>
                <w:spacing w:val="-2"/>
                <w:sz w:val="24"/>
              </w:rPr>
              <w:t>身份证号</w:t>
            </w:r>
          </w:p>
        </w:tc>
        <w:tc>
          <w:tcPr>
            <w:tcW w:w="2049" w:type="pct"/>
            <w:vAlign w:val="center"/>
          </w:tcPr>
          <w:p w14:paraId="1C54C022">
            <w:pPr>
              <w:pStyle w:val="108"/>
              <w:jc w:val="left"/>
              <w:rPr>
                <w:rFonts w:ascii="仿宋" w:hAnsi="仿宋" w:eastAsia="仿宋" w:cs="仿宋"/>
                <w:sz w:val="24"/>
                <w:szCs w:val="24"/>
              </w:rPr>
            </w:pPr>
          </w:p>
        </w:tc>
      </w:tr>
      <w:tr w14:paraId="5E6943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8" w:hRule="atLeast"/>
        </w:trPr>
        <w:tc>
          <w:tcPr>
            <w:tcW w:w="1758" w:type="pct"/>
            <w:vAlign w:val="center"/>
          </w:tcPr>
          <w:p w14:paraId="7F347D02">
            <w:pPr>
              <w:spacing w:before="59" w:line="224" w:lineRule="auto"/>
              <w:ind w:right="567"/>
              <w:jc w:val="center"/>
              <w:rPr>
                <w:rFonts w:ascii="仿宋" w:hAnsi="仿宋" w:eastAsia="仿宋" w:cs="仿宋"/>
                <w:sz w:val="24"/>
              </w:rPr>
            </w:pPr>
            <w:r>
              <w:rPr>
                <w:rFonts w:hint="eastAsia" w:ascii="仿宋" w:hAnsi="仿宋" w:eastAsia="仿宋" w:cs="仿宋"/>
                <w:spacing w:val="-1"/>
                <w:sz w:val="24"/>
              </w:rPr>
              <w:t xml:space="preserve">  控股股东/投资人名称及出资比例</w:t>
            </w:r>
          </w:p>
        </w:tc>
        <w:tc>
          <w:tcPr>
            <w:tcW w:w="3241" w:type="pct"/>
            <w:gridSpan w:val="2"/>
            <w:vAlign w:val="center"/>
          </w:tcPr>
          <w:p w14:paraId="48CF9112">
            <w:pPr>
              <w:pStyle w:val="108"/>
              <w:jc w:val="left"/>
              <w:rPr>
                <w:rFonts w:ascii="仿宋" w:hAnsi="仿宋" w:eastAsia="仿宋" w:cs="仿宋"/>
                <w:sz w:val="24"/>
                <w:szCs w:val="24"/>
                <w:lang w:eastAsia="zh-CN"/>
              </w:rPr>
            </w:pPr>
          </w:p>
        </w:tc>
      </w:tr>
      <w:tr w14:paraId="78092F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7" w:hRule="atLeast"/>
        </w:trPr>
        <w:tc>
          <w:tcPr>
            <w:tcW w:w="1758" w:type="pct"/>
            <w:vAlign w:val="center"/>
          </w:tcPr>
          <w:p w14:paraId="7DE53E46">
            <w:pPr>
              <w:spacing w:before="55" w:line="222" w:lineRule="auto"/>
              <w:ind w:right="447"/>
              <w:jc w:val="center"/>
              <w:rPr>
                <w:rFonts w:ascii="仿宋" w:hAnsi="仿宋" w:eastAsia="仿宋" w:cs="仿宋"/>
                <w:sz w:val="24"/>
              </w:rPr>
            </w:pPr>
            <w:r>
              <w:rPr>
                <w:rFonts w:hint="eastAsia" w:ascii="仿宋" w:hAnsi="仿宋" w:eastAsia="仿宋" w:cs="仿宋"/>
                <w:spacing w:val="-1"/>
                <w:sz w:val="24"/>
              </w:rPr>
              <w:t xml:space="preserve">  非控股股东/投资人名称及出资比例</w:t>
            </w:r>
          </w:p>
        </w:tc>
        <w:tc>
          <w:tcPr>
            <w:tcW w:w="3241" w:type="pct"/>
            <w:gridSpan w:val="2"/>
            <w:vAlign w:val="center"/>
          </w:tcPr>
          <w:p w14:paraId="65E1798F">
            <w:pPr>
              <w:pStyle w:val="108"/>
              <w:jc w:val="left"/>
              <w:rPr>
                <w:rFonts w:ascii="仿宋" w:hAnsi="仿宋" w:eastAsia="仿宋" w:cs="仿宋"/>
                <w:sz w:val="24"/>
                <w:szCs w:val="24"/>
                <w:lang w:eastAsia="zh-CN"/>
              </w:rPr>
            </w:pPr>
          </w:p>
        </w:tc>
      </w:tr>
      <w:tr w14:paraId="28F8F1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1758" w:type="pct"/>
            <w:vMerge w:val="restart"/>
            <w:tcBorders>
              <w:bottom w:val="nil"/>
            </w:tcBorders>
            <w:vAlign w:val="center"/>
          </w:tcPr>
          <w:p w14:paraId="400A40D5">
            <w:pPr>
              <w:spacing w:before="103" w:line="183" w:lineRule="auto"/>
              <w:jc w:val="center"/>
              <w:rPr>
                <w:rFonts w:ascii="仿宋" w:hAnsi="仿宋" w:eastAsia="仿宋" w:cs="仿宋"/>
                <w:sz w:val="24"/>
              </w:rPr>
            </w:pPr>
            <w:r>
              <w:rPr>
                <w:rFonts w:hint="eastAsia" w:ascii="仿宋" w:hAnsi="仿宋" w:eastAsia="仿宋" w:cs="仿宋"/>
                <w:spacing w:val="-1"/>
                <w:sz w:val="24"/>
              </w:rPr>
              <w:t>管理关系单位名称</w:t>
            </w:r>
          </w:p>
        </w:tc>
        <w:tc>
          <w:tcPr>
            <w:tcW w:w="1192" w:type="pct"/>
            <w:vAlign w:val="center"/>
          </w:tcPr>
          <w:p w14:paraId="5714A2E3">
            <w:pPr>
              <w:spacing w:before="99" w:line="183" w:lineRule="auto"/>
              <w:jc w:val="left"/>
              <w:rPr>
                <w:rFonts w:ascii="仿宋" w:hAnsi="仿宋" w:eastAsia="仿宋" w:cs="仿宋"/>
                <w:sz w:val="24"/>
              </w:rPr>
            </w:pPr>
            <w:r>
              <w:rPr>
                <w:rFonts w:hint="eastAsia" w:ascii="仿宋" w:hAnsi="仿宋" w:eastAsia="仿宋" w:cs="仿宋"/>
                <w:spacing w:val="-1"/>
                <w:sz w:val="24"/>
              </w:rPr>
              <w:t>管理关系单位名称</w:t>
            </w:r>
          </w:p>
        </w:tc>
        <w:tc>
          <w:tcPr>
            <w:tcW w:w="2049" w:type="pct"/>
            <w:vAlign w:val="center"/>
          </w:tcPr>
          <w:p w14:paraId="149F8C08">
            <w:pPr>
              <w:pStyle w:val="108"/>
              <w:jc w:val="left"/>
              <w:rPr>
                <w:rFonts w:ascii="仿宋" w:hAnsi="仿宋" w:eastAsia="仿宋" w:cs="仿宋"/>
                <w:sz w:val="24"/>
                <w:szCs w:val="24"/>
              </w:rPr>
            </w:pPr>
          </w:p>
        </w:tc>
      </w:tr>
      <w:tr w14:paraId="476064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2" w:hRule="atLeast"/>
        </w:trPr>
        <w:tc>
          <w:tcPr>
            <w:tcW w:w="1758" w:type="pct"/>
            <w:vMerge w:val="continue"/>
            <w:tcBorders>
              <w:top w:val="nil"/>
            </w:tcBorders>
            <w:vAlign w:val="center"/>
          </w:tcPr>
          <w:p w14:paraId="670AF09C">
            <w:pPr>
              <w:pStyle w:val="108"/>
              <w:jc w:val="center"/>
              <w:rPr>
                <w:rFonts w:ascii="仿宋" w:hAnsi="仿宋" w:eastAsia="仿宋" w:cs="仿宋"/>
                <w:sz w:val="24"/>
                <w:szCs w:val="24"/>
              </w:rPr>
            </w:pPr>
          </w:p>
        </w:tc>
        <w:tc>
          <w:tcPr>
            <w:tcW w:w="1192" w:type="pct"/>
            <w:vAlign w:val="center"/>
          </w:tcPr>
          <w:p w14:paraId="2D001202">
            <w:pPr>
              <w:spacing w:before="100" w:line="183" w:lineRule="auto"/>
              <w:jc w:val="left"/>
              <w:rPr>
                <w:rFonts w:ascii="仿宋" w:hAnsi="仿宋" w:eastAsia="仿宋" w:cs="仿宋"/>
                <w:sz w:val="24"/>
              </w:rPr>
            </w:pPr>
            <w:r>
              <w:rPr>
                <w:rFonts w:hint="eastAsia" w:ascii="仿宋" w:hAnsi="仿宋" w:eastAsia="仿宋" w:cs="仿宋"/>
                <w:spacing w:val="-1"/>
                <w:sz w:val="24"/>
              </w:rPr>
              <w:t>被管理关系单位名称</w:t>
            </w:r>
          </w:p>
        </w:tc>
        <w:tc>
          <w:tcPr>
            <w:tcW w:w="2049" w:type="pct"/>
            <w:vAlign w:val="center"/>
          </w:tcPr>
          <w:p w14:paraId="6FF5D5E4">
            <w:pPr>
              <w:pStyle w:val="108"/>
              <w:jc w:val="left"/>
              <w:rPr>
                <w:rFonts w:ascii="仿宋" w:hAnsi="仿宋" w:eastAsia="仿宋" w:cs="仿宋"/>
                <w:sz w:val="24"/>
                <w:szCs w:val="24"/>
              </w:rPr>
            </w:pPr>
          </w:p>
        </w:tc>
      </w:tr>
      <w:tr w14:paraId="75D2BC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0" w:hRule="atLeast"/>
        </w:trPr>
        <w:tc>
          <w:tcPr>
            <w:tcW w:w="1758" w:type="pct"/>
            <w:vAlign w:val="center"/>
          </w:tcPr>
          <w:p w14:paraId="3E4A2BB3">
            <w:pPr>
              <w:spacing w:before="134" w:line="184" w:lineRule="auto"/>
              <w:jc w:val="center"/>
              <w:rPr>
                <w:rFonts w:ascii="仿宋" w:hAnsi="仿宋" w:eastAsia="仿宋" w:cs="仿宋"/>
                <w:sz w:val="24"/>
              </w:rPr>
            </w:pPr>
            <w:r>
              <w:rPr>
                <w:rFonts w:hint="eastAsia" w:ascii="仿宋" w:hAnsi="仿宋" w:eastAsia="仿宋" w:cs="仿宋"/>
                <w:spacing w:val="-1"/>
                <w:sz w:val="24"/>
              </w:rPr>
              <w:t>备注</w:t>
            </w:r>
          </w:p>
        </w:tc>
        <w:tc>
          <w:tcPr>
            <w:tcW w:w="3241" w:type="pct"/>
            <w:gridSpan w:val="2"/>
            <w:vAlign w:val="center"/>
          </w:tcPr>
          <w:p w14:paraId="6E5EC224">
            <w:pPr>
              <w:pStyle w:val="108"/>
              <w:jc w:val="left"/>
              <w:rPr>
                <w:rFonts w:ascii="仿宋" w:hAnsi="仿宋" w:eastAsia="仿宋" w:cs="仿宋"/>
                <w:sz w:val="24"/>
                <w:szCs w:val="24"/>
              </w:rPr>
            </w:pPr>
          </w:p>
        </w:tc>
      </w:tr>
    </w:tbl>
    <w:p w14:paraId="3FAC700C">
      <w:pPr>
        <w:pStyle w:val="11"/>
        <w:spacing w:before="61" w:line="226" w:lineRule="auto"/>
        <w:ind w:left="2" w:firstLine="478"/>
        <w:rPr>
          <w:rFonts w:ascii="仿宋" w:hAnsi="仿宋" w:eastAsia="仿宋" w:cs="仿宋"/>
          <w:spacing w:val="-1"/>
        </w:rPr>
      </w:pPr>
      <w:r>
        <w:rPr>
          <w:rFonts w:hint="eastAsia" w:ascii="仿宋" w:hAnsi="仿宋" w:eastAsia="仿宋" w:cs="仿宋"/>
        </w:rPr>
        <w:t>注：</w:t>
      </w:r>
      <w:r>
        <w:rPr>
          <w:rFonts w:hint="eastAsia" w:ascii="仿宋" w:hAnsi="仿宋" w:eastAsia="仿宋" w:cs="仿宋"/>
          <w:spacing w:val="-1"/>
        </w:rPr>
        <w:t>投标人应当如实披露与本单位存在下列关联关系的单位名称</w:t>
      </w:r>
    </w:p>
    <w:p w14:paraId="7A3F354F">
      <w:pPr>
        <w:pStyle w:val="11"/>
        <w:spacing w:before="61" w:line="226" w:lineRule="auto"/>
        <w:ind w:left="2" w:firstLine="478"/>
        <w:rPr>
          <w:rFonts w:ascii="仿宋" w:hAnsi="仿宋" w:eastAsia="仿宋" w:cs="仿宋"/>
        </w:rPr>
      </w:pPr>
      <w:r>
        <w:rPr>
          <w:rFonts w:hint="eastAsia" w:ascii="仿宋" w:hAnsi="仿宋" w:eastAsia="仿宋" w:cs="仿宋"/>
        </w:rPr>
        <w:t>1.控股股东/投资人是指出资比例在50%以上，或者出资比例不足50%，但享有公司股东会/董事会控制权的投资方（含单位或者个人）；</w:t>
      </w:r>
    </w:p>
    <w:p w14:paraId="40057316">
      <w:pPr>
        <w:pStyle w:val="11"/>
        <w:spacing w:before="61" w:line="226" w:lineRule="auto"/>
        <w:ind w:left="2" w:firstLine="478"/>
        <w:rPr>
          <w:rFonts w:ascii="仿宋" w:hAnsi="仿宋" w:eastAsia="仿宋" w:cs="仿宋"/>
        </w:rPr>
      </w:pPr>
      <w:r>
        <w:rPr>
          <w:rFonts w:hint="eastAsia" w:ascii="仿宋" w:hAnsi="仿宋" w:eastAsia="仿宋" w:cs="仿宋"/>
        </w:rPr>
        <w:t>2.管理关系单位是指与不具有出资持股关系的其他单位之间存在管理与被管理关系的单位；</w:t>
      </w:r>
    </w:p>
    <w:p w14:paraId="7F763466">
      <w:pPr>
        <w:pStyle w:val="11"/>
        <w:spacing w:before="61" w:line="226" w:lineRule="auto"/>
        <w:ind w:left="2" w:firstLine="478"/>
        <w:rPr>
          <w:rFonts w:ascii="仿宋" w:hAnsi="仿宋" w:eastAsia="仿宋" w:cs="仿宋"/>
        </w:rPr>
      </w:pPr>
      <w:bookmarkStart w:id="794" w:name="_Toc19053"/>
      <w:r>
        <w:rPr>
          <w:rFonts w:hint="eastAsia" w:ascii="仿宋" w:hAnsi="仿宋" w:eastAsia="仿宋" w:cs="仿宋"/>
        </w:rPr>
        <w:t>3.如未有相关情况，请在相应栏填写“无”。</w:t>
      </w:r>
      <w:bookmarkEnd w:id="794"/>
    </w:p>
    <w:p w14:paraId="05B2AB24">
      <w:pPr>
        <w:pStyle w:val="11"/>
        <w:spacing w:before="61" w:line="226" w:lineRule="auto"/>
        <w:ind w:left="2" w:firstLine="478"/>
        <w:rPr>
          <w:rFonts w:ascii="仿宋" w:hAnsi="仿宋" w:eastAsia="仿宋" w:cs="仿宋"/>
          <w:u w:val="single"/>
        </w:rPr>
      </w:pPr>
      <w:r>
        <w:rPr>
          <w:rFonts w:hint="eastAsia" w:ascii="仿宋" w:hAnsi="仿宋" w:eastAsia="仿宋" w:cs="仿宋"/>
        </w:rPr>
        <w:t xml:space="preserve">投标人名称（单位盖公章）:   </w:t>
      </w:r>
      <w:r>
        <w:rPr>
          <w:rFonts w:hint="eastAsia" w:ascii="仿宋" w:hAnsi="仿宋" w:eastAsia="仿宋" w:cs="仿宋"/>
          <w:u w:val="single"/>
        </w:rPr>
        <w:t xml:space="preserve">                               </w:t>
      </w:r>
    </w:p>
    <w:p w14:paraId="28396CF0">
      <w:pPr>
        <w:pStyle w:val="11"/>
        <w:spacing w:before="61" w:line="226" w:lineRule="auto"/>
        <w:ind w:left="2" w:firstLine="478"/>
        <w:rPr>
          <w:rFonts w:ascii="仿宋" w:hAnsi="仿宋" w:eastAsia="仿宋" w:cs="仿宋"/>
        </w:rPr>
      </w:pPr>
      <w:r>
        <w:rPr>
          <w:rFonts w:hint="eastAsia" w:ascii="仿宋" w:hAnsi="仿宋" w:eastAsia="仿宋" w:cs="仿宋"/>
        </w:rPr>
        <w:t xml:space="preserve">法定代表人或委托代理人(签字或盖章):  </w:t>
      </w:r>
      <w:r>
        <w:rPr>
          <w:rFonts w:hint="eastAsia" w:ascii="仿宋" w:hAnsi="仿宋" w:eastAsia="仿宋" w:cs="仿宋"/>
          <w:u w:val="single"/>
        </w:rPr>
        <w:t xml:space="preserve">                               </w:t>
      </w:r>
      <w:r>
        <w:rPr>
          <w:rFonts w:hint="eastAsia" w:ascii="仿宋" w:hAnsi="仿宋" w:eastAsia="仿宋" w:cs="仿宋"/>
        </w:rPr>
        <w:t xml:space="preserve">                                 </w:t>
      </w:r>
    </w:p>
    <w:p w14:paraId="2B03D3C2">
      <w:pPr>
        <w:pStyle w:val="11"/>
        <w:spacing w:before="61" w:line="226" w:lineRule="auto"/>
        <w:ind w:left="2" w:firstLine="478"/>
        <w:rPr>
          <w:rFonts w:ascii="仿宋" w:hAnsi="仿宋" w:eastAsia="仿宋" w:cs="仿宋"/>
        </w:rPr>
      </w:pPr>
      <w:r>
        <w:rPr>
          <w:rFonts w:hint="eastAsia" w:ascii="仿宋" w:hAnsi="仿宋" w:eastAsia="仿宋" w:cs="仿宋"/>
        </w:rPr>
        <w:t>日期：       年        月     日</w:t>
      </w:r>
    </w:p>
    <w:p w14:paraId="49A10D35">
      <w:pPr>
        <w:pStyle w:val="25"/>
        <w:textAlignment w:val="baseline"/>
        <w:rPr>
          <w:rFonts w:ascii="仿宋" w:hAnsi="仿宋" w:eastAsia="仿宋" w:cs="仿宋"/>
          <w:b/>
          <w:kern w:val="0"/>
          <w:sz w:val="24"/>
          <w:szCs w:val="20"/>
        </w:rPr>
      </w:pPr>
    </w:p>
    <w:p w14:paraId="621963E5">
      <w:pPr>
        <w:pStyle w:val="11"/>
        <w:rPr>
          <w:rFonts w:ascii="仿宋" w:hAnsi="仿宋" w:eastAsia="仿宋" w:cs="仿宋"/>
        </w:rPr>
      </w:pPr>
    </w:p>
    <w:p w14:paraId="00C32D93">
      <w:pPr>
        <w:rPr>
          <w:rFonts w:ascii="仿宋" w:hAnsi="仿宋" w:eastAsia="仿宋" w:cs="仿宋"/>
          <w:b/>
          <w:kern w:val="0"/>
          <w:sz w:val="24"/>
          <w:szCs w:val="20"/>
        </w:rPr>
      </w:pPr>
      <w:bookmarkStart w:id="795" w:name="_Toc793"/>
      <w:bookmarkStart w:id="796" w:name="_Toc30965"/>
      <w:bookmarkStart w:id="797" w:name="_Toc26379"/>
      <w:bookmarkStart w:id="798" w:name="_Toc17479"/>
      <w:bookmarkStart w:id="799" w:name="_Toc25797"/>
      <w:bookmarkStart w:id="800" w:name="_Toc28623"/>
      <w:bookmarkStart w:id="801" w:name="_Toc16143"/>
      <w:r>
        <w:rPr>
          <w:rFonts w:hint="eastAsia" w:ascii="仿宋" w:hAnsi="仿宋" w:eastAsia="仿宋" w:cs="仿宋"/>
          <w:b/>
          <w:kern w:val="0"/>
          <w:sz w:val="24"/>
          <w:szCs w:val="20"/>
        </w:rPr>
        <w:br w:type="page"/>
      </w:r>
    </w:p>
    <w:p w14:paraId="2237EC68">
      <w:pPr>
        <w:pStyle w:val="25"/>
        <w:ind w:left="482" w:hanging="482" w:hangingChars="200"/>
        <w:jc w:val="center"/>
        <w:textAlignment w:val="baseline"/>
        <w:rPr>
          <w:rFonts w:ascii="仿宋" w:hAnsi="仿宋" w:eastAsia="仿宋" w:cs="仿宋"/>
          <w:b/>
          <w:kern w:val="0"/>
          <w:sz w:val="24"/>
          <w:szCs w:val="20"/>
        </w:rPr>
      </w:pPr>
      <w:r>
        <w:rPr>
          <w:rFonts w:hint="eastAsia" w:ascii="仿宋" w:hAnsi="仿宋" w:eastAsia="仿宋" w:cs="仿宋"/>
          <w:b/>
          <w:kern w:val="0"/>
          <w:sz w:val="24"/>
          <w:szCs w:val="20"/>
        </w:rPr>
        <w:t>8</w:t>
      </w:r>
      <w:bookmarkEnd w:id="795"/>
      <w:bookmarkEnd w:id="796"/>
      <w:bookmarkEnd w:id="797"/>
      <w:bookmarkEnd w:id="798"/>
      <w:bookmarkEnd w:id="799"/>
      <w:bookmarkEnd w:id="800"/>
      <w:bookmarkEnd w:id="801"/>
      <w:r>
        <w:rPr>
          <w:rFonts w:hint="eastAsia" w:ascii="仿宋" w:hAnsi="仿宋" w:eastAsia="仿宋" w:cs="仿宋"/>
          <w:b/>
          <w:kern w:val="0"/>
          <w:sz w:val="24"/>
          <w:szCs w:val="20"/>
        </w:rPr>
        <w:t>、投标保证金有效缴纳凭证</w:t>
      </w:r>
    </w:p>
    <w:p w14:paraId="0BA745B4">
      <w:pPr>
        <w:pStyle w:val="11"/>
        <w:spacing w:before="0" w:line="240" w:lineRule="auto"/>
        <w:rPr>
          <w:rFonts w:ascii="仿宋" w:hAnsi="仿宋" w:eastAsia="仿宋" w:cs="仿宋"/>
        </w:rPr>
      </w:pPr>
      <w:bookmarkStart w:id="802" w:name="_Toc283"/>
      <w:bookmarkStart w:id="803" w:name="_Toc9043"/>
      <w:bookmarkStart w:id="804" w:name="_Toc31553"/>
      <w:bookmarkStart w:id="805" w:name="_Toc26225"/>
      <w:bookmarkStart w:id="806" w:name="_Toc22391"/>
      <w:bookmarkStart w:id="807" w:name="_Toc15737"/>
      <w:bookmarkStart w:id="808" w:name="_Toc9667"/>
      <w:r>
        <w:rPr>
          <w:rFonts w:hint="eastAsia" w:ascii="仿宋" w:hAnsi="仿宋" w:eastAsia="仿宋" w:cs="仿宋"/>
        </w:rPr>
        <w:t>说明：</w:t>
      </w:r>
    </w:p>
    <w:p w14:paraId="7592CB6C">
      <w:pPr>
        <w:pStyle w:val="11"/>
        <w:spacing w:before="0" w:line="240" w:lineRule="auto"/>
        <w:rPr>
          <w:rFonts w:ascii="仿宋" w:hAnsi="仿宋" w:eastAsia="仿宋" w:cs="仿宋"/>
        </w:rPr>
      </w:pPr>
      <w:r>
        <w:rPr>
          <w:rFonts w:hint="eastAsia" w:ascii="仿宋" w:hAnsi="仿宋" w:eastAsia="仿宋" w:cs="仿宋"/>
        </w:rPr>
        <w:t>投标人可将本项目投标保证金支付的汇款凭证、支票、汇票、本票或者金融机构、担保机构出具的保函等非现金形式提交的扫描件作为缴纳凭证装订在本部分，扫描件上应加盖本单位公章；使用电子保函、银行保函等其他投标担保函的，应将保函扫描件装订在本部分；扫描件上应加盖本单位公章；</w:t>
      </w:r>
      <w:r>
        <w:rPr>
          <w:rFonts w:hint="eastAsia" w:ascii="仿宋" w:hAnsi="仿宋" w:eastAsia="仿宋" w:cs="仿宋"/>
          <w:b/>
          <w:bCs/>
        </w:rPr>
        <w:t>投标人未按招标文件要求提交投标保证金的，投标无效。</w:t>
      </w:r>
    </w:p>
    <w:p w14:paraId="39CAA2A4">
      <w:pPr>
        <w:pStyle w:val="11"/>
        <w:ind w:firstLine="241" w:firstLineChars="100"/>
        <w:rPr>
          <w:rFonts w:ascii="仿宋" w:hAnsi="仿宋" w:eastAsia="仿宋" w:cs="仿宋"/>
          <w:b/>
          <w:bCs/>
        </w:rPr>
      </w:pPr>
      <w:r>
        <w:rPr>
          <w:rFonts w:hint="eastAsia" w:ascii="仿宋" w:hAnsi="仿宋" w:eastAsia="仿宋" w:cs="仿宋"/>
          <w:b/>
          <w:bCs/>
        </w:rPr>
        <w:t>注：</w:t>
      </w:r>
      <w:r>
        <w:rPr>
          <w:rFonts w:hint="eastAsia" w:cs="仿宋"/>
          <w:b/>
          <w:bCs/>
        </w:rPr>
        <w:t>（</w:t>
      </w:r>
      <w:r>
        <w:rPr>
          <w:rFonts w:hint="eastAsia" w:ascii="仿宋" w:hAnsi="仿宋" w:eastAsia="仿宋" w:cs="仿宋"/>
          <w:b/>
          <w:bCs/>
        </w:rPr>
        <w:t>另附银行开户许可证或基本账户信息</w:t>
      </w:r>
      <w:r>
        <w:rPr>
          <w:rFonts w:hint="eastAsia" w:cs="仿宋"/>
          <w:b/>
          <w:bCs/>
        </w:rPr>
        <w:t>、</w:t>
      </w:r>
      <w:r>
        <w:rPr>
          <w:rFonts w:hint="eastAsia" w:ascii="仿宋" w:hAnsi="仿宋" w:eastAsia="仿宋" w:cs="仿宋"/>
          <w:b/>
          <w:bCs/>
        </w:rPr>
        <w:t>增值税专用发票或普通发票开票信息并注明如成交后服务费开票种类</w:t>
      </w:r>
      <w:r>
        <w:rPr>
          <w:rFonts w:hint="eastAsia" w:cs="仿宋"/>
          <w:b/>
          <w:bCs/>
        </w:rPr>
        <w:t>。）</w:t>
      </w:r>
    </w:p>
    <w:p w14:paraId="6F8994DB">
      <w:pPr>
        <w:jc w:val="center"/>
        <w:rPr>
          <w:rFonts w:ascii="仿宋" w:hAnsi="仿宋" w:eastAsia="仿宋" w:cs="仿宋"/>
          <w:sz w:val="28"/>
          <w:szCs w:val="28"/>
        </w:rPr>
      </w:pPr>
    </w:p>
    <w:p w14:paraId="1BBDEEDC">
      <w:pPr>
        <w:jc w:val="center"/>
        <w:rPr>
          <w:rFonts w:ascii="仿宋" w:hAnsi="仿宋" w:eastAsia="仿宋" w:cs="仿宋"/>
          <w:sz w:val="24"/>
        </w:rPr>
      </w:pPr>
      <w:r>
        <w:rPr>
          <w:rFonts w:hint="eastAsia" w:ascii="仿宋" w:hAnsi="仿宋" w:eastAsia="仿宋" w:cs="仿宋"/>
          <w:sz w:val="24"/>
        </w:rPr>
        <w:t>政府采购投标担保函</w:t>
      </w:r>
    </w:p>
    <w:p w14:paraId="0605BE82">
      <w:pPr>
        <w:ind w:firstLine="7680" w:firstLineChars="3200"/>
        <w:rPr>
          <w:rFonts w:ascii="仿宋" w:hAnsi="仿宋" w:eastAsia="仿宋" w:cs="仿宋"/>
          <w:sz w:val="24"/>
        </w:rPr>
      </w:pPr>
      <w:r>
        <w:rPr>
          <w:rFonts w:hint="eastAsia" w:ascii="仿宋" w:hAnsi="仿宋" w:eastAsia="仿宋" w:cs="仿宋"/>
          <w:sz w:val="24"/>
        </w:rPr>
        <w:t>编号：</w:t>
      </w:r>
    </w:p>
    <w:p w14:paraId="62149F70">
      <w:pPr>
        <w:tabs>
          <w:tab w:val="left" w:pos="6669"/>
        </w:tabs>
        <w:rPr>
          <w:rFonts w:ascii="仿宋" w:hAnsi="仿宋" w:eastAsia="仿宋" w:cs="仿宋"/>
          <w:sz w:val="24"/>
        </w:rPr>
      </w:pPr>
      <w:r>
        <w:rPr>
          <w:rFonts w:hint="eastAsia" w:ascii="仿宋" w:hAnsi="仿宋" w:eastAsia="仿宋" w:cs="仿宋"/>
          <w:sz w:val="24"/>
          <w:u w:val="single"/>
        </w:rPr>
        <w:t xml:space="preserve">                  </w:t>
      </w:r>
      <w:r>
        <w:rPr>
          <w:rFonts w:hint="eastAsia" w:ascii="仿宋" w:hAnsi="仿宋" w:eastAsia="仿宋" w:cs="仿宋"/>
          <w:sz w:val="24"/>
        </w:rPr>
        <w:t>（采购人或采购代理机构）：</w:t>
      </w:r>
      <w:r>
        <w:rPr>
          <w:rFonts w:hint="eastAsia" w:ascii="仿宋" w:hAnsi="仿宋" w:eastAsia="仿宋" w:cs="仿宋"/>
          <w:sz w:val="24"/>
        </w:rPr>
        <w:tab/>
      </w:r>
    </w:p>
    <w:p w14:paraId="56E7428B">
      <w:pPr>
        <w:rPr>
          <w:rFonts w:ascii="仿宋" w:hAnsi="仿宋" w:eastAsia="仿宋" w:cs="仿宋"/>
          <w:sz w:val="24"/>
        </w:rPr>
      </w:pPr>
    </w:p>
    <w:p w14:paraId="41C8B423">
      <w:pPr>
        <w:ind w:firstLine="480" w:firstLineChars="200"/>
        <w:rPr>
          <w:rFonts w:ascii="仿宋" w:hAnsi="仿宋" w:eastAsia="仿宋" w:cs="仿宋"/>
          <w:sz w:val="24"/>
        </w:rPr>
      </w:pPr>
      <w:r>
        <w:rPr>
          <w:rFonts w:hint="eastAsia" w:ascii="仿宋" w:hAnsi="仿宋" w:eastAsia="仿宋" w:cs="仿宋"/>
          <w:sz w:val="24"/>
        </w:rPr>
        <w:t>鉴于</w:t>
      </w:r>
      <w:r>
        <w:rPr>
          <w:rFonts w:hint="eastAsia" w:ascii="仿宋" w:hAnsi="仿宋" w:eastAsia="仿宋" w:cs="仿宋"/>
          <w:sz w:val="24"/>
          <w:u w:val="single"/>
        </w:rPr>
        <w:t xml:space="preserve">               </w:t>
      </w:r>
      <w:r>
        <w:rPr>
          <w:rFonts w:hint="eastAsia" w:ascii="仿宋" w:hAnsi="仿宋" w:eastAsia="仿宋" w:cs="仿宋"/>
          <w:sz w:val="24"/>
        </w:rPr>
        <w:t>（以下简称“投标人”）拟参加编号为</w:t>
      </w:r>
      <w:r>
        <w:rPr>
          <w:rFonts w:hint="eastAsia" w:ascii="仿宋" w:hAnsi="仿宋" w:eastAsia="仿宋" w:cs="仿宋"/>
          <w:sz w:val="24"/>
          <w:u w:val="single"/>
        </w:rPr>
        <w:t xml:space="preserve">            </w:t>
      </w:r>
      <w:r>
        <w:rPr>
          <w:rFonts w:hint="eastAsia" w:ascii="仿宋" w:hAnsi="仿宋" w:eastAsia="仿宋" w:cs="仿宋"/>
          <w:sz w:val="24"/>
        </w:rPr>
        <w:t>的</w:t>
      </w:r>
      <w:r>
        <w:rPr>
          <w:rFonts w:hint="eastAsia" w:ascii="仿宋" w:hAnsi="仿宋" w:eastAsia="仿宋" w:cs="仿宋"/>
          <w:sz w:val="24"/>
          <w:u w:val="single"/>
        </w:rPr>
        <w:t xml:space="preserve">        </w:t>
      </w:r>
    </w:p>
    <w:p w14:paraId="114B00A2">
      <w:pPr>
        <w:rPr>
          <w:rFonts w:ascii="仿宋" w:hAnsi="仿宋" w:eastAsia="仿宋" w:cs="仿宋"/>
          <w:sz w:val="24"/>
        </w:rPr>
      </w:pPr>
      <w:r>
        <w:rPr>
          <w:rFonts w:hint="eastAsia" w:ascii="仿宋" w:hAnsi="仿宋" w:eastAsia="仿宋" w:cs="仿宋"/>
          <w:sz w:val="24"/>
        </w:rPr>
        <w:t>项目（以下简称“本项目”）投标，根据本项目招标文件，投标人参加投标时应向你方交纳投标保证金，且可以投标担保函的形式交纳投标保证金。应投标人的申请，我方以保证的方式向你方提供如下投标保证金担保：</w:t>
      </w:r>
    </w:p>
    <w:p w14:paraId="362CB3DD">
      <w:pPr>
        <w:ind w:firstLine="480" w:firstLineChars="200"/>
        <w:rPr>
          <w:rFonts w:ascii="仿宋" w:hAnsi="仿宋" w:eastAsia="仿宋" w:cs="仿宋"/>
          <w:sz w:val="24"/>
        </w:rPr>
      </w:pPr>
      <w:r>
        <w:rPr>
          <w:rFonts w:hint="eastAsia" w:ascii="仿宋" w:hAnsi="仿宋" w:eastAsia="仿宋" w:cs="仿宋"/>
          <w:sz w:val="24"/>
        </w:rPr>
        <w:t>一、保证责任的情形及保证金额</w:t>
      </w:r>
    </w:p>
    <w:p w14:paraId="7FBB86D7">
      <w:pPr>
        <w:ind w:firstLine="240" w:firstLineChars="100"/>
        <w:rPr>
          <w:rFonts w:ascii="仿宋" w:hAnsi="仿宋" w:eastAsia="仿宋" w:cs="仿宋"/>
          <w:sz w:val="24"/>
        </w:rPr>
      </w:pPr>
      <w:r>
        <w:rPr>
          <w:rFonts w:hint="eastAsia" w:ascii="仿宋" w:hAnsi="仿宋" w:eastAsia="仿宋" w:cs="仿宋"/>
          <w:sz w:val="24"/>
        </w:rPr>
        <w:t>（一）在投标人出现下列情形之一时，我方承担保证责任：</w:t>
      </w:r>
    </w:p>
    <w:p w14:paraId="7553F3F4">
      <w:pPr>
        <w:ind w:firstLine="480" w:firstLineChars="200"/>
        <w:rPr>
          <w:rFonts w:ascii="仿宋" w:hAnsi="仿宋" w:eastAsia="仿宋" w:cs="仿宋"/>
          <w:sz w:val="24"/>
        </w:rPr>
      </w:pPr>
      <w:r>
        <w:rPr>
          <w:rFonts w:hint="eastAsia" w:ascii="仿宋" w:hAnsi="仿宋" w:eastAsia="仿宋" w:cs="仿宋"/>
          <w:sz w:val="24"/>
        </w:rPr>
        <w:t>1．中标后投标人无正当理由不与采购人或者采购代理机构签订《政府采购合同》；</w:t>
      </w:r>
    </w:p>
    <w:p w14:paraId="4620092E">
      <w:pPr>
        <w:ind w:firstLine="480" w:firstLineChars="200"/>
        <w:rPr>
          <w:rFonts w:ascii="仿宋" w:hAnsi="仿宋" w:eastAsia="仿宋" w:cs="仿宋"/>
          <w:sz w:val="24"/>
        </w:rPr>
      </w:pPr>
      <w:r>
        <w:rPr>
          <w:rFonts w:hint="eastAsia" w:ascii="仿宋" w:hAnsi="仿宋" w:eastAsia="仿宋" w:cs="仿宋"/>
          <w:sz w:val="24"/>
        </w:rPr>
        <w:t>2．招标文件规定的投标人应当缴纳保证金的其他情形。</w:t>
      </w:r>
    </w:p>
    <w:p w14:paraId="5628ED17">
      <w:pPr>
        <w:ind w:firstLine="240" w:firstLineChars="100"/>
        <w:rPr>
          <w:rFonts w:ascii="仿宋" w:hAnsi="仿宋" w:eastAsia="仿宋" w:cs="仿宋"/>
          <w:sz w:val="24"/>
        </w:rPr>
      </w:pPr>
      <w:r>
        <w:rPr>
          <w:rFonts w:hint="eastAsia" w:ascii="仿宋" w:hAnsi="仿宋" w:eastAsia="仿宋" w:cs="仿宋"/>
          <w:sz w:val="24"/>
        </w:rPr>
        <w:t>（二）我方承担保证责任的最高金额为人民币</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），即本项目的投标保证金金额。</w:t>
      </w:r>
    </w:p>
    <w:p w14:paraId="7A3B9ECC">
      <w:pPr>
        <w:ind w:firstLine="480" w:firstLineChars="200"/>
        <w:rPr>
          <w:rFonts w:ascii="仿宋" w:hAnsi="仿宋" w:eastAsia="仿宋" w:cs="仿宋"/>
          <w:sz w:val="24"/>
        </w:rPr>
      </w:pPr>
      <w:r>
        <w:rPr>
          <w:rFonts w:hint="eastAsia" w:ascii="仿宋" w:hAnsi="仿宋" w:eastAsia="仿宋" w:cs="仿宋"/>
          <w:sz w:val="24"/>
        </w:rPr>
        <w:t>二、保证的方式及保证期间</w:t>
      </w:r>
    </w:p>
    <w:p w14:paraId="36EA238B">
      <w:pPr>
        <w:ind w:firstLine="480" w:firstLineChars="200"/>
        <w:rPr>
          <w:rFonts w:ascii="仿宋" w:hAnsi="仿宋" w:eastAsia="仿宋" w:cs="仿宋"/>
          <w:sz w:val="24"/>
        </w:rPr>
      </w:pPr>
      <w:r>
        <w:rPr>
          <w:rFonts w:hint="eastAsia" w:ascii="仿宋" w:hAnsi="仿宋" w:eastAsia="仿宋" w:cs="仿宋"/>
          <w:sz w:val="24"/>
        </w:rPr>
        <w:t>我方保证的方式为：连带责任保证。</w:t>
      </w:r>
    </w:p>
    <w:p w14:paraId="68E64EB7">
      <w:pPr>
        <w:ind w:firstLine="480" w:firstLineChars="200"/>
        <w:rPr>
          <w:rFonts w:ascii="仿宋" w:hAnsi="仿宋" w:eastAsia="仿宋" w:cs="仿宋"/>
          <w:sz w:val="24"/>
        </w:rPr>
      </w:pPr>
      <w:r>
        <w:rPr>
          <w:rFonts w:hint="eastAsia" w:ascii="仿宋" w:hAnsi="仿宋" w:eastAsia="仿宋" w:cs="仿宋"/>
          <w:sz w:val="24"/>
        </w:rPr>
        <w:t>我方的保证期间为：自本保函生效之日起</w:t>
      </w:r>
      <w:r>
        <w:rPr>
          <w:rFonts w:hint="eastAsia" w:ascii="仿宋" w:hAnsi="仿宋" w:eastAsia="仿宋" w:cs="仿宋"/>
          <w:sz w:val="24"/>
          <w:u w:val="single"/>
        </w:rPr>
        <w:t xml:space="preserve">    </w:t>
      </w:r>
      <w:r>
        <w:rPr>
          <w:rFonts w:hint="eastAsia" w:ascii="仿宋" w:hAnsi="仿宋" w:eastAsia="仿宋" w:cs="仿宋"/>
          <w:sz w:val="24"/>
        </w:rPr>
        <w:t>个月止。</w:t>
      </w:r>
    </w:p>
    <w:p w14:paraId="07D3361C">
      <w:pPr>
        <w:ind w:firstLine="480" w:firstLineChars="200"/>
        <w:rPr>
          <w:rFonts w:ascii="仿宋" w:hAnsi="仿宋" w:eastAsia="仿宋" w:cs="仿宋"/>
          <w:sz w:val="24"/>
        </w:rPr>
      </w:pPr>
      <w:r>
        <w:rPr>
          <w:rFonts w:hint="eastAsia" w:ascii="仿宋" w:hAnsi="仿宋" w:eastAsia="仿宋" w:cs="仿宋"/>
          <w:sz w:val="24"/>
        </w:rPr>
        <w:t>三、承担保证责任的程序</w:t>
      </w:r>
    </w:p>
    <w:p w14:paraId="26714D92">
      <w:pPr>
        <w:ind w:firstLine="480" w:firstLineChars="200"/>
        <w:rPr>
          <w:rFonts w:ascii="仿宋" w:hAnsi="仿宋" w:eastAsia="仿宋" w:cs="仿宋"/>
          <w:sz w:val="24"/>
        </w:rPr>
      </w:pPr>
      <w:r>
        <w:rPr>
          <w:rFonts w:hint="eastAsia" w:ascii="仿宋" w:hAnsi="仿宋" w:eastAsia="仿宋" w:cs="仿宋"/>
          <w:sz w:val="24"/>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26B96F84">
      <w:pPr>
        <w:ind w:firstLine="480" w:firstLineChars="200"/>
        <w:rPr>
          <w:rFonts w:ascii="仿宋" w:hAnsi="仿宋" w:eastAsia="仿宋" w:cs="仿宋"/>
          <w:sz w:val="24"/>
        </w:rPr>
      </w:pPr>
      <w:r>
        <w:rPr>
          <w:rFonts w:hint="eastAsia" w:ascii="仿宋" w:hAnsi="仿宋" w:eastAsia="仿宋" w:cs="仿宋"/>
          <w:sz w:val="24"/>
        </w:rPr>
        <w:t>2．我方在收到索赔通知及相关证明材料后，在</w:t>
      </w:r>
      <w:r>
        <w:rPr>
          <w:rFonts w:hint="eastAsia" w:ascii="仿宋" w:hAnsi="仿宋" w:eastAsia="仿宋" w:cs="仿宋"/>
          <w:sz w:val="24"/>
          <w:u w:val="single"/>
        </w:rPr>
        <w:t>　　　</w:t>
      </w:r>
      <w:r>
        <w:rPr>
          <w:rFonts w:hint="eastAsia" w:ascii="仿宋" w:hAnsi="仿宋" w:eastAsia="仿宋" w:cs="仿宋"/>
          <w:sz w:val="24"/>
        </w:rPr>
        <w:t>个工作日内进行审查，符合应承担保证责任情形的，我方应按照你方的要求代投标人向你方支付投标保证金。</w:t>
      </w:r>
    </w:p>
    <w:p w14:paraId="4B864678">
      <w:pPr>
        <w:ind w:firstLine="480" w:firstLineChars="200"/>
        <w:rPr>
          <w:rFonts w:ascii="仿宋" w:hAnsi="仿宋" w:eastAsia="仿宋" w:cs="仿宋"/>
          <w:sz w:val="24"/>
        </w:rPr>
      </w:pPr>
      <w:r>
        <w:rPr>
          <w:rFonts w:hint="eastAsia" w:ascii="仿宋" w:hAnsi="仿宋" w:eastAsia="仿宋" w:cs="仿宋"/>
          <w:sz w:val="24"/>
        </w:rPr>
        <w:t>四、保证责任的终止</w:t>
      </w:r>
    </w:p>
    <w:p w14:paraId="2A2C5353">
      <w:pPr>
        <w:ind w:firstLine="480" w:firstLineChars="200"/>
        <w:rPr>
          <w:rFonts w:ascii="仿宋" w:hAnsi="仿宋" w:eastAsia="仿宋" w:cs="仿宋"/>
          <w:sz w:val="24"/>
        </w:rPr>
      </w:pPr>
      <w:r>
        <w:rPr>
          <w:rFonts w:hint="eastAsia" w:ascii="仿宋" w:hAnsi="仿宋" w:eastAsia="仿宋" w:cs="仿宋"/>
          <w:sz w:val="24"/>
        </w:rPr>
        <w:t>1．保证期间届满你方未向我方书面主张保证责任的，自保证期间届满次日起，我方保证责任自动终止。</w:t>
      </w:r>
    </w:p>
    <w:p w14:paraId="23FC12AC">
      <w:pPr>
        <w:ind w:firstLine="480" w:firstLineChars="200"/>
        <w:rPr>
          <w:rFonts w:ascii="仿宋" w:hAnsi="仿宋" w:eastAsia="仿宋" w:cs="仿宋"/>
          <w:sz w:val="24"/>
        </w:rPr>
      </w:pPr>
      <w:r>
        <w:rPr>
          <w:rFonts w:hint="eastAsia" w:ascii="仿宋" w:hAnsi="仿宋" w:eastAsia="仿宋" w:cs="仿宋"/>
          <w:sz w:val="24"/>
        </w:rPr>
        <w:t>2．我方按照本保函向你贵方履行了保证责任后，自我方向你贵方支付款项（支付款项从我方账户划出）之日起，保证责任终止。</w:t>
      </w:r>
    </w:p>
    <w:p w14:paraId="31C9E7FF">
      <w:pPr>
        <w:ind w:firstLine="480" w:firstLineChars="200"/>
        <w:rPr>
          <w:rFonts w:ascii="仿宋" w:hAnsi="仿宋" w:eastAsia="仿宋" w:cs="仿宋"/>
          <w:sz w:val="24"/>
        </w:rPr>
      </w:pPr>
      <w:r>
        <w:rPr>
          <w:rFonts w:hint="eastAsia" w:ascii="仿宋" w:hAnsi="仿宋" w:eastAsia="仿宋" w:cs="仿宋"/>
          <w:sz w:val="24"/>
        </w:rPr>
        <w:t>3．按照法律法规的规定或出现我方保证责任终止的其它情形的，我方在本保函项下的保证责任亦终止。</w:t>
      </w:r>
    </w:p>
    <w:p w14:paraId="4B136AF2">
      <w:pPr>
        <w:ind w:firstLine="480" w:firstLineChars="200"/>
        <w:rPr>
          <w:rFonts w:ascii="仿宋" w:hAnsi="仿宋" w:eastAsia="仿宋" w:cs="仿宋"/>
          <w:sz w:val="24"/>
        </w:rPr>
      </w:pPr>
      <w:r>
        <w:rPr>
          <w:rFonts w:hint="eastAsia" w:ascii="仿宋" w:hAnsi="仿宋" w:eastAsia="仿宋" w:cs="仿宋"/>
          <w:sz w:val="24"/>
        </w:rPr>
        <w:t>五、免责条款</w:t>
      </w:r>
    </w:p>
    <w:p w14:paraId="41E603B7">
      <w:pPr>
        <w:ind w:firstLine="480" w:firstLineChars="200"/>
        <w:rPr>
          <w:rFonts w:ascii="仿宋" w:hAnsi="仿宋" w:eastAsia="仿宋" w:cs="仿宋"/>
          <w:sz w:val="24"/>
        </w:rPr>
      </w:pPr>
      <w:r>
        <w:rPr>
          <w:rFonts w:hint="eastAsia" w:ascii="仿宋" w:hAnsi="仿宋" w:eastAsia="仿宋" w:cs="仿宋"/>
          <w:sz w:val="24"/>
        </w:rPr>
        <w:t>1．依照法律规定或你方与投标人的另行约定，全部或者部分免除投标人投标保证金义务时，我方亦免除相应的保证责任。</w:t>
      </w:r>
    </w:p>
    <w:p w14:paraId="78CBF964">
      <w:pPr>
        <w:ind w:firstLine="480" w:firstLineChars="200"/>
        <w:rPr>
          <w:rFonts w:ascii="仿宋" w:hAnsi="仿宋" w:eastAsia="仿宋" w:cs="仿宋"/>
          <w:sz w:val="24"/>
        </w:rPr>
      </w:pPr>
      <w:r>
        <w:rPr>
          <w:rFonts w:hint="eastAsia" w:ascii="仿宋" w:hAnsi="仿宋" w:eastAsia="仿宋" w:cs="仿宋"/>
          <w:sz w:val="24"/>
        </w:rPr>
        <w:t>2．因你方原因致使投标人发生本保函第一条第（一）款约定情形的，我方不承担保证责任。</w:t>
      </w:r>
    </w:p>
    <w:p w14:paraId="2CA56B19">
      <w:pPr>
        <w:ind w:firstLine="480" w:firstLineChars="200"/>
        <w:rPr>
          <w:rFonts w:ascii="仿宋" w:hAnsi="仿宋" w:eastAsia="仿宋" w:cs="仿宋"/>
          <w:sz w:val="24"/>
        </w:rPr>
      </w:pPr>
      <w:r>
        <w:rPr>
          <w:rFonts w:hint="eastAsia" w:ascii="仿宋" w:hAnsi="仿宋" w:eastAsia="仿宋" w:cs="仿宋"/>
          <w:sz w:val="24"/>
        </w:rPr>
        <w:t>3．因不可抗力造成投标人发生本保函第一条约定情形的，我方不承担保证责任。</w:t>
      </w:r>
    </w:p>
    <w:p w14:paraId="405B309B">
      <w:pPr>
        <w:ind w:firstLine="480" w:firstLineChars="200"/>
        <w:rPr>
          <w:rFonts w:ascii="仿宋" w:hAnsi="仿宋" w:eastAsia="仿宋" w:cs="仿宋"/>
          <w:sz w:val="24"/>
        </w:rPr>
      </w:pPr>
      <w:r>
        <w:rPr>
          <w:rFonts w:hint="eastAsia" w:ascii="仿宋" w:hAnsi="仿宋" w:eastAsia="仿宋" w:cs="仿宋"/>
          <w:sz w:val="24"/>
        </w:rPr>
        <w:t>4．你方或其他有权机关对招标文件进行任何澄清或修改，加重我方保证责任的，我方对加重部分不承担保证责任，但该澄清或修改经我方事先书面同意的除外。</w:t>
      </w:r>
    </w:p>
    <w:p w14:paraId="6707F4F3">
      <w:pPr>
        <w:ind w:firstLine="480" w:firstLineChars="200"/>
        <w:rPr>
          <w:rFonts w:ascii="仿宋" w:hAnsi="仿宋" w:eastAsia="仿宋" w:cs="仿宋"/>
          <w:sz w:val="24"/>
        </w:rPr>
      </w:pPr>
      <w:r>
        <w:rPr>
          <w:rFonts w:hint="eastAsia" w:ascii="仿宋" w:hAnsi="仿宋" w:eastAsia="仿宋" w:cs="仿宋"/>
          <w:sz w:val="24"/>
        </w:rPr>
        <w:t>六、争议的解决</w:t>
      </w:r>
    </w:p>
    <w:p w14:paraId="548E0F75">
      <w:pPr>
        <w:ind w:firstLine="480" w:firstLineChars="200"/>
        <w:rPr>
          <w:rFonts w:ascii="仿宋" w:hAnsi="仿宋" w:eastAsia="仿宋" w:cs="仿宋"/>
          <w:sz w:val="24"/>
        </w:rPr>
      </w:pPr>
      <w:r>
        <w:rPr>
          <w:rFonts w:hint="eastAsia" w:ascii="仿宋" w:hAnsi="仿宋" w:eastAsia="仿宋" w:cs="仿宋"/>
          <w:sz w:val="24"/>
        </w:rPr>
        <w:t>因本保函发生的纠纷，由你我双方协商解决，协商不成的，通过诉讼程序解决，诉讼管辖地法院为</w:t>
      </w:r>
      <w:r>
        <w:rPr>
          <w:rFonts w:hint="eastAsia" w:ascii="仿宋" w:hAnsi="仿宋" w:eastAsia="仿宋" w:cs="仿宋"/>
          <w:sz w:val="24"/>
          <w:u w:val="single"/>
        </w:rPr>
        <w:t xml:space="preserve">          </w:t>
      </w:r>
      <w:r>
        <w:rPr>
          <w:rFonts w:hint="eastAsia" w:ascii="仿宋" w:hAnsi="仿宋" w:eastAsia="仿宋" w:cs="仿宋"/>
          <w:sz w:val="24"/>
        </w:rPr>
        <w:t>法院。</w:t>
      </w:r>
    </w:p>
    <w:p w14:paraId="17445622">
      <w:pPr>
        <w:ind w:firstLine="480" w:firstLineChars="200"/>
        <w:rPr>
          <w:rFonts w:ascii="仿宋" w:hAnsi="仿宋" w:eastAsia="仿宋" w:cs="仿宋"/>
          <w:sz w:val="24"/>
        </w:rPr>
      </w:pPr>
      <w:r>
        <w:rPr>
          <w:rFonts w:hint="eastAsia" w:ascii="仿宋" w:hAnsi="仿宋" w:eastAsia="仿宋" w:cs="仿宋"/>
          <w:sz w:val="24"/>
        </w:rPr>
        <w:t>七、保函的生效</w:t>
      </w:r>
    </w:p>
    <w:p w14:paraId="57CF8558">
      <w:pPr>
        <w:ind w:firstLine="480" w:firstLineChars="200"/>
        <w:rPr>
          <w:rFonts w:ascii="仿宋" w:hAnsi="仿宋" w:eastAsia="仿宋" w:cs="仿宋"/>
          <w:sz w:val="24"/>
        </w:rPr>
      </w:pPr>
      <w:r>
        <w:rPr>
          <w:rFonts w:hint="eastAsia" w:ascii="仿宋" w:hAnsi="仿宋" w:eastAsia="仿宋" w:cs="仿宋"/>
          <w:sz w:val="24"/>
        </w:rPr>
        <w:t>本保函自我方加盖公章之日起生效。</w:t>
      </w:r>
    </w:p>
    <w:p w14:paraId="5E68009D">
      <w:pPr>
        <w:pStyle w:val="90"/>
        <w:ind w:firstLine="480"/>
        <w:jc w:val="right"/>
        <w:rPr>
          <w:rFonts w:ascii="仿宋" w:hAnsi="仿宋" w:eastAsia="仿宋" w:cs="仿宋"/>
          <w:b w:val="0"/>
          <w:sz w:val="24"/>
        </w:rPr>
      </w:pPr>
      <w:r>
        <w:rPr>
          <w:rFonts w:hint="eastAsia" w:ascii="仿宋" w:hAnsi="仿宋" w:eastAsia="仿宋" w:cs="仿宋"/>
          <w:b w:val="0"/>
          <w:sz w:val="24"/>
        </w:rPr>
        <w:t>保证人：（公章）        年     月      日</w:t>
      </w:r>
    </w:p>
    <w:p w14:paraId="34A77DCB">
      <w:pPr>
        <w:rPr>
          <w:rFonts w:ascii="仿宋" w:hAnsi="仿宋" w:eastAsia="仿宋" w:cs="仿宋"/>
        </w:rPr>
      </w:pPr>
    </w:p>
    <w:p w14:paraId="3A252DA1">
      <w:pPr>
        <w:rPr>
          <w:rFonts w:ascii="仿宋" w:hAnsi="仿宋" w:eastAsia="仿宋" w:cs="仿宋"/>
          <w:b/>
          <w:kern w:val="0"/>
          <w:sz w:val="24"/>
          <w:szCs w:val="20"/>
        </w:rPr>
      </w:pPr>
      <w:bookmarkStart w:id="809" w:name="_Toc3765"/>
      <w:bookmarkStart w:id="810" w:name="_Toc26615"/>
      <w:bookmarkStart w:id="811" w:name="_Toc22724"/>
      <w:bookmarkStart w:id="812" w:name="_Toc21278"/>
      <w:bookmarkStart w:id="813" w:name="_Toc30537"/>
      <w:bookmarkStart w:id="814" w:name="_Toc21986"/>
      <w:r>
        <w:rPr>
          <w:rFonts w:hint="eastAsia" w:ascii="仿宋" w:hAnsi="仿宋" w:eastAsia="仿宋" w:cs="仿宋"/>
          <w:b/>
          <w:kern w:val="0"/>
          <w:sz w:val="24"/>
          <w:szCs w:val="20"/>
        </w:rPr>
        <w:br w:type="page"/>
      </w:r>
    </w:p>
    <w:p w14:paraId="1D05EBB8">
      <w:pPr>
        <w:snapToGrid w:val="0"/>
        <w:jc w:val="center"/>
        <w:textAlignment w:val="baseline"/>
        <w:rPr>
          <w:rFonts w:ascii="仿宋" w:hAnsi="仿宋" w:eastAsia="仿宋" w:cs="仿宋"/>
          <w:b/>
          <w:kern w:val="0"/>
          <w:sz w:val="24"/>
          <w:szCs w:val="20"/>
        </w:rPr>
      </w:pPr>
      <w:r>
        <w:rPr>
          <w:rFonts w:hint="eastAsia" w:ascii="仿宋" w:hAnsi="仿宋" w:eastAsia="仿宋" w:cs="仿宋"/>
          <w:b/>
          <w:kern w:val="0"/>
          <w:sz w:val="24"/>
          <w:szCs w:val="20"/>
        </w:rPr>
        <w:t>9</w:t>
      </w:r>
      <w:bookmarkEnd w:id="802"/>
      <w:bookmarkEnd w:id="803"/>
      <w:bookmarkEnd w:id="804"/>
      <w:bookmarkEnd w:id="805"/>
      <w:bookmarkEnd w:id="806"/>
      <w:bookmarkEnd w:id="807"/>
      <w:bookmarkEnd w:id="808"/>
      <w:bookmarkEnd w:id="809"/>
      <w:bookmarkEnd w:id="810"/>
      <w:bookmarkEnd w:id="811"/>
      <w:bookmarkEnd w:id="812"/>
      <w:bookmarkEnd w:id="813"/>
      <w:bookmarkEnd w:id="814"/>
      <w:r>
        <w:rPr>
          <w:rFonts w:hint="eastAsia" w:ascii="仿宋" w:hAnsi="仿宋" w:eastAsia="仿宋" w:cs="仿宋"/>
          <w:b/>
          <w:kern w:val="0"/>
          <w:sz w:val="24"/>
          <w:szCs w:val="20"/>
        </w:rPr>
        <w:t>、</w:t>
      </w:r>
      <w:r>
        <w:rPr>
          <w:rFonts w:hint="eastAsia" w:ascii="仿宋" w:hAnsi="仿宋" w:eastAsia="仿宋" w:cs="仿宋"/>
          <w:b/>
          <w:kern w:val="0"/>
          <w:sz w:val="24"/>
          <w:szCs w:val="20"/>
          <w:lang w:val="zh-CN"/>
        </w:rPr>
        <w:t>针对本次采购项目《反商业贿赂承诺书》的书面声明</w:t>
      </w:r>
    </w:p>
    <w:p w14:paraId="717FDEE3">
      <w:pPr>
        <w:spacing w:line="360" w:lineRule="auto"/>
        <w:rPr>
          <w:rFonts w:ascii="仿宋" w:hAnsi="仿宋" w:eastAsia="仿宋" w:cs="仿宋"/>
          <w:sz w:val="24"/>
        </w:rPr>
      </w:pPr>
    </w:p>
    <w:p w14:paraId="3595944E">
      <w:pPr>
        <w:spacing w:line="360" w:lineRule="auto"/>
        <w:rPr>
          <w:rFonts w:ascii="仿宋" w:hAnsi="仿宋" w:eastAsia="仿宋" w:cs="仿宋"/>
          <w:sz w:val="24"/>
        </w:rPr>
      </w:pPr>
      <w:r>
        <w:rPr>
          <w:rFonts w:hint="eastAsia" w:ascii="仿宋" w:hAnsi="仿宋" w:eastAsia="仿宋" w:cs="仿宋"/>
          <w:sz w:val="24"/>
        </w:rPr>
        <w:t>致：</w:t>
      </w:r>
      <w:r>
        <w:rPr>
          <w:rFonts w:hint="eastAsia" w:ascii="仿宋" w:hAnsi="仿宋" w:eastAsia="仿宋" w:cs="仿宋"/>
          <w:sz w:val="24"/>
          <w:u w:val="single"/>
        </w:rPr>
        <w:t>采购人</w:t>
      </w:r>
    </w:p>
    <w:p w14:paraId="1AF8D171">
      <w:pPr>
        <w:spacing w:line="360" w:lineRule="auto"/>
        <w:ind w:firstLine="480" w:firstLineChars="200"/>
        <w:rPr>
          <w:rFonts w:ascii="仿宋" w:hAnsi="仿宋" w:eastAsia="仿宋" w:cs="仿宋"/>
          <w:sz w:val="24"/>
        </w:rPr>
      </w:pPr>
      <w:r>
        <w:rPr>
          <w:rFonts w:hint="eastAsia" w:ascii="仿宋" w:hAnsi="仿宋" w:eastAsia="仿宋" w:cs="仿宋"/>
          <w:sz w:val="24"/>
        </w:rPr>
        <w:t>我公司承诺在</w:t>
      </w:r>
      <w:r>
        <w:rPr>
          <w:rFonts w:hint="eastAsia" w:ascii="仿宋" w:hAnsi="仿宋" w:eastAsia="仿宋" w:cs="仿宋"/>
          <w:sz w:val="24"/>
          <w:u w:val="single"/>
        </w:rPr>
        <w:t xml:space="preserve">     （项目名称）     </w:t>
      </w:r>
      <w:r>
        <w:rPr>
          <w:rFonts w:hint="eastAsia" w:ascii="仿宋" w:hAnsi="仿宋" w:eastAsia="仿宋" w:cs="仿宋"/>
          <w:sz w:val="24"/>
        </w:rPr>
        <w:t>公开采购采购活动中，不给予国家工作人员以及中介机构工作人员及其亲属各种形式的商业贿赂（包括送礼金礼品、有价证券、购物券、回扣、佣金、咨询费、劳务费、赞助费、宣传费、支付旅游费、报销各种消费凭证、宴请、娱乐等），如有上述行为，我公司及项目参与人员愿意按照《反不正当竞争法》的有关规定接受处罚。</w:t>
      </w:r>
    </w:p>
    <w:p w14:paraId="726D394E">
      <w:pPr>
        <w:spacing w:line="360" w:lineRule="auto"/>
        <w:rPr>
          <w:rFonts w:ascii="仿宋" w:hAnsi="仿宋" w:eastAsia="仿宋" w:cs="仿宋"/>
          <w:sz w:val="24"/>
        </w:rPr>
      </w:pPr>
      <w:r>
        <w:rPr>
          <w:rFonts w:hint="eastAsia" w:ascii="仿宋" w:hAnsi="仿宋" w:eastAsia="仿宋" w:cs="仿宋"/>
          <w:sz w:val="24"/>
        </w:rPr>
        <w:t xml:space="preserve">         </w:t>
      </w:r>
    </w:p>
    <w:p w14:paraId="475057C7">
      <w:pPr>
        <w:spacing w:line="360" w:lineRule="auto"/>
        <w:rPr>
          <w:rFonts w:ascii="仿宋" w:hAnsi="仿宋" w:eastAsia="仿宋" w:cs="仿宋"/>
          <w:sz w:val="24"/>
        </w:rPr>
      </w:pPr>
      <w:r>
        <w:rPr>
          <w:rFonts w:hint="eastAsia" w:ascii="仿宋" w:hAnsi="仿宋" w:eastAsia="仿宋" w:cs="仿宋"/>
          <w:sz w:val="24"/>
        </w:rPr>
        <w:t>投标人名称（单位盖公章）</w:t>
      </w:r>
      <w:r>
        <w:rPr>
          <w:rFonts w:hint="eastAsia" w:ascii="仿宋" w:hAnsi="仿宋" w:eastAsia="仿宋" w:cs="仿宋"/>
          <w:sz w:val="24"/>
          <w:u w:val="single"/>
        </w:rPr>
        <w:t xml:space="preserve">:                       </w:t>
      </w:r>
      <w:r>
        <w:rPr>
          <w:rFonts w:hint="eastAsia" w:ascii="仿宋" w:hAnsi="仿宋" w:eastAsia="仿宋" w:cs="仿宋"/>
          <w:sz w:val="24"/>
        </w:rPr>
        <w:t xml:space="preserve">                 </w:t>
      </w:r>
    </w:p>
    <w:p w14:paraId="6D875920">
      <w:pPr>
        <w:spacing w:line="360" w:lineRule="auto"/>
        <w:rPr>
          <w:rFonts w:ascii="仿宋" w:hAnsi="仿宋" w:eastAsia="仿宋" w:cs="仿宋"/>
          <w:sz w:val="24"/>
        </w:rPr>
      </w:pPr>
      <w:r>
        <w:rPr>
          <w:rFonts w:hint="eastAsia" w:ascii="仿宋" w:hAnsi="仿宋" w:eastAsia="仿宋" w:cs="仿宋"/>
          <w:sz w:val="24"/>
        </w:rPr>
        <w:t>法定代表人或其委托代理人（签字或盖章）:</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 xml:space="preserve">                 </w:t>
      </w:r>
    </w:p>
    <w:p w14:paraId="043535DD">
      <w:pPr>
        <w:pStyle w:val="16"/>
        <w:snapToGrid w:val="0"/>
        <w:spacing w:line="360" w:lineRule="auto"/>
        <w:jc w:val="left"/>
        <w:textAlignment w:val="baseline"/>
        <w:rPr>
          <w:rFonts w:ascii="仿宋" w:hAnsi="仿宋" w:eastAsia="仿宋" w:cs="仿宋"/>
          <w:sz w:val="24"/>
          <w:szCs w:val="24"/>
        </w:rPr>
      </w:pPr>
      <w:r>
        <w:rPr>
          <w:rFonts w:hint="eastAsia" w:ascii="仿宋" w:hAnsi="仿宋" w:eastAsia="仿宋" w:cs="仿宋"/>
          <w:sz w:val="24"/>
          <w:szCs w:val="24"/>
        </w:rPr>
        <w:t>日期：  年  月  日</w:t>
      </w:r>
    </w:p>
    <w:p w14:paraId="771A9B20">
      <w:pPr>
        <w:rPr>
          <w:rFonts w:ascii="仿宋" w:hAnsi="仿宋" w:eastAsia="仿宋" w:cs="仿宋"/>
          <w:sz w:val="24"/>
        </w:rPr>
      </w:pPr>
      <w:r>
        <w:rPr>
          <w:rFonts w:hint="eastAsia" w:ascii="仿宋" w:hAnsi="仿宋" w:eastAsia="仿宋" w:cs="仿宋"/>
          <w:sz w:val="24"/>
        </w:rPr>
        <w:br w:type="page"/>
      </w:r>
    </w:p>
    <w:p w14:paraId="4FA2753B">
      <w:pPr>
        <w:pStyle w:val="16"/>
        <w:numPr>
          <w:ilvl w:val="0"/>
          <w:numId w:val="7"/>
        </w:numPr>
        <w:snapToGrid w:val="0"/>
        <w:spacing w:line="360" w:lineRule="auto"/>
        <w:jc w:val="left"/>
        <w:textAlignment w:val="baseline"/>
        <w:rPr>
          <w:rFonts w:ascii="仿宋" w:hAnsi="仿宋" w:eastAsia="仿宋" w:cs="仿宋"/>
          <w:b/>
          <w:kern w:val="0"/>
          <w:sz w:val="24"/>
        </w:rPr>
      </w:pPr>
      <w:r>
        <w:rPr>
          <w:rFonts w:hint="eastAsia" w:ascii="仿宋" w:hAnsi="仿宋" w:eastAsia="仿宋" w:cs="仿宋"/>
          <w:b/>
          <w:kern w:val="0"/>
          <w:sz w:val="24"/>
        </w:rPr>
        <w:t>法定代表人投标需提供法定代表人身份证明；授权人投标需提供法定代表人身份证明及被授权书；</w:t>
      </w:r>
    </w:p>
    <w:p w14:paraId="6E937E1A">
      <w:pPr>
        <w:spacing w:before="200" w:line="360" w:lineRule="auto"/>
        <w:ind w:left="3155"/>
        <w:rPr>
          <w:rFonts w:ascii="仿宋" w:hAnsi="仿宋" w:eastAsia="仿宋" w:cs="仿宋"/>
          <w:sz w:val="24"/>
        </w:rPr>
      </w:pPr>
      <w:r>
        <w:rPr>
          <w:rFonts w:hint="eastAsia" w:ascii="仿宋" w:hAnsi="仿宋" w:eastAsia="仿宋" w:cs="仿宋"/>
        </w:rPr>
        <mc:AlternateContent>
          <mc:Choice Requires="wps">
            <w:drawing>
              <wp:anchor distT="0" distB="0" distL="114300" distR="114300" simplePos="0" relativeHeight="251663360" behindDoc="0" locked="0" layoutInCell="0" allowOverlap="1">
                <wp:simplePos x="0" y="0"/>
                <wp:positionH relativeFrom="page">
                  <wp:posOffset>1610995</wp:posOffset>
                </wp:positionH>
                <wp:positionV relativeFrom="page">
                  <wp:posOffset>5046345</wp:posOffset>
                </wp:positionV>
                <wp:extent cx="1485900" cy="182245"/>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485900" cy="182245"/>
                        </a:xfrm>
                        <a:prstGeom prst="rect">
                          <a:avLst/>
                        </a:prstGeom>
                        <a:noFill/>
                        <a:ln>
                          <a:noFill/>
                        </a:ln>
                      </wps:spPr>
                      <wps:txbx>
                        <w:txbxContent>
                          <w:p w14:paraId="13A3FA9E">
                            <w:pPr>
                              <w:pStyle w:val="11"/>
                              <w:spacing w:before="19" w:line="228" w:lineRule="auto"/>
                              <w:ind w:left="20"/>
                              <w:rPr>
                                <w:sz w:val="20"/>
                                <w:szCs w:val="20"/>
                              </w:rPr>
                            </w:pPr>
                          </w:p>
                        </w:txbxContent>
                      </wps:txbx>
                      <wps:bodyPr lIns="0" tIns="0" rIns="0" bIns="0" upright="1"/>
                    </wps:wsp>
                  </a:graphicData>
                </a:graphic>
              </wp:anchor>
            </w:drawing>
          </mc:Choice>
          <mc:Fallback>
            <w:pict>
              <v:shape id="_x0000_s1026" o:spid="_x0000_s1026" o:spt="202" type="#_x0000_t202" style="position:absolute;left:0pt;margin-left:126.85pt;margin-top:397.35pt;height:14.35pt;width:117pt;mso-position-horizontal-relative:page;mso-position-vertical-relative:page;z-index:251663360;mso-width-relative:page;mso-height-relative:page;" filled="f" stroked="f" coordsize="21600,21600" o:allowincell="f" o:gfxdata="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b9ioo2gAAAAsBAAAPAAAAAAAAAAEAIAAAACIAAABkcnMvZG93bnJldi54bWxQ&#10;SwECFAAUAAAACACHTuJA+6YtU7wBAAB0AwAADgAAAAAAAAABACAAAAApAQAAZHJzL2Uyb0RvYy54&#10;bWxQSwUGAAAAAAYABgBZAQAAVwUAAAAA&#10;">
                <v:fill on="f" focussize="0,0"/>
                <v:stroke on="f"/>
                <v:imagedata o:title=""/>
                <o:lock v:ext="edit" aspectratio="f"/>
                <v:textbox inset="0mm,0mm,0mm,0mm">
                  <w:txbxContent>
                    <w:p w14:paraId="13A3FA9E">
                      <w:pPr>
                        <w:pStyle w:val="11"/>
                        <w:spacing w:before="19" w:line="228" w:lineRule="auto"/>
                        <w:ind w:left="20"/>
                        <w:rPr>
                          <w:sz w:val="20"/>
                          <w:szCs w:val="20"/>
                        </w:rPr>
                      </w:pPr>
                    </w:p>
                  </w:txbxContent>
                </v:textbox>
              </v:shape>
            </w:pict>
          </mc:Fallback>
        </mc:AlternateContent>
      </w:r>
      <w:r>
        <w:rPr>
          <w:rFonts w:hint="eastAsia" w:ascii="仿宋" w:hAnsi="仿宋" w:eastAsia="仿宋" w:cs="仿宋"/>
          <w:b/>
          <w:bCs/>
          <w:spacing w:val="-5"/>
          <w:sz w:val="24"/>
        </w:rPr>
        <w:t>法定代表人身份证明</w:t>
      </w:r>
    </w:p>
    <w:p w14:paraId="6190ED1C">
      <w:pPr>
        <w:pStyle w:val="16"/>
        <w:spacing w:line="240" w:lineRule="atLeast"/>
        <w:rPr>
          <w:rFonts w:ascii="仿宋" w:hAnsi="仿宋" w:eastAsia="仿宋" w:cs="仿宋"/>
          <w:sz w:val="24"/>
          <w:szCs w:val="24"/>
        </w:rPr>
      </w:pPr>
      <w:r>
        <w:rPr>
          <w:rFonts w:hint="eastAsia" w:ascii="仿宋" w:hAnsi="仿宋" w:eastAsia="仿宋" w:cs="仿宋"/>
          <w:b/>
          <w:sz w:val="24"/>
          <w:szCs w:val="24"/>
        </w:rPr>
        <w:t>（一）法定代表人身份证明</w:t>
      </w:r>
    </w:p>
    <w:p w14:paraId="2A6CC330">
      <w:pPr>
        <w:spacing w:line="360" w:lineRule="auto"/>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u w:val="single"/>
        </w:rPr>
        <w:t xml:space="preserve">          </w:t>
      </w:r>
      <w:r>
        <w:rPr>
          <w:rFonts w:hint="eastAsia" w:ascii="仿宋" w:hAnsi="仿宋" w:eastAsia="仿宋" w:cs="仿宋"/>
          <w:sz w:val="24"/>
        </w:rPr>
        <w:t>同志，现任我单位</w:t>
      </w:r>
      <w:r>
        <w:rPr>
          <w:rFonts w:hint="eastAsia" w:ascii="仿宋" w:hAnsi="仿宋" w:eastAsia="仿宋" w:cs="仿宋"/>
          <w:sz w:val="24"/>
          <w:u w:val="single"/>
        </w:rPr>
        <w:t xml:space="preserve">          </w:t>
      </w:r>
      <w:r>
        <w:rPr>
          <w:rFonts w:hint="eastAsia" w:ascii="仿宋" w:hAnsi="仿宋" w:eastAsia="仿宋" w:cs="仿宋"/>
          <w:sz w:val="24"/>
        </w:rPr>
        <w:t>职务，为法定代表人，特此证明。</w:t>
      </w:r>
    </w:p>
    <w:p w14:paraId="1A90C0FD">
      <w:pPr>
        <w:spacing w:line="360" w:lineRule="auto"/>
        <w:ind w:firstLine="240" w:firstLineChars="100"/>
        <w:rPr>
          <w:rFonts w:ascii="仿宋" w:hAnsi="仿宋" w:eastAsia="仿宋" w:cs="仿宋"/>
          <w:sz w:val="24"/>
        </w:rPr>
      </w:pPr>
      <w:r>
        <w:rPr>
          <w:rFonts w:hint="eastAsia" w:ascii="仿宋" w:hAnsi="仿宋" w:eastAsia="仿宋" w:cs="仿宋"/>
          <w:sz w:val="24"/>
        </w:rPr>
        <w:t xml:space="preserve">签发日期：                  单位：        </w:t>
      </w:r>
    </w:p>
    <w:p w14:paraId="440A6108">
      <w:pPr>
        <w:spacing w:line="360" w:lineRule="auto"/>
        <w:ind w:firstLine="240" w:firstLineChars="100"/>
        <w:rPr>
          <w:rFonts w:ascii="仿宋" w:hAnsi="仿宋" w:eastAsia="仿宋" w:cs="仿宋"/>
          <w:sz w:val="24"/>
        </w:rPr>
      </w:pPr>
      <w:r>
        <w:rPr>
          <w:rFonts w:hint="eastAsia" w:ascii="仿宋" w:hAnsi="仿宋" w:eastAsia="仿宋" w:cs="仿宋"/>
          <w:sz w:val="24"/>
        </w:rPr>
        <w:t>附：代表人性别：            年龄：           身份证号码：</w:t>
      </w:r>
    </w:p>
    <w:p w14:paraId="0A8E8225">
      <w:pPr>
        <w:spacing w:line="360" w:lineRule="auto"/>
        <w:ind w:firstLine="240" w:firstLineChars="100"/>
        <w:rPr>
          <w:rFonts w:ascii="仿宋" w:hAnsi="仿宋" w:eastAsia="仿宋" w:cs="仿宋"/>
          <w:sz w:val="24"/>
        </w:rPr>
      </w:pPr>
      <w:r>
        <w:rPr>
          <w:rFonts w:hint="eastAsia" w:ascii="仿宋" w:hAnsi="仿宋" w:eastAsia="仿宋" w:cs="仿宋"/>
          <w:sz w:val="24"/>
        </w:rPr>
        <w:t>联系电话：</w:t>
      </w:r>
    </w:p>
    <w:p w14:paraId="3EA74C6F">
      <w:pPr>
        <w:spacing w:line="360" w:lineRule="auto"/>
        <w:ind w:firstLine="240" w:firstLineChars="100"/>
        <w:rPr>
          <w:rFonts w:ascii="仿宋" w:hAnsi="仿宋" w:eastAsia="仿宋" w:cs="仿宋"/>
          <w:sz w:val="24"/>
        </w:rPr>
      </w:pPr>
      <w:r>
        <w:rPr>
          <w:rFonts w:hint="eastAsia" w:ascii="仿宋" w:hAnsi="仿宋" w:eastAsia="仿宋" w:cs="仿宋"/>
          <w:sz w:val="24"/>
        </w:rPr>
        <w:t>营业执照号码：              经济性质：</w:t>
      </w:r>
    </w:p>
    <w:p w14:paraId="7DAF5C0B">
      <w:pPr>
        <w:spacing w:line="360" w:lineRule="auto"/>
        <w:rPr>
          <w:rFonts w:ascii="仿宋" w:hAnsi="仿宋" w:eastAsia="仿宋" w:cs="仿宋"/>
          <w:sz w:val="24"/>
        </w:rPr>
      </w:pPr>
      <w:r>
        <w:rPr>
          <w:rFonts w:hint="eastAsia" w:ascii="仿宋" w:hAnsi="仿宋" w:eastAsia="仿宋" w:cs="仿宋"/>
          <w:sz w:val="24"/>
        </w:rPr>
        <w:t>说明：</w:t>
      </w:r>
    </w:p>
    <w:p w14:paraId="25D694F8">
      <w:pPr>
        <w:spacing w:line="360" w:lineRule="auto"/>
        <w:ind w:firstLine="240" w:firstLineChars="100"/>
        <w:rPr>
          <w:rFonts w:ascii="仿宋" w:hAnsi="仿宋" w:eastAsia="仿宋" w:cs="仿宋"/>
          <w:sz w:val="24"/>
        </w:rPr>
      </w:pPr>
      <w:r>
        <w:rPr>
          <w:rFonts w:hint="eastAsia" w:ascii="仿宋" w:hAnsi="仿宋" w:eastAsia="仿宋" w:cs="仿宋"/>
          <w:sz w:val="24"/>
        </w:rPr>
        <w:t>1、法定代表人为企业事业单位、国家机关、社会团体的主要行政负责人。</w:t>
      </w:r>
    </w:p>
    <w:p w14:paraId="0DCAAC1C">
      <w:pPr>
        <w:spacing w:line="360" w:lineRule="auto"/>
        <w:rPr>
          <w:rFonts w:ascii="仿宋" w:hAnsi="仿宋" w:eastAsia="仿宋" w:cs="仿宋"/>
          <w:sz w:val="24"/>
        </w:rPr>
      </w:pPr>
      <w:r>
        <w:rPr>
          <w:rFonts w:hint="eastAsia" w:ascii="仿宋" w:hAnsi="仿宋" w:eastAsia="仿宋" w:cs="仿宋"/>
          <w:sz w:val="24"/>
        </w:rPr>
        <w:t xml:space="preserve">  2、内容必须填写真实、清楚、涂改无效，不得转让。</w:t>
      </w:r>
    </w:p>
    <w:p w14:paraId="4CD85F54">
      <w:pPr>
        <w:spacing w:line="360" w:lineRule="auto"/>
        <w:ind w:firstLine="240" w:firstLineChars="100"/>
        <w:rPr>
          <w:rFonts w:ascii="仿宋" w:hAnsi="仿宋" w:eastAsia="仿宋" w:cs="仿宋"/>
          <w:sz w:val="24"/>
        </w:rPr>
      </w:pPr>
      <w:r>
        <w:rPr>
          <w:rFonts w:hint="eastAsia" w:ascii="仿宋" w:hAnsi="仿宋" w:eastAsia="仿宋" w:cs="仿宋"/>
          <w:sz w:val="24"/>
        </w:rPr>
        <w:t>3、将此证明书原件提交采购代理机构作为响应文件附件。</w:t>
      </w:r>
    </w:p>
    <w:p w14:paraId="470D4587">
      <w:pPr>
        <w:spacing w:line="360" w:lineRule="auto"/>
        <w:rPr>
          <w:rFonts w:ascii="仿宋" w:hAnsi="仿宋" w:eastAsia="仿宋" w:cs="仿宋"/>
          <w:sz w:val="24"/>
        </w:rPr>
      </w:pPr>
      <w:r>
        <w:rPr>
          <w:rFonts w:hint="eastAsia" w:ascii="仿宋" w:hAnsi="仿宋" w:eastAsia="仿宋" w:cs="仿宋"/>
          <w:sz w:val="24"/>
        </w:rPr>
        <w:t xml:space="preserve">  (为避免废标，请投标人务必提供本附件)</w:t>
      </w:r>
    </w:p>
    <w:p w14:paraId="4CF9EA3D">
      <w:pPr>
        <w:spacing w:line="360" w:lineRule="auto"/>
        <w:rPr>
          <w:rFonts w:ascii="仿宋" w:hAnsi="仿宋" w:eastAsia="仿宋" w:cs="仿宋"/>
          <w:sz w:val="24"/>
        </w:rPr>
      </w:pPr>
      <w:r>
        <w:rPr>
          <w:rFonts w:hint="eastAsia" w:ascii="仿宋" w:hAnsi="仿宋" w:eastAsia="仿宋" w:cs="仿宋"/>
          <w:sz w:val="24"/>
        </w:rPr>
        <mc:AlternateContent>
          <mc:Choice Requires="wps">
            <w:drawing>
              <wp:anchor distT="0" distB="0" distL="114300" distR="114300" simplePos="0" relativeHeight="251664384" behindDoc="0" locked="0" layoutInCell="1" allowOverlap="1">
                <wp:simplePos x="0" y="0"/>
                <wp:positionH relativeFrom="column">
                  <wp:posOffset>154305</wp:posOffset>
                </wp:positionH>
                <wp:positionV relativeFrom="paragraph">
                  <wp:posOffset>10795</wp:posOffset>
                </wp:positionV>
                <wp:extent cx="2333625" cy="1584325"/>
                <wp:effectExtent l="4445" t="4445" r="11430" b="11430"/>
                <wp:wrapNone/>
                <wp:docPr id="3" name="流程图: 可选过程 3"/>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79B13F53">
                            <w:pPr>
                              <w:jc w:val="center"/>
                              <w:rPr>
                                <w:rFonts w:hAnsi="宋体"/>
                                <w:szCs w:val="21"/>
                              </w:rPr>
                            </w:pPr>
                          </w:p>
                          <w:p w14:paraId="6399CE57">
                            <w:pPr>
                              <w:jc w:val="center"/>
                              <w:rPr>
                                <w:rFonts w:hAnsi="宋体"/>
                                <w:szCs w:val="21"/>
                              </w:rPr>
                            </w:pPr>
                          </w:p>
                          <w:p w14:paraId="0DED17AC">
                            <w:pPr>
                              <w:jc w:val="center"/>
                              <w:rPr>
                                <w:rFonts w:hAnsi="宋体"/>
                                <w:szCs w:val="21"/>
                              </w:rPr>
                            </w:pPr>
                          </w:p>
                          <w:p w14:paraId="44156A98">
                            <w:pPr>
                              <w:jc w:val="center"/>
                              <w:rPr>
                                <w:rFonts w:ascii="仿宋" w:hAnsi="仿宋" w:eastAsia="仿宋" w:cs="仿宋"/>
                                <w:szCs w:val="21"/>
                              </w:rPr>
                            </w:pPr>
                            <w:r>
                              <w:rPr>
                                <w:rFonts w:hint="eastAsia" w:ascii="仿宋" w:hAnsi="仿宋" w:eastAsia="仿宋" w:cs="仿宋"/>
                                <w:szCs w:val="21"/>
                              </w:rPr>
                              <w:t>法定代表人身份证复印件</w:t>
                            </w:r>
                          </w:p>
                          <w:p w14:paraId="0A18A47A">
                            <w:pPr>
                              <w:jc w:val="center"/>
                              <w:rPr>
                                <w:rFonts w:hAnsi="宋体"/>
                                <w:szCs w:val="21"/>
                              </w:rPr>
                            </w:pPr>
                          </w:p>
                          <w:p w14:paraId="34331727">
                            <w:pPr>
                              <w:jc w:val="center"/>
                              <w:rPr>
                                <w:szCs w:val="21"/>
                              </w:rPr>
                            </w:pPr>
                          </w:p>
                        </w:txbxContent>
                      </wps:txbx>
                      <wps:bodyPr wrap="square" upright="1"/>
                    </wps:wsp>
                  </a:graphicData>
                </a:graphic>
              </wp:anchor>
            </w:drawing>
          </mc:Choice>
          <mc:Fallback>
            <w:pict>
              <v:shape id="_x0000_s1026" o:spid="_x0000_s1026" o:spt="176" type="#_x0000_t176" style="position:absolute;left:0pt;margin-left:12.15pt;margin-top:0.85pt;height:124.75pt;width:183.75pt;z-index:251664384;mso-width-relative:page;mso-height-relative:page;" fillcolor="#FFFFFF" filled="t" stroked="t" coordsize="21600,21600" o:gfxdata="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HlZOvXWAAAACAEAAA8AAAAAAAAAAQAgAAAAIgAAAGRycy9kb3ducmV2&#10;LnhtbFBLAQIUABQAAAAIAIdO4kB09o7HNwIAAGwEAAAOAAAAAAAAAAEAIAAAACUBAABkcnMvZTJv&#10;RG9jLnhtbFBLBQYAAAAABgAGAFkBAADOBQAAAAA=&#10;">
                <v:fill on="t" focussize="0,0"/>
                <v:stroke color="#000000" joinstyle="miter"/>
                <v:imagedata o:title=""/>
                <o:lock v:ext="edit" aspectratio="f"/>
                <v:textbox>
                  <w:txbxContent>
                    <w:p w14:paraId="79B13F53">
                      <w:pPr>
                        <w:jc w:val="center"/>
                        <w:rPr>
                          <w:rFonts w:hAnsi="宋体"/>
                          <w:szCs w:val="21"/>
                        </w:rPr>
                      </w:pPr>
                    </w:p>
                    <w:p w14:paraId="6399CE57">
                      <w:pPr>
                        <w:jc w:val="center"/>
                        <w:rPr>
                          <w:rFonts w:hAnsi="宋体"/>
                          <w:szCs w:val="21"/>
                        </w:rPr>
                      </w:pPr>
                    </w:p>
                    <w:p w14:paraId="0DED17AC">
                      <w:pPr>
                        <w:jc w:val="center"/>
                        <w:rPr>
                          <w:rFonts w:hAnsi="宋体"/>
                          <w:szCs w:val="21"/>
                        </w:rPr>
                      </w:pPr>
                    </w:p>
                    <w:p w14:paraId="44156A98">
                      <w:pPr>
                        <w:jc w:val="center"/>
                        <w:rPr>
                          <w:rFonts w:ascii="仿宋" w:hAnsi="仿宋" w:eastAsia="仿宋" w:cs="仿宋"/>
                          <w:szCs w:val="21"/>
                        </w:rPr>
                      </w:pPr>
                      <w:r>
                        <w:rPr>
                          <w:rFonts w:hint="eastAsia" w:ascii="仿宋" w:hAnsi="仿宋" w:eastAsia="仿宋" w:cs="仿宋"/>
                          <w:szCs w:val="21"/>
                        </w:rPr>
                        <w:t>法定代表人身份证复印件</w:t>
                      </w:r>
                    </w:p>
                    <w:p w14:paraId="0A18A47A">
                      <w:pPr>
                        <w:jc w:val="center"/>
                        <w:rPr>
                          <w:rFonts w:hAnsi="宋体"/>
                          <w:szCs w:val="21"/>
                        </w:rPr>
                      </w:pPr>
                    </w:p>
                    <w:p w14:paraId="34331727">
                      <w:pPr>
                        <w:jc w:val="center"/>
                        <w:rPr>
                          <w:szCs w:val="21"/>
                        </w:rPr>
                      </w:pPr>
                    </w:p>
                  </w:txbxContent>
                </v:textbox>
              </v:shape>
            </w:pict>
          </mc:Fallback>
        </mc:AlternateContent>
      </w:r>
      <w:r>
        <w:rPr>
          <w:rFonts w:hint="eastAsia" w:ascii="仿宋" w:hAnsi="仿宋" w:eastAsia="仿宋" w:cs="仿宋"/>
          <w:sz w:val="24"/>
        </w:rPr>
        <mc:AlternateContent>
          <mc:Choice Requires="wps">
            <w:drawing>
              <wp:anchor distT="0" distB="0" distL="114300" distR="114300" simplePos="0" relativeHeight="251665408" behindDoc="0" locked="0" layoutInCell="1" allowOverlap="1">
                <wp:simplePos x="0" y="0"/>
                <wp:positionH relativeFrom="column">
                  <wp:posOffset>2918460</wp:posOffset>
                </wp:positionH>
                <wp:positionV relativeFrom="paragraph">
                  <wp:posOffset>28575</wp:posOffset>
                </wp:positionV>
                <wp:extent cx="2404745" cy="1556385"/>
                <wp:effectExtent l="7620" t="7620" r="13335" b="10795"/>
                <wp:wrapNone/>
                <wp:docPr id="27" name="圆角矩形 27"/>
                <wp:cNvGraphicFramePr/>
                <a:graphic xmlns:a="http://schemas.openxmlformats.org/drawingml/2006/main">
                  <a:graphicData uri="http://schemas.microsoft.com/office/word/2010/wordprocessingShape">
                    <wps:wsp>
                      <wps:cNvSpPr/>
                      <wps:spPr>
                        <a:xfrm>
                          <a:off x="0" y="0"/>
                          <a:ext cx="2404745" cy="155638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09F53BD1">
                            <w:pPr>
                              <w:jc w:val="center"/>
                              <w:rPr>
                                <w:rFonts w:hAnsi="宋体"/>
                                <w:szCs w:val="21"/>
                              </w:rPr>
                            </w:pPr>
                            <w:r>
                              <w:rPr>
                                <w:rFonts w:hint="eastAsia" w:hAnsi="宋体"/>
                                <w:szCs w:val="21"/>
                              </w:rPr>
                              <w:t xml:space="preserve">  </w:t>
                            </w:r>
                          </w:p>
                          <w:p w14:paraId="3EC42F40">
                            <w:pPr>
                              <w:jc w:val="center"/>
                              <w:rPr>
                                <w:rFonts w:hAnsi="宋体"/>
                                <w:szCs w:val="21"/>
                              </w:rPr>
                            </w:pPr>
                          </w:p>
                          <w:p w14:paraId="754F72F1">
                            <w:pPr>
                              <w:jc w:val="center"/>
                              <w:rPr>
                                <w:rFonts w:hAnsi="宋体"/>
                                <w:szCs w:val="21"/>
                              </w:rPr>
                            </w:pPr>
                          </w:p>
                          <w:p w14:paraId="3279D926">
                            <w:pPr>
                              <w:jc w:val="center"/>
                              <w:rPr>
                                <w:rFonts w:ascii="仿宋" w:hAnsi="仿宋" w:eastAsia="仿宋" w:cs="仿宋"/>
                                <w:szCs w:val="21"/>
                              </w:rPr>
                            </w:pPr>
                            <w:r>
                              <w:rPr>
                                <w:rFonts w:hint="eastAsia" w:ascii="仿宋" w:hAnsi="仿宋" w:eastAsia="仿宋" w:cs="仿宋"/>
                                <w:szCs w:val="21"/>
                              </w:rPr>
                              <w:t>法定代表人身份证复印件</w:t>
                            </w:r>
                          </w:p>
                          <w:p w14:paraId="7F8BF077"/>
                          <w:p w14:paraId="557A73DD">
                            <w:pPr>
                              <w:pStyle w:val="7"/>
                            </w:pPr>
                          </w:p>
                          <w:p w14:paraId="1F757446">
                            <w:pPr>
                              <w:pStyle w:val="7"/>
                            </w:pPr>
                          </w:p>
                          <w:p w14:paraId="66E94163">
                            <w:pPr>
                              <w:pStyle w:val="7"/>
                            </w:pPr>
                          </w:p>
                          <w:p w14:paraId="1E061FE4">
                            <w:pPr>
                              <w:pStyle w:val="7"/>
                            </w:pPr>
                          </w:p>
                        </w:txbxContent>
                      </wps:txbx>
                      <wps:bodyPr wrap="square" upright="1"/>
                    </wps:wsp>
                  </a:graphicData>
                </a:graphic>
              </wp:anchor>
            </w:drawing>
          </mc:Choice>
          <mc:Fallback>
            <w:pict>
              <v:roundrect id="_x0000_s1026" o:spid="_x0000_s1026" o:spt="2" style="position:absolute;left:0pt;margin-left:229.8pt;margin-top:2.25pt;height:122.55pt;width:189.35pt;z-index:251665408;mso-width-relative:page;mso-height-relative:page;" fillcolor="#FFFFFF" filled="t" stroked="t" coordsize="21600,21600" arcsize="0.166666666666667" o:gfxdata="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DzvvNDaAAAACQEAAA8AAAAAAAAAAQAgAAAAIgAAAGRycy9kb3du&#10;cmV2LnhtbFBLAQIUABQAAAAIAIdO4kD2i11mNgIAAHYEAAAOAAAAAAAAAAEAIAAAACkBAABkcnMv&#10;ZTJvRG9jLnhtbFBLBQYAAAAABgAGAFkBAADRBQAAAAA=&#10;">
                <v:fill on="t" focussize="0,0"/>
                <v:stroke weight="1.25pt" color="#808080" joinstyle="round"/>
                <v:imagedata o:title=""/>
                <o:lock v:ext="edit" aspectratio="f"/>
                <v:textbox>
                  <w:txbxContent>
                    <w:p w14:paraId="09F53BD1">
                      <w:pPr>
                        <w:jc w:val="center"/>
                        <w:rPr>
                          <w:rFonts w:hAnsi="宋体"/>
                          <w:szCs w:val="21"/>
                        </w:rPr>
                      </w:pPr>
                      <w:r>
                        <w:rPr>
                          <w:rFonts w:hint="eastAsia" w:hAnsi="宋体"/>
                          <w:szCs w:val="21"/>
                        </w:rPr>
                        <w:t xml:space="preserve">  </w:t>
                      </w:r>
                    </w:p>
                    <w:p w14:paraId="3EC42F40">
                      <w:pPr>
                        <w:jc w:val="center"/>
                        <w:rPr>
                          <w:rFonts w:hAnsi="宋体"/>
                          <w:szCs w:val="21"/>
                        </w:rPr>
                      </w:pPr>
                    </w:p>
                    <w:p w14:paraId="754F72F1">
                      <w:pPr>
                        <w:jc w:val="center"/>
                        <w:rPr>
                          <w:rFonts w:hAnsi="宋体"/>
                          <w:szCs w:val="21"/>
                        </w:rPr>
                      </w:pPr>
                    </w:p>
                    <w:p w14:paraId="3279D926">
                      <w:pPr>
                        <w:jc w:val="center"/>
                        <w:rPr>
                          <w:rFonts w:ascii="仿宋" w:hAnsi="仿宋" w:eastAsia="仿宋" w:cs="仿宋"/>
                          <w:szCs w:val="21"/>
                        </w:rPr>
                      </w:pPr>
                      <w:r>
                        <w:rPr>
                          <w:rFonts w:hint="eastAsia" w:ascii="仿宋" w:hAnsi="仿宋" w:eastAsia="仿宋" w:cs="仿宋"/>
                          <w:szCs w:val="21"/>
                        </w:rPr>
                        <w:t>法定代表人身份证复印件</w:t>
                      </w:r>
                    </w:p>
                    <w:p w14:paraId="7F8BF077"/>
                    <w:p w14:paraId="557A73DD">
                      <w:pPr>
                        <w:pStyle w:val="7"/>
                      </w:pPr>
                    </w:p>
                    <w:p w14:paraId="1F757446">
                      <w:pPr>
                        <w:pStyle w:val="7"/>
                      </w:pPr>
                    </w:p>
                    <w:p w14:paraId="66E94163">
                      <w:pPr>
                        <w:pStyle w:val="7"/>
                      </w:pPr>
                    </w:p>
                    <w:p w14:paraId="1E061FE4">
                      <w:pPr>
                        <w:pStyle w:val="7"/>
                      </w:pPr>
                    </w:p>
                  </w:txbxContent>
                </v:textbox>
              </v:roundrect>
            </w:pict>
          </mc:Fallback>
        </mc:AlternateContent>
      </w:r>
    </w:p>
    <w:p w14:paraId="4E20D544">
      <w:pPr>
        <w:spacing w:line="360" w:lineRule="auto"/>
        <w:rPr>
          <w:rFonts w:ascii="仿宋" w:hAnsi="仿宋" w:eastAsia="仿宋" w:cs="仿宋"/>
          <w:sz w:val="24"/>
        </w:rPr>
      </w:pPr>
    </w:p>
    <w:p w14:paraId="37CF7FD1">
      <w:pPr>
        <w:spacing w:line="360" w:lineRule="auto"/>
        <w:rPr>
          <w:rFonts w:ascii="仿宋" w:hAnsi="仿宋" w:eastAsia="仿宋" w:cs="仿宋"/>
          <w:sz w:val="24"/>
        </w:rPr>
      </w:pPr>
    </w:p>
    <w:p w14:paraId="093E7D68">
      <w:pPr>
        <w:tabs>
          <w:tab w:val="left" w:pos="654"/>
          <w:tab w:val="left" w:pos="1734"/>
          <w:tab w:val="left" w:pos="2814"/>
          <w:tab w:val="left" w:pos="3894"/>
          <w:tab w:val="left" w:pos="5334"/>
          <w:tab w:val="left" w:pos="6414"/>
          <w:tab w:val="left" w:pos="7254"/>
          <w:tab w:val="left" w:pos="8574"/>
          <w:tab w:val="left" w:pos="9654"/>
        </w:tabs>
        <w:spacing w:line="360" w:lineRule="auto"/>
        <w:rPr>
          <w:rFonts w:ascii="仿宋" w:hAnsi="仿宋" w:eastAsia="仿宋" w:cs="仿宋"/>
          <w:sz w:val="24"/>
        </w:rPr>
      </w:pPr>
    </w:p>
    <w:p w14:paraId="6544CA5B">
      <w:pPr>
        <w:autoSpaceDE w:val="0"/>
        <w:autoSpaceDN w:val="0"/>
        <w:adjustRightInd w:val="0"/>
        <w:spacing w:line="360" w:lineRule="auto"/>
        <w:ind w:right="246"/>
        <w:rPr>
          <w:rFonts w:ascii="仿宋" w:hAnsi="仿宋" w:eastAsia="仿宋" w:cs="仿宋"/>
          <w:kern w:val="0"/>
          <w:sz w:val="24"/>
        </w:rPr>
      </w:pPr>
    </w:p>
    <w:p w14:paraId="293EB13E">
      <w:pPr>
        <w:autoSpaceDE w:val="0"/>
        <w:autoSpaceDN w:val="0"/>
        <w:adjustRightInd w:val="0"/>
        <w:spacing w:line="360" w:lineRule="auto"/>
        <w:ind w:right="246"/>
        <w:rPr>
          <w:rFonts w:ascii="仿宋" w:hAnsi="仿宋" w:eastAsia="仿宋" w:cs="仿宋"/>
          <w:kern w:val="0"/>
          <w:sz w:val="24"/>
        </w:rPr>
      </w:pPr>
    </w:p>
    <w:p w14:paraId="6D9BDEF3">
      <w:pPr>
        <w:autoSpaceDE w:val="0"/>
        <w:autoSpaceDN w:val="0"/>
        <w:adjustRightInd w:val="0"/>
        <w:spacing w:line="360" w:lineRule="auto"/>
        <w:ind w:right="246" w:firstLine="784" w:firstLineChars="327"/>
        <w:rPr>
          <w:rFonts w:ascii="仿宋" w:hAnsi="仿宋" w:eastAsia="仿宋" w:cs="仿宋"/>
          <w:kern w:val="0"/>
          <w:sz w:val="24"/>
        </w:rPr>
      </w:pPr>
    </w:p>
    <w:p w14:paraId="2360F169">
      <w:pPr>
        <w:autoSpaceDE w:val="0"/>
        <w:autoSpaceDN w:val="0"/>
        <w:adjustRightInd w:val="0"/>
        <w:spacing w:line="360" w:lineRule="auto"/>
        <w:ind w:right="246" w:firstLine="784" w:firstLineChars="327"/>
        <w:rPr>
          <w:rFonts w:ascii="仿宋" w:hAnsi="仿宋" w:eastAsia="仿宋" w:cs="仿宋"/>
          <w:sz w:val="24"/>
        </w:rPr>
      </w:pPr>
      <w:r>
        <w:rPr>
          <w:rFonts w:hint="eastAsia" w:ascii="仿宋" w:hAnsi="仿宋" w:eastAsia="仿宋" w:cs="仿宋"/>
          <w:kern w:val="0"/>
          <w:sz w:val="24"/>
        </w:rPr>
        <w:t>投标人（公章）：</w:t>
      </w:r>
      <w:r>
        <w:rPr>
          <w:rFonts w:hint="eastAsia" w:ascii="仿宋" w:hAnsi="仿宋" w:eastAsia="仿宋" w:cs="仿宋"/>
          <w:kern w:val="0"/>
          <w:sz w:val="24"/>
          <w:u w:val="single"/>
        </w:rPr>
        <w:t xml:space="preserve">                             </w:t>
      </w:r>
      <w:r>
        <w:rPr>
          <w:rFonts w:hint="eastAsia" w:ascii="仿宋" w:hAnsi="仿宋" w:eastAsia="仿宋" w:cs="仿宋"/>
          <w:kern w:val="0"/>
          <w:sz w:val="24"/>
        </w:rPr>
        <w:t xml:space="preserve"> </w:t>
      </w:r>
    </w:p>
    <w:p w14:paraId="02F41AC3">
      <w:pPr>
        <w:adjustRightInd w:val="0"/>
        <w:snapToGrid w:val="0"/>
        <w:spacing w:line="360" w:lineRule="auto"/>
        <w:ind w:firstLine="784" w:firstLineChars="327"/>
        <w:rPr>
          <w:rFonts w:ascii="仿宋" w:hAnsi="仿宋" w:eastAsia="仿宋" w:cs="仿宋"/>
          <w:sz w:val="24"/>
        </w:rPr>
      </w:pPr>
      <w:r>
        <w:rPr>
          <w:rFonts w:hint="eastAsia" w:ascii="仿宋" w:hAnsi="仿宋" w:eastAsia="仿宋" w:cs="仿宋"/>
          <w:kern w:val="0"/>
          <w:sz w:val="24"/>
        </w:rPr>
        <w:t>法定代表人（签/章）：</w:t>
      </w:r>
      <w:r>
        <w:rPr>
          <w:rFonts w:hint="eastAsia" w:ascii="仿宋" w:hAnsi="仿宋" w:eastAsia="仿宋" w:cs="仿宋"/>
          <w:sz w:val="24"/>
          <w:u w:val="single"/>
        </w:rPr>
        <w:t xml:space="preserve">                    </w:t>
      </w:r>
    </w:p>
    <w:p w14:paraId="6312222C">
      <w:pPr>
        <w:adjustRightInd w:val="0"/>
        <w:snapToGrid w:val="0"/>
        <w:spacing w:line="360" w:lineRule="auto"/>
        <w:ind w:firstLine="784" w:firstLineChars="327"/>
        <w:rPr>
          <w:rFonts w:ascii="仿宋" w:hAnsi="仿宋" w:eastAsia="仿宋" w:cs="仿宋"/>
          <w:b/>
          <w:bCs/>
          <w:sz w:val="24"/>
        </w:rPr>
      </w:pPr>
      <w:r>
        <w:rPr>
          <w:rFonts w:hint="eastAsia" w:ascii="仿宋" w:hAnsi="仿宋" w:eastAsia="仿宋" w:cs="仿宋"/>
          <w:sz w:val="24"/>
        </w:rPr>
        <w:t>日期：</w:t>
      </w:r>
      <w:r>
        <w:rPr>
          <w:rFonts w:hint="eastAsia" w:ascii="仿宋" w:hAnsi="仿宋" w:eastAsia="仿宋" w:cs="仿宋"/>
          <w:sz w:val="24"/>
          <w:u w:val="single"/>
        </w:rPr>
        <w:t xml:space="preserve">                                       </w:t>
      </w:r>
    </w:p>
    <w:p w14:paraId="7FD84D79">
      <w:pPr>
        <w:rPr>
          <w:rFonts w:ascii="仿宋" w:hAnsi="仿宋" w:eastAsia="仿宋" w:cs="仿宋"/>
          <w:b/>
          <w:bCs/>
          <w:spacing w:val="-4"/>
          <w:sz w:val="24"/>
        </w:rPr>
      </w:pPr>
      <w:r>
        <w:rPr>
          <w:rFonts w:hint="eastAsia" w:ascii="仿宋" w:hAnsi="仿宋" w:eastAsia="仿宋" w:cs="仿宋"/>
          <w:b/>
          <w:bCs/>
          <w:spacing w:val="-4"/>
          <w:sz w:val="24"/>
        </w:rPr>
        <w:br w:type="page"/>
      </w:r>
    </w:p>
    <w:p w14:paraId="6DA62962">
      <w:pPr>
        <w:spacing w:before="200" w:line="222" w:lineRule="auto"/>
        <w:ind w:left="2675"/>
        <w:rPr>
          <w:rFonts w:ascii="仿宋" w:hAnsi="仿宋" w:eastAsia="仿宋" w:cs="仿宋"/>
          <w:sz w:val="24"/>
        </w:rPr>
      </w:pPr>
      <w:r>
        <w:rPr>
          <w:rFonts w:hint="eastAsia" w:ascii="仿宋" w:hAnsi="仿宋" w:eastAsia="仿宋" w:cs="仿宋"/>
          <w:b/>
          <w:bCs/>
          <w:spacing w:val="-4"/>
          <w:sz w:val="24"/>
        </w:rPr>
        <w:t>法定代表人授权委托书</w:t>
      </w:r>
    </w:p>
    <w:p w14:paraId="785D9514">
      <w:pPr>
        <w:spacing w:line="254" w:lineRule="auto"/>
        <w:rPr>
          <w:rFonts w:ascii="仿宋" w:hAnsi="仿宋" w:eastAsia="仿宋" w:cs="仿宋"/>
        </w:rPr>
      </w:pPr>
    </w:p>
    <w:p w14:paraId="0C2C4E88">
      <w:pPr>
        <w:pStyle w:val="16"/>
        <w:tabs>
          <w:tab w:val="left" w:pos="5580"/>
        </w:tabs>
        <w:spacing w:line="360" w:lineRule="exact"/>
        <w:rPr>
          <w:rFonts w:ascii="仿宋" w:hAnsi="仿宋" w:eastAsia="仿宋" w:cs="仿宋"/>
          <w:szCs w:val="21"/>
        </w:rPr>
      </w:pPr>
      <w:r>
        <w:rPr>
          <w:rFonts w:hint="eastAsia" w:ascii="仿宋" w:hAnsi="仿宋" w:eastAsia="仿宋" w:cs="仿宋"/>
          <w:szCs w:val="21"/>
        </w:rPr>
        <w:t xml:space="preserve">  </w:t>
      </w:r>
      <w:r>
        <w:rPr>
          <w:rFonts w:hint="eastAsia" w:ascii="仿宋" w:hAnsi="仿宋" w:eastAsia="仿宋" w:cs="仿宋"/>
          <w:sz w:val="24"/>
          <w:szCs w:val="24"/>
        </w:rPr>
        <w:t>本授权书声明：注册于</w:t>
      </w:r>
      <w:r>
        <w:rPr>
          <w:rFonts w:hint="eastAsia" w:ascii="仿宋" w:hAnsi="仿宋" w:eastAsia="仿宋" w:cs="仿宋"/>
          <w:sz w:val="24"/>
          <w:szCs w:val="24"/>
          <w:u w:val="single"/>
        </w:rPr>
        <w:t>（国家或地区的名称）</w:t>
      </w:r>
      <w:r>
        <w:rPr>
          <w:rFonts w:hint="eastAsia" w:ascii="仿宋" w:hAnsi="仿宋" w:eastAsia="仿宋" w:cs="仿宋"/>
          <w:sz w:val="24"/>
          <w:szCs w:val="24"/>
        </w:rPr>
        <w:t>的（</w:t>
      </w:r>
      <w:r>
        <w:rPr>
          <w:rFonts w:hint="eastAsia" w:ascii="仿宋" w:hAnsi="仿宋" w:eastAsia="仿宋" w:cs="仿宋"/>
          <w:i/>
          <w:sz w:val="24"/>
          <w:szCs w:val="24"/>
          <w:u w:val="single"/>
        </w:rPr>
        <w:t>投标人</w:t>
      </w:r>
      <w:r>
        <w:rPr>
          <w:rFonts w:hint="eastAsia" w:ascii="仿宋" w:hAnsi="仿宋" w:eastAsia="仿宋" w:cs="仿宋"/>
          <w:sz w:val="24"/>
          <w:szCs w:val="24"/>
        </w:rPr>
        <w:t>）的在下面签字的（</w:t>
      </w:r>
      <w:r>
        <w:rPr>
          <w:rFonts w:hint="eastAsia" w:ascii="仿宋" w:hAnsi="仿宋" w:eastAsia="仿宋" w:cs="仿宋"/>
          <w:i/>
          <w:sz w:val="24"/>
          <w:szCs w:val="24"/>
          <w:u w:val="single"/>
        </w:rPr>
        <w:t>法人代表姓名、职务</w:t>
      </w:r>
      <w:r>
        <w:rPr>
          <w:rFonts w:hint="eastAsia" w:ascii="仿宋" w:hAnsi="仿宋" w:eastAsia="仿宋" w:cs="仿宋"/>
          <w:sz w:val="24"/>
          <w:szCs w:val="24"/>
        </w:rPr>
        <w:t>）代表我单位授权（</w:t>
      </w:r>
      <w:r>
        <w:rPr>
          <w:rFonts w:hint="eastAsia" w:ascii="仿宋" w:hAnsi="仿宋" w:eastAsia="仿宋" w:cs="仿宋"/>
          <w:i/>
          <w:sz w:val="24"/>
          <w:szCs w:val="24"/>
          <w:u w:val="single"/>
        </w:rPr>
        <w:t>单位名称</w:t>
      </w:r>
      <w:r>
        <w:rPr>
          <w:rFonts w:hint="eastAsia" w:ascii="仿宋" w:hAnsi="仿宋" w:eastAsia="仿宋" w:cs="仿宋"/>
          <w:sz w:val="24"/>
          <w:szCs w:val="24"/>
        </w:rPr>
        <w:t>）的在下面签字的（</w:t>
      </w:r>
      <w:r>
        <w:rPr>
          <w:rFonts w:hint="eastAsia" w:ascii="仿宋" w:hAnsi="仿宋" w:eastAsia="仿宋" w:cs="仿宋"/>
          <w:i/>
          <w:sz w:val="24"/>
          <w:szCs w:val="24"/>
          <w:u w:val="single"/>
        </w:rPr>
        <w:t>被授权人的姓名、职务</w:t>
      </w:r>
      <w:r>
        <w:rPr>
          <w:rFonts w:hint="eastAsia" w:ascii="仿宋" w:hAnsi="仿宋" w:eastAsia="仿宋" w:cs="仿宋"/>
          <w:sz w:val="24"/>
          <w:szCs w:val="24"/>
        </w:rPr>
        <w:t>）为我单位的合法代理人，就（</w:t>
      </w:r>
      <w:r>
        <w:rPr>
          <w:rFonts w:hint="eastAsia" w:ascii="仿宋" w:hAnsi="仿宋" w:eastAsia="仿宋" w:cs="仿宋"/>
          <w:i/>
          <w:sz w:val="24"/>
          <w:szCs w:val="24"/>
          <w:u w:val="single"/>
        </w:rPr>
        <w:t>项目名称）的</w:t>
      </w:r>
      <w:r>
        <w:rPr>
          <w:rFonts w:hint="eastAsia" w:ascii="仿宋" w:hAnsi="仿宋" w:eastAsia="仿宋" w:cs="仿宋"/>
          <w:sz w:val="24"/>
          <w:szCs w:val="24"/>
        </w:rPr>
        <w:t>投标，以我单位名义处理一切与之有关的事务。</w:t>
      </w:r>
      <w:r>
        <w:rPr>
          <w:rFonts w:hint="eastAsia" w:ascii="仿宋" w:hAnsi="仿宋" w:eastAsia="仿宋" w:cs="仿宋"/>
          <w:szCs w:val="21"/>
        </w:rPr>
        <w:cr/>
      </w:r>
      <w:r>
        <w:rPr>
          <w:rFonts w:hint="eastAsia" w:ascii="仿宋" w:hAnsi="仿宋" w:eastAsia="仿宋" w:cs="仿宋"/>
          <w:szCs w:val="21"/>
        </w:rPr>
        <w:t>　　</w:t>
      </w:r>
    </w:p>
    <w:p w14:paraId="4974B387">
      <w:pPr>
        <w:pStyle w:val="16"/>
        <w:tabs>
          <w:tab w:val="left" w:pos="5580"/>
        </w:tabs>
        <w:spacing w:line="360" w:lineRule="exact"/>
        <w:ind w:left="-540" w:leftChars="-257" w:firstLine="900" w:firstLineChars="375"/>
        <w:rPr>
          <w:rFonts w:ascii="仿宋" w:hAnsi="仿宋" w:eastAsia="仿宋" w:cs="仿宋"/>
          <w:sz w:val="24"/>
          <w:szCs w:val="24"/>
        </w:rPr>
      </w:pPr>
      <w:r>
        <w:rPr>
          <w:rFonts w:hint="eastAsia" w:ascii="仿宋" w:hAnsi="仿宋" w:eastAsia="仿宋" w:cs="仿宋"/>
          <w:sz w:val="24"/>
          <w:szCs w:val="24"/>
        </w:rPr>
        <w:t>本授权书于</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日签字生效,特此声明。</w:t>
      </w:r>
    </w:p>
    <w:p w14:paraId="453C2B00">
      <w:pPr>
        <w:pStyle w:val="16"/>
        <w:tabs>
          <w:tab w:val="left" w:pos="5580"/>
        </w:tabs>
        <w:spacing w:line="240" w:lineRule="atLeast"/>
        <w:ind w:left="-540" w:leftChars="-257" w:firstLine="787" w:firstLineChars="375"/>
        <w:rPr>
          <w:rFonts w:ascii="仿宋" w:hAnsi="仿宋" w:eastAsia="仿宋" w:cs="仿宋"/>
          <w:szCs w:val="21"/>
        </w:rPr>
      </w:pPr>
      <w:r>
        <w:rPr>
          <w:rFonts w:hint="eastAsia" w:ascii="仿宋" w:hAnsi="仿宋" w:eastAsia="仿宋" w:cs="仿宋"/>
          <w:szCs w:val="21"/>
        </w:rPr>
        <mc:AlternateContent>
          <mc:Choice Requires="wps">
            <w:drawing>
              <wp:anchor distT="0" distB="0" distL="114300" distR="114300" simplePos="0" relativeHeight="251668480" behindDoc="0" locked="0" layoutInCell="1" allowOverlap="1">
                <wp:simplePos x="0" y="0"/>
                <wp:positionH relativeFrom="column">
                  <wp:posOffset>3039110</wp:posOffset>
                </wp:positionH>
                <wp:positionV relativeFrom="paragraph">
                  <wp:posOffset>101600</wp:posOffset>
                </wp:positionV>
                <wp:extent cx="2478405" cy="1177290"/>
                <wp:effectExtent l="7620" t="7620" r="15875" b="8890"/>
                <wp:wrapNone/>
                <wp:docPr id="29" name="圆角矩形 29"/>
                <wp:cNvGraphicFramePr/>
                <a:graphic xmlns:a="http://schemas.openxmlformats.org/drawingml/2006/main">
                  <a:graphicData uri="http://schemas.microsoft.com/office/word/2010/wordprocessingShape">
                    <wps:wsp>
                      <wps:cNvSpPr/>
                      <wps:spPr>
                        <a:xfrm>
                          <a:off x="0" y="0"/>
                          <a:ext cx="2478405" cy="96901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2241BFFC">
                            <w:pPr>
                              <w:rPr>
                                <w:rFonts w:hAnsi="宋体"/>
                              </w:rPr>
                            </w:pPr>
                          </w:p>
                          <w:p w14:paraId="75BD9699">
                            <w:pPr>
                              <w:ind w:firstLine="630" w:firstLineChars="300"/>
                              <w:rPr>
                                <w:rFonts w:hAnsi="宋体"/>
                              </w:rPr>
                            </w:pPr>
                          </w:p>
                          <w:p w14:paraId="4C946A34">
                            <w:pPr>
                              <w:ind w:firstLine="630" w:firstLineChars="300"/>
                              <w:rPr>
                                <w:rFonts w:ascii="仿宋" w:hAnsi="仿宋" w:eastAsia="仿宋" w:cs="仿宋"/>
                              </w:rPr>
                            </w:pPr>
                            <w:r>
                              <w:rPr>
                                <w:rFonts w:hint="eastAsia" w:ascii="仿宋" w:hAnsi="仿宋" w:eastAsia="仿宋" w:cs="仿宋"/>
                              </w:rPr>
                              <w:t>授权委托人身份证复印件</w:t>
                            </w:r>
                          </w:p>
                          <w:p w14:paraId="274B9300">
                            <w:pPr>
                              <w:jc w:val="center"/>
                              <w:rPr>
                                <w:rFonts w:ascii="仿宋" w:hAnsi="仿宋" w:eastAsia="仿宋" w:cs="仿宋"/>
                              </w:rPr>
                            </w:pPr>
                            <w:r>
                              <w:rPr>
                                <w:rFonts w:hint="eastAsia" w:ascii="仿宋" w:hAnsi="仿宋" w:eastAsia="仿宋" w:cs="仿宋"/>
                              </w:rPr>
                              <w:t>（人像面）</w:t>
                            </w:r>
                          </w:p>
                          <w:p w14:paraId="0D548AA4"/>
                        </w:txbxContent>
                      </wps:txbx>
                      <wps:bodyPr wrap="square" upright="1"/>
                    </wps:wsp>
                  </a:graphicData>
                </a:graphic>
              </wp:anchor>
            </w:drawing>
          </mc:Choice>
          <mc:Fallback>
            <w:pict>
              <v:roundrect id="_x0000_s1026" o:spid="_x0000_s1026" o:spt="2" style="position:absolute;left:0pt;margin-left:239.3pt;margin-top:8pt;height:92.7pt;width:195.15pt;z-index:251668480;mso-width-relative:page;mso-height-relative:page;" fillcolor="#FFFFFF" filled="t" stroked="t" coordsize="21600,21600" arcsize="0.166666666666667" o:gfxdata="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N+/eyHaAAAACgEAAA8AAAAAAAAAAQAgAAAAIgAAAGRycy9kb3du&#10;cmV2LnhtbFBLAQIUABQAAAAIAIdO4kBdDVatNgIAAHUEAAAOAAAAAAAAAAEAIAAAACkBAABkcnMv&#10;ZTJvRG9jLnhtbFBLBQYAAAAABgAGAFkBAADRBQAAAAA=&#10;">
                <v:fill on="t" focussize="0,0"/>
                <v:stroke weight="1.25pt" color="#808080" joinstyle="round"/>
                <v:imagedata o:title=""/>
                <o:lock v:ext="edit" aspectratio="f"/>
                <v:textbox>
                  <w:txbxContent>
                    <w:p w14:paraId="2241BFFC">
                      <w:pPr>
                        <w:rPr>
                          <w:rFonts w:hAnsi="宋体"/>
                        </w:rPr>
                      </w:pPr>
                    </w:p>
                    <w:p w14:paraId="75BD9699">
                      <w:pPr>
                        <w:ind w:firstLine="630" w:firstLineChars="300"/>
                        <w:rPr>
                          <w:rFonts w:hAnsi="宋体"/>
                        </w:rPr>
                      </w:pPr>
                    </w:p>
                    <w:p w14:paraId="4C946A34">
                      <w:pPr>
                        <w:ind w:firstLine="630" w:firstLineChars="300"/>
                        <w:rPr>
                          <w:rFonts w:ascii="仿宋" w:hAnsi="仿宋" w:eastAsia="仿宋" w:cs="仿宋"/>
                        </w:rPr>
                      </w:pPr>
                      <w:r>
                        <w:rPr>
                          <w:rFonts w:hint="eastAsia" w:ascii="仿宋" w:hAnsi="仿宋" w:eastAsia="仿宋" w:cs="仿宋"/>
                        </w:rPr>
                        <w:t>授权委托人身份证复印件</w:t>
                      </w:r>
                    </w:p>
                    <w:p w14:paraId="274B9300">
                      <w:pPr>
                        <w:jc w:val="center"/>
                        <w:rPr>
                          <w:rFonts w:ascii="仿宋" w:hAnsi="仿宋" w:eastAsia="仿宋" w:cs="仿宋"/>
                        </w:rPr>
                      </w:pPr>
                      <w:r>
                        <w:rPr>
                          <w:rFonts w:hint="eastAsia" w:ascii="仿宋" w:hAnsi="仿宋" w:eastAsia="仿宋" w:cs="仿宋"/>
                        </w:rPr>
                        <w:t>（人像面）</w:t>
                      </w:r>
                    </w:p>
                    <w:p w14:paraId="0D548AA4"/>
                  </w:txbxContent>
                </v:textbox>
              </v:roundrect>
            </w:pict>
          </mc:Fallback>
        </mc:AlternateContent>
      </w:r>
      <w:r>
        <w:rPr>
          <w:rFonts w:hint="eastAsia" w:ascii="仿宋" w:hAnsi="仿宋" w:eastAsia="仿宋" w:cs="仿宋"/>
          <w:szCs w:val="21"/>
        </w:rPr>
        <mc:AlternateContent>
          <mc:Choice Requires="wps">
            <w:drawing>
              <wp:anchor distT="0" distB="0" distL="114300" distR="114300" simplePos="0" relativeHeight="251667456" behindDoc="0" locked="0" layoutInCell="1" allowOverlap="1">
                <wp:simplePos x="0" y="0"/>
                <wp:positionH relativeFrom="column">
                  <wp:posOffset>20955</wp:posOffset>
                </wp:positionH>
                <wp:positionV relativeFrom="paragraph">
                  <wp:posOffset>135890</wp:posOffset>
                </wp:positionV>
                <wp:extent cx="2469515" cy="1114425"/>
                <wp:effectExtent l="4445" t="4445" r="15240" b="11430"/>
                <wp:wrapNone/>
                <wp:docPr id="31" name="流程图: 可选过程 31"/>
                <wp:cNvGraphicFramePr/>
                <a:graphic xmlns:a="http://schemas.openxmlformats.org/drawingml/2006/main">
                  <a:graphicData uri="http://schemas.microsoft.com/office/word/2010/wordprocessingShape">
                    <wps:wsp>
                      <wps:cNvSpPr/>
                      <wps:spPr>
                        <a:xfrm>
                          <a:off x="0" y="0"/>
                          <a:ext cx="2317750" cy="94234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313C7FC9">
                            <w:pPr>
                              <w:jc w:val="center"/>
                              <w:rPr>
                                <w:rFonts w:hAnsi="宋体"/>
                              </w:rPr>
                            </w:pPr>
                          </w:p>
                          <w:p w14:paraId="116A3227">
                            <w:pPr>
                              <w:jc w:val="center"/>
                              <w:rPr>
                                <w:rFonts w:ascii="仿宋" w:hAnsi="仿宋" w:eastAsia="仿宋" w:cs="仿宋"/>
                              </w:rPr>
                            </w:pPr>
                          </w:p>
                          <w:p w14:paraId="1235A208">
                            <w:pPr>
                              <w:jc w:val="center"/>
                              <w:rPr>
                                <w:rFonts w:ascii="仿宋" w:hAnsi="仿宋" w:eastAsia="仿宋" w:cs="仿宋"/>
                              </w:rPr>
                            </w:pPr>
                            <w:r>
                              <w:rPr>
                                <w:rFonts w:hint="eastAsia" w:ascii="仿宋" w:hAnsi="仿宋" w:eastAsia="仿宋" w:cs="仿宋"/>
                              </w:rPr>
                              <w:t>授权委托人身份证复印件</w:t>
                            </w:r>
                          </w:p>
                          <w:p w14:paraId="47E1B190">
                            <w:pPr>
                              <w:jc w:val="center"/>
                              <w:rPr>
                                <w:rFonts w:ascii="仿宋" w:hAnsi="仿宋" w:eastAsia="仿宋" w:cs="仿宋"/>
                              </w:rPr>
                            </w:pPr>
                            <w:r>
                              <w:rPr>
                                <w:rFonts w:hint="eastAsia" w:ascii="仿宋" w:hAnsi="仿宋" w:eastAsia="仿宋" w:cs="仿宋"/>
                              </w:rPr>
                              <w:t>（国徽面）</w:t>
                            </w:r>
                          </w:p>
                          <w:p w14:paraId="1CECB24C">
                            <w:pPr>
                              <w:jc w:val="center"/>
                              <w:rPr>
                                <w:rFonts w:hAnsi="宋体"/>
                              </w:rPr>
                            </w:pPr>
                          </w:p>
                          <w:p w14:paraId="32805E09">
                            <w:pPr>
                              <w:jc w:val="center"/>
                              <w:rPr>
                                <w:rFonts w:hAnsi="宋体"/>
                              </w:rPr>
                            </w:pPr>
                          </w:p>
                          <w:p w14:paraId="07E054B7">
                            <w:pPr>
                              <w:jc w:val="center"/>
                              <w:rPr>
                                <w:rFonts w:hAnsi="宋体"/>
                              </w:rPr>
                            </w:pPr>
                          </w:p>
                          <w:p w14:paraId="72BB91BA">
                            <w:pPr>
                              <w:jc w:val="center"/>
                            </w:pPr>
                          </w:p>
                        </w:txbxContent>
                      </wps:txbx>
                      <wps:bodyPr wrap="square" upright="1"/>
                    </wps:wsp>
                  </a:graphicData>
                </a:graphic>
              </wp:anchor>
            </w:drawing>
          </mc:Choice>
          <mc:Fallback>
            <w:pict>
              <v:shape id="_x0000_s1026" o:spid="_x0000_s1026" o:spt="176" type="#_x0000_t176" style="position:absolute;left:0pt;margin-left:1.65pt;margin-top:10.7pt;height:87.75pt;width:194.45pt;z-index:251667456;mso-width-relative:page;mso-height-relative:page;" fillcolor="#FFFFFF" filled="t" stroked="t" coordsize="21600,21600" o:gfxdata="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B2dN4N1gAAAAgBAAAPAAAAAAAAAAEAIAAAACIAAABkcnMvZG93&#10;bnJldi54bWxQSwECFAAUAAAACACHTuJAuufC0zsCAABtBAAADgAAAAAAAAABACAAAAAlAQAAZHJz&#10;L2Uyb0RvYy54bWxQSwUGAAAAAAYABgBZAQAA0gUAAAAA&#10;">
                <v:fill on="t" focussize="0,0"/>
                <v:stroke color="#000000" joinstyle="miter"/>
                <v:imagedata o:title=""/>
                <o:lock v:ext="edit" aspectratio="f"/>
                <v:textbox>
                  <w:txbxContent>
                    <w:p w14:paraId="313C7FC9">
                      <w:pPr>
                        <w:jc w:val="center"/>
                        <w:rPr>
                          <w:rFonts w:hAnsi="宋体"/>
                        </w:rPr>
                      </w:pPr>
                    </w:p>
                    <w:p w14:paraId="116A3227">
                      <w:pPr>
                        <w:jc w:val="center"/>
                        <w:rPr>
                          <w:rFonts w:ascii="仿宋" w:hAnsi="仿宋" w:eastAsia="仿宋" w:cs="仿宋"/>
                        </w:rPr>
                      </w:pPr>
                    </w:p>
                    <w:p w14:paraId="1235A208">
                      <w:pPr>
                        <w:jc w:val="center"/>
                        <w:rPr>
                          <w:rFonts w:ascii="仿宋" w:hAnsi="仿宋" w:eastAsia="仿宋" w:cs="仿宋"/>
                        </w:rPr>
                      </w:pPr>
                      <w:r>
                        <w:rPr>
                          <w:rFonts w:hint="eastAsia" w:ascii="仿宋" w:hAnsi="仿宋" w:eastAsia="仿宋" w:cs="仿宋"/>
                        </w:rPr>
                        <w:t>授权委托人身份证复印件</w:t>
                      </w:r>
                    </w:p>
                    <w:p w14:paraId="47E1B190">
                      <w:pPr>
                        <w:jc w:val="center"/>
                        <w:rPr>
                          <w:rFonts w:ascii="仿宋" w:hAnsi="仿宋" w:eastAsia="仿宋" w:cs="仿宋"/>
                        </w:rPr>
                      </w:pPr>
                      <w:r>
                        <w:rPr>
                          <w:rFonts w:hint="eastAsia" w:ascii="仿宋" w:hAnsi="仿宋" w:eastAsia="仿宋" w:cs="仿宋"/>
                        </w:rPr>
                        <w:t>（国徽面）</w:t>
                      </w:r>
                    </w:p>
                    <w:p w14:paraId="1CECB24C">
                      <w:pPr>
                        <w:jc w:val="center"/>
                        <w:rPr>
                          <w:rFonts w:hAnsi="宋体"/>
                        </w:rPr>
                      </w:pPr>
                    </w:p>
                    <w:p w14:paraId="32805E09">
                      <w:pPr>
                        <w:jc w:val="center"/>
                        <w:rPr>
                          <w:rFonts w:hAnsi="宋体"/>
                        </w:rPr>
                      </w:pPr>
                    </w:p>
                    <w:p w14:paraId="07E054B7">
                      <w:pPr>
                        <w:jc w:val="center"/>
                        <w:rPr>
                          <w:rFonts w:hAnsi="宋体"/>
                        </w:rPr>
                      </w:pPr>
                    </w:p>
                    <w:p w14:paraId="72BB91BA">
                      <w:pPr>
                        <w:jc w:val="center"/>
                      </w:pPr>
                    </w:p>
                  </w:txbxContent>
                </v:textbox>
              </v:shape>
            </w:pict>
          </mc:Fallback>
        </mc:AlternateContent>
      </w:r>
    </w:p>
    <w:p w14:paraId="045E6891">
      <w:pPr>
        <w:spacing w:line="360" w:lineRule="auto"/>
        <w:ind w:firstLine="210" w:firstLineChars="100"/>
        <w:rPr>
          <w:rFonts w:ascii="仿宋" w:hAnsi="仿宋" w:eastAsia="仿宋" w:cs="仿宋"/>
          <w:szCs w:val="21"/>
        </w:rPr>
      </w:pPr>
    </w:p>
    <w:p w14:paraId="58267CDE">
      <w:pPr>
        <w:spacing w:line="360" w:lineRule="auto"/>
        <w:ind w:firstLine="210" w:firstLineChars="100"/>
        <w:rPr>
          <w:rFonts w:ascii="仿宋" w:hAnsi="仿宋" w:eastAsia="仿宋" w:cs="仿宋"/>
          <w:szCs w:val="21"/>
        </w:rPr>
      </w:pPr>
    </w:p>
    <w:p w14:paraId="2BE18861">
      <w:pPr>
        <w:spacing w:line="360" w:lineRule="auto"/>
        <w:ind w:firstLine="210" w:firstLineChars="100"/>
        <w:rPr>
          <w:rFonts w:ascii="仿宋" w:hAnsi="仿宋" w:eastAsia="仿宋" w:cs="仿宋"/>
          <w:szCs w:val="21"/>
        </w:rPr>
      </w:pPr>
    </w:p>
    <w:p w14:paraId="3C65E8A7">
      <w:pPr>
        <w:spacing w:line="360" w:lineRule="auto"/>
        <w:ind w:firstLine="210" w:firstLineChars="100"/>
        <w:rPr>
          <w:rFonts w:ascii="仿宋" w:hAnsi="仿宋" w:eastAsia="仿宋" w:cs="仿宋"/>
          <w:szCs w:val="21"/>
        </w:rPr>
      </w:pPr>
    </w:p>
    <w:p w14:paraId="7A3A5DA6">
      <w:pPr>
        <w:spacing w:line="360" w:lineRule="auto"/>
        <w:ind w:firstLine="210" w:firstLineChars="100"/>
        <w:rPr>
          <w:rFonts w:ascii="仿宋" w:hAnsi="仿宋" w:eastAsia="仿宋" w:cs="仿宋"/>
          <w:szCs w:val="21"/>
        </w:rPr>
      </w:pPr>
      <w:r>
        <w:rPr>
          <w:rFonts w:hint="eastAsia" w:ascii="仿宋" w:hAnsi="仿宋" w:eastAsia="仿宋" w:cs="仿宋"/>
          <w:szCs w:val="21"/>
        </w:rPr>
        <mc:AlternateContent>
          <mc:Choice Requires="wps">
            <w:drawing>
              <wp:anchor distT="0" distB="0" distL="114300" distR="114300" simplePos="0" relativeHeight="251670528" behindDoc="0" locked="0" layoutInCell="1" allowOverlap="1">
                <wp:simplePos x="0" y="0"/>
                <wp:positionH relativeFrom="column">
                  <wp:posOffset>3010535</wp:posOffset>
                </wp:positionH>
                <wp:positionV relativeFrom="paragraph">
                  <wp:posOffset>203200</wp:posOffset>
                </wp:positionV>
                <wp:extent cx="2513330" cy="1094740"/>
                <wp:effectExtent l="7620" t="7620" r="19050" b="15240"/>
                <wp:wrapNone/>
                <wp:docPr id="14" name="圆角矩形 14"/>
                <wp:cNvGraphicFramePr/>
                <a:graphic xmlns:a="http://schemas.openxmlformats.org/drawingml/2006/main">
                  <a:graphicData uri="http://schemas.microsoft.com/office/word/2010/wordprocessingShape">
                    <wps:wsp>
                      <wps:cNvSpPr/>
                      <wps:spPr>
                        <a:xfrm>
                          <a:off x="0" y="0"/>
                          <a:ext cx="2513330" cy="109474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4B41B7B6">
                            <w:pPr>
                              <w:jc w:val="center"/>
                              <w:rPr>
                                <w:rFonts w:hAnsi="宋体"/>
                              </w:rPr>
                            </w:pPr>
                            <w:r>
                              <w:rPr>
                                <w:rFonts w:hint="eastAsia" w:hAnsi="宋体"/>
                              </w:rPr>
                              <w:t xml:space="preserve">  </w:t>
                            </w:r>
                          </w:p>
                          <w:p w14:paraId="42D134A2">
                            <w:pPr>
                              <w:rPr>
                                <w:rFonts w:hAnsi="宋体"/>
                              </w:rPr>
                            </w:pPr>
                          </w:p>
                          <w:p w14:paraId="1F309AA5">
                            <w:pPr>
                              <w:jc w:val="center"/>
                              <w:rPr>
                                <w:rFonts w:ascii="仿宋" w:hAnsi="仿宋" w:eastAsia="仿宋" w:cs="仿宋"/>
                                <w:szCs w:val="21"/>
                              </w:rPr>
                            </w:pPr>
                            <w:r>
                              <w:rPr>
                                <w:rFonts w:hint="eastAsia" w:ascii="仿宋" w:hAnsi="仿宋" w:eastAsia="仿宋" w:cs="仿宋"/>
                                <w:szCs w:val="21"/>
                              </w:rPr>
                              <w:t>法定代表人身份证复印件（人像面）</w:t>
                            </w:r>
                          </w:p>
                          <w:p w14:paraId="7175329C"/>
                        </w:txbxContent>
                      </wps:txbx>
                      <wps:bodyPr wrap="square" upright="1"/>
                    </wps:wsp>
                  </a:graphicData>
                </a:graphic>
              </wp:anchor>
            </w:drawing>
          </mc:Choice>
          <mc:Fallback>
            <w:pict>
              <v:roundrect id="_x0000_s1026" o:spid="_x0000_s1026" o:spt="2" style="position:absolute;left:0pt;margin-left:237.05pt;margin-top:16pt;height:86.2pt;width:197.9pt;z-index:251670528;mso-width-relative:page;mso-height-relative:page;" fillcolor="#FFFFFF" filled="t" stroked="t" coordsize="21600,21600" arcsize="0.166666666666667" o:gfxdata="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CMMa0f3AAAAAoBAAAPAAAAAAAAAAEAIAAAACIAAABkcnMv&#10;ZG93bnJldi54bWxQSwECFAAUAAAACACHTuJA3Eva9jgCAAB2BAAADgAAAAAAAAABACAAAAArAQAA&#10;ZHJzL2Uyb0RvYy54bWxQSwUGAAAAAAYABgBZAQAA1QUAAAAA&#10;">
                <v:fill on="t" focussize="0,0"/>
                <v:stroke weight="1.25pt" color="#808080" joinstyle="round"/>
                <v:imagedata o:title=""/>
                <o:lock v:ext="edit" aspectratio="f"/>
                <v:textbox>
                  <w:txbxContent>
                    <w:p w14:paraId="4B41B7B6">
                      <w:pPr>
                        <w:jc w:val="center"/>
                        <w:rPr>
                          <w:rFonts w:hAnsi="宋体"/>
                        </w:rPr>
                      </w:pPr>
                      <w:r>
                        <w:rPr>
                          <w:rFonts w:hint="eastAsia" w:hAnsi="宋体"/>
                        </w:rPr>
                        <w:t xml:space="preserve">  </w:t>
                      </w:r>
                    </w:p>
                    <w:p w14:paraId="42D134A2">
                      <w:pPr>
                        <w:rPr>
                          <w:rFonts w:hAnsi="宋体"/>
                        </w:rPr>
                      </w:pPr>
                    </w:p>
                    <w:p w14:paraId="1F309AA5">
                      <w:pPr>
                        <w:jc w:val="center"/>
                        <w:rPr>
                          <w:rFonts w:ascii="仿宋" w:hAnsi="仿宋" w:eastAsia="仿宋" w:cs="仿宋"/>
                          <w:szCs w:val="21"/>
                        </w:rPr>
                      </w:pPr>
                      <w:r>
                        <w:rPr>
                          <w:rFonts w:hint="eastAsia" w:ascii="仿宋" w:hAnsi="仿宋" w:eastAsia="仿宋" w:cs="仿宋"/>
                          <w:szCs w:val="21"/>
                        </w:rPr>
                        <w:t>法定代表人身份证复印件（人像面）</w:t>
                      </w:r>
                    </w:p>
                    <w:p w14:paraId="7175329C"/>
                  </w:txbxContent>
                </v:textbox>
              </v:roundrect>
            </w:pict>
          </mc:Fallback>
        </mc:AlternateContent>
      </w:r>
      <w:r>
        <w:rPr>
          <w:rFonts w:hint="eastAsia" w:ascii="仿宋" w:hAnsi="仿宋" w:eastAsia="仿宋" w:cs="仿宋"/>
          <w:szCs w:val="21"/>
        </w:rPr>
        <mc:AlternateContent>
          <mc:Choice Requires="wps">
            <w:drawing>
              <wp:anchor distT="0" distB="0" distL="114300" distR="114300" simplePos="0" relativeHeight="251669504" behindDoc="0" locked="0" layoutInCell="1" allowOverlap="1">
                <wp:simplePos x="0" y="0"/>
                <wp:positionH relativeFrom="column">
                  <wp:posOffset>-18415</wp:posOffset>
                </wp:positionH>
                <wp:positionV relativeFrom="paragraph">
                  <wp:posOffset>151765</wp:posOffset>
                </wp:positionV>
                <wp:extent cx="2510155" cy="1162050"/>
                <wp:effectExtent l="7620" t="7620" r="9525" b="11430"/>
                <wp:wrapNone/>
                <wp:docPr id="33" name="圆角矩形 33"/>
                <wp:cNvGraphicFramePr/>
                <a:graphic xmlns:a="http://schemas.openxmlformats.org/drawingml/2006/main">
                  <a:graphicData uri="http://schemas.microsoft.com/office/word/2010/wordprocessingShape">
                    <wps:wsp>
                      <wps:cNvSpPr/>
                      <wps:spPr>
                        <a:xfrm>
                          <a:off x="0" y="0"/>
                          <a:ext cx="2510155" cy="116205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45E1466A">
                            <w:pPr>
                              <w:jc w:val="center"/>
                              <w:rPr>
                                <w:rFonts w:hAnsi="宋体"/>
                              </w:rPr>
                            </w:pPr>
                          </w:p>
                          <w:p w14:paraId="3AA4B90B">
                            <w:pPr>
                              <w:rPr>
                                <w:rFonts w:hAnsi="宋体"/>
                              </w:rPr>
                            </w:pPr>
                          </w:p>
                          <w:p w14:paraId="4A840733">
                            <w:pPr>
                              <w:jc w:val="center"/>
                              <w:rPr>
                                <w:rFonts w:ascii="仿宋" w:hAnsi="仿宋" w:eastAsia="仿宋" w:cs="仿宋"/>
                                <w:szCs w:val="21"/>
                              </w:rPr>
                            </w:pPr>
                            <w:r>
                              <w:rPr>
                                <w:rFonts w:hint="eastAsia" w:ascii="仿宋" w:hAnsi="仿宋" w:eastAsia="仿宋" w:cs="仿宋"/>
                                <w:szCs w:val="21"/>
                              </w:rPr>
                              <w:t>法定代表人身份证复印件（国徽面）</w:t>
                            </w:r>
                          </w:p>
                          <w:p w14:paraId="6FD8C3E0"/>
                        </w:txbxContent>
                      </wps:txbx>
                      <wps:bodyPr wrap="square" upright="1"/>
                    </wps:wsp>
                  </a:graphicData>
                </a:graphic>
              </wp:anchor>
            </w:drawing>
          </mc:Choice>
          <mc:Fallback>
            <w:pict>
              <v:roundrect id="_x0000_s1026" o:spid="_x0000_s1026" o:spt="2" style="position:absolute;left:0pt;margin-left:-1.45pt;margin-top:11.95pt;height:91.5pt;width:197.65pt;z-index:251669504;mso-width-relative:page;mso-height-relative:page;" fillcolor="#FFFFFF" filled="t" stroked="t" coordsize="21600,21600" arcsize="0.166666666666667" o:gfxdata="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SHghbdsAAAAJAQAADwAAAAAAAAABACAAAAAiAAAAZHJzL2Rv&#10;d25yZXYueG1sUEsBAhQAFAAAAAgAh07iQBFUIOw3AgAAdgQAAA4AAAAAAAAAAQAgAAAAKgEAAGRy&#10;cy9lMm9Eb2MueG1sUEsFBgAAAAAGAAYAWQEAANMFAAAAAA==&#10;">
                <v:fill on="t" focussize="0,0"/>
                <v:stroke weight="1.25pt" color="#808080" joinstyle="round"/>
                <v:imagedata o:title=""/>
                <o:lock v:ext="edit" aspectratio="f"/>
                <v:textbox>
                  <w:txbxContent>
                    <w:p w14:paraId="45E1466A">
                      <w:pPr>
                        <w:jc w:val="center"/>
                        <w:rPr>
                          <w:rFonts w:hAnsi="宋体"/>
                        </w:rPr>
                      </w:pPr>
                    </w:p>
                    <w:p w14:paraId="3AA4B90B">
                      <w:pPr>
                        <w:rPr>
                          <w:rFonts w:hAnsi="宋体"/>
                        </w:rPr>
                      </w:pPr>
                    </w:p>
                    <w:p w14:paraId="4A840733">
                      <w:pPr>
                        <w:jc w:val="center"/>
                        <w:rPr>
                          <w:rFonts w:ascii="仿宋" w:hAnsi="仿宋" w:eastAsia="仿宋" w:cs="仿宋"/>
                          <w:szCs w:val="21"/>
                        </w:rPr>
                      </w:pPr>
                      <w:r>
                        <w:rPr>
                          <w:rFonts w:hint="eastAsia" w:ascii="仿宋" w:hAnsi="仿宋" w:eastAsia="仿宋" w:cs="仿宋"/>
                          <w:szCs w:val="21"/>
                        </w:rPr>
                        <w:t>法定代表人身份证复印件（国徽面）</w:t>
                      </w:r>
                    </w:p>
                    <w:p w14:paraId="6FD8C3E0"/>
                  </w:txbxContent>
                </v:textbox>
              </v:roundrect>
            </w:pict>
          </mc:Fallback>
        </mc:AlternateContent>
      </w:r>
    </w:p>
    <w:p w14:paraId="1AEE221F">
      <w:pPr>
        <w:spacing w:line="360" w:lineRule="auto"/>
        <w:ind w:firstLine="210" w:firstLineChars="100"/>
        <w:rPr>
          <w:rFonts w:ascii="仿宋" w:hAnsi="仿宋" w:eastAsia="仿宋" w:cs="仿宋"/>
          <w:szCs w:val="21"/>
        </w:rPr>
      </w:pPr>
    </w:p>
    <w:p w14:paraId="50085E63">
      <w:pPr>
        <w:spacing w:line="360" w:lineRule="auto"/>
        <w:ind w:firstLine="210" w:firstLineChars="100"/>
        <w:rPr>
          <w:rFonts w:ascii="仿宋" w:hAnsi="仿宋" w:eastAsia="仿宋" w:cs="仿宋"/>
          <w:szCs w:val="21"/>
        </w:rPr>
      </w:pPr>
    </w:p>
    <w:p w14:paraId="2F9D0CD1">
      <w:pPr>
        <w:spacing w:line="360" w:lineRule="auto"/>
        <w:ind w:firstLine="210" w:firstLineChars="100"/>
        <w:rPr>
          <w:rFonts w:ascii="仿宋" w:hAnsi="仿宋" w:eastAsia="仿宋" w:cs="仿宋"/>
          <w:szCs w:val="21"/>
        </w:rPr>
      </w:pPr>
    </w:p>
    <w:p w14:paraId="0C8FF90E">
      <w:pPr>
        <w:spacing w:line="360" w:lineRule="auto"/>
        <w:ind w:firstLine="210" w:firstLineChars="100"/>
        <w:rPr>
          <w:rFonts w:ascii="仿宋" w:hAnsi="仿宋" w:eastAsia="仿宋" w:cs="仿宋"/>
          <w:szCs w:val="21"/>
        </w:rPr>
      </w:pPr>
    </w:p>
    <w:p w14:paraId="4DDB6512">
      <w:pPr>
        <w:pStyle w:val="16"/>
        <w:tabs>
          <w:tab w:val="left" w:pos="5580"/>
        </w:tabs>
        <w:spacing w:line="360" w:lineRule="exact"/>
        <w:rPr>
          <w:rFonts w:ascii="仿宋" w:hAnsi="仿宋" w:eastAsia="仿宋" w:cs="仿宋"/>
          <w:szCs w:val="21"/>
        </w:rPr>
      </w:pPr>
    </w:p>
    <w:p w14:paraId="06D04B05">
      <w:pPr>
        <w:pStyle w:val="16"/>
        <w:tabs>
          <w:tab w:val="left" w:pos="5580"/>
        </w:tabs>
        <w:spacing w:line="360" w:lineRule="exact"/>
        <w:rPr>
          <w:rFonts w:ascii="仿宋" w:hAnsi="仿宋" w:eastAsia="仿宋" w:cs="仿宋"/>
          <w:szCs w:val="21"/>
        </w:rPr>
      </w:pPr>
    </w:p>
    <w:p w14:paraId="5792E910">
      <w:pPr>
        <w:pStyle w:val="16"/>
        <w:tabs>
          <w:tab w:val="left" w:pos="5580"/>
        </w:tabs>
        <w:spacing w:line="360" w:lineRule="exact"/>
        <w:rPr>
          <w:rFonts w:ascii="仿宋" w:hAnsi="仿宋" w:eastAsia="仿宋" w:cs="仿宋"/>
          <w:sz w:val="24"/>
          <w:szCs w:val="24"/>
          <w:u w:val="single"/>
        </w:rPr>
      </w:pPr>
      <w:r>
        <w:rPr>
          <w:rFonts w:hint="eastAsia" w:ascii="仿宋" w:hAnsi="仿宋" w:eastAsia="仿宋" w:cs="仿宋"/>
          <w:sz w:val="24"/>
          <w:szCs w:val="24"/>
        </w:rPr>
        <w:t>投标人（公章）;</w:t>
      </w:r>
      <w:r>
        <w:rPr>
          <w:rFonts w:hint="eastAsia" w:ascii="仿宋" w:hAnsi="仿宋" w:eastAsia="仿宋" w:cs="仿宋"/>
          <w:sz w:val="24"/>
          <w:szCs w:val="24"/>
          <w:u w:val="single"/>
        </w:rPr>
        <w:t xml:space="preserve">                           </w:t>
      </w:r>
    </w:p>
    <w:p w14:paraId="22B3AFF2">
      <w:pPr>
        <w:pStyle w:val="16"/>
        <w:tabs>
          <w:tab w:val="left" w:pos="5580"/>
        </w:tabs>
        <w:spacing w:line="360" w:lineRule="exact"/>
        <w:rPr>
          <w:rFonts w:ascii="仿宋" w:hAnsi="仿宋" w:eastAsia="仿宋" w:cs="仿宋"/>
          <w:sz w:val="24"/>
          <w:szCs w:val="24"/>
          <w:u w:val="single"/>
        </w:rPr>
      </w:pPr>
      <w:r>
        <w:rPr>
          <w:rFonts w:hint="eastAsia" w:ascii="仿宋" w:hAnsi="仿宋" w:eastAsia="仿宋" w:cs="仿宋"/>
          <w:sz w:val="24"/>
          <w:szCs w:val="24"/>
        </w:rPr>
        <w:t>法定代表人（签/章）：</w:t>
      </w:r>
      <w:r>
        <w:rPr>
          <w:rFonts w:hint="eastAsia" w:ascii="仿宋" w:hAnsi="仿宋" w:eastAsia="仿宋" w:cs="仿宋"/>
          <w:sz w:val="24"/>
          <w:szCs w:val="24"/>
          <w:u w:val="single"/>
        </w:rPr>
        <w:t xml:space="preserve">                     </w:t>
      </w:r>
    </w:p>
    <w:p w14:paraId="185DE8D6">
      <w:pPr>
        <w:pStyle w:val="16"/>
        <w:tabs>
          <w:tab w:val="left" w:pos="5580"/>
        </w:tabs>
        <w:spacing w:line="360" w:lineRule="exact"/>
        <w:rPr>
          <w:rFonts w:ascii="仿宋" w:hAnsi="仿宋" w:eastAsia="仿宋" w:cs="仿宋"/>
          <w:sz w:val="24"/>
          <w:szCs w:val="24"/>
        </w:rPr>
      </w:pPr>
      <w:r>
        <w:rPr>
          <w:rFonts w:hint="eastAsia" w:ascii="仿宋" w:hAnsi="仿宋" w:eastAsia="仿宋" w:cs="仿宋"/>
          <w:sz w:val="24"/>
          <w:szCs w:val="24"/>
        </w:rPr>
        <w:t xml:space="preserve">身份证号码：__________________________________ </w:t>
      </w:r>
    </w:p>
    <w:p w14:paraId="7111AEA3">
      <w:pPr>
        <w:pStyle w:val="16"/>
        <w:tabs>
          <w:tab w:val="left" w:pos="5580"/>
        </w:tabs>
        <w:spacing w:line="360" w:lineRule="exact"/>
        <w:rPr>
          <w:rFonts w:ascii="仿宋" w:hAnsi="仿宋" w:eastAsia="仿宋" w:cs="仿宋"/>
          <w:sz w:val="24"/>
          <w:szCs w:val="24"/>
        </w:rPr>
      </w:pPr>
      <w:r>
        <w:rPr>
          <w:rFonts w:hint="eastAsia" w:ascii="仿宋" w:hAnsi="仿宋" w:eastAsia="仿宋" w:cs="仿宋"/>
          <w:sz w:val="24"/>
          <w:szCs w:val="24"/>
        </w:rPr>
        <w:t>委托代理人（签/章）：</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324FD4BE">
      <w:pPr>
        <w:pStyle w:val="16"/>
        <w:tabs>
          <w:tab w:val="left" w:pos="5580"/>
        </w:tabs>
        <w:spacing w:line="360" w:lineRule="exact"/>
        <w:rPr>
          <w:rFonts w:ascii="仿宋" w:hAnsi="仿宋" w:eastAsia="仿宋" w:cs="仿宋"/>
          <w:sz w:val="24"/>
          <w:szCs w:val="24"/>
        </w:rPr>
      </w:pPr>
      <w:r>
        <w:rPr>
          <w:rFonts w:hint="eastAsia" w:ascii="仿宋" w:hAnsi="仿宋" w:eastAsia="仿宋" w:cs="仿宋"/>
          <w:sz w:val="24"/>
          <w:szCs w:val="24"/>
        </w:rPr>
        <w:t>身份证号码：</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19256D97">
      <w:pPr>
        <w:pStyle w:val="16"/>
        <w:tabs>
          <w:tab w:val="left" w:pos="5580"/>
        </w:tabs>
        <w:spacing w:line="360" w:lineRule="exact"/>
        <w:rPr>
          <w:rFonts w:ascii="仿宋" w:hAnsi="仿宋" w:eastAsia="仿宋" w:cs="仿宋"/>
          <w:sz w:val="24"/>
          <w:szCs w:val="24"/>
        </w:rPr>
      </w:pPr>
      <w:r>
        <w:rPr>
          <w:rFonts w:hint="eastAsia" w:ascii="仿宋" w:hAnsi="仿宋" w:eastAsia="仿宋" w:cs="仿宋"/>
          <w:sz w:val="24"/>
          <w:szCs w:val="24"/>
        </w:rPr>
        <w:t>详细通讯地址：</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341EA735">
      <w:pPr>
        <w:pStyle w:val="16"/>
        <w:tabs>
          <w:tab w:val="left" w:pos="5580"/>
        </w:tabs>
        <w:spacing w:line="360" w:lineRule="exact"/>
        <w:rPr>
          <w:rFonts w:ascii="仿宋" w:hAnsi="仿宋" w:eastAsia="仿宋" w:cs="仿宋"/>
          <w:sz w:val="24"/>
          <w:szCs w:val="24"/>
        </w:rPr>
      </w:pPr>
      <w:r>
        <w:rPr>
          <w:rFonts w:hint="eastAsia" w:ascii="仿宋" w:hAnsi="仿宋" w:eastAsia="仿宋" w:cs="仿宋"/>
          <w:sz w:val="24"/>
          <w:szCs w:val="24"/>
        </w:rPr>
        <w:t>邮 政 编 码 ：</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69788E95">
      <w:pPr>
        <w:pStyle w:val="16"/>
        <w:tabs>
          <w:tab w:val="left" w:pos="5580"/>
        </w:tabs>
        <w:spacing w:line="360" w:lineRule="exact"/>
        <w:rPr>
          <w:rFonts w:ascii="仿宋" w:hAnsi="仿宋" w:eastAsia="仿宋" w:cs="仿宋"/>
          <w:sz w:val="24"/>
          <w:szCs w:val="24"/>
        </w:rPr>
      </w:pPr>
      <w:r>
        <w:rPr>
          <w:rFonts w:hint="eastAsia" w:ascii="仿宋" w:hAnsi="仿宋" w:eastAsia="仿宋" w:cs="仿宋"/>
          <w:sz w:val="24"/>
          <w:szCs w:val="24"/>
        </w:rPr>
        <w:t>传　　　　真：</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1A2AAD8E">
      <w:pPr>
        <w:pStyle w:val="16"/>
        <w:snapToGrid w:val="0"/>
        <w:spacing w:line="360" w:lineRule="auto"/>
        <w:jc w:val="left"/>
        <w:textAlignment w:val="baseline"/>
        <w:rPr>
          <w:rFonts w:ascii="仿宋" w:hAnsi="仿宋" w:eastAsia="仿宋" w:cs="仿宋"/>
          <w:b/>
          <w:kern w:val="0"/>
          <w:sz w:val="24"/>
          <w:lang w:val="zh-CN"/>
        </w:rPr>
      </w:pPr>
      <w:r>
        <w:rPr>
          <w:rFonts w:hint="eastAsia" w:ascii="仿宋" w:hAnsi="仿宋" w:eastAsia="仿宋" w:cs="仿宋"/>
          <w:sz w:val="24"/>
          <w:szCs w:val="24"/>
        </w:rPr>
        <w:t>电　　　　话：</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w:t>
      </w:r>
    </w:p>
    <w:p w14:paraId="11B1A74D"/>
    <w:p w14:paraId="107EBBC5"/>
    <w:p w14:paraId="6AF55202"/>
    <w:p w14:paraId="05C68AEF">
      <w:pPr>
        <w:pStyle w:val="16"/>
        <w:numPr>
          <w:ilvl w:val="0"/>
          <w:numId w:val="7"/>
        </w:numPr>
        <w:snapToGrid w:val="0"/>
        <w:spacing w:line="360" w:lineRule="auto"/>
        <w:jc w:val="left"/>
        <w:textAlignment w:val="baseline"/>
        <w:rPr>
          <w:rFonts w:ascii="仿宋" w:hAnsi="仿宋" w:eastAsia="仿宋" w:cs="仿宋"/>
          <w:b/>
          <w:kern w:val="0"/>
          <w:sz w:val="24"/>
        </w:rPr>
      </w:pPr>
      <w:r>
        <w:rPr>
          <w:rFonts w:hint="eastAsia" w:ascii="仿宋" w:hAnsi="仿宋" w:eastAsia="仿宋" w:cs="仿宋"/>
          <w:b/>
          <w:kern w:val="0"/>
          <w:sz w:val="24"/>
        </w:rPr>
        <w:t>其他有利于投标人的文件或证明材料</w:t>
      </w:r>
    </w:p>
    <w:p w14:paraId="1F91D607">
      <w:pPr>
        <w:spacing w:line="239" w:lineRule="auto"/>
        <w:rPr>
          <w:rFonts w:ascii="仿宋" w:hAnsi="仿宋" w:eastAsia="仿宋" w:cs="仿宋"/>
          <w:sz w:val="23"/>
          <w:szCs w:val="23"/>
        </w:rPr>
      </w:pPr>
      <w:r>
        <w:rPr>
          <w:rFonts w:hint="eastAsia" w:ascii="仿宋" w:hAnsi="仿宋" w:eastAsia="仿宋" w:cs="仿宋"/>
          <w:sz w:val="23"/>
          <w:szCs w:val="23"/>
        </w:rPr>
        <w:t>注：未提供格式的请投标人自拟</w:t>
      </w:r>
    </w:p>
    <w:p w14:paraId="74F1D37A">
      <w:pPr>
        <w:pStyle w:val="16"/>
        <w:snapToGrid w:val="0"/>
        <w:spacing w:line="360" w:lineRule="auto"/>
        <w:jc w:val="left"/>
        <w:textAlignment w:val="baseline"/>
        <w:rPr>
          <w:rFonts w:ascii="仿宋" w:hAnsi="仿宋" w:eastAsia="仿宋" w:cs="仿宋"/>
          <w:b/>
          <w:kern w:val="0"/>
          <w:sz w:val="24"/>
        </w:rPr>
      </w:pPr>
    </w:p>
    <w:p w14:paraId="1D416EC1">
      <w:r>
        <w:rPr>
          <w:rFonts w:hint="eastAsia"/>
        </w:rPr>
        <w:br w:type="page"/>
      </w:r>
    </w:p>
    <w:p w14:paraId="4B51EDC6">
      <w:pPr>
        <w:pStyle w:val="33"/>
        <w:ind w:firstLine="240"/>
      </w:pPr>
    </w:p>
    <w:p w14:paraId="5DC1C3B5">
      <w:pPr>
        <w:spacing w:line="240" w:lineRule="atLeast"/>
        <w:jc w:val="center"/>
        <w:rPr>
          <w:rFonts w:ascii="仿宋" w:hAnsi="仿宋" w:eastAsia="仿宋" w:cs="仿宋"/>
          <w:b/>
          <w:sz w:val="52"/>
          <w:szCs w:val="52"/>
        </w:rPr>
      </w:pPr>
    </w:p>
    <w:p w14:paraId="15E15D6C">
      <w:pPr>
        <w:spacing w:line="240" w:lineRule="atLeast"/>
        <w:jc w:val="center"/>
        <w:rPr>
          <w:rFonts w:ascii="仿宋" w:hAnsi="仿宋" w:eastAsia="仿宋" w:cs="仿宋"/>
          <w:b/>
          <w:sz w:val="52"/>
          <w:szCs w:val="52"/>
        </w:rPr>
      </w:pPr>
    </w:p>
    <w:p w14:paraId="6CFE2E68">
      <w:pPr>
        <w:spacing w:line="240" w:lineRule="atLeast"/>
        <w:jc w:val="center"/>
        <w:rPr>
          <w:rFonts w:ascii="仿宋" w:hAnsi="仿宋" w:eastAsia="仿宋" w:cs="仿宋"/>
          <w:b/>
          <w:sz w:val="52"/>
          <w:szCs w:val="52"/>
        </w:rPr>
      </w:pPr>
    </w:p>
    <w:p w14:paraId="4948E3E1">
      <w:pPr>
        <w:spacing w:line="240" w:lineRule="atLeast"/>
        <w:jc w:val="center"/>
        <w:rPr>
          <w:rFonts w:ascii="仿宋" w:hAnsi="仿宋" w:eastAsia="仿宋" w:cs="仿宋"/>
          <w:b/>
          <w:sz w:val="52"/>
          <w:szCs w:val="52"/>
        </w:rPr>
      </w:pPr>
      <w:r>
        <w:rPr>
          <w:rFonts w:hint="eastAsia" w:ascii="仿宋" w:hAnsi="仿宋" w:eastAsia="仿宋" w:cs="仿宋"/>
          <w:b/>
          <w:sz w:val="52"/>
          <w:szCs w:val="52"/>
        </w:rPr>
        <w:t>货物类</w:t>
      </w:r>
    </w:p>
    <w:p w14:paraId="163675F6">
      <w:pPr>
        <w:pStyle w:val="25"/>
        <w:rPr>
          <w:rFonts w:ascii="仿宋" w:hAnsi="仿宋" w:eastAsia="仿宋" w:cs="仿宋"/>
          <w:b/>
          <w:sz w:val="52"/>
          <w:szCs w:val="52"/>
        </w:rPr>
      </w:pPr>
    </w:p>
    <w:p w14:paraId="2F0B3F39">
      <w:pPr>
        <w:pStyle w:val="8"/>
        <w:ind w:left="1680"/>
        <w:rPr>
          <w:rFonts w:ascii="仿宋" w:hAnsi="仿宋" w:eastAsia="仿宋" w:cs="仿宋"/>
        </w:rPr>
      </w:pPr>
    </w:p>
    <w:p w14:paraId="6E6AEA68">
      <w:pPr>
        <w:spacing w:line="240" w:lineRule="atLeast"/>
        <w:ind w:left="1080" w:leftChars="257" w:hanging="540"/>
        <w:jc w:val="center"/>
        <w:rPr>
          <w:rFonts w:ascii="仿宋" w:hAnsi="仿宋" w:eastAsia="仿宋" w:cs="仿宋"/>
          <w:b/>
          <w:sz w:val="52"/>
          <w:szCs w:val="52"/>
        </w:rPr>
      </w:pPr>
      <w:r>
        <w:rPr>
          <w:rFonts w:hint="eastAsia" w:ascii="仿宋" w:hAnsi="仿宋" w:eastAsia="仿宋" w:cs="仿宋"/>
          <w:b/>
          <w:sz w:val="52"/>
          <w:szCs w:val="52"/>
        </w:rPr>
        <w:t>政府采购公开招标文件</w:t>
      </w:r>
    </w:p>
    <w:p w14:paraId="11DBFBF4">
      <w:pPr>
        <w:pStyle w:val="25"/>
        <w:rPr>
          <w:rFonts w:ascii="仿宋" w:hAnsi="仿宋" w:eastAsia="仿宋" w:cs="仿宋"/>
        </w:rPr>
      </w:pPr>
    </w:p>
    <w:p w14:paraId="1ABA0B1E">
      <w:pPr>
        <w:spacing w:line="240" w:lineRule="atLeast"/>
        <w:ind w:left="1080" w:leftChars="257" w:hanging="540"/>
        <w:rPr>
          <w:rFonts w:ascii="仿宋" w:hAnsi="仿宋" w:eastAsia="仿宋" w:cs="仿宋"/>
          <w:b/>
          <w:sz w:val="28"/>
        </w:rPr>
      </w:pPr>
    </w:p>
    <w:p w14:paraId="2291906D">
      <w:pPr>
        <w:pStyle w:val="25"/>
        <w:rPr>
          <w:rFonts w:ascii="仿宋" w:hAnsi="仿宋" w:eastAsia="仿宋" w:cs="仿宋"/>
          <w:b/>
          <w:sz w:val="28"/>
        </w:rPr>
      </w:pPr>
    </w:p>
    <w:p w14:paraId="0EA07371">
      <w:pPr>
        <w:pStyle w:val="11"/>
        <w:rPr>
          <w:rFonts w:ascii="仿宋" w:hAnsi="仿宋" w:eastAsia="仿宋" w:cs="仿宋"/>
        </w:rPr>
      </w:pPr>
    </w:p>
    <w:p w14:paraId="4F411ACF">
      <w:pPr>
        <w:pStyle w:val="25"/>
        <w:rPr>
          <w:rFonts w:ascii="仿宋" w:hAnsi="仿宋" w:eastAsia="仿宋" w:cs="仿宋"/>
        </w:rPr>
      </w:pPr>
    </w:p>
    <w:p w14:paraId="3924EA55">
      <w:pPr>
        <w:spacing w:line="240" w:lineRule="atLeast"/>
        <w:ind w:left="1080" w:leftChars="257" w:hanging="540"/>
        <w:jc w:val="center"/>
        <w:rPr>
          <w:rFonts w:ascii="仿宋" w:hAnsi="仿宋" w:eastAsia="仿宋" w:cs="仿宋"/>
          <w:b/>
          <w:sz w:val="48"/>
          <w:szCs w:val="48"/>
        </w:rPr>
      </w:pPr>
      <w:r>
        <w:rPr>
          <w:rFonts w:hint="eastAsia" w:ascii="仿宋" w:hAnsi="仿宋" w:eastAsia="仿宋" w:cs="仿宋"/>
          <w:b/>
          <w:sz w:val="48"/>
          <w:szCs w:val="48"/>
        </w:rPr>
        <w:t>第二册</w:t>
      </w:r>
    </w:p>
    <w:p w14:paraId="25201342">
      <w:pPr>
        <w:spacing w:line="240" w:lineRule="atLeast"/>
        <w:ind w:left="1080" w:leftChars="257" w:hanging="540"/>
        <w:rPr>
          <w:rFonts w:ascii="仿宋" w:hAnsi="仿宋" w:eastAsia="仿宋" w:cs="仿宋"/>
          <w:b/>
          <w:sz w:val="28"/>
        </w:rPr>
      </w:pPr>
    </w:p>
    <w:p w14:paraId="489347B3">
      <w:pPr>
        <w:spacing w:line="240" w:lineRule="atLeast"/>
        <w:ind w:left="1080" w:leftChars="257" w:hanging="540"/>
        <w:rPr>
          <w:rFonts w:ascii="仿宋" w:hAnsi="仿宋" w:eastAsia="仿宋" w:cs="仿宋"/>
          <w:b/>
          <w:sz w:val="28"/>
        </w:rPr>
      </w:pPr>
    </w:p>
    <w:p w14:paraId="547CFC6F">
      <w:pPr>
        <w:spacing w:line="240" w:lineRule="atLeast"/>
        <w:ind w:left="1080" w:leftChars="257" w:hanging="540"/>
        <w:rPr>
          <w:rFonts w:ascii="仿宋" w:hAnsi="仿宋" w:eastAsia="仿宋" w:cs="仿宋"/>
          <w:b/>
          <w:sz w:val="28"/>
        </w:rPr>
      </w:pPr>
    </w:p>
    <w:p w14:paraId="5A6F1D94">
      <w:pPr>
        <w:spacing w:line="240" w:lineRule="atLeast"/>
        <w:ind w:left="1080" w:leftChars="257" w:hanging="540"/>
        <w:rPr>
          <w:rFonts w:ascii="仿宋" w:hAnsi="仿宋" w:eastAsia="仿宋" w:cs="仿宋"/>
          <w:b/>
          <w:sz w:val="28"/>
        </w:rPr>
      </w:pPr>
    </w:p>
    <w:p w14:paraId="5E5CC588">
      <w:pPr>
        <w:spacing w:line="240" w:lineRule="atLeast"/>
        <w:ind w:left="1080" w:leftChars="257" w:hanging="540"/>
        <w:jc w:val="center"/>
        <w:rPr>
          <w:rFonts w:ascii="仿宋" w:hAnsi="仿宋" w:eastAsia="仿宋" w:cs="仿宋"/>
          <w:b/>
          <w:sz w:val="52"/>
        </w:rPr>
      </w:pPr>
    </w:p>
    <w:p w14:paraId="49DEC5DC">
      <w:pPr>
        <w:spacing w:line="240" w:lineRule="atLeast"/>
        <w:ind w:left="1080" w:leftChars="257" w:hanging="540"/>
        <w:jc w:val="center"/>
        <w:rPr>
          <w:rFonts w:ascii="仿宋" w:hAnsi="仿宋" w:eastAsia="仿宋" w:cs="仿宋"/>
          <w:b/>
          <w:sz w:val="52"/>
        </w:rPr>
      </w:pPr>
    </w:p>
    <w:p w14:paraId="588DCD20">
      <w:pPr>
        <w:spacing w:line="240" w:lineRule="atLeast"/>
        <w:ind w:left="1080" w:leftChars="257" w:hanging="540"/>
        <w:jc w:val="center"/>
        <w:rPr>
          <w:rFonts w:ascii="仿宋" w:hAnsi="仿宋" w:eastAsia="仿宋" w:cs="仿宋"/>
          <w:b/>
          <w:sz w:val="52"/>
        </w:rPr>
      </w:pPr>
    </w:p>
    <w:p w14:paraId="388F6D5E">
      <w:pPr>
        <w:spacing w:line="240" w:lineRule="atLeast"/>
        <w:ind w:left="1080" w:leftChars="257" w:hanging="540"/>
        <w:jc w:val="center"/>
        <w:rPr>
          <w:rFonts w:ascii="仿宋" w:hAnsi="仿宋" w:eastAsia="仿宋" w:cs="仿宋"/>
          <w:b/>
          <w:sz w:val="52"/>
        </w:rPr>
      </w:pPr>
    </w:p>
    <w:p w14:paraId="4DE474D0">
      <w:pPr>
        <w:pStyle w:val="25"/>
        <w:rPr>
          <w:rFonts w:ascii="仿宋" w:hAnsi="仿宋" w:eastAsia="仿宋" w:cs="仿宋"/>
          <w:b/>
          <w:sz w:val="52"/>
        </w:rPr>
      </w:pPr>
    </w:p>
    <w:p w14:paraId="5F471C2B">
      <w:pPr>
        <w:rPr>
          <w:rFonts w:ascii="仿宋" w:hAnsi="仿宋" w:eastAsia="仿宋" w:cs="仿宋"/>
          <w:sz w:val="44"/>
          <w:szCs w:val="44"/>
        </w:rPr>
      </w:pPr>
      <w:bookmarkStart w:id="815" w:name="_Toc32685"/>
      <w:bookmarkStart w:id="816" w:name="_Toc9982"/>
      <w:bookmarkStart w:id="817" w:name="_Toc16520"/>
      <w:r>
        <w:rPr>
          <w:rFonts w:hint="eastAsia" w:ascii="仿宋" w:hAnsi="仿宋" w:eastAsia="仿宋" w:cs="仿宋"/>
          <w:sz w:val="44"/>
          <w:szCs w:val="44"/>
        </w:rPr>
        <w:br w:type="page"/>
      </w:r>
    </w:p>
    <w:p w14:paraId="5BCC8B1D">
      <w:pPr>
        <w:pStyle w:val="3"/>
        <w:tabs>
          <w:tab w:val="left" w:pos="0"/>
        </w:tabs>
        <w:spacing w:before="0" w:after="0" w:line="240" w:lineRule="atLeast"/>
        <w:rPr>
          <w:rFonts w:ascii="仿宋" w:hAnsi="仿宋" w:eastAsia="仿宋" w:cs="仿宋"/>
          <w:szCs w:val="32"/>
        </w:rPr>
      </w:pPr>
      <w:r>
        <w:rPr>
          <w:rFonts w:hint="eastAsia" w:ascii="仿宋" w:hAnsi="仿宋" w:eastAsia="仿宋" w:cs="仿宋"/>
          <w:szCs w:val="32"/>
        </w:rPr>
        <w:t>第三章投标邀请</w:t>
      </w:r>
      <w:bookmarkEnd w:id="562"/>
      <w:bookmarkEnd w:id="815"/>
      <w:bookmarkEnd w:id="816"/>
      <w:bookmarkEnd w:id="817"/>
    </w:p>
    <w:p w14:paraId="57E4FEBE">
      <w:pPr>
        <w:pStyle w:val="3"/>
        <w:tabs>
          <w:tab w:val="left" w:pos="0"/>
        </w:tabs>
        <w:spacing w:before="0" w:after="0" w:line="240" w:lineRule="atLeast"/>
        <w:rPr>
          <w:rFonts w:ascii="仿宋" w:hAnsi="仿宋" w:eastAsia="仿宋" w:cs="仿宋"/>
          <w:szCs w:val="32"/>
        </w:rPr>
      </w:pPr>
      <w:r>
        <w:rPr>
          <w:rFonts w:hint="eastAsia" w:ascii="仿宋" w:hAnsi="仿宋" w:eastAsia="仿宋" w:cs="仿宋"/>
          <w:szCs w:val="32"/>
        </w:rPr>
        <w:t>塔什库尔干塔吉克自治县2025年“三北”工程巩固防沙治沙成果支出项目</w:t>
      </w:r>
      <w:r>
        <w:rPr>
          <w:rFonts w:hint="eastAsia" w:ascii="仿宋" w:hAnsi="仿宋" w:eastAsia="仿宋" w:cs="仿宋"/>
          <w:szCs w:val="32"/>
          <w:lang w:eastAsia="zh-CN"/>
        </w:rPr>
        <w:t>（三次）</w:t>
      </w:r>
      <w:r>
        <w:rPr>
          <w:rFonts w:hint="eastAsia" w:ascii="仿宋" w:hAnsi="仿宋" w:eastAsia="仿宋" w:cs="仿宋"/>
          <w:szCs w:val="32"/>
        </w:rPr>
        <w:t>公开招标公告</w:t>
      </w:r>
    </w:p>
    <w:tbl>
      <w:tblPr>
        <w:tblStyle w:val="3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8"/>
      </w:tblGrid>
      <w:tr w14:paraId="787DB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9" w:hRule="atLeast"/>
        </w:trPr>
        <w:tc>
          <w:tcPr>
            <w:tcW w:w="8528" w:type="dxa"/>
          </w:tcPr>
          <w:p w14:paraId="76582AA0">
            <w:pPr>
              <w:rPr>
                <w:rFonts w:ascii="仿宋" w:hAnsi="仿宋" w:eastAsia="仿宋" w:cs="仿宋"/>
                <w:b/>
                <w:bCs/>
                <w:sz w:val="24"/>
              </w:rPr>
            </w:pPr>
            <w:r>
              <w:rPr>
                <w:rFonts w:hint="eastAsia" w:ascii="仿宋" w:hAnsi="仿宋" w:eastAsia="仿宋" w:cs="仿宋"/>
                <w:b/>
                <w:bCs/>
                <w:sz w:val="24"/>
              </w:rPr>
              <w:t>项目概况</w:t>
            </w:r>
          </w:p>
          <w:p w14:paraId="6BAABCDE">
            <w:pPr>
              <w:ind w:firstLine="480" w:firstLineChars="200"/>
              <w:rPr>
                <w:rFonts w:ascii="仿宋" w:hAnsi="仿宋" w:eastAsia="仿宋" w:cs="仿宋"/>
              </w:rPr>
            </w:pPr>
            <w:r>
              <w:rPr>
                <w:rFonts w:hint="eastAsia" w:ascii="仿宋" w:hAnsi="仿宋" w:eastAsia="仿宋" w:cs="仿宋"/>
                <w:sz w:val="24"/>
                <w:u w:val="single"/>
              </w:rPr>
              <w:t>塔什库尔干塔吉克自治县2025年“三北”工程巩固防沙治沙成果支出项目</w:t>
            </w:r>
            <w:r>
              <w:rPr>
                <w:rFonts w:hint="eastAsia" w:ascii="仿宋" w:hAnsi="仿宋" w:eastAsia="仿宋" w:cs="仿宋"/>
                <w:sz w:val="24"/>
                <w:u w:val="single"/>
                <w:lang w:eastAsia="zh-CN"/>
              </w:rPr>
              <w:t>（三次）</w:t>
            </w:r>
            <w:r>
              <w:rPr>
                <w:rFonts w:hint="eastAsia" w:ascii="仿宋" w:hAnsi="仿宋" w:eastAsia="仿宋" w:cs="仿宋"/>
                <w:sz w:val="24"/>
              </w:rPr>
              <w:t>的潜在投标人应在</w:t>
            </w:r>
            <w:r>
              <w:rPr>
                <w:rFonts w:hint="eastAsia" w:ascii="仿宋" w:hAnsi="仿宋" w:eastAsia="仿宋" w:cs="仿宋"/>
                <w:sz w:val="24"/>
                <w:u w:val="single"/>
              </w:rPr>
              <w:t>政采云平台（https://login.zcygov.cn/）</w:t>
            </w:r>
            <w:r>
              <w:rPr>
                <w:rFonts w:hint="eastAsia" w:ascii="仿宋" w:hAnsi="仿宋" w:eastAsia="仿宋" w:cs="仿宋"/>
                <w:sz w:val="24"/>
              </w:rPr>
              <w:t>获取招标文件，并于</w:t>
            </w:r>
            <w:r>
              <w:rPr>
                <w:rFonts w:hint="eastAsia" w:ascii="仿宋" w:hAnsi="仿宋" w:eastAsia="仿宋" w:cs="仿宋"/>
                <w:sz w:val="24"/>
                <w:u w:val="single"/>
                <w:lang w:eastAsia="zh-CN"/>
              </w:rPr>
              <w:t>2025年05月12日11：00（北京时间）</w:t>
            </w:r>
            <w:r>
              <w:rPr>
                <w:rFonts w:hint="eastAsia" w:ascii="仿宋" w:hAnsi="仿宋" w:eastAsia="仿宋" w:cs="仿宋"/>
                <w:sz w:val="24"/>
              </w:rPr>
              <w:t>前递交投标文件。</w:t>
            </w:r>
          </w:p>
        </w:tc>
      </w:tr>
    </w:tbl>
    <w:p w14:paraId="5519CAA4">
      <w:pPr>
        <w:pStyle w:val="30"/>
        <w:spacing w:before="0" w:beforeAutospacing="0" w:after="0" w:afterAutospacing="0"/>
        <w:jc w:val="both"/>
        <w:rPr>
          <w:rFonts w:ascii="仿宋" w:hAnsi="仿宋" w:eastAsia="仿宋" w:cs="仿宋"/>
          <w:color w:val="000000" w:themeColor="text1"/>
          <w:sz w:val="28"/>
          <w14:textFill>
            <w14:solidFill>
              <w14:schemeClr w14:val="tx1"/>
            </w14:solidFill>
          </w14:textFill>
        </w:rPr>
      </w:pPr>
      <w:r>
        <w:rPr>
          <w:rFonts w:hint="eastAsia" w:ascii="仿宋" w:hAnsi="仿宋" w:eastAsia="仿宋" w:cs="仿宋"/>
          <w:b/>
          <w:bCs/>
          <w:color w:val="000000" w:themeColor="text1"/>
          <w:sz w:val="28"/>
          <w14:textFill>
            <w14:solidFill>
              <w14:schemeClr w14:val="tx1"/>
            </w14:solidFill>
          </w14:textFill>
        </w:rPr>
        <w:t>一、项目基本情况</w:t>
      </w:r>
    </w:p>
    <w:p w14:paraId="022E24FC">
      <w:pPr>
        <w:ind w:firstLine="240" w:firstLineChars="100"/>
        <w:rPr>
          <w:rFonts w:hint="eastAsia" w:ascii="仿宋" w:hAnsi="仿宋" w:eastAsia="仿宋" w:cs="仿宋"/>
          <w:sz w:val="24"/>
          <w:lang w:eastAsia="zh-CN"/>
        </w:rPr>
      </w:pPr>
      <w:r>
        <w:rPr>
          <w:rFonts w:hint="eastAsia" w:ascii="仿宋" w:hAnsi="仿宋" w:eastAsia="仿宋" w:cs="仿宋"/>
          <w:sz w:val="24"/>
        </w:rPr>
        <w:t>1.项目编号：</w:t>
      </w:r>
      <w:r>
        <w:rPr>
          <w:rFonts w:hint="eastAsia" w:ascii="仿宋" w:hAnsi="仿宋" w:eastAsia="仿宋" w:cs="仿宋"/>
          <w:sz w:val="24"/>
          <w:lang w:eastAsia="zh-CN"/>
        </w:rPr>
        <w:t>0634-254XZKSQH054</w:t>
      </w:r>
    </w:p>
    <w:p w14:paraId="02F03A0C">
      <w:pPr>
        <w:ind w:firstLine="240" w:firstLineChars="100"/>
        <w:rPr>
          <w:rFonts w:hint="eastAsia" w:ascii="仿宋" w:hAnsi="仿宋" w:eastAsia="仿宋" w:cs="仿宋"/>
          <w:sz w:val="24"/>
          <w:lang w:eastAsia="zh-CN"/>
        </w:rPr>
      </w:pPr>
      <w:r>
        <w:rPr>
          <w:rFonts w:hint="eastAsia" w:ascii="仿宋" w:hAnsi="仿宋" w:eastAsia="仿宋" w:cs="仿宋"/>
          <w:sz w:val="24"/>
        </w:rPr>
        <w:t>2.项目名称：塔什库尔干塔吉克自治县2025年“三北”工程巩固防沙治沙成果支出项目</w:t>
      </w:r>
      <w:r>
        <w:rPr>
          <w:rFonts w:hint="eastAsia" w:ascii="仿宋" w:hAnsi="仿宋" w:eastAsia="仿宋" w:cs="仿宋"/>
          <w:sz w:val="24"/>
          <w:lang w:eastAsia="zh-CN"/>
        </w:rPr>
        <w:t>（三次）</w:t>
      </w:r>
    </w:p>
    <w:p w14:paraId="7C7DAC35">
      <w:pPr>
        <w:ind w:firstLine="240" w:firstLineChars="100"/>
        <w:rPr>
          <w:rFonts w:ascii="仿宋" w:hAnsi="仿宋" w:eastAsia="仿宋" w:cs="仿宋"/>
          <w:sz w:val="24"/>
        </w:rPr>
      </w:pPr>
      <w:r>
        <w:rPr>
          <w:rFonts w:hint="eastAsia" w:ascii="仿宋" w:hAnsi="仿宋" w:eastAsia="仿宋" w:cs="仿宋"/>
          <w:sz w:val="24"/>
        </w:rPr>
        <w:t>3.采购方式：公开招标</w:t>
      </w:r>
    </w:p>
    <w:p w14:paraId="63690E2E">
      <w:pPr>
        <w:ind w:firstLine="240" w:firstLineChars="100"/>
        <w:rPr>
          <w:rFonts w:ascii="仿宋" w:hAnsi="仿宋" w:eastAsia="仿宋" w:cs="仿宋"/>
          <w:sz w:val="24"/>
        </w:rPr>
      </w:pPr>
      <w:r>
        <w:rPr>
          <w:rFonts w:hint="eastAsia" w:ascii="仿宋" w:hAnsi="仿宋" w:eastAsia="仿宋" w:cs="仿宋"/>
          <w:sz w:val="24"/>
        </w:rPr>
        <w:t>4.预算价：93.83万元</w:t>
      </w:r>
    </w:p>
    <w:p w14:paraId="5F0B1019">
      <w:pPr>
        <w:ind w:firstLine="240" w:firstLineChars="100"/>
        <w:rPr>
          <w:rFonts w:ascii="仿宋" w:hAnsi="仿宋" w:eastAsia="仿宋" w:cs="仿宋"/>
          <w:sz w:val="24"/>
        </w:rPr>
      </w:pPr>
      <w:r>
        <w:rPr>
          <w:rFonts w:hint="eastAsia" w:ascii="仿宋" w:hAnsi="仿宋" w:eastAsia="仿宋" w:cs="仿宋"/>
          <w:sz w:val="24"/>
        </w:rPr>
        <w:t>5.最高限价：86.729152万元</w:t>
      </w:r>
    </w:p>
    <w:p w14:paraId="1F20D210">
      <w:pPr>
        <w:ind w:firstLine="240" w:firstLineChars="100"/>
        <w:rPr>
          <w:rFonts w:ascii="仿宋" w:hAnsi="仿宋" w:eastAsia="仿宋" w:cs="仿宋"/>
          <w:sz w:val="24"/>
        </w:rPr>
      </w:pPr>
      <w:r>
        <w:rPr>
          <w:rFonts w:hint="eastAsia" w:ascii="仿宋" w:hAnsi="仿宋" w:eastAsia="仿宋" w:cs="仿宋"/>
          <w:sz w:val="24"/>
        </w:rPr>
        <w:t>6.采购需求：2025年三北工程巩固防沙治沙成果项目(包括补植补造、渠道清淤、修建围栏、管护抚育等。)（内容及要求详见招标文件）</w:t>
      </w:r>
    </w:p>
    <w:p w14:paraId="44CBAFDE">
      <w:pPr>
        <w:ind w:firstLine="240" w:firstLineChars="100"/>
        <w:rPr>
          <w:rFonts w:ascii="仿宋" w:hAnsi="仿宋" w:eastAsia="仿宋" w:cs="仿宋"/>
          <w:sz w:val="24"/>
        </w:rPr>
      </w:pPr>
      <w:r>
        <w:rPr>
          <w:rFonts w:hint="eastAsia" w:ascii="仿宋" w:hAnsi="仿宋" w:eastAsia="仿宋" w:cs="仿宋"/>
          <w:sz w:val="24"/>
        </w:rPr>
        <w:t>7.合同履行期限：自合同签订之日起至一年（具体以签订合同为准）。</w:t>
      </w:r>
    </w:p>
    <w:p w14:paraId="5FFA0773">
      <w:pPr>
        <w:ind w:firstLine="240" w:firstLineChars="100"/>
        <w:rPr>
          <w:rFonts w:ascii="仿宋" w:hAnsi="仿宋" w:eastAsia="仿宋" w:cs="仿宋"/>
          <w:sz w:val="24"/>
        </w:rPr>
      </w:pPr>
      <w:r>
        <w:rPr>
          <w:rFonts w:hint="eastAsia" w:ascii="仿宋" w:hAnsi="仿宋" w:eastAsia="仿宋" w:cs="仿宋"/>
          <w:sz w:val="24"/>
        </w:rPr>
        <w:t>8.本项目不接受联合体投标。</w:t>
      </w:r>
    </w:p>
    <w:p w14:paraId="257AC4EB">
      <w:pPr>
        <w:pStyle w:val="30"/>
        <w:spacing w:before="0" w:beforeAutospacing="0" w:after="0" w:afterAutospacing="0"/>
        <w:jc w:val="both"/>
        <w:rPr>
          <w:rFonts w:ascii="仿宋" w:hAnsi="仿宋" w:eastAsia="仿宋" w:cs="仿宋"/>
          <w:color w:val="000000"/>
          <w:sz w:val="28"/>
        </w:rPr>
      </w:pPr>
      <w:bookmarkStart w:id="818" w:name="_Toc35393799"/>
      <w:bookmarkStart w:id="819" w:name="_Toc28359013"/>
      <w:bookmarkStart w:id="820" w:name="_Toc28359090"/>
      <w:bookmarkStart w:id="821" w:name="_Toc35393630"/>
      <w:r>
        <w:rPr>
          <w:rFonts w:hint="eastAsia" w:ascii="仿宋" w:hAnsi="仿宋" w:eastAsia="仿宋" w:cs="仿宋"/>
          <w:b/>
          <w:bCs/>
          <w:color w:val="000000"/>
          <w:sz w:val="28"/>
        </w:rPr>
        <w:t>二、申请人的资格要求：</w:t>
      </w:r>
      <w:bookmarkEnd w:id="818"/>
      <w:bookmarkEnd w:id="819"/>
      <w:bookmarkEnd w:id="820"/>
      <w:bookmarkEnd w:id="821"/>
    </w:p>
    <w:p w14:paraId="5B6F3AC6">
      <w:pPr>
        <w:ind w:firstLine="240" w:firstLineChars="100"/>
        <w:rPr>
          <w:rFonts w:ascii="仿宋" w:hAnsi="仿宋" w:eastAsia="仿宋" w:cs="仿宋"/>
          <w:sz w:val="24"/>
        </w:rPr>
      </w:pPr>
      <w:r>
        <w:rPr>
          <w:rFonts w:hint="eastAsia" w:ascii="仿宋" w:hAnsi="仿宋" w:eastAsia="仿宋" w:cs="仿宋"/>
          <w:sz w:val="24"/>
        </w:rPr>
        <w:t>1.满足《中华人民共和国政府采购法》第二十二条要求：</w:t>
      </w:r>
    </w:p>
    <w:p w14:paraId="4C023FC6">
      <w:pPr>
        <w:ind w:firstLine="240" w:firstLineChars="100"/>
        <w:rPr>
          <w:rFonts w:ascii="仿宋" w:hAnsi="仿宋" w:eastAsia="仿宋" w:cs="仿宋"/>
          <w:sz w:val="24"/>
        </w:rPr>
      </w:pPr>
      <w:r>
        <w:rPr>
          <w:rFonts w:hint="eastAsia" w:ascii="仿宋" w:hAnsi="仿宋" w:eastAsia="仿宋" w:cs="仿宋"/>
          <w:sz w:val="24"/>
        </w:rPr>
        <w:t>2.落实政府采购政策需满足的资格要求：本项目专门面向中小企业(含中型、小型、微型企业)</w:t>
      </w:r>
      <w:r>
        <w:rPr>
          <w:rFonts w:hint="eastAsia" w:ascii="仿宋" w:hAnsi="仿宋" w:eastAsia="仿宋" w:cs="仿宋"/>
          <w:sz w:val="24"/>
          <w:lang w:val="zh-CN"/>
        </w:rPr>
        <w:t>；</w:t>
      </w:r>
    </w:p>
    <w:p w14:paraId="7D89F2CE">
      <w:pPr>
        <w:ind w:firstLine="240" w:firstLineChars="100"/>
      </w:pPr>
      <w:r>
        <w:rPr>
          <w:rFonts w:hint="eastAsia" w:ascii="仿宋" w:hAnsi="仿宋" w:eastAsia="仿宋" w:cs="仿宋"/>
          <w:sz w:val="24"/>
        </w:rPr>
        <w:t>3.本项目的特定资格要求：/</w:t>
      </w:r>
    </w:p>
    <w:p w14:paraId="510C663F">
      <w:pPr>
        <w:rPr>
          <w:rFonts w:ascii="仿宋" w:hAnsi="仿宋" w:eastAsia="仿宋" w:cs="仿宋"/>
          <w:b/>
          <w:bCs/>
          <w:color w:val="000000"/>
          <w:kern w:val="0"/>
          <w:sz w:val="28"/>
        </w:rPr>
      </w:pPr>
      <w:r>
        <w:rPr>
          <w:rFonts w:hint="eastAsia" w:ascii="仿宋" w:hAnsi="仿宋" w:eastAsia="仿宋" w:cs="仿宋"/>
          <w:b/>
          <w:bCs/>
          <w:color w:val="000000"/>
          <w:kern w:val="0"/>
          <w:sz w:val="28"/>
        </w:rPr>
        <w:t>三、获取招标文件</w:t>
      </w:r>
    </w:p>
    <w:p w14:paraId="22A8F505">
      <w:pPr>
        <w:ind w:firstLine="240" w:firstLineChars="100"/>
        <w:rPr>
          <w:rFonts w:ascii="仿宋" w:hAnsi="仿宋" w:eastAsia="仿宋" w:cs="仿宋"/>
          <w:sz w:val="24"/>
        </w:rPr>
      </w:pPr>
      <w:bookmarkStart w:id="822" w:name="_Toc35393625"/>
      <w:bookmarkStart w:id="823" w:name="_Toc28359084"/>
      <w:bookmarkStart w:id="824" w:name="_Toc35393794"/>
      <w:bookmarkStart w:id="825" w:name="_Toc28359007"/>
      <w:r>
        <w:rPr>
          <w:rFonts w:hint="eastAsia" w:ascii="仿宋" w:hAnsi="仿宋" w:eastAsia="仿宋" w:cs="仿宋"/>
          <w:sz w:val="24"/>
        </w:rPr>
        <w:t>时间：</w:t>
      </w:r>
      <w:r>
        <w:rPr>
          <w:rFonts w:hint="eastAsia" w:ascii="仿宋" w:hAnsi="仿宋" w:eastAsia="仿宋" w:cs="仿宋"/>
          <w:sz w:val="24"/>
          <w:highlight w:val="none"/>
        </w:rPr>
        <w:t>2025年0</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月2</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日至2025年0</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月</w:t>
      </w:r>
      <w:r>
        <w:rPr>
          <w:rFonts w:hint="eastAsia" w:ascii="仿宋" w:hAnsi="仿宋" w:eastAsia="仿宋" w:cs="仿宋"/>
          <w:sz w:val="24"/>
          <w:highlight w:val="none"/>
          <w:lang w:val="en-US" w:eastAsia="zh-CN"/>
        </w:rPr>
        <w:t>11</w:t>
      </w:r>
      <w:r>
        <w:rPr>
          <w:rFonts w:hint="eastAsia" w:ascii="仿宋" w:hAnsi="仿宋" w:eastAsia="仿宋" w:cs="仿宋"/>
          <w:sz w:val="24"/>
          <w:highlight w:val="none"/>
        </w:rPr>
        <w:t>日</w:t>
      </w:r>
      <w:r>
        <w:rPr>
          <w:rFonts w:hint="eastAsia" w:ascii="仿宋" w:hAnsi="仿宋" w:eastAsia="仿宋" w:cs="仿宋"/>
          <w:sz w:val="24"/>
          <w:highlight w:val="none"/>
          <w:lang w:eastAsia="zh-CN"/>
        </w:rPr>
        <w:t>，</w:t>
      </w:r>
      <w:r>
        <w:rPr>
          <w:rFonts w:hint="eastAsia" w:ascii="仿宋" w:hAnsi="仿宋" w:eastAsia="仿宋" w:cs="仿宋"/>
          <w:sz w:val="24"/>
          <w:highlight w:val="none"/>
        </w:rPr>
        <w:t>每天上午00:00至14:00，下午14:00至23:59（北京时间，法定节假日除外）</w:t>
      </w:r>
    </w:p>
    <w:p w14:paraId="46E68456">
      <w:pPr>
        <w:ind w:firstLine="240" w:firstLineChars="100"/>
        <w:rPr>
          <w:rFonts w:ascii="仿宋" w:hAnsi="仿宋" w:eastAsia="仿宋" w:cs="仿宋"/>
          <w:sz w:val="24"/>
        </w:rPr>
      </w:pPr>
      <w:r>
        <w:rPr>
          <w:rFonts w:hint="eastAsia" w:ascii="仿宋" w:hAnsi="仿宋" w:eastAsia="仿宋" w:cs="仿宋"/>
          <w:sz w:val="24"/>
        </w:rPr>
        <w:t>地点：政采云平台线上</w:t>
      </w:r>
    </w:p>
    <w:p w14:paraId="4CEBD503">
      <w:pPr>
        <w:ind w:firstLine="240" w:firstLineChars="100"/>
        <w:rPr>
          <w:rFonts w:ascii="仿宋" w:hAnsi="仿宋" w:eastAsia="仿宋" w:cs="仿宋"/>
          <w:sz w:val="24"/>
        </w:rPr>
      </w:pPr>
      <w:r>
        <w:rPr>
          <w:rFonts w:hint="eastAsia" w:ascii="仿宋" w:hAnsi="仿宋" w:eastAsia="仿宋" w:cs="仿宋"/>
          <w:sz w:val="24"/>
        </w:rPr>
        <w:t>方式：投标人登录政采云平台https://www.zcygov.cn/在线申请获取采购文件（进入“项目采购”应用，在获取采购文件菜单中选择项目，申请获取采购文件），或者点击采购公告底部潜在投标人“获取采购文件”，页面跳转后登陆，直接获取采购文件。</w:t>
      </w:r>
    </w:p>
    <w:p w14:paraId="78A7698B">
      <w:pPr>
        <w:ind w:firstLine="240" w:firstLineChars="100"/>
        <w:rPr>
          <w:rFonts w:ascii="仿宋" w:hAnsi="仿宋" w:eastAsia="仿宋" w:cs="仿宋"/>
          <w:sz w:val="24"/>
        </w:rPr>
      </w:pPr>
      <w:r>
        <w:rPr>
          <w:rFonts w:hint="eastAsia" w:ascii="仿宋" w:hAnsi="仿宋" w:eastAsia="仿宋" w:cs="仿宋"/>
          <w:sz w:val="24"/>
        </w:rPr>
        <w:t>售价（元）：0</w:t>
      </w:r>
    </w:p>
    <w:p w14:paraId="6EF790C7">
      <w:pPr>
        <w:rPr>
          <w:rFonts w:ascii="仿宋" w:hAnsi="仿宋" w:eastAsia="仿宋" w:cs="仿宋"/>
          <w:b/>
          <w:bCs/>
          <w:color w:val="000000"/>
          <w:kern w:val="0"/>
          <w:sz w:val="28"/>
        </w:rPr>
      </w:pPr>
      <w:bookmarkStart w:id="826" w:name="_Toc28359005"/>
      <w:bookmarkStart w:id="827" w:name="_Toc28359082"/>
      <w:bookmarkStart w:id="828" w:name="_Toc2422"/>
      <w:bookmarkStart w:id="829" w:name="_Toc35393624"/>
      <w:bookmarkStart w:id="830" w:name="_Toc952"/>
      <w:bookmarkStart w:id="831" w:name="_Toc9047"/>
      <w:bookmarkStart w:id="832" w:name="_Toc2532"/>
      <w:bookmarkStart w:id="833" w:name="_Toc35393793"/>
      <w:r>
        <w:rPr>
          <w:rFonts w:hint="eastAsia" w:ascii="仿宋" w:hAnsi="仿宋" w:eastAsia="仿宋" w:cs="仿宋"/>
          <w:b/>
          <w:bCs/>
          <w:color w:val="000000"/>
          <w:kern w:val="0"/>
          <w:sz w:val="28"/>
        </w:rPr>
        <w:t>四、提交投标文件</w:t>
      </w:r>
      <w:bookmarkEnd w:id="826"/>
      <w:bookmarkEnd w:id="827"/>
      <w:r>
        <w:rPr>
          <w:rFonts w:hint="eastAsia" w:ascii="仿宋" w:hAnsi="仿宋" w:eastAsia="仿宋" w:cs="仿宋"/>
          <w:b/>
          <w:bCs/>
          <w:color w:val="000000"/>
          <w:kern w:val="0"/>
          <w:sz w:val="28"/>
        </w:rPr>
        <w:t>截止时间、开标时间和地点</w:t>
      </w:r>
      <w:bookmarkEnd w:id="828"/>
      <w:bookmarkEnd w:id="829"/>
      <w:bookmarkEnd w:id="830"/>
      <w:bookmarkEnd w:id="831"/>
      <w:bookmarkEnd w:id="832"/>
      <w:bookmarkEnd w:id="833"/>
    </w:p>
    <w:p w14:paraId="3250AF6A">
      <w:pPr>
        <w:ind w:firstLine="240" w:firstLineChars="100"/>
        <w:rPr>
          <w:rFonts w:ascii="仿宋" w:hAnsi="仿宋" w:eastAsia="仿宋" w:cs="仿宋"/>
          <w:sz w:val="24"/>
        </w:rPr>
      </w:pPr>
      <w:r>
        <w:rPr>
          <w:rFonts w:hint="eastAsia" w:ascii="仿宋" w:hAnsi="仿宋" w:eastAsia="仿宋" w:cs="仿宋"/>
          <w:sz w:val="24"/>
        </w:rPr>
        <w:t>提交投标文件截止时间：</w:t>
      </w:r>
      <w:r>
        <w:rPr>
          <w:rFonts w:hint="eastAsia" w:ascii="仿宋" w:hAnsi="仿宋" w:eastAsia="仿宋" w:cs="仿宋"/>
          <w:sz w:val="24"/>
          <w:lang w:eastAsia="zh-CN"/>
        </w:rPr>
        <w:t>2025年05月12日11：00（北京时间）</w:t>
      </w:r>
    </w:p>
    <w:p w14:paraId="47B20022">
      <w:pPr>
        <w:ind w:firstLine="240" w:firstLineChars="100"/>
        <w:rPr>
          <w:rFonts w:ascii="仿宋" w:hAnsi="仿宋" w:eastAsia="仿宋" w:cs="仿宋"/>
          <w:sz w:val="24"/>
        </w:rPr>
      </w:pPr>
      <w:r>
        <w:rPr>
          <w:rFonts w:hint="eastAsia" w:ascii="仿宋" w:hAnsi="仿宋" w:eastAsia="仿宋" w:cs="仿宋"/>
          <w:sz w:val="24"/>
        </w:rPr>
        <w:t>投标地点：请登录政采云投标客户端投标</w:t>
      </w:r>
    </w:p>
    <w:p w14:paraId="48753F6F">
      <w:pPr>
        <w:ind w:firstLine="240" w:firstLineChars="100"/>
        <w:rPr>
          <w:rFonts w:ascii="仿宋" w:hAnsi="仿宋" w:eastAsia="仿宋" w:cs="仿宋"/>
          <w:sz w:val="24"/>
        </w:rPr>
      </w:pPr>
      <w:r>
        <w:rPr>
          <w:rFonts w:hint="eastAsia" w:ascii="仿宋" w:hAnsi="仿宋" w:eastAsia="仿宋" w:cs="仿宋"/>
          <w:sz w:val="24"/>
        </w:rPr>
        <w:t>开标时间：</w:t>
      </w:r>
      <w:r>
        <w:rPr>
          <w:rFonts w:hint="eastAsia" w:ascii="仿宋" w:hAnsi="仿宋" w:eastAsia="仿宋" w:cs="仿宋"/>
          <w:sz w:val="24"/>
          <w:lang w:eastAsia="zh-CN"/>
        </w:rPr>
        <w:t>2025年05月12日11：00（北京时间）</w:t>
      </w:r>
    </w:p>
    <w:p w14:paraId="674F1CAB">
      <w:pPr>
        <w:ind w:firstLine="240" w:firstLineChars="100"/>
        <w:rPr>
          <w:rFonts w:ascii="仿宋" w:hAnsi="仿宋" w:eastAsia="仿宋" w:cs="仿宋"/>
          <w:sz w:val="24"/>
        </w:rPr>
      </w:pPr>
      <w:r>
        <w:rPr>
          <w:rFonts w:hint="eastAsia" w:ascii="仿宋" w:hAnsi="仿宋" w:eastAsia="仿宋" w:cs="仿宋"/>
          <w:sz w:val="24"/>
        </w:rPr>
        <w:t>开标地点：</w:t>
      </w:r>
      <w:bookmarkStart w:id="834" w:name="_Toc23672"/>
      <w:bookmarkStart w:id="835" w:name="_Toc30400"/>
      <w:bookmarkStart w:id="836" w:name="_Toc20863"/>
      <w:r>
        <w:rPr>
          <w:rFonts w:hint="eastAsia" w:ascii="仿宋" w:hAnsi="仿宋" w:eastAsia="仿宋" w:cs="仿宋"/>
          <w:sz w:val="24"/>
        </w:rPr>
        <w:t>投标人登录政采云平台https://www.zcygov.cn/，进入“项目采购-开标评标-右边选择对应项目点击“进入项目”进入开标大厅。</w:t>
      </w:r>
    </w:p>
    <w:p w14:paraId="1D5D5193">
      <w:pPr>
        <w:rPr>
          <w:rFonts w:ascii="仿宋" w:hAnsi="仿宋" w:eastAsia="仿宋" w:cs="仿宋"/>
          <w:b/>
          <w:bCs/>
          <w:color w:val="000000"/>
          <w:kern w:val="0"/>
          <w:sz w:val="28"/>
        </w:rPr>
      </w:pPr>
      <w:r>
        <w:rPr>
          <w:rFonts w:hint="eastAsia" w:ascii="仿宋" w:hAnsi="仿宋" w:eastAsia="仿宋" w:cs="仿宋"/>
          <w:b/>
          <w:bCs/>
          <w:color w:val="000000"/>
          <w:kern w:val="0"/>
          <w:sz w:val="28"/>
        </w:rPr>
        <w:t>五、公告期限</w:t>
      </w:r>
      <w:bookmarkEnd w:id="822"/>
      <w:bookmarkEnd w:id="823"/>
      <w:bookmarkEnd w:id="824"/>
      <w:bookmarkEnd w:id="825"/>
      <w:bookmarkEnd w:id="834"/>
      <w:bookmarkEnd w:id="835"/>
      <w:bookmarkEnd w:id="836"/>
    </w:p>
    <w:p w14:paraId="0C0C3077">
      <w:pPr>
        <w:ind w:firstLine="240" w:firstLineChars="100"/>
        <w:rPr>
          <w:rFonts w:ascii="仿宋" w:hAnsi="仿宋" w:eastAsia="仿宋" w:cs="仿宋"/>
          <w:sz w:val="24"/>
        </w:rPr>
      </w:pPr>
      <w:r>
        <w:rPr>
          <w:rFonts w:hint="eastAsia" w:ascii="仿宋" w:hAnsi="仿宋" w:eastAsia="仿宋" w:cs="仿宋"/>
          <w:sz w:val="24"/>
        </w:rPr>
        <w:t>自本公告发布之日起5个工作日。</w:t>
      </w:r>
    </w:p>
    <w:p w14:paraId="79B64CCC">
      <w:pPr>
        <w:rPr>
          <w:rFonts w:ascii="仿宋" w:hAnsi="仿宋" w:eastAsia="仿宋" w:cs="仿宋"/>
          <w:b/>
          <w:bCs/>
          <w:color w:val="000000"/>
          <w:kern w:val="0"/>
          <w:sz w:val="28"/>
        </w:rPr>
      </w:pPr>
      <w:r>
        <w:rPr>
          <w:rFonts w:hint="eastAsia" w:ascii="仿宋" w:hAnsi="仿宋" w:eastAsia="仿宋" w:cs="仿宋"/>
          <w:b/>
          <w:bCs/>
          <w:color w:val="000000"/>
          <w:kern w:val="0"/>
          <w:sz w:val="28"/>
        </w:rPr>
        <w:t>六、其它补充事宜</w:t>
      </w:r>
    </w:p>
    <w:p w14:paraId="3311135A">
      <w:pPr>
        <w:ind w:firstLine="240" w:firstLineChars="100"/>
        <w:rPr>
          <w:rFonts w:ascii="仿宋" w:hAnsi="仿宋" w:eastAsia="仿宋" w:cs="仿宋"/>
          <w:sz w:val="24"/>
        </w:rPr>
      </w:pPr>
      <w:bookmarkStart w:id="837" w:name="_Hlk21311295"/>
      <w:r>
        <w:rPr>
          <w:rFonts w:hint="eastAsia" w:ascii="仿宋" w:hAnsi="仿宋" w:eastAsia="仿宋" w:cs="仿宋"/>
          <w:sz w:val="24"/>
        </w:rPr>
        <w:t>1、本项目实行网上投标，采用电子投标文件。</w:t>
      </w:r>
    </w:p>
    <w:p w14:paraId="033E06F7">
      <w:pPr>
        <w:ind w:firstLine="240" w:firstLineChars="100"/>
        <w:rPr>
          <w:rFonts w:ascii="仿宋" w:hAnsi="仿宋" w:eastAsia="仿宋" w:cs="仿宋"/>
          <w:sz w:val="24"/>
        </w:rPr>
      </w:pPr>
      <w:r>
        <w:rPr>
          <w:rFonts w:hint="eastAsia" w:ascii="仿宋" w:hAnsi="仿宋" w:eastAsia="仿宋" w:cs="仿宋"/>
          <w:sz w:val="24"/>
        </w:rPr>
        <w:t>2、各投标人应在开标前确保成为正式注册入库投标人，并完成CA数字证书(符合国密标准)申领。因未注册入库、未办理CA数字证书等原因造成无法投标或投标失败等后果由投标人自行承担。如需咨询，请联系新疆CA服务热线4000921999；翔晟CA服务热线025-66085508。</w:t>
      </w:r>
    </w:p>
    <w:p w14:paraId="13544B8E">
      <w:pPr>
        <w:ind w:firstLine="240" w:firstLineChars="100"/>
        <w:rPr>
          <w:rFonts w:ascii="仿宋" w:hAnsi="仿宋" w:eastAsia="仿宋" w:cs="仿宋"/>
          <w:sz w:val="24"/>
        </w:rPr>
      </w:pPr>
      <w:r>
        <w:rPr>
          <w:rFonts w:hint="eastAsia" w:ascii="仿宋" w:hAnsi="仿宋" w:eastAsia="仿宋" w:cs="仿宋"/>
          <w:sz w:val="24"/>
        </w:rPr>
        <w:t>3、投标人将政采云电子交易客户端下载、安装完成后，可通过账号密码或CA登录客户端进行投标文件的制作。在使用政采云投标客户端时，建议使用WIN7及以上操作系统。</w:t>
      </w:r>
    </w:p>
    <w:p w14:paraId="5DFA9FF1">
      <w:pPr>
        <w:ind w:firstLine="240" w:firstLineChars="100"/>
        <w:rPr>
          <w:rFonts w:ascii="仿宋" w:hAnsi="仿宋" w:eastAsia="仿宋" w:cs="仿宋"/>
          <w:sz w:val="24"/>
        </w:rPr>
      </w:pPr>
      <w:r>
        <w:rPr>
          <w:rFonts w:hint="eastAsia" w:ascii="仿宋" w:hAnsi="仿宋" w:eastAsia="仿宋" w:cs="仿宋"/>
          <w:sz w:val="24"/>
        </w:rPr>
        <w:t>4、其他事项：（1）</w:t>
      </w:r>
      <w:r>
        <w:rPr>
          <w:rFonts w:hint="eastAsia" w:ascii="仿宋" w:hAnsi="仿宋" w:eastAsia="仿宋" w:cs="仿宋"/>
          <w:sz w:val="24"/>
          <w:lang w:eastAsia="en-US"/>
        </w:rPr>
        <w:t>本项目采用全流程不见面电子开评标，</w:t>
      </w:r>
      <w:r>
        <w:rPr>
          <w:rFonts w:hint="eastAsia" w:ascii="仿宋" w:hAnsi="仿宋" w:eastAsia="仿宋" w:cs="仿宋"/>
          <w:sz w:val="24"/>
        </w:rPr>
        <w:t>投标人</w:t>
      </w:r>
      <w:r>
        <w:rPr>
          <w:rFonts w:hint="eastAsia" w:ascii="仿宋" w:hAnsi="仿宋" w:eastAsia="仿宋" w:cs="仿宋"/>
          <w:sz w:val="24"/>
          <w:lang w:eastAsia="en-US"/>
        </w:rPr>
        <w:t>需要使用CA加密设备，</w:t>
      </w:r>
      <w:r>
        <w:rPr>
          <w:rFonts w:hint="eastAsia" w:ascii="仿宋" w:hAnsi="仿宋" w:eastAsia="仿宋" w:cs="仿宋"/>
          <w:sz w:val="24"/>
        </w:rPr>
        <w:t>投标人</w:t>
      </w:r>
      <w:r>
        <w:rPr>
          <w:rFonts w:hint="eastAsia" w:ascii="仿宋" w:hAnsi="仿宋" w:eastAsia="仿宋" w:cs="仿宋"/>
          <w:sz w:val="24"/>
          <w:lang w:eastAsia="en-US"/>
        </w:rPr>
        <w:t>可通过新疆数字证书认证中心官网（https://www.xjca.com.cn/）或下载“新疆政务通”APP自行进行申领。</w:t>
      </w:r>
      <w:r>
        <w:rPr>
          <w:rFonts w:hint="eastAsia" w:ascii="仿宋" w:hAnsi="仿宋" w:eastAsia="仿宋" w:cs="仿宋"/>
          <w:sz w:val="24"/>
        </w:rPr>
        <w:t>（2）本项目实行网上投标，采用加密电子响应文件（投标人须使用CA加密设备通过政采云电子投标客户端制作响应文件）。若投标人参与投标，自行承担投标一切费用。（3）各投标人在开标前应确保成为新疆维吾尔自治区政府采购网正式注册入库投标人，并完成CA数字证书申领。因未注册入库、未办理CA数字证书等原因造成无法投标或投标失败等后果由投标人自行承担。（4）投标人将政采云电子交易客户端下载、安装完成后，可通过账号密码或CA登录客户端进行响应文件制作。在使用政采云投标客户端时，建议使用WIN7+64位及以上操作系统。客户端请至新疆政府采购网（http://www.ccgp-xinjiang.gov.cn/）下载专区查看，如有问题可拨打政采云客户服务热线400-881-7190进行咨询。</w:t>
      </w:r>
    </w:p>
    <w:p w14:paraId="2928E5E8">
      <w:pPr>
        <w:ind w:firstLine="240" w:firstLineChars="100"/>
        <w:rPr>
          <w:rFonts w:ascii="仿宋" w:hAnsi="仿宋" w:eastAsia="仿宋" w:cs="仿宋"/>
          <w:sz w:val="24"/>
        </w:rPr>
      </w:pPr>
      <w:r>
        <w:rPr>
          <w:rFonts w:hint="eastAsia" w:ascii="仿宋" w:hAnsi="仿宋" w:eastAsia="仿宋" w:cs="仿宋"/>
          <w:sz w:val="24"/>
        </w:rPr>
        <w:t>5.投标人在开标时须使用制作加密电子响应文件所使用的CA锁及电脑，电脑须提前配置好浏览器（建议使用谷歌浏览器），以便开标时解锁。</w:t>
      </w:r>
    </w:p>
    <w:p w14:paraId="1E52D385">
      <w:pPr>
        <w:ind w:firstLine="240" w:firstLineChars="100"/>
        <w:rPr>
          <w:rFonts w:ascii="仿宋" w:hAnsi="仿宋" w:eastAsia="仿宋" w:cs="仿宋"/>
          <w:sz w:val="24"/>
        </w:rPr>
      </w:pPr>
      <w:r>
        <w:rPr>
          <w:rFonts w:hint="eastAsia" w:ascii="仿宋" w:hAnsi="仿宋" w:eastAsia="仿宋" w:cs="仿宋"/>
          <w:sz w:val="24"/>
          <w:lang w:eastAsia="en-US"/>
        </w:rPr>
        <w:t>6.</w:t>
      </w:r>
      <w:r>
        <w:rPr>
          <w:rFonts w:hint="eastAsia" w:ascii="仿宋" w:hAnsi="仿宋" w:eastAsia="仿宋" w:cs="仿宋"/>
          <w:sz w:val="24"/>
        </w:rPr>
        <w:t>投标人</w:t>
      </w:r>
      <w:r>
        <w:rPr>
          <w:rFonts w:hint="eastAsia" w:ascii="仿宋" w:hAnsi="仿宋" w:eastAsia="仿宋" w:cs="仿宋"/>
          <w:sz w:val="24"/>
          <w:lang w:eastAsia="en-US"/>
        </w:rPr>
        <w:t>对不见面开评标系统的技术操作咨询，可通过https://edu.zcygov.cn/luban/xinjiang-e-biding自助查询，也可在政采云帮助中心常见问题解答和操作流程讲解视频中自助查询，网址为：https://service.zcygov.cn/#/help，“项目采购”—“操作流程－电子招</w:t>
      </w:r>
      <w:r>
        <w:rPr>
          <w:rFonts w:hint="eastAsia" w:ascii="仿宋" w:hAnsi="仿宋" w:eastAsia="仿宋" w:cs="仿宋"/>
          <w:sz w:val="24"/>
        </w:rPr>
        <w:t>投标</w:t>
      </w:r>
      <w:r>
        <w:rPr>
          <w:rFonts w:hint="eastAsia" w:ascii="仿宋" w:hAnsi="仿宋" w:eastAsia="仿宋" w:cs="仿宋"/>
          <w:sz w:val="24"/>
          <w:lang w:eastAsia="en-US"/>
        </w:rPr>
        <w:t>”—“政府采购项目电子交易管理操作指南－</w:t>
      </w:r>
      <w:r>
        <w:rPr>
          <w:rFonts w:hint="eastAsia" w:ascii="仿宋" w:hAnsi="仿宋" w:eastAsia="仿宋" w:cs="仿宋"/>
          <w:sz w:val="24"/>
        </w:rPr>
        <w:t>投标人</w:t>
      </w:r>
      <w:r>
        <w:rPr>
          <w:rFonts w:hint="eastAsia" w:ascii="仿宋" w:hAnsi="仿宋" w:eastAsia="仿宋" w:cs="仿宋"/>
          <w:sz w:val="24"/>
          <w:lang w:eastAsia="en-US"/>
        </w:rPr>
        <w:t>”版面获取操作指南，同时对自助查询无法解决的问题可通过钉钉群及政采云在线客服获取服务支持。</w:t>
      </w:r>
      <w:r>
        <w:rPr>
          <w:rFonts w:hint="eastAsia" w:ascii="仿宋" w:hAnsi="仿宋" w:eastAsia="仿宋" w:cs="仿宋"/>
          <w:sz w:val="24"/>
        </w:rPr>
        <w:t>投标人钉钉群号：投标人钉钉群号：政采云新疆投标人服务十群：33132402、十一群：30213207（如已加入1-9群，无需重复加入，十一个群联动直播），钉钉工具软件具有回放功能，直播培训结束后可在钉钉群中回放观看学习。</w:t>
      </w:r>
    </w:p>
    <w:p w14:paraId="246CF467">
      <w:pPr>
        <w:ind w:firstLine="281" w:firstLineChars="100"/>
        <w:rPr>
          <w:rFonts w:ascii="仿宋" w:hAnsi="仿宋" w:eastAsia="仿宋" w:cs="仿宋"/>
          <w:sz w:val="24"/>
        </w:rPr>
      </w:pPr>
      <w:r>
        <w:rPr>
          <w:rFonts w:hint="eastAsia" w:ascii="仿宋" w:hAnsi="仿宋" w:eastAsia="仿宋" w:cs="仿宋"/>
          <w:b/>
          <w:bCs/>
          <w:color w:val="000000"/>
          <w:kern w:val="0"/>
          <w:sz w:val="28"/>
        </w:rPr>
        <w:t>七、</w:t>
      </w:r>
      <w:bookmarkStart w:id="838" w:name="_Toc35393805"/>
      <w:bookmarkStart w:id="839" w:name="_Toc28359095"/>
      <w:bookmarkStart w:id="840" w:name="_Toc28359018"/>
      <w:bookmarkStart w:id="841" w:name="_Toc35393636"/>
      <w:r>
        <w:rPr>
          <w:rFonts w:hint="eastAsia" w:ascii="仿宋" w:hAnsi="仿宋" w:eastAsia="仿宋" w:cs="仿宋"/>
          <w:b/>
          <w:bCs/>
          <w:color w:val="000000"/>
          <w:kern w:val="0"/>
          <w:sz w:val="28"/>
        </w:rPr>
        <w:t>对本次采购提出询问，请按以下方式联系。</w:t>
      </w:r>
      <w:bookmarkEnd w:id="838"/>
      <w:bookmarkEnd w:id="839"/>
      <w:bookmarkEnd w:id="840"/>
      <w:bookmarkEnd w:id="841"/>
      <w:r>
        <w:rPr>
          <w:rFonts w:hint="eastAsia" w:ascii="仿宋" w:hAnsi="仿宋" w:eastAsia="仿宋" w:cs="仿宋"/>
          <w:sz w:val="24"/>
        </w:rPr>
        <w:t xml:space="preserve">    </w:t>
      </w:r>
    </w:p>
    <w:bookmarkEnd w:id="837"/>
    <w:p w14:paraId="6632303E">
      <w:pPr>
        <w:ind w:firstLine="240" w:firstLineChars="100"/>
        <w:rPr>
          <w:rFonts w:ascii="仿宋" w:hAnsi="仿宋" w:eastAsia="仿宋" w:cs="仿宋"/>
          <w:sz w:val="24"/>
        </w:rPr>
      </w:pPr>
      <w:r>
        <w:rPr>
          <w:rFonts w:hint="eastAsia" w:ascii="仿宋" w:hAnsi="仿宋" w:eastAsia="仿宋" w:cs="仿宋"/>
          <w:sz w:val="24"/>
        </w:rPr>
        <w:t>1.采购人信息</w:t>
      </w:r>
    </w:p>
    <w:p w14:paraId="60ED190C">
      <w:pPr>
        <w:ind w:firstLine="240" w:firstLineChars="100"/>
        <w:rPr>
          <w:rFonts w:ascii="仿宋" w:hAnsi="仿宋" w:eastAsia="仿宋" w:cs="仿宋"/>
          <w:sz w:val="24"/>
        </w:rPr>
      </w:pPr>
      <w:bookmarkStart w:id="842" w:name="_Toc28359086"/>
      <w:bookmarkStart w:id="843" w:name="_Toc28359009"/>
      <w:bookmarkStart w:id="844" w:name="_Toc27055"/>
      <w:r>
        <w:rPr>
          <w:rFonts w:hint="eastAsia" w:ascii="仿宋" w:hAnsi="仿宋" w:eastAsia="仿宋" w:cs="仿宋"/>
          <w:sz w:val="24"/>
        </w:rPr>
        <w:t>采购单位：塔什库尔干塔吉克自治县自然资源局</w:t>
      </w:r>
    </w:p>
    <w:p w14:paraId="005DDED8">
      <w:pPr>
        <w:ind w:firstLine="240" w:firstLineChars="100"/>
        <w:rPr>
          <w:rFonts w:ascii="仿宋" w:hAnsi="仿宋" w:eastAsia="仿宋" w:cs="仿宋"/>
          <w:sz w:val="24"/>
        </w:rPr>
      </w:pPr>
      <w:r>
        <w:rPr>
          <w:rFonts w:hint="eastAsia" w:ascii="仿宋" w:hAnsi="仿宋" w:eastAsia="仿宋" w:cs="仿宋"/>
          <w:sz w:val="24"/>
        </w:rPr>
        <w:t>地 址：   塔什库尔干塔吉克自治县自然资源局</w:t>
      </w:r>
    </w:p>
    <w:p w14:paraId="2364C864">
      <w:pPr>
        <w:ind w:firstLine="240" w:firstLineChars="100"/>
        <w:rPr>
          <w:rFonts w:ascii="仿宋" w:hAnsi="仿宋" w:eastAsia="仿宋" w:cs="仿宋"/>
          <w:sz w:val="24"/>
        </w:rPr>
      </w:pPr>
      <w:r>
        <w:rPr>
          <w:rFonts w:hint="eastAsia" w:ascii="仿宋" w:hAnsi="仿宋" w:eastAsia="仿宋" w:cs="仿宋"/>
          <w:sz w:val="24"/>
        </w:rPr>
        <w:t>联系方式：13899177426</w:t>
      </w:r>
    </w:p>
    <w:p w14:paraId="5EF0CF11">
      <w:pPr>
        <w:ind w:firstLine="240" w:firstLineChars="100"/>
        <w:rPr>
          <w:rFonts w:ascii="仿宋" w:hAnsi="仿宋" w:eastAsia="仿宋" w:cs="仿宋"/>
          <w:sz w:val="24"/>
        </w:rPr>
      </w:pPr>
      <w:r>
        <w:rPr>
          <w:rFonts w:hint="eastAsia" w:ascii="仿宋" w:hAnsi="仿宋" w:eastAsia="仿宋" w:cs="仿宋"/>
          <w:sz w:val="24"/>
        </w:rPr>
        <w:t>2.采购代理机构信息</w:t>
      </w:r>
      <w:bookmarkEnd w:id="842"/>
      <w:bookmarkEnd w:id="843"/>
      <w:bookmarkEnd w:id="844"/>
      <w:r>
        <w:rPr>
          <w:rFonts w:hint="eastAsia" w:ascii="仿宋" w:hAnsi="仿宋" w:eastAsia="仿宋" w:cs="仿宋"/>
          <w:sz w:val="24"/>
        </w:rPr>
        <w:t xml:space="preserve"> </w:t>
      </w:r>
    </w:p>
    <w:p w14:paraId="25322A7A">
      <w:pPr>
        <w:ind w:firstLine="240" w:firstLineChars="100"/>
        <w:rPr>
          <w:rFonts w:ascii="仿宋" w:hAnsi="仿宋" w:eastAsia="仿宋" w:cs="仿宋"/>
          <w:sz w:val="24"/>
        </w:rPr>
      </w:pPr>
      <w:r>
        <w:rPr>
          <w:rFonts w:hint="eastAsia" w:ascii="仿宋" w:hAnsi="仿宋" w:eastAsia="仿宋" w:cs="仿宋"/>
          <w:sz w:val="24"/>
        </w:rPr>
        <w:t>名 称：新疆招标有限公司</w:t>
      </w:r>
    </w:p>
    <w:p w14:paraId="5867C407">
      <w:pPr>
        <w:ind w:firstLine="240" w:firstLineChars="100"/>
        <w:rPr>
          <w:rFonts w:ascii="仿宋" w:hAnsi="仿宋" w:eastAsia="仿宋" w:cs="仿宋"/>
          <w:sz w:val="24"/>
        </w:rPr>
      </w:pPr>
      <w:r>
        <w:rPr>
          <w:rFonts w:hint="eastAsia" w:ascii="仿宋" w:hAnsi="仿宋" w:eastAsia="仿宋" w:cs="仿宋"/>
          <w:sz w:val="24"/>
        </w:rPr>
        <w:t>地　址：喀什地区喀什经济开发区兵团大厦A座14楼1401</w:t>
      </w:r>
    </w:p>
    <w:p w14:paraId="434375F5">
      <w:pPr>
        <w:ind w:firstLine="240" w:firstLineChars="100"/>
        <w:rPr>
          <w:rFonts w:ascii="仿宋" w:hAnsi="仿宋" w:eastAsia="仿宋" w:cs="仿宋"/>
          <w:sz w:val="24"/>
        </w:rPr>
      </w:pPr>
      <w:r>
        <w:rPr>
          <w:rFonts w:hint="eastAsia" w:ascii="仿宋" w:hAnsi="仿宋" w:eastAsia="仿宋" w:cs="仿宋"/>
          <w:sz w:val="24"/>
        </w:rPr>
        <w:t>联系方式：18409052036</w:t>
      </w:r>
    </w:p>
    <w:p w14:paraId="54AC9280">
      <w:pPr>
        <w:ind w:firstLine="240" w:firstLineChars="100"/>
        <w:rPr>
          <w:rFonts w:ascii="仿宋" w:hAnsi="仿宋" w:eastAsia="仿宋" w:cs="仿宋"/>
          <w:sz w:val="24"/>
        </w:rPr>
      </w:pPr>
      <w:r>
        <w:rPr>
          <w:rFonts w:hint="eastAsia" w:ascii="仿宋" w:hAnsi="仿宋" w:eastAsia="仿宋" w:cs="仿宋"/>
          <w:sz w:val="24"/>
        </w:rPr>
        <w:t>3.项目联系方式</w:t>
      </w:r>
    </w:p>
    <w:p w14:paraId="391F7B1F">
      <w:pPr>
        <w:ind w:firstLine="240" w:firstLineChars="100"/>
        <w:rPr>
          <w:rFonts w:ascii="仿宋" w:hAnsi="仿宋" w:eastAsia="仿宋" w:cs="仿宋"/>
          <w:sz w:val="24"/>
        </w:rPr>
      </w:pPr>
      <w:r>
        <w:rPr>
          <w:rFonts w:hint="eastAsia" w:ascii="仿宋" w:hAnsi="仿宋" w:eastAsia="仿宋" w:cs="仿宋"/>
          <w:sz w:val="24"/>
        </w:rPr>
        <w:t>项目联系人：胡小凤</w:t>
      </w:r>
    </w:p>
    <w:p w14:paraId="4908D8F9">
      <w:pPr>
        <w:ind w:firstLine="240" w:firstLineChars="100"/>
        <w:rPr>
          <w:rFonts w:ascii="仿宋" w:hAnsi="仿宋" w:eastAsia="仿宋" w:cs="仿宋"/>
          <w:sz w:val="24"/>
        </w:rPr>
      </w:pPr>
      <w:r>
        <w:rPr>
          <w:rFonts w:hint="eastAsia" w:ascii="仿宋" w:hAnsi="仿宋" w:eastAsia="仿宋" w:cs="仿宋"/>
          <w:sz w:val="24"/>
        </w:rPr>
        <w:t>电 话：18409052036</w:t>
      </w:r>
    </w:p>
    <w:p w14:paraId="58C7E5F9">
      <w:pPr>
        <w:pStyle w:val="90"/>
        <w:rPr>
          <w:rFonts w:ascii="仿宋" w:hAnsi="仿宋" w:eastAsia="仿宋" w:cs="仿宋"/>
        </w:rPr>
      </w:pPr>
    </w:p>
    <w:p w14:paraId="10975E27">
      <w:pPr>
        <w:widowControl/>
        <w:jc w:val="left"/>
        <w:rPr>
          <w:rFonts w:ascii="仿宋" w:hAnsi="仿宋" w:eastAsia="仿宋" w:cs="仿宋"/>
          <w:b/>
          <w:kern w:val="44"/>
          <w:sz w:val="44"/>
          <w:szCs w:val="44"/>
        </w:rPr>
      </w:pPr>
      <w:bookmarkStart w:id="845" w:name="_Toc17677"/>
      <w:bookmarkStart w:id="846" w:name="_Toc26661"/>
      <w:bookmarkStart w:id="847" w:name="_Toc3146"/>
      <w:bookmarkStart w:id="848" w:name="_Toc3024"/>
      <w:r>
        <w:rPr>
          <w:rFonts w:hint="eastAsia" w:ascii="仿宋" w:hAnsi="仿宋" w:eastAsia="仿宋" w:cs="仿宋"/>
          <w:sz w:val="44"/>
          <w:szCs w:val="44"/>
        </w:rPr>
        <w:br w:type="page"/>
      </w:r>
    </w:p>
    <w:p w14:paraId="2AA3F4FB">
      <w:pPr>
        <w:pStyle w:val="3"/>
        <w:spacing w:before="0" w:after="0" w:line="240" w:lineRule="auto"/>
        <w:rPr>
          <w:rFonts w:ascii="仿宋" w:hAnsi="仿宋" w:eastAsia="仿宋" w:cs="仿宋"/>
        </w:rPr>
      </w:pPr>
      <w:r>
        <w:rPr>
          <w:rFonts w:hint="eastAsia" w:ascii="仿宋" w:hAnsi="仿宋" w:eastAsia="仿宋" w:cs="仿宋"/>
          <w:sz w:val="44"/>
          <w:szCs w:val="44"/>
        </w:rPr>
        <w:t>第四章  投标人须知资料表</w:t>
      </w:r>
      <w:bookmarkEnd w:id="563"/>
      <w:bookmarkEnd w:id="564"/>
      <w:bookmarkEnd w:id="565"/>
      <w:bookmarkEnd w:id="566"/>
      <w:bookmarkEnd w:id="567"/>
      <w:bookmarkEnd w:id="568"/>
      <w:bookmarkEnd w:id="569"/>
      <w:bookmarkEnd w:id="845"/>
      <w:bookmarkEnd w:id="846"/>
      <w:bookmarkEnd w:id="847"/>
      <w:bookmarkEnd w:id="848"/>
    </w:p>
    <w:p w14:paraId="350B7C59">
      <w:pPr>
        <w:spacing w:line="240" w:lineRule="atLeast"/>
        <w:ind w:firstLine="360" w:firstLineChars="150"/>
        <w:rPr>
          <w:rFonts w:ascii="仿宋" w:hAnsi="仿宋" w:eastAsia="仿宋" w:cs="仿宋"/>
          <w:sz w:val="24"/>
        </w:rPr>
      </w:pPr>
      <w:r>
        <w:rPr>
          <w:rFonts w:hint="eastAsia" w:ascii="仿宋" w:hAnsi="仿宋" w:eastAsia="仿宋" w:cs="仿宋"/>
          <w:sz w:val="24"/>
        </w:rPr>
        <w:t>本表是本招标项目的具体资料，是对投标人须知的具体补充和修改，如有矛盾，应以本资料表为准。</w:t>
      </w:r>
    </w:p>
    <w:tbl>
      <w:tblPr>
        <w:tblStyle w:val="35"/>
        <w:tblW w:w="8959"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24"/>
        <w:gridCol w:w="8035"/>
      </w:tblGrid>
      <w:tr w14:paraId="43428A3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1" w:hRule="atLeast"/>
        </w:trPr>
        <w:tc>
          <w:tcPr>
            <w:tcW w:w="924" w:type="dxa"/>
            <w:vAlign w:val="center"/>
          </w:tcPr>
          <w:p w14:paraId="63930E6F">
            <w:pPr>
              <w:spacing w:line="360" w:lineRule="auto"/>
              <w:jc w:val="center"/>
              <w:rPr>
                <w:rFonts w:ascii="仿宋" w:hAnsi="仿宋" w:eastAsia="仿宋" w:cs="仿宋"/>
                <w:sz w:val="24"/>
              </w:rPr>
            </w:pPr>
            <w:r>
              <w:rPr>
                <w:rFonts w:hint="eastAsia" w:ascii="仿宋" w:hAnsi="仿宋" w:eastAsia="仿宋" w:cs="仿宋"/>
                <w:sz w:val="24"/>
              </w:rPr>
              <w:t>条款号</w:t>
            </w:r>
          </w:p>
        </w:tc>
        <w:tc>
          <w:tcPr>
            <w:tcW w:w="8035" w:type="dxa"/>
            <w:vAlign w:val="center"/>
          </w:tcPr>
          <w:p w14:paraId="4E4FC3E8">
            <w:pPr>
              <w:spacing w:line="360" w:lineRule="auto"/>
              <w:ind w:left="1080" w:leftChars="257" w:hanging="540"/>
              <w:jc w:val="center"/>
              <w:rPr>
                <w:rFonts w:ascii="仿宋" w:hAnsi="仿宋" w:eastAsia="仿宋" w:cs="仿宋"/>
                <w:b/>
                <w:color w:val="000000"/>
                <w:sz w:val="24"/>
              </w:rPr>
            </w:pPr>
            <w:r>
              <w:rPr>
                <w:rFonts w:hint="eastAsia" w:ascii="仿宋" w:hAnsi="仿宋" w:eastAsia="仿宋" w:cs="仿宋"/>
                <w:b/>
                <w:color w:val="000000"/>
                <w:sz w:val="24"/>
              </w:rPr>
              <w:t>内      容</w:t>
            </w:r>
          </w:p>
        </w:tc>
      </w:tr>
      <w:tr w14:paraId="3859A88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37" w:hRule="atLeast"/>
        </w:trPr>
        <w:tc>
          <w:tcPr>
            <w:tcW w:w="924" w:type="dxa"/>
            <w:vAlign w:val="center"/>
          </w:tcPr>
          <w:p w14:paraId="6B4C4E32">
            <w:pPr>
              <w:spacing w:line="360" w:lineRule="auto"/>
              <w:jc w:val="center"/>
              <w:rPr>
                <w:rFonts w:ascii="仿宋" w:hAnsi="仿宋" w:eastAsia="仿宋" w:cs="仿宋"/>
                <w:sz w:val="24"/>
              </w:rPr>
            </w:pPr>
            <w:r>
              <w:rPr>
                <w:rFonts w:hint="eastAsia" w:ascii="仿宋" w:hAnsi="仿宋" w:eastAsia="仿宋" w:cs="仿宋"/>
                <w:sz w:val="24"/>
              </w:rPr>
              <w:t>1.1</w:t>
            </w:r>
          </w:p>
        </w:tc>
        <w:tc>
          <w:tcPr>
            <w:tcW w:w="8035" w:type="dxa"/>
            <w:vAlign w:val="center"/>
          </w:tcPr>
          <w:p w14:paraId="4923B4E6">
            <w:pPr>
              <w:spacing w:line="360" w:lineRule="auto"/>
              <w:rPr>
                <w:rFonts w:ascii="仿宋" w:hAnsi="仿宋" w:eastAsia="仿宋" w:cs="仿宋"/>
                <w:color w:val="000000"/>
                <w:sz w:val="24"/>
                <w:szCs w:val="22"/>
              </w:rPr>
            </w:pPr>
            <w:r>
              <w:rPr>
                <w:rFonts w:hint="eastAsia" w:ascii="仿宋" w:hAnsi="仿宋" w:eastAsia="仿宋" w:cs="仿宋"/>
                <w:color w:val="000000"/>
                <w:sz w:val="24"/>
              </w:rPr>
              <w:t>采购人：</w:t>
            </w:r>
            <w:r>
              <w:rPr>
                <w:rFonts w:hint="eastAsia" w:ascii="仿宋" w:hAnsi="仿宋" w:eastAsia="仿宋" w:cs="仿宋"/>
                <w:color w:val="000000"/>
                <w:sz w:val="24"/>
                <w:szCs w:val="22"/>
              </w:rPr>
              <w:t>塔什库尔干塔吉克自治县自然资源局</w:t>
            </w:r>
          </w:p>
          <w:p w14:paraId="150B93F7">
            <w:pPr>
              <w:spacing w:line="360" w:lineRule="auto"/>
              <w:rPr>
                <w:rFonts w:ascii="仿宋" w:hAnsi="仿宋" w:eastAsia="仿宋" w:cs="仿宋"/>
                <w:color w:val="000000"/>
                <w:sz w:val="24"/>
              </w:rPr>
            </w:pPr>
            <w:r>
              <w:rPr>
                <w:rFonts w:hint="eastAsia" w:ascii="仿宋" w:hAnsi="仿宋" w:eastAsia="仿宋" w:cs="仿宋"/>
                <w:color w:val="000000"/>
                <w:sz w:val="24"/>
              </w:rPr>
              <w:t>联系人：</w:t>
            </w:r>
            <w:r>
              <w:rPr>
                <w:rFonts w:hint="eastAsia" w:ascii="仿宋" w:hAnsi="仿宋" w:eastAsia="仿宋" w:cs="仿宋"/>
                <w:color w:val="000000"/>
                <w:sz w:val="24"/>
                <w:szCs w:val="22"/>
              </w:rPr>
              <w:t xml:space="preserve">肉孜巴依    </w:t>
            </w:r>
            <w:r>
              <w:rPr>
                <w:rFonts w:hint="eastAsia" w:ascii="仿宋" w:hAnsi="仿宋" w:eastAsia="仿宋" w:cs="仿宋"/>
                <w:color w:val="000000"/>
                <w:sz w:val="24"/>
              </w:rPr>
              <w:t xml:space="preserve"> 联系电话：</w:t>
            </w:r>
            <w:r>
              <w:rPr>
                <w:rFonts w:hint="eastAsia" w:ascii="仿宋" w:hAnsi="仿宋" w:eastAsia="仿宋" w:cs="仿宋"/>
                <w:color w:val="000000"/>
                <w:sz w:val="24"/>
                <w:szCs w:val="22"/>
              </w:rPr>
              <w:t>13899177426</w:t>
            </w:r>
          </w:p>
        </w:tc>
      </w:tr>
      <w:tr w14:paraId="5C153F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99" w:hRule="atLeast"/>
        </w:trPr>
        <w:tc>
          <w:tcPr>
            <w:tcW w:w="924" w:type="dxa"/>
            <w:vAlign w:val="center"/>
          </w:tcPr>
          <w:p w14:paraId="7449C39B">
            <w:pPr>
              <w:spacing w:line="360" w:lineRule="auto"/>
              <w:jc w:val="center"/>
              <w:rPr>
                <w:rFonts w:ascii="仿宋" w:hAnsi="仿宋" w:eastAsia="仿宋" w:cs="仿宋"/>
                <w:sz w:val="24"/>
              </w:rPr>
            </w:pPr>
            <w:r>
              <w:rPr>
                <w:rFonts w:hint="eastAsia" w:ascii="仿宋" w:hAnsi="仿宋" w:eastAsia="仿宋" w:cs="仿宋"/>
                <w:sz w:val="24"/>
              </w:rPr>
              <w:t>1.2</w:t>
            </w:r>
          </w:p>
        </w:tc>
        <w:tc>
          <w:tcPr>
            <w:tcW w:w="8035" w:type="dxa"/>
            <w:vAlign w:val="center"/>
          </w:tcPr>
          <w:p w14:paraId="235448DC">
            <w:pPr>
              <w:spacing w:line="360" w:lineRule="auto"/>
              <w:rPr>
                <w:rFonts w:ascii="仿宋" w:hAnsi="仿宋" w:eastAsia="仿宋" w:cs="仿宋"/>
                <w:color w:val="000000"/>
                <w:sz w:val="24"/>
                <w:szCs w:val="22"/>
              </w:rPr>
            </w:pPr>
            <w:r>
              <w:rPr>
                <w:rFonts w:hint="eastAsia" w:ascii="仿宋" w:hAnsi="仿宋" w:eastAsia="仿宋" w:cs="仿宋"/>
                <w:color w:val="000000"/>
                <w:sz w:val="24"/>
                <w:szCs w:val="22"/>
              </w:rPr>
              <w:t>采购代理机构：新疆招标有限公司</w:t>
            </w:r>
          </w:p>
          <w:p w14:paraId="62E3ACA9">
            <w:pPr>
              <w:spacing w:line="360" w:lineRule="auto"/>
              <w:rPr>
                <w:rFonts w:ascii="仿宋" w:hAnsi="仿宋" w:eastAsia="仿宋" w:cs="仿宋"/>
                <w:color w:val="000000"/>
                <w:sz w:val="24"/>
                <w:szCs w:val="22"/>
              </w:rPr>
            </w:pPr>
            <w:r>
              <w:rPr>
                <w:rFonts w:hint="eastAsia" w:ascii="仿宋" w:hAnsi="仿宋" w:eastAsia="仿宋" w:cs="仿宋"/>
                <w:color w:val="000000"/>
                <w:sz w:val="24"/>
                <w:szCs w:val="22"/>
              </w:rPr>
              <w:t>地址：喀什地区喀什经济开发区兵团大厦A座14楼1401</w:t>
            </w:r>
          </w:p>
          <w:p w14:paraId="2F8BBA31">
            <w:pPr>
              <w:spacing w:line="360" w:lineRule="auto"/>
              <w:rPr>
                <w:rFonts w:ascii="仿宋" w:hAnsi="仿宋" w:eastAsia="仿宋" w:cs="仿宋"/>
                <w:sz w:val="24"/>
              </w:rPr>
            </w:pPr>
            <w:r>
              <w:rPr>
                <w:rFonts w:hint="eastAsia" w:ascii="仿宋" w:hAnsi="仿宋" w:eastAsia="仿宋" w:cs="仿宋"/>
                <w:color w:val="000000"/>
                <w:sz w:val="24"/>
                <w:szCs w:val="22"/>
              </w:rPr>
              <w:t>业务联系人：胡小凤   电话：18409052036</w:t>
            </w:r>
          </w:p>
        </w:tc>
      </w:tr>
      <w:tr w14:paraId="239C5A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731" w:hRule="atLeast"/>
        </w:trPr>
        <w:tc>
          <w:tcPr>
            <w:tcW w:w="924" w:type="dxa"/>
            <w:vAlign w:val="center"/>
          </w:tcPr>
          <w:p w14:paraId="559261F1">
            <w:pPr>
              <w:spacing w:line="360" w:lineRule="auto"/>
              <w:jc w:val="center"/>
              <w:rPr>
                <w:rFonts w:ascii="仿宋" w:hAnsi="仿宋" w:eastAsia="仿宋" w:cs="仿宋"/>
                <w:sz w:val="24"/>
              </w:rPr>
            </w:pPr>
            <w:r>
              <w:rPr>
                <w:rFonts w:hint="eastAsia" w:ascii="仿宋" w:hAnsi="仿宋" w:eastAsia="仿宋" w:cs="仿宋"/>
                <w:sz w:val="24"/>
              </w:rPr>
              <w:t>1.3.1</w:t>
            </w:r>
          </w:p>
        </w:tc>
        <w:tc>
          <w:tcPr>
            <w:tcW w:w="8035" w:type="dxa"/>
            <w:vAlign w:val="center"/>
          </w:tcPr>
          <w:p w14:paraId="54C89F0F">
            <w:pPr>
              <w:spacing w:line="360" w:lineRule="auto"/>
              <w:jc w:val="left"/>
              <w:rPr>
                <w:rFonts w:ascii="仿宋" w:hAnsi="仿宋" w:eastAsia="仿宋" w:cs="仿宋"/>
                <w:sz w:val="24"/>
              </w:rPr>
            </w:pPr>
            <w:r>
              <w:rPr>
                <w:rFonts w:hint="eastAsia" w:ascii="仿宋" w:hAnsi="仿宋" w:eastAsia="仿宋" w:cs="仿宋"/>
                <w:sz w:val="24"/>
              </w:rPr>
              <w:t>合格投标人资格要求：</w:t>
            </w:r>
          </w:p>
          <w:p w14:paraId="54753789">
            <w:pPr>
              <w:pStyle w:val="16"/>
              <w:spacing w:line="360" w:lineRule="auto"/>
              <w:jc w:val="left"/>
              <w:textAlignment w:val="baseline"/>
              <w:rPr>
                <w:rFonts w:ascii="仿宋" w:hAnsi="仿宋" w:eastAsia="仿宋" w:cs="仿宋"/>
                <w:sz w:val="24"/>
              </w:rPr>
            </w:pPr>
            <w:r>
              <w:rPr>
                <w:rFonts w:hint="eastAsia" w:ascii="仿宋" w:hAnsi="仿宋" w:eastAsia="仿宋" w:cs="仿宋"/>
                <w:sz w:val="24"/>
              </w:rPr>
              <w:t>1、具有独立承担民事责任的能力；（提供企业三证合一的法人营业执照或含二维码的营业执照）；</w:t>
            </w:r>
          </w:p>
          <w:p w14:paraId="670BB531">
            <w:pPr>
              <w:pStyle w:val="16"/>
              <w:spacing w:line="360" w:lineRule="auto"/>
              <w:jc w:val="left"/>
              <w:textAlignment w:val="baseline"/>
              <w:rPr>
                <w:rFonts w:ascii="仿宋" w:hAnsi="仿宋" w:eastAsia="仿宋" w:cs="仿宋"/>
                <w:sz w:val="24"/>
              </w:rPr>
            </w:pPr>
            <w:r>
              <w:rPr>
                <w:rFonts w:hint="eastAsia" w:ascii="仿宋" w:hAnsi="仿宋" w:eastAsia="仿宋" w:cs="仿宋"/>
                <w:sz w:val="24"/>
              </w:rPr>
              <w:t>2、具有良好的商业信誉和健全的财务会计制度；提供近两年内任意一年的财务审计报告（新成立的公司可提供近一个月的银行资信证明）；</w:t>
            </w:r>
          </w:p>
          <w:p w14:paraId="07CC53FD">
            <w:pPr>
              <w:pStyle w:val="16"/>
              <w:spacing w:line="360" w:lineRule="auto"/>
              <w:jc w:val="left"/>
              <w:textAlignment w:val="baseline"/>
              <w:rPr>
                <w:rFonts w:ascii="仿宋" w:hAnsi="仿宋" w:eastAsia="仿宋" w:cs="仿宋"/>
                <w:sz w:val="24"/>
              </w:rPr>
            </w:pPr>
            <w:r>
              <w:rPr>
                <w:rFonts w:hint="eastAsia" w:ascii="仿宋" w:hAnsi="仿宋" w:eastAsia="仿宋" w:cs="仿宋"/>
                <w:sz w:val="24"/>
              </w:rPr>
              <w:t>3、</w:t>
            </w:r>
            <w:r>
              <w:rPr>
                <w:rFonts w:hint="eastAsia" w:ascii="仿宋" w:hAnsi="仿宋" w:eastAsia="仿宋" w:cs="仿宋"/>
                <w:snapToGrid w:val="0"/>
                <w:sz w:val="24"/>
                <w:szCs w:val="24"/>
                <w:lang w:val="zh-CN"/>
              </w:rPr>
              <w:t>具有履行合同所必需的设备和专业技术能力的承诺书；</w:t>
            </w:r>
          </w:p>
          <w:p w14:paraId="20E6E772">
            <w:pPr>
              <w:pStyle w:val="16"/>
              <w:spacing w:line="360" w:lineRule="auto"/>
              <w:jc w:val="left"/>
              <w:textAlignment w:val="baseline"/>
              <w:rPr>
                <w:rFonts w:ascii="仿宋" w:hAnsi="仿宋" w:eastAsia="仿宋" w:cs="仿宋"/>
                <w:sz w:val="24"/>
              </w:rPr>
            </w:pPr>
            <w:r>
              <w:rPr>
                <w:rFonts w:hint="eastAsia" w:ascii="仿宋" w:hAnsi="仿宋" w:eastAsia="仿宋" w:cs="仿宋"/>
                <w:sz w:val="24"/>
              </w:rPr>
              <w:t>4、有依法缴纳税收和社会保障资金的良好记录；提供依法缴纳近三个月的税收证明和社保凭据（新成立公司可提供近一个月的，零申报需加盖税务局印章或投标截止日内无拖欠税收证明）；</w:t>
            </w:r>
          </w:p>
          <w:p w14:paraId="34FAC8BC">
            <w:pPr>
              <w:spacing w:line="360" w:lineRule="auto"/>
              <w:jc w:val="left"/>
              <w:rPr>
                <w:rFonts w:ascii="仿宋" w:hAnsi="仿宋" w:eastAsia="仿宋" w:cs="仿宋"/>
                <w:sz w:val="24"/>
              </w:rPr>
            </w:pPr>
            <w:r>
              <w:rPr>
                <w:rFonts w:hint="eastAsia" w:ascii="仿宋" w:hAnsi="仿宋" w:eastAsia="仿宋" w:cs="仿宋"/>
                <w:sz w:val="24"/>
              </w:rPr>
              <w:t>5、参加政府采购活动前三年内，在经营活动中没有重大违法记录的声明书；（格式自拟，需加盖单位公章）</w:t>
            </w:r>
          </w:p>
          <w:p w14:paraId="4A67E2B0">
            <w:pPr>
              <w:pStyle w:val="16"/>
              <w:spacing w:line="360" w:lineRule="auto"/>
              <w:jc w:val="left"/>
              <w:textAlignment w:val="baseline"/>
              <w:rPr>
                <w:rFonts w:ascii="仿宋" w:hAnsi="仿宋" w:eastAsia="仿宋" w:cs="仿宋"/>
                <w:sz w:val="24"/>
              </w:rPr>
            </w:pPr>
            <w:r>
              <w:rPr>
                <w:rFonts w:hint="eastAsia" w:ascii="仿宋" w:hAnsi="仿宋" w:eastAsia="仿宋" w:cs="仿宋"/>
                <w:sz w:val="24"/>
              </w:rPr>
              <w:t>6、根据《财政部关于在政府采购活动中查询及使用信用记录有关问题的通知》（财库﹝2016﹞125号）的要求，凡拟参加本次采购项目的投标人，如在“信用中国”网站被列入失信被执行人、重大税收违法失信主体(信用中国首页-点击信用服务-查询、网页打印)、中国政府采购网严重违法失信行为记录名单的（尚在处罚期内的），将拒绝其参加本次采购活动（由代理机构现场查询核实）；</w:t>
            </w:r>
          </w:p>
          <w:p w14:paraId="61C69D64">
            <w:pPr>
              <w:spacing w:line="360" w:lineRule="auto"/>
              <w:jc w:val="left"/>
              <w:rPr>
                <w:rFonts w:ascii="仿宋" w:hAnsi="仿宋" w:eastAsia="仿宋" w:cs="仿宋"/>
                <w:sz w:val="24"/>
              </w:rPr>
            </w:pPr>
            <w:r>
              <w:rPr>
                <w:rFonts w:hint="eastAsia" w:ascii="仿宋" w:hAnsi="仿宋" w:eastAsia="仿宋" w:cs="仿宋"/>
                <w:sz w:val="24"/>
              </w:rPr>
              <w:t>7、投标人应为中小企业，提供有效的《中小企业声明函》。</w:t>
            </w:r>
          </w:p>
          <w:p w14:paraId="6864E929">
            <w:pPr>
              <w:spacing w:line="360" w:lineRule="auto"/>
              <w:rPr>
                <w:rFonts w:ascii="仿宋" w:hAnsi="仿宋" w:eastAsia="仿宋" w:cs="仿宋"/>
              </w:rPr>
            </w:pPr>
            <w:r>
              <w:rPr>
                <w:rFonts w:hint="eastAsia" w:ascii="仿宋" w:hAnsi="仿宋" w:eastAsia="仿宋" w:cs="仿宋"/>
                <w:sz w:val="24"/>
              </w:rPr>
              <w:t>本项目不接受联合体投标。</w:t>
            </w:r>
          </w:p>
        </w:tc>
      </w:tr>
      <w:tr w14:paraId="2A9AB2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5" w:hRule="atLeast"/>
        </w:trPr>
        <w:tc>
          <w:tcPr>
            <w:tcW w:w="924" w:type="dxa"/>
            <w:vAlign w:val="center"/>
          </w:tcPr>
          <w:p w14:paraId="5F713703">
            <w:pPr>
              <w:spacing w:line="360" w:lineRule="auto"/>
              <w:jc w:val="center"/>
              <w:rPr>
                <w:rFonts w:ascii="仿宋" w:hAnsi="仿宋" w:eastAsia="仿宋" w:cs="仿宋"/>
                <w:sz w:val="24"/>
              </w:rPr>
            </w:pPr>
            <w:r>
              <w:rPr>
                <w:rFonts w:hint="eastAsia" w:ascii="仿宋" w:hAnsi="仿宋" w:eastAsia="仿宋" w:cs="仿宋"/>
                <w:sz w:val="24"/>
              </w:rPr>
              <w:t>1.3.2</w:t>
            </w:r>
          </w:p>
        </w:tc>
        <w:tc>
          <w:tcPr>
            <w:tcW w:w="8035" w:type="dxa"/>
            <w:vAlign w:val="center"/>
          </w:tcPr>
          <w:p w14:paraId="244DCF79">
            <w:pPr>
              <w:spacing w:line="360" w:lineRule="auto"/>
              <w:rPr>
                <w:rFonts w:ascii="仿宋" w:hAnsi="仿宋" w:eastAsia="仿宋" w:cs="仿宋"/>
                <w:sz w:val="24"/>
              </w:rPr>
            </w:pPr>
            <w:r>
              <w:rPr>
                <w:rFonts w:hint="eastAsia" w:ascii="仿宋" w:hAnsi="仿宋" w:eastAsia="仿宋" w:cs="仿宋"/>
                <w:sz w:val="24"/>
              </w:rPr>
              <w:t>是否允许采购进口产品：否</w:t>
            </w:r>
          </w:p>
        </w:tc>
      </w:tr>
      <w:tr w14:paraId="7861B2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62" w:hRule="atLeast"/>
        </w:trPr>
        <w:tc>
          <w:tcPr>
            <w:tcW w:w="924" w:type="dxa"/>
            <w:vAlign w:val="center"/>
          </w:tcPr>
          <w:p w14:paraId="02C16D4F">
            <w:pPr>
              <w:spacing w:line="360" w:lineRule="auto"/>
              <w:jc w:val="center"/>
              <w:rPr>
                <w:rFonts w:ascii="仿宋" w:hAnsi="仿宋" w:eastAsia="仿宋" w:cs="仿宋"/>
                <w:sz w:val="24"/>
              </w:rPr>
            </w:pPr>
            <w:r>
              <w:rPr>
                <w:rFonts w:hint="eastAsia" w:ascii="仿宋" w:hAnsi="仿宋" w:eastAsia="仿宋" w:cs="仿宋"/>
                <w:sz w:val="24"/>
              </w:rPr>
              <w:t>1.3.3</w:t>
            </w:r>
          </w:p>
        </w:tc>
        <w:tc>
          <w:tcPr>
            <w:tcW w:w="8035" w:type="dxa"/>
            <w:vAlign w:val="center"/>
          </w:tcPr>
          <w:p w14:paraId="64896E97">
            <w:pPr>
              <w:spacing w:line="360" w:lineRule="auto"/>
              <w:rPr>
                <w:rFonts w:hint="eastAsia" w:ascii="仿宋" w:hAnsi="仿宋" w:eastAsia="仿宋" w:cs="仿宋"/>
                <w:sz w:val="24"/>
              </w:rPr>
            </w:pPr>
            <w:r>
              <w:rPr>
                <w:rFonts w:hint="eastAsia" w:ascii="仿宋" w:hAnsi="仿宋" w:eastAsia="仿宋" w:cs="仿宋"/>
                <w:sz w:val="24"/>
              </w:rPr>
              <w:t>是否为专门面向中小企业采购：是</w:t>
            </w:r>
          </w:p>
          <w:p w14:paraId="65F4195C">
            <w:pPr>
              <w:spacing w:line="360" w:lineRule="auto"/>
              <w:rPr>
                <w:rFonts w:ascii="仿宋" w:hAnsi="仿宋" w:eastAsia="仿宋" w:cs="仿宋"/>
                <w:color w:val="00B0F0"/>
                <w:sz w:val="24"/>
                <w:u w:val="single"/>
              </w:rPr>
            </w:pPr>
            <w:r>
              <w:rPr>
                <w:rFonts w:hint="eastAsia" w:ascii="仿宋" w:hAnsi="仿宋" w:eastAsia="仿宋" w:cs="仿宋"/>
                <w:b/>
                <w:bCs/>
                <w:sz w:val="24"/>
              </w:rPr>
              <w:t>注：一.潜在投标企业属于中小微企业的，请在投标文件中提供“中小企业声明函”，如果未提供或提供虚假的“中小企业声明函”，则投标人投标无效。</w:t>
            </w:r>
          </w:p>
        </w:tc>
      </w:tr>
      <w:tr w14:paraId="5830C47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5" w:hRule="atLeast"/>
        </w:trPr>
        <w:tc>
          <w:tcPr>
            <w:tcW w:w="924" w:type="dxa"/>
            <w:vAlign w:val="center"/>
          </w:tcPr>
          <w:p w14:paraId="04EAA54B">
            <w:pPr>
              <w:spacing w:line="360" w:lineRule="auto"/>
              <w:jc w:val="center"/>
              <w:rPr>
                <w:rFonts w:ascii="仿宋" w:hAnsi="仿宋" w:eastAsia="仿宋" w:cs="仿宋"/>
                <w:sz w:val="24"/>
              </w:rPr>
            </w:pPr>
            <w:r>
              <w:rPr>
                <w:rFonts w:hint="eastAsia" w:ascii="仿宋" w:hAnsi="仿宋" w:eastAsia="仿宋" w:cs="仿宋"/>
                <w:sz w:val="24"/>
              </w:rPr>
              <w:t>1.4.1</w:t>
            </w:r>
          </w:p>
        </w:tc>
        <w:tc>
          <w:tcPr>
            <w:tcW w:w="8035" w:type="dxa"/>
            <w:vAlign w:val="center"/>
          </w:tcPr>
          <w:p w14:paraId="3F74C7FD">
            <w:pPr>
              <w:spacing w:line="360" w:lineRule="auto"/>
              <w:rPr>
                <w:rFonts w:ascii="仿宋" w:hAnsi="仿宋" w:eastAsia="仿宋" w:cs="仿宋"/>
                <w:sz w:val="24"/>
              </w:rPr>
            </w:pPr>
            <w:r>
              <w:rPr>
                <w:rFonts w:hint="eastAsia" w:ascii="仿宋" w:hAnsi="仿宋" w:eastAsia="仿宋" w:cs="仿宋"/>
                <w:sz w:val="24"/>
              </w:rPr>
              <w:t>是否允许联合体投标：</w:t>
            </w:r>
            <w:r>
              <w:rPr>
                <w:rFonts w:hint="eastAsia" w:ascii="仿宋" w:hAnsi="仿宋" w:eastAsia="仿宋" w:cs="仿宋"/>
                <w:sz w:val="24"/>
                <w:u w:val="single"/>
              </w:rPr>
              <w:t>否</w:t>
            </w:r>
          </w:p>
        </w:tc>
      </w:tr>
      <w:tr w14:paraId="5D30BA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5" w:hRule="atLeast"/>
        </w:trPr>
        <w:tc>
          <w:tcPr>
            <w:tcW w:w="924" w:type="dxa"/>
            <w:vAlign w:val="center"/>
          </w:tcPr>
          <w:p w14:paraId="67C733B1">
            <w:pPr>
              <w:spacing w:line="360" w:lineRule="auto"/>
              <w:jc w:val="center"/>
              <w:rPr>
                <w:rFonts w:ascii="仿宋" w:hAnsi="仿宋" w:eastAsia="仿宋" w:cs="仿宋"/>
                <w:sz w:val="24"/>
              </w:rPr>
            </w:pPr>
            <w:bookmarkStart w:id="849" w:name="_Toc216582826"/>
            <w:bookmarkStart w:id="850" w:name="_Toc218935355"/>
            <w:bookmarkStart w:id="851" w:name="_Toc203274616"/>
            <w:bookmarkStart w:id="852" w:name="_Toc219175639"/>
            <w:bookmarkStart w:id="853" w:name="_Toc175644389"/>
            <w:bookmarkStart w:id="854" w:name="_Toc101951258"/>
            <w:r>
              <w:rPr>
                <w:rFonts w:hint="eastAsia" w:ascii="仿宋" w:hAnsi="仿宋" w:eastAsia="仿宋" w:cs="仿宋"/>
                <w:sz w:val="24"/>
              </w:rPr>
              <w:t>1.4.2</w:t>
            </w:r>
          </w:p>
        </w:tc>
        <w:tc>
          <w:tcPr>
            <w:tcW w:w="8035" w:type="dxa"/>
            <w:vAlign w:val="center"/>
          </w:tcPr>
          <w:p w14:paraId="12291910">
            <w:pPr>
              <w:spacing w:line="360" w:lineRule="auto"/>
              <w:rPr>
                <w:rFonts w:ascii="仿宋" w:hAnsi="仿宋" w:eastAsia="仿宋" w:cs="仿宋"/>
                <w:sz w:val="24"/>
              </w:rPr>
            </w:pPr>
            <w:r>
              <w:rPr>
                <w:rFonts w:hint="eastAsia" w:ascii="仿宋" w:hAnsi="仿宋" w:eastAsia="仿宋" w:cs="仿宋"/>
                <w:sz w:val="24"/>
              </w:rPr>
              <w:t>联合体的其他资格要求：</w:t>
            </w:r>
            <w:r>
              <w:rPr>
                <w:rFonts w:hint="eastAsia" w:ascii="仿宋" w:hAnsi="仿宋" w:eastAsia="仿宋" w:cs="仿宋"/>
                <w:sz w:val="24"/>
                <w:u w:val="single"/>
              </w:rPr>
              <w:t>本项目不接受联合体投标</w:t>
            </w:r>
          </w:p>
        </w:tc>
      </w:tr>
      <w:tr w14:paraId="230BEF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37" w:hRule="atLeast"/>
        </w:trPr>
        <w:tc>
          <w:tcPr>
            <w:tcW w:w="924" w:type="dxa"/>
            <w:vAlign w:val="center"/>
          </w:tcPr>
          <w:p w14:paraId="780FDCB2">
            <w:pPr>
              <w:spacing w:line="360" w:lineRule="auto"/>
              <w:jc w:val="center"/>
              <w:rPr>
                <w:rFonts w:ascii="仿宋" w:hAnsi="仿宋" w:eastAsia="仿宋" w:cs="仿宋"/>
                <w:sz w:val="24"/>
              </w:rPr>
            </w:pPr>
            <w:r>
              <w:rPr>
                <w:rFonts w:hint="eastAsia" w:ascii="仿宋" w:hAnsi="仿宋" w:eastAsia="仿宋" w:cs="仿宋"/>
                <w:sz w:val="24"/>
              </w:rPr>
              <w:t>2.1</w:t>
            </w:r>
          </w:p>
        </w:tc>
        <w:tc>
          <w:tcPr>
            <w:tcW w:w="8035" w:type="dxa"/>
            <w:vAlign w:val="center"/>
          </w:tcPr>
          <w:p w14:paraId="0E98B43D">
            <w:pPr>
              <w:widowControl/>
              <w:spacing w:line="360" w:lineRule="auto"/>
              <w:jc w:val="left"/>
              <w:rPr>
                <w:rFonts w:ascii="仿宋" w:hAnsi="仿宋" w:eastAsia="仿宋" w:cs="仿宋"/>
                <w:sz w:val="24"/>
              </w:rPr>
            </w:pPr>
            <w:r>
              <w:rPr>
                <w:rFonts w:hint="eastAsia" w:ascii="仿宋" w:hAnsi="仿宋" w:eastAsia="仿宋" w:cs="仿宋"/>
                <w:sz w:val="24"/>
              </w:rPr>
              <w:t>采购预算：</w:t>
            </w:r>
            <w:r>
              <w:rPr>
                <w:rFonts w:hint="eastAsia" w:ascii="仿宋" w:hAnsi="仿宋" w:eastAsia="仿宋" w:cs="仿宋"/>
                <w:color w:val="00B0F0"/>
                <w:sz w:val="24"/>
                <w:szCs w:val="22"/>
              </w:rPr>
              <w:t>93.83万元；</w:t>
            </w:r>
            <w:r>
              <w:rPr>
                <w:rFonts w:hint="eastAsia" w:ascii="仿宋" w:hAnsi="仿宋" w:eastAsia="仿宋" w:cs="仿宋"/>
                <w:sz w:val="24"/>
              </w:rPr>
              <w:t>最高限价：</w:t>
            </w:r>
            <w:r>
              <w:rPr>
                <w:rFonts w:hint="eastAsia" w:ascii="仿宋" w:hAnsi="仿宋" w:eastAsia="仿宋" w:cs="仿宋"/>
                <w:color w:val="00B0F0"/>
                <w:sz w:val="24"/>
                <w:szCs w:val="22"/>
              </w:rPr>
              <w:t>86.729152万元</w:t>
            </w:r>
            <w:r>
              <w:rPr>
                <w:rFonts w:hint="eastAsia" w:ascii="仿宋" w:hAnsi="仿宋" w:eastAsia="仿宋" w:cs="仿宋"/>
                <w:color w:val="00B0F0"/>
                <w:sz w:val="24"/>
              </w:rPr>
              <w:t>。</w:t>
            </w:r>
            <w:r>
              <w:rPr>
                <w:rFonts w:hint="eastAsia" w:ascii="仿宋" w:hAnsi="仿宋" w:eastAsia="仿宋" w:cs="仿宋"/>
                <w:sz w:val="24"/>
                <w:lang w:val="zh-CN"/>
              </w:rPr>
              <w:t>（超过最高限价的投标无效）</w:t>
            </w:r>
            <w:r>
              <w:rPr>
                <w:rFonts w:hint="eastAsia" w:ascii="仿宋" w:hAnsi="仿宋" w:eastAsia="仿宋" w:cs="仿宋"/>
                <w:sz w:val="24"/>
              </w:rPr>
              <w:t xml:space="preserve">       </w:t>
            </w:r>
          </w:p>
        </w:tc>
      </w:tr>
      <w:tr w14:paraId="15F959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033" w:hRule="atLeast"/>
        </w:trPr>
        <w:tc>
          <w:tcPr>
            <w:tcW w:w="924" w:type="dxa"/>
            <w:vAlign w:val="center"/>
          </w:tcPr>
          <w:p w14:paraId="7A7312BB">
            <w:pPr>
              <w:spacing w:line="360" w:lineRule="auto"/>
              <w:jc w:val="center"/>
              <w:rPr>
                <w:rFonts w:ascii="仿宋" w:hAnsi="仿宋" w:eastAsia="仿宋" w:cs="仿宋"/>
                <w:sz w:val="24"/>
              </w:rPr>
            </w:pPr>
            <w:r>
              <w:rPr>
                <w:rFonts w:hint="eastAsia" w:ascii="仿宋" w:hAnsi="仿宋" w:eastAsia="仿宋" w:cs="仿宋"/>
                <w:sz w:val="24"/>
              </w:rPr>
              <w:t>12.1</w:t>
            </w:r>
          </w:p>
        </w:tc>
        <w:tc>
          <w:tcPr>
            <w:tcW w:w="8035" w:type="dxa"/>
            <w:vAlign w:val="center"/>
          </w:tcPr>
          <w:p w14:paraId="5E409ECB">
            <w:pPr>
              <w:spacing w:line="360" w:lineRule="auto"/>
              <w:rPr>
                <w:rFonts w:ascii="仿宋" w:hAnsi="仿宋" w:eastAsia="仿宋" w:cs="仿宋"/>
                <w:sz w:val="24"/>
              </w:rPr>
            </w:pPr>
            <w:r>
              <w:rPr>
                <w:rFonts w:hint="eastAsia" w:ascii="仿宋" w:hAnsi="仿宋" w:eastAsia="仿宋" w:cs="仿宋"/>
                <w:sz w:val="24"/>
              </w:rPr>
              <w:t>投标保证金形式：以支票、汇票、本票或者金融机构、担保机构出具的保函等非现金形式提交。</w:t>
            </w:r>
          </w:p>
          <w:p w14:paraId="7A7BA55A">
            <w:pPr>
              <w:pStyle w:val="25"/>
              <w:spacing w:line="360" w:lineRule="auto"/>
              <w:rPr>
                <w:rFonts w:ascii="仿宋" w:hAnsi="仿宋" w:eastAsia="仿宋" w:cs="仿宋"/>
                <w:sz w:val="24"/>
              </w:rPr>
            </w:pPr>
            <w:r>
              <w:rPr>
                <w:rFonts w:hint="eastAsia" w:ascii="仿宋" w:hAnsi="仿宋" w:eastAsia="仿宋" w:cs="仿宋"/>
                <w:sz w:val="24"/>
              </w:rPr>
              <w:t>投标保证金数额:17000.00元。</w:t>
            </w:r>
          </w:p>
          <w:p w14:paraId="71BA044C">
            <w:pPr>
              <w:spacing w:line="360" w:lineRule="auto"/>
              <w:rPr>
                <w:rFonts w:ascii="仿宋" w:hAnsi="仿宋" w:eastAsia="仿宋" w:cs="仿宋"/>
                <w:sz w:val="24"/>
              </w:rPr>
            </w:pPr>
            <w:r>
              <w:rPr>
                <w:rFonts w:hint="eastAsia" w:ascii="仿宋" w:hAnsi="仿宋" w:eastAsia="仿宋" w:cs="仿宋"/>
                <w:sz w:val="24"/>
              </w:rPr>
              <w:t>帐户名称：新疆招标有限公司喀什分公司</w:t>
            </w:r>
          </w:p>
          <w:p w14:paraId="38AFCB74">
            <w:pPr>
              <w:spacing w:line="360" w:lineRule="auto"/>
              <w:rPr>
                <w:rFonts w:ascii="仿宋" w:hAnsi="仿宋" w:eastAsia="仿宋" w:cs="仿宋"/>
                <w:sz w:val="24"/>
              </w:rPr>
            </w:pPr>
            <w:r>
              <w:rPr>
                <w:rFonts w:hint="eastAsia" w:ascii="仿宋" w:hAnsi="仿宋" w:eastAsia="仿宋" w:cs="仿宋"/>
                <w:sz w:val="24"/>
              </w:rPr>
              <w:t>人民币帐号：3012342909000094521</w:t>
            </w:r>
          </w:p>
          <w:p w14:paraId="2058020E">
            <w:pPr>
              <w:spacing w:line="360" w:lineRule="auto"/>
              <w:rPr>
                <w:rFonts w:ascii="仿宋" w:hAnsi="仿宋" w:eastAsia="仿宋" w:cs="仿宋"/>
                <w:sz w:val="24"/>
              </w:rPr>
            </w:pPr>
            <w:r>
              <w:rPr>
                <w:rFonts w:hint="eastAsia" w:ascii="仿宋" w:hAnsi="仿宋" w:eastAsia="仿宋" w:cs="仿宋"/>
                <w:sz w:val="24"/>
              </w:rPr>
              <w:t>开户行：中国工商银行股份有限公司喀什经济开发区支行</w:t>
            </w:r>
          </w:p>
          <w:p w14:paraId="4372BC84">
            <w:pPr>
              <w:widowControl/>
              <w:spacing w:line="360" w:lineRule="auto"/>
              <w:jc w:val="left"/>
              <w:rPr>
                <w:rFonts w:ascii="仿宋" w:hAnsi="仿宋" w:eastAsia="仿宋" w:cs="仿宋"/>
                <w:sz w:val="24"/>
              </w:rPr>
            </w:pPr>
            <w:r>
              <w:rPr>
                <w:rFonts w:hint="eastAsia" w:ascii="仿宋" w:hAnsi="仿宋" w:eastAsia="仿宋" w:cs="仿宋"/>
                <w:sz w:val="24"/>
              </w:rPr>
              <w:t xml:space="preserve">联系电话：18409052036                                                                                                                                                                                                                                                                                                                                                                                                                                                                                                                                                                                                                                                                                                                                                                                                                                                                                                                                                                                                                                                                                                                                                                                                                                                                             </w:t>
            </w:r>
          </w:p>
          <w:p w14:paraId="0542A008">
            <w:pPr>
              <w:widowControl/>
              <w:spacing w:line="360" w:lineRule="auto"/>
              <w:jc w:val="left"/>
              <w:rPr>
                <w:rFonts w:ascii="仿宋" w:hAnsi="仿宋" w:eastAsia="仿宋" w:cs="仿宋"/>
              </w:rPr>
            </w:pPr>
            <w:r>
              <w:rPr>
                <w:rFonts w:hint="eastAsia" w:ascii="仿宋" w:hAnsi="仿宋" w:eastAsia="仿宋" w:cs="仿宋"/>
                <w:bCs/>
                <w:sz w:val="24"/>
              </w:rPr>
              <w:t>1.打款时必须注明投标保证金项目名称或项目编号（否则视为无效打款）。到账截止时间：投标截止时间（以到账时间为准）。 2.本项目不需要换取收据，银行汇款凭证用于投标保证金证明。如因投标人自身原因打款不成功的，代理机构不承担任何责任。 3.中标人应在与采购人签订合同之日起 5 个工作日内，保证金收受机构根据中标人提供的打款凭证及时办理投标保证金退还手续。 4.未中标投标人的投标保证金将在中标通知书发出之日起 5 个工作日内退还，保证金收受机构根据未中标人提供的打款凭证及时办理退还投标保证金手续。</w:t>
            </w:r>
          </w:p>
        </w:tc>
      </w:tr>
      <w:tr w14:paraId="553375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5" w:hRule="atLeast"/>
        </w:trPr>
        <w:tc>
          <w:tcPr>
            <w:tcW w:w="924" w:type="dxa"/>
            <w:vAlign w:val="center"/>
          </w:tcPr>
          <w:p w14:paraId="55F755DA">
            <w:pPr>
              <w:spacing w:line="360" w:lineRule="auto"/>
              <w:jc w:val="center"/>
              <w:rPr>
                <w:rFonts w:ascii="仿宋" w:hAnsi="仿宋" w:eastAsia="仿宋" w:cs="仿宋"/>
                <w:sz w:val="24"/>
              </w:rPr>
            </w:pPr>
            <w:r>
              <w:rPr>
                <w:rFonts w:hint="eastAsia" w:ascii="仿宋" w:hAnsi="仿宋" w:eastAsia="仿宋" w:cs="仿宋"/>
                <w:sz w:val="24"/>
              </w:rPr>
              <w:t>13.1</w:t>
            </w:r>
          </w:p>
        </w:tc>
        <w:tc>
          <w:tcPr>
            <w:tcW w:w="8035" w:type="dxa"/>
            <w:vAlign w:val="center"/>
          </w:tcPr>
          <w:p w14:paraId="4AAF7523">
            <w:pPr>
              <w:spacing w:line="360" w:lineRule="auto"/>
              <w:rPr>
                <w:rFonts w:ascii="仿宋" w:hAnsi="仿宋" w:eastAsia="仿宋" w:cs="仿宋"/>
                <w:sz w:val="24"/>
                <w:u w:val="single"/>
              </w:rPr>
            </w:pPr>
            <w:r>
              <w:rPr>
                <w:rFonts w:hint="eastAsia" w:ascii="仿宋" w:hAnsi="仿宋" w:eastAsia="仿宋" w:cs="仿宋"/>
                <w:sz w:val="24"/>
              </w:rPr>
              <w:t>投标有效期：90日历日</w:t>
            </w:r>
          </w:p>
        </w:tc>
      </w:tr>
      <w:tr w14:paraId="1C9510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324" w:hRule="atLeast"/>
        </w:trPr>
        <w:tc>
          <w:tcPr>
            <w:tcW w:w="924" w:type="dxa"/>
            <w:vAlign w:val="center"/>
          </w:tcPr>
          <w:p w14:paraId="74BB3BFF">
            <w:pPr>
              <w:spacing w:line="360" w:lineRule="auto"/>
              <w:jc w:val="center"/>
              <w:rPr>
                <w:rFonts w:ascii="仿宋" w:hAnsi="仿宋" w:eastAsia="仿宋" w:cs="仿宋"/>
                <w:sz w:val="24"/>
              </w:rPr>
            </w:pPr>
            <w:r>
              <w:rPr>
                <w:rFonts w:hint="eastAsia" w:ascii="仿宋" w:hAnsi="仿宋" w:eastAsia="仿宋" w:cs="仿宋"/>
                <w:sz w:val="24"/>
              </w:rPr>
              <w:t>14.1</w:t>
            </w:r>
          </w:p>
        </w:tc>
        <w:tc>
          <w:tcPr>
            <w:tcW w:w="8035" w:type="dxa"/>
            <w:vAlign w:val="center"/>
          </w:tcPr>
          <w:p w14:paraId="2D34D36A">
            <w:pPr>
              <w:widowControl/>
              <w:spacing w:line="360" w:lineRule="auto"/>
              <w:jc w:val="left"/>
              <w:rPr>
                <w:rFonts w:ascii="仿宋" w:hAnsi="仿宋" w:eastAsia="仿宋" w:cs="仿宋"/>
                <w:sz w:val="24"/>
              </w:rPr>
            </w:pPr>
            <w:r>
              <w:rPr>
                <w:rFonts w:hint="eastAsia" w:ascii="仿宋" w:hAnsi="仿宋" w:eastAsia="仿宋" w:cs="仿宋"/>
                <w:sz w:val="24"/>
              </w:rPr>
              <w:t xml:space="preserve">投标人应完整地按招标文件提供的投标文件格式及要求编写投标文件，投标人须在投标截止时间前完成在系统上递交电子投标文件。投标人的电子投标文件是经过 CA 证书加密后上传提交的，任何单位或个人均无法在投标截止时间(即开标时间)之前查看或篡改，不存在泄密风险。（严格按照政采云电子投标流程制作并上传电子投标文件） </w:t>
            </w:r>
          </w:p>
        </w:tc>
      </w:tr>
      <w:tr w14:paraId="78C614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5" w:hRule="atLeast"/>
        </w:trPr>
        <w:tc>
          <w:tcPr>
            <w:tcW w:w="924" w:type="dxa"/>
            <w:vAlign w:val="center"/>
          </w:tcPr>
          <w:p w14:paraId="43CC42C6">
            <w:pPr>
              <w:spacing w:line="360" w:lineRule="auto"/>
              <w:jc w:val="center"/>
              <w:rPr>
                <w:rFonts w:ascii="仿宋" w:hAnsi="仿宋" w:eastAsia="仿宋" w:cs="仿宋"/>
                <w:sz w:val="24"/>
              </w:rPr>
            </w:pPr>
            <w:r>
              <w:rPr>
                <w:rFonts w:hint="eastAsia" w:ascii="仿宋" w:hAnsi="仿宋" w:eastAsia="仿宋" w:cs="仿宋"/>
                <w:sz w:val="24"/>
              </w:rPr>
              <w:t>15.1</w:t>
            </w:r>
          </w:p>
        </w:tc>
        <w:tc>
          <w:tcPr>
            <w:tcW w:w="8035" w:type="dxa"/>
            <w:vAlign w:val="center"/>
          </w:tcPr>
          <w:p w14:paraId="58E6D49F">
            <w:pPr>
              <w:spacing w:line="360" w:lineRule="auto"/>
              <w:rPr>
                <w:rFonts w:ascii="仿宋" w:hAnsi="仿宋" w:eastAsia="仿宋" w:cs="仿宋"/>
                <w:sz w:val="24"/>
              </w:rPr>
            </w:pPr>
            <w:r>
              <w:rPr>
                <w:rFonts w:hint="eastAsia" w:ascii="仿宋" w:hAnsi="仿宋" w:eastAsia="仿宋" w:cs="仿宋"/>
                <w:sz w:val="24"/>
              </w:rPr>
              <w:t>投标截止时间：</w:t>
            </w:r>
            <w:r>
              <w:rPr>
                <w:rFonts w:hint="eastAsia" w:ascii="仿宋" w:hAnsi="仿宋" w:eastAsia="仿宋" w:cs="仿宋"/>
                <w:color w:val="00B0F0"/>
                <w:sz w:val="24"/>
                <w:szCs w:val="22"/>
                <w:lang w:eastAsia="zh-CN"/>
              </w:rPr>
              <w:t>2025年05月12日11：00（北京时间）</w:t>
            </w:r>
          </w:p>
        </w:tc>
      </w:tr>
      <w:tr w14:paraId="2F4074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37" w:hRule="atLeast"/>
        </w:trPr>
        <w:tc>
          <w:tcPr>
            <w:tcW w:w="924" w:type="dxa"/>
            <w:vAlign w:val="center"/>
          </w:tcPr>
          <w:p w14:paraId="165527F7">
            <w:pPr>
              <w:spacing w:line="360" w:lineRule="auto"/>
              <w:jc w:val="center"/>
              <w:rPr>
                <w:rFonts w:ascii="仿宋" w:hAnsi="仿宋" w:eastAsia="仿宋" w:cs="仿宋"/>
                <w:sz w:val="24"/>
              </w:rPr>
            </w:pPr>
            <w:r>
              <w:rPr>
                <w:rFonts w:hint="eastAsia" w:ascii="仿宋" w:hAnsi="仿宋" w:eastAsia="仿宋" w:cs="仿宋"/>
                <w:sz w:val="24"/>
              </w:rPr>
              <w:t>16.1</w:t>
            </w:r>
          </w:p>
        </w:tc>
        <w:tc>
          <w:tcPr>
            <w:tcW w:w="8035" w:type="dxa"/>
            <w:vAlign w:val="center"/>
          </w:tcPr>
          <w:p w14:paraId="0772DBB7">
            <w:pPr>
              <w:spacing w:line="360" w:lineRule="auto"/>
              <w:rPr>
                <w:rFonts w:ascii="仿宋" w:hAnsi="仿宋" w:eastAsia="仿宋" w:cs="仿宋"/>
                <w:sz w:val="24"/>
              </w:rPr>
            </w:pPr>
            <w:r>
              <w:rPr>
                <w:rFonts w:hint="eastAsia" w:ascii="仿宋" w:hAnsi="仿宋" w:eastAsia="仿宋" w:cs="仿宋"/>
                <w:sz w:val="24"/>
              </w:rPr>
              <w:t>开标时间：</w:t>
            </w:r>
            <w:r>
              <w:rPr>
                <w:rFonts w:hint="eastAsia" w:ascii="仿宋" w:hAnsi="仿宋" w:eastAsia="仿宋" w:cs="仿宋"/>
                <w:color w:val="00B0F0"/>
                <w:sz w:val="24"/>
                <w:szCs w:val="22"/>
                <w:lang w:eastAsia="zh-CN"/>
              </w:rPr>
              <w:t>2025年05月12日11：00（北京时间）</w:t>
            </w:r>
          </w:p>
          <w:p w14:paraId="5F16774B">
            <w:pPr>
              <w:widowControl/>
              <w:spacing w:line="360" w:lineRule="auto"/>
              <w:jc w:val="left"/>
              <w:rPr>
                <w:rFonts w:ascii="仿宋" w:hAnsi="仿宋" w:eastAsia="仿宋" w:cs="仿宋"/>
                <w:sz w:val="24"/>
              </w:rPr>
            </w:pPr>
            <w:r>
              <w:rPr>
                <w:rFonts w:hint="eastAsia" w:ascii="仿宋" w:hAnsi="仿宋" w:eastAsia="仿宋" w:cs="仿宋"/>
                <w:sz w:val="24"/>
              </w:rPr>
              <w:t>开标地点：https://www.zcygov.cn不见面开标</w:t>
            </w:r>
          </w:p>
        </w:tc>
      </w:tr>
      <w:tr w14:paraId="45A453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5" w:hRule="atLeast"/>
        </w:trPr>
        <w:tc>
          <w:tcPr>
            <w:tcW w:w="924" w:type="dxa"/>
            <w:vAlign w:val="center"/>
          </w:tcPr>
          <w:p w14:paraId="39B8EE7C">
            <w:pPr>
              <w:spacing w:line="360" w:lineRule="auto"/>
              <w:jc w:val="center"/>
              <w:rPr>
                <w:rFonts w:ascii="仿宋" w:hAnsi="仿宋" w:eastAsia="仿宋" w:cs="仿宋"/>
                <w:sz w:val="24"/>
              </w:rPr>
            </w:pPr>
            <w:r>
              <w:rPr>
                <w:rFonts w:hint="eastAsia" w:ascii="仿宋" w:hAnsi="仿宋" w:eastAsia="仿宋" w:cs="仿宋"/>
                <w:sz w:val="24"/>
              </w:rPr>
              <w:t>17.2</w:t>
            </w:r>
          </w:p>
        </w:tc>
        <w:tc>
          <w:tcPr>
            <w:tcW w:w="8035" w:type="dxa"/>
            <w:vAlign w:val="center"/>
          </w:tcPr>
          <w:p w14:paraId="5EEC0D06">
            <w:pPr>
              <w:spacing w:line="360" w:lineRule="auto"/>
              <w:rPr>
                <w:rFonts w:ascii="仿宋" w:hAnsi="仿宋" w:eastAsia="仿宋" w:cs="仿宋"/>
                <w:i/>
                <w:sz w:val="24"/>
              </w:rPr>
            </w:pPr>
            <w:r>
              <w:rPr>
                <w:rFonts w:hint="eastAsia" w:ascii="仿宋" w:hAnsi="仿宋" w:eastAsia="仿宋" w:cs="仿宋"/>
                <w:sz w:val="24"/>
              </w:rPr>
              <w:t>本项目评标方法：综合评分法</w:t>
            </w:r>
          </w:p>
        </w:tc>
      </w:tr>
      <w:tr w14:paraId="5DA930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5" w:hRule="atLeast"/>
        </w:trPr>
        <w:tc>
          <w:tcPr>
            <w:tcW w:w="924" w:type="dxa"/>
            <w:vAlign w:val="center"/>
          </w:tcPr>
          <w:p w14:paraId="12DC370F">
            <w:pPr>
              <w:spacing w:line="360" w:lineRule="auto"/>
              <w:jc w:val="center"/>
              <w:rPr>
                <w:rFonts w:ascii="仿宋" w:hAnsi="仿宋" w:eastAsia="仿宋" w:cs="仿宋"/>
                <w:sz w:val="24"/>
              </w:rPr>
            </w:pPr>
            <w:r>
              <w:rPr>
                <w:rFonts w:hint="eastAsia" w:ascii="仿宋" w:hAnsi="仿宋" w:eastAsia="仿宋" w:cs="仿宋"/>
                <w:sz w:val="24"/>
              </w:rPr>
              <w:t>18</w:t>
            </w:r>
          </w:p>
        </w:tc>
        <w:tc>
          <w:tcPr>
            <w:tcW w:w="8035" w:type="dxa"/>
            <w:vAlign w:val="center"/>
          </w:tcPr>
          <w:p w14:paraId="641ABBBE">
            <w:pPr>
              <w:spacing w:line="360" w:lineRule="auto"/>
              <w:rPr>
                <w:rFonts w:ascii="仿宋" w:hAnsi="仿宋" w:eastAsia="仿宋" w:cs="仿宋"/>
                <w:sz w:val="24"/>
              </w:rPr>
            </w:pPr>
            <w:r>
              <w:rPr>
                <w:rFonts w:hint="eastAsia" w:ascii="仿宋" w:hAnsi="仿宋" w:eastAsia="仿宋" w:cs="仿宋"/>
                <w:sz w:val="24"/>
              </w:rPr>
              <w:t>推荐中标候选投标人的数量：三名</w:t>
            </w:r>
          </w:p>
        </w:tc>
      </w:tr>
      <w:tr w14:paraId="0EC3BC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161" w:hRule="atLeast"/>
        </w:trPr>
        <w:tc>
          <w:tcPr>
            <w:tcW w:w="924" w:type="dxa"/>
            <w:vAlign w:val="center"/>
          </w:tcPr>
          <w:p w14:paraId="7B336978">
            <w:pPr>
              <w:spacing w:line="360" w:lineRule="auto"/>
              <w:jc w:val="center"/>
              <w:rPr>
                <w:rFonts w:ascii="仿宋" w:hAnsi="仿宋" w:eastAsia="仿宋" w:cs="仿宋"/>
                <w:sz w:val="24"/>
              </w:rPr>
            </w:pPr>
            <w:r>
              <w:rPr>
                <w:rFonts w:hint="eastAsia" w:ascii="仿宋" w:hAnsi="仿宋" w:eastAsia="仿宋" w:cs="仿宋"/>
                <w:sz w:val="24"/>
              </w:rPr>
              <w:t>19</w:t>
            </w:r>
          </w:p>
        </w:tc>
        <w:tc>
          <w:tcPr>
            <w:tcW w:w="8035" w:type="dxa"/>
            <w:vAlign w:val="center"/>
          </w:tcPr>
          <w:p w14:paraId="4FFEA0BA">
            <w:pPr>
              <w:spacing w:line="360" w:lineRule="auto"/>
              <w:rPr>
                <w:rFonts w:ascii="仿宋" w:hAnsi="仿宋" w:eastAsia="仿宋" w:cs="仿宋"/>
                <w:color w:val="00B0F0"/>
                <w:sz w:val="24"/>
                <w:u w:val="single"/>
              </w:rPr>
            </w:pPr>
            <w:r>
              <w:rPr>
                <w:rFonts w:hint="eastAsia" w:ascii="仿宋" w:hAnsi="仿宋" w:eastAsia="仿宋" w:cs="仿宋"/>
                <w:sz w:val="24"/>
              </w:rPr>
              <w:t>履约保证金金额：合同总价金额的5%（不得超过政府采购合同金额的10%，具体以双方签订合同为准。）</w:t>
            </w:r>
          </w:p>
          <w:p w14:paraId="6901653B">
            <w:pPr>
              <w:spacing w:line="360" w:lineRule="auto"/>
              <w:rPr>
                <w:rFonts w:ascii="仿宋" w:hAnsi="仿宋" w:eastAsia="仿宋" w:cs="仿宋"/>
                <w:sz w:val="24"/>
              </w:rPr>
            </w:pPr>
            <w:r>
              <w:rPr>
                <w:rFonts w:hint="eastAsia" w:ascii="仿宋" w:hAnsi="仿宋" w:eastAsia="仿宋" w:cs="仿宋"/>
                <w:sz w:val="24"/>
              </w:rPr>
              <w:t>履约保证金形式：履约保证金可以以支票、汇票、本票或者金融机构出具的保函等非现金形式提交（包括网银转账，电汇等方式）。</w:t>
            </w:r>
          </w:p>
          <w:p w14:paraId="335ED08F">
            <w:pPr>
              <w:spacing w:line="360" w:lineRule="auto"/>
              <w:rPr>
                <w:rFonts w:ascii="仿宋" w:hAnsi="仿宋" w:eastAsia="仿宋" w:cs="仿宋"/>
                <w:sz w:val="24"/>
              </w:rPr>
            </w:pPr>
            <w:r>
              <w:rPr>
                <w:rFonts w:hint="eastAsia" w:ascii="仿宋" w:hAnsi="仿宋" w:eastAsia="仿宋" w:cs="仿宋"/>
                <w:sz w:val="24"/>
              </w:rPr>
              <w:t>提交履约保证金的时间：</w:t>
            </w:r>
            <w:r>
              <w:rPr>
                <w:rFonts w:hint="eastAsia" w:ascii="仿宋" w:hAnsi="仿宋" w:eastAsia="仿宋" w:cs="仿宋"/>
                <w:kern w:val="0"/>
                <w:sz w:val="24"/>
              </w:rPr>
              <w:t>中标人应在与采购人签订合同后5个工作日内，向采购人提交履约保证金（中标人按合同规定完成全部供货且验收合格后，如中标人未发生违约行为，采购人将履约保证金退还）。</w:t>
            </w:r>
          </w:p>
          <w:p w14:paraId="725224A0">
            <w:pPr>
              <w:spacing w:line="360" w:lineRule="auto"/>
              <w:rPr>
                <w:rFonts w:ascii="仿宋" w:hAnsi="仿宋" w:eastAsia="仿宋" w:cs="仿宋"/>
                <w:sz w:val="24"/>
              </w:rPr>
            </w:pPr>
            <w:r>
              <w:rPr>
                <w:rFonts w:hint="eastAsia" w:ascii="仿宋" w:hAnsi="仿宋" w:eastAsia="仿宋" w:cs="仿宋"/>
                <w:sz w:val="24"/>
              </w:rPr>
              <w:t>注：1.双方可以通过协商另行约定其他退还时间和方式及用途。</w:t>
            </w:r>
          </w:p>
          <w:p w14:paraId="5C99FEBB">
            <w:pPr>
              <w:spacing w:line="360" w:lineRule="auto"/>
              <w:rPr>
                <w:rFonts w:ascii="仿宋" w:hAnsi="仿宋" w:eastAsia="仿宋" w:cs="仿宋"/>
                <w:sz w:val="24"/>
              </w:rPr>
            </w:pPr>
            <w:r>
              <w:rPr>
                <w:rFonts w:hint="eastAsia" w:ascii="仿宋" w:hAnsi="仿宋" w:eastAsia="仿宋" w:cs="仿宋"/>
                <w:sz w:val="24"/>
              </w:rPr>
              <w:t>2.提供保函的的担保机构必须是依法成立的具有相关资质和偿付能力的担保机构。保函是银行等金融机构出具的，否则将取消成交资格，采购人将重新确定中标人，并依法追究法律责任。</w:t>
            </w:r>
          </w:p>
          <w:p w14:paraId="67ED7FD6">
            <w:pPr>
              <w:spacing w:line="360" w:lineRule="auto"/>
              <w:rPr>
                <w:rFonts w:ascii="仿宋" w:hAnsi="仿宋" w:eastAsia="仿宋" w:cs="仿宋"/>
                <w:sz w:val="24"/>
                <w:u w:val="single"/>
              </w:rPr>
            </w:pPr>
            <w:r>
              <w:rPr>
                <w:rFonts w:hint="eastAsia" w:ascii="仿宋" w:hAnsi="仿宋" w:eastAsia="仿宋" w:cs="仿宋"/>
                <w:sz w:val="24"/>
              </w:rPr>
              <w:t>3.开户行、银行账号等信息签订合同前由采购人提供。</w:t>
            </w:r>
          </w:p>
        </w:tc>
      </w:tr>
      <w:tr w14:paraId="7EC7934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404" w:hRule="atLeast"/>
        </w:trPr>
        <w:tc>
          <w:tcPr>
            <w:tcW w:w="924" w:type="dxa"/>
            <w:vAlign w:val="center"/>
          </w:tcPr>
          <w:p w14:paraId="6662D70D">
            <w:pPr>
              <w:spacing w:line="360" w:lineRule="auto"/>
              <w:jc w:val="center"/>
              <w:rPr>
                <w:rFonts w:ascii="仿宋" w:hAnsi="仿宋" w:eastAsia="仿宋" w:cs="仿宋"/>
                <w:sz w:val="24"/>
              </w:rPr>
            </w:pPr>
            <w:r>
              <w:rPr>
                <w:rFonts w:hint="eastAsia" w:ascii="仿宋" w:hAnsi="仿宋" w:eastAsia="仿宋" w:cs="仿宋"/>
                <w:sz w:val="24"/>
              </w:rPr>
              <w:t>20</w:t>
            </w:r>
          </w:p>
        </w:tc>
        <w:tc>
          <w:tcPr>
            <w:tcW w:w="8035" w:type="dxa"/>
            <w:vAlign w:val="center"/>
          </w:tcPr>
          <w:p w14:paraId="26415891">
            <w:pPr>
              <w:spacing w:line="360" w:lineRule="auto"/>
              <w:rPr>
                <w:rFonts w:ascii="仿宋" w:hAnsi="仿宋" w:eastAsia="仿宋" w:cs="仿宋"/>
                <w:sz w:val="24"/>
              </w:rPr>
            </w:pPr>
            <w:r>
              <w:rPr>
                <w:rFonts w:hint="eastAsia" w:ascii="仿宋" w:hAnsi="仿宋" w:eastAsia="仿宋" w:cs="仿宋"/>
                <w:sz w:val="24"/>
              </w:rPr>
              <w:t>中标服务费：发出中标通知书时，由中标人按计价格[2002]1980号文和发改价格[2011]534号标准（不含税），以电汇或网银方式一次性向新疆招标有限公司喀什分公司缴纳代理服务费。</w:t>
            </w:r>
          </w:p>
          <w:p w14:paraId="451E9998">
            <w:pPr>
              <w:spacing w:line="360" w:lineRule="auto"/>
              <w:rPr>
                <w:rFonts w:ascii="仿宋" w:hAnsi="仿宋" w:eastAsia="仿宋" w:cs="仿宋"/>
                <w:sz w:val="24"/>
              </w:rPr>
            </w:pPr>
            <w:r>
              <w:rPr>
                <w:rFonts w:hint="eastAsia" w:ascii="仿宋" w:hAnsi="仿宋" w:eastAsia="仿宋" w:cs="仿宋"/>
                <w:sz w:val="24"/>
              </w:rPr>
              <w:t>支付形式：电汇、网络银行转账</w:t>
            </w:r>
          </w:p>
          <w:p w14:paraId="3BE71447">
            <w:pPr>
              <w:spacing w:line="360" w:lineRule="auto"/>
            </w:pPr>
            <w:r>
              <w:rPr>
                <w:rFonts w:hint="eastAsia" w:ascii="仿宋" w:hAnsi="仿宋" w:eastAsia="仿宋" w:cs="仿宋"/>
                <w:sz w:val="24"/>
              </w:rPr>
              <w:t>支付时间：领取成交通知书时一次性付清</w:t>
            </w:r>
          </w:p>
        </w:tc>
      </w:tr>
      <w:tr w14:paraId="7A4C5A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00" w:hRule="atLeast"/>
        </w:trPr>
        <w:tc>
          <w:tcPr>
            <w:tcW w:w="924" w:type="dxa"/>
            <w:vAlign w:val="center"/>
          </w:tcPr>
          <w:p w14:paraId="0F4B63DB">
            <w:pPr>
              <w:spacing w:line="360" w:lineRule="auto"/>
              <w:jc w:val="center"/>
              <w:rPr>
                <w:rFonts w:ascii="仿宋" w:hAnsi="仿宋" w:eastAsia="仿宋" w:cs="仿宋"/>
                <w:sz w:val="24"/>
              </w:rPr>
            </w:pPr>
            <w:r>
              <w:rPr>
                <w:rFonts w:hint="eastAsia" w:ascii="仿宋" w:hAnsi="仿宋" w:eastAsia="仿宋" w:cs="仿宋"/>
                <w:sz w:val="24"/>
              </w:rPr>
              <w:t>21</w:t>
            </w:r>
          </w:p>
        </w:tc>
        <w:tc>
          <w:tcPr>
            <w:tcW w:w="8035" w:type="dxa"/>
            <w:vAlign w:val="center"/>
          </w:tcPr>
          <w:p w14:paraId="59227276">
            <w:pPr>
              <w:spacing w:line="360" w:lineRule="auto"/>
              <w:rPr>
                <w:rFonts w:ascii="仿宋" w:hAnsi="仿宋" w:eastAsia="仿宋" w:cs="仿宋"/>
                <w:sz w:val="24"/>
              </w:rPr>
            </w:pPr>
            <w:r>
              <w:rPr>
                <w:rFonts w:hint="eastAsia" w:ascii="仿宋" w:hAnsi="仿宋" w:eastAsia="仿宋" w:cs="仿宋"/>
                <w:sz w:val="24"/>
              </w:rPr>
              <w:t xml:space="preserve">本项目是否属于信用担保试点范围：否 </w:t>
            </w:r>
          </w:p>
        </w:tc>
      </w:tr>
    </w:tbl>
    <w:p w14:paraId="575107BC">
      <w:pPr>
        <w:rPr>
          <w:b/>
          <w:bCs/>
          <w:spacing w:val="-8"/>
          <w:sz w:val="28"/>
          <w:szCs w:val="28"/>
        </w:rPr>
      </w:pPr>
      <w:r>
        <w:rPr>
          <w:b/>
          <w:bCs/>
          <w:spacing w:val="-8"/>
          <w:sz w:val="28"/>
          <w:szCs w:val="28"/>
        </w:rPr>
        <w:br w:type="page"/>
      </w:r>
    </w:p>
    <w:p w14:paraId="4AE0B1E0">
      <w:pPr>
        <w:pStyle w:val="3"/>
        <w:tabs>
          <w:tab w:val="left" w:pos="0"/>
        </w:tabs>
        <w:spacing w:before="0" w:after="0" w:line="240" w:lineRule="atLeast"/>
        <w:rPr>
          <w:rFonts w:ascii="仿宋" w:hAnsi="仿宋" w:eastAsia="仿宋" w:cs="仿宋"/>
          <w:color w:val="0000FF"/>
          <w:sz w:val="36"/>
          <w:szCs w:val="36"/>
        </w:rPr>
      </w:pPr>
      <w:bookmarkStart w:id="855" w:name="_Toc9887"/>
      <w:bookmarkStart w:id="856" w:name="_Toc219175638"/>
      <w:bookmarkStart w:id="857" w:name="_Toc12881"/>
      <w:bookmarkStart w:id="858" w:name="_Toc218935354"/>
      <w:bookmarkStart w:id="859" w:name="_Toc216582825"/>
      <w:bookmarkStart w:id="860" w:name="_Toc515647831"/>
      <w:bookmarkStart w:id="861" w:name="_Toc21045"/>
      <w:bookmarkStart w:id="862" w:name="_Toc512937852"/>
      <w:bookmarkStart w:id="863" w:name="_Toc17004"/>
      <w:bookmarkStart w:id="864" w:name="_Toc3367"/>
      <w:bookmarkStart w:id="865" w:name="_Toc9032"/>
      <w:bookmarkStart w:id="866" w:name="_Toc22779"/>
      <w:bookmarkStart w:id="867" w:name="_Toc507399906"/>
      <w:r>
        <w:rPr>
          <w:rFonts w:hint="eastAsia" w:ascii="仿宋" w:hAnsi="仿宋" w:eastAsia="仿宋" w:cs="仿宋"/>
          <w:sz w:val="44"/>
          <w:szCs w:val="44"/>
        </w:rPr>
        <w:t>第五章货物需求一览表及技术规格</w:t>
      </w:r>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Start w:id="868" w:name="_Toc18166"/>
      <w:bookmarkStart w:id="869" w:name="_Toc4621"/>
      <w:bookmarkStart w:id="870" w:name="_Toc6403"/>
      <w:bookmarkStart w:id="871" w:name="_Toc8003"/>
      <w:bookmarkStart w:id="872" w:name="_Toc22092"/>
      <w:bookmarkStart w:id="873" w:name="_Toc12446"/>
      <w:bookmarkStart w:id="874" w:name="_Toc4555"/>
      <w:bookmarkStart w:id="875" w:name="_Toc21382"/>
    </w:p>
    <w:tbl>
      <w:tblPr>
        <w:tblStyle w:val="35"/>
        <w:tblW w:w="5000" w:type="pct"/>
        <w:tblInd w:w="0" w:type="dxa"/>
        <w:tblLayout w:type="autofit"/>
        <w:tblCellMar>
          <w:top w:w="0" w:type="dxa"/>
          <w:left w:w="108" w:type="dxa"/>
          <w:bottom w:w="0" w:type="dxa"/>
          <w:right w:w="108" w:type="dxa"/>
        </w:tblCellMar>
      </w:tblPr>
      <w:tblGrid>
        <w:gridCol w:w="1464"/>
        <w:gridCol w:w="1711"/>
        <w:gridCol w:w="3121"/>
        <w:gridCol w:w="1163"/>
        <w:gridCol w:w="1234"/>
      </w:tblGrid>
      <w:tr w14:paraId="66C21394">
        <w:tblPrEx>
          <w:tblCellMar>
            <w:top w:w="0" w:type="dxa"/>
            <w:left w:w="108" w:type="dxa"/>
            <w:bottom w:w="0" w:type="dxa"/>
            <w:right w:w="108" w:type="dxa"/>
          </w:tblCellMar>
        </w:tblPrEx>
        <w:trPr>
          <w:trHeight w:val="642" w:hRule="atLeast"/>
        </w:trPr>
        <w:tc>
          <w:tcPr>
            <w:tcW w:w="842" w:type="pct"/>
            <w:tcBorders>
              <w:top w:val="single" w:color="auto" w:sz="4" w:space="0"/>
              <w:left w:val="single" w:color="auto" w:sz="4" w:space="0"/>
              <w:bottom w:val="single" w:color="auto" w:sz="4" w:space="0"/>
              <w:right w:val="single" w:color="auto" w:sz="4" w:space="0"/>
            </w:tcBorders>
            <w:shd w:val="clear" w:color="auto" w:fill="auto"/>
            <w:vAlign w:val="center"/>
          </w:tcPr>
          <w:p w14:paraId="31BFE9F4">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序号</w:t>
            </w:r>
          </w:p>
        </w:tc>
        <w:tc>
          <w:tcPr>
            <w:tcW w:w="984" w:type="pct"/>
            <w:tcBorders>
              <w:top w:val="single" w:color="auto" w:sz="4" w:space="0"/>
              <w:left w:val="nil"/>
              <w:bottom w:val="single" w:color="auto" w:sz="4" w:space="0"/>
              <w:right w:val="single" w:color="auto" w:sz="4" w:space="0"/>
            </w:tcBorders>
            <w:shd w:val="clear" w:color="auto" w:fill="auto"/>
            <w:vAlign w:val="center"/>
          </w:tcPr>
          <w:p w14:paraId="24769AAB">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项目名称</w:t>
            </w:r>
          </w:p>
        </w:tc>
        <w:tc>
          <w:tcPr>
            <w:tcW w:w="1795" w:type="pct"/>
            <w:tcBorders>
              <w:top w:val="single" w:color="auto" w:sz="4" w:space="0"/>
              <w:left w:val="nil"/>
              <w:bottom w:val="single" w:color="auto" w:sz="4" w:space="0"/>
              <w:right w:val="single" w:color="auto" w:sz="4" w:space="0"/>
            </w:tcBorders>
            <w:shd w:val="clear" w:color="auto" w:fill="auto"/>
            <w:vAlign w:val="center"/>
          </w:tcPr>
          <w:p w14:paraId="27A8F99D">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规格、型号</w:t>
            </w:r>
          </w:p>
        </w:tc>
        <w:tc>
          <w:tcPr>
            <w:tcW w:w="669" w:type="pct"/>
            <w:tcBorders>
              <w:top w:val="single" w:color="auto" w:sz="4" w:space="0"/>
              <w:left w:val="nil"/>
              <w:bottom w:val="single" w:color="auto" w:sz="4" w:space="0"/>
              <w:right w:val="single" w:color="auto" w:sz="4" w:space="0"/>
            </w:tcBorders>
            <w:shd w:val="clear" w:color="auto" w:fill="auto"/>
            <w:vAlign w:val="center"/>
          </w:tcPr>
          <w:p w14:paraId="3D192A11">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单位</w:t>
            </w:r>
          </w:p>
        </w:tc>
        <w:tc>
          <w:tcPr>
            <w:tcW w:w="710" w:type="pct"/>
            <w:tcBorders>
              <w:top w:val="single" w:color="auto" w:sz="4" w:space="0"/>
              <w:left w:val="nil"/>
              <w:bottom w:val="single" w:color="auto" w:sz="4" w:space="0"/>
              <w:right w:val="single" w:color="auto" w:sz="4" w:space="0"/>
            </w:tcBorders>
            <w:shd w:val="clear" w:color="auto" w:fill="auto"/>
            <w:vAlign w:val="center"/>
          </w:tcPr>
          <w:p w14:paraId="3F9CC15C">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数量</w:t>
            </w:r>
          </w:p>
        </w:tc>
      </w:tr>
      <w:tr w14:paraId="599F1F19">
        <w:tblPrEx>
          <w:tblCellMar>
            <w:top w:w="0" w:type="dxa"/>
            <w:left w:w="108" w:type="dxa"/>
            <w:bottom w:w="0" w:type="dxa"/>
            <w:right w:w="108" w:type="dxa"/>
          </w:tblCellMar>
        </w:tblPrEx>
        <w:trPr>
          <w:trHeight w:val="480" w:hRule="atLeast"/>
        </w:trPr>
        <w:tc>
          <w:tcPr>
            <w:tcW w:w="842" w:type="pct"/>
            <w:tcBorders>
              <w:top w:val="nil"/>
              <w:left w:val="single" w:color="auto" w:sz="4" w:space="0"/>
              <w:bottom w:val="single" w:color="auto" w:sz="4" w:space="0"/>
              <w:right w:val="single" w:color="auto" w:sz="4" w:space="0"/>
            </w:tcBorders>
            <w:shd w:val="clear" w:color="auto" w:fill="auto"/>
            <w:vAlign w:val="center"/>
          </w:tcPr>
          <w:p w14:paraId="77BB9CF4">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一</w:t>
            </w:r>
          </w:p>
        </w:tc>
        <w:tc>
          <w:tcPr>
            <w:tcW w:w="984" w:type="pct"/>
            <w:tcBorders>
              <w:top w:val="nil"/>
              <w:left w:val="nil"/>
              <w:bottom w:val="single" w:color="auto" w:sz="4" w:space="0"/>
              <w:right w:val="single" w:color="auto" w:sz="4" w:space="0"/>
            </w:tcBorders>
            <w:shd w:val="clear" w:color="auto" w:fill="auto"/>
            <w:vAlign w:val="center"/>
          </w:tcPr>
          <w:p w14:paraId="4FE18C93">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工程投资</w:t>
            </w:r>
          </w:p>
        </w:tc>
        <w:tc>
          <w:tcPr>
            <w:tcW w:w="1795" w:type="pct"/>
            <w:tcBorders>
              <w:top w:val="nil"/>
              <w:left w:val="nil"/>
              <w:bottom w:val="single" w:color="auto" w:sz="4" w:space="0"/>
              <w:right w:val="single" w:color="auto" w:sz="4" w:space="0"/>
            </w:tcBorders>
            <w:shd w:val="clear" w:color="auto" w:fill="auto"/>
            <w:vAlign w:val="center"/>
          </w:tcPr>
          <w:p w14:paraId="739CFAE0">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　</w:t>
            </w:r>
          </w:p>
        </w:tc>
        <w:tc>
          <w:tcPr>
            <w:tcW w:w="669" w:type="pct"/>
            <w:tcBorders>
              <w:top w:val="nil"/>
              <w:left w:val="nil"/>
              <w:bottom w:val="single" w:color="auto" w:sz="4" w:space="0"/>
              <w:right w:val="single" w:color="auto" w:sz="4" w:space="0"/>
            </w:tcBorders>
            <w:shd w:val="clear" w:color="auto" w:fill="auto"/>
            <w:vAlign w:val="center"/>
          </w:tcPr>
          <w:p w14:paraId="45838A9E">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　</w:t>
            </w:r>
          </w:p>
        </w:tc>
        <w:tc>
          <w:tcPr>
            <w:tcW w:w="710" w:type="pct"/>
            <w:tcBorders>
              <w:top w:val="nil"/>
              <w:left w:val="nil"/>
              <w:bottom w:val="single" w:color="auto" w:sz="4" w:space="0"/>
              <w:right w:val="single" w:color="auto" w:sz="4" w:space="0"/>
            </w:tcBorders>
            <w:shd w:val="clear" w:color="auto" w:fill="auto"/>
            <w:vAlign w:val="center"/>
          </w:tcPr>
          <w:p w14:paraId="44C13900">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　</w:t>
            </w:r>
          </w:p>
        </w:tc>
      </w:tr>
      <w:tr w14:paraId="1FFBAF92">
        <w:tblPrEx>
          <w:tblCellMar>
            <w:top w:w="0" w:type="dxa"/>
            <w:left w:w="108" w:type="dxa"/>
            <w:bottom w:w="0" w:type="dxa"/>
            <w:right w:w="108" w:type="dxa"/>
          </w:tblCellMar>
        </w:tblPrEx>
        <w:trPr>
          <w:trHeight w:val="559" w:hRule="atLeast"/>
        </w:trPr>
        <w:tc>
          <w:tcPr>
            <w:tcW w:w="842" w:type="pct"/>
            <w:tcBorders>
              <w:top w:val="nil"/>
              <w:left w:val="single" w:color="auto" w:sz="4" w:space="0"/>
              <w:bottom w:val="single" w:color="auto" w:sz="4" w:space="0"/>
              <w:right w:val="single" w:color="auto" w:sz="4" w:space="0"/>
            </w:tcBorders>
            <w:shd w:val="clear" w:color="auto" w:fill="auto"/>
            <w:vAlign w:val="center"/>
          </w:tcPr>
          <w:p w14:paraId="72166EED">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（一）</w:t>
            </w:r>
          </w:p>
        </w:tc>
        <w:tc>
          <w:tcPr>
            <w:tcW w:w="984" w:type="pct"/>
            <w:tcBorders>
              <w:top w:val="nil"/>
              <w:left w:val="nil"/>
              <w:bottom w:val="single" w:color="auto" w:sz="4" w:space="0"/>
              <w:right w:val="single" w:color="auto" w:sz="4" w:space="0"/>
            </w:tcBorders>
            <w:shd w:val="clear" w:color="auto" w:fill="auto"/>
            <w:vAlign w:val="center"/>
          </w:tcPr>
          <w:p w14:paraId="3CD73003">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　</w:t>
            </w:r>
          </w:p>
        </w:tc>
        <w:tc>
          <w:tcPr>
            <w:tcW w:w="1795" w:type="pct"/>
            <w:tcBorders>
              <w:top w:val="nil"/>
              <w:left w:val="nil"/>
              <w:bottom w:val="single" w:color="auto" w:sz="4" w:space="0"/>
              <w:right w:val="single" w:color="auto" w:sz="4" w:space="0"/>
            </w:tcBorders>
            <w:shd w:val="clear" w:color="auto" w:fill="auto"/>
            <w:vAlign w:val="center"/>
          </w:tcPr>
          <w:p w14:paraId="660A3AEF">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　</w:t>
            </w:r>
          </w:p>
        </w:tc>
        <w:tc>
          <w:tcPr>
            <w:tcW w:w="669" w:type="pct"/>
            <w:tcBorders>
              <w:top w:val="nil"/>
              <w:left w:val="nil"/>
              <w:bottom w:val="single" w:color="auto" w:sz="4" w:space="0"/>
              <w:right w:val="single" w:color="auto" w:sz="4" w:space="0"/>
            </w:tcBorders>
            <w:shd w:val="clear" w:color="auto" w:fill="auto"/>
            <w:vAlign w:val="center"/>
          </w:tcPr>
          <w:p w14:paraId="6E3BADF6">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亩</w:t>
            </w:r>
          </w:p>
        </w:tc>
        <w:tc>
          <w:tcPr>
            <w:tcW w:w="710" w:type="pct"/>
            <w:tcBorders>
              <w:top w:val="nil"/>
              <w:left w:val="nil"/>
              <w:bottom w:val="single" w:color="auto" w:sz="4" w:space="0"/>
              <w:right w:val="single" w:color="auto" w:sz="4" w:space="0"/>
            </w:tcBorders>
            <w:shd w:val="clear" w:color="auto" w:fill="auto"/>
            <w:vAlign w:val="center"/>
          </w:tcPr>
          <w:p w14:paraId="7B2135F0">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 xml:space="preserve">4689.67 </w:t>
            </w:r>
          </w:p>
        </w:tc>
      </w:tr>
      <w:tr w14:paraId="0238AABA">
        <w:tblPrEx>
          <w:tblCellMar>
            <w:top w:w="0" w:type="dxa"/>
            <w:left w:w="108" w:type="dxa"/>
            <w:bottom w:w="0" w:type="dxa"/>
            <w:right w:w="108" w:type="dxa"/>
          </w:tblCellMar>
        </w:tblPrEx>
        <w:trPr>
          <w:trHeight w:val="559" w:hRule="atLeast"/>
        </w:trPr>
        <w:tc>
          <w:tcPr>
            <w:tcW w:w="842" w:type="pct"/>
            <w:tcBorders>
              <w:top w:val="nil"/>
              <w:left w:val="single" w:color="auto" w:sz="4" w:space="0"/>
              <w:bottom w:val="single" w:color="auto" w:sz="4" w:space="0"/>
              <w:right w:val="single" w:color="auto" w:sz="4" w:space="0"/>
            </w:tcBorders>
            <w:shd w:val="clear" w:color="auto" w:fill="auto"/>
            <w:vAlign w:val="center"/>
          </w:tcPr>
          <w:p w14:paraId="4540BB48">
            <w:pPr>
              <w:widowControl/>
              <w:jc w:val="center"/>
              <w:rPr>
                <w:rFonts w:ascii="仿宋" w:hAnsi="仿宋" w:eastAsia="仿宋" w:cs="仿宋"/>
                <w:kern w:val="0"/>
                <w:sz w:val="24"/>
              </w:rPr>
            </w:pPr>
            <w:r>
              <w:rPr>
                <w:rFonts w:hint="eastAsia" w:ascii="仿宋" w:hAnsi="仿宋" w:eastAsia="仿宋" w:cs="仿宋"/>
                <w:kern w:val="0"/>
                <w:sz w:val="24"/>
              </w:rPr>
              <w:t>1</w:t>
            </w:r>
          </w:p>
        </w:tc>
        <w:tc>
          <w:tcPr>
            <w:tcW w:w="984" w:type="pct"/>
            <w:tcBorders>
              <w:top w:val="nil"/>
              <w:left w:val="nil"/>
              <w:bottom w:val="single" w:color="auto" w:sz="4" w:space="0"/>
              <w:right w:val="single" w:color="auto" w:sz="4" w:space="0"/>
            </w:tcBorders>
            <w:shd w:val="clear" w:color="auto" w:fill="auto"/>
            <w:vAlign w:val="center"/>
          </w:tcPr>
          <w:p w14:paraId="1EBA36A7">
            <w:pPr>
              <w:widowControl/>
              <w:jc w:val="center"/>
              <w:rPr>
                <w:rFonts w:ascii="仿宋" w:hAnsi="仿宋" w:eastAsia="仿宋" w:cs="仿宋"/>
                <w:kern w:val="0"/>
                <w:sz w:val="24"/>
              </w:rPr>
            </w:pPr>
            <w:r>
              <w:rPr>
                <w:rFonts w:hint="eastAsia" w:ascii="仿宋" w:hAnsi="仿宋" w:eastAsia="仿宋" w:cs="仿宋"/>
                <w:kern w:val="0"/>
                <w:sz w:val="24"/>
              </w:rPr>
              <w:t>补植补造</w:t>
            </w:r>
          </w:p>
        </w:tc>
        <w:tc>
          <w:tcPr>
            <w:tcW w:w="1795" w:type="pct"/>
            <w:tcBorders>
              <w:top w:val="nil"/>
              <w:left w:val="nil"/>
              <w:bottom w:val="single" w:color="auto" w:sz="4" w:space="0"/>
              <w:right w:val="single" w:color="auto" w:sz="4" w:space="0"/>
            </w:tcBorders>
            <w:shd w:val="clear" w:color="auto" w:fill="auto"/>
            <w:vAlign w:val="center"/>
          </w:tcPr>
          <w:p w14:paraId="68BD0CAC">
            <w:pPr>
              <w:widowControl/>
              <w:jc w:val="center"/>
              <w:rPr>
                <w:rFonts w:ascii="仿宋" w:hAnsi="仿宋" w:eastAsia="仿宋" w:cs="仿宋"/>
                <w:kern w:val="0"/>
                <w:sz w:val="24"/>
              </w:rPr>
            </w:pPr>
            <w:r>
              <w:rPr>
                <w:rFonts w:hint="eastAsia" w:ascii="仿宋" w:hAnsi="仿宋" w:eastAsia="仿宋" w:cs="仿宋"/>
                <w:kern w:val="0"/>
                <w:sz w:val="24"/>
              </w:rPr>
              <w:t>　</w:t>
            </w:r>
          </w:p>
        </w:tc>
        <w:tc>
          <w:tcPr>
            <w:tcW w:w="669" w:type="pct"/>
            <w:tcBorders>
              <w:top w:val="nil"/>
              <w:left w:val="nil"/>
              <w:bottom w:val="single" w:color="auto" w:sz="4" w:space="0"/>
              <w:right w:val="single" w:color="auto" w:sz="4" w:space="0"/>
            </w:tcBorders>
            <w:shd w:val="clear" w:color="auto" w:fill="auto"/>
            <w:vAlign w:val="center"/>
          </w:tcPr>
          <w:p w14:paraId="5503F2FA">
            <w:pPr>
              <w:widowControl/>
              <w:jc w:val="center"/>
              <w:rPr>
                <w:rFonts w:ascii="仿宋" w:hAnsi="仿宋" w:eastAsia="仿宋" w:cs="仿宋"/>
                <w:kern w:val="0"/>
                <w:sz w:val="24"/>
              </w:rPr>
            </w:pPr>
            <w:r>
              <w:rPr>
                <w:rFonts w:hint="eastAsia" w:ascii="仿宋" w:hAnsi="仿宋" w:eastAsia="仿宋" w:cs="仿宋"/>
                <w:kern w:val="0"/>
                <w:sz w:val="24"/>
              </w:rPr>
              <w:t>　</w:t>
            </w:r>
          </w:p>
        </w:tc>
        <w:tc>
          <w:tcPr>
            <w:tcW w:w="710" w:type="pct"/>
            <w:tcBorders>
              <w:top w:val="nil"/>
              <w:left w:val="nil"/>
              <w:bottom w:val="single" w:color="auto" w:sz="4" w:space="0"/>
              <w:right w:val="single" w:color="auto" w:sz="4" w:space="0"/>
            </w:tcBorders>
            <w:shd w:val="clear" w:color="auto" w:fill="auto"/>
            <w:vAlign w:val="center"/>
          </w:tcPr>
          <w:p w14:paraId="710B37A3">
            <w:pPr>
              <w:widowControl/>
              <w:jc w:val="center"/>
              <w:rPr>
                <w:rFonts w:ascii="仿宋" w:hAnsi="仿宋" w:eastAsia="仿宋" w:cs="仿宋"/>
                <w:kern w:val="0"/>
                <w:sz w:val="24"/>
              </w:rPr>
            </w:pPr>
            <w:r>
              <w:rPr>
                <w:rFonts w:hint="eastAsia" w:ascii="仿宋" w:hAnsi="仿宋" w:eastAsia="仿宋" w:cs="仿宋"/>
                <w:kern w:val="0"/>
                <w:sz w:val="24"/>
              </w:rPr>
              <w:t xml:space="preserve">101263 </w:t>
            </w:r>
          </w:p>
        </w:tc>
      </w:tr>
      <w:tr w14:paraId="279458F4">
        <w:tblPrEx>
          <w:tblCellMar>
            <w:top w:w="0" w:type="dxa"/>
            <w:left w:w="108" w:type="dxa"/>
            <w:bottom w:w="0" w:type="dxa"/>
            <w:right w:w="108" w:type="dxa"/>
          </w:tblCellMar>
        </w:tblPrEx>
        <w:trPr>
          <w:trHeight w:val="660" w:hRule="atLeast"/>
        </w:trPr>
        <w:tc>
          <w:tcPr>
            <w:tcW w:w="842" w:type="pct"/>
            <w:tcBorders>
              <w:top w:val="nil"/>
              <w:left w:val="single" w:color="auto" w:sz="4" w:space="0"/>
              <w:bottom w:val="single" w:color="auto" w:sz="4" w:space="0"/>
              <w:right w:val="single" w:color="auto" w:sz="4" w:space="0"/>
            </w:tcBorders>
            <w:shd w:val="clear" w:color="auto" w:fill="auto"/>
            <w:vAlign w:val="center"/>
          </w:tcPr>
          <w:p w14:paraId="782FAF16">
            <w:pPr>
              <w:widowControl/>
              <w:jc w:val="center"/>
              <w:rPr>
                <w:rFonts w:ascii="仿宋" w:hAnsi="仿宋" w:eastAsia="仿宋" w:cs="仿宋"/>
                <w:kern w:val="0"/>
                <w:sz w:val="24"/>
              </w:rPr>
            </w:pPr>
            <w:r>
              <w:rPr>
                <w:rFonts w:hint="eastAsia" w:ascii="仿宋" w:hAnsi="仿宋" w:eastAsia="仿宋" w:cs="仿宋"/>
                <w:kern w:val="0"/>
                <w:sz w:val="24"/>
              </w:rPr>
              <w:t>（1）</w:t>
            </w:r>
          </w:p>
        </w:tc>
        <w:tc>
          <w:tcPr>
            <w:tcW w:w="984" w:type="pct"/>
            <w:tcBorders>
              <w:top w:val="nil"/>
              <w:left w:val="nil"/>
              <w:bottom w:val="single" w:color="auto" w:sz="4" w:space="0"/>
              <w:right w:val="single" w:color="auto" w:sz="4" w:space="0"/>
            </w:tcBorders>
            <w:shd w:val="clear" w:color="auto" w:fill="auto"/>
            <w:vAlign w:val="center"/>
          </w:tcPr>
          <w:p w14:paraId="16ED3546">
            <w:pPr>
              <w:widowControl/>
              <w:jc w:val="center"/>
              <w:rPr>
                <w:rFonts w:ascii="仿宋" w:hAnsi="仿宋" w:eastAsia="仿宋" w:cs="仿宋"/>
                <w:kern w:val="0"/>
                <w:sz w:val="24"/>
              </w:rPr>
            </w:pPr>
            <w:r>
              <w:rPr>
                <w:rFonts w:hint="eastAsia" w:ascii="仿宋" w:hAnsi="仿宋" w:eastAsia="仿宋" w:cs="仿宋"/>
                <w:kern w:val="0"/>
                <w:sz w:val="24"/>
              </w:rPr>
              <w:t>大果沙棘</w:t>
            </w:r>
          </w:p>
        </w:tc>
        <w:tc>
          <w:tcPr>
            <w:tcW w:w="1795" w:type="pct"/>
            <w:tcBorders>
              <w:top w:val="nil"/>
              <w:left w:val="nil"/>
              <w:bottom w:val="single" w:color="auto" w:sz="4" w:space="0"/>
              <w:right w:val="single" w:color="auto" w:sz="4" w:space="0"/>
            </w:tcBorders>
            <w:shd w:val="clear" w:color="auto" w:fill="auto"/>
            <w:vAlign w:val="center"/>
          </w:tcPr>
          <w:p w14:paraId="7A13A198">
            <w:pPr>
              <w:widowControl/>
              <w:jc w:val="center"/>
              <w:rPr>
                <w:rFonts w:ascii="仿宋" w:hAnsi="仿宋" w:eastAsia="仿宋" w:cs="仿宋"/>
                <w:kern w:val="0"/>
                <w:sz w:val="24"/>
              </w:rPr>
            </w:pPr>
            <w:r>
              <w:rPr>
                <w:rFonts w:hint="eastAsia" w:ascii="仿宋" w:hAnsi="仿宋" w:eastAsia="仿宋" w:cs="仿宋"/>
                <w:kern w:val="0"/>
                <w:sz w:val="24"/>
              </w:rPr>
              <w:t>II级以上苗木，两年生，扦插苗，地径1.4cm</w:t>
            </w:r>
          </w:p>
        </w:tc>
        <w:tc>
          <w:tcPr>
            <w:tcW w:w="669" w:type="pct"/>
            <w:tcBorders>
              <w:top w:val="nil"/>
              <w:left w:val="nil"/>
              <w:bottom w:val="single" w:color="auto" w:sz="4" w:space="0"/>
              <w:right w:val="single" w:color="auto" w:sz="4" w:space="0"/>
            </w:tcBorders>
            <w:shd w:val="clear" w:color="auto" w:fill="auto"/>
            <w:vAlign w:val="center"/>
          </w:tcPr>
          <w:p w14:paraId="05BAA80F">
            <w:pPr>
              <w:widowControl/>
              <w:jc w:val="center"/>
              <w:rPr>
                <w:rFonts w:ascii="仿宋" w:hAnsi="仿宋" w:eastAsia="仿宋" w:cs="仿宋"/>
                <w:kern w:val="0"/>
                <w:sz w:val="24"/>
              </w:rPr>
            </w:pPr>
            <w:r>
              <w:rPr>
                <w:rFonts w:hint="eastAsia" w:ascii="仿宋" w:hAnsi="仿宋" w:eastAsia="仿宋" w:cs="仿宋"/>
                <w:kern w:val="0"/>
                <w:sz w:val="24"/>
              </w:rPr>
              <w:t>株</w:t>
            </w:r>
          </w:p>
        </w:tc>
        <w:tc>
          <w:tcPr>
            <w:tcW w:w="710" w:type="pct"/>
            <w:tcBorders>
              <w:top w:val="nil"/>
              <w:left w:val="nil"/>
              <w:bottom w:val="single" w:color="auto" w:sz="4" w:space="0"/>
              <w:right w:val="single" w:color="auto" w:sz="4" w:space="0"/>
            </w:tcBorders>
            <w:shd w:val="clear" w:color="auto" w:fill="auto"/>
            <w:vAlign w:val="center"/>
          </w:tcPr>
          <w:p w14:paraId="61D93B0F">
            <w:pPr>
              <w:widowControl/>
              <w:jc w:val="center"/>
              <w:rPr>
                <w:rFonts w:ascii="仿宋" w:hAnsi="仿宋" w:eastAsia="仿宋" w:cs="仿宋"/>
                <w:kern w:val="0"/>
                <w:sz w:val="24"/>
              </w:rPr>
            </w:pPr>
            <w:r>
              <w:rPr>
                <w:rFonts w:hint="eastAsia" w:ascii="仿宋" w:hAnsi="仿宋" w:eastAsia="仿宋" w:cs="仿宋"/>
                <w:kern w:val="0"/>
                <w:sz w:val="24"/>
              </w:rPr>
              <w:t xml:space="preserve">95701 </w:t>
            </w:r>
          </w:p>
        </w:tc>
      </w:tr>
      <w:tr w14:paraId="5276CB53">
        <w:tblPrEx>
          <w:tblCellMar>
            <w:top w:w="0" w:type="dxa"/>
            <w:left w:w="108" w:type="dxa"/>
            <w:bottom w:w="0" w:type="dxa"/>
            <w:right w:w="108" w:type="dxa"/>
          </w:tblCellMar>
        </w:tblPrEx>
        <w:trPr>
          <w:trHeight w:val="660" w:hRule="atLeast"/>
        </w:trPr>
        <w:tc>
          <w:tcPr>
            <w:tcW w:w="842" w:type="pct"/>
            <w:tcBorders>
              <w:top w:val="nil"/>
              <w:left w:val="single" w:color="auto" w:sz="4" w:space="0"/>
              <w:bottom w:val="single" w:color="auto" w:sz="4" w:space="0"/>
              <w:right w:val="single" w:color="auto" w:sz="4" w:space="0"/>
            </w:tcBorders>
            <w:shd w:val="clear" w:color="auto" w:fill="auto"/>
            <w:vAlign w:val="center"/>
          </w:tcPr>
          <w:p w14:paraId="29D6AFD6">
            <w:pPr>
              <w:widowControl/>
              <w:jc w:val="center"/>
              <w:rPr>
                <w:rFonts w:ascii="仿宋" w:hAnsi="仿宋" w:eastAsia="仿宋" w:cs="仿宋"/>
                <w:kern w:val="0"/>
                <w:sz w:val="24"/>
              </w:rPr>
            </w:pPr>
            <w:r>
              <w:rPr>
                <w:rFonts w:hint="eastAsia" w:ascii="仿宋" w:hAnsi="仿宋" w:eastAsia="仿宋" w:cs="仿宋"/>
                <w:kern w:val="0"/>
                <w:sz w:val="24"/>
              </w:rPr>
              <w:t>（2）</w:t>
            </w:r>
          </w:p>
        </w:tc>
        <w:tc>
          <w:tcPr>
            <w:tcW w:w="984" w:type="pct"/>
            <w:tcBorders>
              <w:top w:val="nil"/>
              <w:left w:val="nil"/>
              <w:bottom w:val="single" w:color="auto" w:sz="4" w:space="0"/>
              <w:right w:val="single" w:color="auto" w:sz="4" w:space="0"/>
            </w:tcBorders>
            <w:shd w:val="clear" w:color="auto" w:fill="auto"/>
            <w:vAlign w:val="center"/>
          </w:tcPr>
          <w:p w14:paraId="02A6C284">
            <w:pPr>
              <w:widowControl/>
              <w:jc w:val="center"/>
              <w:rPr>
                <w:rFonts w:ascii="仿宋" w:hAnsi="仿宋" w:eastAsia="仿宋" w:cs="仿宋"/>
                <w:kern w:val="0"/>
                <w:sz w:val="24"/>
              </w:rPr>
            </w:pPr>
            <w:r>
              <w:rPr>
                <w:rFonts w:hint="eastAsia" w:ascii="仿宋" w:hAnsi="仿宋" w:eastAsia="仿宋" w:cs="仿宋"/>
                <w:kern w:val="0"/>
                <w:sz w:val="24"/>
              </w:rPr>
              <w:t>高原柳树</w:t>
            </w:r>
          </w:p>
        </w:tc>
        <w:tc>
          <w:tcPr>
            <w:tcW w:w="1795" w:type="pct"/>
            <w:tcBorders>
              <w:top w:val="nil"/>
              <w:left w:val="nil"/>
              <w:bottom w:val="single" w:color="auto" w:sz="4" w:space="0"/>
              <w:right w:val="single" w:color="auto" w:sz="4" w:space="0"/>
            </w:tcBorders>
            <w:shd w:val="clear" w:color="auto" w:fill="auto"/>
            <w:vAlign w:val="center"/>
          </w:tcPr>
          <w:p w14:paraId="29F15505">
            <w:pPr>
              <w:widowControl/>
              <w:jc w:val="center"/>
              <w:rPr>
                <w:rFonts w:ascii="仿宋" w:hAnsi="仿宋" w:eastAsia="仿宋" w:cs="仿宋"/>
                <w:kern w:val="0"/>
                <w:sz w:val="24"/>
              </w:rPr>
            </w:pPr>
            <w:r>
              <w:rPr>
                <w:rFonts w:hint="eastAsia" w:ascii="仿宋" w:hAnsi="仿宋" w:eastAsia="仿宋" w:cs="仿宋"/>
                <w:kern w:val="0"/>
                <w:sz w:val="24"/>
              </w:rPr>
              <w:t>两年生扦插苗，地径1~2cm</w:t>
            </w:r>
          </w:p>
        </w:tc>
        <w:tc>
          <w:tcPr>
            <w:tcW w:w="669" w:type="pct"/>
            <w:tcBorders>
              <w:top w:val="nil"/>
              <w:left w:val="nil"/>
              <w:bottom w:val="single" w:color="auto" w:sz="4" w:space="0"/>
              <w:right w:val="single" w:color="auto" w:sz="4" w:space="0"/>
            </w:tcBorders>
            <w:shd w:val="clear" w:color="auto" w:fill="auto"/>
            <w:vAlign w:val="center"/>
          </w:tcPr>
          <w:p w14:paraId="79BFE24C">
            <w:pPr>
              <w:widowControl/>
              <w:jc w:val="center"/>
              <w:rPr>
                <w:rFonts w:ascii="仿宋" w:hAnsi="仿宋" w:eastAsia="仿宋" w:cs="仿宋"/>
                <w:kern w:val="0"/>
                <w:sz w:val="24"/>
              </w:rPr>
            </w:pPr>
            <w:r>
              <w:rPr>
                <w:rFonts w:hint="eastAsia" w:ascii="仿宋" w:hAnsi="仿宋" w:eastAsia="仿宋" w:cs="仿宋"/>
                <w:kern w:val="0"/>
                <w:sz w:val="24"/>
              </w:rPr>
              <w:t>株</w:t>
            </w:r>
          </w:p>
        </w:tc>
        <w:tc>
          <w:tcPr>
            <w:tcW w:w="710" w:type="pct"/>
            <w:tcBorders>
              <w:top w:val="nil"/>
              <w:left w:val="nil"/>
              <w:bottom w:val="single" w:color="auto" w:sz="4" w:space="0"/>
              <w:right w:val="single" w:color="auto" w:sz="4" w:space="0"/>
            </w:tcBorders>
            <w:shd w:val="clear" w:color="auto" w:fill="auto"/>
            <w:vAlign w:val="center"/>
          </w:tcPr>
          <w:p w14:paraId="51B9C687">
            <w:pPr>
              <w:widowControl/>
              <w:jc w:val="center"/>
              <w:rPr>
                <w:rFonts w:ascii="仿宋" w:hAnsi="仿宋" w:eastAsia="仿宋" w:cs="仿宋"/>
                <w:kern w:val="0"/>
                <w:sz w:val="24"/>
              </w:rPr>
            </w:pPr>
            <w:r>
              <w:rPr>
                <w:rFonts w:hint="eastAsia" w:ascii="仿宋" w:hAnsi="仿宋" w:eastAsia="仿宋" w:cs="仿宋"/>
                <w:kern w:val="0"/>
                <w:sz w:val="24"/>
              </w:rPr>
              <w:t xml:space="preserve">5562 </w:t>
            </w:r>
          </w:p>
        </w:tc>
      </w:tr>
      <w:tr w14:paraId="0BABB49F">
        <w:tblPrEx>
          <w:tblCellMar>
            <w:top w:w="0" w:type="dxa"/>
            <w:left w:w="108" w:type="dxa"/>
            <w:bottom w:w="0" w:type="dxa"/>
            <w:right w:w="108" w:type="dxa"/>
          </w:tblCellMar>
        </w:tblPrEx>
        <w:trPr>
          <w:trHeight w:val="1339" w:hRule="atLeast"/>
        </w:trPr>
        <w:tc>
          <w:tcPr>
            <w:tcW w:w="842" w:type="pct"/>
            <w:tcBorders>
              <w:top w:val="nil"/>
              <w:left w:val="single" w:color="auto" w:sz="4" w:space="0"/>
              <w:bottom w:val="single" w:color="auto" w:sz="4" w:space="0"/>
              <w:right w:val="single" w:color="auto" w:sz="4" w:space="0"/>
            </w:tcBorders>
            <w:shd w:val="clear" w:color="auto" w:fill="auto"/>
            <w:vAlign w:val="center"/>
          </w:tcPr>
          <w:p w14:paraId="0C4F0977">
            <w:pPr>
              <w:widowControl/>
              <w:jc w:val="center"/>
              <w:rPr>
                <w:rFonts w:ascii="仿宋" w:hAnsi="仿宋" w:eastAsia="仿宋" w:cs="仿宋"/>
                <w:kern w:val="0"/>
                <w:sz w:val="24"/>
              </w:rPr>
            </w:pPr>
            <w:r>
              <w:rPr>
                <w:rFonts w:hint="eastAsia" w:ascii="仿宋" w:hAnsi="仿宋" w:eastAsia="仿宋" w:cs="仿宋"/>
                <w:kern w:val="0"/>
                <w:sz w:val="24"/>
              </w:rPr>
              <w:t>（3）</w:t>
            </w:r>
          </w:p>
        </w:tc>
        <w:tc>
          <w:tcPr>
            <w:tcW w:w="984" w:type="pct"/>
            <w:tcBorders>
              <w:top w:val="nil"/>
              <w:left w:val="nil"/>
              <w:bottom w:val="single" w:color="auto" w:sz="4" w:space="0"/>
              <w:right w:val="single" w:color="auto" w:sz="4" w:space="0"/>
            </w:tcBorders>
            <w:shd w:val="clear" w:color="auto" w:fill="auto"/>
            <w:vAlign w:val="center"/>
          </w:tcPr>
          <w:p w14:paraId="53FEDB5D">
            <w:pPr>
              <w:widowControl/>
              <w:jc w:val="center"/>
              <w:rPr>
                <w:rFonts w:ascii="仿宋" w:hAnsi="仿宋" w:eastAsia="仿宋" w:cs="仿宋"/>
                <w:color w:val="0D0D0D"/>
                <w:kern w:val="0"/>
                <w:sz w:val="24"/>
              </w:rPr>
            </w:pPr>
            <w:r>
              <w:rPr>
                <w:rFonts w:hint="eastAsia" w:ascii="仿宋" w:hAnsi="仿宋" w:eastAsia="仿宋" w:cs="仿宋"/>
                <w:color w:val="0D0D0D"/>
                <w:kern w:val="0"/>
                <w:sz w:val="24"/>
              </w:rPr>
              <w:t>磷酸二铵</w:t>
            </w:r>
          </w:p>
        </w:tc>
        <w:tc>
          <w:tcPr>
            <w:tcW w:w="1795" w:type="pct"/>
            <w:tcBorders>
              <w:top w:val="nil"/>
              <w:left w:val="nil"/>
              <w:bottom w:val="single" w:color="auto" w:sz="4" w:space="0"/>
              <w:right w:val="single" w:color="auto" w:sz="4" w:space="0"/>
            </w:tcBorders>
            <w:shd w:val="clear" w:color="auto" w:fill="auto"/>
            <w:vAlign w:val="center"/>
          </w:tcPr>
          <w:p w14:paraId="55C3CC6A">
            <w:pPr>
              <w:widowControl/>
              <w:jc w:val="center"/>
              <w:rPr>
                <w:rFonts w:ascii="仿宋" w:hAnsi="仿宋" w:eastAsia="仿宋" w:cs="仿宋"/>
                <w:color w:val="0D0D0D"/>
                <w:kern w:val="0"/>
                <w:sz w:val="24"/>
              </w:rPr>
            </w:pPr>
            <w:r>
              <w:rPr>
                <w:rFonts w:hint="eastAsia" w:ascii="仿宋" w:hAnsi="仿宋" w:eastAsia="仿宋" w:cs="仿宋"/>
                <w:color w:val="0D0D0D"/>
                <w:kern w:val="0"/>
                <w:sz w:val="24"/>
              </w:rPr>
              <w:t>18-46-0总养分含量为64%，其中氮含量为18%，五氧化二磷含量为46%</w:t>
            </w:r>
          </w:p>
        </w:tc>
        <w:tc>
          <w:tcPr>
            <w:tcW w:w="669" w:type="pct"/>
            <w:tcBorders>
              <w:top w:val="nil"/>
              <w:left w:val="nil"/>
              <w:bottom w:val="single" w:color="auto" w:sz="4" w:space="0"/>
              <w:right w:val="single" w:color="auto" w:sz="4" w:space="0"/>
            </w:tcBorders>
            <w:shd w:val="clear" w:color="auto" w:fill="auto"/>
            <w:vAlign w:val="center"/>
          </w:tcPr>
          <w:p w14:paraId="5AC30030">
            <w:pPr>
              <w:widowControl/>
              <w:jc w:val="center"/>
              <w:rPr>
                <w:rFonts w:ascii="仿宋" w:hAnsi="仿宋" w:eastAsia="仿宋" w:cs="仿宋"/>
                <w:color w:val="0D0D0D"/>
                <w:kern w:val="0"/>
                <w:sz w:val="24"/>
              </w:rPr>
            </w:pPr>
            <w:r>
              <w:rPr>
                <w:rFonts w:hint="eastAsia" w:ascii="仿宋" w:hAnsi="仿宋" w:eastAsia="仿宋" w:cs="仿宋"/>
                <w:color w:val="0D0D0D"/>
                <w:kern w:val="0"/>
                <w:sz w:val="24"/>
              </w:rPr>
              <w:t>吨</w:t>
            </w:r>
          </w:p>
        </w:tc>
        <w:tc>
          <w:tcPr>
            <w:tcW w:w="710" w:type="pct"/>
            <w:tcBorders>
              <w:top w:val="nil"/>
              <w:left w:val="nil"/>
              <w:bottom w:val="single" w:color="auto" w:sz="4" w:space="0"/>
              <w:right w:val="single" w:color="auto" w:sz="4" w:space="0"/>
            </w:tcBorders>
            <w:shd w:val="clear" w:color="auto" w:fill="auto"/>
            <w:vAlign w:val="center"/>
          </w:tcPr>
          <w:p w14:paraId="02DCE1D0">
            <w:pPr>
              <w:widowControl/>
              <w:jc w:val="center"/>
              <w:rPr>
                <w:rFonts w:ascii="仿宋" w:hAnsi="仿宋" w:eastAsia="仿宋" w:cs="仿宋"/>
                <w:color w:val="0D0D0D"/>
                <w:kern w:val="0"/>
                <w:sz w:val="24"/>
              </w:rPr>
            </w:pPr>
            <w:r>
              <w:rPr>
                <w:rFonts w:hint="eastAsia" w:ascii="仿宋" w:hAnsi="仿宋" w:eastAsia="仿宋" w:cs="仿宋"/>
                <w:color w:val="0D0D0D"/>
                <w:kern w:val="0"/>
                <w:sz w:val="24"/>
              </w:rPr>
              <w:t xml:space="preserve">47 </w:t>
            </w:r>
          </w:p>
        </w:tc>
      </w:tr>
      <w:tr w14:paraId="40AAF5F7">
        <w:tblPrEx>
          <w:tblCellMar>
            <w:top w:w="0" w:type="dxa"/>
            <w:left w:w="108" w:type="dxa"/>
            <w:bottom w:w="0" w:type="dxa"/>
            <w:right w:w="108" w:type="dxa"/>
          </w:tblCellMar>
        </w:tblPrEx>
        <w:trPr>
          <w:trHeight w:val="1320" w:hRule="atLeast"/>
        </w:trPr>
        <w:tc>
          <w:tcPr>
            <w:tcW w:w="842" w:type="pct"/>
            <w:tcBorders>
              <w:top w:val="nil"/>
              <w:left w:val="single" w:color="auto" w:sz="4" w:space="0"/>
              <w:bottom w:val="single" w:color="auto" w:sz="4" w:space="0"/>
              <w:right w:val="single" w:color="auto" w:sz="4" w:space="0"/>
            </w:tcBorders>
            <w:shd w:val="clear" w:color="auto" w:fill="auto"/>
            <w:vAlign w:val="center"/>
          </w:tcPr>
          <w:p w14:paraId="6EFD8A99">
            <w:pPr>
              <w:widowControl/>
              <w:jc w:val="center"/>
              <w:rPr>
                <w:rFonts w:ascii="仿宋" w:hAnsi="仿宋" w:eastAsia="仿宋" w:cs="仿宋"/>
                <w:kern w:val="0"/>
                <w:sz w:val="24"/>
              </w:rPr>
            </w:pPr>
            <w:r>
              <w:rPr>
                <w:rFonts w:hint="eastAsia" w:ascii="仿宋" w:hAnsi="仿宋" w:eastAsia="仿宋" w:cs="仿宋"/>
                <w:kern w:val="0"/>
                <w:sz w:val="24"/>
              </w:rPr>
              <w:t>（4）</w:t>
            </w:r>
          </w:p>
        </w:tc>
        <w:tc>
          <w:tcPr>
            <w:tcW w:w="984" w:type="pct"/>
            <w:tcBorders>
              <w:top w:val="nil"/>
              <w:left w:val="nil"/>
              <w:bottom w:val="single" w:color="auto" w:sz="4" w:space="0"/>
              <w:right w:val="single" w:color="auto" w:sz="4" w:space="0"/>
            </w:tcBorders>
            <w:shd w:val="clear" w:color="auto" w:fill="auto"/>
            <w:vAlign w:val="center"/>
          </w:tcPr>
          <w:p w14:paraId="29152FE1">
            <w:pPr>
              <w:widowControl/>
              <w:jc w:val="center"/>
              <w:rPr>
                <w:rFonts w:ascii="仿宋" w:hAnsi="仿宋" w:eastAsia="仿宋" w:cs="仿宋"/>
                <w:color w:val="0D0D0D"/>
                <w:kern w:val="0"/>
                <w:sz w:val="24"/>
              </w:rPr>
            </w:pPr>
            <w:r>
              <w:rPr>
                <w:rFonts w:hint="eastAsia" w:ascii="仿宋" w:hAnsi="仿宋" w:eastAsia="仿宋" w:cs="仿宋"/>
                <w:color w:val="0D0D0D"/>
                <w:kern w:val="0"/>
                <w:sz w:val="24"/>
              </w:rPr>
              <w:t>高钾大量元素水溶肥</w:t>
            </w:r>
          </w:p>
        </w:tc>
        <w:tc>
          <w:tcPr>
            <w:tcW w:w="1795" w:type="pct"/>
            <w:tcBorders>
              <w:top w:val="nil"/>
              <w:left w:val="nil"/>
              <w:bottom w:val="single" w:color="auto" w:sz="4" w:space="0"/>
              <w:right w:val="single" w:color="auto" w:sz="4" w:space="0"/>
            </w:tcBorders>
            <w:shd w:val="clear" w:color="auto" w:fill="auto"/>
            <w:vAlign w:val="center"/>
          </w:tcPr>
          <w:p w14:paraId="3A6B82F5">
            <w:pPr>
              <w:widowControl/>
              <w:jc w:val="center"/>
              <w:rPr>
                <w:rFonts w:ascii="仿宋" w:hAnsi="仿宋" w:eastAsia="仿宋" w:cs="仿宋"/>
                <w:color w:val="0D0D0D"/>
                <w:kern w:val="0"/>
                <w:sz w:val="24"/>
              </w:rPr>
            </w:pPr>
            <w:r>
              <w:rPr>
                <w:rFonts w:hint="eastAsia" w:ascii="仿宋" w:hAnsi="仿宋" w:eastAsia="仿宋" w:cs="仿宋"/>
                <w:color w:val="0D0D0D"/>
                <w:kern w:val="0"/>
                <w:sz w:val="24"/>
              </w:rPr>
              <w:t>20-20-20N+P205+K0≥60，硝态氮≥5%，硼(B)0.08%，锌(EDTA,Zn)0.08%铁（EDTA-Fe)0.08%，B+Zn+Fe≥0.2496（粉剂）</w:t>
            </w:r>
          </w:p>
        </w:tc>
        <w:tc>
          <w:tcPr>
            <w:tcW w:w="669" w:type="pct"/>
            <w:tcBorders>
              <w:top w:val="nil"/>
              <w:left w:val="nil"/>
              <w:bottom w:val="single" w:color="auto" w:sz="4" w:space="0"/>
              <w:right w:val="single" w:color="auto" w:sz="4" w:space="0"/>
            </w:tcBorders>
            <w:shd w:val="clear" w:color="auto" w:fill="auto"/>
            <w:vAlign w:val="center"/>
          </w:tcPr>
          <w:p w14:paraId="3AC8E673">
            <w:pPr>
              <w:widowControl/>
              <w:jc w:val="center"/>
              <w:rPr>
                <w:rFonts w:ascii="仿宋" w:hAnsi="仿宋" w:eastAsia="仿宋" w:cs="仿宋"/>
                <w:color w:val="0D0D0D"/>
                <w:kern w:val="0"/>
                <w:sz w:val="24"/>
              </w:rPr>
            </w:pPr>
            <w:r>
              <w:rPr>
                <w:rFonts w:hint="eastAsia" w:ascii="仿宋" w:hAnsi="仿宋" w:eastAsia="仿宋" w:cs="仿宋"/>
                <w:color w:val="0D0D0D"/>
                <w:kern w:val="0"/>
                <w:sz w:val="24"/>
              </w:rPr>
              <w:t>公斤</w:t>
            </w:r>
          </w:p>
        </w:tc>
        <w:tc>
          <w:tcPr>
            <w:tcW w:w="710" w:type="pct"/>
            <w:tcBorders>
              <w:top w:val="nil"/>
              <w:left w:val="nil"/>
              <w:bottom w:val="single" w:color="auto" w:sz="4" w:space="0"/>
              <w:right w:val="single" w:color="auto" w:sz="4" w:space="0"/>
            </w:tcBorders>
            <w:shd w:val="clear" w:color="auto" w:fill="auto"/>
            <w:vAlign w:val="center"/>
          </w:tcPr>
          <w:p w14:paraId="07644A40">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 xml:space="preserve">9379 </w:t>
            </w:r>
          </w:p>
        </w:tc>
      </w:tr>
      <w:tr w14:paraId="10F555FB">
        <w:tblPrEx>
          <w:tblCellMar>
            <w:top w:w="0" w:type="dxa"/>
            <w:left w:w="108" w:type="dxa"/>
            <w:bottom w:w="0" w:type="dxa"/>
            <w:right w:w="108" w:type="dxa"/>
          </w:tblCellMar>
        </w:tblPrEx>
        <w:trPr>
          <w:trHeight w:val="1320" w:hRule="atLeast"/>
        </w:trPr>
        <w:tc>
          <w:tcPr>
            <w:tcW w:w="842" w:type="pct"/>
            <w:tcBorders>
              <w:top w:val="nil"/>
              <w:left w:val="single" w:color="auto" w:sz="4" w:space="0"/>
              <w:bottom w:val="single" w:color="auto" w:sz="4" w:space="0"/>
              <w:right w:val="single" w:color="auto" w:sz="4" w:space="0"/>
            </w:tcBorders>
            <w:shd w:val="clear" w:color="auto" w:fill="auto"/>
            <w:vAlign w:val="center"/>
          </w:tcPr>
          <w:p w14:paraId="1AE02DBF">
            <w:pPr>
              <w:widowControl/>
              <w:jc w:val="center"/>
              <w:rPr>
                <w:rFonts w:ascii="仿宋" w:hAnsi="仿宋" w:eastAsia="仿宋" w:cs="仿宋"/>
                <w:kern w:val="0"/>
                <w:sz w:val="24"/>
              </w:rPr>
            </w:pPr>
            <w:r>
              <w:rPr>
                <w:rFonts w:hint="eastAsia" w:ascii="仿宋" w:hAnsi="仿宋" w:eastAsia="仿宋" w:cs="仿宋"/>
                <w:kern w:val="0"/>
                <w:sz w:val="24"/>
              </w:rPr>
              <w:t>2</w:t>
            </w:r>
          </w:p>
        </w:tc>
        <w:tc>
          <w:tcPr>
            <w:tcW w:w="984" w:type="pct"/>
            <w:tcBorders>
              <w:top w:val="nil"/>
              <w:left w:val="nil"/>
              <w:bottom w:val="single" w:color="auto" w:sz="4" w:space="0"/>
              <w:right w:val="single" w:color="auto" w:sz="4" w:space="0"/>
            </w:tcBorders>
            <w:shd w:val="clear" w:color="auto" w:fill="auto"/>
            <w:vAlign w:val="center"/>
          </w:tcPr>
          <w:p w14:paraId="7962657A">
            <w:pPr>
              <w:widowControl/>
              <w:jc w:val="center"/>
              <w:rPr>
                <w:rFonts w:ascii="仿宋" w:hAnsi="仿宋" w:eastAsia="仿宋" w:cs="仿宋"/>
                <w:kern w:val="0"/>
                <w:sz w:val="24"/>
              </w:rPr>
            </w:pPr>
            <w:r>
              <w:rPr>
                <w:rFonts w:hint="eastAsia" w:ascii="仿宋" w:hAnsi="仿宋" w:eastAsia="仿宋" w:cs="仿宋"/>
                <w:kern w:val="0"/>
                <w:sz w:val="24"/>
              </w:rPr>
              <w:t>渠道清淤</w:t>
            </w:r>
          </w:p>
        </w:tc>
        <w:tc>
          <w:tcPr>
            <w:tcW w:w="1795" w:type="pct"/>
            <w:tcBorders>
              <w:top w:val="nil"/>
              <w:left w:val="nil"/>
              <w:bottom w:val="single" w:color="auto" w:sz="4" w:space="0"/>
              <w:right w:val="single" w:color="auto" w:sz="4" w:space="0"/>
            </w:tcBorders>
            <w:shd w:val="clear" w:color="auto" w:fill="auto"/>
            <w:vAlign w:val="center"/>
          </w:tcPr>
          <w:p w14:paraId="72167F5D">
            <w:pPr>
              <w:widowControl/>
              <w:jc w:val="center"/>
              <w:rPr>
                <w:rFonts w:ascii="仿宋" w:hAnsi="仿宋" w:eastAsia="仿宋" w:cs="仿宋"/>
                <w:kern w:val="0"/>
                <w:sz w:val="24"/>
              </w:rPr>
            </w:pPr>
            <w:r>
              <w:rPr>
                <w:rFonts w:hint="eastAsia" w:ascii="仿宋" w:hAnsi="仿宋" w:eastAsia="仿宋" w:cs="仿宋"/>
                <w:kern w:val="0"/>
                <w:sz w:val="24"/>
              </w:rPr>
              <w:t>　</w:t>
            </w:r>
          </w:p>
        </w:tc>
        <w:tc>
          <w:tcPr>
            <w:tcW w:w="669" w:type="pct"/>
            <w:tcBorders>
              <w:top w:val="nil"/>
              <w:left w:val="nil"/>
              <w:bottom w:val="single" w:color="auto" w:sz="4" w:space="0"/>
              <w:right w:val="single" w:color="auto" w:sz="4" w:space="0"/>
            </w:tcBorders>
            <w:shd w:val="clear" w:color="auto" w:fill="auto"/>
            <w:vAlign w:val="center"/>
          </w:tcPr>
          <w:p w14:paraId="118A6AD2">
            <w:pPr>
              <w:widowControl/>
              <w:jc w:val="center"/>
              <w:rPr>
                <w:rFonts w:ascii="仿宋" w:hAnsi="仿宋" w:eastAsia="仿宋" w:cs="仿宋"/>
                <w:kern w:val="0"/>
                <w:sz w:val="24"/>
              </w:rPr>
            </w:pPr>
            <w:r>
              <w:rPr>
                <w:rFonts w:hint="eastAsia" w:ascii="仿宋" w:hAnsi="仿宋" w:eastAsia="仿宋" w:cs="仿宋"/>
                <w:kern w:val="0"/>
                <w:sz w:val="24"/>
              </w:rPr>
              <w:t>亩</w:t>
            </w:r>
          </w:p>
        </w:tc>
        <w:tc>
          <w:tcPr>
            <w:tcW w:w="710" w:type="pct"/>
            <w:tcBorders>
              <w:top w:val="nil"/>
              <w:left w:val="nil"/>
              <w:bottom w:val="single" w:color="auto" w:sz="4" w:space="0"/>
              <w:right w:val="single" w:color="auto" w:sz="4" w:space="0"/>
            </w:tcBorders>
            <w:shd w:val="clear" w:color="auto" w:fill="auto"/>
            <w:vAlign w:val="center"/>
          </w:tcPr>
          <w:p w14:paraId="5D64D545">
            <w:pPr>
              <w:widowControl/>
              <w:jc w:val="center"/>
              <w:rPr>
                <w:rFonts w:ascii="仿宋" w:hAnsi="仿宋" w:eastAsia="仿宋" w:cs="仿宋"/>
                <w:kern w:val="0"/>
                <w:sz w:val="24"/>
              </w:rPr>
            </w:pPr>
            <w:r>
              <w:rPr>
                <w:rFonts w:hint="eastAsia" w:ascii="仿宋" w:hAnsi="仿宋" w:eastAsia="仿宋" w:cs="仿宋"/>
                <w:kern w:val="0"/>
                <w:sz w:val="24"/>
              </w:rPr>
              <w:t xml:space="preserve">925.00 </w:t>
            </w:r>
          </w:p>
        </w:tc>
      </w:tr>
      <w:tr w14:paraId="559C194B">
        <w:tblPrEx>
          <w:tblCellMar>
            <w:top w:w="0" w:type="dxa"/>
            <w:left w:w="108" w:type="dxa"/>
            <w:bottom w:w="0" w:type="dxa"/>
            <w:right w:w="108" w:type="dxa"/>
          </w:tblCellMar>
        </w:tblPrEx>
        <w:trPr>
          <w:trHeight w:val="882" w:hRule="atLeast"/>
        </w:trPr>
        <w:tc>
          <w:tcPr>
            <w:tcW w:w="842" w:type="pct"/>
            <w:tcBorders>
              <w:top w:val="nil"/>
              <w:left w:val="single" w:color="auto" w:sz="4" w:space="0"/>
              <w:bottom w:val="single" w:color="auto" w:sz="4" w:space="0"/>
              <w:right w:val="single" w:color="auto" w:sz="4" w:space="0"/>
            </w:tcBorders>
            <w:shd w:val="clear" w:color="auto" w:fill="auto"/>
            <w:vAlign w:val="center"/>
          </w:tcPr>
          <w:p w14:paraId="4A5DDDC6">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3</w:t>
            </w:r>
          </w:p>
        </w:tc>
        <w:tc>
          <w:tcPr>
            <w:tcW w:w="984" w:type="pct"/>
            <w:tcBorders>
              <w:top w:val="nil"/>
              <w:left w:val="nil"/>
              <w:bottom w:val="single" w:color="auto" w:sz="4" w:space="0"/>
              <w:right w:val="single" w:color="auto" w:sz="4" w:space="0"/>
            </w:tcBorders>
            <w:shd w:val="clear" w:color="auto" w:fill="auto"/>
            <w:vAlign w:val="center"/>
          </w:tcPr>
          <w:p w14:paraId="30FF2744">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围栏</w:t>
            </w:r>
          </w:p>
        </w:tc>
        <w:tc>
          <w:tcPr>
            <w:tcW w:w="1795" w:type="pct"/>
            <w:tcBorders>
              <w:top w:val="nil"/>
              <w:left w:val="nil"/>
              <w:bottom w:val="single" w:color="auto" w:sz="4" w:space="0"/>
              <w:right w:val="single" w:color="auto" w:sz="4" w:space="0"/>
            </w:tcBorders>
            <w:shd w:val="clear" w:color="auto" w:fill="auto"/>
            <w:vAlign w:val="center"/>
          </w:tcPr>
          <w:p w14:paraId="4E8535DD">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　</w:t>
            </w:r>
          </w:p>
        </w:tc>
        <w:tc>
          <w:tcPr>
            <w:tcW w:w="669" w:type="pct"/>
            <w:tcBorders>
              <w:top w:val="nil"/>
              <w:left w:val="nil"/>
              <w:bottom w:val="single" w:color="auto" w:sz="4" w:space="0"/>
              <w:right w:val="single" w:color="auto" w:sz="4" w:space="0"/>
            </w:tcBorders>
            <w:shd w:val="clear" w:color="auto" w:fill="auto"/>
            <w:vAlign w:val="center"/>
          </w:tcPr>
          <w:p w14:paraId="14C0ADA0">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　</w:t>
            </w:r>
          </w:p>
        </w:tc>
        <w:tc>
          <w:tcPr>
            <w:tcW w:w="710" w:type="pct"/>
            <w:tcBorders>
              <w:top w:val="nil"/>
              <w:left w:val="nil"/>
              <w:bottom w:val="single" w:color="auto" w:sz="4" w:space="0"/>
              <w:right w:val="single" w:color="auto" w:sz="4" w:space="0"/>
            </w:tcBorders>
            <w:shd w:val="clear" w:color="auto" w:fill="auto"/>
            <w:vAlign w:val="center"/>
          </w:tcPr>
          <w:p w14:paraId="2751FD41">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　</w:t>
            </w:r>
          </w:p>
        </w:tc>
      </w:tr>
      <w:tr w14:paraId="00326462">
        <w:tblPrEx>
          <w:tblCellMar>
            <w:top w:w="0" w:type="dxa"/>
            <w:left w:w="108" w:type="dxa"/>
            <w:bottom w:w="0" w:type="dxa"/>
            <w:right w:w="108" w:type="dxa"/>
          </w:tblCellMar>
        </w:tblPrEx>
        <w:trPr>
          <w:trHeight w:val="1875" w:hRule="atLeast"/>
        </w:trPr>
        <w:tc>
          <w:tcPr>
            <w:tcW w:w="842" w:type="pct"/>
            <w:tcBorders>
              <w:top w:val="nil"/>
              <w:left w:val="single" w:color="auto" w:sz="4" w:space="0"/>
              <w:bottom w:val="single" w:color="auto" w:sz="4" w:space="0"/>
              <w:right w:val="single" w:color="auto" w:sz="4" w:space="0"/>
            </w:tcBorders>
            <w:shd w:val="clear" w:color="auto" w:fill="auto"/>
            <w:vAlign w:val="center"/>
          </w:tcPr>
          <w:p w14:paraId="734F6230">
            <w:pPr>
              <w:widowControl/>
              <w:jc w:val="center"/>
              <w:rPr>
                <w:rFonts w:ascii="仿宋" w:hAnsi="仿宋" w:eastAsia="仿宋" w:cs="仿宋"/>
                <w:kern w:val="0"/>
                <w:sz w:val="24"/>
              </w:rPr>
            </w:pPr>
            <w:r>
              <w:rPr>
                <w:rFonts w:hint="eastAsia" w:ascii="仿宋" w:hAnsi="仿宋" w:eastAsia="仿宋" w:cs="仿宋"/>
                <w:kern w:val="0"/>
                <w:sz w:val="24"/>
              </w:rPr>
              <w:t>（1）</w:t>
            </w:r>
          </w:p>
        </w:tc>
        <w:tc>
          <w:tcPr>
            <w:tcW w:w="984" w:type="pct"/>
            <w:tcBorders>
              <w:top w:val="nil"/>
              <w:left w:val="nil"/>
              <w:bottom w:val="single" w:color="auto" w:sz="4" w:space="0"/>
              <w:right w:val="single" w:color="auto" w:sz="4" w:space="0"/>
            </w:tcBorders>
            <w:shd w:val="clear" w:color="auto" w:fill="auto"/>
            <w:vAlign w:val="center"/>
          </w:tcPr>
          <w:p w14:paraId="7B1B1B1A">
            <w:pPr>
              <w:widowControl/>
              <w:jc w:val="center"/>
              <w:rPr>
                <w:rFonts w:ascii="仿宋" w:hAnsi="仿宋" w:eastAsia="仿宋" w:cs="仿宋"/>
                <w:kern w:val="0"/>
                <w:sz w:val="24"/>
              </w:rPr>
            </w:pPr>
            <w:r>
              <w:rPr>
                <w:rFonts w:hint="eastAsia" w:ascii="仿宋" w:hAnsi="仿宋" w:eastAsia="仿宋" w:cs="仿宋"/>
                <w:kern w:val="0"/>
                <w:sz w:val="24"/>
              </w:rPr>
              <w:t>刺丝</w:t>
            </w:r>
          </w:p>
        </w:tc>
        <w:tc>
          <w:tcPr>
            <w:tcW w:w="1795" w:type="pct"/>
            <w:tcBorders>
              <w:top w:val="nil"/>
              <w:left w:val="nil"/>
              <w:bottom w:val="single" w:color="auto" w:sz="4" w:space="0"/>
              <w:right w:val="single" w:color="auto" w:sz="4" w:space="0"/>
            </w:tcBorders>
            <w:shd w:val="clear" w:color="auto" w:fill="auto"/>
            <w:vAlign w:val="center"/>
          </w:tcPr>
          <w:p w14:paraId="24D51AA6">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p14中碳镀锌钢丝，抗张强度为〉900MPa,双股正反拧，每米刺数为8-10个/米，刺长为15mm，4个刺线头数，6道刺丝，斜拉两道</w:t>
            </w:r>
          </w:p>
        </w:tc>
        <w:tc>
          <w:tcPr>
            <w:tcW w:w="669" w:type="pct"/>
            <w:tcBorders>
              <w:top w:val="nil"/>
              <w:left w:val="nil"/>
              <w:bottom w:val="single" w:color="auto" w:sz="4" w:space="0"/>
              <w:right w:val="single" w:color="auto" w:sz="4" w:space="0"/>
            </w:tcBorders>
            <w:shd w:val="clear" w:color="auto" w:fill="auto"/>
            <w:vAlign w:val="center"/>
          </w:tcPr>
          <w:p w14:paraId="5AF115BD">
            <w:pPr>
              <w:widowControl/>
              <w:jc w:val="center"/>
              <w:rPr>
                <w:rFonts w:ascii="仿宋" w:hAnsi="仿宋" w:eastAsia="仿宋" w:cs="仿宋"/>
                <w:kern w:val="0"/>
                <w:sz w:val="24"/>
              </w:rPr>
            </w:pPr>
            <w:r>
              <w:rPr>
                <w:rFonts w:hint="eastAsia" w:ascii="仿宋" w:hAnsi="仿宋" w:eastAsia="仿宋" w:cs="仿宋"/>
                <w:kern w:val="0"/>
                <w:sz w:val="24"/>
              </w:rPr>
              <w:t>吨</w:t>
            </w:r>
          </w:p>
        </w:tc>
        <w:tc>
          <w:tcPr>
            <w:tcW w:w="710" w:type="pct"/>
            <w:tcBorders>
              <w:top w:val="nil"/>
              <w:left w:val="nil"/>
              <w:bottom w:val="single" w:color="auto" w:sz="4" w:space="0"/>
              <w:right w:val="single" w:color="auto" w:sz="4" w:space="0"/>
            </w:tcBorders>
            <w:shd w:val="clear" w:color="auto" w:fill="auto"/>
            <w:vAlign w:val="center"/>
          </w:tcPr>
          <w:p w14:paraId="5AE5E75C">
            <w:pPr>
              <w:widowControl/>
              <w:jc w:val="center"/>
              <w:rPr>
                <w:rFonts w:ascii="仿宋" w:hAnsi="仿宋" w:eastAsia="仿宋" w:cs="仿宋"/>
                <w:kern w:val="0"/>
                <w:sz w:val="24"/>
              </w:rPr>
            </w:pPr>
            <w:r>
              <w:rPr>
                <w:rFonts w:hint="eastAsia" w:ascii="仿宋" w:hAnsi="仿宋" w:eastAsia="仿宋" w:cs="仿宋"/>
                <w:kern w:val="0"/>
                <w:sz w:val="24"/>
              </w:rPr>
              <w:t xml:space="preserve">3.68 </w:t>
            </w:r>
          </w:p>
        </w:tc>
      </w:tr>
      <w:tr w14:paraId="3EAE09AA">
        <w:tblPrEx>
          <w:tblCellMar>
            <w:top w:w="0" w:type="dxa"/>
            <w:left w:w="108" w:type="dxa"/>
            <w:bottom w:w="0" w:type="dxa"/>
            <w:right w:w="108" w:type="dxa"/>
          </w:tblCellMar>
        </w:tblPrEx>
        <w:trPr>
          <w:trHeight w:val="1140" w:hRule="atLeast"/>
        </w:trPr>
        <w:tc>
          <w:tcPr>
            <w:tcW w:w="842" w:type="pct"/>
            <w:tcBorders>
              <w:top w:val="nil"/>
              <w:left w:val="single" w:color="auto" w:sz="4" w:space="0"/>
              <w:bottom w:val="single" w:color="auto" w:sz="4" w:space="0"/>
              <w:right w:val="single" w:color="auto" w:sz="4" w:space="0"/>
            </w:tcBorders>
            <w:shd w:val="clear" w:color="auto" w:fill="auto"/>
            <w:vAlign w:val="center"/>
          </w:tcPr>
          <w:p w14:paraId="4BC92A78">
            <w:pPr>
              <w:widowControl/>
              <w:jc w:val="center"/>
              <w:rPr>
                <w:rFonts w:ascii="仿宋" w:hAnsi="仿宋" w:eastAsia="仿宋" w:cs="仿宋"/>
                <w:kern w:val="0"/>
                <w:sz w:val="24"/>
              </w:rPr>
            </w:pPr>
            <w:r>
              <w:rPr>
                <w:rFonts w:hint="eastAsia" w:ascii="仿宋" w:hAnsi="仿宋" w:eastAsia="仿宋" w:cs="仿宋"/>
                <w:kern w:val="0"/>
                <w:sz w:val="24"/>
              </w:rPr>
              <w:t>（2）</w:t>
            </w:r>
          </w:p>
        </w:tc>
        <w:tc>
          <w:tcPr>
            <w:tcW w:w="984" w:type="pct"/>
            <w:tcBorders>
              <w:top w:val="nil"/>
              <w:left w:val="nil"/>
              <w:bottom w:val="single" w:color="auto" w:sz="4" w:space="0"/>
              <w:right w:val="single" w:color="auto" w:sz="4" w:space="0"/>
            </w:tcBorders>
            <w:shd w:val="clear" w:color="auto" w:fill="auto"/>
            <w:vAlign w:val="center"/>
          </w:tcPr>
          <w:p w14:paraId="33436472">
            <w:pPr>
              <w:widowControl/>
              <w:jc w:val="center"/>
              <w:rPr>
                <w:rFonts w:ascii="仿宋" w:hAnsi="仿宋" w:eastAsia="仿宋" w:cs="仿宋"/>
                <w:kern w:val="0"/>
                <w:sz w:val="24"/>
              </w:rPr>
            </w:pPr>
            <w:r>
              <w:rPr>
                <w:rFonts w:hint="eastAsia" w:ascii="仿宋" w:hAnsi="仿宋" w:eastAsia="仿宋" w:cs="仿宋"/>
                <w:kern w:val="0"/>
                <w:sz w:val="24"/>
              </w:rPr>
              <w:t>挂线柱</w:t>
            </w:r>
          </w:p>
        </w:tc>
        <w:tc>
          <w:tcPr>
            <w:tcW w:w="1795" w:type="pct"/>
            <w:tcBorders>
              <w:top w:val="nil"/>
              <w:left w:val="nil"/>
              <w:bottom w:val="single" w:color="auto" w:sz="4" w:space="0"/>
              <w:right w:val="single" w:color="auto" w:sz="4" w:space="0"/>
            </w:tcBorders>
            <w:shd w:val="clear" w:color="auto" w:fill="auto"/>
            <w:vAlign w:val="center"/>
          </w:tcPr>
          <w:p w14:paraId="69497065">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∠40mm×40mm、厚4mm热轧边镀锌等角钢，长2m，柱距4米</w:t>
            </w:r>
          </w:p>
        </w:tc>
        <w:tc>
          <w:tcPr>
            <w:tcW w:w="669" w:type="pct"/>
            <w:tcBorders>
              <w:top w:val="nil"/>
              <w:left w:val="nil"/>
              <w:bottom w:val="single" w:color="auto" w:sz="4" w:space="0"/>
              <w:right w:val="single" w:color="auto" w:sz="4" w:space="0"/>
            </w:tcBorders>
            <w:shd w:val="clear" w:color="auto" w:fill="auto"/>
            <w:vAlign w:val="center"/>
          </w:tcPr>
          <w:p w14:paraId="7C5466C6">
            <w:pPr>
              <w:widowControl/>
              <w:jc w:val="center"/>
              <w:rPr>
                <w:rFonts w:ascii="仿宋" w:hAnsi="仿宋" w:eastAsia="仿宋" w:cs="仿宋"/>
                <w:kern w:val="0"/>
                <w:sz w:val="24"/>
              </w:rPr>
            </w:pPr>
            <w:r>
              <w:rPr>
                <w:rFonts w:hint="eastAsia" w:ascii="仿宋" w:hAnsi="仿宋" w:eastAsia="仿宋" w:cs="仿宋"/>
                <w:kern w:val="0"/>
                <w:sz w:val="24"/>
              </w:rPr>
              <w:t>根</w:t>
            </w:r>
          </w:p>
        </w:tc>
        <w:tc>
          <w:tcPr>
            <w:tcW w:w="710" w:type="pct"/>
            <w:tcBorders>
              <w:top w:val="nil"/>
              <w:left w:val="nil"/>
              <w:bottom w:val="single" w:color="auto" w:sz="4" w:space="0"/>
              <w:right w:val="single" w:color="auto" w:sz="4" w:space="0"/>
            </w:tcBorders>
            <w:shd w:val="clear" w:color="auto" w:fill="auto"/>
            <w:vAlign w:val="center"/>
          </w:tcPr>
          <w:p w14:paraId="747422E1">
            <w:pPr>
              <w:widowControl/>
              <w:jc w:val="center"/>
              <w:rPr>
                <w:rFonts w:ascii="仿宋" w:hAnsi="仿宋" w:eastAsia="仿宋" w:cs="仿宋"/>
                <w:kern w:val="0"/>
                <w:sz w:val="24"/>
              </w:rPr>
            </w:pPr>
            <w:r>
              <w:rPr>
                <w:rFonts w:hint="eastAsia" w:ascii="仿宋" w:hAnsi="仿宋" w:eastAsia="仿宋" w:cs="仿宋"/>
                <w:kern w:val="0"/>
                <w:sz w:val="24"/>
              </w:rPr>
              <w:t xml:space="preserve">748 </w:t>
            </w:r>
          </w:p>
        </w:tc>
      </w:tr>
      <w:tr w14:paraId="0608F746">
        <w:tblPrEx>
          <w:tblCellMar>
            <w:top w:w="0" w:type="dxa"/>
            <w:left w:w="108" w:type="dxa"/>
            <w:bottom w:w="0" w:type="dxa"/>
            <w:right w:w="108" w:type="dxa"/>
          </w:tblCellMar>
        </w:tblPrEx>
        <w:trPr>
          <w:trHeight w:val="1125" w:hRule="atLeast"/>
        </w:trPr>
        <w:tc>
          <w:tcPr>
            <w:tcW w:w="842" w:type="pct"/>
            <w:tcBorders>
              <w:top w:val="nil"/>
              <w:left w:val="single" w:color="auto" w:sz="4" w:space="0"/>
              <w:bottom w:val="single" w:color="auto" w:sz="4" w:space="0"/>
              <w:right w:val="single" w:color="auto" w:sz="4" w:space="0"/>
            </w:tcBorders>
            <w:shd w:val="clear" w:color="auto" w:fill="auto"/>
            <w:vAlign w:val="center"/>
          </w:tcPr>
          <w:p w14:paraId="760A06AC">
            <w:pPr>
              <w:widowControl/>
              <w:jc w:val="center"/>
              <w:rPr>
                <w:rFonts w:ascii="仿宋" w:hAnsi="仿宋" w:eastAsia="仿宋" w:cs="仿宋"/>
                <w:kern w:val="0"/>
                <w:sz w:val="24"/>
              </w:rPr>
            </w:pPr>
            <w:r>
              <w:rPr>
                <w:rFonts w:hint="eastAsia" w:ascii="仿宋" w:hAnsi="仿宋" w:eastAsia="仿宋" w:cs="仿宋"/>
                <w:kern w:val="0"/>
                <w:sz w:val="24"/>
              </w:rPr>
              <w:t>（3）</w:t>
            </w:r>
          </w:p>
        </w:tc>
        <w:tc>
          <w:tcPr>
            <w:tcW w:w="984" w:type="pct"/>
            <w:tcBorders>
              <w:top w:val="nil"/>
              <w:left w:val="nil"/>
              <w:bottom w:val="single" w:color="auto" w:sz="4" w:space="0"/>
              <w:right w:val="single" w:color="auto" w:sz="4" w:space="0"/>
            </w:tcBorders>
            <w:shd w:val="clear" w:color="auto" w:fill="auto"/>
            <w:vAlign w:val="center"/>
          </w:tcPr>
          <w:p w14:paraId="41268A7C">
            <w:pPr>
              <w:widowControl/>
              <w:jc w:val="center"/>
              <w:rPr>
                <w:rFonts w:ascii="仿宋" w:hAnsi="仿宋" w:eastAsia="仿宋" w:cs="仿宋"/>
                <w:kern w:val="0"/>
                <w:sz w:val="24"/>
              </w:rPr>
            </w:pPr>
            <w:r>
              <w:rPr>
                <w:rFonts w:hint="eastAsia" w:ascii="仿宋" w:hAnsi="仿宋" w:eastAsia="仿宋" w:cs="仿宋"/>
                <w:kern w:val="0"/>
                <w:sz w:val="24"/>
              </w:rPr>
              <w:t>加强柱</w:t>
            </w:r>
          </w:p>
        </w:tc>
        <w:tc>
          <w:tcPr>
            <w:tcW w:w="1795" w:type="pct"/>
            <w:tcBorders>
              <w:top w:val="nil"/>
              <w:left w:val="nil"/>
              <w:bottom w:val="single" w:color="auto" w:sz="4" w:space="0"/>
              <w:right w:val="single" w:color="auto" w:sz="4" w:space="0"/>
            </w:tcBorders>
            <w:shd w:val="clear" w:color="auto" w:fill="auto"/>
            <w:vAlign w:val="center"/>
          </w:tcPr>
          <w:p w14:paraId="2DD4DD5F">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∠70mm×70mm、厚7mm热轧等边镀锌三角铁，长2m，柱距60米且每个拐点放一个</w:t>
            </w:r>
          </w:p>
        </w:tc>
        <w:tc>
          <w:tcPr>
            <w:tcW w:w="669" w:type="pct"/>
            <w:tcBorders>
              <w:top w:val="nil"/>
              <w:left w:val="nil"/>
              <w:bottom w:val="single" w:color="auto" w:sz="4" w:space="0"/>
              <w:right w:val="single" w:color="auto" w:sz="4" w:space="0"/>
            </w:tcBorders>
            <w:shd w:val="clear" w:color="auto" w:fill="auto"/>
            <w:vAlign w:val="center"/>
          </w:tcPr>
          <w:p w14:paraId="4536CD59">
            <w:pPr>
              <w:widowControl/>
              <w:jc w:val="center"/>
              <w:rPr>
                <w:rFonts w:ascii="仿宋" w:hAnsi="仿宋" w:eastAsia="仿宋" w:cs="仿宋"/>
                <w:kern w:val="0"/>
                <w:sz w:val="24"/>
              </w:rPr>
            </w:pPr>
            <w:r>
              <w:rPr>
                <w:rFonts w:hint="eastAsia" w:ascii="仿宋" w:hAnsi="仿宋" w:eastAsia="仿宋" w:cs="仿宋"/>
                <w:kern w:val="0"/>
                <w:sz w:val="24"/>
              </w:rPr>
              <w:t>根</w:t>
            </w:r>
          </w:p>
        </w:tc>
        <w:tc>
          <w:tcPr>
            <w:tcW w:w="710" w:type="pct"/>
            <w:tcBorders>
              <w:top w:val="nil"/>
              <w:left w:val="nil"/>
              <w:bottom w:val="single" w:color="auto" w:sz="4" w:space="0"/>
              <w:right w:val="single" w:color="auto" w:sz="4" w:space="0"/>
            </w:tcBorders>
            <w:shd w:val="clear" w:color="auto" w:fill="auto"/>
            <w:vAlign w:val="center"/>
          </w:tcPr>
          <w:p w14:paraId="327B26C7">
            <w:pPr>
              <w:widowControl/>
              <w:jc w:val="center"/>
              <w:rPr>
                <w:rFonts w:ascii="仿宋" w:hAnsi="仿宋" w:eastAsia="仿宋" w:cs="仿宋"/>
                <w:kern w:val="0"/>
                <w:sz w:val="24"/>
              </w:rPr>
            </w:pPr>
            <w:r>
              <w:rPr>
                <w:rFonts w:hint="eastAsia" w:ascii="仿宋" w:hAnsi="仿宋" w:eastAsia="仿宋" w:cs="仿宋"/>
                <w:kern w:val="0"/>
                <w:sz w:val="24"/>
              </w:rPr>
              <w:t xml:space="preserve">80 </w:t>
            </w:r>
          </w:p>
        </w:tc>
      </w:tr>
      <w:tr w14:paraId="5CCE0145">
        <w:tblPrEx>
          <w:tblCellMar>
            <w:top w:w="0" w:type="dxa"/>
            <w:left w:w="108" w:type="dxa"/>
            <w:bottom w:w="0" w:type="dxa"/>
            <w:right w:w="108" w:type="dxa"/>
          </w:tblCellMar>
        </w:tblPrEx>
        <w:trPr>
          <w:trHeight w:val="540" w:hRule="atLeast"/>
        </w:trPr>
        <w:tc>
          <w:tcPr>
            <w:tcW w:w="842" w:type="pct"/>
            <w:tcBorders>
              <w:top w:val="nil"/>
              <w:left w:val="single" w:color="auto" w:sz="4" w:space="0"/>
              <w:bottom w:val="single" w:color="auto" w:sz="4" w:space="0"/>
              <w:right w:val="single" w:color="auto" w:sz="4" w:space="0"/>
            </w:tcBorders>
            <w:shd w:val="clear" w:color="auto" w:fill="auto"/>
            <w:vAlign w:val="center"/>
          </w:tcPr>
          <w:p w14:paraId="3B96B7E5">
            <w:pPr>
              <w:widowControl/>
              <w:jc w:val="center"/>
              <w:rPr>
                <w:rFonts w:ascii="仿宋" w:hAnsi="仿宋" w:eastAsia="仿宋" w:cs="仿宋"/>
                <w:kern w:val="0"/>
                <w:sz w:val="24"/>
              </w:rPr>
            </w:pPr>
            <w:r>
              <w:rPr>
                <w:rFonts w:hint="eastAsia" w:ascii="仿宋" w:hAnsi="仿宋" w:eastAsia="仿宋" w:cs="仿宋"/>
                <w:kern w:val="0"/>
                <w:sz w:val="24"/>
              </w:rPr>
              <w:t>（4）</w:t>
            </w:r>
          </w:p>
        </w:tc>
        <w:tc>
          <w:tcPr>
            <w:tcW w:w="984" w:type="pct"/>
            <w:tcBorders>
              <w:top w:val="nil"/>
              <w:left w:val="nil"/>
              <w:bottom w:val="single" w:color="auto" w:sz="4" w:space="0"/>
              <w:right w:val="single" w:color="auto" w:sz="4" w:space="0"/>
            </w:tcBorders>
            <w:shd w:val="clear" w:color="auto" w:fill="auto"/>
            <w:vAlign w:val="center"/>
          </w:tcPr>
          <w:p w14:paraId="31C7B22A">
            <w:pPr>
              <w:widowControl/>
              <w:jc w:val="center"/>
              <w:rPr>
                <w:rFonts w:ascii="仿宋" w:hAnsi="仿宋" w:eastAsia="仿宋" w:cs="仿宋"/>
                <w:kern w:val="0"/>
                <w:sz w:val="24"/>
              </w:rPr>
            </w:pPr>
            <w:r>
              <w:rPr>
                <w:rFonts w:hint="eastAsia" w:ascii="仿宋" w:hAnsi="仿宋" w:eastAsia="仿宋" w:cs="仿宋"/>
                <w:kern w:val="0"/>
                <w:sz w:val="24"/>
              </w:rPr>
              <w:t>支撑柱</w:t>
            </w:r>
          </w:p>
        </w:tc>
        <w:tc>
          <w:tcPr>
            <w:tcW w:w="1795" w:type="pct"/>
            <w:tcBorders>
              <w:top w:val="nil"/>
              <w:left w:val="nil"/>
              <w:bottom w:val="single" w:color="auto" w:sz="4" w:space="0"/>
              <w:right w:val="single" w:color="auto" w:sz="4" w:space="0"/>
            </w:tcBorders>
            <w:shd w:val="clear" w:color="auto" w:fill="auto"/>
            <w:vAlign w:val="center"/>
          </w:tcPr>
          <w:p w14:paraId="7EB65F08">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直径50mm的焊管，2.5米长，1根加强柱两侧各1根支撑柱</w:t>
            </w:r>
          </w:p>
        </w:tc>
        <w:tc>
          <w:tcPr>
            <w:tcW w:w="669" w:type="pct"/>
            <w:tcBorders>
              <w:top w:val="nil"/>
              <w:left w:val="nil"/>
              <w:bottom w:val="single" w:color="auto" w:sz="4" w:space="0"/>
              <w:right w:val="single" w:color="auto" w:sz="4" w:space="0"/>
            </w:tcBorders>
            <w:shd w:val="clear" w:color="auto" w:fill="auto"/>
            <w:vAlign w:val="center"/>
          </w:tcPr>
          <w:p w14:paraId="1C70C428">
            <w:pPr>
              <w:widowControl/>
              <w:jc w:val="center"/>
              <w:rPr>
                <w:rFonts w:ascii="仿宋" w:hAnsi="仿宋" w:eastAsia="仿宋" w:cs="仿宋"/>
                <w:kern w:val="0"/>
                <w:sz w:val="24"/>
              </w:rPr>
            </w:pPr>
            <w:r>
              <w:rPr>
                <w:rFonts w:hint="eastAsia" w:ascii="仿宋" w:hAnsi="仿宋" w:eastAsia="仿宋" w:cs="仿宋"/>
                <w:kern w:val="0"/>
                <w:sz w:val="24"/>
              </w:rPr>
              <w:t>根</w:t>
            </w:r>
          </w:p>
        </w:tc>
        <w:tc>
          <w:tcPr>
            <w:tcW w:w="710" w:type="pct"/>
            <w:tcBorders>
              <w:top w:val="nil"/>
              <w:left w:val="nil"/>
              <w:bottom w:val="single" w:color="auto" w:sz="4" w:space="0"/>
              <w:right w:val="single" w:color="auto" w:sz="4" w:space="0"/>
            </w:tcBorders>
            <w:shd w:val="clear" w:color="auto" w:fill="auto"/>
            <w:vAlign w:val="center"/>
          </w:tcPr>
          <w:p w14:paraId="6F7DD17F">
            <w:pPr>
              <w:widowControl/>
              <w:jc w:val="center"/>
              <w:rPr>
                <w:rFonts w:ascii="仿宋" w:hAnsi="仿宋" w:eastAsia="仿宋" w:cs="仿宋"/>
                <w:kern w:val="0"/>
                <w:sz w:val="24"/>
              </w:rPr>
            </w:pPr>
            <w:r>
              <w:rPr>
                <w:rFonts w:hint="eastAsia" w:ascii="仿宋" w:hAnsi="仿宋" w:eastAsia="仿宋" w:cs="仿宋"/>
                <w:kern w:val="0"/>
                <w:sz w:val="24"/>
              </w:rPr>
              <w:t xml:space="preserve">160 </w:t>
            </w:r>
          </w:p>
        </w:tc>
      </w:tr>
      <w:tr w14:paraId="39A73A85">
        <w:tblPrEx>
          <w:tblCellMar>
            <w:top w:w="0" w:type="dxa"/>
            <w:left w:w="108" w:type="dxa"/>
            <w:bottom w:w="0" w:type="dxa"/>
            <w:right w:w="108" w:type="dxa"/>
          </w:tblCellMar>
        </w:tblPrEx>
        <w:trPr>
          <w:trHeight w:val="540" w:hRule="atLeast"/>
        </w:trPr>
        <w:tc>
          <w:tcPr>
            <w:tcW w:w="842" w:type="pct"/>
            <w:tcBorders>
              <w:top w:val="nil"/>
              <w:left w:val="single" w:color="auto" w:sz="4" w:space="0"/>
              <w:bottom w:val="single" w:color="auto" w:sz="4" w:space="0"/>
              <w:right w:val="single" w:color="auto" w:sz="4" w:space="0"/>
            </w:tcBorders>
            <w:shd w:val="clear" w:color="auto" w:fill="auto"/>
            <w:vAlign w:val="center"/>
          </w:tcPr>
          <w:p w14:paraId="16B8F767">
            <w:pPr>
              <w:widowControl/>
              <w:jc w:val="center"/>
              <w:rPr>
                <w:rFonts w:ascii="仿宋" w:hAnsi="仿宋" w:eastAsia="仿宋" w:cs="仿宋"/>
                <w:kern w:val="0"/>
                <w:sz w:val="24"/>
              </w:rPr>
            </w:pPr>
            <w:r>
              <w:rPr>
                <w:rFonts w:hint="eastAsia" w:ascii="仿宋" w:hAnsi="仿宋" w:eastAsia="仿宋" w:cs="仿宋"/>
                <w:kern w:val="0"/>
                <w:sz w:val="24"/>
              </w:rPr>
              <w:t>（5）</w:t>
            </w:r>
          </w:p>
        </w:tc>
        <w:tc>
          <w:tcPr>
            <w:tcW w:w="984" w:type="pct"/>
            <w:tcBorders>
              <w:top w:val="nil"/>
              <w:left w:val="nil"/>
              <w:bottom w:val="single" w:color="auto" w:sz="4" w:space="0"/>
              <w:right w:val="single" w:color="auto" w:sz="4" w:space="0"/>
            </w:tcBorders>
            <w:shd w:val="clear" w:color="auto" w:fill="auto"/>
            <w:vAlign w:val="center"/>
          </w:tcPr>
          <w:p w14:paraId="7636B38D">
            <w:pPr>
              <w:widowControl/>
              <w:jc w:val="center"/>
              <w:rPr>
                <w:rFonts w:ascii="仿宋" w:hAnsi="仿宋" w:eastAsia="仿宋" w:cs="仿宋"/>
                <w:kern w:val="0"/>
                <w:sz w:val="24"/>
              </w:rPr>
            </w:pPr>
            <w:r>
              <w:rPr>
                <w:rFonts w:hint="eastAsia" w:ascii="仿宋" w:hAnsi="仿宋" w:eastAsia="仿宋" w:cs="仿宋"/>
                <w:kern w:val="0"/>
                <w:sz w:val="24"/>
              </w:rPr>
              <w:t>门</w:t>
            </w:r>
          </w:p>
        </w:tc>
        <w:tc>
          <w:tcPr>
            <w:tcW w:w="1795" w:type="pct"/>
            <w:tcBorders>
              <w:top w:val="nil"/>
              <w:left w:val="nil"/>
              <w:bottom w:val="single" w:color="auto" w:sz="4" w:space="0"/>
              <w:right w:val="single" w:color="auto" w:sz="4" w:space="0"/>
            </w:tcBorders>
            <w:shd w:val="clear" w:color="auto" w:fill="auto"/>
            <w:vAlign w:val="center"/>
          </w:tcPr>
          <w:p w14:paraId="753B7F17">
            <w:pPr>
              <w:widowControl/>
              <w:jc w:val="center"/>
              <w:rPr>
                <w:rFonts w:ascii="仿宋" w:hAnsi="仿宋" w:eastAsia="仿宋" w:cs="仿宋"/>
                <w:kern w:val="0"/>
                <w:sz w:val="24"/>
              </w:rPr>
            </w:pPr>
            <w:r>
              <w:rPr>
                <w:rFonts w:hint="eastAsia" w:ascii="仿宋" w:hAnsi="仿宋" w:eastAsia="仿宋" w:cs="仿宋"/>
                <w:kern w:val="0"/>
                <w:sz w:val="24"/>
              </w:rPr>
              <w:t>铁质双扇，单扇高1.2m，宽2.5m，框架采用1英寸钢管焊接，网线采用p5冷拔丝焊接而成，网孔80mm*80mm</w:t>
            </w:r>
          </w:p>
        </w:tc>
        <w:tc>
          <w:tcPr>
            <w:tcW w:w="669" w:type="pct"/>
            <w:tcBorders>
              <w:top w:val="nil"/>
              <w:left w:val="nil"/>
              <w:bottom w:val="single" w:color="auto" w:sz="4" w:space="0"/>
              <w:right w:val="single" w:color="auto" w:sz="4" w:space="0"/>
            </w:tcBorders>
            <w:shd w:val="clear" w:color="auto" w:fill="auto"/>
            <w:vAlign w:val="center"/>
          </w:tcPr>
          <w:p w14:paraId="75695E83">
            <w:pPr>
              <w:widowControl/>
              <w:jc w:val="center"/>
              <w:rPr>
                <w:rFonts w:ascii="仿宋" w:hAnsi="仿宋" w:eastAsia="仿宋" w:cs="仿宋"/>
                <w:kern w:val="0"/>
                <w:sz w:val="24"/>
              </w:rPr>
            </w:pPr>
            <w:r>
              <w:rPr>
                <w:rFonts w:hint="eastAsia" w:ascii="仿宋" w:hAnsi="仿宋" w:eastAsia="仿宋" w:cs="仿宋"/>
                <w:kern w:val="0"/>
                <w:sz w:val="24"/>
              </w:rPr>
              <w:t>扇</w:t>
            </w:r>
          </w:p>
        </w:tc>
        <w:tc>
          <w:tcPr>
            <w:tcW w:w="710" w:type="pct"/>
            <w:tcBorders>
              <w:top w:val="nil"/>
              <w:left w:val="nil"/>
              <w:bottom w:val="single" w:color="auto" w:sz="4" w:space="0"/>
              <w:right w:val="single" w:color="auto" w:sz="4" w:space="0"/>
            </w:tcBorders>
            <w:shd w:val="clear" w:color="auto" w:fill="auto"/>
            <w:vAlign w:val="center"/>
          </w:tcPr>
          <w:p w14:paraId="374189D1">
            <w:pPr>
              <w:widowControl/>
              <w:jc w:val="center"/>
              <w:rPr>
                <w:rFonts w:ascii="仿宋" w:hAnsi="仿宋" w:eastAsia="仿宋" w:cs="仿宋"/>
                <w:kern w:val="0"/>
                <w:sz w:val="24"/>
              </w:rPr>
            </w:pPr>
            <w:r>
              <w:rPr>
                <w:rFonts w:hint="eastAsia" w:ascii="仿宋" w:hAnsi="仿宋" w:eastAsia="仿宋" w:cs="仿宋"/>
                <w:kern w:val="0"/>
                <w:sz w:val="24"/>
              </w:rPr>
              <w:t xml:space="preserve">1 </w:t>
            </w:r>
          </w:p>
        </w:tc>
      </w:tr>
      <w:tr w14:paraId="08ADF986">
        <w:tblPrEx>
          <w:tblCellMar>
            <w:top w:w="0" w:type="dxa"/>
            <w:left w:w="108" w:type="dxa"/>
            <w:bottom w:w="0" w:type="dxa"/>
            <w:right w:w="108" w:type="dxa"/>
          </w:tblCellMar>
        </w:tblPrEx>
        <w:trPr>
          <w:trHeight w:val="540" w:hRule="atLeast"/>
        </w:trPr>
        <w:tc>
          <w:tcPr>
            <w:tcW w:w="842" w:type="pct"/>
            <w:tcBorders>
              <w:top w:val="nil"/>
              <w:left w:val="single" w:color="auto" w:sz="4" w:space="0"/>
              <w:bottom w:val="single" w:color="auto" w:sz="4" w:space="0"/>
              <w:right w:val="single" w:color="auto" w:sz="4" w:space="0"/>
            </w:tcBorders>
            <w:shd w:val="clear" w:color="auto" w:fill="auto"/>
            <w:vAlign w:val="center"/>
          </w:tcPr>
          <w:p w14:paraId="0A9F5906">
            <w:pPr>
              <w:widowControl/>
              <w:jc w:val="center"/>
              <w:rPr>
                <w:rFonts w:ascii="仿宋" w:hAnsi="仿宋" w:eastAsia="仿宋" w:cs="仿宋"/>
                <w:kern w:val="0"/>
                <w:sz w:val="24"/>
              </w:rPr>
            </w:pPr>
            <w:r>
              <w:rPr>
                <w:rFonts w:hint="eastAsia" w:ascii="仿宋" w:hAnsi="仿宋" w:eastAsia="仿宋" w:cs="仿宋"/>
                <w:kern w:val="0"/>
                <w:sz w:val="24"/>
              </w:rPr>
              <w:t>（6）</w:t>
            </w:r>
          </w:p>
        </w:tc>
        <w:tc>
          <w:tcPr>
            <w:tcW w:w="984" w:type="pct"/>
            <w:tcBorders>
              <w:top w:val="nil"/>
              <w:left w:val="nil"/>
              <w:bottom w:val="single" w:color="auto" w:sz="4" w:space="0"/>
              <w:right w:val="single" w:color="auto" w:sz="4" w:space="0"/>
            </w:tcBorders>
            <w:shd w:val="clear" w:color="auto" w:fill="auto"/>
            <w:vAlign w:val="center"/>
          </w:tcPr>
          <w:p w14:paraId="42BD2E7F">
            <w:pPr>
              <w:widowControl/>
              <w:jc w:val="center"/>
              <w:rPr>
                <w:rFonts w:ascii="仿宋" w:hAnsi="仿宋" w:eastAsia="仿宋" w:cs="仿宋"/>
                <w:kern w:val="0"/>
                <w:sz w:val="24"/>
              </w:rPr>
            </w:pPr>
            <w:r>
              <w:rPr>
                <w:rFonts w:hint="eastAsia" w:ascii="仿宋" w:hAnsi="仿宋" w:eastAsia="仿宋" w:cs="仿宋"/>
                <w:kern w:val="0"/>
                <w:sz w:val="24"/>
              </w:rPr>
              <w:t>门柱</w:t>
            </w:r>
          </w:p>
        </w:tc>
        <w:tc>
          <w:tcPr>
            <w:tcW w:w="1795" w:type="pct"/>
            <w:tcBorders>
              <w:top w:val="nil"/>
              <w:left w:val="nil"/>
              <w:bottom w:val="single" w:color="auto" w:sz="4" w:space="0"/>
              <w:right w:val="single" w:color="auto" w:sz="4" w:space="0"/>
            </w:tcBorders>
            <w:shd w:val="clear" w:color="auto" w:fill="auto"/>
            <w:vAlign w:val="center"/>
          </w:tcPr>
          <w:p w14:paraId="31105D4E">
            <w:pPr>
              <w:widowControl/>
              <w:jc w:val="center"/>
              <w:rPr>
                <w:rFonts w:ascii="仿宋" w:hAnsi="仿宋" w:eastAsia="仿宋" w:cs="仿宋"/>
                <w:kern w:val="0"/>
                <w:sz w:val="24"/>
              </w:rPr>
            </w:pPr>
            <w:r>
              <w:rPr>
                <w:rFonts w:hint="eastAsia" w:ascii="仿宋" w:hAnsi="仿宋" w:eastAsia="仿宋" w:cs="仿宋"/>
                <w:kern w:val="0"/>
                <w:sz w:val="24"/>
              </w:rPr>
              <w:t>∠90mm*90mm、厚8mm热轧等边三角铁，长1.5m</w:t>
            </w:r>
          </w:p>
        </w:tc>
        <w:tc>
          <w:tcPr>
            <w:tcW w:w="669" w:type="pct"/>
            <w:tcBorders>
              <w:top w:val="nil"/>
              <w:left w:val="nil"/>
              <w:bottom w:val="single" w:color="auto" w:sz="4" w:space="0"/>
              <w:right w:val="single" w:color="auto" w:sz="4" w:space="0"/>
            </w:tcBorders>
            <w:shd w:val="clear" w:color="auto" w:fill="auto"/>
            <w:vAlign w:val="center"/>
          </w:tcPr>
          <w:p w14:paraId="2DD90C26">
            <w:pPr>
              <w:widowControl/>
              <w:jc w:val="center"/>
              <w:rPr>
                <w:rFonts w:ascii="仿宋" w:hAnsi="仿宋" w:eastAsia="仿宋" w:cs="仿宋"/>
                <w:kern w:val="0"/>
                <w:sz w:val="24"/>
              </w:rPr>
            </w:pPr>
            <w:r>
              <w:rPr>
                <w:rFonts w:hint="eastAsia" w:ascii="仿宋" w:hAnsi="仿宋" w:eastAsia="仿宋" w:cs="仿宋"/>
                <w:kern w:val="0"/>
                <w:sz w:val="24"/>
              </w:rPr>
              <w:t>根</w:t>
            </w:r>
          </w:p>
        </w:tc>
        <w:tc>
          <w:tcPr>
            <w:tcW w:w="710" w:type="pct"/>
            <w:tcBorders>
              <w:top w:val="nil"/>
              <w:left w:val="nil"/>
              <w:bottom w:val="single" w:color="auto" w:sz="4" w:space="0"/>
              <w:right w:val="single" w:color="auto" w:sz="4" w:space="0"/>
            </w:tcBorders>
            <w:shd w:val="clear" w:color="auto" w:fill="auto"/>
            <w:vAlign w:val="center"/>
          </w:tcPr>
          <w:p w14:paraId="397830EE">
            <w:pPr>
              <w:widowControl/>
              <w:jc w:val="center"/>
              <w:rPr>
                <w:rFonts w:ascii="仿宋" w:hAnsi="仿宋" w:eastAsia="仿宋" w:cs="仿宋"/>
                <w:kern w:val="0"/>
                <w:sz w:val="24"/>
              </w:rPr>
            </w:pPr>
            <w:r>
              <w:rPr>
                <w:rFonts w:hint="eastAsia" w:ascii="仿宋" w:hAnsi="仿宋" w:eastAsia="仿宋" w:cs="仿宋"/>
                <w:kern w:val="0"/>
                <w:sz w:val="24"/>
              </w:rPr>
              <w:t xml:space="preserve">2 </w:t>
            </w:r>
          </w:p>
        </w:tc>
      </w:tr>
      <w:tr w14:paraId="6BE45FA3">
        <w:tblPrEx>
          <w:tblCellMar>
            <w:top w:w="0" w:type="dxa"/>
            <w:left w:w="108" w:type="dxa"/>
            <w:bottom w:w="0" w:type="dxa"/>
            <w:right w:w="108" w:type="dxa"/>
          </w:tblCellMar>
        </w:tblPrEx>
        <w:trPr>
          <w:trHeight w:val="540" w:hRule="atLeast"/>
        </w:trPr>
        <w:tc>
          <w:tcPr>
            <w:tcW w:w="842" w:type="pct"/>
            <w:tcBorders>
              <w:top w:val="nil"/>
              <w:left w:val="single" w:color="auto" w:sz="4" w:space="0"/>
              <w:bottom w:val="single" w:color="auto" w:sz="4" w:space="0"/>
              <w:right w:val="single" w:color="auto" w:sz="4" w:space="0"/>
            </w:tcBorders>
            <w:shd w:val="clear" w:color="auto" w:fill="auto"/>
            <w:vAlign w:val="center"/>
          </w:tcPr>
          <w:p w14:paraId="466EDE92">
            <w:pPr>
              <w:widowControl/>
              <w:jc w:val="center"/>
              <w:rPr>
                <w:rFonts w:ascii="仿宋" w:hAnsi="仿宋" w:eastAsia="仿宋" w:cs="仿宋"/>
                <w:kern w:val="0"/>
                <w:sz w:val="24"/>
              </w:rPr>
            </w:pPr>
            <w:r>
              <w:rPr>
                <w:rFonts w:hint="eastAsia" w:ascii="仿宋" w:hAnsi="仿宋" w:eastAsia="仿宋" w:cs="仿宋"/>
                <w:kern w:val="0"/>
                <w:sz w:val="24"/>
              </w:rPr>
              <w:t>（7）</w:t>
            </w:r>
          </w:p>
        </w:tc>
        <w:tc>
          <w:tcPr>
            <w:tcW w:w="984" w:type="pct"/>
            <w:tcBorders>
              <w:top w:val="nil"/>
              <w:left w:val="nil"/>
              <w:bottom w:val="single" w:color="auto" w:sz="4" w:space="0"/>
              <w:right w:val="single" w:color="auto" w:sz="4" w:space="0"/>
            </w:tcBorders>
            <w:shd w:val="clear" w:color="auto" w:fill="auto"/>
            <w:vAlign w:val="center"/>
          </w:tcPr>
          <w:p w14:paraId="226AEBD7">
            <w:pPr>
              <w:widowControl/>
              <w:jc w:val="center"/>
              <w:rPr>
                <w:rFonts w:ascii="仿宋" w:hAnsi="仿宋" w:eastAsia="仿宋" w:cs="仿宋"/>
                <w:kern w:val="0"/>
                <w:sz w:val="24"/>
              </w:rPr>
            </w:pPr>
            <w:r>
              <w:rPr>
                <w:rFonts w:hint="eastAsia" w:ascii="仿宋" w:hAnsi="仿宋" w:eastAsia="仿宋" w:cs="仿宋"/>
                <w:kern w:val="0"/>
                <w:sz w:val="24"/>
              </w:rPr>
              <w:t>标志牌</w:t>
            </w:r>
          </w:p>
        </w:tc>
        <w:tc>
          <w:tcPr>
            <w:tcW w:w="1795" w:type="pct"/>
            <w:tcBorders>
              <w:top w:val="nil"/>
              <w:left w:val="nil"/>
              <w:bottom w:val="single" w:color="auto" w:sz="4" w:space="0"/>
              <w:right w:val="single" w:color="auto" w:sz="4" w:space="0"/>
            </w:tcBorders>
            <w:shd w:val="clear" w:color="auto" w:fill="auto"/>
            <w:vAlign w:val="center"/>
          </w:tcPr>
          <w:p w14:paraId="126D6F76">
            <w:pPr>
              <w:widowControl/>
              <w:jc w:val="center"/>
              <w:rPr>
                <w:rFonts w:ascii="仿宋" w:hAnsi="仿宋" w:eastAsia="仿宋" w:cs="仿宋"/>
                <w:kern w:val="0"/>
                <w:sz w:val="24"/>
              </w:rPr>
            </w:pPr>
            <w:r>
              <w:rPr>
                <w:rFonts w:hint="eastAsia" w:ascii="仿宋" w:hAnsi="仿宋" w:eastAsia="仿宋" w:cs="仿宋"/>
                <w:kern w:val="0"/>
                <w:sz w:val="24"/>
              </w:rPr>
              <w:t>规格3m*2m，3mm厚铁皮</w:t>
            </w:r>
          </w:p>
        </w:tc>
        <w:tc>
          <w:tcPr>
            <w:tcW w:w="669" w:type="pct"/>
            <w:tcBorders>
              <w:top w:val="nil"/>
              <w:left w:val="nil"/>
              <w:bottom w:val="single" w:color="auto" w:sz="4" w:space="0"/>
              <w:right w:val="single" w:color="auto" w:sz="4" w:space="0"/>
            </w:tcBorders>
            <w:shd w:val="clear" w:color="auto" w:fill="auto"/>
            <w:vAlign w:val="center"/>
          </w:tcPr>
          <w:p w14:paraId="78F55DD2">
            <w:pPr>
              <w:widowControl/>
              <w:jc w:val="center"/>
              <w:rPr>
                <w:rFonts w:ascii="仿宋" w:hAnsi="仿宋" w:eastAsia="仿宋" w:cs="仿宋"/>
                <w:kern w:val="0"/>
                <w:sz w:val="24"/>
              </w:rPr>
            </w:pPr>
            <w:r>
              <w:rPr>
                <w:rFonts w:hint="eastAsia" w:ascii="仿宋" w:hAnsi="仿宋" w:eastAsia="仿宋" w:cs="仿宋"/>
                <w:kern w:val="0"/>
                <w:sz w:val="24"/>
              </w:rPr>
              <w:t>个</w:t>
            </w:r>
          </w:p>
        </w:tc>
        <w:tc>
          <w:tcPr>
            <w:tcW w:w="710" w:type="pct"/>
            <w:tcBorders>
              <w:top w:val="nil"/>
              <w:left w:val="nil"/>
              <w:bottom w:val="single" w:color="auto" w:sz="4" w:space="0"/>
              <w:right w:val="single" w:color="auto" w:sz="4" w:space="0"/>
            </w:tcBorders>
            <w:shd w:val="clear" w:color="auto" w:fill="auto"/>
            <w:vAlign w:val="center"/>
          </w:tcPr>
          <w:p w14:paraId="4553155A">
            <w:pPr>
              <w:widowControl/>
              <w:jc w:val="center"/>
              <w:rPr>
                <w:rFonts w:ascii="仿宋" w:hAnsi="仿宋" w:eastAsia="仿宋" w:cs="仿宋"/>
                <w:kern w:val="0"/>
                <w:sz w:val="24"/>
              </w:rPr>
            </w:pPr>
            <w:r>
              <w:rPr>
                <w:rFonts w:hint="eastAsia" w:ascii="仿宋" w:hAnsi="仿宋" w:eastAsia="仿宋" w:cs="仿宋"/>
                <w:kern w:val="0"/>
                <w:sz w:val="24"/>
              </w:rPr>
              <w:t xml:space="preserve">1 </w:t>
            </w:r>
          </w:p>
        </w:tc>
      </w:tr>
      <w:tr w14:paraId="712B2965">
        <w:tblPrEx>
          <w:tblCellMar>
            <w:top w:w="0" w:type="dxa"/>
            <w:left w:w="108" w:type="dxa"/>
            <w:bottom w:w="0" w:type="dxa"/>
            <w:right w:w="108" w:type="dxa"/>
          </w:tblCellMar>
        </w:tblPrEx>
        <w:trPr>
          <w:trHeight w:val="540" w:hRule="atLeast"/>
        </w:trPr>
        <w:tc>
          <w:tcPr>
            <w:tcW w:w="842" w:type="pct"/>
            <w:tcBorders>
              <w:top w:val="nil"/>
              <w:left w:val="single" w:color="auto" w:sz="4" w:space="0"/>
              <w:bottom w:val="single" w:color="auto" w:sz="4" w:space="0"/>
              <w:right w:val="single" w:color="auto" w:sz="4" w:space="0"/>
            </w:tcBorders>
            <w:shd w:val="clear" w:color="auto" w:fill="auto"/>
            <w:vAlign w:val="center"/>
          </w:tcPr>
          <w:p w14:paraId="56EF404A">
            <w:pPr>
              <w:widowControl/>
              <w:jc w:val="center"/>
              <w:rPr>
                <w:rFonts w:ascii="仿宋" w:hAnsi="仿宋" w:eastAsia="仿宋" w:cs="仿宋"/>
                <w:kern w:val="0"/>
                <w:sz w:val="24"/>
              </w:rPr>
            </w:pPr>
            <w:r>
              <w:rPr>
                <w:rFonts w:hint="eastAsia" w:ascii="仿宋" w:hAnsi="仿宋" w:eastAsia="仿宋" w:cs="仿宋"/>
                <w:kern w:val="0"/>
                <w:sz w:val="24"/>
              </w:rPr>
              <w:t>（8）</w:t>
            </w:r>
          </w:p>
        </w:tc>
        <w:tc>
          <w:tcPr>
            <w:tcW w:w="984" w:type="pct"/>
            <w:tcBorders>
              <w:top w:val="nil"/>
              <w:left w:val="nil"/>
              <w:bottom w:val="single" w:color="auto" w:sz="4" w:space="0"/>
              <w:right w:val="single" w:color="auto" w:sz="4" w:space="0"/>
            </w:tcBorders>
            <w:shd w:val="clear" w:color="auto" w:fill="auto"/>
            <w:vAlign w:val="center"/>
          </w:tcPr>
          <w:p w14:paraId="2FDCA8D3">
            <w:pPr>
              <w:widowControl/>
              <w:jc w:val="center"/>
              <w:rPr>
                <w:rFonts w:ascii="仿宋" w:hAnsi="仿宋" w:eastAsia="仿宋" w:cs="仿宋"/>
                <w:kern w:val="0"/>
                <w:sz w:val="24"/>
              </w:rPr>
            </w:pPr>
            <w:r>
              <w:rPr>
                <w:rFonts w:hint="eastAsia" w:ascii="仿宋" w:hAnsi="仿宋" w:eastAsia="仿宋" w:cs="仿宋"/>
                <w:kern w:val="0"/>
                <w:sz w:val="24"/>
              </w:rPr>
              <w:t>绑钩</w:t>
            </w:r>
          </w:p>
        </w:tc>
        <w:tc>
          <w:tcPr>
            <w:tcW w:w="1795" w:type="pct"/>
            <w:tcBorders>
              <w:top w:val="nil"/>
              <w:left w:val="nil"/>
              <w:bottom w:val="single" w:color="auto" w:sz="4" w:space="0"/>
              <w:right w:val="single" w:color="auto" w:sz="4" w:space="0"/>
            </w:tcBorders>
            <w:shd w:val="clear" w:color="auto" w:fill="auto"/>
            <w:vAlign w:val="center"/>
          </w:tcPr>
          <w:p w14:paraId="667B1D73">
            <w:pPr>
              <w:widowControl/>
              <w:jc w:val="center"/>
              <w:rPr>
                <w:rFonts w:ascii="仿宋" w:hAnsi="仿宋" w:eastAsia="仿宋" w:cs="仿宋"/>
                <w:kern w:val="0"/>
                <w:sz w:val="24"/>
              </w:rPr>
            </w:pPr>
            <w:r>
              <w:rPr>
                <w:rFonts w:hint="eastAsia" w:ascii="仿宋" w:hAnsi="仿宋" w:eastAsia="仿宋" w:cs="仿宋"/>
                <w:kern w:val="0"/>
                <w:sz w:val="24"/>
              </w:rPr>
              <w:t>Φ2.5 mm低碳热度锌钢丝</w:t>
            </w:r>
          </w:p>
        </w:tc>
        <w:tc>
          <w:tcPr>
            <w:tcW w:w="669" w:type="pct"/>
            <w:tcBorders>
              <w:top w:val="nil"/>
              <w:left w:val="nil"/>
              <w:bottom w:val="single" w:color="auto" w:sz="4" w:space="0"/>
              <w:right w:val="single" w:color="auto" w:sz="4" w:space="0"/>
            </w:tcBorders>
            <w:shd w:val="clear" w:color="auto" w:fill="auto"/>
            <w:vAlign w:val="center"/>
          </w:tcPr>
          <w:p w14:paraId="018FC86A">
            <w:pPr>
              <w:widowControl/>
              <w:jc w:val="center"/>
              <w:rPr>
                <w:rFonts w:ascii="仿宋" w:hAnsi="仿宋" w:eastAsia="仿宋" w:cs="仿宋"/>
                <w:kern w:val="0"/>
                <w:sz w:val="24"/>
              </w:rPr>
            </w:pPr>
            <w:r>
              <w:rPr>
                <w:rFonts w:hint="eastAsia" w:ascii="仿宋" w:hAnsi="仿宋" w:eastAsia="仿宋" w:cs="仿宋"/>
                <w:kern w:val="0"/>
                <w:sz w:val="24"/>
              </w:rPr>
              <w:t>个</w:t>
            </w:r>
          </w:p>
        </w:tc>
        <w:tc>
          <w:tcPr>
            <w:tcW w:w="710" w:type="pct"/>
            <w:tcBorders>
              <w:top w:val="nil"/>
              <w:left w:val="nil"/>
              <w:bottom w:val="single" w:color="auto" w:sz="4" w:space="0"/>
              <w:right w:val="single" w:color="auto" w:sz="4" w:space="0"/>
            </w:tcBorders>
            <w:shd w:val="clear" w:color="auto" w:fill="auto"/>
            <w:vAlign w:val="center"/>
          </w:tcPr>
          <w:p w14:paraId="711E2218">
            <w:pPr>
              <w:widowControl/>
              <w:jc w:val="center"/>
              <w:rPr>
                <w:rFonts w:ascii="仿宋" w:hAnsi="仿宋" w:eastAsia="仿宋" w:cs="仿宋"/>
                <w:kern w:val="0"/>
                <w:sz w:val="24"/>
              </w:rPr>
            </w:pPr>
            <w:r>
              <w:rPr>
                <w:rFonts w:hint="eastAsia" w:ascii="仿宋" w:hAnsi="仿宋" w:eastAsia="仿宋" w:cs="仿宋"/>
                <w:kern w:val="0"/>
                <w:sz w:val="24"/>
              </w:rPr>
              <w:t xml:space="preserve">4968 </w:t>
            </w:r>
          </w:p>
        </w:tc>
      </w:tr>
      <w:tr w14:paraId="217BFD46">
        <w:tblPrEx>
          <w:tblCellMar>
            <w:top w:w="0" w:type="dxa"/>
            <w:left w:w="108" w:type="dxa"/>
            <w:bottom w:w="0" w:type="dxa"/>
            <w:right w:w="108" w:type="dxa"/>
          </w:tblCellMar>
        </w:tblPrEx>
        <w:trPr>
          <w:trHeight w:val="540" w:hRule="atLeast"/>
        </w:trPr>
        <w:tc>
          <w:tcPr>
            <w:tcW w:w="842" w:type="pct"/>
            <w:tcBorders>
              <w:top w:val="nil"/>
              <w:left w:val="single" w:color="auto" w:sz="4" w:space="0"/>
              <w:bottom w:val="single" w:color="auto" w:sz="4" w:space="0"/>
              <w:right w:val="single" w:color="auto" w:sz="4" w:space="0"/>
            </w:tcBorders>
            <w:shd w:val="clear" w:color="auto" w:fill="auto"/>
            <w:vAlign w:val="center"/>
          </w:tcPr>
          <w:p w14:paraId="7F7275B4">
            <w:pPr>
              <w:widowControl/>
              <w:jc w:val="center"/>
              <w:rPr>
                <w:rFonts w:ascii="仿宋" w:hAnsi="仿宋" w:eastAsia="仿宋" w:cs="仿宋"/>
                <w:kern w:val="0"/>
                <w:sz w:val="24"/>
              </w:rPr>
            </w:pPr>
            <w:r>
              <w:rPr>
                <w:rFonts w:hint="eastAsia" w:ascii="仿宋" w:hAnsi="仿宋" w:eastAsia="仿宋" w:cs="仿宋"/>
                <w:kern w:val="0"/>
                <w:sz w:val="24"/>
              </w:rPr>
              <w:t>（9）</w:t>
            </w:r>
          </w:p>
        </w:tc>
        <w:tc>
          <w:tcPr>
            <w:tcW w:w="984" w:type="pct"/>
            <w:tcBorders>
              <w:top w:val="nil"/>
              <w:left w:val="nil"/>
              <w:bottom w:val="single" w:color="auto" w:sz="4" w:space="0"/>
              <w:right w:val="single" w:color="auto" w:sz="4" w:space="0"/>
            </w:tcBorders>
            <w:shd w:val="clear" w:color="auto" w:fill="auto"/>
            <w:vAlign w:val="center"/>
          </w:tcPr>
          <w:p w14:paraId="7FC1FA65">
            <w:pPr>
              <w:widowControl/>
              <w:jc w:val="center"/>
              <w:rPr>
                <w:rFonts w:ascii="仿宋" w:hAnsi="仿宋" w:eastAsia="仿宋" w:cs="仿宋"/>
                <w:kern w:val="0"/>
                <w:sz w:val="24"/>
              </w:rPr>
            </w:pPr>
            <w:r>
              <w:rPr>
                <w:rFonts w:hint="eastAsia" w:ascii="仿宋" w:hAnsi="仿宋" w:eastAsia="仿宋" w:cs="仿宋"/>
                <w:kern w:val="0"/>
                <w:sz w:val="24"/>
              </w:rPr>
              <w:t>地锚</w:t>
            </w:r>
          </w:p>
        </w:tc>
        <w:tc>
          <w:tcPr>
            <w:tcW w:w="1795" w:type="pct"/>
            <w:tcBorders>
              <w:top w:val="nil"/>
              <w:left w:val="nil"/>
              <w:bottom w:val="single" w:color="auto" w:sz="4" w:space="0"/>
              <w:right w:val="single" w:color="auto" w:sz="4" w:space="0"/>
            </w:tcBorders>
            <w:shd w:val="clear" w:color="auto" w:fill="auto"/>
            <w:vAlign w:val="center"/>
          </w:tcPr>
          <w:p w14:paraId="016A146A">
            <w:pPr>
              <w:widowControl/>
              <w:jc w:val="center"/>
              <w:rPr>
                <w:rFonts w:ascii="仿宋" w:hAnsi="仿宋" w:eastAsia="仿宋" w:cs="仿宋"/>
                <w:kern w:val="0"/>
                <w:sz w:val="24"/>
              </w:rPr>
            </w:pPr>
            <w:r>
              <w:rPr>
                <w:rFonts w:hint="eastAsia" w:ascii="仿宋" w:hAnsi="仿宋" w:eastAsia="仿宋" w:cs="仿宋"/>
                <w:kern w:val="0"/>
                <w:sz w:val="24"/>
              </w:rPr>
              <w:t>角钢∠40mm*4mm，长0.7m</w:t>
            </w:r>
          </w:p>
        </w:tc>
        <w:tc>
          <w:tcPr>
            <w:tcW w:w="669" w:type="pct"/>
            <w:tcBorders>
              <w:top w:val="nil"/>
              <w:left w:val="nil"/>
              <w:bottom w:val="single" w:color="auto" w:sz="4" w:space="0"/>
              <w:right w:val="single" w:color="auto" w:sz="4" w:space="0"/>
            </w:tcBorders>
            <w:shd w:val="clear" w:color="auto" w:fill="auto"/>
            <w:vAlign w:val="center"/>
          </w:tcPr>
          <w:p w14:paraId="6A6CA4DD">
            <w:pPr>
              <w:widowControl/>
              <w:jc w:val="center"/>
              <w:rPr>
                <w:rFonts w:ascii="仿宋" w:hAnsi="仿宋" w:eastAsia="仿宋" w:cs="仿宋"/>
                <w:kern w:val="0"/>
                <w:sz w:val="24"/>
              </w:rPr>
            </w:pPr>
            <w:r>
              <w:rPr>
                <w:rFonts w:hint="eastAsia" w:ascii="仿宋" w:hAnsi="仿宋" w:eastAsia="仿宋" w:cs="仿宋"/>
                <w:kern w:val="0"/>
                <w:sz w:val="24"/>
              </w:rPr>
              <w:t>根</w:t>
            </w:r>
          </w:p>
        </w:tc>
        <w:tc>
          <w:tcPr>
            <w:tcW w:w="710" w:type="pct"/>
            <w:tcBorders>
              <w:top w:val="nil"/>
              <w:left w:val="nil"/>
              <w:bottom w:val="single" w:color="auto" w:sz="4" w:space="0"/>
              <w:right w:val="single" w:color="auto" w:sz="4" w:space="0"/>
            </w:tcBorders>
            <w:shd w:val="clear" w:color="auto" w:fill="auto"/>
            <w:vAlign w:val="center"/>
          </w:tcPr>
          <w:p w14:paraId="16348D44">
            <w:pPr>
              <w:widowControl/>
              <w:jc w:val="center"/>
              <w:rPr>
                <w:rFonts w:ascii="仿宋" w:hAnsi="仿宋" w:eastAsia="仿宋" w:cs="仿宋"/>
                <w:kern w:val="0"/>
                <w:sz w:val="24"/>
              </w:rPr>
            </w:pPr>
            <w:r>
              <w:rPr>
                <w:rFonts w:hint="eastAsia" w:ascii="仿宋" w:hAnsi="仿宋" w:eastAsia="仿宋" w:cs="仿宋"/>
                <w:kern w:val="0"/>
                <w:sz w:val="24"/>
              </w:rPr>
              <w:t xml:space="preserve">240 </w:t>
            </w:r>
          </w:p>
        </w:tc>
      </w:tr>
      <w:tr w14:paraId="61452FEA">
        <w:tblPrEx>
          <w:tblCellMar>
            <w:top w:w="0" w:type="dxa"/>
            <w:left w:w="108" w:type="dxa"/>
            <w:bottom w:w="0" w:type="dxa"/>
            <w:right w:w="108" w:type="dxa"/>
          </w:tblCellMar>
        </w:tblPrEx>
        <w:trPr>
          <w:trHeight w:val="540" w:hRule="atLeast"/>
        </w:trPr>
        <w:tc>
          <w:tcPr>
            <w:tcW w:w="842" w:type="pct"/>
            <w:tcBorders>
              <w:top w:val="nil"/>
              <w:left w:val="single" w:color="auto" w:sz="4" w:space="0"/>
              <w:bottom w:val="single" w:color="auto" w:sz="4" w:space="0"/>
              <w:right w:val="single" w:color="auto" w:sz="4" w:space="0"/>
            </w:tcBorders>
            <w:shd w:val="clear" w:color="auto" w:fill="auto"/>
            <w:vAlign w:val="center"/>
          </w:tcPr>
          <w:p w14:paraId="49C66699">
            <w:pPr>
              <w:widowControl/>
              <w:jc w:val="center"/>
              <w:rPr>
                <w:rFonts w:ascii="仿宋" w:hAnsi="仿宋" w:eastAsia="仿宋" w:cs="仿宋"/>
                <w:kern w:val="0"/>
                <w:sz w:val="24"/>
              </w:rPr>
            </w:pPr>
            <w:r>
              <w:rPr>
                <w:rFonts w:hint="eastAsia" w:ascii="仿宋" w:hAnsi="仿宋" w:eastAsia="仿宋" w:cs="仿宋"/>
                <w:kern w:val="0"/>
                <w:sz w:val="24"/>
              </w:rPr>
              <w:t>（10）</w:t>
            </w:r>
          </w:p>
        </w:tc>
        <w:tc>
          <w:tcPr>
            <w:tcW w:w="984" w:type="pct"/>
            <w:tcBorders>
              <w:top w:val="nil"/>
              <w:left w:val="nil"/>
              <w:bottom w:val="single" w:color="auto" w:sz="4" w:space="0"/>
              <w:right w:val="single" w:color="auto" w:sz="4" w:space="0"/>
            </w:tcBorders>
            <w:shd w:val="clear" w:color="auto" w:fill="auto"/>
            <w:vAlign w:val="center"/>
          </w:tcPr>
          <w:p w14:paraId="180D5B6A">
            <w:pPr>
              <w:widowControl/>
              <w:jc w:val="center"/>
              <w:rPr>
                <w:rFonts w:ascii="仿宋" w:hAnsi="仿宋" w:eastAsia="仿宋" w:cs="仿宋"/>
                <w:kern w:val="0"/>
                <w:sz w:val="24"/>
              </w:rPr>
            </w:pPr>
            <w:r>
              <w:rPr>
                <w:rFonts w:hint="eastAsia" w:ascii="仿宋" w:hAnsi="仿宋" w:eastAsia="仿宋" w:cs="仿宋"/>
                <w:kern w:val="0"/>
                <w:sz w:val="24"/>
              </w:rPr>
              <w:t>螺栓</w:t>
            </w:r>
          </w:p>
        </w:tc>
        <w:tc>
          <w:tcPr>
            <w:tcW w:w="1795" w:type="pct"/>
            <w:tcBorders>
              <w:top w:val="nil"/>
              <w:left w:val="nil"/>
              <w:bottom w:val="single" w:color="auto" w:sz="4" w:space="0"/>
              <w:right w:val="single" w:color="auto" w:sz="4" w:space="0"/>
            </w:tcBorders>
            <w:shd w:val="clear" w:color="auto" w:fill="auto"/>
            <w:vAlign w:val="center"/>
          </w:tcPr>
          <w:p w14:paraId="2F2424D4">
            <w:pPr>
              <w:widowControl/>
              <w:jc w:val="center"/>
              <w:rPr>
                <w:rFonts w:ascii="仿宋" w:hAnsi="仿宋" w:eastAsia="仿宋" w:cs="仿宋"/>
                <w:kern w:val="0"/>
                <w:sz w:val="24"/>
              </w:rPr>
            </w:pPr>
            <w:r>
              <w:rPr>
                <w:rFonts w:hint="eastAsia" w:ascii="仿宋" w:hAnsi="仿宋" w:eastAsia="仿宋" w:cs="仿宋"/>
                <w:kern w:val="0"/>
                <w:sz w:val="24"/>
              </w:rPr>
              <w:t>M16×30</w:t>
            </w:r>
          </w:p>
        </w:tc>
        <w:tc>
          <w:tcPr>
            <w:tcW w:w="669" w:type="pct"/>
            <w:tcBorders>
              <w:top w:val="nil"/>
              <w:left w:val="nil"/>
              <w:bottom w:val="single" w:color="auto" w:sz="4" w:space="0"/>
              <w:right w:val="single" w:color="auto" w:sz="4" w:space="0"/>
            </w:tcBorders>
            <w:shd w:val="clear" w:color="auto" w:fill="auto"/>
            <w:vAlign w:val="center"/>
          </w:tcPr>
          <w:p w14:paraId="4155C228">
            <w:pPr>
              <w:widowControl/>
              <w:jc w:val="center"/>
              <w:rPr>
                <w:rFonts w:ascii="仿宋" w:hAnsi="仿宋" w:eastAsia="仿宋" w:cs="仿宋"/>
                <w:kern w:val="0"/>
                <w:sz w:val="24"/>
              </w:rPr>
            </w:pPr>
            <w:r>
              <w:rPr>
                <w:rFonts w:hint="eastAsia" w:ascii="仿宋" w:hAnsi="仿宋" w:eastAsia="仿宋" w:cs="仿宋"/>
                <w:kern w:val="0"/>
                <w:sz w:val="24"/>
              </w:rPr>
              <w:t>套</w:t>
            </w:r>
          </w:p>
        </w:tc>
        <w:tc>
          <w:tcPr>
            <w:tcW w:w="710" w:type="pct"/>
            <w:tcBorders>
              <w:top w:val="nil"/>
              <w:left w:val="nil"/>
              <w:bottom w:val="single" w:color="auto" w:sz="4" w:space="0"/>
              <w:right w:val="single" w:color="auto" w:sz="4" w:space="0"/>
            </w:tcBorders>
            <w:shd w:val="clear" w:color="auto" w:fill="auto"/>
            <w:vAlign w:val="center"/>
          </w:tcPr>
          <w:p w14:paraId="30AE2E04">
            <w:pPr>
              <w:widowControl/>
              <w:jc w:val="center"/>
              <w:rPr>
                <w:rFonts w:ascii="仿宋" w:hAnsi="仿宋" w:eastAsia="仿宋" w:cs="仿宋"/>
                <w:kern w:val="0"/>
                <w:sz w:val="24"/>
              </w:rPr>
            </w:pPr>
            <w:r>
              <w:rPr>
                <w:rFonts w:hint="eastAsia" w:ascii="仿宋" w:hAnsi="仿宋" w:eastAsia="仿宋" w:cs="仿宋"/>
                <w:kern w:val="0"/>
                <w:sz w:val="24"/>
              </w:rPr>
              <w:t xml:space="preserve">240 </w:t>
            </w:r>
          </w:p>
        </w:tc>
      </w:tr>
      <w:tr w14:paraId="0AD435C1">
        <w:tblPrEx>
          <w:tblCellMar>
            <w:top w:w="0" w:type="dxa"/>
            <w:left w:w="108" w:type="dxa"/>
            <w:bottom w:w="0" w:type="dxa"/>
            <w:right w:w="108" w:type="dxa"/>
          </w:tblCellMar>
        </w:tblPrEx>
        <w:trPr>
          <w:trHeight w:val="540" w:hRule="atLeast"/>
        </w:trPr>
        <w:tc>
          <w:tcPr>
            <w:tcW w:w="842" w:type="pct"/>
            <w:tcBorders>
              <w:top w:val="nil"/>
              <w:left w:val="single" w:color="auto" w:sz="4" w:space="0"/>
              <w:bottom w:val="single" w:color="auto" w:sz="4" w:space="0"/>
              <w:right w:val="single" w:color="auto" w:sz="4" w:space="0"/>
            </w:tcBorders>
            <w:shd w:val="clear" w:color="auto" w:fill="auto"/>
            <w:vAlign w:val="center"/>
          </w:tcPr>
          <w:p w14:paraId="42B5A0F1">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4</w:t>
            </w:r>
          </w:p>
        </w:tc>
        <w:tc>
          <w:tcPr>
            <w:tcW w:w="984" w:type="pct"/>
            <w:tcBorders>
              <w:top w:val="nil"/>
              <w:left w:val="nil"/>
              <w:bottom w:val="single" w:color="auto" w:sz="4" w:space="0"/>
              <w:right w:val="single" w:color="auto" w:sz="4" w:space="0"/>
            </w:tcBorders>
            <w:shd w:val="clear" w:color="auto" w:fill="auto"/>
            <w:vAlign w:val="center"/>
          </w:tcPr>
          <w:p w14:paraId="611639F7">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管护抚育</w:t>
            </w:r>
          </w:p>
        </w:tc>
        <w:tc>
          <w:tcPr>
            <w:tcW w:w="1795" w:type="pct"/>
            <w:tcBorders>
              <w:top w:val="nil"/>
              <w:left w:val="nil"/>
              <w:bottom w:val="single" w:color="auto" w:sz="4" w:space="0"/>
              <w:right w:val="single" w:color="auto" w:sz="4" w:space="0"/>
            </w:tcBorders>
            <w:shd w:val="clear" w:color="auto" w:fill="auto"/>
            <w:vAlign w:val="center"/>
          </w:tcPr>
          <w:p w14:paraId="4984DAE4">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4689.6亩进行管护、苗木栽植、施肥、除草、浇水等</w:t>
            </w:r>
          </w:p>
        </w:tc>
        <w:tc>
          <w:tcPr>
            <w:tcW w:w="669" w:type="pct"/>
            <w:tcBorders>
              <w:top w:val="nil"/>
              <w:left w:val="nil"/>
              <w:bottom w:val="single" w:color="auto" w:sz="4" w:space="0"/>
              <w:right w:val="single" w:color="auto" w:sz="4" w:space="0"/>
            </w:tcBorders>
            <w:shd w:val="clear" w:color="auto" w:fill="auto"/>
            <w:vAlign w:val="center"/>
          </w:tcPr>
          <w:p w14:paraId="4D3A1045">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亩</w:t>
            </w:r>
          </w:p>
        </w:tc>
        <w:tc>
          <w:tcPr>
            <w:tcW w:w="710" w:type="pct"/>
            <w:tcBorders>
              <w:top w:val="nil"/>
              <w:left w:val="nil"/>
              <w:bottom w:val="single" w:color="auto" w:sz="4" w:space="0"/>
              <w:right w:val="single" w:color="auto" w:sz="4" w:space="0"/>
            </w:tcBorders>
            <w:shd w:val="clear" w:color="auto" w:fill="auto"/>
            <w:vAlign w:val="center"/>
          </w:tcPr>
          <w:p w14:paraId="6731241B">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 xml:space="preserve">4689.67 </w:t>
            </w:r>
          </w:p>
        </w:tc>
      </w:tr>
      <w:bookmarkEnd w:id="868"/>
      <w:bookmarkEnd w:id="869"/>
      <w:bookmarkEnd w:id="870"/>
      <w:bookmarkEnd w:id="871"/>
      <w:bookmarkEnd w:id="872"/>
      <w:bookmarkEnd w:id="873"/>
    </w:tbl>
    <w:p w14:paraId="434620C1">
      <w:pPr>
        <w:numPr>
          <w:ilvl w:val="0"/>
          <w:numId w:val="8"/>
        </w:numPr>
        <w:spacing w:line="520" w:lineRule="exact"/>
        <w:ind w:firstLine="482" w:firstLineChars="200"/>
        <w:jc w:val="left"/>
        <w:rPr>
          <w:rFonts w:ascii="仿宋" w:hAnsi="仿宋" w:eastAsia="仿宋" w:cs="仿宋"/>
          <w:b/>
          <w:kern w:val="0"/>
          <w:sz w:val="24"/>
        </w:rPr>
      </w:pPr>
      <w:bookmarkStart w:id="876" w:name="_Toc6769"/>
      <w:bookmarkStart w:id="877" w:name="_Toc20288"/>
      <w:r>
        <w:rPr>
          <w:rFonts w:hint="eastAsia" w:ascii="仿宋" w:hAnsi="仿宋" w:eastAsia="仿宋" w:cs="仿宋"/>
          <w:b/>
          <w:kern w:val="0"/>
          <w:sz w:val="24"/>
        </w:rPr>
        <w:t>项目要求：</w:t>
      </w:r>
    </w:p>
    <w:p w14:paraId="2B1C345C">
      <w:pPr>
        <w:spacing w:line="520" w:lineRule="exact"/>
        <w:ind w:firstLine="480" w:firstLineChars="200"/>
        <w:jc w:val="left"/>
        <w:rPr>
          <w:rFonts w:ascii="仿宋" w:hAnsi="仿宋" w:eastAsia="仿宋" w:cs="仿宋"/>
          <w:kern w:val="0"/>
          <w:sz w:val="24"/>
        </w:rPr>
      </w:pPr>
      <w:r>
        <w:rPr>
          <w:rFonts w:hint="eastAsia" w:ascii="仿宋" w:hAnsi="仿宋" w:eastAsia="仿宋" w:cs="仿宋"/>
          <w:kern w:val="0"/>
          <w:sz w:val="24"/>
        </w:rPr>
        <w:t>1、交货地点：采购人指定地点</w:t>
      </w:r>
    </w:p>
    <w:p w14:paraId="7DBE37F4">
      <w:pPr>
        <w:spacing w:line="520" w:lineRule="exact"/>
        <w:ind w:firstLine="480" w:firstLineChars="200"/>
        <w:jc w:val="left"/>
        <w:rPr>
          <w:rFonts w:ascii="仿宋" w:hAnsi="仿宋" w:eastAsia="仿宋" w:cs="仿宋"/>
          <w:kern w:val="0"/>
          <w:sz w:val="24"/>
        </w:rPr>
      </w:pPr>
      <w:r>
        <w:rPr>
          <w:rFonts w:hint="eastAsia" w:ascii="仿宋" w:hAnsi="仿宋" w:eastAsia="仿宋" w:cs="仿宋"/>
          <w:kern w:val="0"/>
          <w:sz w:val="24"/>
        </w:rPr>
        <w:t>2、交付期：30日（具体以实际签订为准）。</w:t>
      </w:r>
    </w:p>
    <w:p w14:paraId="314B2063">
      <w:pPr>
        <w:spacing w:line="520" w:lineRule="exact"/>
        <w:ind w:firstLine="480" w:firstLineChars="200"/>
        <w:jc w:val="left"/>
        <w:rPr>
          <w:rFonts w:ascii="仿宋" w:hAnsi="仿宋" w:eastAsia="仿宋" w:cs="仿宋"/>
          <w:kern w:val="0"/>
          <w:sz w:val="24"/>
        </w:rPr>
      </w:pPr>
      <w:r>
        <w:rPr>
          <w:rFonts w:hint="eastAsia" w:ascii="仿宋" w:hAnsi="仿宋" w:eastAsia="仿宋" w:cs="仿宋"/>
          <w:kern w:val="0"/>
          <w:sz w:val="24"/>
        </w:rPr>
        <w:t>3、付款方式：履约保证金缴纳、合同签订后支付合同总价30%预付款，项目实施完成后支付合同总价50%，剩余20%项目验收完成后支付。（具体以实际签订为准）。</w:t>
      </w:r>
    </w:p>
    <w:p w14:paraId="25417E59">
      <w:pPr>
        <w:spacing w:line="520" w:lineRule="exact"/>
        <w:ind w:firstLine="480" w:firstLineChars="200"/>
        <w:jc w:val="left"/>
        <w:rPr>
          <w:rFonts w:ascii="仿宋" w:hAnsi="仿宋" w:eastAsia="仿宋" w:cs="仿宋"/>
          <w:kern w:val="0"/>
          <w:sz w:val="24"/>
        </w:rPr>
      </w:pPr>
      <w:r>
        <w:rPr>
          <w:rFonts w:hint="eastAsia" w:ascii="仿宋" w:hAnsi="仿宋" w:eastAsia="仿宋" w:cs="仿宋"/>
          <w:kern w:val="0"/>
          <w:sz w:val="24"/>
        </w:rPr>
        <w:t>4、质保期：1年（具体以实际签订为准）</w:t>
      </w:r>
    </w:p>
    <w:p w14:paraId="7CD55D91">
      <w:pPr>
        <w:spacing w:line="520" w:lineRule="exact"/>
        <w:ind w:firstLine="482" w:firstLineChars="200"/>
        <w:rPr>
          <w:rFonts w:ascii="仿宋" w:hAnsi="仿宋" w:eastAsia="仿宋" w:cs="仿宋"/>
          <w:b/>
          <w:kern w:val="0"/>
          <w:sz w:val="24"/>
        </w:rPr>
      </w:pPr>
      <w:r>
        <w:rPr>
          <w:rFonts w:hint="eastAsia" w:ascii="仿宋" w:hAnsi="仿宋" w:eastAsia="仿宋" w:cs="仿宋"/>
          <w:b/>
          <w:kern w:val="0"/>
          <w:sz w:val="24"/>
        </w:rPr>
        <w:t>二、其他要求：</w:t>
      </w:r>
    </w:p>
    <w:p w14:paraId="6B2F765F">
      <w:pPr>
        <w:spacing w:line="520" w:lineRule="exact"/>
        <w:ind w:firstLine="480" w:firstLineChars="200"/>
        <w:jc w:val="left"/>
        <w:rPr>
          <w:rFonts w:ascii="仿宋" w:hAnsi="仿宋" w:eastAsia="仿宋" w:cs="仿宋"/>
          <w:kern w:val="0"/>
          <w:sz w:val="24"/>
        </w:rPr>
      </w:pPr>
      <w:r>
        <w:rPr>
          <w:rFonts w:hint="eastAsia" w:ascii="仿宋" w:hAnsi="仿宋" w:eastAsia="仿宋" w:cs="仿宋"/>
          <w:kern w:val="0"/>
          <w:sz w:val="24"/>
        </w:rPr>
        <w:t>1、所提供的产品和材料必须符合国家相关标准；</w:t>
      </w:r>
    </w:p>
    <w:p w14:paraId="15473BCC">
      <w:pPr>
        <w:spacing w:line="520" w:lineRule="exact"/>
        <w:ind w:firstLine="480" w:firstLineChars="200"/>
        <w:rPr>
          <w:rFonts w:ascii="仿宋" w:hAnsi="仿宋" w:eastAsia="仿宋" w:cs="仿宋"/>
          <w:kern w:val="0"/>
          <w:sz w:val="24"/>
        </w:rPr>
      </w:pPr>
      <w:r>
        <w:rPr>
          <w:rFonts w:hint="eastAsia" w:ascii="仿宋" w:hAnsi="仿宋" w:eastAsia="仿宋" w:cs="仿宋"/>
          <w:kern w:val="0"/>
          <w:sz w:val="24"/>
        </w:rPr>
        <w:t>2、对提供虚假材料谋取中标的，评标时发现投标参数与实际参数不符时视为无效标书；对通过虚假材料中标者，货到验收技术参数与招标文件不符时，中标无效，采购人可以拒收货，拒付款，并且投标人必须承担相应的法律责任。</w:t>
      </w:r>
    </w:p>
    <w:p w14:paraId="2BA95285">
      <w:pPr>
        <w:spacing w:line="520" w:lineRule="exact"/>
        <w:ind w:firstLine="480" w:firstLineChars="200"/>
        <w:rPr>
          <w:rFonts w:ascii="仿宋" w:hAnsi="仿宋" w:eastAsia="仿宋" w:cs="仿宋"/>
          <w:kern w:val="0"/>
          <w:sz w:val="24"/>
        </w:rPr>
      </w:pPr>
      <w:r>
        <w:rPr>
          <w:rFonts w:hint="eastAsia" w:ascii="仿宋" w:hAnsi="仿宋" w:eastAsia="仿宋" w:cs="仿宋"/>
          <w:kern w:val="0"/>
          <w:sz w:val="24"/>
        </w:rPr>
        <w:t>3、项目特殊要求(授权情况)：提供的货物必须正规厂家生产，符合国家相关行业标准，使用说明书（若有）需中标单位实施完成后提供给采购人。</w:t>
      </w:r>
    </w:p>
    <w:p w14:paraId="4493AE5A">
      <w:pPr>
        <w:spacing w:line="520" w:lineRule="exact"/>
        <w:ind w:firstLine="480" w:firstLineChars="200"/>
        <w:rPr>
          <w:rFonts w:ascii="仿宋" w:hAnsi="仿宋" w:eastAsia="仿宋" w:cs="仿宋"/>
          <w:kern w:val="0"/>
          <w:sz w:val="24"/>
        </w:rPr>
      </w:pPr>
      <w:r>
        <w:rPr>
          <w:rFonts w:hint="eastAsia" w:ascii="仿宋" w:hAnsi="仿宋" w:eastAsia="仿宋" w:cs="仿宋"/>
          <w:kern w:val="0"/>
          <w:sz w:val="24"/>
        </w:rPr>
        <w:t>4、此项目要求施工前中标人必须进行实地勘察，经与采购人沟通审核通过后方可进行施工。中标人在施工过程中造成人员伤亡、财产损失及矛盾纠纷等情况，一切责任及费用由均中标人承担。</w:t>
      </w:r>
    </w:p>
    <w:p w14:paraId="5CF87C6F">
      <w:pPr>
        <w:spacing w:line="520" w:lineRule="exact"/>
        <w:ind w:firstLine="480" w:firstLineChars="200"/>
        <w:rPr>
          <w:rFonts w:ascii="仿宋" w:hAnsi="仿宋" w:eastAsia="仿宋" w:cs="仿宋"/>
          <w:kern w:val="0"/>
          <w:sz w:val="24"/>
        </w:rPr>
      </w:pPr>
      <w:r>
        <w:rPr>
          <w:rFonts w:hint="eastAsia" w:ascii="仿宋" w:hAnsi="仿宋" w:eastAsia="仿宋" w:cs="仿宋"/>
          <w:kern w:val="0"/>
          <w:sz w:val="24"/>
        </w:rPr>
        <w:t>5、整体美观：所投产品安装需要根据采购人提供的设计图纸进行施工，项目完工后需采购人验收，因验收不合格需返工，返工费用由中标人承担。项目完工后中标人需将实施该项目所产生的包装、废料、建筑垃圾等运输至采购人指定位置。上述施工（含材料、人工）费用全部由中标人承担。</w:t>
      </w:r>
    </w:p>
    <w:p w14:paraId="7ECE80F8">
      <w:pPr>
        <w:spacing w:line="520" w:lineRule="exact"/>
        <w:ind w:firstLine="480" w:firstLineChars="200"/>
        <w:rPr>
          <w:rFonts w:ascii="仿宋" w:hAnsi="仿宋" w:eastAsia="仿宋" w:cs="仿宋"/>
          <w:kern w:val="0"/>
          <w:sz w:val="24"/>
          <w:highlight w:val="yellow"/>
        </w:rPr>
      </w:pPr>
      <w:r>
        <w:rPr>
          <w:rFonts w:hint="eastAsia" w:ascii="仿宋" w:hAnsi="仿宋" w:eastAsia="仿宋" w:cs="仿宋"/>
          <w:kern w:val="0"/>
          <w:sz w:val="24"/>
        </w:rPr>
        <w:t>6.验收标准和方法：塔什库尔干塔吉克自治县自然资源局协调相关人员组成验收小组，对投标人所供的货物按照合同标准进行质量验收，如验收为不合格，应由投标人在10天内完成整改，两次验收不合格，将解除合同。</w:t>
      </w:r>
    </w:p>
    <w:p w14:paraId="0A333C61">
      <w:pPr>
        <w:widowControl/>
        <w:jc w:val="left"/>
        <w:rPr>
          <w:rFonts w:ascii="仿宋" w:hAnsi="仿宋" w:eastAsia="仿宋" w:cs="仿宋"/>
          <w:b/>
          <w:kern w:val="44"/>
          <w:sz w:val="32"/>
          <w:szCs w:val="32"/>
        </w:rPr>
      </w:pPr>
      <w:bookmarkStart w:id="878" w:name="_Toc18247"/>
      <w:r>
        <w:rPr>
          <w:rFonts w:hint="eastAsia" w:ascii="仿宋" w:hAnsi="仿宋" w:eastAsia="仿宋" w:cs="仿宋"/>
          <w:szCs w:val="32"/>
        </w:rPr>
        <w:br w:type="page"/>
      </w:r>
    </w:p>
    <w:p w14:paraId="19202B97">
      <w:pPr>
        <w:pStyle w:val="3"/>
        <w:widowControl/>
        <w:tabs>
          <w:tab w:val="left" w:pos="0"/>
        </w:tabs>
        <w:snapToGrid w:val="0"/>
        <w:spacing w:before="0" w:after="0" w:line="560" w:lineRule="exact"/>
        <w:textAlignment w:val="baseline"/>
        <w:rPr>
          <w:rFonts w:ascii="仿宋" w:hAnsi="仿宋" w:eastAsia="仿宋" w:cs="仿宋"/>
          <w:b w:val="0"/>
          <w:sz w:val="22"/>
          <w:szCs w:val="18"/>
        </w:rPr>
      </w:pPr>
      <w:r>
        <w:rPr>
          <w:rFonts w:hint="eastAsia" w:ascii="仿宋" w:hAnsi="仿宋" w:eastAsia="仿宋" w:cs="仿宋"/>
          <w:szCs w:val="32"/>
        </w:rPr>
        <w:t xml:space="preserve">第六章  </w:t>
      </w:r>
      <w:bookmarkStart w:id="879" w:name="_Toc507399907"/>
      <w:bookmarkStart w:id="880" w:name="_Toc515647832"/>
      <w:bookmarkStart w:id="881" w:name="_Toc7971"/>
      <w:bookmarkStart w:id="882" w:name="_Toc32647"/>
      <w:bookmarkStart w:id="883" w:name="_Toc23331"/>
      <w:r>
        <w:rPr>
          <w:rFonts w:hint="eastAsia" w:ascii="仿宋" w:hAnsi="仿宋" w:eastAsia="仿宋" w:cs="仿宋"/>
          <w:szCs w:val="32"/>
        </w:rPr>
        <w:t>评标方法和标准</w:t>
      </w:r>
      <w:bookmarkEnd w:id="874"/>
      <w:bookmarkEnd w:id="875"/>
      <w:bookmarkEnd w:id="876"/>
      <w:bookmarkEnd w:id="877"/>
      <w:bookmarkEnd w:id="878"/>
      <w:bookmarkEnd w:id="879"/>
      <w:bookmarkEnd w:id="880"/>
      <w:bookmarkEnd w:id="881"/>
      <w:bookmarkEnd w:id="882"/>
      <w:bookmarkEnd w:id="883"/>
    </w:p>
    <w:p w14:paraId="79C70E98">
      <w:pPr>
        <w:pStyle w:val="24"/>
        <w:spacing w:line="360" w:lineRule="auto"/>
        <w:ind w:left="0" w:leftChars="0" w:firstLine="480" w:firstLineChars="200"/>
        <w:jc w:val="left"/>
        <w:rPr>
          <w:rFonts w:ascii="仿宋" w:hAnsi="仿宋" w:eastAsia="仿宋" w:cs="仿宋"/>
          <w:sz w:val="24"/>
        </w:rPr>
      </w:pPr>
      <w:r>
        <w:rPr>
          <w:rFonts w:hint="eastAsia" w:ascii="仿宋" w:hAnsi="仿宋" w:eastAsia="仿宋" w:cs="仿宋"/>
          <w:sz w:val="24"/>
        </w:rPr>
        <w:t>本项目将按照招标文件第一章投标人须知中“五开标及评标”、“六确定中标”及本章的规定评标。（内容要包括投标无效界定和详细评标标准）</w:t>
      </w:r>
    </w:p>
    <w:p w14:paraId="335C5D30">
      <w:pPr>
        <w:pStyle w:val="24"/>
        <w:spacing w:line="360" w:lineRule="auto"/>
        <w:ind w:left="0" w:leftChars="0"/>
        <w:jc w:val="left"/>
        <w:rPr>
          <w:rFonts w:ascii="仿宋" w:hAnsi="仿宋" w:eastAsia="仿宋" w:cs="仿宋"/>
          <w:b/>
          <w:bCs/>
          <w:sz w:val="24"/>
        </w:rPr>
      </w:pPr>
      <w:r>
        <w:rPr>
          <w:rFonts w:hint="eastAsia" w:ascii="仿宋" w:hAnsi="仿宋" w:eastAsia="仿宋" w:cs="仿宋"/>
          <w:b/>
          <w:bCs/>
          <w:sz w:val="24"/>
        </w:rPr>
        <w:t>一、项目基本情况</w:t>
      </w:r>
    </w:p>
    <w:p w14:paraId="09F009C4">
      <w:pPr>
        <w:pStyle w:val="24"/>
        <w:spacing w:line="360" w:lineRule="auto"/>
        <w:ind w:left="0" w:leftChars="0"/>
        <w:jc w:val="left"/>
        <w:rPr>
          <w:rFonts w:hint="eastAsia" w:ascii="仿宋" w:hAnsi="仿宋" w:eastAsia="仿宋" w:cs="仿宋"/>
          <w:sz w:val="24"/>
          <w:lang w:eastAsia="zh-CN"/>
        </w:rPr>
      </w:pPr>
      <w:r>
        <w:rPr>
          <w:rFonts w:hint="eastAsia" w:ascii="仿宋" w:hAnsi="仿宋" w:eastAsia="仿宋" w:cs="仿宋"/>
          <w:sz w:val="24"/>
        </w:rPr>
        <w:t>项目名称：塔什库尔干塔吉克自治县2025年“三北”工程巩固防沙治沙成果支出项目</w:t>
      </w:r>
      <w:r>
        <w:rPr>
          <w:rFonts w:hint="eastAsia" w:ascii="仿宋" w:hAnsi="仿宋" w:eastAsia="仿宋" w:cs="仿宋"/>
          <w:sz w:val="24"/>
          <w:lang w:eastAsia="zh-CN"/>
        </w:rPr>
        <w:t>（三次）</w:t>
      </w:r>
    </w:p>
    <w:p w14:paraId="21688F3F">
      <w:pPr>
        <w:pStyle w:val="24"/>
        <w:spacing w:line="360" w:lineRule="auto"/>
        <w:ind w:left="0" w:leftChars="0"/>
        <w:jc w:val="left"/>
        <w:rPr>
          <w:rFonts w:ascii="仿宋" w:hAnsi="仿宋" w:eastAsia="仿宋" w:cs="仿宋"/>
          <w:sz w:val="24"/>
        </w:rPr>
      </w:pPr>
      <w:r>
        <w:rPr>
          <w:rFonts w:hint="eastAsia" w:ascii="仿宋" w:hAnsi="仿宋" w:eastAsia="仿宋" w:cs="仿宋"/>
          <w:sz w:val="24"/>
        </w:rPr>
        <w:t>地点：新疆政采云平台 https://www.zcygov.cn</w:t>
      </w:r>
    </w:p>
    <w:p w14:paraId="1D71D183">
      <w:pPr>
        <w:pStyle w:val="24"/>
        <w:spacing w:line="360" w:lineRule="auto"/>
        <w:ind w:left="0" w:leftChars="0"/>
        <w:jc w:val="left"/>
        <w:rPr>
          <w:rFonts w:ascii="仿宋" w:hAnsi="仿宋" w:eastAsia="仿宋" w:cs="仿宋"/>
          <w:sz w:val="24"/>
        </w:rPr>
      </w:pPr>
      <w:r>
        <w:rPr>
          <w:rFonts w:hint="eastAsia" w:ascii="仿宋" w:hAnsi="仿宋" w:eastAsia="仿宋" w:cs="仿宋"/>
          <w:sz w:val="24"/>
        </w:rPr>
        <w:t>采购方式：公开招标</w:t>
      </w:r>
    </w:p>
    <w:p w14:paraId="26267F9E">
      <w:pPr>
        <w:pStyle w:val="24"/>
        <w:spacing w:line="360" w:lineRule="auto"/>
        <w:ind w:left="0" w:leftChars="0"/>
        <w:jc w:val="left"/>
        <w:rPr>
          <w:rFonts w:ascii="仿宋" w:hAnsi="仿宋" w:eastAsia="仿宋" w:cs="仿宋"/>
          <w:sz w:val="24"/>
        </w:rPr>
      </w:pPr>
      <w:r>
        <w:rPr>
          <w:rFonts w:hint="eastAsia" w:ascii="仿宋" w:hAnsi="仿宋" w:eastAsia="仿宋" w:cs="仿宋"/>
          <w:sz w:val="24"/>
        </w:rPr>
        <w:t>评标办法;综合评分法</w:t>
      </w:r>
    </w:p>
    <w:p w14:paraId="5B76118F">
      <w:pPr>
        <w:pStyle w:val="24"/>
        <w:spacing w:line="360" w:lineRule="auto"/>
        <w:ind w:left="0" w:leftChars="0"/>
        <w:jc w:val="left"/>
        <w:rPr>
          <w:rFonts w:ascii="仿宋" w:hAnsi="仿宋" w:eastAsia="仿宋" w:cs="仿宋"/>
          <w:b/>
          <w:bCs/>
          <w:sz w:val="24"/>
        </w:rPr>
      </w:pPr>
      <w:r>
        <w:rPr>
          <w:rFonts w:hint="eastAsia" w:ascii="仿宋" w:hAnsi="仿宋" w:eastAsia="仿宋" w:cs="仿宋"/>
          <w:b/>
          <w:bCs/>
          <w:sz w:val="24"/>
        </w:rPr>
        <w:t>二、拒绝接收投标文件的情形</w:t>
      </w:r>
    </w:p>
    <w:p w14:paraId="0A1D4117">
      <w:pPr>
        <w:pStyle w:val="24"/>
        <w:spacing w:line="360" w:lineRule="auto"/>
        <w:ind w:left="0" w:leftChars="0"/>
        <w:jc w:val="left"/>
        <w:rPr>
          <w:rFonts w:ascii="仿宋" w:hAnsi="仿宋" w:eastAsia="仿宋" w:cs="仿宋"/>
          <w:sz w:val="24"/>
        </w:rPr>
      </w:pPr>
      <w:r>
        <w:rPr>
          <w:rFonts w:hint="eastAsia" w:ascii="仿宋" w:hAnsi="仿宋" w:eastAsia="仿宋" w:cs="仿宋"/>
          <w:sz w:val="24"/>
        </w:rPr>
        <w:t>在递交投标文件截止时间后上传的投标文件。</w:t>
      </w:r>
    </w:p>
    <w:p w14:paraId="6CF5D736">
      <w:pPr>
        <w:pStyle w:val="24"/>
        <w:spacing w:line="360" w:lineRule="auto"/>
        <w:ind w:left="0" w:leftChars="0"/>
        <w:jc w:val="left"/>
        <w:rPr>
          <w:rFonts w:ascii="仿宋" w:hAnsi="仿宋" w:eastAsia="仿宋" w:cs="仿宋"/>
          <w:b/>
          <w:bCs/>
          <w:sz w:val="24"/>
        </w:rPr>
      </w:pPr>
      <w:r>
        <w:rPr>
          <w:rFonts w:hint="eastAsia" w:ascii="仿宋" w:hAnsi="仿宋" w:eastAsia="仿宋" w:cs="仿宋"/>
          <w:b/>
          <w:bCs/>
          <w:sz w:val="24"/>
        </w:rPr>
        <w:t>三、不得开启投标文件的情形</w:t>
      </w:r>
    </w:p>
    <w:p w14:paraId="6D15ADCD">
      <w:pPr>
        <w:pStyle w:val="24"/>
        <w:spacing w:line="360" w:lineRule="auto"/>
        <w:ind w:left="0" w:leftChars="0"/>
        <w:jc w:val="left"/>
        <w:rPr>
          <w:rFonts w:ascii="仿宋" w:hAnsi="仿宋" w:eastAsia="仿宋" w:cs="仿宋"/>
          <w:sz w:val="24"/>
        </w:rPr>
      </w:pPr>
      <w:r>
        <w:rPr>
          <w:rFonts w:hint="eastAsia" w:ascii="仿宋" w:hAnsi="仿宋" w:eastAsia="仿宋" w:cs="仿宋"/>
          <w:sz w:val="24"/>
        </w:rPr>
        <w:t>投标人不足 3 家的，不得开启投标文件。</w:t>
      </w:r>
    </w:p>
    <w:p w14:paraId="14CC0B79">
      <w:pPr>
        <w:pStyle w:val="24"/>
        <w:spacing w:line="360" w:lineRule="auto"/>
        <w:ind w:left="0" w:leftChars="0"/>
        <w:jc w:val="left"/>
        <w:rPr>
          <w:rFonts w:ascii="仿宋" w:hAnsi="仿宋" w:eastAsia="仿宋" w:cs="仿宋"/>
          <w:b/>
          <w:bCs/>
          <w:sz w:val="24"/>
        </w:rPr>
      </w:pPr>
      <w:r>
        <w:rPr>
          <w:rFonts w:hint="eastAsia" w:ascii="仿宋" w:hAnsi="仿宋" w:eastAsia="仿宋" w:cs="仿宋"/>
          <w:b/>
          <w:bCs/>
          <w:sz w:val="24"/>
        </w:rPr>
        <w:t>四.投标文件无效的情形：</w:t>
      </w:r>
    </w:p>
    <w:p w14:paraId="3DAC7C7D">
      <w:pPr>
        <w:pStyle w:val="24"/>
        <w:spacing w:line="360" w:lineRule="auto"/>
        <w:ind w:left="0" w:leftChars="0"/>
        <w:jc w:val="left"/>
        <w:rPr>
          <w:rFonts w:ascii="仿宋" w:hAnsi="仿宋" w:eastAsia="仿宋" w:cs="仿宋"/>
          <w:sz w:val="24"/>
        </w:rPr>
      </w:pPr>
      <w:r>
        <w:rPr>
          <w:rFonts w:hint="eastAsia" w:ascii="仿宋" w:hAnsi="仿宋" w:eastAsia="仿宋" w:cs="仿宋"/>
          <w:sz w:val="24"/>
        </w:rPr>
        <w:t>1.采购人或采购代理机构将在开标时查询投标人的信用记录。投标人存在不良信用记录的，其投标将被认定为投标无效。</w:t>
      </w:r>
    </w:p>
    <w:p w14:paraId="3B202B8D">
      <w:pPr>
        <w:pStyle w:val="24"/>
        <w:spacing w:line="360" w:lineRule="auto"/>
        <w:ind w:left="0" w:leftChars="0"/>
        <w:jc w:val="left"/>
        <w:rPr>
          <w:rFonts w:ascii="仿宋" w:hAnsi="仿宋" w:eastAsia="仿宋" w:cs="仿宋"/>
          <w:sz w:val="24"/>
        </w:rPr>
      </w:pPr>
      <w:r>
        <w:rPr>
          <w:rFonts w:hint="eastAsia" w:ascii="仿宋" w:hAnsi="仿宋" w:eastAsia="仿宋" w:cs="仿宋"/>
          <w:sz w:val="24"/>
        </w:rPr>
        <w:t>2.如采购人所采购产品为政府强制采购的节能产品，投标人所投产品的品牌及型号必须为清单中有效期内产品并提供证明文件，否则其投标资格将被认定为无效。</w:t>
      </w:r>
    </w:p>
    <w:p w14:paraId="4AB423D4">
      <w:pPr>
        <w:pStyle w:val="24"/>
        <w:spacing w:line="360" w:lineRule="auto"/>
        <w:ind w:left="0" w:leftChars="0"/>
        <w:jc w:val="left"/>
        <w:rPr>
          <w:rFonts w:ascii="仿宋" w:hAnsi="仿宋" w:eastAsia="仿宋" w:cs="仿宋"/>
          <w:sz w:val="24"/>
        </w:rPr>
      </w:pPr>
      <w:r>
        <w:rPr>
          <w:rFonts w:hint="eastAsia" w:ascii="仿宋" w:hAnsi="仿宋" w:eastAsia="仿宋" w:cs="仿宋"/>
          <w:sz w:val="24"/>
        </w:rPr>
        <w:t>3.在比较与评价之前，根据本须知的规定，评标委员会要审查每份投标文件是否实质上响应了招标文件的要求。实质上响应的投标文件应该是与招标文件要求的全部条款、条件和需求相符，没有重大偏离的投标文件。对关键条款的偏离，将被认定为无效。投标人不得通过修正或撤销不符合要求的偏离，从而使其投标成为实质上响应的投标。</w:t>
      </w:r>
    </w:p>
    <w:p w14:paraId="494B701B">
      <w:pPr>
        <w:pStyle w:val="24"/>
        <w:spacing w:line="360" w:lineRule="auto"/>
        <w:ind w:left="0" w:leftChars="0"/>
        <w:jc w:val="left"/>
        <w:rPr>
          <w:rFonts w:ascii="仿宋" w:hAnsi="仿宋" w:eastAsia="仿宋" w:cs="仿宋"/>
          <w:sz w:val="24"/>
        </w:rPr>
      </w:pPr>
      <w:r>
        <w:rPr>
          <w:rFonts w:hint="eastAsia" w:ascii="仿宋" w:hAnsi="仿宋" w:eastAsia="仿宋" w:cs="仿宋"/>
          <w:sz w:val="24"/>
        </w:rPr>
        <w:t>4.未按招标文件规定的形式和金额提交投标保证金的；</w:t>
      </w:r>
    </w:p>
    <w:p w14:paraId="21026E34">
      <w:pPr>
        <w:pStyle w:val="24"/>
        <w:spacing w:line="360" w:lineRule="auto"/>
        <w:ind w:left="0" w:leftChars="0"/>
        <w:jc w:val="left"/>
        <w:rPr>
          <w:rFonts w:ascii="仿宋" w:hAnsi="仿宋" w:eastAsia="仿宋" w:cs="仿宋"/>
          <w:sz w:val="24"/>
        </w:rPr>
      </w:pPr>
      <w:r>
        <w:rPr>
          <w:rFonts w:hint="eastAsia" w:ascii="仿宋" w:hAnsi="仿宋" w:eastAsia="仿宋" w:cs="仿宋"/>
          <w:sz w:val="24"/>
        </w:rPr>
        <w:t>5.未按照招标文件规定要求签署、盖章的；</w:t>
      </w:r>
    </w:p>
    <w:p w14:paraId="765E6AE8">
      <w:pPr>
        <w:pStyle w:val="24"/>
        <w:spacing w:line="360" w:lineRule="auto"/>
        <w:ind w:left="0" w:leftChars="0"/>
        <w:jc w:val="left"/>
        <w:rPr>
          <w:rFonts w:ascii="仿宋" w:hAnsi="仿宋" w:eastAsia="仿宋" w:cs="仿宋"/>
          <w:sz w:val="24"/>
        </w:rPr>
      </w:pPr>
      <w:r>
        <w:rPr>
          <w:rFonts w:hint="eastAsia" w:ascii="仿宋" w:hAnsi="仿宋" w:eastAsia="仿宋" w:cs="仿宋"/>
          <w:sz w:val="24"/>
        </w:rPr>
        <w:t>6.未满足招标文件中的实质性要求；</w:t>
      </w:r>
    </w:p>
    <w:p w14:paraId="499C0972">
      <w:pPr>
        <w:pStyle w:val="24"/>
        <w:spacing w:line="360" w:lineRule="auto"/>
        <w:ind w:left="0" w:leftChars="0"/>
        <w:jc w:val="left"/>
        <w:rPr>
          <w:rFonts w:ascii="仿宋" w:hAnsi="仿宋" w:eastAsia="仿宋" w:cs="仿宋"/>
          <w:sz w:val="24"/>
        </w:rPr>
      </w:pPr>
      <w:r>
        <w:rPr>
          <w:rFonts w:hint="eastAsia" w:ascii="仿宋" w:hAnsi="仿宋" w:eastAsia="仿宋" w:cs="仿宋"/>
          <w:sz w:val="24"/>
        </w:rPr>
        <w:t>7.与其他投标人串通参加投标，或者与采购人串通参加投标；</w:t>
      </w:r>
    </w:p>
    <w:p w14:paraId="50B11CF3">
      <w:pPr>
        <w:pStyle w:val="24"/>
        <w:spacing w:line="360" w:lineRule="auto"/>
        <w:ind w:left="0" w:leftChars="0"/>
        <w:jc w:val="left"/>
        <w:rPr>
          <w:rFonts w:ascii="仿宋" w:hAnsi="仿宋" w:eastAsia="仿宋" w:cs="仿宋"/>
          <w:sz w:val="24"/>
        </w:rPr>
      </w:pPr>
      <w:r>
        <w:rPr>
          <w:rFonts w:hint="eastAsia" w:ascii="仿宋" w:hAnsi="仿宋" w:eastAsia="仿宋" w:cs="仿宋"/>
          <w:sz w:val="24"/>
        </w:rPr>
        <w:t>8.属于招标文件规定的其他无效情形；</w:t>
      </w:r>
    </w:p>
    <w:p w14:paraId="68C943AC">
      <w:pPr>
        <w:pStyle w:val="24"/>
        <w:spacing w:line="360" w:lineRule="auto"/>
        <w:ind w:left="0" w:leftChars="0"/>
        <w:jc w:val="left"/>
        <w:rPr>
          <w:rFonts w:ascii="仿宋" w:hAnsi="仿宋" w:eastAsia="仿宋" w:cs="仿宋"/>
          <w:sz w:val="24"/>
        </w:rPr>
      </w:pPr>
      <w:r>
        <w:rPr>
          <w:rFonts w:hint="eastAsia" w:ascii="仿宋" w:hAnsi="仿宋" w:eastAsia="仿宋" w:cs="仿宋"/>
          <w:sz w:val="24"/>
        </w:rPr>
        <w:t>9.评标委员会认为投标人的报价明显低于其他通过符合性检查投标人的报价，有可能影响履约的，且投标人未按照规定证明其报价合理性的；</w:t>
      </w:r>
    </w:p>
    <w:p w14:paraId="23B1C540">
      <w:pPr>
        <w:pStyle w:val="24"/>
        <w:spacing w:line="360" w:lineRule="auto"/>
        <w:ind w:left="0" w:leftChars="0"/>
        <w:jc w:val="left"/>
        <w:rPr>
          <w:rFonts w:ascii="仿宋" w:hAnsi="仿宋" w:eastAsia="仿宋" w:cs="仿宋"/>
          <w:sz w:val="24"/>
        </w:rPr>
      </w:pPr>
      <w:r>
        <w:rPr>
          <w:rFonts w:hint="eastAsia" w:ascii="仿宋" w:hAnsi="仿宋" w:eastAsia="仿宋" w:cs="仿宋"/>
          <w:sz w:val="24"/>
        </w:rPr>
        <w:t>10.投标文件含有采购人不能接受的附加条件的；</w:t>
      </w:r>
    </w:p>
    <w:p w14:paraId="4A40CE11">
      <w:pPr>
        <w:pStyle w:val="24"/>
        <w:spacing w:line="360" w:lineRule="auto"/>
        <w:ind w:left="0" w:leftChars="0"/>
        <w:jc w:val="left"/>
        <w:rPr>
          <w:rFonts w:ascii="仿宋" w:hAnsi="仿宋" w:eastAsia="仿宋" w:cs="仿宋"/>
          <w:sz w:val="24"/>
        </w:rPr>
      </w:pPr>
      <w:r>
        <w:rPr>
          <w:rFonts w:hint="eastAsia" w:ascii="仿宋" w:hAnsi="仿宋" w:eastAsia="仿宋" w:cs="仿宋"/>
          <w:sz w:val="24"/>
        </w:rPr>
        <w:t>11.不符合法规和招标文件中规定的其他实质性要求的。</w:t>
      </w:r>
    </w:p>
    <w:p w14:paraId="0FBFF2FC">
      <w:pPr>
        <w:spacing w:before="78" w:line="360" w:lineRule="auto"/>
        <w:ind w:right="26"/>
        <w:rPr>
          <w:rFonts w:ascii="仿宋" w:hAnsi="仿宋" w:eastAsia="仿宋" w:cs="仿宋"/>
          <w:b/>
          <w:bCs/>
          <w:snapToGrid w:val="0"/>
          <w:color w:val="000000"/>
          <w:spacing w:val="-2"/>
          <w:kern w:val="0"/>
          <w:sz w:val="23"/>
          <w:szCs w:val="23"/>
        </w:rPr>
      </w:pPr>
      <w:r>
        <w:rPr>
          <w:rFonts w:hint="eastAsia" w:ascii="仿宋" w:hAnsi="仿宋" w:eastAsia="仿宋" w:cs="仿宋"/>
          <w:b/>
          <w:bCs/>
          <w:snapToGrid w:val="0"/>
          <w:color w:val="000000"/>
          <w:spacing w:val="-2"/>
          <w:kern w:val="0"/>
          <w:sz w:val="23"/>
          <w:szCs w:val="23"/>
        </w:rPr>
        <w:t>五、投标文件的开启</w:t>
      </w:r>
    </w:p>
    <w:p w14:paraId="02F67C2C">
      <w:pPr>
        <w:spacing w:before="78" w:line="360" w:lineRule="auto"/>
        <w:ind w:right="26" w:firstLine="472" w:firstLineChars="200"/>
        <w:rPr>
          <w:rFonts w:ascii="仿宋" w:hAnsi="仿宋" w:eastAsia="仿宋" w:cs="仿宋"/>
          <w:spacing w:val="-2"/>
          <w:sz w:val="24"/>
        </w:rPr>
      </w:pPr>
      <w:r>
        <w:rPr>
          <w:rFonts w:hint="eastAsia" w:ascii="仿宋" w:hAnsi="仿宋" w:eastAsia="仿宋" w:cs="仿宋"/>
          <w:spacing w:val="-2"/>
          <w:sz w:val="24"/>
        </w:rPr>
        <w:t>开标在招标文件确定的提交投标文件截止时间后进行，开标由代理机构主持。</w:t>
      </w:r>
    </w:p>
    <w:p w14:paraId="0FC8D395">
      <w:pPr>
        <w:pStyle w:val="11"/>
        <w:spacing w:before="37" w:line="231" w:lineRule="auto"/>
        <w:rPr>
          <w:rFonts w:ascii="仿宋" w:hAnsi="仿宋" w:eastAsia="仿宋" w:cs="仿宋"/>
          <w:sz w:val="23"/>
          <w:szCs w:val="23"/>
        </w:rPr>
      </w:pPr>
      <w:r>
        <w:rPr>
          <w:rFonts w:hint="eastAsia" w:ascii="仿宋" w:hAnsi="仿宋" w:eastAsia="仿宋" w:cs="仿宋"/>
          <w:b/>
          <w:bCs/>
          <w:spacing w:val="-2"/>
          <w:sz w:val="23"/>
          <w:szCs w:val="23"/>
        </w:rPr>
        <w:t>六、项目评标专家：</w:t>
      </w:r>
    </w:p>
    <w:p w14:paraId="2B9821B3">
      <w:pPr>
        <w:pStyle w:val="11"/>
        <w:widowControl/>
        <w:kinsoku w:val="0"/>
        <w:autoSpaceDE w:val="0"/>
        <w:autoSpaceDN w:val="0"/>
        <w:adjustRightInd w:val="0"/>
        <w:snapToGrid w:val="0"/>
        <w:spacing w:before="40" w:line="360" w:lineRule="auto"/>
        <w:ind w:firstLine="451"/>
        <w:textAlignment w:val="baseline"/>
        <w:rPr>
          <w:rFonts w:ascii="仿宋" w:hAnsi="仿宋" w:eastAsia="仿宋" w:cs="仿宋"/>
        </w:rPr>
      </w:pPr>
      <w:r>
        <w:rPr>
          <w:rFonts w:hint="eastAsia" w:ascii="仿宋" w:hAnsi="仿宋" w:eastAsia="仿宋" w:cs="仿宋"/>
        </w:rPr>
        <w:t>按照《中华人民共和国政府采购法》、《中华人民共和国政府采购法实施条例》、《政府采购公开招标采购方式管理暂行办法》及本项目本级和上级财政部门的有关规定依法组建的评标小组，负责评标工作；本项目评标专家由 5 人组成。</w:t>
      </w:r>
    </w:p>
    <w:p w14:paraId="48585AB0">
      <w:pPr>
        <w:pStyle w:val="11"/>
        <w:spacing w:before="40" w:line="360" w:lineRule="auto"/>
        <w:rPr>
          <w:rFonts w:ascii="仿宋" w:hAnsi="仿宋" w:eastAsia="仿宋" w:cs="仿宋"/>
        </w:rPr>
      </w:pPr>
      <w:r>
        <w:rPr>
          <w:rFonts w:hint="eastAsia" w:ascii="仿宋" w:hAnsi="仿宋" w:eastAsia="仿宋" w:cs="仿宋"/>
        </w:rPr>
        <w:t>评标专家要求：</w:t>
      </w:r>
    </w:p>
    <w:p w14:paraId="5D586CE0">
      <w:pPr>
        <w:pStyle w:val="11"/>
        <w:widowControl/>
        <w:kinsoku w:val="0"/>
        <w:autoSpaceDE w:val="0"/>
        <w:autoSpaceDN w:val="0"/>
        <w:adjustRightInd w:val="0"/>
        <w:snapToGrid w:val="0"/>
        <w:spacing w:before="40" w:line="360" w:lineRule="auto"/>
        <w:ind w:firstLine="484" w:firstLineChars="200"/>
        <w:textAlignment w:val="baseline"/>
        <w:rPr>
          <w:rFonts w:ascii="仿宋" w:hAnsi="仿宋" w:eastAsia="仿宋" w:cs="仿宋"/>
        </w:rPr>
      </w:pPr>
      <w:r>
        <w:rPr>
          <w:rFonts w:hint="eastAsia" w:ascii="仿宋" w:hAnsi="仿宋" w:eastAsia="仿宋" w:cs="仿宋"/>
          <w:spacing w:val="1"/>
        </w:rPr>
        <w:t>1.组织评标委员会推选评标委员会组长，采购人代表不得担任组长；</w:t>
      </w:r>
    </w:p>
    <w:p w14:paraId="1ED6AEA3">
      <w:pPr>
        <w:pStyle w:val="11"/>
        <w:widowControl/>
        <w:kinsoku w:val="0"/>
        <w:autoSpaceDE w:val="0"/>
        <w:autoSpaceDN w:val="0"/>
        <w:adjustRightInd w:val="0"/>
        <w:snapToGrid w:val="0"/>
        <w:spacing w:before="40" w:line="360" w:lineRule="auto"/>
        <w:ind w:firstLine="451"/>
        <w:textAlignment w:val="baseline"/>
        <w:rPr>
          <w:rFonts w:ascii="仿宋" w:hAnsi="仿宋" w:eastAsia="仿宋" w:cs="仿宋"/>
        </w:rPr>
      </w:pPr>
      <w:r>
        <w:rPr>
          <w:rFonts w:hint="eastAsia" w:ascii="仿宋" w:hAnsi="仿宋" w:eastAsia="仿宋" w:cs="仿宋"/>
        </w:rPr>
        <w:t>2.在评标期间采取必要的通讯管理措施，保证评标活</w:t>
      </w:r>
      <w:r>
        <w:rPr>
          <w:rFonts w:hint="eastAsia" w:ascii="仿宋" w:hAnsi="仿宋" w:eastAsia="仿宋" w:cs="仿宋"/>
          <w:spacing w:val="-1"/>
        </w:rPr>
        <w:t>动不受外界干扰，将手机</w:t>
      </w:r>
      <w:r>
        <w:rPr>
          <w:rFonts w:hint="eastAsia" w:ascii="仿宋" w:hAnsi="仿宋" w:eastAsia="仿宋" w:cs="仿宋"/>
          <w:spacing w:val="1"/>
        </w:rPr>
        <w:t>关闭或调成静音交由现场项目监督人员统一保管；</w:t>
      </w:r>
    </w:p>
    <w:p w14:paraId="5A1EEC41">
      <w:pPr>
        <w:pStyle w:val="11"/>
        <w:widowControl/>
        <w:kinsoku w:val="0"/>
        <w:autoSpaceDE w:val="0"/>
        <w:autoSpaceDN w:val="0"/>
        <w:adjustRightInd w:val="0"/>
        <w:snapToGrid w:val="0"/>
        <w:spacing w:before="40" w:line="360" w:lineRule="auto"/>
        <w:ind w:firstLine="488" w:firstLineChars="200"/>
        <w:textAlignment w:val="baseline"/>
        <w:rPr>
          <w:rFonts w:ascii="仿宋" w:hAnsi="仿宋" w:eastAsia="仿宋" w:cs="仿宋"/>
        </w:rPr>
      </w:pPr>
      <w:r>
        <w:rPr>
          <w:rFonts w:hint="eastAsia" w:ascii="仿宋" w:hAnsi="仿宋" w:eastAsia="仿宋" w:cs="仿宋"/>
          <w:spacing w:val="2"/>
        </w:rPr>
        <w:t>3.审查、评价投标文件是否符合招标文件的商务、</w:t>
      </w:r>
      <w:r>
        <w:rPr>
          <w:rFonts w:hint="eastAsia" w:ascii="仿宋" w:hAnsi="仿宋" w:eastAsia="仿宋" w:cs="仿宋"/>
          <w:spacing w:val="1"/>
        </w:rPr>
        <w:t>技术等实质性要求；</w:t>
      </w:r>
    </w:p>
    <w:p w14:paraId="36690658">
      <w:pPr>
        <w:pStyle w:val="11"/>
        <w:widowControl/>
        <w:kinsoku w:val="0"/>
        <w:autoSpaceDE w:val="0"/>
        <w:autoSpaceDN w:val="0"/>
        <w:adjustRightInd w:val="0"/>
        <w:snapToGrid w:val="0"/>
        <w:spacing w:before="40" w:line="360" w:lineRule="auto"/>
        <w:ind w:firstLine="451"/>
        <w:textAlignment w:val="baseline"/>
        <w:rPr>
          <w:rFonts w:ascii="仿宋" w:hAnsi="仿宋" w:eastAsia="仿宋" w:cs="仿宋"/>
          <w:spacing w:val="-1"/>
        </w:rPr>
      </w:pPr>
      <w:r>
        <w:rPr>
          <w:rFonts w:hint="eastAsia" w:ascii="仿宋" w:hAnsi="仿宋" w:eastAsia="仿宋" w:cs="仿宋"/>
          <w:spacing w:val="-1"/>
        </w:rPr>
        <w:t>4.要求投标人对投标文件有关事项作出澄清或者说明；</w:t>
      </w:r>
    </w:p>
    <w:p w14:paraId="05ACE607">
      <w:pPr>
        <w:pStyle w:val="11"/>
        <w:widowControl/>
        <w:kinsoku w:val="0"/>
        <w:autoSpaceDE w:val="0"/>
        <w:autoSpaceDN w:val="0"/>
        <w:adjustRightInd w:val="0"/>
        <w:snapToGrid w:val="0"/>
        <w:spacing w:before="40" w:line="360" w:lineRule="auto"/>
        <w:ind w:firstLine="451"/>
        <w:textAlignment w:val="baseline"/>
        <w:rPr>
          <w:rFonts w:ascii="仿宋" w:hAnsi="仿宋" w:eastAsia="仿宋" w:cs="仿宋"/>
        </w:rPr>
      </w:pPr>
      <w:r>
        <w:rPr>
          <w:rFonts w:hint="eastAsia" w:ascii="仿宋" w:hAnsi="仿宋" w:eastAsia="仿宋" w:cs="仿宋"/>
          <w:spacing w:val="1"/>
        </w:rPr>
        <w:t>5.</w:t>
      </w:r>
      <w:r>
        <w:rPr>
          <w:rFonts w:hint="eastAsia" w:ascii="仿宋" w:hAnsi="仿宋" w:eastAsia="仿宋" w:cs="仿宋"/>
        </w:rPr>
        <w:t>对投标文件进行比较和评价；</w:t>
      </w:r>
    </w:p>
    <w:p w14:paraId="4176B30D">
      <w:pPr>
        <w:pStyle w:val="11"/>
        <w:widowControl/>
        <w:kinsoku w:val="0"/>
        <w:autoSpaceDE w:val="0"/>
        <w:autoSpaceDN w:val="0"/>
        <w:adjustRightInd w:val="0"/>
        <w:snapToGrid w:val="0"/>
        <w:spacing w:before="40" w:line="360" w:lineRule="auto"/>
        <w:ind w:firstLine="451"/>
        <w:textAlignment w:val="baseline"/>
        <w:rPr>
          <w:rFonts w:ascii="仿宋" w:hAnsi="仿宋" w:eastAsia="仿宋" w:cs="仿宋"/>
        </w:rPr>
      </w:pPr>
      <w:r>
        <w:rPr>
          <w:rFonts w:hint="eastAsia" w:ascii="仿宋" w:hAnsi="仿宋" w:eastAsia="仿宋" w:cs="仿宋"/>
        </w:rPr>
        <w:t>6.确定中标候选人名单，以及根据采购人委托直接确定中标人；</w:t>
      </w:r>
    </w:p>
    <w:p w14:paraId="7554A003">
      <w:pPr>
        <w:pStyle w:val="11"/>
        <w:widowControl/>
        <w:kinsoku w:val="0"/>
        <w:autoSpaceDE w:val="0"/>
        <w:autoSpaceDN w:val="0"/>
        <w:adjustRightInd w:val="0"/>
        <w:snapToGrid w:val="0"/>
        <w:spacing w:before="40" w:line="360" w:lineRule="auto"/>
        <w:ind w:firstLine="451"/>
        <w:textAlignment w:val="baseline"/>
        <w:rPr>
          <w:rFonts w:ascii="仿宋" w:hAnsi="仿宋" w:eastAsia="仿宋" w:cs="仿宋"/>
        </w:rPr>
      </w:pPr>
      <w:r>
        <w:rPr>
          <w:rFonts w:hint="eastAsia" w:ascii="仿宋" w:hAnsi="仿宋" w:eastAsia="仿宋" w:cs="仿宋"/>
        </w:rPr>
        <w:t>7.向采购人、采购代理机构或者有关部门报告评标中发现的违法行为。</w:t>
      </w:r>
    </w:p>
    <w:p w14:paraId="6464850D">
      <w:pPr>
        <w:pStyle w:val="11"/>
        <w:widowControl/>
        <w:kinsoku w:val="0"/>
        <w:autoSpaceDE w:val="0"/>
        <w:autoSpaceDN w:val="0"/>
        <w:adjustRightInd w:val="0"/>
        <w:snapToGrid w:val="0"/>
        <w:spacing w:before="40" w:line="360" w:lineRule="auto"/>
        <w:textAlignment w:val="baseline"/>
        <w:rPr>
          <w:rFonts w:ascii="仿宋" w:hAnsi="仿宋" w:eastAsia="仿宋" w:cs="仿宋"/>
        </w:rPr>
      </w:pPr>
      <w:r>
        <w:rPr>
          <w:rFonts w:hint="eastAsia" w:ascii="仿宋" w:hAnsi="仿宋" w:eastAsia="仿宋" w:cs="仿宋"/>
          <w:b/>
          <w:bCs/>
          <w:spacing w:val="2"/>
        </w:rPr>
        <w:t>七、评标</w:t>
      </w:r>
    </w:p>
    <w:p w14:paraId="6D2079A7">
      <w:pPr>
        <w:pStyle w:val="11"/>
        <w:widowControl/>
        <w:kinsoku w:val="0"/>
        <w:autoSpaceDE w:val="0"/>
        <w:autoSpaceDN w:val="0"/>
        <w:adjustRightInd w:val="0"/>
        <w:snapToGrid w:val="0"/>
        <w:spacing w:before="40" w:line="360" w:lineRule="auto"/>
        <w:ind w:firstLine="500" w:firstLineChars="200"/>
        <w:textAlignment w:val="baseline"/>
        <w:rPr>
          <w:rFonts w:ascii="仿宋" w:hAnsi="仿宋" w:eastAsia="仿宋" w:cs="仿宋"/>
        </w:rPr>
      </w:pPr>
      <w:r>
        <w:rPr>
          <w:rFonts w:hint="eastAsia" w:ascii="仿宋" w:hAnsi="仿宋" w:eastAsia="仿宋" w:cs="仿宋"/>
          <w:spacing w:val="5"/>
        </w:rPr>
        <w:t>1、评标的依据为招标文件和投标文件；</w:t>
      </w:r>
    </w:p>
    <w:p w14:paraId="1507EBC0">
      <w:pPr>
        <w:pStyle w:val="11"/>
        <w:widowControl/>
        <w:kinsoku w:val="0"/>
        <w:autoSpaceDE w:val="0"/>
        <w:autoSpaceDN w:val="0"/>
        <w:adjustRightInd w:val="0"/>
        <w:snapToGrid w:val="0"/>
        <w:spacing w:before="40" w:line="360" w:lineRule="auto"/>
        <w:ind w:firstLine="472"/>
        <w:textAlignment w:val="baseline"/>
        <w:rPr>
          <w:rFonts w:ascii="仿宋" w:hAnsi="仿宋" w:eastAsia="仿宋" w:cs="仿宋"/>
        </w:rPr>
      </w:pPr>
      <w:r>
        <w:rPr>
          <w:rFonts w:hint="eastAsia" w:ascii="仿宋" w:hAnsi="仿宋" w:eastAsia="仿宋" w:cs="仿宋"/>
          <w:spacing w:val="8"/>
        </w:rPr>
        <w:t>2、本项目采用综合评分法：</w:t>
      </w:r>
      <w:r>
        <w:rPr>
          <w:rFonts w:hint="eastAsia" w:ascii="仿宋" w:hAnsi="仿宋" w:eastAsia="仿宋" w:cs="仿宋"/>
          <w:b/>
          <w:bCs/>
          <w:spacing w:val="8"/>
          <w:u w:val="single"/>
        </w:rPr>
        <w:t>总分</w:t>
      </w:r>
      <w:r>
        <w:rPr>
          <w:rFonts w:hint="eastAsia" w:ascii="仿宋" w:hAnsi="仿宋" w:eastAsia="仿宋" w:cs="仿宋"/>
          <w:spacing w:val="-24"/>
          <w:u w:val="single"/>
        </w:rPr>
        <w:t xml:space="preserve"> </w:t>
      </w:r>
      <w:r>
        <w:rPr>
          <w:rFonts w:hint="eastAsia" w:ascii="仿宋" w:hAnsi="仿宋" w:eastAsia="仿宋" w:cs="仿宋"/>
          <w:b/>
          <w:bCs/>
          <w:spacing w:val="8"/>
          <w:u w:val="single"/>
        </w:rPr>
        <w:t>100</w:t>
      </w:r>
      <w:r>
        <w:rPr>
          <w:rFonts w:hint="eastAsia" w:ascii="仿宋" w:hAnsi="仿宋" w:eastAsia="仿宋" w:cs="仿宋"/>
          <w:spacing w:val="-29"/>
          <w:u w:val="single"/>
        </w:rPr>
        <w:t xml:space="preserve"> </w:t>
      </w:r>
      <w:r>
        <w:rPr>
          <w:rFonts w:hint="eastAsia" w:ascii="仿宋" w:hAnsi="仿宋" w:eastAsia="仿宋" w:cs="仿宋"/>
          <w:b/>
          <w:bCs/>
          <w:spacing w:val="8"/>
          <w:u w:val="single"/>
        </w:rPr>
        <w:t>分，报价分值</w:t>
      </w:r>
      <w:r>
        <w:rPr>
          <w:rFonts w:hint="eastAsia" w:ascii="仿宋" w:hAnsi="仿宋" w:eastAsia="仿宋" w:cs="仿宋"/>
          <w:spacing w:val="-24"/>
          <w:u w:val="single"/>
        </w:rPr>
        <w:t xml:space="preserve"> 30</w:t>
      </w:r>
      <w:r>
        <w:rPr>
          <w:rFonts w:hint="eastAsia" w:ascii="仿宋" w:hAnsi="仿宋" w:eastAsia="仿宋" w:cs="仿宋"/>
          <w:spacing w:val="-29"/>
          <w:u w:val="single"/>
        </w:rPr>
        <w:t xml:space="preserve"> </w:t>
      </w:r>
      <w:r>
        <w:rPr>
          <w:rFonts w:hint="eastAsia" w:ascii="仿宋" w:hAnsi="仿宋" w:eastAsia="仿宋" w:cs="仿宋"/>
          <w:b/>
          <w:bCs/>
          <w:spacing w:val="8"/>
          <w:u w:val="single"/>
        </w:rPr>
        <w:t>分，商务及</w:t>
      </w:r>
      <w:r>
        <w:rPr>
          <w:rFonts w:hint="eastAsia" w:ascii="仿宋" w:hAnsi="仿宋" w:eastAsia="仿宋" w:cs="仿宋"/>
          <w:b/>
          <w:bCs/>
          <w:spacing w:val="7"/>
          <w:u w:val="single"/>
        </w:rPr>
        <w:t>技术部</w:t>
      </w:r>
      <w:r>
        <w:rPr>
          <w:rFonts w:hint="eastAsia" w:ascii="仿宋" w:hAnsi="仿宋" w:eastAsia="仿宋" w:cs="仿宋"/>
          <w:b/>
          <w:bCs/>
          <w:u w:val="single"/>
        </w:rPr>
        <w:t>分得分</w:t>
      </w:r>
      <w:r>
        <w:rPr>
          <w:rFonts w:hint="eastAsia" w:ascii="仿宋" w:hAnsi="仿宋" w:eastAsia="仿宋" w:cs="仿宋"/>
          <w:spacing w:val="-46"/>
          <w:u w:val="single"/>
        </w:rPr>
        <w:t xml:space="preserve"> 70</w:t>
      </w:r>
      <w:r>
        <w:rPr>
          <w:rFonts w:hint="eastAsia" w:ascii="仿宋" w:hAnsi="仿宋" w:eastAsia="仿宋" w:cs="仿宋"/>
          <w:spacing w:val="-37"/>
          <w:u w:val="single"/>
        </w:rPr>
        <w:t xml:space="preserve"> </w:t>
      </w:r>
      <w:r>
        <w:rPr>
          <w:rFonts w:hint="eastAsia" w:ascii="仿宋" w:hAnsi="仿宋" w:eastAsia="仿宋" w:cs="仿宋"/>
          <w:b/>
          <w:bCs/>
          <w:u w:val="single"/>
        </w:rPr>
        <w:t>分。</w:t>
      </w:r>
    </w:p>
    <w:p w14:paraId="01F1DDE5">
      <w:pPr>
        <w:pStyle w:val="11"/>
        <w:widowControl/>
        <w:kinsoku w:val="0"/>
        <w:autoSpaceDE w:val="0"/>
        <w:autoSpaceDN w:val="0"/>
        <w:adjustRightInd w:val="0"/>
        <w:snapToGrid w:val="0"/>
        <w:spacing w:before="40" w:line="360" w:lineRule="auto"/>
        <w:ind w:firstLine="475"/>
        <w:textAlignment w:val="baseline"/>
        <w:rPr>
          <w:rFonts w:ascii="仿宋" w:hAnsi="仿宋" w:eastAsia="仿宋" w:cs="仿宋"/>
        </w:rPr>
      </w:pPr>
      <w:r>
        <w:rPr>
          <w:rFonts w:hint="eastAsia" w:ascii="仿宋" w:hAnsi="仿宋" w:eastAsia="仿宋" w:cs="仿宋"/>
          <w:spacing w:val="9"/>
        </w:rPr>
        <w:t>3、评标委员会成员到齐后，推选评标委员会组长。依据招标文件和投标文件进</w:t>
      </w:r>
      <w:r>
        <w:rPr>
          <w:rFonts w:hint="eastAsia" w:ascii="仿宋" w:hAnsi="仿宋" w:eastAsia="仿宋" w:cs="仿宋"/>
          <w:spacing w:val="13"/>
        </w:rPr>
        <w:t>行认真查阅。审查投标文件是否完整，是否有计算错误，要求的投标保证金是否</w:t>
      </w:r>
      <w:r>
        <w:rPr>
          <w:rFonts w:hint="eastAsia" w:ascii="仿宋" w:hAnsi="仿宋" w:eastAsia="仿宋" w:cs="仿宋"/>
          <w:spacing w:val="4"/>
        </w:rPr>
        <w:t>提供，文件是否恰当地签署；</w:t>
      </w:r>
    </w:p>
    <w:p w14:paraId="2A62A64E">
      <w:pPr>
        <w:pStyle w:val="11"/>
        <w:widowControl/>
        <w:kinsoku w:val="0"/>
        <w:autoSpaceDE w:val="0"/>
        <w:autoSpaceDN w:val="0"/>
        <w:adjustRightInd w:val="0"/>
        <w:snapToGrid w:val="0"/>
        <w:spacing w:before="40" w:line="360" w:lineRule="auto"/>
        <w:ind w:firstLine="472"/>
        <w:textAlignment w:val="baseline"/>
        <w:rPr>
          <w:rFonts w:ascii="仿宋" w:hAnsi="仿宋" w:eastAsia="仿宋" w:cs="仿宋"/>
        </w:rPr>
      </w:pPr>
      <w:r>
        <w:rPr>
          <w:rFonts w:hint="eastAsia" w:ascii="仿宋" w:hAnsi="仿宋" w:eastAsia="仿宋" w:cs="仿宋"/>
          <w:spacing w:val="9"/>
        </w:rPr>
        <w:t>4、在对投标文件进行详细评估前，依据投标人提供的资格证明文件审查，未通过的投标人无法进行下一阶段评标</w:t>
      </w:r>
      <w:r>
        <w:rPr>
          <w:rFonts w:hint="eastAsia" w:ascii="仿宋" w:hAnsi="仿宋" w:eastAsia="仿宋" w:cs="仿宋"/>
          <w:spacing w:val="-10"/>
        </w:rPr>
        <w:t>；</w:t>
      </w:r>
    </w:p>
    <w:p w14:paraId="2289CC85">
      <w:pPr>
        <w:pStyle w:val="11"/>
        <w:widowControl/>
        <w:kinsoku w:val="0"/>
        <w:autoSpaceDE w:val="0"/>
        <w:autoSpaceDN w:val="0"/>
        <w:adjustRightInd w:val="0"/>
        <w:snapToGrid w:val="0"/>
        <w:spacing w:before="40" w:line="360" w:lineRule="auto"/>
        <w:ind w:firstLine="479"/>
        <w:textAlignment w:val="baseline"/>
        <w:rPr>
          <w:rFonts w:ascii="仿宋" w:hAnsi="仿宋" w:eastAsia="仿宋" w:cs="仿宋"/>
          <w:b/>
          <w:bCs/>
          <w:spacing w:val="4"/>
        </w:rPr>
      </w:pPr>
      <w:r>
        <w:rPr>
          <w:rFonts w:hint="eastAsia" w:ascii="仿宋" w:hAnsi="仿宋" w:eastAsia="仿宋" w:cs="仿宋"/>
          <w:b/>
          <w:bCs/>
          <w:spacing w:val="4"/>
        </w:rPr>
        <w:t>资格审查</w:t>
      </w:r>
    </w:p>
    <w:p w14:paraId="2AC0BA9B">
      <w:pPr>
        <w:pStyle w:val="11"/>
        <w:spacing w:before="40" w:line="360" w:lineRule="auto"/>
        <w:ind w:firstLine="490"/>
        <w:rPr>
          <w:rFonts w:ascii="仿宋" w:hAnsi="仿宋" w:eastAsia="仿宋" w:cs="仿宋"/>
          <w:spacing w:val="13"/>
        </w:rPr>
      </w:pPr>
      <w:r>
        <w:rPr>
          <w:rFonts w:hint="eastAsia" w:ascii="仿宋" w:hAnsi="仿宋" w:eastAsia="仿宋" w:cs="仿宋"/>
          <w:spacing w:val="13"/>
        </w:rPr>
        <w:t>资格审查小组（由采购人组成)应当依据法律法规和招标文件的规定，对投标文件</w:t>
      </w:r>
      <w:r>
        <w:rPr>
          <w:rFonts w:hint="eastAsia" w:ascii="仿宋" w:hAnsi="仿宋" w:eastAsia="仿宋" w:cs="仿宋"/>
          <w:spacing w:val="12"/>
        </w:rPr>
        <w:t>中的资格证明文件</w:t>
      </w:r>
      <w:r>
        <w:rPr>
          <w:rFonts w:hint="eastAsia" w:ascii="仿宋" w:hAnsi="仿宋" w:eastAsia="仿宋" w:cs="仿宋"/>
          <w:spacing w:val="7"/>
        </w:rPr>
        <w:t>进行审查，以</w:t>
      </w:r>
      <w:r>
        <w:rPr>
          <w:rFonts w:hint="eastAsia" w:ascii="仿宋" w:hAnsi="仿宋" w:eastAsia="仿宋" w:cs="仿宋"/>
          <w:spacing w:val="13"/>
        </w:rPr>
        <w:t>确定投标人是否具备投标资格。</w:t>
      </w:r>
    </w:p>
    <w:p w14:paraId="5141EE5F">
      <w:pPr>
        <w:pStyle w:val="11"/>
        <w:spacing w:before="40" w:line="360" w:lineRule="auto"/>
        <w:ind w:firstLine="506" w:firstLineChars="200"/>
        <w:rPr>
          <w:rFonts w:ascii="仿宋" w:hAnsi="仿宋" w:eastAsia="仿宋" w:cs="仿宋"/>
        </w:rPr>
      </w:pPr>
      <w:r>
        <w:rPr>
          <w:rFonts w:hint="eastAsia" w:ascii="仿宋" w:hAnsi="仿宋" w:eastAsia="仿宋" w:cs="仿宋"/>
          <w:b/>
          <w:bCs/>
          <w:spacing w:val="6"/>
        </w:rPr>
        <w:t>符合性审查</w:t>
      </w:r>
    </w:p>
    <w:p w14:paraId="00107E28">
      <w:pPr>
        <w:pStyle w:val="11"/>
        <w:spacing w:before="40" w:line="360" w:lineRule="auto"/>
        <w:ind w:firstLine="487"/>
        <w:rPr>
          <w:rFonts w:ascii="仿宋" w:hAnsi="仿宋" w:eastAsia="仿宋" w:cs="仿宋"/>
        </w:rPr>
      </w:pPr>
      <w:r>
        <w:rPr>
          <w:rFonts w:hint="eastAsia" w:ascii="仿宋" w:hAnsi="仿宋" w:eastAsia="仿宋" w:cs="仿宋"/>
          <w:spacing w:val="21"/>
        </w:rPr>
        <w:t>投标文件是否实质性响应招标文件要求由评标委员会依据招标文件规定认</w:t>
      </w:r>
      <w:r>
        <w:rPr>
          <w:rFonts w:hint="eastAsia" w:ascii="仿宋" w:hAnsi="仿宋" w:eastAsia="仿宋" w:cs="仿宋"/>
          <w:spacing w:val="13"/>
        </w:rPr>
        <w:t>定。评标委员会决定投标文件的实质性只根据投标文件</w:t>
      </w:r>
      <w:r>
        <w:rPr>
          <w:rFonts w:hint="eastAsia" w:ascii="仿宋" w:hAnsi="仿宋" w:eastAsia="仿宋" w:cs="仿宋"/>
          <w:spacing w:val="12"/>
        </w:rPr>
        <w:t>本身的真实无误的内容，</w:t>
      </w:r>
      <w:r>
        <w:rPr>
          <w:rFonts w:hint="eastAsia" w:ascii="仿宋" w:hAnsi="仿宋" w:eastAsia="仿宋" w:cs="仿宋"/>
          <w:spacing w:val="13"/>
        </w:rPr>
        <w:t>而不依据外部的证据。依据招标文件的规定，从投标文件的有效性、完整性和</w:t>
      </w:r>
      <w:r>
        <w:rPr>
          <w:rFonts w:hint="eastAsia" w:ascii="仿宋" w:hAnsi="仿宋" w:eastAsia="仿宋" w:cs="仿宋"/>
          <w:spacing w:val="11"/>
        </w:rPr>
        <w:t>对招标文件的响应程度进行审查，以确定是否对招标文件的实质性要求作出响</w:t>
      </w:r>
      <w:r>
        <w:rPr>
          <w:rFonts w:hint="eastAsia" w:ascii="仿宋" w:hAnsi="仿宋" w:eastAsia="仿宋" w:cs="仿宋"/>
          <w:spacing w:val="-9"/>
        </w:rPr>
        <w:t>应，</w:t>
      </w:r>
      <w:r>
        <w:rPr>
          <w:rFonts w:hint="eastAsia" w:ascii="仿宋" w:hAnsi="仿宋" w:eastAsia="仿宋" w:cs="仿宋"/>
          <w:spacing w:val="12"/>
        </w:rPr>
        <w:t>而没有重大偏离</w:t>
      </w:r>
      <w:r>
        <w:rPr>
          <w:rFonts w:hint="eastAsia" w:ascii="仿宋" w:hAnsi="仿宋" w:eastAsia="仿宋" w:cs="仿宋"/>
          <w:spacing w:val="-9"/>
        </w:rPr>
        <w:t>。</w:t>
      </w:r>
    </w:p>
    <w:p w14:paraId="1B957A84">
      <w:pPr>
        <w:pStyle w:val="11"/>
        <w:spacing w:before="40" w:line="360" w:lineRule="auto"/>
        <w:ind w:firstLine="494" w:firstLineChars="200"/>
        <w:rPr>
          <w:rFonts w:ascii="仿宋" w:hAnsi="仿宋" w:eastAsia="仿宋" w:cs="仿宋"/>
        </w:rPr>
      </w:pPr>
      <w:r>
        <w:rPr>
          <w:rFonts w:hint="eastAsia" w:ascii="仿宋" w:hAnsi="仿宋" w:eastAsia="仿宋" w:cs="仿宋"/>
          <w:b/>
          <w:bCs/>
          <w:spacing w:val="3"/>
        </w:rPr>
        <w:t>详细评标</w:t>
      </w:r>
    </w:p>
    <w:p w14:paraId="44FC39B2">
      <w:pPr>
        <w:pStyle w:val="11"/>
        <w:widowControl/>
        <w:kinsoku w:val="0"/>
        <w:autoSpaceDE w:val="0"/>
        <w:autoSpaceDN w:val="0"/>
        <w:adjustRightInd w:val="0"/>
        <w:snapToGrid w:val="0"/>
        <w:spacing w:before="40" w:line="360" w:lineRule="auto"/>
        <w:ind w:firstLine="473"/>
        <w:textAlignment w:val="baseline"/>
        <w:rPr>
          <w:rFonts w:ascii="仿宋" w:hAnsi="仿宋" w:eastAsia="仿宋" w:cs="仿宋"/>
          <w:spacing w:val="11"/>
        </w:rPr>
      </w:pPr>
      <w:r>
        <w:rPr>
          <w:rFonts w:hint="eastAsia" w:ascii="仿宋" w:hAnsi="仿宋" w:eastAsia="仿宋" w:cs="仿宋"/>
          <w:spacing w:val="11"/>
        </w:rPr>
        <w:t>1、经资格审查合格的投标文件，评标委员会应当根据本文件确定的评标标准和方法，对其技术和商务部分作进一步的评标和比较。评标委员会所有成员应当集中与单一投标人分别进行评分，并给予所有参加投标的投标人平等的投标机会。在评标中，投标的任何一方不得透露与投标有关的其他投标人的资料、价格和其他信息。招标文件有实质性变动的，评标委员会应当通知所有参加投标的投标人。</w:t>
      </w:r>
    </w:p>
    <w:p w14:paraId="451414A8">
      <w:pPr>
        <w:pStyle w:val="11"/>
        <w:widowControl/>
        <w:kinsoku w:val="0"/>
        <w:autoSpaceDE w:val="0"/>
        <w:autoSpaceDN w:val="0"/>
        <w:adjustRightInd w:val="0"/>
        <w:snapToGrid w:val="0"/>
        <w:spacing w:before="40" w:line="360" w:lineRule="auto"/>
        <w:ind w:firstLine="473"/>
        <w:textAlignment w:val="baseline"/>
        <w:rPr>
          <w:rFonts w:ascii="仿宋" w:hAnsi="仿宋" w:eastAsia="仿宋" w:cs="仿宋"/>
        </w:rPr>
      </w:pPr>
      <w:r>
        <w:rPr>
          <w:rFonts w:hint="eastAsia" w:ascii="仿宋" w:hAnsi="仿宋" w:eastAsia="仿宋" w:cs="仿宋"/>
          <w:spacing w:val="11"/>
        </w:rPr>
        <w:t>2、评标结束后，评标委员会应当要求所有实质性响应的投标人在规定时间内提交最终报价，经评审确定最终采购需求和提交最后报价的投标人后，由评标委员会采用综</w:t>
      </w:r>
      <w:r>
        <w:rPr>
          <w:rFonts w:hint="eastAsia" w:ascii="仿宋" w:hAnsi="仿宋" w:eastAsia="仿宋" w:cs="仿宋"/>
          <w:spacing w:val="8"/>
        </w:rPr>
        <w:t>合评分法对提交最终报价的投标人的投标文件和最终报价进行综合评分。</w:t>
      </w:r>
    </w:p>
    <w:p w14:paraId="7E8A1BBF">
      <w:pPr>
        <w:pStyle w:val="11"/>
        <w:widowControl/>
        <w:kinsoku w:val="0"/>
        <w:autoSpaceDE w:val="0"/>
        <w:autoSpaceDN w:val="0"/>
        <w:adjustRightInd w:val="0"/>
        <w:snapToGrid w:val="0"/>
        <w:spacing w:before="40" w:line="360" w:lineRule="auto"/>
        <w:ind w:firstLine="458"/>
        <w:textAlignment w:val="baseline"/>
        <w:rPr>
          <w:rFonts w:ascii="仿宋" w:hAnsi="仿宋" w:eastAsia="仿宋" w:cs="仿宋"/>
        </w:rPr>
      </w:pPr>
      <w:r>
        <w:rPr>
          <w:rFonts w:hint="eastAsia" w:ascii="仿宋" w:hAnsi="仿宋" w:eastAsia="仿宋" w:cs="仿宋"/>
          <w:spacing w:val="9"/>
        </w:rPr>
        <w:t>3、采用综合评分法，即投标文件满足招标文件全部实质性要求，且按照评标</w:t>
      </w:r>
      <w:r>
        <w:rPr>
          <w:rFonts w:hint="eastAsia" w:ascii="仿宋" w:hAnsi="仿宋" w:eastAsia="仿宋" w:cs="仿宋"/>
          <w:spacing w:val="7"/>
        </w:rPr>
        <w:t>因素的量化指标评标得分最高的投标人为中标候选人。</w:t>
      </w:r>
    </w:p>
    <w:p w14:paraId="3DB9DDB4">
      <w:pPr>
        <w:pStyle w:val="11"/>
        <w:spacing w:before="40" w:line="360" w:lineRule="auto"/>
        <w:ind w:firstLine="502" w:firstLineChars="200"/>
        <w:rPr>
          <w:rFonts w:ascii="仿宋" w:hAnsi="仿宋" w:eastAsia="仿宋" w:cs="仿宋"/>
        </w:rPr>
      </w:pPr>
      <w:r>
        <w:rPr>
          <w:rFonts w:hint="eastAsia" w:ascii="仿宋" w:hAnsi="仿宋" w:eastAsia="仿宋" w:cs="仿宋"/>
          <w:b/>
          <w:bCs/>
          <w:spacing w:val="5"/>
        </w:rPr>
        <w:t>评标的保密性</w:t>
      </w:r>
    </w:p>
    <w:p w14:paraId="4D35822C">
      <w:pPr>
        <w:pStyle w:val="11"/>
        <w:widowControl/>
        <w:kinsoku w:val="0"/>
        <w:autoSpaceDE w:val="0"/>
        <w:autoSpaceDN w:val="0"/>
        <w:adjustRightInd w:val="0"/>
        <w:snapToGrid w:val="0"/>
        <w:spacing w:before="40" w:line="360" w:lineRule="auto"/>
        <w:ind w:firstLine="458"/>
        <w:textAlignment w:val="baseline"/>
        <w:rPr>
          <w:rFonts w:ascii="仿宋" w:hAnsi="仿宋" w:eastAsia="仿宋" w:cs="仿宋"/>
          <w:spacing w:val="9"/>
        </w:rPr>
      </w:pPr>
      <w:r>
        <w:rPr>
          <w:rFonts w:hint="eastAsia" w:ascii="仿宋" w:hAnsi="仿宋" w:eastAsia="仿宋" w:cs="仿宋"/>
          <w:spacing w:val="9"/>
        </w:rPr>
        <w:t>1、开标后，直到授予投标人合同为止，凡属于审查、澄清、评价和比较的有关资料以及授标建议等评标委员会成员或参与评标的有关工作人员均不得向投标人或其他无关人员透露，违者给予警告、取消担任评标委员会成员的资格，不得再参加任何项目的评标。</w:t>
      </w:r>
    </w:p>
    <w:p w14:paraId="188661B3">
      <w:pPr>
        <w:pStyle w:val="11"/>
        <w:widowControl/>
        <w:kinsoku w:val="0"/>
        <w:autoSpaceDE w:val="0"/>
        <w:autoSpaceDN w:val="0"/>
        <w:adjustRightInd w:val="0"/>
        <w:snapToGrid w:val="0"/>
        <w:spacing w:before="40" w:line="360" w:lineRule="auto"/>
        <w:ind w:firstLine="500" w:firstLineChars="200"/>
        <w:textAlignment w:val="baseline"/>
        <w:rPr>
          <w:rFonts w:ascii="仿宋" w:hAnsi="仿宋" w:eastAsia="仿宋" w:cs="仿宋"/>
        </w:rPr>
      </w:pPr>
      <w:r>
        <w:rPr>
          <w:rFonts w:hint="eastAsia" w:ascii="仿宋" w:hAnsi="仿宋" w:eastAsia="仿宋" w:cs="仿宋"/>
          <w:spacing w:val="5"/>
        </w:rPr>
        <w:t>2、投标人在评标过程中，所进行的力图影响评标结果的不符合《政府采购法》、</w:t>
      </w:r>
      <w:r>
        <w:rPr>
          <w:rFonts w:hint="eastAsia" w:ascii="仿宋" w:hAnsi="仿宋" w:eastAsia="仿宋" w:cs="仿宋"/>
          <w:spacing w:val="8"/>
        </w:rPr>
        <w:t>《政府采</w:t>
      </w:r>
      <w:r>
        <w:rPr>
          <w:rFonts w:hint="eastAsia" w:ascii="仿宋" w:hAnsi="仿宋" w:eastAsia="仿宋" w:cs="仿宋"/>
          <w:spacing w:val="5"/>
        </w:rPr>
        <w:t>购公开招标采购</w:t>
      </w:r>
      <w:r>
        <w:rPr>
          <w:rFonts w:hint="eastAsia" w:ascii="仿宋" w:hAnsi="仿宋" w:eastAsia="仿宋" w:cs="仿宋"/>
          <w:spacing w:val="8"/>
        </w:rPr>
        <w:t>方式管理暂行办法》及本次项目中有关规定</w:t>
      </w:r>
      <w:r>
        <w:rPr>
          <w:rFonts w:hint="eastAsia" w:ascii="仿宋" w:hAnsi="仿宋" w:eastAsia="仿宋" w:cs="仿宋"/>
          <w:spacing w:val="7"/>
        </w:rPr>
        <w:t>的活动，</w:t>
      </w:r>
      <w:r>
        <w:rPr>
          <w:rFonts w:hint="eastAsia" w:ascii="仿宋" w:hAnsi="仿宋" w:eastAsia="仿宋" w:cs="仿宋"/>
          <w:spacing w:val="4"/>
        </w:rPr>
        <w:t>将被取消中标资格。</w:t>
      </w:r>
    </w:p>
    <w:p w14:paraId="4F534057">
      <w:pPr>
        <w:pStyle w:val="11"/>
        <w:widowControl/>
        <w:kinsoku w:val="0"/>
        <w:autoSpaceDE w:val="0"/>
        <w:autoSpaceDN w:val="0"/>
        <w:adjustRightInd w:val="0"/>
        <w:snapToGrid w:val="0"/>
        <w:spacing w:before="40" w:line="360" w:lineRule="auto"/>
        <w:textAlignment w:val="baseline"/>
        <w:rPr>
          <w:rFonts w:ascii="仿宋" w:hAnsi="仿宋" w:eastAsia="仿宋" w:cs="仿宋"/>
        </w:rPr>
      </w:pPr>
      <w:r>
        <w:rPr>
          <w:rFonts w:hint="eastAsia" w:ascii="仿宋" w:hAnsi="仿宋" w:eastAsia="仿宋" w:cs="仿宋"/>
          <w:b/>
          <w:bCs/>
          <w:spacing w:val="4"/>
        </w:rPr>
        <w:t>八、定标</w:t>
      </w:r>
    </w:p>
    <w:p w14:paraId="42963863">
      <w:pPr>
        <w:pStyle w:val="11"/>
        <w:widowControl/>
        <w:kinsoku w:val="0"/>
        <w:autoSpaceDE w:val="0"/>
        <w:autoSpaceDN w:val="0"/>
        <w:adjustRightInd w:val="0"/>
        <w:snapToGrid w:val="0"/>
        <w:spacing w:before="40" w:line="360" w:lineRule="auto"/>
        <w:textAlignment w:val="baseline"/>
        <w:rPr>
          <w:rFonts w:ascii="仿宋" w:hAnsi="仿宋" w:eastAsia="仿宋" w:cs="仿宋"/>
        </w:rPr>
      </w:pPr>
      <w:r>
        <w:rPr>
          <w:rFonts w:hint="eastAsia" w:ascii="仿宋" w:hAnsi="仿宋" w:eastAsia="仿宋" w:cs="仿宋"/>
          <w:spacing w:val="3"/>
        </w:rPr>
        <w:t>1.定标标准</w:t>
      </w:r>
    </w:p>
    <w:p w14:paraId="1B9BCA3F">
      <w:pPr>
        <w:pStyle w:val="11"/>
        <w:widowControl/>
        <w:kinsoku w:val="0"/>
        <w:autoSpaceDE w:val="0"/>
        <w:autoSpaceDN w:val="0"/>
        <w:adjustRightInd w:val="0"/>
        <w:snapToGrid w:val="0"/>
        <w:spacing w:before="40" w:line="360" w:lineRule="auto"/>
        <w:ind w:firstLine="484"/>
        <w:textAlignment w:val="baseline"/>
        <w:rPr>
          <w:rFonts w:ascii="仿宋" w:hAnsi="仿宋" w:eastAsia="仿宋" w:cs="仿宋"/>
        </w:rPr>
      </w:pPr>
      <w:r>
        <w:rPr>
          <w:rFonts w:hint="eastAsia" w:ascii="仿宋" w:hAnsi="仿宋" w:eastAsia="仿宋" w:cs="仿宋"/>
          <w:spacing w:val="11"/>
        </w:rPr>
        <w:t>（一）原则：采购人将依据本项目根据评标委员会推荐的中标候选人名单，</w:t>
      </w:r>
      <w:r>
        <w:rPr>
          <w:rFonts w:hint="eastAsia" w:ascii="仿宋" w:hAnsi="仿宋" w:eastAsia="仿宋" w:cs="仿宋"/>
          <w:spacing w:val="4"/>
        </w:rPr>
        <w:t>按顺序确定中标人。</w:t>
      </w:r>
    </w:p>
    <w:p w14:paraId="561FC750">
      <w:pPr>
        <w:pStyle w:val="11"/>
        <w:widowControl/>
        <w:kinsoku w:val="0"/>
        <w:autoSpaceDE w:val="0"/>
        <w:autoSpaceDN w:val="0"/>
        <w:adjustRightInd w:val="0"/>
        <w:snapToGrid w:val="0"/>
        <w:spacing w:before="40" w:line="360" w:lineRule="auto"/>
        <w:textAlignment w:val="baseline"/>
        <w:rPr>
          <w:rFonts w:ascii="仿宋" w:hAnsi="仿宋" w:eastAsia="仿宋" w:cs="仿宋"/>
        </w:rPr>
      </w:pPr>
      <w:r>
        <w:rPr>
          <w:rFonts w:hint="eastAsia" w:ascii="仿宋" w:hAnsi="仿宋" w:eastAsia="仿宋" w:cs="仿宋"/>
          <w:spacing w:val="-3"/>
        </w:rPr>
        <w:t>（二）程序：</w:t>
      </w:r>
    </w:p>
    <w:p w14:paraId="541395B2">
      <w:pPr>
        <w:pStyle w:val="11"/>
        <w:widowControl/>
        <w:kinsoku w:val="0"/>
        <w:autoSpaceDE w:val="0"/>
        <w:autoSpaceDN w:val="0"/>
        <w:adjustRightInd w:val="0"/>
        <w:snapToGrid w:val="0"/>
        <w:spacing w:before="40" w:line="360" w:lineRule="auto"/>
        <w:ind w:firstLine="504" w:firstLineChars="200"/>
        <w:textAlignment w:val="baseline"/>
        <w:rPr>
          <w:rFonts w:ascii="仿宋" w:hAnsi="仿宋" w:eastAsia="仿宋" w:cs="仿宋"/>
        </w:rPr>
      </w:pPr>
      <w:r>
        <w:rPr>
          <w:rFonts w:hint="eastAsia" w:ascii="仿宋" w:hAnsi="仿宋" w:eastAsia="仿宋" w:cs="仿宋"/>
          <w:spacing w:val="6"/>
        </w:rPr>
        <w:t>1、采购代理机构在评标结束后</w:t>
      </w:r>
      <w:r>
        <w:rPr>
          <w:rFonts w:hint="eastAsia" w:ascii="仿宋" w:hAnsi="仿宋" w:eastAsia="仿宋" w:cs="仿宋"/>
          <w:spacing w:val="-19"/>
        </w:rPr>
        <w:t xml:space="preserve"> </w:t>
      </w:r>
      <w:r>
        <w:rPr>
          <w:rFonts w:hint="eastAsia" w:ascii="仿宋" w:hAnsi="仿宋" w:eastAsia="仿宋" w:cs="仿宋"/>
          <w:spacing w:val="6"/>
        </w:rPr>
        <w:t>2</w:t>
      </w:r>
      <w:r>
        <w:rPr>
          <w:rFonts w:hint="eastAsia" w:ascii="仿宋" w:hAnsi="仿宋" w:eastAsia="仿宋" w:cs="仿宋"/>
          <w:spacing w:val="-38"/>
        </w:rPr>
        <w:t xml:space="preserve"> </w:t>
      </w:r>
      <w:r>
        <w:rPr>
          <w:rFonts w:hint="eastAsia" w:ascii="仿宋" w:hAnsi="仿宋" w:eastAsia="仿宋" w:cs="仿宋"/>
          <w:spacing w:val="6"/>
        </w:rPr>
        <w:t>个工作日内将评标报告送采购人确认。</w:t>
      </w:r>
    </w:p>
    <w:p w14:paraId="2600745E">
      <w:pPr>
        <w:pStyle w:val="11"/>
        <w:widowControl/>
        <w:kinsoku w:val="0"/>
        <w:autoSpaceDE w:val="0"/>
        <w:autoSpaceDN w:val="0"/>
        <w:adjustRightInd w:val="0"/>
        <w:snapToGrid w:val="0"/>
        <w:spacing w:before="40" w:line="360" w:lineRule="auto"/>
        <w:ind w:firstLine="476"/>
        <w:textAlignment w:val="baseline"/>
        <w:rPr>
          <w:rFonts w:ascii="仿宋" w:hAnsi="仿宋" w:eastAsia="仿宋" w:cs="仿宋"/>
        </w:rPr>
      </w:pPr>
      <w:r>
        <w:rPr>
          <w:rFonts w:hint="eastAsia" w:ascii="仿宋" w:hAnsi="仿宋" w:eastAsia="仿宋" w:cs="仿宋"/>
          <w:spacing w:val="8"/>
        </w:rPr>
        <w:t>2、采购人应当在收到评标报告后</w:t>
      </w:r>
      <w:r>
        <w:rPr>
          <w:rFonts w:hint="eastAsia" w:ascii="仿宋" w:hAnsi="仿宋" w:eastAsia="仿宋" w:cs="仿宋"/>
          <w:spacing w:val="-34"/>
        </w:rPr>
        <w:t xml:space="preserve"> </w:t>
      </w:r>
      <w:r>
        <w:rPr>
          <w:rFonts w:hint="eastAsia" w:ascii="仿宋" w:hAnsi="仿宋" w:eastAsia="仿宋" w:cs="仿宋"/>
          <w:spacing w:val="8"/>
        </w:rPr>
        <w:t>5</w:t>
      </w:r>
      <w:r>
        <w:rPr>
          <w:rFonts w:hint="eastAsia" w:ascii="仿宋" w:hAnsi="仿宋" w:eastAsia="仿宋" w:cs="仿宋"/>
          <w:spacing w:val="-35"/>
        </w:rPr>
        <w:t xml:space="preserve"> </w:t>
      </w:r>
      <w:r>
        <w:rPr>
          <w:rFonts w:hint="eastAsia" w:ascii="仿宋" w:hAnsi="仿宋" w:eastAsia="仿宋" w:cs="仿宋"/>
          <w:spacing w:val="8"/>
        </w:rPr>
        <w:t>个工作日内，从评标报告提出的中标候选人</w:t>
      </w:r>
      <w:r>
        <w:rPr>
          <w:rFonts w:hint="eastAsia" w:ascii="仿宋" w:hAnsi="仿宋" w:eastAsia="仿宋" w:cs="仿宋"/>
          <w:spacing w:val="13"/>
        </w:rPr>
        <w:t>中，按照排序由高到低的原则确定中标人，也可以书面授权评标委员会直接确定中标人。采购人逾期未确定中标人且不提出异议的，视为确定评标报告提出的排序第一的投标人为中标人。采购人或者采购代理</w:t>
      </w:r>
      <w:r>
        <w:rPr>
          <w:rFonts w:hint="eastAsia" w:ascii="仿宋" w:hAnsi="仿宋" w:eastAsia="仿宋" w:cs="仿宋"/>
          <w:spacing w:val="12"/>
        </w:rPr>
        <w:t>机构应当在中标人确定后</w:t>
      </w:r>
      <w:r>
        <w:rPr>
          <w:rFonts w:hint="eastAsia" w:ascii="仿宋" w:hAnsi="仿宋" w:eastAsia="仿宋" w:cs="仿宋"/>
          <w:spacing w:val="-41"/>
        </w:rPr>
        <w:t xml:space="preserve"> </w:t>
      </w:r>
      <w:r>
        <w:rPr>
          <w:rFonts w:hint="eastAsia" w:ascii="仿宋" w:hAnsi="仿宋" w:eastAsia="仿宋" w:cs="仿宋"/>
          <w:spacing w:val="12"/>
        </w:rPr>
        <w:t>2</w:t>
      </w:r>
      <w:r>
        <w:rPr>
          <w:rFonts w:hint="eastAsia" w:ascii="仿宋" w:hAnsi="仿宋" w:eastAsia="仿宋" w:cs="仿宋"/>
          <w:spacing w:val="-34"/>
        </w:rPr>
        <w:t xml:space="preserve"> </w:t>
      </w:r>
      <w:r>
        <w:rPr>
          <w:rFonts w:hint="eastAsia" w:ascii="仿宋" w:hAnsi="仿宋" w:eastAsia="仿宋" w:cs="仿宋"/>
          <w:spacing w:val="12"/>
        </w:rPr>
        <w:t>个工作日内，在省级以上财政部门</w:t>
      </w:r>
      <w:r>
        <w:rPr>
          <w:rFonts w:hint="eastAsia" w:ascii="仿宋" w:hAnsi="仿宋" w:eastAsia="仿宋" w:cs="仿宋"/>
          <w:spacing w:val="11"/>
        </w:rPr>
        <w:t>指定的政府采购信息发布媒体上公告中标结果，同时向中标人发出中标通知书，并将</w:t>
      </w:r>
      <w:r>
        <w:rPr>
          <w:rFonts w:hint="eastAsia" w:ascii="仿宋" w:hAnsi="仿宋" w:eastAsia="仿宋" w:cs="仿宋"/>
          <w:spacing w:val="9"/>
        </w:rPr>
        <w:t>招标文件随中标结果同时公告。采购人与中标人应当在中标通知书发出之</w:t>
      </w:r>
      <w:r>
        <w:rPr>
          <w:rFonts w:hint="eastAsia" w:ascii="仿宋" w:hAnsi="仿宋" w:eastAsia="仿宋" w:cs="仿宋"/>
          <w:spacing w:val="7"/>
        </w:rPr>
        <w:t>日起30日内，按照招标文件确定的合同文本以及采购标的、付款方式、采购金</w:t>
      </w:r>
      <w:r>
        <w:rPr>
          <w:rFonts w:hint="eastAsia" w:ascii="仿宋" w:hAnsi="仿宋" w:eastAsia="仿宋" w:cs="仿宋"/>
          <w:spacing w:val="8"/>
        </w:rPr>
        <w:t>额、采购数量、技术和服务要求等事项签订政府采购合</w:t>
      </w:r>
      <w:r>
        <w:rPr>
          <w:rFonts w:hint="eastAsia" w:ascii="仿宋" w:hAnsi="仿宋" w:eastAsia="仿宋" w:cs="仿宋"/>
          <w:spacing w:val="7"/>
        </w:rPr>
        <w:t>同。</w:t>
      </w:r>
    </w:p>
    <w:p w14:paraId="0ECA6921">
      <w:pPr>
        <w:pStyle w:val="11"/>
        <w:widowControl/>
        <w:kinsoku w:val="0"/>
        <w:autoSpaceDE w:val="0"/>
        <w:autoSpaceDN w:val="0"/>
        <w:adjustRightInd w:val="0"/>
        <w:snapToGrid w:val="0"/>
        <w:spacing w:before="40" w:line="360" w:lineRule="auto"/>
        <w:ind w:firstLine="508" w:firstLineChars="200"/>
        <w:textAlignment w:val="baseline"/>
        <w:rPr>
          <w:rFonts w:ascii="仿宋" w:hAnsi="仿宋" w:eastAsia="仿宋" w:cs="仿宋"/>
        </w:rPr>
      </w:pPr>
      <w:r>
        <w:rPr>
          <w:rFonts w:hint="eastAsia" w:ascii="仿宋" w:hAnsi="仿宋" w:eastAsia="仿宋" w:cs="仿宋"/>
          <w:spacing w:val="7"/>
        </w:rPr>
        <w:t>3、采购单位不退回投标人投标文件和其他资料。</w:t>
      </w:r>
    </w:p>
    <w:p w14:paraId="7950A534">
      <w:pPr>
        <w:pStyle w:val="11"/>
        <w:spacing w:before="40" w:line="360" w:lineRule="auto"/>
        <w:rPr>
          <w:rFonts w:ascii="仿宋" w:hAnsi="仿宋" w:eastAsia="仿宋" w:cs="仿宋"/>
        </w:rPr>
      </w:pPr>
      <w:r>
        <w:rPr>
          <w:rFonts w:hint="eastAsia" w:ascii="仿宋" w:hAnsi="仿宋" w:eastAsia="仿宋" w:cs="仿宋"/>
          <w:b/>
          <w:bCs/>
          <w:spacing w:val="3"/>
        </w:rPr>
        <w:t>中标候选人并列式时的处理方式：</w:t>
      </w:r>
    </w:p>
    <w:p w14:paraId="59BC14B9">
      <w:pPr>
        <w:pStyle w:val="11"/>
        <w:spacing w:before="40" w:line="360" w:lineRule="auto"/>
        <w:ind w:firstLine="481"/>
        <w:rPr>
          <w:rFonts w:ascii="仿宋" w:hAnsi="仿宋" w:eastAsia="仿宋" w:cs="仿宋"/>
        </w:rPr>
      </w:pPr>
      <w:r>
        <w:rPr>
          <w:rFonts w:hint="eastAsia" w:ascii="仿宋" w:hAnsi="仿宋" w:eastAsia="仿宋" w:cs="仿宋"/>
          <w:spacing w:val="-4"/>
        </w:rPr>
        <w:t>采用综合评分法，则：</w:t>
      </w:r>
      <w:r>
        <w:rPr>
          <w:rFonts w:hint="eastAsia" w:ascii="仿宋" w:hAnsi="仿宋" w:eastAsia="仿宋" w:cs="仿宋"/>
          <w:spacing w:val="-4"/>
          <w:u w:val="single"/>
        </w:rPr>
        <w:t>评标得分相同的且投标报价不同的，按投标报价低的投标人为</w:t>
      </w:r>
      <w:r>
        <w:rPr>
          <w:rFonts w:hint="eastAsia" w:ascii="仿宋" w:hAnsi="仿宋" w:eastAsia="仿宋" w:cs="仿宋"/>
          <w:spacing w:val="8"/>
          <w:u w:val="single"/>
        </w:rPr>
        <w:t>排名第一的</w:t>
      </w:r>
      <w:r>
        <w:rPr>
          <w:rFonts w:hint="eastAsia" w:ascii="仿宋" w:hAnsi="仿宋" w:eastAsia="仿宋" w:cs="仿宋"/>
          <w:spacing w:val="-4"/>
          <w:u w:val="single"/>
        </w:rPr>
        <w:t>中标候选人</w:t>
      </w:r>
      <w:r>
        <w:rPr>
          <w:rFonts w:hint="eastAsia" w:ascii="仿宋" w:hAnsi="仿宋" w:eastAsia="仿宋" w:cs="仿宋"/>
          <w:spacing w:val="-1"/>
          <w:u w:val="single"/>
        </w:rPr>
        <w:t>；评标得分且投标报价相同的</w:t>
      </w:r>
      <w:r>
        <w:rPr>
          <w:rFonts w:hint="eastAsia" w:ascii="仿宋" w:hAnsi="仿宋" w:eastAsia="仿宋" w:cs="仿宋"/>
          <w:spacing w:val="-1"/>
          <w:u w:val="single"/>
          <w:lang w:eastAsia="zh-CN"/>
        </w:rPr>
        <w:t>，</w:t>
      </w:r>
      <w:r>
        <w:rPr>
          <w:rFonts w:hint="eastAsia" w:ascii="仿宋" w:hAnsi="仿宋" w:eastAsia="仿宋" w:cs="仿宋"/>
          <w:spacing w:val="-1"/>
          <w:u w:val="single"/>
          <w:lang w:val="en-US" w:eastAsia="zh-CN"/>
        </w:rPr>
        <w:t>且</w:t>
      </w:r>
      <w:r>
        <w:rPr>
          <w:rFonts w:hint="eastAsia" w:ascii="仿宋" w:hAnsi="仿宋" w:eastAsia="仿宋" w:cs="仿宋"/>
          <w:spacing w:val="-1"/>
          <w:u w:val="single"/>
        </w:rPr>
        <w:t>投标文件满足招标文件全部实质性要求，</w:t>
      </w:r>
      <w:r>
        <w:rPr>
          <w:rFonts w:hint="eastAsia" w:ascii="仿宋" w:hAnsi="仿宋" w:eastAsia="仿宋" w:cs="仿宋"/>
          <w:spacing w:val="-1"/>
          <w:u w:val="single"/>
          <w:lang w:val="en-US" w:eastAsia="zh-CN"/>
        </w:rPr>
        <w:t>以商务分得分最高为</w:t>
      </w:r>
      <w:r>
        <w:rPr>
          <w:rFonts w:hint="eastAsia" w:ascii="仿宋" w:hAnsi="仿宋" w:eastAsia="仿宋" w:cs="仿宋"/>
          <w:spacing w:val="-1"/>
          <w:u w:val="single"/>
        </w:rPr>
        <w:t>第一中标候选人</w:t>
      </w:r>
      <w:r>
        <w:rPr>
          <w:rFonts w:hint="eastAsia" w:ascii="仿宋" w:hAnsi="仿宋" w:eastAsia="仿宋" w:cs="仿宋"/>
          <w:spacing w:val="8"/>
        </w:rPr>
        <w:t>。</w:t>
      </w:r>
    </w:p>
    <w:p w14:paraId="5CD01E53">
      <w:pPr>
        <w:pStyle w:val="11"/>
        <w:spacing w:before="184" w:line="228" w:lineRule="auto"/>
        <w:rPr>
          <w:rFonts w:ascii="仿宋" w:hAnsi="仿宋" w:eastAsia="仿宋" w:cs="仿宋"/>
          <w:sz w:val="23"/>
          <w:szCs w:val="23"/>
        </w:rPr>
      </w:pPr>
    </w:p>
    <w:p w14:paraId="4BF3530A">
      <w:pPr>
        <w:pStyle w:val="11"/>
        <w:numPr>
          <w:ilvl w:val="0"/>
          <w:numId w:val="9"/>
        </w:numPr>
        <w:spacing w:before="184" w:line="360" w:lineRule="auto"/>
        <w:rPr>
          <w:rFonts w:ascii="仿宋" w:hAnsi="仿宋" w:eastAsia="仿宋" w:cs="仿宋"/>
          <w:b/>
          <w:bCs/>
          <w:sz w:val="23"/>
          <w:szCs w:val="23"/>
        </w:rPr>
      </w:pPr>
      <w:r>
        <w:rPr>
          <w:rFonts w:hint="eastAsia" w:ascii="仿宋" w:hAnsi="仿宋" w:eastAsia="仿宋" w:cs="仿宋"/>
          <w:b/>
          <w:bCs/>
          <w:sz w:val="23"/>
          <w:szCs w:val="23"/>
        </w:rPr>
        <w:t>落实政策</w:t>
      </w:r>
    </w:p>
    <w:p w14:paraId="499E048F">
      <w:pPr>
        <w:spacing w:before="78" w:line="360" w:lineRule="auto"/>
        <w:ind w:right="26" w:firstLine="472" w:firstLineChars="200"/>
        <w:rPr>
          <w:rFonts w:ascii="仿宋" w:hAnsi="仿宋" w:eastAsia="仿宋" w:cs="仿宋"/>
          <w:sz w:val="24"/>
        </w:rPr>
      </w:pPr>
      <w:r>
        <w:rPr>
          <w:rFonts w:hint="eastAsia" w:ascii="仿宋" w:hAnsi="仿宋" w:eastAsia="仿宋" w:cs="仿宋"/>
          <w:spacing w:val="-2"/>
          <w:sz w:val="24"/>
        </w:rPr>
        <w:t>投标人所提供服</w:t>
      </w:r>
      <w:r>
        <w:rPr>
          <w:rFonts w:hint="eastAsia" w:ascii="仿宋" w:hAnsi="仿宋" w:eastAsia="仿宋" w:cs="仿宋"/>
          <w:spacing w:val="5"/>
          <w:sz w:val="24"/>
        </w:rPr>
        <w:t>务中伴随的产品如被列入财政部与国家主管</w:t>
      </w:r>
      <w:r>
        <w:rPr>
          <w:rFonts w:hint="eastAsia" w:ascii="仿宋" w:hAnsi="仿宋" w:eastAsia="仿宋" w:cs="仿宋"/>
          <w:spacing w:val="-2"/>
          <w:sz w:val="24"/>
        </w:rPr>
        <w:t>部门颁发的节能产品目录或环境标志产品目录或无线局域网产</w:t>
      </w:r>
      <w:r>
        <w:rPr>
          <w:rFonts w:hint="eastAsia" w:ascii="仿宋" w:hAnsi="仿宋" w:eastAsia="仿宋" w:cs="仿宋"/>
          <w:spacing w:val="-3"/>
          <w:sz w:val="24"/>
        </w:rPr>
        <w:t>品目录，应提供相</w:t>
      </w:r>
      <w:r>
        <w:rPr>
          <w:rFonts w:hint="eastAsia" w:ascii="仿宋" w:hAnsi="仿宋" w:eastAsia="仿宋" w:cs="仿宋"/>
          <w:spacing w:val="-2"/>
          <w:sz w:val="24"/>
        </w:rPr>
        <w:t>关证明，在评标时予以优先采购，具体优惠措施为</w:t>
      </w:r>
      <w:r>
        <w:rPr>
          <w:rFonts w:hint="eastAsia" w:ascii="仿宋" w:hAnsi="仿宋" w:eastAsia="仿宋" w:cs="仿宋"/>
          <w:spacing w:val="-2"/>
          <w:sz w:val="24"/>
          <w:u w:val="single"/>
        </w:rPr>
        <w:t>：《财政部</w:t>
      </w:r>
      <w:r>
        <w:rPr>
          <w:rFonts w:hint="eastAsia" w:ascii="仿宋" w:hAnsi="仿宋" w:eastAsia="仿宋" w:cs="仿宋"/>
          <w:spacing w:val="-3"/>
          <w:sz w:val="24"/>
          <w:u w:val="single"/>
        </w:rPr>
        <w:t>、发展改革委、生</w:t>
      </w:r>
      <w:r>
        <w:rPr>
          <w:rFonts w:hint="eastAsia" w:ascii="仿宋" w:hAnsi="仿宋" w:eastAsia="仿宋" w:cs="仿宋"/>
          <w:spacing w:val="-2"/>
          <w:sz w:val="24"/>
          <w:u w:val="single"/>
        </w:rPr>
        <w:t>态环境部、市场监管总局关于优化节能产品、环境标志产品政</w:t>
      </w:r>
      <w:r>
        <w:rPr>
          <w:rFonts w:hint="eastAsia" w:ascii="仿宋" w:hAnsi="仿宋" w:eastAsia="仿宋" w:cs="仿宋"/>
          <w:spacing w:val="-3"/>
          <w:sz w:val="24"/>
          <w:u w:val="single"/>
        </w:rPr>
        <w:t>府采购执行机制的</w:t>
      </w:r>
      <w:r>
        <w:rPr>
          <w:rFonts w:hint="eastAsia" w:ascii="仿宋" w:hAnsi="仿宋" w:eastAsia="仿宋" w:cs="仿宋"/>
          <w:spacing w:val="-1"/>
          <w:sz w:val="24"/>
          <w:u w:val="single"/>
        </w:rPr>
        <w:t>通知》（财库〔2019〕9号）。</w:t>
      </w:r>
    </w:p>
    <w:p w14:paraId="7BFC065E">
      <w:pPr>
        <w:pStyle w:val="11"/>
        <w:kinsoku w:val="0"/>
        <w:autoSpaceDE w:val="0"/>
        <w:autoSpaceDN w:val="0"/>
        <w:adjustRightInd w:val="0"/>
        <w:snapToGrid w:val="0"/>
        <w:spacing w:before="184" w:line="228" w:lineRule="auto"/>
        <w:jc w:val="left"/>
        <w:textAlignment w:val="baseline"/>
        <w:rPr>
          <w:rFonts w:ascii="仿宋" w:hAnsi="仿宋" w:eastAsia="仿宋" w:cs="仿宋"/>
          <w:b/>
          <w:bCs/>
          <w:sz w:val="23"/>
          <w:szCs w:val="23"/>
        </w:rPr>
        <w:sectPr>
          <w:headerReference r:id="rId9" w:type="default"/>
          <w:footerReference r:id="rId10" w:type="default"/>
          <w:pgSz w:w="11906" w:h="16838"/>
          <w:pgMar w:top="400" w:right="1782" w:bottom="1263" w:left="1647" w:header="0" w:footer="1087" w:gutter="0"/>
          <w:cols w:space="720" w:num="1"/>
        </w:sectPr>
      </w:pPr>
    </w:p>
    <w:p w14:paraId="53D106FC">
      <w:pPr>
        <w:pStyle w:val="11"/>
        <w:spacing w:before="91" w:line="221" w:lineRule="auto"/>
        <w:jc w:val="center"/>
        <w:outlineLvl w:val="0"/>
        <w:rPr>
          <w:rFonts w:ascii="仿宋" w:hAnsi="仿宋" w:eastAsia="仿宋" w:cs="仿宋"/>
          <w:sz w:val="32"/>
          <w:szCs w:val="32"/>
        </w:rPr>
      </w:pPr>
      <w:r>
        <w:rPr>
          <w:rFonts w:hint="eastAsia" w:ascii="仿宋" w:hAnsi="仿宋" w:eastAsia="仿宋" w:cs="仿宋"/>
          <w:b/>
          <w:bCs/>
          <w:spacing w:val="-8"/>
          <w:sz w:val="32"/>
          <w:szCs w:val="32"/>
        </w:rPr>
        <w:t>资格审查表</w:t>
      </w:r>
    </w:p>
    <w:p w14:paraId="4750FEA6">
      <w:pPr>
        <w:spacing w:before="19"/>
        <w:rPr>
          <w:rFonts w:ascii="仿宋" w:hAnsi="仿宋" w:eastAsia="仿宋" w:cs="仿宋"/>
        </w:rPr>
      </w:pPr>
    </w:p>
    <w:tbl>
      <w:tblPr>
        <w:tblStyle w:val="103"/>
        <w:tblW w:w="93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8"/>
        <w:gridCol w:w="6702"/>
        <w:gridCol w:w="696"/>
        <w:gridCol w:w="696"/>
        <w:gridCol w:w="721"/>
      </w:tblGrid>
      <w:tr w14:paraId="78A5FD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528" w:type="dxa"/>
            <w:vMerge w:val="restart"/>
            <w:tcBorders>
              <w:bottom w:val="nil"/>
            </w:tcBorders>
          </w:tcPr>
          <w:p w14:paraId="0108D472">
            <w:pPr>
              <w:pStyle w:val="108"/>
              <w:spacing w:line="416" w:lineRule="auto"/>
              <w:rPr>
                <w:rFonts w:ascii="仿宋" w:hAnsi="仿宋" w:eastAsia="仿宋" w:cs="仿宋"/>
              </w:rPr>
            </w:pPr>
          </w:p>
          <w:p w14:paraId="1EF7B349">
            <w:pPr>
              <w:spacing w:before="75" w:line="231" w:lineRule="auto"/>
              <w:ind w:left="37"/>
              <w:rPr>
                <w:rFonts w:ascii="仿宋" w:hAnsi="仿宋" w:eastAsia="仿宋" w:cs="仿宋"/>
                <w:sz w:val="23"/>
                <w:szCs w:val="23"/>
              </w:rPr>
            </w:pPr>
            <w:r>
              <w:rPr>
                <w:rFonts w:hint="eastAsia" w:ascii="仿宋" w:hAnsi="仿宋" w:eastAsia="仿宋" w:cs="仿宋"/>
                <w:spacing w:val="2"/>
                <w:sz w:val="23"/>
                <w:szCs w:val="23"/>
              </w:rPr>
              <w:t>序号</w:t>
            </w:r>
          </w:p>
        </w:tc>
        <w:tc>
          <w:tcPr>
            <w:tcW w:w="6702" w:type="dxa"/>
            <w:vMerge w:val="restart"/>
            <w:tcBorders>
              <w:bottom w:val="nil"/>
            </w:tcBorders>
          </w:tcPr>
          <w:p w14:paraId="723F3071">
            <w:pPr>
              <w:pStyle w:val="108"/>
              <w:spacing w:line="285" w:lineRule="auto"/>
              <w:rPr>
                <w:rFonts w:ascii="仿宋" w:hAnsi="仿宋" w:eastAsia="仿宋" w:cs="仿宋"/>
              </w:rPr>
            </w:pPr>
          </w:p>
          <w:p w14:paraId="755E3764">
            <w:pPr>
              <w:pStyle w:val="108"/>
              <w:spacing w:line="286" w:lineRule="auto"/>
              <w:rPr>
                <w:rFonts w:ascii="仿宋" w:hAnsi="仿宋" w:eastAsia="仿宋" w:cs="仿宋"/>
              </w:rPr>
            </w:pPr>
          </w:p>
          <w:p w14:paraId="1A7F8BD8">
            <w:pPr>
              <w:spacing w:before="75" w:line="231" w:lineRule="auto"/>
              <w:ind w:left="3022"/>
              <w:rPr>
                <w:rFonts w:ascii="仿宋" w:hAnsi="仿宋" w:eastAsia="仿宋" w:cs="仿宋"/>
                <w:sz w:val="23"/>
                <w:szCs w:val="23"/>
              </w:rPr>
            </w:pPr>
            <w:r>
              <w:rPr>
                <w:rFonts w:hint="eastAsia" w:ascii="仿宋" w:hAnsi="仿宋" w:eastAsia="仿宋" w:cs="仿宋"/>
                <w:spacing w:val="-2"/>
                <w:sz w:val="23"/>
                <w:szCs w:val="23"/>
              </w:rPr>
              <w:t>审查项</w:t>
            </w:r>
          </w:p>
        </w:tc>
        <w:tc>
          <w:tcPr>
            <w:tcW w:w="2113" w:type="dxa"/>
            <w:gridSpan w:val="3"/>
          </w:tcPr>
          <w:p w14:paraId="2E2976D8">
            <w:pPr>
              <w:spacing w:before="131" w:line="231" w:lineRule="auto"/>
              <w:ind w:firstLine="714" w:firstLineChars="300"/>
              <w:rPr>
                <w:rFonts w:ascii="仿宋" w:hAnsi="仿宋" w:eastAsia="仿宋" w:cs="仿宋"/>
                <w:sz w:val="23"/>
                <w:szCs w:val="23"/>
              </w:rPr>
            </w:pPr>
            <w:r>
              <w:rPr>
                <w:rFonts w:hint="eastAsia" w:ascii="仿宋" w:hAnsi="仿宋" w:eastAsia="仿宋" w:cs="仿宋"/>
                <w:spacing w:val="4"/>
                <w:sz w:val="23"/>
                <w:szCs w:val="23"/>
              </w:rPr>
              <w:t>投标人</w:t>
            </w:r>
          </w:p>
        </w:tc>
      </w:tr>
      <w:tr w14:paraId="3D9C95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0" w:hRule="atLeast"/>
        </w:trPr>
        <w:tc>
          <w:tcPr>
            <w:tcW w:w="528" w:type="dxa"/>
            <w:vMerge w:val="continue"/>
            <w:tcBorders>
              <w:top w:val="nil"/>
            </w:tcBorders>
          </w:tcPr>
          <w:p w14:paraId="46885C22">
            <w:pPr>
              <w:pStyle w:val="108"/>
              <w:rPr>
                <w:rFonts w:ascii="仿宋" w:hAnsi="仿宋" w:eastAsia="仿宋" w:cs="仿宋"/>
              </w:rPr>
            </w:pPr>
          </w:p>
        </w:tc>
        <w:tc>
          <w:tcPr>
            <w:tcW w:w="6702" w:type="dxa"/>
            <w:vMerge w:val="continue"/>
            <w:tcBorders>
              <w:top w:val="nil"/>
            </w:tcBorders>
          </w:tcPr>
          <w:p w14:paraId="4A767842">
            <w:pPr>
              <w:pStyle w:val="108"/>
              <w:rPr>
                <w:rFonts w:ascii="仿宋" w:hAnsi="仿宋" w:eastAsia="仿宋" w:cs="仿宋"/>
              </w:rPr>
            </w:pPr>
          </w:p>
        </w:tc>
        <w:tc>
          <w:tcPr>
            <w:tcW w:w="696" w:type="dxa"/>
          </w:tcPr>
          <w:p w14:paraId="560F9769">
            <w:pPr>
              <w:spacing w:before="64" w:line="255" w:lineRule="auto"/>
              <w:ind w:left="27" w:right="205" w:hanging="5"/>
              <w:rPr>
                <w:rFonts w:ascii="仿宋" w:hAnsi="仿宋" w:eastAsia="仿宋" w:cs="仿宋"/>
                <w:sz w:val="23"/>
                <w:szCs w:val="23"/>
              </w:rPr>
            </w:pPr>
            <w:r>
              <w:rPr>
                <w:rFonts w:hint="eastAsia" w:ascii="仿宋" w:hAnsi="仿宋" w:eastAsia="仿宋" w:cs="仿宋"/>
                <w:spacing w:val="1"/>
                <w:sz w:val="23"/>
                <w:szCs w:val="23"/>
              </w:rPr>
              <w:t>是否</w:t>
            </w:r>
            <w:r>
              <w:rPr>
                <w:rFonts w:hint="eastAsia" w:ascii="仿宋" w:hAnsi="仿宋" w:eastAsia="仿宋" w:cs="仿宋"/>
                <w:sz w:val="23"/>
                <w:szCs w:val="23"/>
              </w:rPr>
              <w:t xml:space="preserve"> </w:t>
            </w:r>
            <w:r>
              <w:rPr>
                <w:rFonts w:hint="eastAsia" w:ascii="仿宋" w:hAnsi="仿宋" w:eastAsia="仿宋" w:cs="仿宋"/>
                <w:spacing w:val="-2"/>
                <w:sz w:val="23"/>
                <w:szCs w:val="23"/>
              </w:rPr>
              <w:t>合格</w:t>
            </w:r>
          </w:p>
        </w:tc>
        <w:tc>
          <w:tcPr>
            <w:tcW w:w="696" w:type="dxa"/>
          </w:tcPr>
          <w:p w14:paraId="440C0309">
            <w:pPr>
              <w:spacing w:before="64" w:line="255" w:lineRule="auto"/>
              <w:ind w:left="27" w:right="205" w:hanging="5"/>
              <w:rPr>
                <w:rFonts w:ascii="仿宋" w:hAnsi="仿宋" w:eastAsia="仿宋" w:cs="仿宋"/>
                <w:sz w:val="23"/>
                <w:szCs w:val="23"/>
              </w:rPr>
            </w:pPr>
            <w:r>
              <w:rPr>
                <w:rFonts w:hint="eastAsia" w:ascii="仿宋" w:hAnsi="仿宋" w:eastAsia="仿宋" w:cs="仿宋"/>
                <w:spacing w:val="1"/>
                <w:sz w:val="23"/>
                <w:szCs w:val="23"/>
              </w:rPr>
              <w:t>是否</w:t>
            </w:r>
            <w:r>
              <w:rPr>
                <w:rFonts w:hint="eastAsia" w:ascii="仿宋" w:hAnsi="仿宋" w:eastAsia="仿宋" w:cs="仿宋"/>
                <w:sz w:val="23"/>
                <w:szCs w:val="23"/>
              </w:rPr>
              <w:t xml:space="preserve"> </w:t>
            </w:r>
            <w:r>
              <w:rPr>
                <w:rFonts w:hint="eastAsia" w:ascii="仿宋" w:hAnsi="仿宋" w:eastAsia="仿宋" w:cs="仿宋"/>
                <w:spacing w:val="-2"/>
                <w:sz w:val="23"/>
                <w:szCs w:val="23"/>
              </w:rPr>
              <w:t>合格</w:t>
            </w:r>
          </w:p>
        </w:tc>
        <w:tc>
          <w:tcPr>
            <w:tcW w:w="721" w:type="dxa"/>
          </w:tcPr>
          <w:p w14:paraId="6D8F0CAD">
            <w:pPr>
              <w:spacing w:before="64" w:line="255" w:lineRule="auto"/>
              <w:ind w:left="27" w:right="230" w:hanging="5"/>
              <w:rPr>
                <w:rFonts w:ascii="仿宋" w:hAnsi="仿宋" w:eastAsia="仿宋" w:cs="仿宋"/>
                <w:sz w:val="23"/>
                <w:szCs w:val="23"/>
              </w:rPr>
            </w:pPr>
            <w:r>
              <w:rPr>
                <w:rFonts w:hint="eastAsia" w:ascii="仿宋" w:hAnsi="仿宋" w:eastAsia="仿宋" w:cs="仿宋"/>
                <w:spacing w:val="1"/>
                <w:sz w:val="23"/>
                <w:szCs w:val="23"/>
              </w:rPr>
              <w:t>是否</w:t>
            </w:r>
            <w:r>
              <w:rPr>
                <w:rFonts w:hint="eastAsia" w:ascii="仿宋" w:hAnsi="仿宋" w:eastAsia="仿宋" w:cs="仿宋"/>
                <w:sz w:val="23"/>
                <w:szCs w:val="23"/>
              </w:rPr>
              <w:t xml:space="preserve"> </w:t>
            </w:r>
            <w:r>
              <w:rPr>
                <w:rFonts w:hint="eastAsia" w:ascii="仿宋" w:hAnsi="仿宋" w:eastAsia="仿宋" w:cs="仿宋"/>
                <w:spacing w:val="-2"/>
                <w:sz w:val="23"/>
                <w:szCs w:val="23"/>
              </w:rPr>
              <w:t>合格</w:t>
            </w:r>
          </w:p>
        </w:tc>
      </w:tr>
      <w:tr w14:paraId="7BF7A3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7" w:hRule="atLeast"/>
        </w:trPr>
        <w:tc>
          <w:tcPr>
            <w:tcW w:w="528" w:type="dxa"/>
            <w:vAlign w:val="center"/>
          </w:tcPr>
          <w:p w14:paraId="0B950834">
            <w:pPr>
              <w:widowControl/>
              <w:kinsoku w:val="0"/>
              <w:autoSpaceDE w:val="0"/>
              <w:autoSpaceDN w:val="0"/>
              <w:adjustRightInd w:val="0"/>
              <w:snapToGrid w:val="0"/>
              <w:spacing w:line="360" w:lineRule="auto"/>
              <w:jc w:val="center"/>
              <w:textAlignment w:val="baseline"/>
              <w:rPr>
                <w:rFonts w:ascii="仿宋" w:hAnsi="仿宋" w:eastAsia="仿宋" w:cs="仿宋"/>
                <w:sz w:val="24"/>
              </w:rPr>
            </w:pPr>
            <w:r>
              <w:rPr>
                <w:rFonts w:hint="eastAsia" w:ascii="仿宋" w:hAnsi="仿宋" w:eastAsia="仿宋" w:cs="仿宋"/>
                <w:sz w:val="24"/>
              </w:rPr>
              <w:t>1</w:t>
            </w:r>
          </w:p>
        </w:tc>
        <w:tc>
          <w:tcPr>
            <w:tcW w:w="6702" w:type="dxa"/>
          </w:tcPr>
          <w:p w14:paraId="00E601A8">
            <w:pPr>
              <w:widowControl/>
              <w:kinsoku w:val="0"/>
              <w:autoSpaceDE w:val="0"/>
              <w:autoSpaceDN w:val="0"/>
              <w:adjustRightInd w:val="0"/>
              <w:snapToGrid w:val="0"/>
              <w:spacing w:line="360" w:lineRule="auto"/>
              <w:textAlignment w:val="baseline"/>
              <w:rPr>
                <w:rFonts w:ascii="仿宋" w:hAnsi="仿宋" w:eastAsia="仿宋" w:cs="仿宋"/>
                <w:sz w:val="24"/>
              </w:rPr>
            </w:pPr>
            <w:r>
              <w:rPr>
                <w:rFonts w:hint="eastAsia" w:ascii="仿宋" w:hAnsi="仿宋" w:eastAsia="仿宋" w:cs="仿宋"/>
                <w:sz w:val="24"/>
              </w:rPr>
              <w:t>具有独立承担民事责任的能力；（提供企业三证合一的法人营业执照或含二维码的营业执照）；</w:t>
            </w:r>
          </w:p>
        </w:tc>
        <w:tc>
          <w:tcPr>
            <w:tcW w:w="696" w:type="dxa"/>
          </w:tcPr>
          <w:p w14:paraId="7E000D8D">
            <w:pPr>
              <w:pStyle w:val="108"/>
              <w:rPr>
                <w:rFonts w:ascii="仿宋" w:hAnsi="仿宋" w:eastAsia="仿宋" w:cs="仿宋"/>
                <w:lang w:eastAsia="zh-CN"/>
              </w:rPr>
            </w:pPr>
          </w:p>
        </w:tc>
        <w:tc>
          <w:tcPr>
            <w:tcW w:w="696" w:type="dxa"/>
          </w:tcPr>
          <w:p w14:paraId="4551CB70">
            <w:pPr>
              <w:pStyle w:val="108"/>
              <w:rPr>
                <w:rFonts w:ascii="仿宋" w:hAnsi="仿宋" w:eastAsia="仿宋" w:cs="仿宋"/>
                <w:lang w:eastAsia="zh-CN"/>
              </w:rPr>
            </w:pPr>
          </w:p>
        </w:tc>
        <w:tc>
          <w:tcPr>
            <w:tcW w:w="721" w:type="dxa"/>
          </w:tcPr>
          <w:p w14:paraId="09B17C83">
            <w:pPr>
              <w:pStyle w:val="108"/>
              <w:rPr>
                <w:rFonts w:ascii="仿宋" w:hAnsi="仿宋" w:eastAsia="仿宋" w:cs="仿宋"/>
                <w:lang w:eastAsia="zh-CN"/>
              </w:rPr>
            </w:pPr>
          </w:p>
        </w:tc>
      </w:tr>
      <w:tr w14:paraId="00408D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4" w:hRule="atLeast"/>
        </w:trPr>
        <w:tc>
          <w:tcPr>
            <w:tcW w:w="528" w:type="dxa"/>
            <w:vAlign w:val="center"/>
          </w:tcPr>
          <w:p w14:paraId="21C8A5D0">
            <w:pPr>
              <w:widowControl/>
              <w:kinsoku w:val="0"/>
              <w:autoSpaceDE w:val="0"/>
              <w:autoSpaceDN w:val="0"/>
              <w:adjustRightInd w:val="0"/>
              <w:snapToGrid w:val="0"/>
              <w:spacing w:line="360" w:lineRule="auto"/>
              <w:jc w:val="center"/>
              <w:textAlignment w:val="baseline"/>
              <w:rPr>
                <w:rFonts w:ascii="仿宋" w:hAnsi="仿宋" w:eastAsia="仿宋" w:cs="仿宋"/>
                <w:sz w:val="24"/>
              </w:rPr>
            </w:pPr>
            <w:r>
              <w:rPr>
                <w:rFonts w:hint="eastAsia" w:ascii="仿宋" w:hAnsi="仿宋" w:eastAsia="仿宋" w:cs="仿宋"/>
                <w:sz w:val="24"/>
              </w:rPr>
              <w:t>2</w:t>
            </w:r>
          </w:p>
        </w:tc>
        <w:tc>
          <w:tcPr>
            <w:tcW w:w="6702" w:type="dxa"/>
            <w:shd w:val="clear" w:color="auto" w:fill="auto"/>
          </w:tcPr>
          <w:p w14:paraId="12491AD4">
            <w:pPr>
              <w:widowControl/>
              <w:kinsoku w:val="0"/>
              <w:autoSpaceDE w:val="0"/>
              <w:autoSpaceDN w:val="0"/>
              <w:adjustRightInd w:val="0"/>
              <w:snapToGrid w:val="0"/>
              <w:spacing w:line="360" w:lineRule="auto"/>
              <w:ind w:right="1" w:firstLine="2"/>
              <w:textAlignment w:val="baseline"/>
              <w:rPr>
                <w:rFonts w:ascii="仿宋" w:hAnsi="仿宋" w:eastAsia="仿宋" w:cs="仿宋"/>
                <w:snapToGrid w:val="0"/>
                <w:color w:val="000000"/>
                <w:kern w:val="0"/>
                <w:sz w:val="24"/>
              </w:rPr>
            </w:pPr>
            <w:r>
              <w:rPr>
                <w:rFonts w:hint="eastAsia" w:ascii="仿宋" w:hAnsi="仿宋" w:eastAsia="仿宋" w:cs="仿宋"/>
                <w:snapToGrid w:val="0"/>
                <w:color w:val="000000"/>
                <w:kern w:val="0"/>
                <w:sz w:val="24"/>
              </w:rPr>
              <w:t>具有良好的商业信誉和健全的财务会计制度；提供近两年内任意一年的财务审计报告（新成立的公司可提供近一个月的银行资信证明）；</w:t>
            </w:r>
          </w:p>
        </w:tc>
        <w:tc>
          <w:tcPr>
            <w:tcW w:w="696" w:type="dxa"/>
          </w:tcPr>
          <w:p w14:paraId="043260F3">
            <w:pPr>
              <w:pStyle w:val="108"/>
              <w:rPr>
                <w:rFonts w:ascii="仿宋" w:hAnsi="仿宋" w:eastAsia="仿宋" w:cs="仿宋"/>
                <w:lang w:eastAsia="zh-CN"/>
              </w:rPr>
            </w:pPr>
          </w:p>
        </w:tc>
        <w:tc>
          <w:tcPr>
            <w:tcW w:w="696" w:type="dxa"/>
          </w:tcPr>
          <w:p w14:paraId="733D4AA8">
            <w:pPr>
              <w:pStyle w:val="108"/>
              <w:rPr>
                <w:rFonts w:ascii="仿宋" w:hAnsi="仿宋" w:eastAsia="仿宋" w:cs="仿宋"/>
                <w:lang w:eastAsia="zh-CN"/>
              </w:rPr>
            </w:pPr>
          </w:p>
        </w:tc>
        <w:tc>
          <w:tcPr>
            <w:tcW w:w="721" w:type="dxa"/>
          </w:tcPr>
          <w:p w14:paraId="1CB25324">
            <w:pPr>
              <w:pStyle w:val="108"/>
              <w:rPr>
                <w:rFonts w:ascii="仿宋" w:hAnsi="仿宋" w:eastAsia="仿宋" w:cs="仿宋"/>
                <w:lang w:eastAsia="zh-CN"/>
              </w:rPr>
            </w:pPr>
          </w:p>
        </w:tc>
      </w:tr>
      <w:tr w14:paraId="083864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528" w:type="dxa"/>
            <w:vAlign w:val="center"/>
          </w:tcPr>
          <w:p w14:paraId="5E5AB042">
            <w:pPr>
              <w:widowControl/>
              <w:kinsoku w:val="0"/>
              <w:autoSpaceDE w:val="0"/>
              <w:autoSpaceDN w:val="0"/>
              <w:adjustRightInd w:val="0"/>
              <w:snapToGrid w:val="0"/>
              <w:spacing w:line="360" w:lineRule="auto"/>
              <w:jc w:val="center"/>
              <w:textAlignment w:val="baseline"/>
              <w:rPr>
                <w:rFonts w:ascii="仿宋" w:hAnsi="仿宋" w:eastAsia="仿宋" w:cs="仿宋"/>
                <w:sz w:val="24"/>
              </w:rPr>
            </w:pPr>
            <w:r>
              <w:rPr>
                <w:rFonts w:hint="eastAsia" w:ascii="仿宋" w:hAnsi="仿宋" w:eastAsia="仿宋" w:cs="仿宋"/>
                <w:sz w:val="24"/>
              </w:rPr>
              <w:t>3</w:t>
            </w:r>
          </w:p>
        </w:tc>
        <w:tc>
          <w:tcPr>
            <w:tcW w:w="6702" w:type="dxa"/>
            <w:shd w:val="clear" w:color="auto" w:fill="auto"/>
          </w:tcPr>
          <w:p w14:paraId="45101F0A">
            <w:pPr>
              <w:widowControl/>
              <w:kinsoku w:val="0"/>
              <w:autoSpaceDE w:val="0"/>
              <w:autoSpaceDN w:val="0"/>
              <w:adjustRightInd w:val="0"/>
              <w:snapToGrid w:val="0"/>
              <w:spacing w:line="360" w:lineRule="auto"/>
              <w:textAlignment w:val="baseline"/>
              <w:rPr>
                <w:rFonts w:ascii="仿宋" w:hAnsi="仿宋" w:eastAsia="仿宋" w:cs="仿宋"/>
                <w:snapToGrid w:val="0"/>
                <w:color w:val="000000"/>
                <w:kern w:val="0"/>
                <w:sz w:val="24"/>
              </w:rPr>
            </w:pPr>
            <w:r>
              <w:rPr>
                <w:rFonts w:hint="eastAsia" w:ascii="仿宋" w:hAnsi="仿宋" w:eastAsia="仿宋" w:cs="仿宋"/>
                <w:snapToGrid w:val="0"/>
                <w:sz w:val="24"/>
                <w:lang w:val="zh-CN"/>
              </w:rPr>
              <w:t>具有履行合同所必需的设备和专业技术能力的承诺书；</w:t>
            </w:r>
          </w:p>
        </w:tc>
        <w:tc>
          <w:tcPr>
            <w:tcW w:w="696" w:type="dxa"/>
          </w:tcPr>
          <w:p w14:paraId="3C668EC5">
            <w:pPr>
              <w:pStyle w:val="108"/>
              <w:rPr>
                <w:rFonts w:ascii="仿宋" w:hAnsi="仿宋" w:eastAsia="仿宋" w:cs="仿宋"/>
                <w:lang w:eastAsia="zh-CN"/>
              </w:rPr>
            </w:pPr>
          </w:p>
        </w:tc>
        <w:tc>
          <w:tcPr>
            <w:tcW w:w="696" w:type="dxa"/>
          </w:tcPr>
          <w:p w14:paraId="02706BED">
            <w:pPr>
              <w:pStyle w:val="108"/>
              <w:rPr>
                <w:rFonts w:ascii="仿宋" w:hAnsi="仿宋" w:eastAsia="仿宋" w:cs="仿宋"/>
                <w:lang w:eastAsia="zh-CN"/>
              </w:rPr>
            </w:pPr>
          </w:p>
        </w:tc>
        <w:tc>
          <w:tcPr>
            <w:tcW w:w="721" w:type="dxa"/>
          </w:tcPr>
          <w:p w14:paraId="651C3ED3">
            <w:pPr>
              <w:pStyle w:val="108"/>
              <w:rPr>
                <w:rFonts w:ascii="仿宋" w:hAnsi="仿宋" w:eastAsia="仿宋" w:cs="仿宋"/>
                <w:lang w:eastAsia="zh-CN"/>
              </w:rPr>
            </w:pPr>
          </w:p>
        </w:tc>
      </w:tr>
      <w:tr w14:paraId="494786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3" w:hRule="atLeast"/>
        </w:trPr>
        <w:tc>
          <w:tcPr>
            <w:tcW w:w="528" w:type="dxa"/>
            <w:vAlign w:val="center"/>
          </w:tcPr>
          <w:p w14:paraId="355FD645">
            <w:pPr>
              <w:widowControl/>
              <w:kinsoku w:val="0"/>
              <w:autoSpaceDE w:val="0"/>
              <w:autoSpaceDN w:val="0"/>
              <w:adjustRightInd w:val="0"/>
              <w:snapToGrid w:val="0"/>
              <w:spacing w:line="360" w:lineRule="auto"/>
              <w:jc w:val="center"/>
              <w:textAlignment w:val="baseline"/>
              <w:rPr>
                <w:rFonts w:ascii="仿宋" w:hAnsi="仿宋" w:eastAsia="仿宋" w:cs="仿宋"/>
                <w:sz w:val="24"/>
              </w:rPr>
            </w:pPr>
            <w:r>
              <w:rPr>
                <w:rFonts w:hint="eastAsia" w:ascii="仿宋" w:hAnsi="仿宋" w:eastAsia="仿宋" w:cs="仿宋"/>
                <w:sz w:val="24"/>
              </w:rPr>
              <w:t>4</w:t>
            </w:r>
          </w:p>
        </w:tc>
        <w:tc>
          <w:tcPr>
            <w:tcW w:w="6702" w:type="dxa"/>
            <w:shd w:val="clear" w:color="auto" w:fill="auto"/>
          </w:tcPr>
          <w:p w14:paraId="54CE4978">
            <w:pPr>
              <w:widowControl/>
              <w:kinsoku w:val="0"/>
              <w:autoSpaceDE w:val="0"/>
              <w:autoSpaceDN w:val="0"/>
              <w:adjustRightInd w:val="0"/>
              <w:snapToGrid w:val="0"/>
              <w:spacing w:line="360" w:lineRule="auto"/>
              <w:textAlignment w:val="baseline"/>
              <w:rPr>
                <w:rFonts w:ascii="仿宋" w:hAnsi="仿宋" w:eastAsia="仿宋" w:cs="仿宋"/>
                <w:snapToGrid w:val="0"/>
                <w:color w:val="000000"/>
                <w:kern w:val="0"/>
                <w:sz w:val="24"/>
              </w:rPr>
            </w:pPr>
            <w:r>
              <w:rPr>
                <w:rFonts w:hint="eastAsia" w:ascii="仿宋" w:hAnsi="仿宋" w:eastAsia="仿宋" w:cs="仿宋"/>
                <w:sz w:val="24"/>
              </w:rPr>
              <w:t>有依法缴纳税收和社会保障资金的良好记录；提供依法缴纳近三个月的税收证明和社保凭据（新成立公司可提供近一个月的，零申报需加盖税务局印章或投标截止日内无拖欠税收证明）；</w:t>
            </w:r>
          </w:p>
        </w:tc>
        <w:tc>
          <w:tcPr>
            <w:tcW w:w="696" w:type="dxa"/>
          </w:tcPr>
          <w:p w14:paraId="4FE60289">
            <w:pPr>
              <w:pStyle w:val="108"/>
              <w:rPr>
                <w:rFonts w:ascii="仿宋" w:hAnsi="仿宋" w:eastAsia="仿宋" w:cs="仿宋"/>
                <w:lang w:eastAsia="zh-CN"/>
              </w:rPr>
            </w:pPr>
          </w:p>
        </w:tc>
        <w:tc>
          <w:tcPr>
            <w:tcW w:w="696" w:type="dxa"/>
          </w:tcPr>
          <w:p w14:paraId="6F5F1DF3">
            <w:pPr>
              <w:pStyle w:val="108"/>
              <w:rPr>
                <w:rFonts w:ascii="仿宋" w:hAnsi="仿宋" w:eastAsia="仿宋" w:cs="仿宋"/>
                <w:lang w:eastAsia="zh-CN"/>
              </w:rPr>
            </w:pPr>
          </w:p>
        </w:tc>
        <w:tc>
          <w:tcPr>
            <w:tcW w:w="721" w:type="dxa"/>
          </w:tcPr>
          <w:p w14:paraId="4273799F">
            <w:pPr>
              <w:pStyle w:val="108"/>
              <w:rPr>
                <w:rFonts w:ascii="仿宋" w:hAnsi="仿宋" w:eastAsia="仿宋" w:cs="仿宋"/>
                <w:lang w:eastAsia="zh-CN"/>
              </w:rPr>
            </w:pPr>
          </w:p>
        </w:tc>
      </w:tr>
      <w:tr w14:paraId="04AB94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2" w:hRule="atLeast"/>
        </w:trPr>
        <w:tc>
          <w:tcPr>
            <w:tcW w:w="528" w:type="dxa"/>
            <w:vAlign w:val="center"/>
          </w:tcPr>
          <w:p w14:paraId="2784C50A">
            <w:pPr>
              <w:widowControl/>
              <w:kinsoku w:val="0"/>
              <w:autoSpaceDE w:val="0"/>
              <w:autoSpaceDN w:val="0"/>
              <w:adjustRightInd w:val="0"/>
              <w:snapToGrid w:val="0"/>
              <w:spacing w:line="360" w:lineRule="auto"/>
              <w:jc w:val="center"/>
              <w:textAlignment w:val="baseline"/>
              <w:rPr>
                <w:rFonts w:ascii="仿宋" w:hAnsi="仿宋" w:eastAsia="仿宋" w:cs="仿宋"/>
                <w:sz w:val="24"/>
              </w:rPr>
            </w:pPr>
            <w:r>
              <w:rPr>
                <w:rFonts w:hint="eastAsia" w:ascii="仿宋" w:hAnsi="仿宋" w:eastAsia="仿宋" w:cs="仿宋"/>
                <w:sz w:val="24"/>
              </w:rPr>
              <w:t>5</w:t>
            </w:r>
          </w:p>
        </w:tc>
        <w:tc>
          <w:tcPr>
            <w:tcW w:w="6702" w:type="dxa"/>
            <w:shd w:val="clear" w:color="auto" w:fill="auto"/>
          </w:tcPr>
          <w:p w14:paraId="44B0C574">
            <w:pPr>
              <w:widowControl/>
              <w:kinsoku w:val="0"/>
              <w:autoSpaceDE w:val="0"/>
              <w:autoSpaceDN w:val="0"/>
              <w:adjustRightInd w:val="0"/>
              <w:snapToGrid w:val="0"/>
              <w:spacing w:line="360" w:lineRule="auto"/>
              <w:textAlignment w:val="baseline"/>
              <w:rPr>
                <w:rFonts w:ascii="仿宋" w:hAnsi="仿宋" w:eastAsia="仿宋" w:cs="仿宋"/>
                <w:snapToGrid w:val="0"/>
                <w:color w:val="000000"/>
                <w:kern w:val="0"/>
                <w:sz w:val="24"/>
              </w:rPr>
            </w:pPr>
            <w:r>
              <w:rPr>
                <w:rFonts w:hint="eastAsia" w:ascii="仿宋" w:hAnsi="仿宋" w:eastAsia="仿宋" w:cs="仿宋"/>
                <w:sz w:val="24"/>
              </w:rPr>
              <w:t>参加政府采购活动前三年内，在经营活动中没有重大违法记录的声明书；（格式自拟，需加盖单位公章）</w:t>
            </w:r>
          </w:p>
        </w:tc>
        <w:tc>
          <w:tcPr>
            <w:tcW w:w="696" w:type="dxa"/>
          </w:tcPr>
          <w:p w14:paraId="5BEC65A5">
            <w:pPr>
              <w:pStyle w:val="108"/>
              <w:rPr>
                <w:rFonts w:ascii="仿宋" w:hAnsi="仿宋" w:eastAsia="仿宋" w:cs="仿宋"/>
                <w:lang w:eastAsia="zh-CN"/>
              </w:rPr>
            </w:pPr>
          </w:p>
        </w:tc>
        <w:tc>
          <w:tcPr>
            <w:tcW w:w="696" w:type="dxa"/>
          </w:tcPr>
          <w:p w14:paraId="5FBA83BE">
            <w:pPr>
              <w:pStyle w:val="108"/>
              <w:rPr>
                <w:rFonts w:ascii="仿宋" w:hAnsi="仿宋" w:eastAsia="仿宋" w:cs="仿宋"/>
                <w:lang w:eastAsia="zh-CN"/>
              </w:rPr>
            </w:pPr>
          </w:p>
        </w:tc>
        <w:tc>
          <w:tcPr>
            <w:tcW w:w="721" w:type="dxa"/>
          </w:tcPr>
          <w:p w14:paraId="3FAB4072">
            <w:pPr>
              <w:pStyle w:val="108"/>
              <w:rPr>
                <w:rFonts w:ascii="仿宋" w:hAnsi="仿宋" w:eastAsia="仿宋" w:cs="仿宋"/>
                <w:lang w:eastAsia="zh-CN"/>
              </w:rPr>
            </w:pPr>
          </w:p>
        </w:tc>
      </w:tr>
      <w:tr w14:paraId="49544F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2" w:hRule="atLeast"/>
        </w:trPr>
        <w:tc>
          <w:tcPr>
            <w:tcW w:w="528" w:type="dxa"/>
            <w:vAlign w:val="center"/>
          </w:tcPr>
          <w:p w14:paraId="5D34C641">
            <w:pPr>
              <w:widowControl/>
              <w:kinsoku w:val="0"/>
              <w:autoSpaceDE w:val="0"/>
              <w:autoSpaceDN w:val="0"/>
              <w:adjustRightInd w:val="0"/>
              <w:snapToGrid w:val="0"/>
              <w:spacing w:line="360" w:lineRule="auto"/>
              <w:jc w:val="center"/>
              <w:textAlignment w:val="baseline"/>
              <w:rPr>
                <w:rFonts w:ascii="仿宋" w:hAnsi="仿宋" w:eastAsia="仿宋" w:cs="仿宋"/>
                <w:sz w:val="24"/>
              </w:rPr>
            </w:pPr>
            <w:r>
              <w:rPr>
                <w:rFonts w:hint="eastAsia" w:ascii="仿宋" w:hAnsi="仿宋" w:eastAsia="仿宋" w:cs="仿宋"/>
                <w:sz w:val="24"/>
              </w:rPr>
              <w:t>6</w:t>
            </w:r>
          </w:p>
        </w:tc>
        <w:tc>
          <w:tcPr>
            <w:tcW w:w="6702" w:type="dxa"/>
            <w:shd w:val="clear" w:color="auto" w:fill="auto"/>
          </w:tcPr>
          <w:p w14:paraId="09B19C2E">
            <w:pPr>
              <w:widowControl/>
              <w:kinsoku w:val="0"/>
              <w:autoSpaceDE w:val="0"/>
              <w:autoSpaceDN w:val="0"/>
              <w:adjustRightInd w:val="0"/>
              <w:snapToGrid w:val="0"/>
              <w:spacing w:line="360" w:lineRule="auto"/>
              <w:textAlignment w:val="baseline"/>
              <w:rPr>
                <w:rFonts w:ascii="仿宋" w:hAnsi="仿宋" w:eastAsia="仿宋" w:cs="仿宋"/>
                <w:snapToGrid w:val="0"/>
                <w:sz w:val="24"/>
              </w:rPr>
            </w:pPr>
            <w:r>
              <w:rPr>
                <w:rFonts w:hint="eastAsia" w:ascii="仿宋" w:hAnsi="仿宋" w:eastAsia="仿宋" w:cs="仿宋"/>
                <w:sz w:val="24"/>
              </w:rPr>
              <w:t>根据《财政部关于在政府采购活动中查询及使用信用记录有关问题的通知》（财库﹝2016﹞125号）的要求，凡拟参加本次采购项目的投标人，如在“信用中国”网站被列入失信被执行人、重大税收违法失信主体(信用中国首页-点击信用服务-查询、网页打印)、中国政府采购网严重违法失信行为记录名单的（尚在处罚期内的），将拒绝其参加本次采购活动（由代理机构现场查询核实）；</w:t>
            </w:r>
          </w:p>
        </w:tc>
        <w:tc>
          <w:tcPr>
            <w:tcW w:w="696" w:type="dxa"/>
          </w:tcPr>
          <w:p w14:paraId="75622F43">
            <w:pPr>
              <w:pStyle w:val="108"/>
              <w:rPr>
                <w:rFonts w:ascii="仿宋" w:hAnsi="仿宋" w:eastAsia="仿宋" w:cs="仿宋"/>
                <w:lang w:eastAsia="zh-CN"/>
              </w:rPr>
            </w:pPr>
          </w:p>
        </w:tc>
        <w:tc>
          <w:tcPr>
            <w:tcW w:w="696" w:type="dxa"/>
          </w:tcPr>
          <w:p w14:paraId="277B8DE6">
            <w:pPr>
              <w:pStyle w:val="108"/>
              <w:rPr>
                <w:rFonts w:ascii="仿宋" w:hAnsi="仿宋" w:eastAsia="仿宋" w:cs="仿宋"/>
                <w:lang w:eastAsia="zh-CN"/>
              </w:rPr>
            </w:pPr>
          </w:p>
        </w:tc>
        <w:tc>
          <w:tcPr>
            <w:tcW w:w="721" w:type="dxa"/>
          </w:tcPr>
          <w:p w14:paraId="1D93F40D">
            <w:pPr>
              <w:pStyle w:val="108"/>
              <w:rPr>
                <w:rFonts w:ascii="仿宋" w:hAnsi="仿宋" w:eastAsia="仿宋" w:cs="仿宋"/>
                <w:lang w:eastAsia="zh-CN"/>
              </w:rPr>
            </w:pPr>
          </w:p>
        </w:tc>
      </w:tr>
      <w:tr w14:paraId="2755C5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528" w:type="dxa"/>
            <w:vAlign w:val="center"/>
          </w:tcPr>
          <w:p w14:paraId="435AA1BA">
            <w:pPr>
              <w:widowControl/>
              <w:kinsoku w:val="0"/>
              <w:autoSpaceDE w:val="0"/>
              <w:autoSpaceDN w:val="0"/>
              <w:adjustRightInd w:val="0"/>
              <w:snapToGrid w:val="0"/>
              <w:spacing w:line="360" w:lineRule="auto"/>
              <w:jc w:val="center"/>
              <w:textAlignment w:val="baseline"/>
              <w:rPr>
                <w:rFonts w:ascii="仿宋" w:hAnsi="仿宋" w:eastAsia="仿宋" w:cs="仿宋"/>
                <w:sz w:val="24"/>
              </w:rPr>
            </w:pPr>
            <w:r>
              <w:rPr>
                <w:rFonts w:hint="eastAsia" w:ascii="仿宋" w:hAnsi="仿宋" w:eastAsia="仿宋" w:cs="仿宋"/>
                <w:sz w:val="24"/>
              </w:rPr>
              <w:t>7</w:t>
            </w:r>
          </w:p>
        </w:tc>
        <w:tc>
          <w:tcPr>
            <w:tcW w:w="6702" w:type="dxa"/>
          </w:tcPr>
          <w:p w14:paraId="0A177E04">
            <w:pPr>
              <w:spacing w:line="360" w:lineRule="auto"/>
              <w:jc w:val="left"/>
              <w:rPr>
                <w:rFonts w:ascii="仿宋" w:hAnsi="仿宋" w:eastAsia="仿宋" w:cs="仿宋"/>
                <w:sz w:val="24"/>
              </w:rPr>
            </w:pPr>
            <w:r>
              <w:rPr>
                <w:rFonts w:hint="eastAsia" w:ascii="仿宋" w:hAnsi="仿宋" w:eastAsia="仿宋" w:cs="仿宋"/>
                <w:sz w:val="24"/>
              </w:rPr>
              <w:t>投标人应为中小企业，提供有效的《中小企业声明函》。</w:t>
            </w:r>
          </w:p>
        </w:tc>
        <w:tc>
          <w:tcPr>
            <w:tcW w:w="696" w:type="dxa"/>
          </w:tcPr>
          <w:p w14:paraId="0AD69D4E">
            <w:pPr>
              <w:pStyle w:val="108"/>
              <w:rPr>
                <w:rFonts w:ascii="仿宋" w:hAnsi="仿宋" w:eastAsia="仿宋" w:cs="仿宋"/>
                <w:lang w:eastAsia="zh-CN"/>
              </w:rPr>
            </w:pPr>
          </w:p>
        </w:tc>
        <w:tc>
          <w:tcPr>
            <w:tcW w:w="696" w:type="dxa"/>
          </w:tcPr>
          <w:p w14:paraId="3728935D">
            <w:pPr>
              <w:pStyle w:val="108"/>
              <w:rPr>
                <w:rFonts w:ascii="仿宋" w:hAnsi="仿宋" w:eastAsia="仿宋" w:cs="仿宋"/>
                <w:lang w:eastAsia="zh-CN"/>
              </w:rPr>
            </w:pPr>
          </w:p>
        </w:tc>
        <w:tc>
          <w:tcPr>
            <w:tcW w:w="721" w:type="dxa"/>
          </w:tcPr>
          <w:p w14:paraId="19673968">
            <w:pPr>
              <w:pStyle w:val="108"/>
              <w:rPr>
                <w:rFonts w:ascii="仿宋" w:hAnsi="仿宋" w:eastAsia="仿宋" w:cs="仿宋"/>
                <w:lang w:eastAsia="zh-CN"/>
              </w:rPr>
            </w:pPr>
          </w:p>
        </w:tc>
      </w:tr>
      <w:tr w14:paraId="14604A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8" w:hRule="atLeast"/>
        </w:trPr>
        <w:tc>
          <w:tcPr>
            <w:tcW w:w="528" w:type="dxa"/>
          </w:tcPr>
          <w:p w14:paraId="20E3901D">
            <w:pPr>
              <w:pStyle w:val="108"/>
              <w:rPr>
                <w:rFonts w:ascii="仿宋" w:hAnsi="仿宋" w:eastAsia="仿宋" w:cs="仿宋"/>
                <w:lang w:eastAsia="zh-CN"/>
              </w:rPr>
            </w:pPr>
          </w:p>
        </w:tc>
        <w:tc>
          <w:tcPr>
            <w:tcW w:w="6702" w:type="dxa"/>
          </w:tcPr>
          <w:p w14:paraId="00649C2D">
            <w:pPr>
              <w:spacing w:before="161" w:line="231" w:lineRule="auto"/>
              <w:ind w:left="898"/>
              <w:rPr>
                <w:rFonts w:ascii="仿宋" w:hAnsi="仿宋" w:eastAsia="仿宋" w:cs="仿宋"/>
                <w:sz w:val="23"/>
                <w:szCs w:val="23"/>
              </w:rPr>
            </w:pPr>
            <w:r>
              <w:rPr>
                <w:rFonts w:hint="eastAsia" w:ascii="仿宋" w:hAnsi="仿宋" w:eastAsia="仿宋" w:cs="仿宋"/>
                <w:spacing w:val="4"/>
                <w:sz w:val="23"/>
                <w:szCs w:val="23"/>
              </w:rPr>
              <w:t>结论：通过评审打“</w:t>
            </w:r>
            <w:r>
              <w:rPr>
                <w:rFonts w:hint="eastAsia" w:ascii="仿宋" w:hAnsi="仿宋" w:eastAsia="仿宋" w:cs="仿宋"/>
                <w:spacing w:val="-47"/>
                <w:sz w:val="23"/>
                <w:szCs w:val="23"/>
              </w:rPr>
              <w:t xml:space="preserve"> </w:t>
            </w:r>
            <w:r>
              <w:rPr>
                <w:rFonts w:hint="eastAsia" w:ascii="仿宋" w:hAnsi="仿宋" w:eastAsia="仿宋" w:cs="仿宋"/>
                <w:spacing w:val="4"/>
                <w:sz w:val="23"/>
                <w:szCs w:val="23"/>
              </w:rPr>
              <w:t>√</w:t>
            </w:r>
            <w:r>
              <w:rPr>
                <w:rFonts w:hint="eastAsia" w:ascii="仿宋" w:hAnsi="仿宋" w:eastAsia="仿宋" w:cs="仿宋"/>
                <w:spacing w:val="-83"/>
                <w:sz w:val="23"/>
                <w:szCs w:val="23"/>
              </w:rPr>
              <w:t xml:space="preserve"> </w:t>
            </w:r>
            <w:r>
              <w:rPr>
                <w:rFonts w:hint="eastAsia" w:ascii="仿宋" w:hAnsi="仿宋" w:eastAsia="仿宋" w:cs="仿宋"/>
                <w:spacing w:val="4"/>
                <w:sz w:val="23"/>
                <w:szCs w:val="23"/>
              </w:rPr>
              <w:t>”，未通过评审打 “×”</w:t>
            </w:r>
          </w:p>
        </w:tc>
        <w:tc>
          <w:tcPr>
            <w:tcW w:w="696" w:type="dxa"/>
          </w:tcPr>
          <w:p w14:paraId="6DBF0841">
            <w:pPr>
              <w:pStyle w:val="108"/>
              <w:rPr>
                <w:rFonts w:ascii="仿宋" w:hAnsi="仿宋" w:eastAsia="仿宋" w:cs="仿宋"/>
                <w:lang w:eastAsia="zh-CN"/>
              </w:rPr>
            </w:pPr>
          </w:p>
        </w:tc>
        <w:tc>
          <w:tcPr>
            <w:tcW w:w="696" w:type="dxa"/>
          </w:tcPr>
          <w:p w14:paraId="488CE567">
            <w:pPr>
              <w:pStyle w:val="108"/>
              <w:rPr>
                <w:rFonts w:ascii="仿宋" w:hAnsi="仿宋" w:eastAsia="仿宋" w:cs="仿宋"/>
                <w:lang w:eastAsia="zh-CN"/>
              </w:rPr>
            </w:pPr>
          </w:p>
        </w:tc>
        <w:tc>
          <w:tcPr>
            <w:tcW w:w="721" w:type="dxa"/>
          </w:tcPr>
          <w:p w14:paraId="1B9AA61C">
            <w:pPr>
              <w:pStyle w:val="108"/>
              <w:rPr>
                <w:rFonts w:ascii="仿宋" w:hAnsi="仿宋" w:eastAsia="仿宋" w:cs="仿宋"/>
                <w:lang w:eastAsia="zh-CN"/>
              </w:rPr>
            </w:pPr>
          </w:p>
        </w:tc>
      </w:tr>
    </w:tbl>
    <w:p w14:paraId="517BEF4F">
      <w:pPr>
        <w:pStyle w:val="11"/>
        <w:spacing w:before="35" w:line="232" w:lineRule="auto"/>
        <w:ind w:left="535"/>
        <w:rPr>
          <w:rFonts w:ascii="仿宋" w:hAnsi="仿宋" w:eastAsia="仿宋" w:cs="仿宋"/>
          <w:sz w:val="23"/>
          <w:szCs w:val="23"/>
        </w:rPr>
      </w:pPr>
      <w:r>
        <w:rPr>
          <w:rFonts w:hint="eastAsia" w:ascii="仿宋" w:hAnsi="仿宋" w:eastAsia="仿宋" w:cs="仿宋"/>
          <w:spacing w:val="-11"/>
          <w:sz w:val="23"/>
          <w:szCs w:val="23"/>
        </w:rPr>
        <w:t>说明：</w:t>
      </w:r>
    </w:p>
    <w:p w14:paraId="28626338">
      <w:pPr>
        <w:pStyle w:val="11"/>
        <w:spacing w:before="85" w:line="223" w:lineRule="auto"/>
        <w:ind w:left="533"/>
        <w:rPr>
          <w:rFonts w:ascii="仿宋" w:hAnsi="仿宋" w:eastAsia="仿宋" w:cs="仿宋"/>
          <w:sz w:val="22"/>
          <w:szCs w:val="22"/>
        </w:rPr>
      </w:pPr>
      <w:r>
        <w:rPr>
          <w:rFonts w:hint="eastAsia" w:ascii="仿宋" w:hAnsi="仿宋" w:eastAsia="仿宋" w:cs="仿宋"/>
          <w:spacing w:val="-5"/>
          <w:sz w:val="22"/>
          <w:szCs w:val="22"/>
        </w:rPr>
        <w:t>（1）上述各项中用“</w:t>
      </w:r>
      <w:r>
        <w:rPr>
          <w:rFonts w:hint="eastAsia" w:ascii="仿宋" w:hAnsi="仿宋" w:eastAsia="仿宋" w:cs="仿宋"/>
          <w:spacing w:val="-38"/>
          <w:sz w:val="22"/>
          <w:szCs w:val="22"/>
        </w:rPr>
        <w:t xml:space="preserve"> </w:t>
      </w:r>
      <w:r>
        <w:rPr>
          <w:rFonts w:hint="eastAsia" w:ascii="仿宋" w:hAnsi="仿宋" w:eastAsia="仿宋" w:cs="仿宋"/>
          <w:spacing w:val="-5"/>
          <w:sz w:val="22"/>
          <w:szCs w:val="22"/>
        </w:rPr>
        <w:t>√</w:t>
      </w:r>
      <w:r>
        <w:rPr>
          <w:rFonts w:hint="eastAsia" w:ascii="仿宋" w:hAnsi="仿宋" w:eastAsia="仿宋" w:cs="仿宋"/>
          <w:spacing w:val="-83"/>
          <w:sz w:val="22"/>
          <w:szCs w:val="22"/>
        </w:rPr>
        <w:t xml:space="preserve"> </w:t>
      </w:r>
      <w:r>
        <w:rPr>
          <w:rFonts w:hint="eastAsia" w:ascii="仿宋" w:hAnsi="仿宋" w:eastAsia="仿宋" w:cs="仿宋"/>
          <w:spacing w:val="-5"/>
          <w:sz w:val="22"/>
          <w:szCs w:val="22"/>
        </w:rPr>
        <w:t>”表示是，“×”表示否；</w:t>
      </w:r>
    </w:p>
    <w:p w14:paraId="05CA5A45">
      <w:pPr>
        <w:pStyle w:val="11"/>
        <w:spacing w:before="95" w:line="262" w:lineRule="auto"/>
        <w:ind w:left="535" w:right="537" w:hanging="2"/>
        <w:rPr>
          <w:rFonts w:ascii="仿宋" w:hAnsi="仿宋" w:eastAsia="仿宋" w:cs="仿宋"/>
          <w:sz w:val="22"/>
          <w:szCs w:val="22"/>
        </w:rPr>
      </w:pPr>
      <w:r>
        <w:rPr>
          <w:rFonts w:hint="eastAsia" w:ascii="仿宋" w:hAnsi="仿宋" w:eastAsia="仿宋" w:cs="仿宋"/>
          <w:sz w:val="22"/>
          <w:szCs w:val="22"/>
        </w:rPr>
        <w:t>（2）上述各项中如有一项为“×”，则结论为“不通过</w:t>
      </w:r>
      <w:r>
        <w:rPr>
          <w:rFonts w:hint="eastAsia" w:ascii="仿宋" w:hAnsi="仿宋" w:eastAsia="仿宋" w:cs="仿宋"/>
          <w:spacing w:val="-81"/>
          <w:sz w:val="22"/>
          <w:szCs w:val="22"/>
        </w:rPr>
        <w:t xml:space="preserve"> </w:t>
      </w:r>
      <w:r>
        <w:rPr>
          <w:rFonts w:hint="eastAsia" w:ascii="仿宋" w:hAnsi="仿宋" w:eastAsia="仿宋" w:cs="仿宋"/>
          <w:sz w:val="22"/>
          <w:szCs w:val="22"/>
        </w:rPr>
        <w:t>”，表示该响应文件中</w:t>
      </w:r>
      <w:r>
        <w:rPr>
          <w:rFonts w:hint="eastAsia" w:ascii="仿宋" w:hAnsi="仿宋" w:eastAsia="仿宋" w:cs="仿宋"/>
          <w:spacing w:val="-1"/>
          <w:sz w:val="22"/>
          <w:szCs w:val="22"/>
        </w:rPr>
        <w:t>存在重</w:t>
      </w:r>
      <w:r>
        <w:rPr>
          <w:rFonts w:hint="eastAsia" w:ascii="仿宋" w:hAnsi="仿宋" w:eastAsia="仿宋" w:cs="仿宋"/>
          <w:spacing w:val="-2"/>
          <w:sz w:val="22"/>
          <w:szCs w:val="22"/>
        </w:rPr>
        <w:t>大偏差，不能通过资格审查；</w:t>
      </w:r>
    </w:p>
    <w:p w14:paraId="36EB13B4">
      <w:pPr>
        <w:spacing w:line="240" w:lineRule="atLeast"/>
        <w:ind w:left="1080" w:leftChars="257" w:hanging="540"/>
        <w:rPr>
          <w:rFonts w:ascii="仿宋" w:hAnsi="仿宋" w:eastAsia="仿宋" w:cs="仿宋"/>
          <w:sz w:val="24"/>
        </w:rPr>
        <w:sectPr>
          <w:headerReference r:id="rId11" w:type="default"/>
          <w:footerReference r:id="rId13" w:type="default"/>
          <w:headerReference r:id="rId12" w:type="even"/>
          <w:footerReference r:id="rId14" w:type="even"/>
          <w:pgSz w:w="11906" w:h="16838"/>
          <w:pgMar w:top="1440" w:right="1797" w:bottom="1440" w:left="1797" w:header="851" w:footer="992" w:gutter="0"/>
          <w:cols w:space="720" w:num="1"/>
          <w:docGrid w:linePitch="312" w:charSpace="0"/>
        </w:sectPr>
      </w:pPr>
      <w:r>
        <w:rPr>
          <w:rFonts w:hint="eastAsia" w:ascii="仿宋" w:hAnsi="仿宋" w:eastAsia="仿宋" w:cs="仿宋"/>
          <w:b/>
          <w:bCs/>
          <w:spacing w:val="-3"/>
          <w:sz w:val="22"/>
          <w:szCs w:val="22"/>
        </w:rPr>
        <w:t>备注：如果招标文件中有一项未通过上述审查标准，资格审查小组（由采购人组成）</w:t>
      </w:r>
      <w:r>
        <w:rPr>
          <w:rFonts w:hint="eastAsia" w:ascii="仿宋" w:hAnsi="仿宋" w:eastAsia="仿宋" w:cs="仿宋"/>
          <w:b/>
          <w:bCs/>
          <w:spacing w:val="-4"/>
          <w:sz w:val="22"/>
          <w:szCs w:val="22"/>
        </w:rPr>
        <w:t>将会认定整个投标文</w:t>
      </w:r>
      <w:r>
        <w:rPr>
          <w:rFonts w:hint="eastAsia" w:ascii="仿宋" w:hAnsi="仿宋" w:eastAsia="仿宋" w:cs="仿宋"/>
          <w:b/>
          <w:bCs/>
          <w:spacing w:val="-5"/>
          <w:sz w:val="22"/>
          <w:szCs w:val="22"/>
        </w:rPr>
        <w:t>件未响应招标文件而予以无效处理。</w:t>
      </w:r>
    </w:p>
    <w:p w14:paraId="47068A27">
      <w:pPr>
        <w:rPr>
          <w:rFonts w:ascii="仿宋" w:hAnsi="仿宋" w:eastAsia="仿宋" w:cs="仿宋"/>
        </w:rPr>
      </w:pPr>
    </w:p>
    <w:p w14:paraId="0358420C">
      <w:pPr>
        <w:pStyle w:val="11"/>
        <w:spacing w:before="91" w:line="221" w:lineRule="auto"/>
        <w:ind w:left="403"/>
        <w:jc w:val="center"/>
        <w:rPr>
          <w:rFonts w:ascii="仿宋" w:hAnsi="仿宋" w:eastAsia="仿宋" w:cs="仿宋"/>
          <w:sz w:val="28"/>
          <w:szCs w:val="28"/>
        </w:rPr>
      </w:pPr>
      <w:bookmarkStart w:id="884" w:name="_Hlk60248002"/>
      <w:r>
        <w:rPr>
          <w:rFonts w:hint="eastAsia" w:ascii="仿宋" w:hAnsi="仿宋" w:eastAsia="仿宋" w:cs="仿宋"/>
          <w:b/>
          <w:bCs/>
          <w:spacing w:val="-4"/>
          <w:sz w:val="28"/>
          <w:szCs w:val="28"/>
        </w:rPr>
        <w:t>符合性审查表</w:t>
      </w:r>
    </w:p>
    <w:p w14:paraId="79592D62">
      <w:pPr>
        <w:spacing w:before="232"/>
        <w:rPr>
          <w:rFonts w:ascii="仿宋" w:hAnsi="仿宋" w:eastAsia="仿宋" w:cs="仿宋"/>
        </w:rPr>
      </w:pPr>
    </w:p>
    <w:tbl>
      <w:tblPr>
        <w:tblStyle w:val="103"/>
        <w:tblW w:w="90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2"/>
        <w:gridCol w:w="7170"/>
        <w:gridCol w:w="1021"/>
      </w:tblGrid>
      <w:tr w14:paraId="3942B3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7" w:hRule="atLeast"/>
        </w:trPr>
        <w:tc>
          <w:tcPr>
            <w:tcW w:w="8022" w:type="dxa"/>
            <w:gridSpan w:val="2"/>
          </w:tcPr>
          <w:p w14:paraId="0821BAF9">
            <w:pPr>
              <w:spacing w:before="233" w:line="231" w:lineRule="auto"/>
              <w:ind w:left="3555"/>
              <w:rPr>
                <w:rFonts w:ascii="仿宋" w:hAnsi="仿宋" w:eastAsia="仿宋" w:cs="仿宋"/>
                <w:sz w:val="23"/>
                <w:szCs w:val="23"/>
              </w:rPr>
            </w:pPr>
            <w:r>
              <w:rPr>
                <w:rFonts w:hint="eastAsia" w:ascii="仿宋" w:hAnsi="仿宋" w:eastAsia="仿宋" w:cs="仿宋"/>
                <w:b/>
                <w:bCs/>
                <w:sz w:val="23"/>
                <w:szCs w:val="23"/>
              </w:rPr>
              <w:t>评标内容</w:t>
            </w:r>
          </w:p>
        </w:tc>
        <w:tc>
          <w:tcPr>
            <w:tcW w:w="1021" w:type="dxa"/>
          </w:tcPr>
          <w:p w14:paraId="1CA8FC62">
            <w:pPr>
              <w:spacing w:before="39" w:line="296" w:lineRule="auto"/>
              <w:ind w:left="405" w:right="145" w:hanging="240"/>
              <w:rPr>
                <w:rFonts w:ascii="仿宋" w:hAnsi="仿宋" w:eastAsia="仿宋" w:cs="仿宋"/>
                <w:sz w:val="23"/>
                <w:szCs w:val="23"/>
              </w:rPr>
            </w:pPr>
            <w:r>
              <w:rPr>
                <w:rFonts w:hint="eastAsia" w:ascii="仿宋" w:hAnsi="仿宋" w:eastAsia="仿宋" w:cs="仿宋"/>
                <w:b/>
                <w:bCs/>
                <w:spacing w:val="2"/>
                <w:sz w:val="23"/>
                <w:szCs w:val="23"/>
              </w:rPr>
              <w:t>评标意</w:t>
            </w:r>
            <w:r>
              <w:rPr>
                <w:rFonts w:hint="eastAsia" w:ascii="仿宋" w:hAnsi="仿宋" w:eastAsia="仿宋" w:cs="仿宋"/>
                <w:spacing w:val="1"/>
                <w:sz w:val="23"/>
                <w:szCs w:val="23"/>
              </w:rPr>
              <w:t xml:space="preserve"> </w:t>
            </w:r>
            <w:r>
              <w:rPr>
                <w:rFonts w:hint="eastAsia" w:ascii="仿宋" w:hAnsi="仿宋" w:eastAsia="仿宋" w:cs="仿宋"/>
                <w:b/>
                <w:bCs/>
                <w:spacing w:val="-3"/>
                <w:sz w:val="23"/>
                <w:szCs w:val="23"/>
              </w:rPr>
              <w:t>见</w:t>
            </w:r>
          </w:p>
        </w:tc>
      </w:tr>
      <w:tr w14:paraId="59E6A5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2" w:hRule="atLeast"/>
        </w:trPr>
        <w:tc>
          <w:tcPr>
            <w:tcW w:w="852" w:type="dxa"/>
          </w:tcPr>
          <w:p w14:paraId="1AC664CA">
            <w:pPr>
              <w:spacing w:before="228" w:line="231" w:lineRule="auto"/>
              <w:ind w:left="199"/>
              <w:rPr>
                <w:rFonts w:ascii="仿宋" w:hAnsi="仿宋" w:eastAsia="仿宋" w:cs="仿宋"/>
                <w:sz w:val="23"/>
                <w:szCs w:val="23"/>
              </w:rPr>
            </w:pPr>
            <w:r>
              <w:rPr>
                <w:rFonts w:hint="eastAsia" w:ascii="仿宋" w:hAnsi="仿宋" w:eastAsia="仿宋" w:cs="仿宋"/>
                <w:spacing w:val="2"/>
                <w:sz w:val="23"/>
                <w:szCs w:val="23"/>
              </w:rPr>
              <w:t>序号</w:t>
            </w:r>
          </w:p>
        </w:tc>
        <w:tc>
          <w:tcPr>
            <w:tcW w:w="7170" w:type="dxa"/>
          </w:tcPr>
          <w:p w14:paraId="3B1F5915">
            <w:pPr>
              <w:pStyle w:val="108"/>
              <w:rPr>
                <w:rFonts w:ascii="仿宋" w:hAnsi="仿宋" w:eastAsia="仿宋" w:cs="仿宋"/>
              </w:rPr>
            </w:pPr>
          </w:p>
        </w:tc>
        <w:tc>
          <w:tcPr>
            <w:tcW w:w="1021" w:type="dxa"/>
          </w:tcPr>
          <w:p w14:paraId="2130496D">
            <w:pPr>
              <w:spacing w:before="34" w:line="296" w:lineRule="auto"/>
              <w:ind w:left="403" w:right="149" w:hanging="233"/>
              <w:rPr>
                <w:rFonts w:ascii="仿宋" w:hAnsi="仿宋" w:eastAsia="仿宋" w:cs="仿宋"/>
                <w:sz w:val="23"/>
                <w:szCs w:val="23"/>
              </w:rPr>
            </w:pPr>
            <w:r>
              <w:rPr>
                <w:rFonts w:hint="eastAsia" w:ascii="仿宋" w:hAnsi="仿宋" w:eastAsia="仿宋" w:cs="仿宋"/>
                <w:spacing w:val="1"/>
                <w:sz w:val="23"/>
                <w:szCs w:val="23"/>
              </w:rPr>
              <w:t xml:space="preserve">是否合 </w:t>
            </w:r>
            <w:r>
              <w:rPr>
                <w:rFonts w:hint="eastAsia" w:ascii="仿宋" w:hAnsi="仿宋" w:eastAsia="仿宋" w:cs="仿宋"/>
                <w:sz w:val="23"/>
                <w:szCs w:val="23"/>
              </w:rPr>
              <w:t>格</w:t>
            </w:r>
          </w:p>
        </w:tc>
      </w:tr>
      <w:tr w14:paraId="0433AE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852" w:type="dxa"/>
          </w:tcPr>
          <w:p w14:paraId="384C09A0">
            <w:pPr>
              <w:spacing w:before="152" w:line="187" w:lineRule="auto"/>
              <w:ind w:left="389"/>
              <w:rPr>
                <w:rFonts w:ascii="仿宋" w:hAnsi="仿宋" w:eastAsia="仿宋" w:cs="仿宋"/>
                <w:sz w:val="23"/>
                <w:szCs w:val="23"/>
              </w:rPr>
            </w:pPr>
            <w:r>
              <w:rPr>
                <w:rFonts w:hint="eastAsia" w:ascii="仿宋" w:hAnsi="仿宋" w:eastAsia="仿宋" w:cs="仿宋"/>
                <w:sz w:val="23"/>
                <w:szCs w:val="23"/>
              </w:rPr>
              <w:t>1</w:t>
            </w:r>
          </w:p>
        </w:tc>
        <w:tc>
          <w:tcPr>
            <w:tcW w:w="7170" w:type="dxa"/>
            <w:vAlign w:val="center"/>
          </w:tcPr>
          <w:p w14:paraId="184B2577">
            <w:pPr>
              <w:spacing w:line="360" w:lineRule="auto"/>
              <w:rPr>
                <w:rFonts w:ascii="仿宋" w:hAnsi="仿宋" w:eastAsia="仿宋" w:cs="仿宋"/>
                <w:sz w:val="23"/>
                <w:szCs w:val="23"/>
              </w:rPr>
            </w:pPr>
            <w:r>
              <w:rPr>
                <w:rFonts w:hint="eastAsia" w:ascii="仿宋" w:hAnsi="仿宋" w:eastAsia="仿宋" w:cs="仿宋"/>
                <w:spacing w:val="8"/>
                <w:sz w:val="24"/>
              </w:rPr>
              <w:t>投标报价未高于采购最高限价的；</w:t>
            </w:r>
          </w:p>
        </w:tc>
        <w:tc>
          <w:tcPr>
            <w:tcW w:w="1021" w:type="dxa"/>
          </w:tcPr>
          <w:p w14:paraId="70D7DF4C">
            <w:pPr>
              <w:pStyle w:val="108"/>
              <w:rPr>
                <w:rFonts w:ascii="仿宋" w:hAnsi="仿宋" w:eastAsia="仿宋" w:cs="仿宋"/>
                <w:lang w:eastAsia="zh-CN"/>
              </w:rPr>
            </w:pPr>
          </w:p>
        </w:tc>
      </w:tr>
      <w:tr w14:paraId="0904C5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852" w:type="dxa"/>
          </w:tcPr>
          <w:p w14:paraId="1349A5A1">
            <w:pPr>
              <w:spacing w:before="135" w:line="186" w:lineRule="auto"/>
              <w:ind w:left="374"/>
              <w:rPr>
                <w:rFonts w:ascii="仿宋" w:hAnsi="仿宋" w:eastAsia="仿宋" w:cs="仿宋"/>
                <w:sz w:val="23"/>
                <w:szCs w:val="23"/>
              </w:rPr>
            </w:pPr>
            <w:r>
              <w:rPr>
                <w:rFonts w:hint="eastAsia" w:ascii="仿宋" w:hAnsi="仿宋" w:eastAsia="仿宋" w:cs="仿宋"/>
                <w:sz w:val="23"/>
                <w:szCs w:val="23"/>
              </w:rPr>
              <w:t>2</w:t>
            </w:r>
          </w:p>
        </w:tc>
        <w:tc>
          <w:tcPr>
            <w:tcW w:w="7170" w:type="dxa"/>
            <w:vAlign w:val="top"/>
          </w:tcPr>
          <w:p w14:paraId="1BF7E3E2">
            <w:pPr>
              <w:spacing w:line="360" w:lineRule="auto"/>
              <w:rPr>
                <w:rFonts w:ascii="仿宋" w:hAnsi="仿宋" w:eastAsia="仿宋" w:cs="仿宋"/>
                <w:sz w:val="23"/>
                <w:szCs w:val="23"/>
              </w:rPr>
            </w:pPr>
            <w:r>
              <w:rPr>
                <w:rFonts w:hint="eastAsia" w:ascii="仿宋" w:hAnsi="仿宋" w:eastAsia="仿宋" w:cs="仿宋"/>
                <w:spacing w:val="6"/>
                <w:sz w:val="24"/>
              </w:rPr>
              <w:t>投标人之间或者投标人与采购人未串通投标的，未以行贿手段谋取中标或者以其他弄虚作假方式</w:t>
            </w:r>
            <w:r>
              <w:rPr>
                <w:rFonts w:hint="eastAsia" w:ascii="仿宋" w:hAnsi="仿宋" w:eastAsia="仿宋" w:cs="仿宋"/>
                <w:spacing w:val="5"/>
                <w:sz w:val="24"/>
              </w:rPr>
              <w:t>投标的；</w:t>
            </w:r>
          </w:p>
        </w:tc>
        <w:tc>
          <w:tcPr>
            <w:tcW w:w="1021" w:type="dxa"/>
          </w:tcPr>
          <w:p w14:paraId="71FC7A1E">
            <w:pPr>
              <w:pStyle w:val="108"/>
              <w:rPr>
                <w:rFonts w:ascii="仿宋" w:hAnsi="仿宋" w:eastAsia="仿宋" w:cs="仿宋"/>
                <w:lang w:eastAsia="zh-CN"/>
              </w:rPr>
            </w:pPr>
          </w:p>
        </w:tc>
      </w:tr>
      <w:tr w14:paraId="3A0B6C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852" w:type="dxa"/>
          </w:tcPr>
          <w:p w14:paraId="3F1603FE">
            <w:pPr>
              <w:spacing w:before="223" w:line="186" w:lineRule="auto"/>
              <w:ind w:left="376"/>
              <w:rPr>
                <w:rFonts w:ascii="仿宋" w:hAnsi="仿宋" w:eastAsia="仿宋" w:cs="仿宋"/>
                <w:sz w:val="23"/>
                <w:szCs w:val="23"/>
              </w:rPr>
            </w:pPr>
            <w:r>
              <w:rPr>
                <w:rFonts w:hint="eastAsia" w:ascii="仿宋" w:hAnsi="仿宋" w:eastAsia="仿宋" w:cs="仿宋"/>
                <w:sz w:val="23"/>
                <w:szCs w:val="23"/>
              </w:rPr>
              <w:t>3</w:t>
            </w:r>
          </w:p>
        </w:tc>
        <w:tc>
          <w:tcPr>
            <w:tcW w:w="7170" w:type="dxa"/>
            <w:vAlign w:val="top"/>
          </w:tcPr>
          <w:p w14:paraId="14F85917">
            <w:pPr>
              <w:spacing w:line="360" w:lineRule="auto"/>
              <w:rPr>
                <w:rFonts w:ascii="仿宋" w:hAnsi="仿宋" w:eastAsia="仿宋" w:cs="仿宋"/>
                <w:sz w:val="23"/>
                <w:szCs w:val="23"/>
              </w:rPr>
            </w:pPr>
            <w:r>
              <w:rPr>
                <w:rFonts w:hint="eastAsia" w:ascii="仿宋" w:hAnsi="仿宋" w:eastAsia="仿宋" w:cs="仿宋"/>
                <w:sz w:val="24"/>
              </w:rPr>
              <w:t>投标保证金或投标保函的缴纳主体与投标人一致，按照招标文件要求提供投标保证金的；</w:t>
            </w:r>
          </w:p>
        </w:tc>
        <w:tc>
          <w:tcPr>
            <w:tcW w:w="1021" w:type="dxa"/>
          </w:tcPr>
          <w:p w14:paraId="603AD263">
            <w:pPr>
              <w:pStyle w:val="108"/>
              <w:rPr>
                <w:rFonts w:ascii="仿宋" w:hAnsi="仿宋" w:eastAsia="仿宋" w:cs="仿宋"/>
                <w:lang w:eastAsia="zh-CN"/>
              </w:rPr>
            </w:pPr>
          </w:p>
        </w:tc>
      </w:tr>
      <w:tr w14:paraId="4F0E19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852" w:type="dxa"/>
          </w:tcPr>
          <w:p w14:paraId="578F0091">
            <w:pPr>
              <w:spacing w:before="154" w:line="186" w:lineRule="auto"/>
              <w:ind w:left="370"/>
              <w:rPr>
                <w:rFonts w:ascii="仿宋" w:hAnsi="仿宋" w:eastAsia="仿宋" w:cs="仿宋"/>
                <w:sz w:val="23"/>
                <w:szCs w:val="23"/>
              </w:rPr>
            </w:pPr>
            <w:r>
              <w:rPr>
                <w:rFonts w:hint="eastAsia" w:ascii="仿宋" w:hAnsi="仿宋" w:eastAsia="仿宋" w:cs="仿宋"/>
                <w:sz w:val="23"/>
                <w:szCs w:val="23"/>
              </w:rPr>
              <w:t>4</w:t>
            </w:r>
          </w:p>
        </w:tc>
        <w:tc>
          <w:tcPr>
            <w:tcW w:w="7170" w:type="dxa"/>
            <w:shd w:val="clear"/>
            <w:vAlign w:val="top"/>
          </w:tcPr>
          <w:p w14:paraId="6520861D">
            <w:pPr>
              <w:spacing w:line="360" w:lineRule="auto"/>
              <w:rPr>
                <w:rFonts w:hint="eastAsia" w:ascii="仿宋" w:hAnsi="仿宋" w:eastAsia="仿宋" w:cs="仿宋"/>
                <w:kern w:val="2"/>
                <w:sz w:val="24"/>
                <w:szCs w:val="24"/>
                <w:lang w:val="en-US" w:eastAsia="zh-CN" w:bidi="ar-SA"/>
              </w:rPr>
            </w:pPr>
            <w:r>
              <w:rPr>
                <w:rFonts w:hint="eastAsia" w:ascii="仿宋" w:hAnsi="仿宋" w:eastAsia="仿宋" w:cs="仿宋"/>
                <w:spacing w:val="7"/>
                <w:sz w:val="24"/>
              </w:rPr>
              <w:t>评标委员会共同确定没有实质上不响应招标文件要求的；</w:t>
            </w:r>
          </w:p>
        </w:tc>
        <w:tc>
          <w:tcPr>
            <w:tcW w:w="1021" w:type="dxa"/>
          </w:tcPr>
          <w:p w14:paraId="006B4E93">
            <w:pPr>
              <w:pStyle w:val="108"/>
              <w:rPr>
                <w:rFonts w:ascii="仿宋" w:hAnsi="仿宋" w:eastAsia="仿宋" w:cs="仿宋"/>
                <w:lang w:eastAsia="zh-CN"/>
              </w:rPr>
            </w:pPr>
          </w:p>
        </w:tc>
      </w:tr>
      <w:tr w14:paraId="7DE1DC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0" w:hRule="atLeast"/>
        </w:trPr>
        <w:tc>
          <w:tcPr>
            <w:tcW w:w="852" w:type="dxa"/>
          </w:tcPr>
          <w:p w14:paraId="69FE6301">
            <w:pPr>
              <w:spacing w:before="299" w:line="184" w:lineRule="auto"/>
              <w:ind w:left="376"/>
              <w:rPr>
                <w:rFonts w:ascii="仿宋" w:hAnsi="仿宋" w:eastAsia="仿宋" w:cs="仿宋"/>
                <w:sz w:val="23"/>
                <w:szCs w:val="23"/>
              </w:rPr>
            </w:pPr>
            <w:r>
              <w:rPr>
                <w:rFonts w:hint="eastAsia" w:ascii="仿宋" w:hAnsi="仿宋" w:eastAsia="仿宋" w:cs="仿宋"/>
                <w:sz w:val="23"/>
                <w:szCs w:val="23"/>
              </w:rPr>
              <w:t>5</w:t>
            </w:r>
          </w:p>
        </w:tc>
        <w:tc>
          <w:tcPr>
            <w:tcW w:w="7170" w:type="dxa"/>
            <w:shd w:val="clear"/>
            <w:vAlign w:val="top"/>
          </w:tcPr>
          <w:p w14:paraId="614130FF">
            <w:pPr>
              <w:spacing w:line="360" w:lineRule="auto"/>
              <w:rPr>
                <w:rFonts w:hint="eastAsia" w:ascii="仿宋" w:hAnsi="仿宋" w:eastAsia="仿宋" w:cs="仿宋"/>
                <w:spacing w:val="5"/>
                <w:kern w:val="2"/>
                <w:sz w:val="24"/>
                <w:szCs w:val="24"/>
                <w:lang w:val="en-US" w:eastAsia="zh-CN" w:bidi="ar-SA"/>
              </w:rPr>
            </w:pPr>
            <w:r>
              <w:rPr>
                <w:rFonts w:hint="eastAsia" w:ascii="仿宋" w:hAnsi="仿宋" w:eastAsia="仿宋" w:cs="仿宋"/>
                <w:spacing w:val="9"/>
                <w:sz w:val="24"/>
              </w:rPr>
              <w:t>投标文件按照招标文件要求提供法定代表人或其授权代表签字（章）和加盖</w:t>
            </w:r>
            <w:r>
              <w:rPr>
                <w:rFonts w:hint="eastAsia" w:ascii="仿宋" w:hAnsi="仿宋" w:eastAsia="仿宋" w:cs="仿宋"/>
                <w:sz w:val="24"/>
              </w:rPr>
              <w:t>单位公章的；</w:t>
            </w:r>
          </w:p>
        </w:tc>
        <w:tc>
          <w:tcPr>
            <w:tcW w:w="1021" w:type="dxa"/>
          </w:tcPr>
          <w:p w14:paraId="28E46AFB">
            <w:pPr>
              <w:pStyle w:val="108"/>
              <w:rPr>
                <w:rFonts w:ascii="仿宋" w:hAnsi="仿宋" w:eastAsia="仿宋" w:cs="仿宋"/>
                <w:lang w:eastAsia="zh-CN"/>
              </w:rPr>
            </w:pPr>
          </w:p>
        </w:tc>
      </w:tr>
      <w:tr w14:paraId="133F0D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852" w:type="dxa"/>
          </w:tcPr>
          <w:p w14:paraId="60DF4B10">
            <w:pPr>
              <w:spacing w:before="155" w:line="186" w:lineRule="auto"/>
              <w:ind w:left="373"/>
              <w:rPr>
                <w:rFonts w:ascii="仿宋" w:hAnsi="仿宋" w:eastAsia="仿宋" w:cs="仿宋"/>
                <w:sz w:val="23"/>
                <w:szCs w:val="23"/>
              </w:rPr>
            </w:pPr>
            <w:r>
              <w:rPr>
                <w:rFonts w:hint="eastAsia" w:ascii="仿宋" w:hAnsi="仿宋" w:eastAsia="仿宋" w:cs="仿宋"/>
                <w:sz w:val="23"/>
                <w:szCs w:val="23"/>
              </w:rPr>
              <w:t>6</w:t>
            </w:r>
          </w:p>
        </w:tc>
        <w:tc>
          <w:tcPr>
            <w:tcW w:w="7170" w:type="dxa"/>
          </w:tcPr>
          <w:p w14:paraId="2B211BE7">
            <w:pPr>
              <w:spacing w:before="113" w:line="231" w:lineRule="auto"/>
              <w:rPr>
                <w:rFonts w:ascii="仿宋" w:hAnsi="仿宋" w:eastAsia="仿宋" w:cs="仿宋"/>
                <w:sz w:val="23"/>
                <w:szCs w:val="23"/>
              </w:rPr>
            </w:pPr>
            <w:r>
              <w:rPr>
                <w:rFonts w:hint="eastAsia" w:ascii="仿宋" w:hAnsi="仿宋" w:eastAsia="仿宋" w:cs="仿宋"/>
                <w:spacing w:val="7"/>
                <w:sz w:val="24"/>
              </w:rPr>
              <w:t>投标人提供的投标有效期是否满足招标文件规定；</w:t>
            </w:r>
          </w:p>
        </w:tc>
        <w:tc>
          <w:tcPr>
            <w:tcW w:w="1021" w:type="dxa"/>
          </w:tcPr>
          <w:p w14:paraId="23FB76C2">
            <w:pPr>
              <w:pStyle w:val="108"/>
              <w:rPr>
                <w:rFonts w:ascii="仿宋" w:hAnsi="仿宋" w:eastAsia="仿宋" w:cs="仿宋"/>
                <w:lang w:eastAsia="zh-CN"/>
              </w:rPr>
            </w:pPr>
          </w:p>
        </w:tc>
      </w:tr>
      <w:tr w14:paraId="38CFED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4" w:hRule="atLeast"/>
        </w:trPr>
        <w:tc>
          <w:tcPr>
            <w:tcW w:w="852" w:type="dxa"/>
          </w:tcPr>
          <w:p w14:paraId="2517AA4C">
            <w:pPr>
              <w:pStyle w:val="108"/>
              <w:spacing w:line="241" w:lineRule="auto"/>
              <w:rPr>
                <w:rFonts w:ascii="仿宋" w:hAnsi="仿宋" w:eastAsia="仿宋" w:cs="仿宋"/>
                <w:lang w:eastAsia="zh-CN"/>
              </w:rPr>
            </w:pPr>
          </w:p>
          <w:p w14:paraId="77F32165">
            <w:pPr>
              <w:spacing w:before="75" w:line="184" w:lineRule="auto"/>
              <w:ind w:left="377"/>
              <w:rPr>
                <w:rFonts w:ascii="仿宋" w:hAnsi="仿宋" w:eastAsia="仿宋" w:cs="仿宋"/>
                <w:sz w:val="23"/>
                <w:szCs w:val="23"/>
              </w:rPr>
            </w:pPr>
            <w:r>
              <w:rPr>
                <w:rFonts w:hint="eastAsia" w:ascii="仿宋" w:hAnsi="仿宋" w:eastAsia="仿宋" w:cs="仿宋"/>
                <w:sz w:val="23"/>
                <w:szCs w:val="23"/>
              </w:rPr>
              <w:t>7</w:t>
            </w:r>
          </w:p>
        </w:tc>
        <w:tc>
          <w:tcPr>
            <w:tcW w:w="7170" w:type="dxa"/>
          </w:tcPr>
          <w:p w14:paraId="0E02B2D6">
            <w:pPr>
              <w:spacing w:before="79" w:line="296" w:lineRule="auto"/>
              <w:ind w:right="103"/>
              <w:rPr>
                <w:rFonts w:ascii="仿宋" w:hAnsi="仿宋" w:eastAsia="仿宋" w:cs="仿宋"/>
                <w:sz w:val="23"/>
                <w:szCs w:val="23"/>
              </w:rPr>
            </w:pPr>
            <w:r>
              <w:rPr>
                <w:rFonts w:hint="eastAsia" w:ascii="仿宋" w:hAnsi="仿宋" w:eastAsia="仿宋" w:cs="仿宋"/>
                <w:spacing w:val="9"/>
                <w:sz w:val="24"/>
              </w:rPr>
              <w:t>投标文件载明的货物需求、技术规格、交货期、交货地点和付款方式等，不符合</w:t>
            </w:r>
            <w:r>
              <w:rPr>
                <w:rFonts w:hint="eastAsia" w:ascii="仿宋" w:hAnsi="仿宋" w:eastAsia="仿宋" w:cs="仿宋"/>
                <w:spacing w:val="1"/>
                <w:sz w:val="24"/>
              </w:rPr>
              <w:t>招标文件要求的；</w:t>
            </w:r>
          </w:p>
        </w:tc>
        <w:tc>
          <w:tcPr>
            <w:tcW w:w="1021" w:type="dxa"/>
          </w:tcPr>
          <w:p w14:paraId="7094AAF6">
            <w:pPr>
              <w:pStyle w:val="108"/>
              <w:rPr>
                <w:rFonts w:ascii="仿宋" w:hAnsi="仿宋" w:eastAsia="仿宋" w:cs="仿宋"/>
                <w:lang w:eastAsia="zh-CN"/>
              </w:rPr>
            </w:pPr>
          </w:p>
        </w:tc>
      </w:tr>
      <w:tr w14:paraId="2ED3B0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852" w:type="dxa"/>
          </w:tcPr>
          <w:p w14:paraId="2F781071">
            <w:pPr>
              <w:spacing w:before="156" w:line="186" w:lineRule="auto"/>
              <w:ind w:left="372"/>
              <w:rPr>
                <w:rFonts w:ascii="仿宋" w:hAnsi="仿宋" w:eastAsia="仿宋" w:cs="仿宋"/>
                <w:sz w:val="23"/>
                <w:szCs w:val="23"/>
              </w:rPr>
            </w:pPr>
            <w:r>
              <w:rPr>
                <w:rFonts w:hint="eastAsia" w:ascii="仿宋" w:hAnsi="仿宋" w:eastAsia="仿宋" w:cs="仿宋"/>
                <w:sz w:val="23"/>
                <w:szCs w:val="23"/>
              </w:rPr>
              <w:t>8</w:t>
            </w:r>
          </w:p>
        </w:tc>
        <w:tc>
          <w:tcPr>
            <w:tcW w:w="7170" w:type="dxa"/>
            <w:vAlign w:val="top"/>
          </w:tcPr>
          <w:p w14:paraId="7546B30E">
            <w:pPr>
              <w:spacing w:line="360" w:lineRule="auto"/>
              <w:rPr>
                <w:rFonts w:ascii="仿宋" w:hAnsi="仿宋" w:eastAsia="仿宋" w:cs="仿宋"/>
                <w:sz w:val="23"/>
                <w:szCs w:val="23"/>
              </w:rPr>
            </w:pPr>
            <w:r>
              <w:rPr>
                <w:rFonts w:hint="eastAsia" w:ascii="仿宋" w:hAnsi="仿宋" w:eastAsia="仿宋" w:cs="仿宋"/>
                <w:spacing w:val="5"/>
                <w:sz w:val="24"/>
              </w:rPr>
              <w:t>投标文件没有采购人不能接受条件的；</w:t>
            </w:r>
          </w:p>
        </w:tc>
        <w:tc>
          <w:tcPr>
            <w:tcW w:w="1021" w:type="dxa"/>
          </w:tcPr>
          <w:p w14:paraId="2F6D46E6">
            <w:pPr>
              <w:pStyle w:val="108"/>
              <w:rPr>
                <w:rFonts w:ascii="仿宋" w:hAnsi="仿宋" w:eastAsia="仿宋" w:cs="仿宋"/>
                <w:lang w:eastAsia="zh-CN"/>
              </w:rPr>
            </w:pPr>
          </w:p>
        </w:tc>
      </w:tr>
      <w:tr w14:paraId="56020D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852" w:type="dxa"/>
          </w:tcPr>
          <w:p w14:paraId="2CDB9A75">
            <w:pPr>
              <w:spacing w:before="191" w:line="186" w:lineRule="auto"/>
              <w:ind w:left="372"/>
              <w:rPr>
                <w:rFonts w:ascii="仿宋" w:hAnsi="仿宋" w:eastAsia="仿宋" w:cs="仿宋"/>
                <w:sz w:val="23"/>
                <w:szCs w:val="23"/>
              </w:rPr>
            </w:pPr>
            <w:r>
              <w:rPr>
                <w:rFonts w:hint="eastAsia" w:ascii="仿宋" w:hAnsi="仿宋" w:eastAsia="仿宋" w:cs="仿宋"/>
                <w:sz w:val="23"/>
                <w:szCs w:val="23"/>
              </w:rPr>
              <w:t>9</w:t>
            </w:r>
          </w:p>
        </w:tc>
        <w:tc>
          <w:tcPr>
            <w:tcW w:w="7170" w:type="dxa"/>
            <w:vAlign w:val="top"/>
          </w:tcPr>
          <w:p w14:paraId="7AC0A837">
            <w:pPr>
              <w:spacing w:line="360" w:lineRule="auto"/>
              <w:rPr>
                <w:rFonts w:ascii="仿宋" w:hAnsi="仿宋" w:eastAsia="仿宋" w:cs="仿宋"/>
                <w:sz w:val="23"/>
                <w:szCs w:val="23"/>
              </w:rPr>
            </w:pPr>
            <w:r>
              <w:rPr>
                <w:rFonts w:hint="eastAsia" w:ascii="仿宋" w:hAnsi="仿宋" w:eastAsia="仿宋" w:cs="仿宋"/>
                <w:spacing w:val="8"/>
                <w:sz w:val="24"/>
              </w:rPr>
              <w:t>满足招标文件实质性要求的其他情形；</w:t>
            </w:r>
          </w:p>
        </w:tc>
        <w:tc>
          <w:tcPr>
            <w:tcW w:w="1021" w:type="dxa"/>
          </w:tcPr>
          <w:p w14:paraId="66CA083B">
            <w:pPr>
              <w:pStyle w:val="108"/>
              <w:rPr>
                <w:rFonts w:ascii="仿宋" w:hAnsi="仿宋" w:eastAsia="仿宋" w:cs="仿宋"/>
                <w:lang w:eastAsia="zh-CN"/>
              </w:rPr>
            </w:pPr>
          </w:p>
        </w:tc>
      </w:tr>
      <w:tr w14:paraId="1A7E2E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5" w:hRule="atLeast"/>
        </w:trPr>
        <w:tc>
          <w:tcPr>
            <w:tcW w:w="852" w:type="dxa"/>
          </w:tcPr>
          <w:p w14:paraId="02465323">
            <w:pPr>
              <w:spacing w:before="191" w:line="186" w:lineRule="auto"/>
              <w:ind w:left="372"/>
              <w:rPr>
                <w:rFonts w:ascii="仿宋" w:hAnsi="仿宋" w:eastAsia="仿宋" w:cs="仿宋"/>
                <w:sz w:val="23"/>
                <w:szCs w:val="23"/>
              </w:rPr>
            </w:pPr>
            <w:r>
              <w:rPr>
                <w:rFonts w:hint="eastAsia" w:ascii="仿宋" w:hAnsi="仿宋" w:eastAsia="仿宋" w:cs="仿宋"/>
                <w:sz w:val="23"/>
                <w:szCs w:val="23"/>
              </w:rPr>
              <w:t>10</w:t>
            </w:r>
          </w:p>
        </w:tc>
        <w:tc>
          <w:tcPr>
            <w:tcW w:w="7170" w:type="dxa"/>
            <w:vAlign w:val="top"/>
          </w:tcPr>
          <w:p w14:paraId="204C8BF9">
            <w:pPr>
              <w:spacing w:line="360" w:lineRule="auto"/>
              <w:rPr>
                <w:rFonts w:ascii="仿宋" w:hAnsi="仿宋" w:eastAsia="仿宋" w:cs="仿宋"/>
                <w:spacing w:val="8"/>
                <w:sz w:val="23"/>
                <w:szCs w:val="23"/>
              </w:rPr>
            </w:pPr>
            <w:r>
              <w:rPr>
                <w:rFonts w:hint="eastAsia" w:ascii="仿宋" w:hAnsi="仿宋" w:eastAsia="仿宋" w:cs="仿宋"/>
                <w:spacing w:val="9"/>
                <w:sz w:val="24"/>
                <w:lang w:val="zh-CN"/>
              </w:rPr>
              <w:t>法定代表人</w:t>
            </w:r>
            <w:r>
              <w:rPr>
                <w:rFonts w:hint="eastAsia" w:ascii="仿宋" w:hAnsi="仿宋" w:eastAsia="仿宋" w:cs="仿宋"/>
                <w:spacing w:val="9"/>
                <w:sz w:val="24"/>
              </w:rPr>
              <w:t>投标</w:t>
            </w:r>
            <w:r>
              <w:rPr>
                <w:rFonts w:hint="eastAsia" w:ascii="仿宋" w:hAnsi="仿宋" w:eastAsia="仿宋" w:cs="仿宋"/>
                <w:spacing w:val="9"/>
                <w:sz w:val="24"/>
                <w:lang w:val="zh-CN"/>
              </w:rPr>
              <w:t>需提供法定代表人身份证明；授权人</w:t>
            </w:r>
            <w:r>
              <w:rPr>
                <w:rFonts w:hint="eastAsia" w:ascii="仿宋" w:hAnsi="仿宋" w:eastAsia="仿宋" w:cs="仿宋"/>
                <w:spacing w:val="9"/>
                <w:sz w:val="24"/>
              </w:rPr>
              <w:t>投标</w:t>
            </w:r>
            <w:r>
              <w:rPr>
                <w:rFonts w:hint="eastAsia" w:ascii="仿宋" w:hAnsi="仿宋" w:eastAsia="仿宋" w:cs="仿宋"/>
                <w:spacing w:val="9"/>
                <w:sz w:val="24"/>
                <w:lang w:val="zh-CN"/>
              </w:rPr>
              <w:t>需提供法定代表人身份证明及被授权书；</w:t>
            </w:r>
          </w:p>
        </w:tc>
        <w:tc>
          <w:tcPr>
            <w:tcW w:w="1021" w:type="dxa"/>
          </w:tcPr>
          <w:p w14:paraId="39C54F00">
            <w:pPr>
              <w:pStyle w:val="108"/>
              <w:rPr>
                <w:rFonts w:ascii="仿宋" w:hAnsi="仿宋" w:eastAsia="仿宋" w:cs="仿宋"/>
                <w:lang w:eastAsia="zh-CN"/>
              </w:rPr>
            </w:pPr>
          </w:p>
        </w:tc>
      </w:tr>
      <w:tr w14:paraId="1F1AEE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2" w:hRule="atLeast"/>
        </w:trPr>
        <w:tc>
          <w:tcPr>
            <w:tcW w:w="8022" w:type="dxa"/>
            <w:gridSpan w:val="2"/>
          </w:tcPr>
          <w:p w14:paraId="39EE8B4E">
            <w:pPr>
              <w:spacing w:before="110" w:line="231" w:lineRule="auto"/>
              <w:ind w:left="554"/>
              <w:rPr>
                <w:rFonts w:ascii="仿宋" w:hAnsi="仿宋" w:eastAsia="仿宋" w:cs="仿宋"/>
                <w:sz w:val="23"/>
                <w:szCs w:val="23"/>
              </w:rPr>
            </w:pPr>
            <w:r>
              <w:rPr>
                <w:rFonts w:hint="eastAsia" w:ascii="仿宋" w:hAnsi="仿宋" w:eastAsia="仿宋" w:cs="仿宋"/>
                <w:spacing w:val="6"/>
                <w:sz w:val="23"/>
                <w:szCs w:val="23"/>
              </w:rPr>
              <w:t>结论：通过评标打“</w:t>
            </w:r>
            <w:r>
              <w:rPr>
                <w:rFonts w:hint="eastAsia" w:ascii="仿宋" w:hAnsi="仿宋" w:eastAsia="仿宋" w:cs="仿宋"/>
                <w:spacing w:val="-47"/>
                <w:sz w:val="23"/>
                <w:szCs w:val="23"/>
              </w:rPr>
              <w:t xml:space="preserve"> </w:t>
            </w:r>
            <w:r>
              <w:rPr>
                <w:rFonts w:hint="eastAsia" w:ascii="仿宋" w:hAnsi="仿宋" w:eastAsia="仿宋" w:cs="仿宋"/>
                <w:spacing w:val="6"/>
                <w:sz w:val="23"/>
                <w:szCs w:val="23"/>
              </w:rPr>
              <w:t>√</w:t>
            </w:r>
            <w:r>
              <w:rPr>
                <w:rFonts w:hint="eastAsia" w:ascii="仿宋" w:hAnsi="仿宋" w:eastAsia="仿宋" w:cs="仿宋"/>
                <w:spacing w:val="-85"/>
                <w:sz w:val="23"/>
                <w:szCs w:val="23"/>
              </w:rPr>
              <w:t xml:space="preserve"> </w:t>
            </w:r>
            <w:r>
              <w:rPr>
                <w:rFonts w:hint="eastAsia" w:ascii="仿宋" w:hAnsi="仿宋" w:eastAsia="仿宋" w:cs="仿宋"/>
                <w:spacing w:val="6"/>
                <w:sz w:val="23"/>
                <w:szCs w:val="23"/>
              </w:rPr>
              <w:t>”，未通过评标打“×”</w:t>
            </w:r>
          </w:p>
        </w:tc>
        <w:tc>
          <w:tcPr>
            <w:tcW w:w="1021" w:type="dxa"/>
          </w:tcPr>
          <w:p w14:paraId="6AD4762E">
            <w:pPr>
              <w:pStyle w:val="108"/>
              <w:rPr>
                <w:rFonts w:ascii="仿宋" w:hAnsi="仿宋" w:eastAsia="仿宋" w:cs="仿宋"/>
                <w:lang w:eastAsia="zh-CN"/>
              </w:rPr>
            </w:pPr>
          </w:p>
        </w:tc>
      </w:tr>
    </w:tbl>
    <w:p w14:paraId="6D464EF0">
      <w:pPr>
        <w:spacing w:line="269" w:lineRule="auto"/>
        <w:rPr>
          <w:rFonts w:ascii="仿宋" w:hAnsi="仿宋" w:eastAsia="仿宋" w:cs="仿宋"/>
        </w:rPr>
      </w:pPr>
    </w:p>
    <w:p w14:paraId="3366B19F">
      <w:pPr>
        <w:pStyle w:val="11"/>
        <w:spacing w:before="75" w:line="232" w:lineRule="auto"/>
        <w:ind w:left="401"/>
        <w:rPr>
          <w:rFonts w:ascii="仿宋" w:hAnsi="仿宋" w:eastAsia="仿宋" w:cs="仿宋"/>
          <w:sz w:val="23"/>
          <w:szCs w:val="23"/>
        </w:rPr>
      </w:pPr>
      <w:r>
        <w:rPr>
          <w:rFonts w:hint="eastAsia" w:ascii="仿宋" w:hAnsi="仿宋" w:eastAsia="仿宋" w:cs="仿宋"/>
          <w:spacing w:val="-11"/>
          <w:sz w:val="23"/>
          <w:szCs w:val="23"/>
        </w:rPr>
        <w:t>说明：</w:t>
      </w:r>
    </w:p>
    <w:p w14:paraId="17E52383">
      <w:pPr>
        <w:pStyle w:val="11"/>
        <w:spacing w:before="87" w:line="223" w:lineRule="auto"/>
        <w:ind w:left="400"/>
        <w:rPr>
          <w:rFonts w:ascii="仿宋" w:hAnsi="仿宋" w:eastAsia="仿宋" w:cs="仿宋"/>
          <w:sz w:val="22"/>
          <w:szCs w:val="22"/>
        </w:rPr>
      </w:pPr>
      <w:r>
        <w:rPr>
          <w:rFonts w:hint="eastAsia" w:ascii="仿宋" w:hAnsi="仿宋" w:eastAsia="仿宋" w:cs="仿宋"/>
          <w:spacing w:val="-5"/>
          <w:sz w:val="22"/>
          <w:szCs w:val="22"/>
        </w:rPr>
        <w:t>（1）上述各项中用“</w:t>
      </w:r>
      <w:r>
        <w:rPr>
          <w:rFonts w:hint="eastAsia" w:ascii="仿宋" w:hAnsi="仿宋" w:eastAsia="仿宋" w:cs="仿宋"/>
          <w:spacing w:val="-38"/>
          <w:sz w:val="22"/>
          <w:szCs w:val="22"/>
        </w:rPr>
        <w:t xml:space="preserve"> </w:t>
      </w:r>
      <w:r>
        <w:rPr>
          <w:rFonts w:hint="eastAsia" w:ascii="仿宋" w:hAnsi="仿宋" w:eastAsia="仿宋" w:cs="仿宋"/>
          <w:spacing w:val="-5"/>
          <w:sz w:val="22"/>
          <w:szCs w:val="22"/>
        </w:rPr>
        <w:t>√</w:t>
      </w:r>
      <w:r>
        <w:rPr>
          <w:rFonts w:hint="eastAsia" w:ascii="仿宋" w:hAnsi="仿宋" w:eastAsia="仿宋" w:cs="仿宋"/>
          <w:spacing w:val="-83"/>
          <w:sz w:val="22"/>
          <w:szCs w:val="22"/>
        </w:rPr>
        <w:t xml:space="preserve"> </w:t>
      </w:r>
      <w:r>
        <w:rPr>
          <w:rFonts w:hint="eastAsia" w:ascii="仿宋" w:hAnsi="仿宋" w:eastAsia="仿宋" w:cs="仿宋"/>
          <w:spacing w:val="-5"/>
          <w:sz w:val="22"/>
          <w:szCs w:val="22"/>
        </w:rPr>
        <w:t>”表示是，“×”表示否；</w:t>
      </w:r>
    </w:p>
    <w:p w14:paraId="2DC9D4B5">
      <w:pPr>
        <w:pStyle w:val="11"/>
        <w:spacing w:before="95" w:line="262" w:lineRule="auto"/>
        <w:ind w:left="402" w:right="400" w:hanging="2"/>
        <w:rPr>
          <w:rFonts w:ascii="仿宋" w:hAnsi="仿宋" w:eastAsia="仿宋" w:cs="仿宋"/>
          <w:sz w:val="22"/>
          <w:szCs w:val="22"/>
        </w:rPr>
      </w:pPr>
      <w:r>
        <w:rPr>
          <w:rFonts w:hint="eastAsia" w:ascii="仿宋" w:hAnsi="仿宋" w:eastAsia="仿宋" w:cs="仿宋"/>
          <w:spacing w:val="-2"/>
          <w:sz w:val="22"/>
          <w:szCs w:val="22"/>
        </w:rPr>
        <w:t>（2）上述各项中如有一项为“×”，则结论为</w:t>
      </w:r>
      <w:r>
        <w:rPr>
          <w:rFonts w:hint="eastAsia" w:ascii="仿宋" w:hAnsi="仿宋" w:eastAsia="仿宋" w:cs="仿宋"/>
          <w:spacing w:val="-67"/>
          <w:sz w:val="22"/>
          <w:szCs w:val="22"/>
        </w:rPr>
        <w:t xml:space="preserve"> </w:t>
      </w:r>
      <w:r>
        <w:rPr>
          <w:rFonts w:hint="eastAsia" w:ascii="仿宋" w:hAnsi="仿宋" w:eastAsia="仿宋" w:cs="仿宋"/>
          <w:spacing w:val="-2"/>
          <w:sz w:val="22"/>
          <w:szCs w:val="22"/>
        </w:rPr>
        <w:t>“不通过</w:t>
      </w:r>
      <w:r>
        <w:rPr>
          <w:rFonts w:hint="eastAsia" w:ascii="仿宋" w:hAnsi="仿宋" w:eastAsia="仿宋" w:cs="仿宋"/>
          <w:spacing w:val="-81"/>
          <w:sz w:val="22"/>
          <w:szCs w:val="22"/>
        </w:rPr>
        <w:t xml:space="preserve"> </w:t>
      </w:r>
      <w:r>
        <w:rPr>
          <w:rFonts w:hint="eastAsia" w:ascii="仿宋" w:hAnsi="仿宋" w:eastAsia="仿宋" w:cs="仿宋"/>
          <w:spacing w:val="-2"/>
          <w:sz w:val="22"/>
          <w:szCs w:val="22"/>
        </w:rPr>
        <w:t>”，表示该投标文件中存在重</w:t>
      </w:r>
      <w:r>
        <w:rPr>
          <w:rFonts w:hint="eastAsia" w:ascii="仿宋" w:hAnsi="仿宋" w:eastAsia="仿宋" w:cs="仿宋"/>
          <w:spacing w:val="-1"/>
          <w:sz w:val="22"/>
          <w:szCs w:val="22"/>
        </w:rPr>
        <w:t>大偏差，不能通过初步评标；评标委员会对某一分项评标认为不合格时，必须要写明原因。</w:t>
      </w:r>
    </w:p>
    <w:p w14:paraId="1B6E44E9">
      <w:pPr>
        <w:pStyle w:val="11"/>
        <w:spacing w:before="95" w:line="223" w:lineRule="auto"/>
        <w:ind w:left="400"/>
        <w:rPr>
          <w:rFonts w:ascii="仿宋" w:hAnsi="仿宋" w:eastAsia="仿宋" w:cs="仿宋"/>
          <w:sz w:val="22"/>
          <w:szCs w:val="22"/>
        </w:rPr>
      </w:pPr>
      <w:r>
        <w:rPr>
          <w:rFonts w:hint="eastAsia" w:ascii="仿宋" w:hAnsi="仿宋" w:eastAsia="仿宋" w:cs="仿宋"/>
          <w:sz w:val="22"/>
          <w:szCs w:val="22"/>
        </w:rPr>
        <w:t>（3）招标文件最终合格与否，以所有评标委员会成员的评标意见中少数服</w:t>
      </w:r>
      <w:r>
        <w:rPr>
          <w:rFonts w:hint="eastAsia" w:ascii="仿宋" w:hAnsi="仿宋" w:eastAsia="仿宋" w:cs="仿宋"/>
          <w:spacing w:val="-1"/>
          <w:sz w:val="22"/>
          <w:szCs w:val="22"/>
        </w:rPr>
        <w:t>从多数为原则定论。</w:t>
      </w:r>
    </w:p>
    <w:p w14:paraId="4399641A">
      <w:pPr>
        <w:pStyle w:val="11"/>
        <w:spacing w:before="94" w:line="287" w:lineRule="auto"/>
        <w:ind w:left="401" w:right="354"/>
        <w:rPr>
          <w:rFonts w:ascii="仿宋" w:hAnsi="仿宋" w:eastAsia="仿宋" w:cs="仿宋"/>
          <w:sz w:val="22"/>
          <w:szCs w:val="22"/>
        </w:rPr>
      </w:pPr>
      <w:r>
        <w:rPr>
          <w:rFonts w:hint="eastAsia" w:ascii="仿宋" w:hAnsi="仿宋" w:eastAsia="仿宋" w:cs="仿宋"/>
          <w:b/>
          <w:bCs/>
          <w:spacing w:val="2"/>
          <w:sz w:val="22"/>
          <w:szCs w:val="22"/>
        </w:rPr>
        <w:t>备注：如果招标文件中有一项未通过上述审查标准，评标委员会将</w:t>
      </w:r>
      <w:r>
        <w:rPr>
          <w:rFonts w:hint="eastAsia" w:ascii="仿宋" w:hAnsi="仿宋" w:eastAsia="仿宋" w:cs="仿宋"/>
          <w:b/>
          <w:bCs/>
          <w:spacing w:val="1"/>
          <w:sz w:val="22"/>
          <w:szCs w:val="22"/>
        </w:rPr>
        <w:t>认定整个投标文件</w:t>
      </w:r>
      <w:r>
        <w:rPr>
          <w:rFonts w:hint="eastAsia" w:ascii="仿宋" w:hAnsi="仿宋" w:eastAsia="仿宋" w:cs="仿宋"/>
          <w:b/>
          <w:bCs/>
          <w:spacing w:val="-5"/>
          <w:sz w:val="22"/>
          <w:szCs w:val="22"/>
        </w:rPr>
        <w:t>未响应招标文件而予以无效处理。</w:t>
      </w:r>
    </w:p>
    <w:p w14:paraId="50306F8C">
      <w:pPr>
        <w:spacing w:line="287" w:lineRule="auto"/>
        <w:rPr>
          <w:rFonts w:ascii="仿宋" w:hAnsi="仿宋" w:eastAsia="仿宋" w:cs="仿宋"/>
          <w:sz w:val="22"/>
          <w:szCs w:val="22"/>
        </w:rPr>
        <w:sectPr>
          <w:footerReference r:id="rId15" w:type="default"/>
          <w:pgSz w:w="11906" w:h="16838"/>
          <w:pgMar w:top="400" w:right="1427" w:bottom="1263" w:left="1429" w:header="0" w:footer="1087" w:gutter="0"/>
          <w:cols w:space="720" w:num="1"/>
        </w:sectPr>
      </w:pPr>
    </w:p>
    <w:p w14:paraId="60C0ABA1">
      <w:pPr>
        <w:widowControl/>
        <w:spacing w:line="280" w:lineRule="exact"/>
        <w:jc w:val="center"/>
        <w:textAlignment w:val="center"/>
        <w:rPr>
          <w:rFonts w:ascii="仿宋" w:hAnsi="仿宋" w:eastAsia="仿宋" w:cs="仿宋"/>
          <w:b/>
          <w:bCs/>
          <w:iCs/>
          <w:sz w:val="32"/>
          <w:szCs w:val="22"/>
        </w:rPr>
      </w:pPr>
    </w:p>
    <w:p w14:paraId="2CB12EFF">
      <w:pPr>
        <w:widowControl/>
        <w:spacing w:line="280" w:lineRule="exact"/>
        <w:jc w:val="center"/>
        <w:textAlignment w:val="center"/>
        <w:rPr>
          <w:rFonts w:ascii="仿宋" w:hAnsi="仿宋" w:eastAsia="仿宋" w:cs="仿宋"/>
          <w:b/>
          <w:bCs/>
          <w:iCs/>
          <w:sz w:val="32"/>
          <w:szCs w:val="22"/>
        </w:rPr>
      </w:pPr>
      <w:r>
        <w:rPr>
          <w:rFonts w:hint="eastAsia" w:ascii="仿宋" w:hAnsi="仿宋" w:eastAsia="仿宋" w:cs="仿宋"/>
          <w:b/>
          <w:bCs/>
          <w:iCs/>
          <w:sz w:val="32"/>
          <w:szCs w:val="22"/>
        </w:rPr>
        <w:t>评分表</w:t>
      </w:r>
    </w:p>
    <w:tbl>
      <w:tblPr>
        <w:tblStyle w:val="35"/>
        <w:tblW w:w="9258" w:type="dxa"/>
        <w:tblInd w:w="93" w:type="dxa"/>
        <w:tblLayout w:type="autofit"/>
        <w:tblCellMar>
          <w:top w:w="0" w:type="dxa"/>
          <w:left w:w="108" w:type="dxa"/>
          <w:bottom w:w="0" w:type="dxa"/>
          <w:right w:w="108" w:type="dxa"/>
        </w:tblCellMar>
      </w:tblPr>
      <w:tblGrid>
        <w:gridCol w:w="490"/>
        <w:gridCol w:w="1050"/>
        <w:gridCol w:w="1436"/>
        <w:gridCol w:w="5406"/>
        <w:gridCol w:w="876"/>
      </w:tblGrid>
      <w:tr w14:paraId="20CBE626">
        <w:tblPrEx>
          <w:tblCellMar>
            <w:top w:w="0" w:type="dxa"/>
            <w:left w:w="108" w:type="dxa"/>
            <w:bottom w:w="0" w:type="dxa"/>
            <w:right w:w="108" w:type="dxa"/>
          </w:tblCellMar>
        </w:tblPrEx>
        <w:trPr>
          <w:trHeight w:val="565" w:hRule="atLeast"/>
        </w:trPr>
        <w:tc>
          <w:tcPr>
            <w:tcW w:w="49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9DAF264">
            <w:pPr>
              <w:widowControl/>
              <w:jc w:val="center"/>
              <w:textAlignment w:val="center"/>
              <w:rPr>
                <w:rFonts w:ascii="仿宋" w:hAnsi="仿宋" w:eastAsia="仿宋" w:cs="仿宋"/>
                <w:b/>
                <w:bCs/>
                <w:color w:val="000000"/>
                <w:sz w:val="22"/>
                <w:szCs w:val="22"/>
              </w:rPr>
            </w:pPr>
            <w:r>
              <w:rPr>
                <w:rFonts w:hint="eastAsia" w:ascii="仿宋" w:hAnsi="仿宋" w:eastAsia="仿宋" w:cs="仿宋"/>
                <w:b/>
                <w:bCs/>
                <w:color w:val="000000"/>
                <w:kern w:val="0"/>
                <w:sz w:val="22"/>
                <w:szCs w:val="22"/>
                <w:lang w:bidi="ar"/>
              </w:rPr>
              <w:t>序号</w:t>
            </w:r>
          </w:p>
        </w:tc>
        <w:tc>
          <w:tcPr>
            <w:tcW w:w="105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9E6A82E">
            <w:pPr>
              <w:jc w:val="center"/>
              <w:rPr>
                <w:rFonts w:ascii="仿宋" w:hAnsi="仿宋" w:eastAsia="仿宋" w:cs="仿宋"/>
                <w:b/>
                <w:bCs/>
                <w:color w:val="000000"/>
                <w:sz w:val="22"/>
                <w:szCs w:val="22"/>
              </w:rPr>
            </w:pPr>
          </w:p>
        </w:tc>
        <w:tc>
          <w:tcPr>
            <w:tcW w:w="143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07A96B5">
            <w:pPr>
              <w:widowControl/>
              <w:jc w:val="center"/>
              <w:textAlignment w:val="center"/>
              <w:rPr>
                <w:rFonts w:ascii="仿宋" w:hAnsi="仿宋" w:eastAsia="仿宋" w:cs="仿宋"/>
                <w:b/>
                <w:bCs/>
                <w:color w:val="000000"/>
                <w:sz w:val="22"/>
                <w:szCs w:val="22"/>
              </w:rPr>
            </w:pPr>
            <w:r>
              <w:rPr>
                <w:rFonts w:hint="eastAsia" w:ascii="仿宋" w:hAnsi="仿宋" w:eastAsia="仿宋" w:cs="仿宋"/>
                <w:b/>
                <w:bCs/>
                <w:color w:val="000000"/>
                <w:kern w:val="0"/>
                <w:sz w:val="22"/>
                <w:szCs w:val="22"/>
                <w:lang w:bidi="ar"/>
              </w:rPr>
              <w:t>评审项目</w:t>
            </w:r>
          </w:p>
        </w:tc>
        <w:tc>
          <w:tcPr>
            <w:tcW w:w="540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CC42C23">
            <w:pPr>
              <w:widowControl/>
              <w:jc w:val="center"/>
              <w:textAlignment w:val="center"/>
              <w:rPr>
                <w:rFonts w:ascii="仿宋" w:hAnsi="仿宋" w:eastAsia="仿宋" w:cs="仿宋"/>
                <w:b/>
                <w:bCs/>
                <w:color w:val="000000"/>
                <w:sz w:val="22"/>
                <w:szCs w:val="22"/>
              </w:rPr>
            </w:pPr>
            <w:r>
              <w:rPr>
                <w:rFonts w:hint="eastAsia" w:ascii="仿宋" w:hAnsi="仿宋" w:eastAsia="仿宋" w:cs="仿宋"/>
                <w:b/>
                <w:bCs/>
                <w:color w:val="000000"/>
                <w:kern w:val="0"/>
                <w:sz w:val="22"/>
                <w:szCs w:val="22"/>
                <w:lang w:bidi="ar"/>
              </w:rPr>
              <w:t>评审标准</w:t>
            </w:r>
          </w:p>
        </w:tc>
        <w:tc>
          <w:tcPr>
            <w:tcW w:w="87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3F19B01">
            <w:pPr>
              <w:widowControl/>
              <w:jc w:val="center"/>
              <w:textAlignment w:val="center"/>
              <w:rPr>
                <w:rFonts w:ascii="仿宋" w:hAnsi="仿宋" w:eastAsia="仿宋" w:cs="仿宋"/>
                <w:b/>
                <w:bCs/>
                <w:color w:val="000000"/>
                <w:sz w:val="22"/>
                <w:szCs w:val="22"/>
              </w:rPr>
            </w:pPr>
            <w:r>
              <w:rPr>
                <w:rFonts w:hint="eastAsia" w:ascii="仿宋" w:hAnsi="仿宋" w:eastAsia="仿宋" w:cs="仿宋"/>
                <w:b/>
                <w:bCs/>
                <w:color w:val="000000"/>
                <w:kern w:val="0"/>
                <w:sz w:val="22"/>
                <w:szCs w:val="22"/>
                <w:lang w:bidi="ar"/>
              </w:rPr>
              <w:t>分值</w:t>
            </w:r>
          </w:p>
        </w:tc>
      </w:tr>
      <w:tr w14:paraId="451C28BD">
        <w:tblPrEx>
          <w:tblCellMar>
            <w:top w:w="0" w:type="dxa"/>
            <w:left w:w="108" w:type="dxa"/>
            <w:bottom w:w="0" w:type="dxa"/>
            <w:right w:w="108" w:type="dxa"/>
          </w:tblCellMar>
        </w:tblPrEx>
        <w:trPr>
          <w:trHeight w:val="669" w:hRule="atLeast"/>
        </w:trPr>
        <w:tc>
          <w:tcPr>
            <w:tcW w:w="490" w:type="dxa"/>
            <w:vMerge w:val="restart"/>
            <w:tcBorders>
              <w:top w:val="nil"/>
              <w:left w:val="single" w:color="000000" w:sz="8" w:space="0"/>
              <w:bottom w:val="single" w:color="000000" w:sz="8" w:space="0"/>
              <w:right w:val="single" w:color="000000" w:sz="8" w:space="0"/>
            </w:tcBorders>
            <w:shd w:val="clear" w:color="auto" w:fill="auto"/>
            <w:vAlign w:val="center"/>
          </w:tcPr>
          <w:p w14:paraId="06DDF9CD">
            <w:pPr>
              <w:widowControl/>
              <w:jc w:val="center"/>
              <w:textAlignment w:val="center"/>
              <w:rPr>
                <w:rFonts w:ascii="仿宋" w:hAnsi="仿宋" w:eastAsia="仿宋" w:cs="仿宋"/>
                <w:color w:val="000000"/>
                <w:sz w:val="22"/>
                <w:szCs w:val="22"/>
              </w:rPr>
            </w:pPr>
            <w:r>
              <w:rPr>
                <w:rFonts w:hint="eastAsia" w:ascii="仿宋" w:hAnsi="仿宋" w:eastAsia="仿宋" w:cs="仿宋"/>
                <w:color w:val="000000"/>
                <w:kern w:val="0"/>
                <w:sz w:val="22"/>
                <w:szCs w:val="22"/>
                <w:lang w:bidi="ar"/>
              </w:rPr>
              <w:t>1</w:t>
            </w:r>
          </w:p>
        </w:tc>
        <w:tc>
          <w:tcPr>
            <w:tcW w:w="1050" w:type="dxa"/>
            <w:vMerge w:val="restart"/>
            <w:tcBorders>
              <w:top w:val="nil"/>
              <w:left w:val="single" w:color="000000" w:sz="8" w:space="0"/>
              <w:bottom w:val="single" w:color="000000" w:sz="8" w:space="0"/>
              <w:right w:val="single" w:color="000000" w:sz="8" w:space="0"/>
            </w:tcBorders>
            <w:shd w:val="clear" w:color="auto" w:fill="auto"/>
            <w:vAlign w:val="center"/>
          </w:tcPr>
          <w:p w14:paraId="0122C855">
            <w:pPr>
              <w:widowControl/>
              <w:jc w:val="center"/>
              <w:textAlignment w:val="center"/>
              <w:rPr>
                <w:rFonts w:ascii="仿宋" w:hAnsi="仿宋" w:eastAsia="仿宋" w:cs="仿宋"/>
                <w:color w:val="000000"/>
                <w:sz w:val="22"/>
                <w:szCs w:val="22"/>
              </w:rPr>
            </w:pPr>
            <w:r>
              <w:rPr>
                <w:rFonts w:hint="eastAsia" w:ascii="仿宋" w:hAnsi="仿宋" w:eastAsia="仿宋" w:cs="仿宋"/>
                <w:color w:val="000000"/>
                <w:kern w:val="0"/>
                <w:sz w:val="22"/>
                <w:szCs w:val="22"/>
                <w:lang w:bidi="ar"/>
              </w:rPr>
              <w:t>价格分（30分）</w:t>
            </w:r>
          </w:p>
        </w:tc>
        <w:tc>
          <w:tcPr>
            <w:tcW w:w="1436" w:type="dxa"/>
            <w:vMerge w:val="restart"/>
            <w:tcBorders>
              <w:top w:val="nil"/>
              <w:left w:val="single" w:color="000000" w:sz="8" w:space="0"/>
              <w:bottom w:val="single" w:color="000000" w:sz="8" w:space="0"/>
              <w:right w:val="single" w:color="000000" w:sz="8" w:space="0"/>
            </w:tcBorders>
            <w:shd w:val="clear" w:color="auto" w:fill="auto"/>
            <w:vAlign w:val="center"/>
          </w:tcPr>
          <w:p w14:paraId="3F761391">
            <w:pPr>
              <w:widowControl/>
              <w:jc w:val="center"/>
              <w:textAlignment w:val="center"/>
              <w:rPr>
                <w:rFonts w:ascii="仿宋" w:hAnsi="仿宋" w:eastAsia="仿宋" w:cs="仿宋"/>
                <w:color w:val="000000"/>
                <w:sz w:val="22"/>
                <w:szCs w:val="22"/>
              </w:rPr>
            </w:pPr>
            <w:r>
              <w:rPr>
                <w:rFonts w:hint="eastAsia" w:ascii="仿宋" w:hAnsi="仿宋" w:eastAsia="仿宋" w:cs="仿宋"/>
                <w:color w:val="000000"/>
                <w:kern w:val="0"/>
                <w:sz w:val="22"/>
                <w:szCs w:val="22"/>
                <w:lang w:bidi="ar"/>
              </w:rPr>
              <w:t>投标报价</w:t>
            </w:r>
          </w:p>
        </w:tc>
        <w:tc>
          <w:tcPr>
            <w:tcW w:w="5406" w:type="dxa"/>
            <w:vMerge w:val="restart"/>
            <w:tcBorders>
              <w:top w:val="nil"/>
              <w:left w:val="single" w:color="000000" w:sz="8" w:space="0"/>
              <w:bottom w:val="single" w:color="000000" w:sz="8" w:space="0"/>
              <w:right w:val="single" w:color="000000" w:sz="8" w:space="0"/>
            </w:tcBorders>
            <w:shd w:val="clear" w:color="auto" w:fill="auto"/>
            <w:vAlign w:val="center"/>
          </w:tcPr>
          <w:p w14:paraId="4A3F5EFA">
            <w:pPr>
              <w:widowControl/>
              <w:jc w:val="left"/>
              <w:textAlignment w:val="center"/>
              <w:rPr>
                <w:rFonts w:ascii="仿宋" w:hAnsi="仿宋" w:eastAsia="仿宋" w:cs="仿宋"/>
                <w:color w:val="000000"/>
                <w:sz w:val="22"/>
                <w:szCs w:val="22"/>
              </w:rPr>
            </w:pPr>
            <w:r>
              <w:rPr>
                <w:rFonts w:hint="eastAsia" w:ascii="仿宋" w:hAnsi="仿宋" w:eastAsia="仿宋" w:cs="仿宋"/>
                <w:color w:val="000000"/>
                <w:sz w:val="22"/>
                <w:szCs w:val="22"/>
              </w:rPr>
              <w:t>评标基准价=有效报价的最低值，有效报价等于基准值的得 满分 30 分，报价得分=（评标基准价/报价）×价格权重× 100；有效报价为通过初步审查的投标人报价。</w:t>
            </w:r>
          </w:p>
        </w:tc>
        <w:tc>
          <w:tcPr>
            <w:tcW w:w="876" w:type="dxa"/>
            <w:vMerge w:val="restart"/>
            <w:tcBorders>
              <w:top w:val="nil"/>
              <w:left w:val="single" w:color="000000" w:sz="8" w:space="0"/>
              <w:bottom w:val="single" w:color="000000" w:sz="8" w:space="0"/>
              <w:right w:val="single" w:color="000000" w:sz="8" w:space="0"/>
            </w:tcBorders>
            <w:shd w:val="clear" w:color="auto" w:fill="auto"/>
            <w:vAlign w:val="center"/>
          </w:tcPr>
          <w:p w14:paraId="58D9AA1A">
            <w:pPr>
              <w:widowControl/>
              <w:jc w:val="center"/>
              <w:textAlignment w:val="center"/>
              <w:rPr>
                <w:rFonts w:ascii="仿宋" w:hAnsi="仿宋" w:eastAsia="仿宋" w:cs="仿宋"/>
                <w:color w:val="000000"/>
                <w:sz w:val="22"/>
                <w:szCs w:val="22"/>
              </w:rPr>
            </w:pPr>
            <w:r>
              <w:rPr>
                <w:rFonts w:hint="eastAsia" w:ascii="仿宋" w:hAnsi="仿宋" w:eastAsia="仿宋" w:cs="仿宋"/>
                <w:color w:val="000000"/>
                <w:kern w:val="0"/>
                <w:sz w:val="22"/>
                <w:szCs w:val="22"/>
                <w:lang w:bidi="ar"/>
              </w:rPr>
              <w:t>30分</w:t>
            </w:r>
          </w:p>
        </w:tc>
      </w:tr>
      <w:tr w14:paraId="26CBD9D6">
        <w:tblPrEx>
          <w:tblCellMar>
            <w:top w:w="0" w:type="dxa"/>
            <w:left w:w="108" w:type="dxa"/>
            <w:bottom w:w="0" w:type="dxa"/>
            <w:right w:w="108" w:type="dxa"/>
          </w:tblCellMar>
        </w:tblPrEx>
        <w:trPr>
          <w:trHeight w:val="669" w:hRule="atLeast"/>
        </w:trPr>
        <w:tc>
          <w:tcPr>
            <w:tcW w:w="490" w:type="dxa"/>
            <w:vMerge w:val="continue"/>
            <w:tcBorders>
              <w:top w:val="nil"/>
              <w:left w:val="single" w:color="000000" w:sz="8" w:space="0"/>
              <w:bottom w:val="single" w:color="000000" w:sz="8" w:space="0"/>
              <w:right w:val="single" w:color="000000" w:sz="8" w:space="0"/>
            </w:tcBorders>
            <w:shd w:val="clear" w:color="auto" w:fill="auto"/>
            <w:vAlign w:val="center"/>
          </w:tcPr>
          <w:p w14:paraId="7FFF11E2">
            <w:pPr>
              <w:jc w:val="center"/>
              <w:rPr>
                <w:rFonts w:ascii="仿宋" w:hAnsi="仿宋" w:eastAsia="仿宋" w:cs="仿宋"/>
                <w:color w:val="000000"/>
                <w:sz w:val="22"/>
                <w:szCs w:val="22"/>
              </w:rPr>
            </w:pPr>
          </w:p>
        </w:tc>
        <w:tc>
          <w:tcPr>
            <w:tcW w:w="1050" w:type="dxa"/>
            <w:vMerge w:val="continue"/>
            <w:tcBorders>
              <w:top w:val="nil"/>
              <w:left w:val="single" w:color="000000" w:sz="8" w:space="0"/>
              <w:bottom w:val="single" w:color="000000" w:sz="8" w:space="0"/>
              <w:right w:val="single" w:color="000000" w:sz="8" w:space="0"/>
            </w:tcBorders>
            <w:shd w:val="clear" w:color="auto" w:fill="auto"/>
            <w:vAlign w:val="center"/>
          </w:tcPr>
          <w:p w14:paraId="6B8EDBBE">
            <w:pPr>
              <w:jc w:val="center"/>
              <w:rPr>
                <w:rFonts w:ascii="仿宋" w:hAnsi="仿宋" w:eastAsia="仿宋" w:cs="仿宋"/>
                <w:color w:val="000000"/>
                <w:sz w:val="22"/>
                <w:szCs w:val="22"/>
              </w:rPr>
            </w:pPr>
          </w:p>
        </w:tc>
        <w:tc>
          <w:tcPr>
            <w:tcW w:w="1436" w:type="dxa"/>
            <w:vMerge w:val="continue"/>
            <w:tcBorders>
              <w:top w:val="nil"/>
              <w:left w:val="single" w:color="000000" w:sz="8" w:space="0"/>
              <w:bottom w:val="single" w:color="000000" w:sz="8" w:space="0"/>
              <w:right w:val="single" w:color="000000" w:sz="8" w:space="0"/>
            </w:tcBorders>
            <w:shd w:val="clear" w:color="auto" w:fill="auto"/>
            <w:vAlign w:val="center"/>
          </w:tcPr>
          <w:p w14:paraId="6B9D32DC">
            <w:pPr>
              <w:jc w:val="center"/>
              <w:rPr>
                <w:rFonts w:ascii="仿宋" w:hAnsi="仿宋" w:eastAsia="仿宋" w:cs="仿宋"/>
                <w:color w:val="000000"/>
                <w:sz w:val="22"/>
                <w:szCs w:val="22"/>
              </w:rPr>
            </w:pPr>
          </w:p>
        </w:tc>
        <w:tc>
          <w:tcPr>
            <w:tcW w:w="5406" w:type="dxa"/>
            <w:vMerge w:val="continue"/>
            <w:tcBorders>
              <w:top w:val="nil"/>
              <w:left w:val="single" w:color="000000" w:sz="8" w:space="0"/>
              <w:bottom w:val="single" w:color="000000" w:sz="8" w:space="0"/>
              <w:right w:val="single" w:color="000000" w:sz="8" w:space="0"/>
            </w:tcBorders>
            <w:shd w:val="clear" w:color="auto" w:fill="auto"/>
            <w:vAlign w:val="center"/>
          </w:tcPr>
          <w:p w14:paraId="24D7FB7B">
            <w:pPr>
              <w:rPr>
                <w:rFonts w:ascii="仿宋" w:hAnsi="仿宋" w:eastAsia="仿宋" w:cs="仿宋"/>
                <w:color w:val="000000"/>
                <w:sz w:val="22"/>
                <w:szCs w:val="22"/>
              </w:rPr>
            </w:pPr>
          </w:p>
        </w:tc>
        <w:tc>
          <w:tcPr>
            <w:tcW w:w="876" w:type="dxa"/>
            <w:vMerge w:val="continue"/>
            <w:tcBorders>
              <w:top w:val="nil"/>
              <w:left w:val="single" w:color="000000" w:sz="8" w:space="0"/>
              <w:bottom w:val="single" w:color="000000" w:sz="8" w:space="0"/>
              <w:right w:val="single" w:color="000000" w:sz="8" w:space="0"/>
            </w:tcBorders>
            <w:shd w:val="clear" w:color="auto" w:fill="auto"/>
            <w:vAlign w:val="center"/>
          </w:tcPr>
          <w:p w14:paraId="2C39435E">
            <w:pPr>
              <w:jc w:val="center"/>
              <w:rPr>
                <w:rFonts w:ascii="仿宋" w:hAnsi="仿宋" w:eastAsia="仿宋" w:cs="仿宋"/>
                <w:color w:val="000000"/>
                <w:sz w:val="22"/>
                <w:szCs w:val="22"/>
              </w:rPr>
            </w:pPr>
          </w:p>
        </w:tc>
      </w:tr>
      <w:tr w14:paraId="358C95F4">
        <w:tblPrEx>
          <w:tblCellMar>
            <w:top w:w="0" w:type="dxa"/>
            <w:left w:w="108" w:type="dxa"/>
            <w:bottom w:w="0" w:type="dxa"/>
            <w:right w:w="108" w:type="dxa"/>
          </w:tblCellMar>
        </w:tblPrEx>
        <w:trPr>
          <w:trHeight w:val="318" w:hRule="atLeast"/>
        </w:trPr>
        <w:tc>
          <w:tcPr>
            <w:tcW w:w="490" w:type="dxa"/>
            <w:vMerge w:val="continue"/>
            <w:tcBorders>
              <w:top w:val="nil"/>
              <w:left w:val="single" w:color="000000" w:sz="8" w:space="0"/>
              <w:bottom w:val="single" w:color="000000" w:sz="8" w:space="0"/>
              <w:right w:val="single" w:color="000000" w:sz="8" w:space="0"/>
            </w:tcBorders>
            <w:shd w:val="clear" w:color="auto" w:fill="auto"/>
            <w:vAlign w:val="center"/>
          </w:tcPr>
          <w:p w14:paraId="2BA80317">
            <w:pPr>
              <w:jc w:val="center"/>
              <w:rPr>
                <w:rFonts w:ascii="仿宋" w:hAnsi="仿宋" w:eastAsia="仿宋" w:cs="仿宋"/>
                <w:color w:val="000000"/>
                <w:sz w:val="22"/>
                <w:szCs w:val="22"/>
              </w:rPr>
            </w:pPr>
          </w:p>
        </w:tc>
        <w:tc>
          <w:tcPr>
            <w:tcW w:w="1050" w:type="dxa"/>
            <w:vMerge w:val="continue"/>
            <w:tcBorders>
              <w:top w:val="nil"/>
              <w:left w:val="single" w:color="000000" w:sz="8" w:space="0"/>
              <w:bottom w:val="single" w:color="000000" w:sz="8" w:space="0"/>
              <w:right w:val="single" w:color="000000" w:sz="8" w:space="0"/>
            </w:tcBorders>
            <w:shd w:val="clear" w:color="auto" w:fill="auto"/>
            <w:vAlign w:val="center"/>
          </w:tcPr>
          <w:p w14:paraId="58F0153D">
            <w:pPr>
              <w:jc w:val="center"/>
              <w:rPr>
                <w:rFonts w:ascii="仿宋" w:hAnsi="仿宋" w:eastAsia="仿宋" w:cs="仿宋"/>
                <w:color w:val="000000"/>
                <w:sz w:val="22"/>
                <w:szCs w:val="22"/>
              </w:rPr>
            </w:pPr>
          </w:p>
        </w:tc>
        <w:tc>
          <w:tcPr>
            <w:tcW w:w="1436" w:type="dxa"/>
            <w:vMerge w:val="continue"/>
            <w:tcBorders>
              <w:top w:val="nil"/>
              <w:left w:val="single" w:color="000000" w:sz="8" w:space="0"/>
              <w:bottom w:val="single" w:color="000000" w:sz="8" w:space="0"/>
              <w:right w:val="single" w:color="000000" w:sz="8" w:space="0"/>
            </w:tcBorders>
            <w:shd w:val="clear" w:color="auto" w:fill="auto"/>
            <w:vAlign w:val="center"/>
          </w:tcPr>
          <w:p w14:paraId="0513F5F9">
            <w:pPr>
              <w:jc w:val="center"/>
              <w:rPr>
                <w:rFonts w:ascii="仿宋" w:hAnsi="仿宋" w:eastAsia="仿宋" w:cs="仿宋"/>
                <w:color w:val="000000"/>
                <w:sz w:val="22"/>
                <w:szCs w:val="22"/>
              </w:rPr>
            </w:pPr>
          </w:p>
        </w:tc>
        <w:tc>
          <w:tcPr>
            <w:tcW w:w="5406" w:type="dxa"/>
            <w:vMerge w:val="continue"/>
            <w:tcBorders>
              <w:top w:val="nil"/>
              <w:left w:val="single" w:color="000000" w:sz="8" w:space="0"/>
              <w:bottom w:val="single" w:color="000000" w:sz="8" w:space="0"/>
              <w:right w:val="single" w:color="000000" w:sz="8" w:space="0"/>
            </w:tcBorders>
            <w:shd w:val="clear" w:color="auto" w:fill="auto"/>
            <w:vAlign w:val="center"/>
          </w:tcPr>
          <w:p w14:paraId="652E3F84">
            <w:pPr>
              <w:rPr>
                <w:rFonts w:ascii="仿宋" w:hAnsi="仿宋" w:eastAsia="仿宋" w:cs="仿宋"/>
                <w:color w:val="000000"/>
                <w:sz w:val="22"/>
                <w:szCs w:val="22"/>
              </w:rPr>
            </w:pPr>
          </w:p>
        </w:tc>
        <w:tc>
          <w:tcPr>
            <w:tcW w:w="876" w:type="dxa"/>
            <w:vMerge w:val="continue"/>
            <w:tcBorders>
              <w:top w:val="nil"/>
              <w:left w:val="single" w:color="000000" w:sz="8" w:space="0"/>
              <w:bottom w:val="single" w:color="000000" w:sz="8" w:space="0"/>
              <w:right w:val="single" w:color="000000" w:sz="8" w:space="0"/>
            </w:tcBorders>
            <w:shd w:val="clear" w:color="auto" w:fill="auto"/>
            <w:vAlign w:val="center"/>
          </w:tcPr>
          <w:p w14:paraId="4395ABB0">
            <w:pPr>
              <w:jc w:val="center"/>
              <w:rPr>
                <w:rFonts w:ascii="仿宋" w:hAnsi="仿宋" w:eastAsia="仿宋" w:cs="仿宋"/>
                <w:color w:val="000000"/>
                <w:sz w:val="22"/>
                <w:szCs w:val="22"/>
              </w:rPr>
            </w:pPr>
          </w:p>
        </w:tc>
      </w:tr>
      <w:tr w14:paraId="54C1BEDE">
        <w:tblPrEx>
          <w:tblCellMar>
            <w:top w:w="0" w:type="dxa"/>
            <w:left w:w="108" w:type="dxa"/>
            <w:bottom w:w="0" w:type="dxa"/>
            <w:right w:w="108" w:type="dxa"/>
          </w:tblCellMar>
        </w:tblPrEx>
        <w:trPr>
          <w:trHeight w:val="669" w:hRule="atLeast"/>
        </w:trPr>
        <w:tc>
          <w:tcPr>
            <w:tcW w:w="490" w:type="dxa"/>
            <w:vMerge w:val="restart"/>
            <w:tcBorders>
              <w:top w:val="nil"/>
              <w:left w:val="single" w:color="000000" w:sz="8" w:space="0"/>
              <w:right w:val="single" w:color="000000" w:sz="8" w:space="0"/>
            </w:tcBorders>
            <w:shd w:val="clear" w:color="auto" w:fill="auto"/>
            <w:vAlign w:val="center"/>
          </w:tcPr>
          <w:p w14:paraId="6DB6D876">
            <w:pPr>
              <w:widowControl/>
              <w:jc w:val="center"/>
              <w:textAlignment w:val="center"/>
              <w:rPr>
                <w:rFonts w:ascii="仿宋" w:hAnsi="仿宋" w:eastAsia="仿宋" w:cs="仿宋"/>
                <w:color w:val="000000"/>
                <w:sz w:val="22"/>
                <w:szCs w:val="22"/>
              </w:rPr>
            </w:pPr>
            <w:r>
              <w:rPr>
                <w:rFonts w:hint="eastAsia" w:ascii="仿宋" w:hAnsi="仿宋" w:eastAsia="仿宋" w:cs="仿宋"/>
                <w:color w:val="000000"/>
                <w:kern w:val="0"/>
                <w:sz w:val="22"/>
                <w:szCs w:val="22"/>
                <w:lang w:bidi="ar"/>
              </w:rPr>
              <w:t>2</w:t>
            </w:r>
          </w:p>
        </w:tc>
        <w:tc>
          <w:tcPr>
            <w:tcW w:w="1050" w:type="dxa"/>
            <w:vMerge w:val="restart"/>
            <w:tcBorders>
              <w:top w:val="nil"/>
              <w:left w:val="single" w:color="000000" w:sz="8" w:space="0"/>
              <w:right w:val="single" w:color="000000" w:sz="8" w:space="0"/>
            </w:tcBorders>
            <w:shd w:val="clear" w:color="auto" w:fill="auto"/>
            <w:vAlign w:val="center"/>
          </w:tcPr>
          <w:p w14:paraId="7986E810">
            <w:pPr>
              <w:widowControl/>
              <w:jc w:val="center"/>
              <w:textAlignment w:val="center"/>
              <w:rPr>
                <w:rFonts w:ascii="仿宋" w:hAnsi="仿宋" w:eastAsia="仿宋" w:cs="仿宋"/>
                <w:color w:val="000000"/>
                <w:sz w:val="22"/>
                <w:szCs w:val="22"/>
              </w:rPr>
            </w:pPr>
            <w:r>
              <w:rPr>
                <w:rFonts w:hint="eastAsia" w:ascii="仿宋" w:hAnsi="仿宋" w:eastAsia="仿宋" w:cs="仿宋"/>
                <w:color w:val="000000"/>
                <w:kern w:val="0"/>
                <w:sz w:val="22"/>
                <w:szCs w:val="22"/>
                <w:lang w:bidi="ar"/>
              </w:rPr>
              <w:t>技术分（50分）</w:t>
            </w:r>
          </w:p>
        </w:tc>
        <w:tc>
          <w:tcPr>
            <w:tcW w:w="1436" w:type="dxa"/>
            <w:tcBorders>
              <w:top w:val="nil"/>
              <w:left w:val="single" w:color="000000" w:sz="8" w:space="0"/>
              <w:bottom w:val="single" w:color="000000" w:sz="8" w:space="0"/>
              <w:right w:val="single" w:color="000000" w:sz="8" w:space="0"/>
            </w:tcBorders>
            <w:shd w:val="clear" w:color="auto" w:fill="auto"/>
            <w:vAlign w:val="center"/>
          </w:tcPr>
          <w:p w14:paraId="1B970CD9">
            <w:pPr>
              <w:widowControl/>
              <w:jc w:val="center"/>
              <w:textAlignment w:val="center"/>
              <w:rPr>
                <w:rFonts w:ascii="仿宋" w:hAnsi="仿宋" w:eastAsia="仿宋" w:cs="仿宋"/>
                <w:color w:val="000000"/>
                <w:sz w:val="22"/>
                <w:szCs w:val="22"/>
              </w:rPr>
            </w:pPr>
            <w:r>
              <w:rPr>
                <w:rFonts w:hint="eastAsia" w:ascii="仿宋" w:hAnsi="仿宋" w:eastAsia="仿宋" w:cs="仿宋"/>
                <w:color w:val="000000"/>
                <w:kern w:val="0"/>
                <w:sz w:val="22"/>
                <w:szCs w:val="22"/>
                <w:lang w:bidi="ar"/>
              </w:rPr>
              <w:t>实施方案</w:t>
            </w:r>
          </w:p>
        </w:tc>
        <w:tc>
          <w:tcPr>
            <w:tcW w:w="5406" w:type="dxa"/>
            <w:tcBorders>
              <w:top w:val="nil"/>
              <w:left w:val="single" w:color="000000" w:sz="8" w:space="0"/>
              <w:bottom w:val="single" w:color="000000" w:sz="8" w:space="0"/>
              <w:right w:val="single" w:color="000000" w:sz="8" w:space="0"/>
            </w:tcBorders>
            <w:shd w:val="clear" w:color="auto" w:fill="auto"/>
            <w:vAlign w:val="center"/>
          </w:tcPr>
          <w:p w14:paraId="1DC54D2A">
            <w:pPr>
              <w:widowControl/>
              <w:jc w:val="left"/>
              <w:textAlignment w:val="center"/>
              <w:rPr>
                <w:rFonts w:ascii="仿宋" w:hAnsi="仿宋" w:eastAsia="仿宋" w:cs="仿宋"/>
                <w:color w:val="000000"/>
                <w:kern w:val="0"/>
                <w:sz w:val="22"/>
                <w:szCs w:val="22"/>
                <w:lang w:bidi="ar"/>
              </w:rPr>
            </w:pPr>
            <w:r>
              <w:rPr>
                <w:rFonts w:hint="eastAsia" w:ascii="仿宋" w:hAnsi="仿宋" w:eastAsia="仿宋" w:cs="仿宋"/>
                <w:color w:val="000000"/>
                <w:kern w:val="0"/>
                <w:sz w:val="22"/>
                <w:szCs w:val="22"/>
                <w:lang w:bidi="ar"/>
              </w:rPr>
              <w:t>根据投标人实施方案中：</w:t>
            </w:r>
          </w:p>
          <w:p w14:paraId="2D71E593">
            <w:pPr>
              <w:pStyle w:val="87"/>
              <w:widowControl/>
              <w:numPr>
                <w:ilvl w:val="0"/>
                <w:numId w:val="10"/>
              </w:numPr>
              <w:ind w:firstLineChars="0"/>
              <w:jc w:val="left"/>
              <w:textAlignment w:val="center"/>
              <w:rPr>
                <w:rFonts w:ascii="仿宋" w:hAnsi="仿宋" w:eastAsia="仿宋" w:cs="仿宋"/>
                <w:color w:val="000000"/>
                <w:kern w:val="0"/>
                <w:sz w:val="22"/>
                <w:szCs w:val="22"/>
                <w:lang w:bidi="ar"/>
              </w:rPr>
            </w:pPr>
            <w:r>
              <w:rPr>
                <w:rFonts w:hint="eastAsia" w:ascii="仿宋" w:hAnsi="仿宋" w:eastAsia="仿宋" w:cs="仿宋"/>
                <w:color w:val="000000"/>
                <w:kern w:val="0"/>
                <w:sz w:val="22"/>
                <w:szCs w:val="22"/>
                <w:lang w:bidi="ar"/>
              </w:rPr>
              <w:t>项目进度计划合理；</w:t>
            </w:r>
          </w:p>
          <w:p w14:paraId="62B0E425">
            <w:pPr>
              <w:pStyle w:val="87"/>
              <w:widowControl/>
              <w:numPr>
                <w:ilvl w:val="0"/>
                <w:numId w:val="10"/>
              </w:numPr>
              <w:ind w:firstLineChars="0"/>
              <w:jc w:val="left"/>
              <w:textAlignment w:val="center"/>
              <w:rPr>
                <w:rFonts w:ascii="仿宋" w:hAnsi="仿宋" w:eastAsia="仿宋" w:cs="仿宋"/>
                <w:color w:val="000000"/>
                <w:kern w:val="0"/>
                <w:sz w:val="22"/>
                <w:szCs w:val="22"/>
                <w:lang w:bidi="ar"/>
              </w:rPr>
            </w:pPr>
            <w:r>
              <w:rPr>
                <w:rFonts w:hint="eastAsia" w:ascii="仿宋" w:hAnsi="仿宋" w:eastAsia="仿宋" w:cs="仿宋"/>
                <w:color w:val="000000"/>
                <w:kern w:val="0"/>
                <w:sz w:val="22"/>
                <w:szCs w:val="22"/>
                <w:lang w:bidi="ar"/>
              </w:rPr>
              <w:t>人员配备合理；</w:t>
            </w:r>
          </w:p>
          <w:p w14:paraId="0751F510">
            <w:pPr>
              <w:pStyle w:val="87"/>
              <w:widowControl/>
              <w:numPr>
                <w:ilvl w:val="0"/>
                <w:numId w:val="10"/>
              </w:numPr>
              <w:ind w:firstLineChars="0"/>
              <w:jc w:val="left"/>
              <w:textAlignment w:val="center"/>
              <w:rPr>
                <w:rFonts w:ascii="仿宋" w:hAnsi="仿宋" w:eastAsia="仿宋" w:cs="仿宋"/>
                <w:color w:val="000000"/>
                <w:kern w:val="0"/>
                <w:sz w:val="22"/>
                <w:szCs w:val="22"/>
                <w:lang w:bidi="ar"/>
              </w:rPr>
            </w:pPr>
            <w:r>
              <w:rPr>
                <w:rFonts w:hint="eastAsia" w:ascii="仿宋" w:hAnsi="仿宋" w:eastAsia="仿宋" w:cs="仿宋"/>
                <w:color w:val="000000"/>
                <w:kern w:val="0"/>
                <w:sz w:val="22"/>
                <w:szCs w:val="22"/>
                <w:lang w:bidi="ar"/>
              </w:rPr>
              <w:t>安装机具配备充分度；</w:t>
            </w:r>
          </w:p>
          <w:p w14:paraId="2F767AAC">
            <w:pPr>
              <w:pStyle w:val="87"/>
              <w:widowControl/>
              <w:numPr>
                <w:ilvl w:val="0"/>
                <w:numId w:val="10"/>
              </w:numPr>
              <w:ind w:firstLineChars="0"/>
              <w:jc w:val="left"/>
              <w:textAlignment w:val="center"/>
              <w:rPr>
                <w:rFonts w:ascii="仿宋" w:hAnsi="仿宋" w:eastAsia="仿宋" w:cs="仿宋"/>
                <w:color w:val="000000"/>
                <w:kern w:val="0"/>
                <w:sz w:val="22"/>
                <w:szCs w:val="22"/>
                <w:lang w:bidi="ar"/>
              </w:rPr>
            </w:pPr>
            <w:r>
              <w:rPr>
                <w:rFonts w:hint="eastAsia" w:ascii="仿宋" w:hAnsi="仿宋" w:eastAsia="仿宋" w:cs="仿宋"/>
                <w:color w:val="000000"/>
                <w:kern w:val="0"/>
                <w:sz w:val="22"/>
                <w:szCs w:val="22"/>
                <w:lang w:bidi="ar"/>
              </w:rPr>
              <w:t>质量管理体系完善；</w:t>
            </w:r>
          </w:p>
          <w:p w14:paraId="7A01E3EA">
            <w:pPr>
              <w:pStyle w:val="87"/>
              <w:widowControl/>
              <w:numPr>
                <w:ilvl w:val="0"/>
                <w:numId w:val="10"/>
              </w:numPr>
              <w:ind w:firstLineChars="0"/>
              <w:jc w:val="left"/>
              <w:textAlignment w:val="center"/>
              <w:rPr>
                <w:rFonts w:ascii="仿宋" w:hAnsi="仿宋" w:eastAsia="仿宋" w:cs="仿宋"/>
                <w:color w:val="000000"/>
                <w:kern w:val="0"/>
                <w:sz w:val="22"/>
                <w:szCs w:val="22"/>
                <w:lang w:bidi="ar"/>
              </w:rPr>
            </w:pPr>
            <w:r>
              <w:rPr>
                <w:rFonts w:hint="eastAsia" w:ascii="仿宋" w:hAnsi="仿宋" w:eastAsia="仿宋" w:cs="仿宋"/>
                <w:color w:val="000000"/>
                <w:kern w:val="0"/>
                <w:sz w:val="22"/>
                <w:szCs w:val="22"/>
                <w:lang w:bidi="ar"/>
              </w:rPr>
              <w:t>安全文明及夜间施工措施可靠性；</w:t>
            </w:r>
          </w:p>
          <w:p w14:paraId="15670425">
            <w:pPr>
              <w:pStyle w:val="87"/>
              <w:widowControl/>
              <w:numPr>
                <w:ilvl w:val="0"/>
                <w:numId w:val="10"/>
              </w:numPr>
              <w:ind w:firstLineChars="0"/>
              <w:jc w:val="left"/>
              <w:textAlignment w:val="center"/>
              <w:rPr>
                <w:rFonts w:ascii="仿宋" w:hAnsi="仿宋" w:eastAsia="仿宋" w:cs="仿宋"/>
                <w:color w:val="000000"/>
                <w:kern w:val="0"/>
                <w:sz w:val="22"/>
                <w:szCs w:val="22"/>
                <w:lang w:bidi="ar"/>
              </w:rPr>
            </w:pPr>
            <w:r>
              <w:rPr>
                <w:rFonts w:hint="eastAsia" w:ascii="仿宋" w:hAnsi="仿宋" w:eastAsia="仿宋" w:cs="仿宋"/>
                <w:color w:val="000000"/>
                <w:kern w:val="0"/>
                <w:sz w:val="22"/>
                <w:szCs w:val="22"/>
                <w:lang w:bidi="ar"/>
              </w:rPr>
              <w:t>绿化养护（除草、松土、施肥、打药）</w:t>
            </w:r>
          </w:p>
          <w:p w14:paraId="06E937CC">
            <w:pPr>
              <w:pStyle w:val="87"/>
              <w:widowControl/>
              <w:numPr>
                <w:ilvl w:val="0"/>
                <w:numId w:val="10"/>
              </w:numPr>
              <w:ind w:firstLineChars="0"/>
              <w:jc w:val="left"/>
              <w:textAlignment w:val="center"/>
              <w:rPr>
                <w:rFonts w:ascii="仿宋" w:hAnsi="仿宋" w:eastAsia="仿宋" w:cs="仿宋"/>
                <w:color w:val="000000"/>
                <w:kern w:val="0"/>
                <w:sz w:val="22"/>
                <w:szCs w:val="22"/>
                <w:lang w:bidi="ar"/>
              </w:rPr>
            </w:pPr>
            <w:r>
              <w:rPr>
                <w:rFonts w:hint="eastAsia" w:ascii="仿宋" w:hAnsi="仿宋" w:eastAsia="仿宋" w:cs="仿宋"/>
                <w:color w:val="000000"/>
                <w:kern w:val="0"/>
                <w:sz w:val="22"/>
                <w:szCs w:val="22"/>
                <w:lang w:bidi="ar"/>
              </w:rPr>
              <w:t>整形修剪分项</w:t>
            </w:r>
          </w:p>
          <w:p w14:paraId="5A4F83CC">
            <w:pPr>
              <w:pStyle w:val="87"/>
              <w:widowControl/>
              <w:numPr>
                <w:ilvl w:val="0"/>
                <w:numId w:val="10"/>
              </w:numPr>
              <w:ind w:firstLineChars="0"/>
              <w:jc w:val="left"/>
              <w:textAlignment w:val="center"/>
              <w:rPr>
                <w:rFonts w:ascii="仿宋" w:hAnsi="仿宋" w:eastAsia="仿宋" w:cs="仿宋"/>
                <w:color w:val="000000"/>
                <w:kern w:val="0"/>
                <w:sz w:val="22"/>
                <w:szCs w:val="22"/>
                <w:lang w:bidi="ar"/>
              </w:rPr>
            </w:pPr>
            <w:r>
              <w:rPr>
                <w:rFonts w:hint="eastAsia" w:ascii="仿宋" w:hAnsi="仿宋" w:eastAsia="仿宋" w:cs="仿宋"/>
                <w:color w:val="000000"/>
                <w:kern w:val="0"/>
                <w:sz w:val="22"/>
                <w:szCs w:val="22"/>
                <w:lang w:bidi="ar"/>
              </w:rPr>
              <w:t>苗木越冬保护及冬季管护方案；</w:t>
            </w:r>
          </w:p>
          <w:p w14:paraId="3DCD7968">
            <w:pPr>
              <w:pStyle w:val="87"/>
              <w:widowControl/>
              <w:numPr>
                <w:ilvl w:val="0"/>
                <w:numId w:val="10"/>
              </w:numPr>
              <w:ind w:firstLineChars="0"/>
              <w:jc w:val="left"/>
              <w:textAlignment w:val="center"/>
              <w:rPr>
                <w:rFonts w:ascii="仿宋" w:hAnsi="仿宋" w:eastAsia="仿宋" w:cs="仿宋"/>
                <w:color w:val="000000"/>
                <w:kern w:val="0"/>
                <w:sz w:val="22"/>
                <w:szCs w:val="22"/>
                <w:lang w:bidi="ar"/>
              </w:rPr>
            </w:pPr>
            <w:r>
              <w:rPr>
                <w:rFonts w:hint="eastAsia" w:ascii="仿宋" w:hAnsi="仿宋" w:eastAsia="仿宋" w:cs="仿宋"/>
                <w:color w:val="000000"/>
                <w:kern w:val="0"/>
                <w:sz w:val="22"/>
                <w:szCs w:val="22"/>
                <w:lang w:bidi="ar"/>
              </w:rPr>
              <w:t>害虫防治；</w:t>
            </w:r>
          </w:p>
          <w:p w14:paraId="202275FF">
            <w:pPr>
              <w:pStyle w:val="87"/>
              <w:widowControl/>
              <w:numPr>
                <w:ilvl w:val="0"/>
                <w:numId w:val="10"/>
              </w:numPr>
              <w:ind w:firstLineChars="0"/>
              <w:jc w:val="left"/>
              <w:textAlignment w:val="center"/>
              <w:rPr>
                <w:rFonts w:ascii="仿宋" w:hAnsi="仿宋" w:eastAsia="仿宋" w:cs="仿宋"/>
                <w:color w:val="000000"/>
                <w:kern w:val="0"/>
                <w:sz w:val="22"/>
                <w:szCs w:val="22"/>
                <w:lang w:bidi="ar"/>
              </w:rPr>
            </w:pPr>
            <w:r>
              <w:rPr>
                <w:rFonts w:hint="eastAsia" w:ascii="仿宋" w:hAnsi="仿宋" w:eastAsia="仿宋" w:cs="仿宋"/>
                <w:color w:val="000000"/>
                <w:kern w:val="0"/>
                <w:sz w:val="22"/>
                <w:szCs w:val="22"/>
                <w:lang w:bidi="ar"/>
              </w:rPr>
              <w:t>保证补植补造、成活率等</w:t>
            </w:r>
          </w:p>
          <w:p w14:paraId="077CDA97">
            <w:pPr>
              <w:widowControl/>
              <w:jc w:val="left"/>
              <w:textAlignment w:val="center"/>
              <w:rPr>
                <w:rFonts w:ascii="仿宋" w:hAnsi="仿宋" w:eastAsia="仿宋" w:cs="仿宋"/>
                <w:color w:val="000000"/>
                <w:kern w:val="0"/>
                <w:sz w:val="22"/>
                <w:szCs w:val="22"/>
                <w:lang w:bidi="ar"/>
              </w:rPr>
            </w:pPr>
            <w:r>
              <w:rPr>
                <w:rFonts w:hint="eastAsia" w:ascii="仿宋" w:hAnsi="仿宋" w:eastAsia="仿宋" w:cs="仿宋"/>
                <w:color w:val="000000"/>
                <w:kern w:val="0"/>
                <w:sz w:val="22"/>
                <w:szCs w:val="22"/>
                <w:lang w:bidi="ar"/>
              </w:rPr>
              <w:t>内容完整且切合项目实际的得40分，每缺少一项内容或内容有严重缺陷</w:t>
            </w:r>
            <w:r>
              <w:rPr>
                <w:rFonts w:hint="eastAsia" w:ascii="仿宋" w:hAnsi="仿宋" w:eastAsia="仿宋" w:cs="仿宋"/>
                <w:color w:val="000000"/>
                <w:sz w:val="22"/>
                <w:szCs w:val="22"/>
              </w:rPr>
              <w:t>或不符合项目需求的</w:t>
            </w:r>
            <w:r>
              <w:rPr>
                <w:rFonts w:hint="eastAsia" w:ascii="仿宋" w:hAnsi="仿宋" w:eastAsia="仿宋" w:cs="仿宋"/>
                <w:color w:val="000000"/>
                <w:kern w:val="0"/>
                <w:sz w:val="22"/>
                <w:szCs w:val="22"/>
                <w:lang w:bidi="ar"/>
              </w:rPr>
              <w:t>扣4分。</w:t>
            </w:r>
          </w:p>
        </w:tc>
        <w:tc>
          <w:tcPr>
            <w:tcW w:w="876" w:type="dxa"/>
            <w:tcBorders>
              <w:top w:val="nil"/>
              <w:left w:val="single" w:color="000000" w:sz="8" w:space="0"/>
              <w:bottom w:val="single" w:color="000000" w:sz="8" w:space="0"/>
              <w:right w:val="single" w:color="000000" w:sz="8" w:space="0"/>
            </w:tcBorders>
            <w:shd w:val="clear" w:color="auto" w:fill="auto"/>
            <w:vAlign w:val="center"/>
          </w:tcPr>
          <w:p w14:paraId="11154CE9">
            <w:pPr>
              <w:widowControl/>
              <w:jc w:val="center"/>
              <w:textAlignment w:val="center"/>
              <w:rPr>
                <w:rFonts w:ascii="仿宋" w:hAnsi="仿宋" w:eastAsia="仿宋" w:cs="仿宋"/>
                <w:color w:val="000000"/>
                <w:sz w:val="22"/>
                <w:szCs w:val="22"/>
              </w:rPr>
            </w:pPr>
            <w:r>
              <w:rPr>
                <w:rFonts w:hint="eastAsia" w:ascii="仿宋" w:hAnsi="仿宋" w:eastAsia="仿宋" w:cs="仿宋"/>
                <w:color w:val="000000"/>
                <w:kern w:val="0"/>
                <w:sz w:val="22"/>
                <w:szCs w:val="22"/>
                <w:lang w:bidi="ar"/>
              </w:rPr>
              <w:t>40分</w:t>
            </w:r>
          </w:p>
        </w:tc>
      </w:tr>
      <w:tr w14:paraId="6824258F">
        <w:tblPrEx>
          <w:tblCellMar>
            <w:top w:w="0" w:type="dxa"/>
            <w:left w:w="108" w:type="dxa"/>
            <w:bottom w:w="0" w:type="dxa"/>
            <w:right w:w="108" w:type="dxa"/>
          </w:tblCellMar>
        </w:tblPrEx>
        <w:trPr>
          <w:trHeight w:val="669" w:hRule="atLeast"/>
        </w:trPr>
        <w:tc>
          <w:tcPr>
            <w:tcW w:w="490" w:type="dxa"/>
            <w:vMerge w:val="continue"/>
            <w:tcBorders>
              <w:left w:val="single" w:color="000000" w:sz="8" w:space="0"/>
              <w:bottom w:val="single" w:color="auto" w:sz="4" w:space="0"/>
              <w:right w:val="single" w:color="000000" w:sz="8" w:space="0"/>
            </w:tcBorders>
            <w:shd w:val="clear" w:color="auto" w:fill="auto"/>
            <w:vAlign w:val="center"/>
          </w:tcPr>
          <w:p w14:paraId="2AE46CED">
            <w:pPr>
              <w:widowControl/>
              <w:jc w:val="center"/>
              <w:textAlignment w:val="center"/>
              <w:rPr>
                <w:rFonts w:ascii="仿宋" w:hAnsi="仿宋" w:eastAsia="仿宋" w:cs="仿宋"/>
                <w:color w:val="000000"/>
                <w:kern w:val="0"/>
                <w:sz w:val="22"/>
                <w:szCs w:val="22"/>
                <w:lang w:bidi="ar"/>
              </w:rPr>
            </w:pPr>
          </w:p>
        </w:tc>
        <w:tc>
          <w:tcPr>
            <w:tcW w:w="1050" w:type="dxa"/>
            <w:vMerge w:val="continue"/>
            <w:tcBorders>
              <w:left w:val="single" w:color="000000" w:sz="8" w:space="0"/>
              <w:bottom w:val="single" w:color="000000" w:sz="8" w:space="0"/>
              <w:right w:val="single" w:color="000000" w:sz="8" w:space="0"/>
            </w:tcBorders>
            <w:shd w:val="clear" w:color="auto" w:fill="auto"/>
            <w:vAlign w:val="center"/>
          </w:tcPr>
          <w:p w14:paraId="09377141">
            <w:pPr>
              <w:widowControl/>
              <w:jc w:val="center"/>
              <w:textAlignment w:val="center"/>
              <w:rPr>
                <w:rFonts w:ascii="仿宋" w:hAnsi="仿宋" w:eastAsia="仿宋" w:cs="仿宋"/>
                <w:color w:val="000000"/>
                <w:kern w:val="0"/>
                <w:sz w:val="22"/>
                <w:szCs w:val="22"/>
                <w:lang w:bidi="ar"/>
              </w:rPr>
            </w:pPr>
          </w:p>
        </w:tc>
        <w:tc>
          <w:tcPr>
            <w:tcW w:w="1436" w:type="dxa"/>
            <w:tcBorders>
              <w:top w:val="nil"/>
              <w:left w:val="single" w:color="000000" w:sz="8" w:space="0"/>
              <w:bottom w:val="single" w:color="000000" w:sz="8" w:space="0"/>
              <w:right w:val="single" w:color="000000" w:sz="8" w:space="0"/>
            </w:tcBorders>
            <w:shd w:val="clear" w:color="auto" w:fill="auto"/>
            <w:vAlign w:val="center"/>
          </w:tcPr>
          <w:p w14:paraId="212BDC68">
            <w:pPr>
              <w:widowControl/>
              <w:jc w:val="center"/>
              <w:textAlignment w:val="center"/>
              <w:rPr>
                <w:rFonts w:ascii="仿宋" w:hAnsi="仿宋" w:eastAsia="仿宋" w:cs="仿宋"/>
                <w:color w:val="000000"/>
                <w:sz w:val="22"/>
                <w:szCs w:val="22"/>
              </w:rPr>
            </w:pPr>
            <w:r>
              <w:rPr>
                <w:rFonts w:hint="eastAsia" w:ascii="仿宋" w:hAnsi="仿宋" w:eastAsia="仿宋" w:cs="仿宋"/>
                <w:color w:val="000000"/>
                <w:sz w:val="22"/>
                <w:szCs w:val="22"/>
              </w:rPr>
              <w:t>应急预案</w:t>
            </w:r>
          </w:p>
        </w:tc>
        <w:tc>
          <w:tcPr>
            <w:tcW w:w="5406" w:type="dxa"/>
            <w:tcBorders>
              <w:top w:val="nil"/>
              <w:left w:val="single" w:color="000000" w:sz="8" w:space="0"/>
              <w:bottom w:val="single" w:color="000000" w:sz="8" w:space="0"/>
              <w:right w:val="single" w:color="000000" w:sz="8" w:space="0"/>
            </w:tcBorders>
            <w:shd w:val="clear" w:color="auto" w:fill="auto"/>
            <w:vAlign w:val="center"/>
          </w:tcPr>
          <w:p w14:paraId="414C5BED">
            <w:pPr>
              <w:widowControl/>
              <w:jc w:val="left"/>
              <w:textAlignment w:val="center"/>
              <w:rPr>
                <w:rFonts w:ascii="仿宋" w:hAnsi="仿宋" w:eastAsia="仿宋" w:cs="仿宋"/>
                <w:color w:val="000000"/>
                <w:sz w:val="22"/>
                <w:szCs w:val="22"/>
              </w:rPr>
            </w:pPr>
            <w:r>
              <w:rPr>
                <w:rFonts w:hint="eastAsia" w:ascii="仿宋" w:hAnsi="仿宋" w:eastAsia="仿宋" w:cs="仿宋"/>
                <w:color w:val="000000"/>
                <w:kern w:val="0"/>
                <w:sz w:val="22"/>
                <w:szCs w:val="22"/>
                <w:lang w:bidi="ar"/>
              </w:rPr>
              <w:t>针对本项目</w:t>
            </w:r>
            <w:r>
              <w:rPr>
                <w:rFonts w:hint="eastAsia" w:ascii="仿宋" w:hAnsi="仿宋" w:eastAsia="仿宋" w:cs="仿宋"/>
                <w:color w:val="000000"/>
                <w:sz w:val="22"/>
                <w:szCs w:val="22"/>
              </w:rPr>
              <w:t>制定的应急及防护措施：</w:t>
            </w:r>
          </w:p>
          <w:p w14:paraId="73729D7B">
            <w:pPr>
              <w:widowControl/>
              <w:jc w:val="left"/>
              <w:textAlignment w:val="center"/>
              <w:rPr>
                <w:rFonts w:ascii="仿宋" w:hAnsi="仿宋" w:eastAsia="仿宋" w:cs="仿宋"/>
                <w:color w:val="000000"/>
                <w:sz w:val="22"/>
                <w:szCs w:val="22"/>
              </w:rPr>
            </w:pPr>
            <w:r>
              <w:rPr>
                <w:rFonts w:hint="eastAsia" w:ascii="仿宋" w:hAnsi="仿宋" w:eastAsia="仿宋" w:cs="仿宋"/>
                <w:color w:val="000000"/>
                <w:sz w:val="22"/>
                <w:szCs w:val="22"/>
              </w:rPr>
              <w:t>①高温季应急及防护措施；②低温应急及防护措施；③雨季应急及防护措施；④大风天气应急及防护措施；⑤其他事故灾害应急及防护措施；</w:t>
            </w:r>
          </w:p>
          <w:p w14:paraId="57FCD669">
            <w:pPr>
              <w:widowControl/>
              <w:jc w:val="left"/>
              <w:textAlignment w:val="center"/>
              <w:rPr>
                <w:rFonts w:ascii="仿宋" w:hAnsi="仿宋" w:eastAsia="仿宋" w:cs="仿宋"/>
                <w:color w:val="000000"/>
                <w:sz w:val="22"/>
                <w:szCs w:val="22"/>
              </w:rPr>
            </w:pPr>
            <w:r>
              <w:rPr>
                <w:rFonts w:hint="eastAsia" w:ascii="仿宋" w:hAnsi="仿宋" w:eastAsia="仿宋" w:cs="仿宋"/>
                <w:color w:val="000000"/>
                <w:sz w:val="22"/>
                <w:szCs w:val="22"/>
              </w:rPr>
              <w:t>上述 5 项内容，描述详细明确完全符合项目需求的得 10 分，每缺一项的扣 2 分，每有一项内容有缺陷或不符合项目需求的扣 1 分，直至扣完为止，未提供不得分。</w:t>
            </w:r>
          </w:p>
        </w:tc>
        <w:tc>
          <w:tcPr>
            <w:tcW w:w="876" w:type="dxa"/>
            <w:tcBorders>
              <w:top w:val="nil"/>
              <w:left w:val="single" w:color="000000" w:sz="8" w:space="0"/>
              <w:bottom w:val="single" w:color="000000" w:sz="8" w:space="0"/>
              <w:right w:val="single" w:color="000000" w:sz="8" w:space="0"/>
            </w:tcBorders>
            <w:shd w:val="clear" w:color="auto" w:fill="auto"/>
            <w:vAlign w:val="center"/>
          </w:tcPr>
          <w:p w14:paraId="6D9ACB52">
            <w:pPr>
              <w:widowControl/>
              <w:jc w:val="center"/>
              <w:textAlignment w:val="center"/>
              <w:rPr>
                <w:rFonts w:ascii="仿宋" w:hAnsi="仿宋" w:eastAsia="仿宋" w:cs="仿宋"/>
                <w:color w:val="000000"/>
                <w:kern w:val="0"/>
                <w:sz w:val="22"/>
                <w:szCs w:val="22"/>
                <w:lang w:bidi="ar"/>
              </w:rPr>
            </w:pPr>
            <w:r>
              <w:rPr>
                <w:rFonts w:hint="eastAsia" w:ascii="仿宋" w:hAnsi="仿宋" w:eastAsia="仿宋" w:cs="仿宋"/>
                <w:color w:val="000000"/>
                <w:kern w:val="0"/>
                <w:sz w:val="22"/>
                <w:szCs w:val="22"/>
                <w:lang w:bidi="ar"/>
              </w:rPr>
              <w:t>10分</w:t>
            </w:r>
          </w:p>
        </w:tc>
      </w:tr>
      <w:tr w14:paraId="5C66FF6E">
        <w:tblPrEx>
          <w:tblCellMar>
            <w:top w:w="0" w:type="dxa"/>
            <w:left w:w="108" w:type="dxa"/>
            <w:bottom w:w="0" w:type="dxa"/>
            <w:right w:w="108" w:type="dxa"/>
          </w:tblCellMar>
        </w:tblPrEx>
        <w:trPr>
          <w:trHeight w:val="669" w:hRule="atLeast"/>
        </w:trPr>
        <w:tc>
          <w:tcPr>
            <w:tcW w:w="49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71601CD2">
            <w:pPr>
              <w:widowControl/>
              <w:jc w:val="center"/>
              <w:textAlignment w:val="center"/>
              <w:rPr>
                <w:rFonts w:ascii="仿宋" w:hAnsi="仿宋" w:eastAsia="仿宋" w:cs="仿宋"/>
                <w:color w:val="000000"/>
                <w:sz w:val="22"/>
                <w:szCs w:val="22"/>
              </w:rPr>
            </w:pPr>
            <w:r>
              <w:rPr>
                <w:rFonts w:hint="eastAsia" w:ascii="仿宋" w:hAnsi="仿宋" w:eastAsia="仿宋" w:cs="仿宋"/>
                <w:color w:val="000000"/>
                <w:kern w:val="0"/>
                <w:sz w:val="22"/>
                <w:szCs w:val="22"/>
                <w:lang w:bidi="ar"/>
              </w:rPr>
              <w:t>3</w:t>
            </w:r>
          </w:p>
        </w:tc>
        <w:tc>
          <w:tcPr>
            <w:tcW w:w="1050" w:type="dxa"/>
            <w:vMerge w:val="restart"/>
            <w:tcBorders>
              <w:top w:val="nil"/>
              <w:left w:val="single" w:color="auto" w:sz="4" w:space="0"/>
              <w:bottom w:val="single" w:color="000000" w:sz="8" w:space="0"/>
              <w:right w:val="single" w:color="000000" w:sz="8" w:space="0"/>
            </w:tcBorders>
            <w:shd w:val="clear" w:color="auto" w:fill="auto"/>
            <w:vAlign w:val="center"/>
          </w:tcPr>
          <w:p w14:paraId="6109FD25">
            <w:pPr>
              <w:widowControl/>
              <w:jc w:val="center"/>
              <w:textAlignment w:val="center"/>
              <w:rPr>
                <w:rFonts w:ascii="仿宋" w:hAnsi="仿宋" w:eastAsia="仿宋" w:cs="仿宋"/>
                <w:color w:val="000000"/>
                <w:sz w:val="22"/>
                <w:szCs w:val="22"/>
              </w:rPr>
            </w:pPr>
            <w:r>
              <w:rPr>
                <w:rFonts w:hint="eastAsia" w:ascii="仿宋" w:hAnsi="仿宋" w:eastAsia="仿宋" w:cs="仿宋"/>
                <w:color w:val="000000"/>
                <w:kern w:val="0"/>
                <w:sz w:val="22"/>
                <w:szCs w:val="22"/>
                <w:lang w:bidi="ar"/>
              </w:rPr>
              <w:t>商务分（20分）</w:t>
            </w:r>
          </w:p>
        </w:tc>
        <w:tc>
          <w:tcPr>
            <w:tcW w:w="1436" w:type="dxa"/>
            <w:tcBorders>
              <w:top w:val="nil"/>
              <w:left w:val="single" w:color="000000" w:sz="8" w:space="0"/>
              <w:bottom w:val="single" w:color="000000" w:sz="8" w:space="0"/>
              <w:right w:val="single" w:color="000000" w:sz="8" w:space="0"/>
            </w:tcBorders>
            <w:shd w:val="clear" w:color="auto" w:fill="auto"/>
            <w:vAlign w:val="center"/>
          </w:tcPr>
          <w:p w14:paraId="277624C7">
            <w:pPr>
              <w:widowControl/>
              <w:ind w:firstLine="220" w:firstLineChars="100"/>
              <w:jc w:val="left"/>
              <w:textAlignment w:val="center"/>
              <w:rPr>
                <w:rFonts w:ascii="仿宋" w:hAnsi="仿宋" w:eastAsia="仿宋" w:cs="仿宋"/>
                <w:color w:val="000000"/>
                <w:sz w:val="22"/>
                <w:szCs w:val="22"/>
              </w:rPr>
            </w:pPr>
            <w:r>
              <w:rPr>
                <w:rFonts w:hint="eastAsia" w:ascii="仿宋" w:hAnsi="仿宋" w:eastAsia="仿宋" w:cs="仿宋"/>
                <w:color w:val="000000"/>
                <w:sz w:val="22"/>
                <w:szCs w:val="22"/>
              </w:rPr>
              <w:t>业绩</w:t>
            </w:r>
          </w:p>
        </w:tc>
        <w:tc>
          <w:tcPr>
            <w:tcW w:w="5406" w:type="dxa"/>
            <w:tcBorders>
              <w:top w:val="nil"/>
              <w:left w:val="single" w:color="000000" w:sz="8" w:space="0"/>
              <w:bottom w:val="single" w:color="000000" w:sz="8" w:space="0"/>
              <w:right w:val="single" w:color="000000" w:sz="8" w:space="0"/>
            </w:tcBorders>
            <w:shd w:val="clear" w:color="auto" w:fill="auto"/>
            <w:vAlign w:val="center"/>
          </w:tcPr>
          <w:p w14:paraId="0C529510">
            <w:pPr>
              <w:widowControl/>
              <w:jc w:val="left"/>
              <w:textAlignment w:val="center"/>
              <w:rPr>
                <w:rFonts w:ascii="仿宋" w:hAnsi="仿宋" w:eastAsia="仿宋" w:cs="仿宋"/>
                <w:color w:val="000000"/>
                <w:sz w:val="22"/>
                <w:szCs w:val="22"/>
              </w:rPr>
            </w:pPr>
            <w:r>
              <w:rPr>
                <w:rFonts w:hint="eastAsia" w:ascii="仿宋" w:hAnsi="仿宋" w:eastAsia="仿宋" w:cs="仿宋"/>
                <w:color w:val="000000"/>
                <w:sz w:val="22"/>
                <w:szCs w:val="22"/>
              </w:rPr>
              <w:t>自2022年1月至投标截止之日，每提供一个类似业绩得2分，此项最多10分。</w:t>
            </w:r>
          </w:p>
          <w:p w14:paraId="6D635303">
            <w:pPr>
              <w:widowControl/>
              <w:jc w:val="left"/>
              <w:textAlignment w:val="center"/>
              <w:rPr>
                <w:rFonts w:ascii="仿宋" w:hAnsi="仿宋" w:eastAsia="仿宋" w:cs="仿宋"/>
                <w:color w:val="000000"/>
                <w:sz w:val="22"/>
                <w:szCs w:val="22"/>
              </w:rPr>
            </w:pPr>
            <w:r>
              <w:rPr>
                <w:rFonts w:hint="eastAsia" w:ascii="仿宋" w:hAnsi="仿宋" w:eastAsia="仿宋" w:cs="仿宋"/>
                <w:color w:val="000000"/>
                <w:sz w:val="22"/>
                <w:szCs w:val="22"/>
              </w:rPr>
              <w:t>注：提供中标通知书/成交通知书或合同首页、合同金额页及签字盖章页扫描或复印件,无业绩或资料不全的不得分</w:t>
            </w:r>
          </w:p>
        </w:tc>
        <w:tc>
          <w:tcPr>
            <w:tcW w:w="876" w:type="dxa"/>
            <w:tcBorders>
              <w:top w:val="nil"/>
              <w:left w:val="single" w:color="000000" w:sz="8" w:space="0"/>
              <w:bottom w:val="single" w:color="000000" w:sz="8" w:space="0"/>
              <w:right w:val="single" w:color="000000" w:sz="8" w:space="0"/>
            </w:tcBorders>
            <w:shd w:val="clear" w:color="auto" w:fill="auto"/>
            <w:vAlign w:val="center"/>
          </w:tcPr>
          <w:p w14:paraId="7A15793D">
            <w:pPr>
              <w:widowControl/>
              <w:jc w:val="center"/>
              <w:textAlignment w:val="center"/>
              <w:rPr>
                <w:rFonts w:ascii="仿宋" w:hAnsi="仿宋" w:eastAsia="仿宋" w:cs="仿宋"/>
                <w:color w:val="000000"/>
                <w:sz w:val="22"/>
                <w:szCs w:val="22"/>
              </w:rPr>
            </w:pPr>
            <w:r>
              <w:rPr>
                <w:rFonts w:hint="eastAsia" w:ascii="仿宋" w:hAnsi="仿宋" w:eastAsia="仿宋" w:cs="仿宋"/>
                <w:color w:val="000000"/>
                <w:kern w:val="0"/>
                <w:sz w:val="22"/>
                <w:szCs w:val="22"/>
                <w:lang w:bidi="ar"/>
              </w:rPr>
              <w:t>10分</w:t>
            </w:r>
          </w:p>
        </w:tc>
      </w:tr>
      <w:tr w14:paraId="5B837E0C">
        <w:tblPrEx>
          <w:tblCellMar>
            <w:top w:w="0" w:type="dxa"/>
            <w:left w:w="108" w:type="dxa"/>
            <w:bottom w:w="0" w:type="dxa"/>
            <w:right w:w="108" w:type="dxa"/>
          </w:tblCellMar>
        </w:tblPrEx>
        <w:trPr>
          <w:trHeight w:val="318" w:hRule="atLeast"/>
        </w:trPr>
        <w:tc>
          <w:tcPr>
            <w:tcW w:w="49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50272BD">
            <w:pPr>
              <w:widowControl/>
              <w:jc w:val="center"/>
              <w:textAlignment w:val="center"/>
              <w:rPr>
                <w:rFonts w:ascii="仿宋" w:hAnsi="仿宋" w:eastAsia="仿宋" w:cs="仿宋"/>
                <w:color w:val="000000"/>
                <w:sz w:val="22"/>
                <w:szCs w:val="22"/>
              </w:rPr>
            </w:pPr>
          </w:p>
        </w:tc>
        <w:tc>
          <w:tcPr>
            <w:tcW w:w="1050" w:type="dxa"/>
            <w:vMerge w:val="continue"/>
            <w:tcBorders>
              <w:top w:val="nil"/>
              <w:left w:val="single" w:color="auto" w:sz="4" w:space="0"/>
              <w:bottom w:val="single" w:color="000000" w:sz="8" w:space="0"/>
              <w:right w:val="single" w:color="000000" w:sz="8" w:space="0"/>
            </w:tcBorders>
            <w:shd w:val="clear" w:color="auto" w:fill="auto"/>
            <w:vAlign w:val="center"/>
          </w:tcPr>
          <w:p w14:paraId="6CDC356C">
            <w:pPr>
              <w:jc w:val="center"/>
              <w:rPr>
                <w:rFonts w:ascii="仿宋" w:hAnsi="仿宋" w:eastAsia="仿宋" w:cs="仿宋"/>
                <w:color w:val="000000"/>
                <w:sz w:val="22"/>
                <w:szCs w:val="22"/>
              </w:rPr>
            </w:pPr>
          </w:p>
        </w:tc>
        <w:tc>
          <w:tcPr>
            <w:tcW w:w="1436" w:type="dxa"/>
            <w:tcBorders>
              <w:top w:val="nil"/>
              <w:left w:val="single" w:color="000000" w:sz="8" w:space="0"/>
              <w:bottom w:val="single" w:color="000000" w:sz="8" w:space="0"/>
              <w:right w:val="single" w:color="000000" w:sz="8" w:space="0"/>
            </w:tcBorders>
            <w:shd w:val="clear" w:color="auto" w:fill="auto"/>
            <w:vAlign w:val="center"/>
          </w:tcPr>
          <w:p w14:paraId="484F762B">
            <w:pPr>
              <w:widowControl/>
              <w:jc w:val="center"/>
              <w:textAlignment w:val="center"/>
              <w:rPr>
                <w:rFonts w:ascii="仿宋" w:hAnsi="仿宋" w:eastAsia="仿宋" w:cs="仿宋"/>
                <w:color w:val="000000"/>
                <w:sz w:val="22"/>
                <w:szCs w:val="22"/>
              </w:rPr>
            </w:pPr>
            <w:r>
              <w:rPr>
                <w:rFonts w:hint="eastAsia" w:ascii="仿宋" w:hAnsi="仿宋" w:eastAsia="仿宋" w:cs="仿宋"/>
                <w:color w:val="000000"/>
                <w:kern w:val="0"/>
                <w:sz w:val="22"/>
                <w:szCs w:val="22"/>
                <w:lang w:bidi="ar"/>
              </w:rPr>
              <w:t>售后服务方案</w:t>
            </w:r>
          </w:p>
        </w:tc>
        <w:tc>
          <w:tcPr>
            <w:tcW w:w="5406" w:type="dxa"/>
            <w:tcBorders>
              <w:top w:val="nil"/>
              <w:left w:val="single" w:color="000000" w:sz="8" w:space="0"/>
              <w:bottom w:val="single" w:color="000000" w:sz="8" w:space="0"/>
              <w:right w:val="single" w:color="000000" w:sz="8" w:space="0"/>
            </w:tcBorders>
            <w:shd w:val="clear" w:color="auto" w:fill="auto"/>
            <w:vAlign w:val="center"/>
          </w:tcPr>
          <w:p w14:paraId="0A322454">
            <w:pPr>
              <w:widowControl/>
              <w:jc w:val="left"/>
              <w:textAlignment w:val="center"/>
              <w:rPr>
                <w:rFonts w:ascii="仿宋" w:hAnsi="仿宋" w:eastAsia="仿宋" w:cs="仿宋"/>
                <w:color w:val="000000"/>
                <w:kern w:val="0"/>
                <w:sz w:val="22"/>
                <w:szCs w:val="22"/>
                <w:lang w:bidi="ar"/>
              </w:rPr>
            </w:pPr>
            <w:r>
              <w:rPr>
                <w:rFonts w:hint="eastAsia" w:ascii="仿宋" w:hAnsi="仿宋" w:eastAsia="仿宋" w:cs="仿宋"/>
                <w:color w:val="000000"/>
                <w:kern w:val="0"/>
                <w:sz w:val="22"/>
                <w:szCs w:val="22"/>
                <w:lang w:bidi="ar"/>
              </w:rPr>
              <w:t>针对本项目制定的详细售后服务方案：</w:t>
            </w:r>
          </w:p>
          <w:p w14:paraId="3FD5737B">
            <w:pPr>
              <w:widowControl/>
              <w:jc w:val="left"/>
              <w:textAlignment w:val="center"/>
              <w:rPr>
                <w:rFonts w:ascii="仿宋" w:hAnsi="仿宋" w:eastAsia="仿宋" w:cs="仿宋"/>
                <w:color w:val="000000"/>
                <w:kern w:val="0"/>
                <w:sz w:val="22"/>
                <w:szCs w:val="22"/>
                <w:lang w:bidi="ar"/>
              </w:rPr>
            </w:pPr>
            <w:r>
              <w:rPr>
                <w:rFonts w:hint="eastAsia" w:ascii="仿宋" w:hAnsi="仿宋" w:eastAsia="仿宋" w:cs="仿宋"/>
                <w:color w:val="000000"/>
                <w:kern w:val="0"/>
                <w:sz w:val="22"/>
                <w:szCs w:val="22"/>
                <w:lang w:bidi="ar"/>
              </w:rPr>
              <w:t>①售后服务承诺和保障措施；②售后人员安排、响应时间；③售后服务体系；④定期回访；⑤技术培训方案；</w:t>
            </w:r>
          </w:p>
          <w:p w14:paraId="692F920D">
            <w:pPr>
              <w:widowControl/>
              <w:jc w:val="left"/>
              <w:textAlignment w:val="center"/>
              <w:rPr>
                <w:rFonts w:ascii="仿宋" w:hAnsi="仿宋" w:eastAsia="仿宋" w:cs="仿宋"/>
                <w:color w:val="000000"/>
                <w:sz w:val="22"/>
                <w:szCs w:val="22"/>
              </w:rPr>
            </w:pPr>
            <w:r>
              <w:rPr>
                <w:rFonts w:hint="eastAsia" w:ascii="仿宋" w:hAnsi="仿宋" w:eastAsia="仿宋" w:cs="仿宋"/>
                <w:color w:val="000000"/>
                <w:kern w:val="0"/>
                <w:sz w:val="22"/>
                <w:szCs w:val="22"/>
                <w:lang w:bidi="ar"/>
              </w:rPr>
              <w:t>以上方案每项内容完整全面，可行性较强、且具有针对性的得 10 分，每缺少一项内容扣 2 分。每有一项内容不完整（或未能满足采购需求或逻辑性不强或无针对性等）扣1分扣完为止。</w:t>
            </w:r>
          </w:p>
        </w:tc>
        <w:tc>
          <w:tcPr>
            <w:tcW w:w="876" w:type="dxa"/>
            <w:tcBorders>
              <w:top w:val="nil"/>
              <w:left w:val="single" w:color="000000" w:sz="8" w:space="0"/>
              <w:bottom w:val="single" w:color="000000" w:sz="8" w:space="0"/>
              <w:right w:val="single" w:color="000000" w:sz="8" w:space="0"/>
            </w:tcBorders>
            <w:shd w:val="clear" w:color="auto" w:fill="auto"/>
            <w:vAlign w:val="center"/>
          </w:tcPr>
          <w:p w14:paraId="7BB5B299">
            <w:pPr>
              <w:widowControl/>
              <w:jc w:val="center"/>
              <w:textAlignment w:val="center"/>
              <w:rPr>
                <w:rFonts w:ascii="仿宋" w:hAnsi="仿宋" w:eastAsia="仿宋" w:cs="仿宋"/>
                <w:color w:val="000000"/>
                <w:sz w:val="22"/>
                <w:szCs w:val="22"/>
              </w:rPr>
            </w:pPr>
            <w:r>
              <w:rPr>
                <w:rFonts w:hint="eastAsia" w:ascii="仿宋" w:hAnsi="仿宋" w:eastAsia="仿宋" w:cs="仿宋"/>
                <w:color w:val="000000"/>
                <w:kern w:val="0"/>
                <w:sz w:val="22"/>
                <w:szCs w:val="22"/>
                <w:lang w:bidi="ar"/>
              </w:rPr>
              <w:t>10分</w:t>
            </w:r>
          </w:p>
        </w:tc>
      </w:tr>
      <w:bookmarkEnd w:id="884"/>
    </w:tbl>
    <w:p w14:paraId="246FC180">
      <w:pPr>
        <w:pStyle w:val="27"/>
        <w:spacing w:before="0" w:line="240" w:lineRule="auto"/>
        <w:ind w:left="0" w:firstLine="0"/>
        <w:rPr>
          <w:rFonts w:ascii="仿宋" w:hAnsi="仿宋" w:eastAsia="仿宋" w:cs="仿宋"/>
          <w:iCs/>
          <w:kern w:val="2"/>
          <w:szCs w:val="24"/>
        </w:rPr>
      </w:pPr>
      <w:bookmarkStart w:id="885" w:name="_Toc507399904"/>
      <w:r>
        <w:rPr>
          <w:rFonts w:hint="eastAsia" w:ascii="仿宋" w:hAnsi="仿宋" w:eastAsia="仿宋" w:cs="仿宋"/>
          <w:iCs/>
          <w:kern w:val="2"/>
          <w:szCs w:val="24"/>
        </w:rPr>
        <w:t>说明：各评分因素的计分方法：评标委员会全部成员对各投标人的有效记分的算术平均值为该评分因素的综合得分。计算各评分因素得分时，四舍五入保留二位小数。(价格评分仅限于有效投标人。)</w:t>
      </w:r>
    </w:p>
    <w:p w14:paraId="526894B2">
      <w:pPr>
        <w:spacing w:line="240" w:lineRule="atLeast"/>
        <w:jc w:val="center"/>
        <w:rPr>
          <w:rFonts w:ascii="仿宋" w:hAnsi="仿宋" w:eastAsia="仿宋" w:cs="仿宋"/>
          <w:b/>
          <w:sz w:val="52"/>
          <w:szCs w:val="52"/>
        </w:rPr>
      </w:pPr>
    </w:p>
    <w:p w14:paraId="3364837E"/>
    <w:p w14:paraId="1F41917B">
      <w:pPr>
        <w:pStyle w:val="11"/>
      </w:pPr>
    </w:p>
    <w:p w14:paraId="134A3DEC">
      <w:pPr>
        <w:spacing w:line="240" w:lineRule="atLeast"/>
        <w:jc w:val="center"/>
        <w:rPr>
          <w:rFonts w:ascii="仿宋" w:hAnsi="仿宋" w:eastAsia="仿宋" w:cs="仿宋"/>
          <w:b/>
          <w:sz w:val="52"/>
          <w:szCs w:val="52"/>
        </w:rPr>
      </w:pPr>
    </w:p>
    <w:p w14:paraId="54B63932">
      <w:pPr>
        <w:spacing w:line="240" w:lineRule="atLeast"/>
        <w:jc w:val="center"/>
        <w:rPr>
          <w:rFonts w:ascii="仿宋" w:hAnsi="仿宋" w:eastAsia="仿宋" w:cs="仿宋"/>
          <w:b/>
          <w:sz w:val="52"/>
          <w:szCs w:val="52"/>
        </w:rPr>
      </w:pPr>
    </w:p>
    <w:p w14:paraId="53B5EE34">
      <w:pPr>
        <w:spacing w:line="240" w:lineRule="atLeast"/>
        <w:jc w:val="center"/>
        <w:rPr>
          <w:rFonts w:ascii="仿宋" w:hAnsi="仿宋" w:eastAsia="仿宋" w:cs="仿宋"/>
          <w:b/>
          <w:sz w:val="52"/>
          <w:szCs w:val="52"/>
        </w:rPr>
      </w:pPr>
      <w:r>
        <w:rPr>
          <w:rFonts w:hint="eastAsia" w:ascii="仿宋" w:hAnsi="仿宋" w:eastAsia="仿宋" w:cs="仿宋"/>
          <w:b/>
          <w:sz w:val="52"/>
          <w:szCs w:val="52"/>
        </w:rPr>
        <w:t>货物类</w:t>
      </w:r>
    </w:p>
    <w:p w14:paraId="3046C592">
      <w:pPr>
        <w:pStyle w:val="27"/>
        <w:spacing w:line="500" w:lineRule="exact"/>
        <w:ind w:left="0" w:firstLineChars="200"/>
        <w:rPr>
          <w:rFonts w:ascii="仿宋" w:hAnsi="仿宋" w:eastAsia="仿宋" w:cs="仿宋"/>
          <w:iCs/>
          <w:kern w:val="2"/>
          <w:szCs w:val="24"/>
        </w:rPr>
      </w:pPr>
    </w:p>
    <w:p w14:paraId="5ED54B7F">
      <w:pPr>
        <w:spacing w:line="240" w:lineRule="atLeast"/>
        <w:ind w:left="1080" w:leftChars="257" w:hanging="540"/>
        <w:jc w:val="center"/>
        <w:rPr>
          <w:rFonts w:ascii="仿宋" w:hAnsi="仿宋" w:eastAsia="仿宋" w:cs="仿宋"/>
          <w:b/>
          <w:sz w:val="52"/>
          <w:szCs w:val="52"/>
        </w:rPr>
      </w:pPr>
    </w:p>
    <w:p w14:paraId="6458CBE3">
      <w:pPr>
        <w:spacing w:line="240" w:lineRule="atLeast"/>
        <w:ind w:left="1080" w:leftChars="257" w:hanging="540"/>
        <w:jc w:val="center"/>
        <w:rPr>
          <w:rFonts w:ascii="仿宋" w:hAnsi="仿宋" w:eastAsia="仿宋" w:cs="仿宋"/>
          <w:b/>
          <w:sz w:val="52"/>
          <w:szCs w:val="52"/>
        </w:rPr>
      </w:pPr>
      <w:r>
        <w:rPr>
          <w:rFonts w:hint="eastAsia" w:ascii="仿宋" w:hAnsi="仿宋" w:eastAsia="仿宋" w:cs="仿宋"/>
          <w:b/>
          <w:sz w:val="52"/>
          <w:szCs w:val="52"/>
        </w:rPr>
        <w:t>政府采购公开招标文件</w:t>
      </w:r>
    </w:p>
    <w:p w14:paraId="57712F9A">
      <w:pPr>
        <w:spacing w:line="240" w:lineRule="atLeast"/>
        <w:ind w:left="1080" w:leftChars="257" w:hanging="540"/>
        <w:jc w:val="center"/>
        <w:rPr>
          <w:rFonts w:ascii="仿宋" w:hAnsi="仿宋" w:eastAsia="仿宋" w:cs="仿宋"/>
          <w:b/>
          <w:sz w:val="32"/>
          <w:szCs w:val="32"/>
        </w:rPr>
      </w:pPr>
    </w:p>
    <w:p w14:paraId="0E51B0A0">
      <w:pPr>
        <w:spacing w:line="240" w:lineRule="atLeast"/>
        <w:ind w:left="1080" w:leftChars="257" w:hanging="540"/>
        <w:jc w:val="center"/>
        <w:rPr>
          <w:rFonts w:ascii="仿宋" w:hAnsi="仿宋" w:eastAsia="仿宋" w:cs="仿宋"/>
          <w:b/>
          <w:sz w:val="32"/>
          <w:szCs w:val="32"/>
        </w:rPr>
      </w:pPr>
    </w:p>
    <w:p w14:paraId="6402F152">
      <w:pPr>
        <w:spacing w:line="240" w:lineRule="atLeast"/>
        <w:rPr>
          <w:rFonts w:ascii="仿宋" w:hAnsi="仿宋" w:eastAsia="仿宋" w:cs="仿宋"/>
          <w:b/>
          <w:sz w:val="32"/>
          <w:szCs w:val="32"/>
        </w:rPr>
      </w:pPr>
    </w:p>
    <w:p w14:paraId="47C9FCEF">
      <w:pPr>
        <w:spacing w:line="240" w:lineRule="atLeast"/>
        <w:ind w:left="1080" w:leftChars="257" w:hanging="540"/>
        <w:jc w:val="center"/>
        <w:rPr>
          <w:rFonts w:ascii="仿宋" w:hAnsi="仿宋" w:eastAsia="仿宋" w:cs="仿宋"/>
          <w:b/>
          <w:sz w:val="32"/>
          <w:szCs w:val="32"/>
        </w:rPr>
      </w:pPr>
    </w:p>
    <w:p w14:paraId="2083BC91">
      <w:pPr>
        <w:spacing w:line="240" w:lineRule="atLeast"/>
        <w:ind w:left="1080" w:leftChars="257" w:hanging="540"/>
        <w:rPr>
          <w:rFonts w:ascii="仿宋" w:hAnsi="仿宋" w:eastAsia="仿宋" w:cs="仿宋"/>
          <w:b/>
          <w:sz w:val="28"/>
        </w:rPr>
      </w:pPr>
    </w:p>
    <w:p w14:paraId="7EF889CC">
      <w:pPr>
        <w:spacing w:line="240" w:lineRule="atLeast"/>
        <w:ind w:left="1080" w:leftChars="257" w:hanging="540"/>
        <w:jc w:val="center"/>
        <w:rPr>
          <w:rFonts w:ascii="仿宋" w:hAnsi="仿宋" w:eastAsia="仿宋" w:cs="仿宋"/>
          <w:b/>
          <w:sz w:val="48"/>
          <w:szCs w:val="48"/>
        </w:rPr>
      </w:pPr>
      <w:r>
        <w:rPr>
          <w:rFonts w:hint="eastAsia" w:ascii="仿宋" w:hAnsi="仿宋" w:eastAsia="仿宋" w:cs="仿宋"/>
          <w:b/>
          <w:sz w:val="48"/>
          <w:szCs w:val="48"/>
        </w:rPr>
        <w:t>第三册</w:t>
      </w:r>
    </w:p>
    <w:p w14:paraId="160157A3">
      <w:pPr>
        <w:spacing w:line="240" w:lineRule="atLeast"/>
        <w:ind w:left="1080" w:leftChars="257" w:hanging="540"/>
        <w:jc w:val="center"/>
        <w:rPr>
          <w:rFonts w:ascii="仿宋" w:hAnsi="仿宋" w:eastAsia="仿宋" w:cs="仿宋"/>
          <w:b/>
          <w:sz w:val="52"/>
        </w:rPr>
      </w:pPr>
    </w:p>
    <w:p w14:paraId="5E504EF6">
      <w:pPr>
        <w:pStyle w:val="25"/>
        <w:rPr>
          <w:rFonts w:ascii="仿宋" w:hAnsi="仿宋" w:eastAsia="仿宋" w:cs="仿宋"/>
          <w:b/>
          <w:sz w:val="52"/>
        </w:rPr>
      </w:pPr>
    </w:p>
    <w:p w14:paraId="02177B22">
      <w:pPr>
        <w:pStyle w:val="25"/>
        <w:rPr>
          <w:rFonts w:ascii="仿宋" w:hAnsi="仿宋" w:eastAsia="仿宋" w:cs="仿宋"/>
          <w:b/>
          <w:sz w:val="52"/>
        </w:rPr>
      </w:pPr>
    </w:p>
    <w:p w14:paraId="2721B1F1">
      <w:pPr>
        <w:pStyle w:val="25"/>
        <w:rPr>
          <w:rFonts w:ascii="仿宋" w:hAnsi="仿宋" w:eastAsia="仿宋" w:cs="仿宋"/>
          <w:b/>
          <w:sz w:val="52"/>
        </w:rPr>
      </w:pPr>
    </w:p>
    <w:p w14:paraId="5CA9B251">
      <w:pPr>
        <w:pStyle w:val="25"/>
        <w:rPr>
          <w:rFonts w:ascii="仿宋" w:hAnsi="仿宋" w:eastAsia="仿宋" w:cs="仿宋"/>
        </w:rPr>
      </w:pPr>
    </w:p>
    <w:p w14:paraId="33D5C08B">
      <w:pPr>
        <w:rPr>
          <w:rFonts w:ascii="仿宋" w:hAnsi="仿宋" w:eastAsia="仿宋" w:cs="仿宋"/>
          <w:sz w:val="44"/>
          <w:szCs w:val="44"/>
        </w:rPr>
      </w:pPr>
      <w:bookmarkStart w:id="886" w:name="_Toc515647833"/>
      <w:bookmarkStart w:id="887" w:name="_Toc4796"/>
      <w:bookmarkStart w:id="888" w:name="_Toc31150"/>
      <w:bookmarkStart w:id="889" w:name="_Toc6865"/>
      <w:bookmarkStart w:id="890" w:name="_Toc4337"/>
    </w:p>
    <w:p w14:paraId="34C440E3">
      <w:pPr>
        <w:pStyle w:val="90"/>
        <w:rPr>
          <w:rFonts w:ascii="仿宋" w:hAnsi="仿宋" w:eastAsia="仿宋" w:cs="仿宋"/>
        </w:rPr>
      </w:pPr>
      <w:bookmarkStart w:id="891" w:name="_Toc1691"/>
      <w:bookmarkStart w:id="892" w:name="_Toc29759"/>
    </w:p>
    <w:p w14:paraId="14FD280B">
      <w:pPr>
        <w:rPr>
          <w:rFonts w:ascii="仿宋" w:hAnsi="仿宋" w:eastAsia="仿宋" w:cs="仿宋"/>
          <w:sz w:val="44"/>
          <w:szCs w:val="44"/>
        </w:rPr>
      </w:pPr>
    </w:p>
    <w:p w14:paraId="3B740330">
      <w:pPr>
        <w:pStyle w:val="55"/>
        <w:rPr>
          <w:rFonts w:ascii="仿宋" w:hAnsi="仿宋" w:eastAsia="仿宋" w:cs="仿宋"/>
          <w:sz w:val="44"/>
          <w:szCs w:val="44"/>
          <w:lang w:eastAsia="zh-CN"/>
        </w:rPr>
      </w:pPr>
    </w:p>
    <w:p w14:paraId="3339DCA6">
      <w:pPr>
        <w:pStyle w:val="55"/>
        <w:rPr>
          <w:rFonts w:ascii="仿宋" w:hAnsi="仿宋" w:eastAsia="仿宋" w:cs="仿宋"/>
          <w:sz w:val="44"/>
          <w:szCs w:val="44"/>
          <w:lang w:eastAsia="zh-CN"/>
        </w:rPr>
      </w:pPr>
    </w:p>
    <w:p w14:paraId="407DBAA6">
      <w:pPr>
        <w:pStyle w:val="55"/>
        <w:rPr>
          <w:rFonts w:ascii="仿宋" w:hAnsi="仿宋" w:eastAsia="仿宋" w:cs="仿宋"/>
          <w:sz w:val="44"/>
          <w:szCs w:val="44"/>
          <w:lang w:eastAsia="zh-CN"/>
        </w:rPr>
      </w:pPr>
    </w:p>
    <w:p w14:paraId="6D298E45">
      <w:pPr>
        <w:pStyle w:val="3"/>
        <w:tabs>
          <w:tab w:val="left" w:pos="0"/>
        </w:tabs>
        <w:spacing w:before="0" w:after="0" w:line="240" w:lineRule="atLeast"/>
        <w:rPr>
          <w:rFonts w:ascii="仿宋" w:hAnsi="仿宋" w:eastAsia="仿宋" w:cs="仿宋"/>
          <w:sz w:val="44"/>
          <w:szCs w:val="44"/>
        </w:rPr>
      </w:pPr>
      <w:bookmarkStart w:id="893" w:name="_Toc19057"/>
      <w:r>
        <w:rPr>
          <w:rFonts w:hint="eastAsia" w:ascii="仿宋" w:hAnsi="仿宋" w:eastAsia="仿宋" w:cs="仿宋"/>
          <w:sz w:val="44"/>
          <w:szCs w:val="44"/>
        </w:rPr>
        <w:t>第七章  政府采购合同</w:t>
      </w:r>
      <w:bookmarkEnd w:id="885"/>
      <w:bookmarkEnd w:id="886"/>
      <w:bookmarkEnd w:id="887"/>
      <w:bookmarkEnd w:id="888"/>
      <w:bookmarkEnd w:id="889"/>
      <w:bookmarkEnd w:id="890"/>
      <w:bookmarkEnd w:id="891"/>
      <w:bookmarkEnd w:id="892"/>
      <w:bookmarkEnd w:id="893"/>
      <w:bookmarkStart w:id="894" w:name="_Hlt487972895"/>
      <w:bookmarkEnd w:id="894"/>
      <w:bookmarkStart w:id="895" w:name="_Toc487900382"/>
      <w:bookmarkStart w:id="896" w:name="_Toc216513788"/>
    </w:p>
    <w:bookmarkEnd w:id="895"/>
    <w:bookmarkEnd w:id="896"/>
    <w:p w14:paraId="6FDC370C">
      <w:pPr>
        <w:spacing w:line="240" w:lineRule="atLeast"/>
        <w:rPr>
          <w:rFonts w:ascii="仿宋" w:hAnsi="仿宋" w:eastAsia="仿宋" w:cs="仿宋"/>
          <w:b/>
          <w:kern w:val="44"/>
          <w:sz w:val="32"/>
          <w:szCs w:val="20"/>
        </w:rPr>
      </w:pPr>
    </w:p>
    <w:p w14:paraId="2F7B4B3A">
      <w:pPr>
        <w:rPr>
          <w:rFonts w:ascii="仿宋" w:hAnsi="仿宋" w:eastAsia="仿宋" w:cs="仿宋"/>
          <w:sz w:val="24"/>
          <w:u w:val="single"/>
        </w:rPr>
      </w:pPr>
      <w:r>
        <w:rPr>
          <w:rFonts w:hint="eastAsia" w:ascii="仿宋" w:hAnsi="仿宋" w:eastAsia="仿宋" w:cs="仿宋"/>
          <w:sz w:val="24"/>
        </w:rPr>
        <w:t>合同编号：</w:t>
      </w:r>
      <w:r>
        <w:rPr>
          <w:rFonts w:hint="eastAsia" w:ascii="仿宋" w:hAnsi="仿宋" w:eastAsia="仿宋" w:cs="仿宋"/>
          <w:sz w:val="24"/>
          <w:u w:val="single"/>
        </w:rPr>
        <w:t xml:space="preserve">           </w:t>
      </w:r>
    </w:p>
    <w:p w14:paraId="2F61FDEE">
      <w:pPr>
        <w:spacing w:line="480" w:lineRule="auto"/>
        <w:jc w:val="center"/>
        <w:rPr>
          <w:rFonts w:ascii="仿宋" w:hAnsi="仿宋" w:eastAsia="仿宋" w:cs="仿宋"/>
          <w:b/>
          <w:sz w:val="28"/>
          <w:szCs w:val="28"/>
        </w:rPr>
      </w:pPr>
    </w:p>
    <w:p w14:paraId="7701E889">
      <w:pPr>
        <w:spacing w:line="480" w:lineRule="auto"/>
        <w:jc w:val="center"/>
        <w:rPr>
          <w:rFonts w:ascii="仿宋" w:hAnsi="仿宋" w:eastAsia="仿宋" w:cs="仿宋"/>
          <w:b/>
          <w:sz w:val="28"/>
          <w:szCs w:val="28"/>
        </w:rPr>
      </w:pPr>
    </w:p>
    <w:p w14:paraId="63D0B37D">
      <w:pPr>
        <w:spacing w:line="480" w:lineRule="auto"/>
        <w:jc w:val="center"/>
        <w:rPr>
          <w:rFonts w:ascii="仿宋" w:hAnsi="仿宋" w:eastAsia="仿宋" w:cs="仿宋"/>
          <w:b/>
          <w:sz w:val="44"/>
          <w:szCs w:val="44"/>
        </w:rPr>
      </w:pPr>
      <w:r>
        <w:rPr>
          <w:rFonts w:hint="eastAsia" w:ascii="仿宋" w:hAnsi="仿宋" w:eastAsia="仿宋" w:cs="仿宋"/>
          <w:b/>
          <w:sz w:val="44"/>
          <w:szCs w:val="44"/>
        </w:rPr>
        <w:t>政府采购合同草案</w:t>
      </w:r>
    </w:p>
    <w:p w14:paraId="153A8B0B">
      <w:pPr>
        <w:spacing w:line="480" w:lineRule="auto"/>
        <w:jc w:val="center"/>
        <w:rPr>
          <w:rFonts w:ascii="仿宋" w:hAnsi="仿宋" w:eastAsia="仿宋" w:cs="仿宋"/>
          <w:b/>
          <w:sz w:val="24"/>
        </w:rPr>
      </w:pPr>
      <w:r>
        <w:rPr>
          <w:rFonts w:hint="eastAsia" w:ascii="仿宋" w:hAnsi="仿宋" w:eastAsia="仿宋" w:cs="仿宋"/>
          <w:b/>
          <w:sz w:val="24"/>
        </w:rPr>
        <w:t>（货物类）</w:t>
      </w:r>
    </w:p>
    <w:p w14:paraId="14CBF838">
      <w:pPr>
        <w:pStyle w:val="58"/>
        <w:ind w:firstLine="0"/>
        <w:rPr>
          <w:rFonts w:ascii="仿宋" w:hAnsi="仿宋" w:eastAsia="仿宋" w:cs="仿宋"/>
          <w:szCs w:val="24"/>
        </w:rPr>
      </w:pPr>
    </w:p>
    <w:p w14:paraId="6ADD369B">
      <w:pPr>
        <w:pStyle w:val="58"/>
        <w:ind w:firstLine="0"/>
        <w:rPr>
          <w:rFonts w:ascii="仿宋" w:hAnsi="仿宋" w:eastAsia="仿宋" w:cs="仿宋"/>
          <w:szCs w:val="24"/>
        </w:rPr>
      </w:pPr>
    </w:p>
    <w:p w14:paraId="56E317F1">
      <w:pPr>
        <w:pStyle w:val="58"/>
        <w:ind w:firstLine="0"/>
        <w:rPr>
          <w:rFonts w:ascii="仿宋" w:hAnsi="仿宋" w:eastAsia="仿宋" w:cs="仿宋"/>
          <w:szCs w:val="24"/>
        </w:rPr>
      </w:pPr>
    </w:p>
    <w:p w14:paraId="40623AB1">
      <w:pPr>
        <w:pStyle w:val="58"/>
        <w:ind w:firstLine="0"/>
        <w:jc w:val="center"/>
        <w:rPr>
          <w:rFonts w:ascii="仿宋" w:hAnsi="仿宋" w:eastAsia="仿宋" w:cs="仿宋"/>
          <w:b/>
          <w:szCs w:val="24"/>
        </w:rPr>
      </w:pPr>
      <w:r>
        <w:rPr>
          <w:rFonts w:hint="eastAsia" w:ascii="仿宋" w:hAnsi="仿宋" w:eastAsia="仿宋" w:cs="仿宋"/>
          <w:b/>
          <w:szCs w:val="24"/>
        </w:rPr>
        <w:t>第一部分 合同书</w:t>
      </w:r>
    </w:p>
    <w:p w14:paraId="763DC1E5">
      <w:pPr>
        <w:pStyle w:val="58"/>
        <w:ind w:firstLine="0"/>
        <w:rPr>
          <w:rFonts w:ascii="仿宋" w:hAnsi="仿宋" w:eastAsia="仿宋" w:cs="仿宋"/>
          <w:szCs w:val="24"/>
        </w:rPr>
      </w:pPr>
    </w:p>
    <w:p w14:paraId="6A2462A1">
      <w:pPr>
        <w:pStyle w:val="58"/>
        <w:ind w:firstLine="0"/>
        <w:rPr>
          <w:rFonts w:ascii="仿宋" w:hAnsi="仿宋" w:eastAsia="仿宋" w:cs="仿宋"/>
          <w:szCs w:val="24"/>
        </w:rPr>
      </w:pPr>
    </w:p>
    <w:p w14:paraId="31EC751F">
      <w:pPr>
        <w:spacing w:before="120" w:line="22" w:lineRule="atLeast"/>
        <w:rPr>
          <w:rFonts w:ascii="仿宋" w:hAnsi="仿宋" w:eastAsia="仿宋" w:cs="仿宋"/>
          <w:sz w:val="24"/>
        </w:rPr>
      </w:pPr>
    </w:p>
    <w:p w14:paraId="04B1B4B1">
      <w:pPr>
        <w:spacing w:before="120" w:line="22" w:lineRule="atLeast"/>
        <w:ind w:left="960"/>
        <w:rPr>
          <w:rFonts w:ascii="仿宋" w:hAnsi="仿宋" w:eastAsia="仿宋" w:cs="仿宋"/>
        </w:rPr>
      </w:pPr>
      <w:r>
        <w:rPr>
          <w:rFonts w:hint="eastAsia" w:ascii="仿宋" w:hAnsi="仿宋" w:eastAsia="仿宋" w:cs="仿宋"/>
          <w:sz w:val="24"/>
        </w:rPr>
        <w:t>项目名称：</w:t>
      </w:r>
      <w:r>
        <w:rPr>
          <w:rFonts w:hint="eastAsia" w:ascii="仿宋" w:hAnsi="仿宋" w:eastAsia="仿宋" w:cs="仿宋"/>
          <w:sz w:val="24"/>
          <w:u w:val="single"/>
        </w:rPr>
        <w:t xml:space="preserve">                                   </w:t>
      </w:r>
    </w:p>
    <w:p w14:paraId="1606FF06">
      <w:pPr>
        <w:rPr>
          <w:rFonts w:ascii="仿宋" w:hAnsi="仿宋" w:eastAsia="仿宋" w:cs="仿宋"/>
        </w:rPr>
      </w:pPr>
    </w:p>
    <w:p w14:paraId="26794FB0">
      <w:pPr>
        <w:spacing w:before="120" w:line="22" w:lineRule="atLeast"/>
        <w:ind w:left="960"/>
        <w:rPr>
          <w:rFonts w:ascii="仿宋" w:hAnsi="仿宋" w:eastAsia="仿宋" w:cs="仿宋"/>
          <w:sz w:val="24"/>
          <w:u w:val="single"/>
        </w:rPr>
      </w:pPr>
      <w:r>
        <w:rPr>
          <w:rFonts w:hint="eastAsia" w:ascii="仿宋" w:hAnsi="仿宋" w:eastAsia="仿宋" w:cs="仿宋"/>
          <w:sz w:val="24"/>
        </w:rPr>
        <w:t>甲方：</w:t>
      </w:r>
      <w:r>
        <w:rPr>
          <w:rFonts w:hint="eastAsia" w:ascii="仿宋" w:hAnsi="仿宋" w:eastAsia="仿宋" w:cs="仿宋"/>
          <w:sz w:val="24"/>
          <w:u w:val="single"/>
        </w:rPr>
        <w:t xml:space="preserve">                                       </w:t>
      </w:r>
    </w:p>
    <w:p w14:paraId="290D849C">
      <w:pPr>
        <w:spacing w:before="120" w:line="22" w:lineRule="atLeast"/>
        <w:rPr>
          <w:rFonts w:ascii="仿宋" w:hAnsi="仿宋" w:eastAsia="仿宋" w:cs="仿宋"/>
          <w:sz w:val="24"/>
        </w:rPr>
      </w:pPr>
    </w:p>
    <w:p w14:paraId="775C732B">
      <w:pPr>
        <w:spacing w:before="120" w:line="22" w:lineRule="atLeast"/>
        <w:ind w:left="960"/>
        <w:rPr>
          <w:rFonts w:ascii="仿宋" w:hAnsi="仿宋" w:eastAsia="仿宋" w:cs="仿宋"/>
          <w:sz w:val="24"/>
          <w:u w:val="single"/>
        </w:rPr>
      </w:pPr>
      <w:r>
        <w:rPr>
          <w:rFonts w:hint="eastAsia" w:ascii="仿宋" w:hAnsi="仿宋" w:eastAsia="仿宋" w:cs="仿宋"/>
          <w:sz w:val="24"/>
        </w:rPr>
        <w:t>乙方：</w:t>
      </w:r>
      <w:r>
        <w:rPr>
          <w:rFonts w:hint="eastAsia" w:ascii="仿宋" w:hAnsi="仿宋" w:eastAsia="仿宋" w:cs="仿宋"/>
          <w:sz w:val="24"/>
          <w:u w:val="single"/>
        </w:rPr>
        <w:t xml:space="preserve">                                       </w:t>
      </w:r>
    </w:p>
    <w:p w14:paraId="11A76138">
      <w:pPr>
        <w:spacing w:before="120" w:line="22" w:lineRule="atLeast"/>
        <w:rPr>
          <w:rFonts w:ascii="仿宋" w:hAnsi="仿宋" w:eastAsia="仿宋" w:cs="仿宋"/>
          <w:sz w:val="24"/>
        </w:rPr>
      </w:pPr>
    </w:p>
    <w:p w14:paraId="39D2A1DA">
      <w:pPr>
        <w:spacing w:before="120" w:line="22" w:lineRule="atLeast"/>
        <w:ind w:firstLine="960" w:firstLineChars="400"/>
        <w:rPr>
          <w:rFonts w:ascii="仿宋" w:hAnsi="仿宋" w:eastAsia="仿宋" w:cs="仿宋"/>
          <w:sz w:val="24"/>
          <w:u w:val="single"/>
        </w:rPr>
      </w:pPr>
      <w:r>
        <w:rPr>
          <w:rFonts w:hint="eastAsia" w:ascii="仿宋" w:hAnsi="仿宋" w:eastAsia="仿宋" w:cs="仿宋"/>
          <w:sz w:val="24"/>
        </w:rPr>
        <w:t>签订地：</w:t>
      </w:r>
      <w:r>
        <w:rPr>
          <w:rFonts w:hint="eastAsia" w:ascii="仿宋" w:hAnsi="仿宋" w:eastAsia="仿宋" w:cs="仿宋"/>
          <w:sz w:val="24"/>
          <w:u w:val="single"/>
        </w:rPr>
        <w:t xml:space="preserve">                                     </w:t>
      </w:r>
    </w:p>
    <w:p w14:paraId="523F633D">
      <w:pPr>
        <w:spacing w:before="120" w:line="22" w:lineRule="atLeast"/>
        <w:rPr>
          <w:rFonts w:ascii="仿宋" w:hAnsi="仿宋" w:eastAsia="仿宋" w:cs="仿宋"/>
          <w:sz w:val="24"/>
        </w:rPr>
      </w:pPr>
    </w:p>
    <w:p w14:paraId="671E8025">
      <w:pPr>
        <w:spacing w:before="120" w:line="22" w:lineRule="atLeast"/>
        <w:ind w:firstLine="960" w:firstLineChars="400"/>
        <w:rPr>
          <w:rFonts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14:paraId="31AE51BD">
      <w:pPr>
        <w:autoSpaceDE w:val="0"/>
        <w:autoSpaceDN w:val="0"/>
        <w:adjustRightInd w:val="0"/>
        <w:spacing w:line="600" w:lineRule="exact"/>
        <w:ind w:firstLine="640"/>
        <w:jc w:val="center"/>
        <w:rPr>
          <w:rFonts w:ascii="仿宋" w:hAnsi="仿宋" w:eastAsia="仿宋" w:cs="仿宋"/>
          <w:sz w:val="24"/>
        </w:rPr>
        <w:sectPr>
          <w:headerReference r:id="rId18" w:type="first"/>
          <w:footerReference r:id="rId21" w:type="first"/>
          <w:headerReference r:id="rId16" w:type="default"/>
          <w:footerReference r:id="rId19" w:type="default"/>
          <w:headerReference r:id="rId17" w:type="even"/>
          <w:footerReference r:id="rId20" w:type="even"/>
          <w:pgSz w:w="11907" w:h="16840"/>
          <w:pgMar w:top="1474" w:right="1871" w:bottom="1474" w:left="1814" w:header="851" w:footer="851" w:gutter="0"/>
          <w:cols w:space="720" w:num="1"/>
          <w:docGrid w:linePitch="462" w:charSpace="0"/>
        </w:sectPr>
      </w:pPr>
    </w:p>
    <w:p w14:paraId="0B0471AF">
      <w:pPr>
        <w:spacing w:line="560" w:lineRule="exact"/>
        <w:ind w:firstLine="480" w:firstLineChars="200"/>
        <w:rPr>
          <w:rFonts w:ascii="仿宋" w:hAnsi="仿宋" w:eastAsia="仿宋" w:cs="仿宋"/>
          <w:sz w:val="24"/>
          <w:u w:val="single"/>
          <w:lang w:val="zh-CN"/>
        </w:rPr>
      </w:pPr>
    </w:p>
    <w:p w14:paraId="34C8B368">
      <w:pPr>
        <w:spacing w:line="560" w:lineRule="exact"/>
        <w:ind w:firstLine="480" w:firstLineChars="200"/>
        <w:rPr>
          <w:rFonts w:ascii="仿宋" w:hAnsi="仿宋" w:eastAsia="仿宋" w:cs="仿宋"/>
          <w:sz w:val="24"/>
        </w:rPr>
      </w:pPr>
      <w:r>
        <w:rPr>
          <w:rFonts w:hint="eastAsia" w:ascii="仿宋" w:hAnsi="仿宋" w:eastAsia="仿宋" w:cs="仿宋"/>
          <w:sz w:val="24"/>
          <w:u w:val="single"/>
          <w:lang w:val="zh-CN"/>
        </w:rPr>
        <w:t xml:space="preserve">        </w:t>
      </w:r>
      <w:r>
        <w:rPr>
          <w:rFonts w:hint="eastAsia" w:ascii="仿宋" w:hAnsi="仿宋" w:eastAsia="仿宋" w:cs="仿宋"/>
          <w:sz w:val="24"/>
          <w:lang w:val="zh-CN"/>
        </w:rPr>
        <w:t>年</w:t>
      </w:r>
      <w:r>
        <w:rPr>
          <w:rFonts w:hint="eastAsia" w:ascii="仿宋" w:hAnsi="仿宋" w:eastAsia="仿宋" w:cs="仿宋"/>
          <w:sz w:val="24"/>
          <w:u w:val="single"/>
          <w:lang w:val="zh-CN"/>
        </w:rPr>
        <w:t xml:space="preserve">    </w:t>
      </w:r>
      <w:r>
        <w:rPr>
          <w:rFonts w:hint="eastAsia" w:ascii="仿宋" w:hAnsi="仿宋" w:eastAsia="仿宋" w:cs="仿宋"/>
          <w:sz w:val="24"/>
          <w:lang w:val="zh-CN"/>
        </w:rPr>
        <w:t>月</w:t>
      </w:r>
      <w:r>
        <w:rPr>
          <w:rFonts w:hint="eastAsia" w:ascii="仿宋" w:hAnsi="仿宋" w:eastAsia="仿宋" w:cs="仿宋"/>
          <w:sz w:val="24"/>
          <w:u w:val="single"/>
          <w:lang w:val="zh-CN"/>
        </w:rPr>
        <w:t xml:space="preserve">    </w:t>
      </w:r>
      <w:r>
        <w:rPr>
          <w:rFonts w:hint="eastAsia" w:ascii="仿宋" w:hAnsi="仿宋" w:eastAsia="仿宋" w:cs="仿宋"/>
          <w:sz w:val="24"/>
          <w:lang w:val="zh-CN"/>
        </w:rPr>
        <w:t>日</w:t>
      </w:r>
      <w:r>
        <w:rPr>
          <w:rFonts w:hint="eastAsia" w:ascii="仿宋" w:hAnsi="仿宋" w:eastAsia="仿宋" w:cs="仿宋"/>
          <w:sz w:val="24"/>
        </w:rPr>
        <w:t>，</w:t>
      </w:r>
      <w:r>
        <w:rPr>
          <w:rFonts w:hint="eastAsia" w:ascii="仿宋" w:hAnsi="仿宋" w:eastAsia="仿宋" w:cs="仿宋"/>
          <w:sz w:val="24"/>
          <w:u w:val="single"/>
        </w:rPr>
        <w:t xml:space="preserve">   （采购人名称）   </w:t>
      </w:r>
      <w:r>
        <w:rPr>
          <w:rFonts w:hint="eastAsia" w:ascii="仿宋" w:hAnsi="仿宋" w:eastAsia="仿宋" w:cs="仿宋"/>
          <w:sz w:val="24"/>
        </w:rPr>
        <w:t>以</w:t>
      </w:r>
      <w:r>
        <w:rPr>
          <w:rFonts w:hint="eastAsia" w:ascii="仿宋" w:hAnsi="仿宋" w:eastAsia="仿宋" w:cs="仿宋"/>
          <w:sz w:val="24"/>
          <w:u w:val="single"/>
        </w:rPr>
        <w:t xml:space="preserve">   （政府采购方式）  </w:t>
      </w:r>
      <w:r>
        <w:rPr>
          <w:rFonts w:hint="eastAsia" w:ascii="仿宋" w:hAnsi="仿宋" w:eastAsia="仿宋" w:cs="仿宋"/>
          <w:sz w:val="24"/>
        </w:rPr>
        <w:t>对</w:t>
      </w:r>
      <w:r>
        <w:rPr>
          <w:rFonts w:hint="eastAsia" w:ascii="仿宋" w:hAnsi="仿宋" w:eastAsia="仿宋" w:cs="仿宋"/>
          <w:sz w:val="24"/>
          <w:u w:val="single"/>
        </w:rPr>
        <w:t xml:space="preserve">   （同前页项目名称）   </w:t>
      </w:r>
      <w:r>
        <w:rPr>
          <w:rFonts w:hint="eastAsia" w:ascii="仿宋" w:hAnsi="仿宋" w:eastAsia="仿宋" w:cs="仿宋"/>
          <w:sz w:val="24"/>
        </w:rPr>
        <w:t>项目进行了采购。经</w:t>
      </w:r>
      <w:r>
        <w:rPr>
          <w:rFonts w:hint="eastAsia" w:ascii="仿宋" w:hAnsi="仿宋" w:eastAsia="仿宋" w:cs="仿宋"/>
          <w:sz w:val="24"/>
          <w:u w:val="single"/>
        </w:rPr>
        <w:t xml:space="preserve">   （相关评定主体名称）   </w:t>
      </w:r>
      <w:r>
        <w:rPr>
          <w:rFonts w:hint="eastAsia" w:ascii="仿宋" w:hAnsi="仿宋" w:eastAsia="仿宋" w:cs="仿宋"/>
          <w:sz w:val="24"/>
        </w:rPr>
        <w:t>评定，</w:t>
      </w:r>
      <w:r>
        <w:rPr>
          <w:rFonts w:hint="eastAsia" w:ascii="仿宋" w:hAnsi="仿宋" w:eastAsia="仿宋" w:cs="仿宋"/>
          <w:sz w:val="24"/>
          <w:u w:val="single"/>
        </w:rPr>
        <w:t xml:space="preserve">   （中标人名称）</w:t>
      </w:r>
      <w:r>
        <w:rPr>
          <w:rFonts w:hint="eastAsia" w:ascii="仿宋" w:hAnsi="仿宋" w:eastAsia="仿宋" w:cs="仿宋"/>
          <w:sz w:val="24"/>
        </w:rPr>
        <w:t>为该项目中标中标人名称。现于中标通知书发出之日起三十日内，按照采购文件确定的事项签订本合同。</w:t>
      </w:r>
    </w:p>
    <w:p w14:paraId="46190AC1">
      <w:pPr>
        <w:spacing w:line="560" w:lineRule="exact"/>
        <w:ind w:firstLine="480" w:firstLineChars="200"/>
        <w:rPr>
          <w:rFonts w:ascii="仿宋" w:hAnsi="仿宋" w:eastAsia="仿宋" w:cs="仿宋"/>
          <w:sz w:val="24"/>
        </w:rPr>
      </w:pPr>
      <w:r>
        <w:rPr>
          <w:rFonts w:hint="eastAsia" w:ascii="仿宋" w:hAnsi="仿宋" w:eastAsia="仿宋" w:cs="仿宋"/>
          <w:sz w:val="24"/>
          <w:lang w:val="zh-CN"/>
        </w:rPr>
        <w:t>根据《中华人民共和国合同法》、《中华人民共和国政府采购法》等相关法律法规之规定，按照平等、自愿、公平和诚实信用的原则，经</w:t>
      </w:r>
      <w:r>
        <w:rPr>
          <w:rFonts w:hint="eastAsia" w:ascii="仿宋" w:hAnsi="仿宋" w:eastAsia="仿宋" w:cs="仿宋"/>
          <w:sz w:val="24"/>
          <w:u w:val="single"/>
        </w:rPr>
        <w:t xml:space="preserve">   （采购人名称）   </w:t>
      </w:r>
      <w:r>
        <w:rPr>
          <w:rFonts w:hint="eastAsia" w:ascii="仿宋" w:hAnsi="仿宋" w:eastAsia="仿宋" w:cs="仿宋"/>
          <w:sz w:val="24"/>
          <w:lang w:val="zh-CN"/>
        </w:rPr>
        <w:t>(以下简称：甲方)和</w:t>
      </w:r>
      <w:r>
        <w:rPr>
          <w:rFonts w:hint="eastAsia" w:ascii="仿宋" w:hAnsi="仿宋" w:eastAsia="仿宋" w:cs="仿宋"/>
          <w:sz w:val="24"/>
          <w:u w:val="single"/>
        </w:rPr>
        <w:t xml:space="preserve">   （中标人名称）   </w:t>
      </w:r>
      <w:r>
        <w:rPr>
          <w:rFonts w:hint="eastAsia" w:ascii="仿宋" w:hAnsi="仿宋" w:eastAsia="仿宋" w:cs="仿宋"/>
          <w:sz w:val="24"/>
          <w:lang w:val="zh-CN"/>
        </w:rPr>
        <w:t>(以下简称：乙方)协商一致，约定以下合同</w:t>
      </w:r>
      <w:r>
        <w:rPr>
          <w:rFonts w:hint="eastAsia" w:ascii="仿宋" w:hAnsi="仿宋" w:eastAsia="仿宋" w:cs="仿宋"/>
          <w:sz w:val="24"/>
        </w:rPr>
        <w:t>条款，以兹共同遵守、全面履行。</w:t>
      </w:r>
    </w:p>
    <w:p w14:paraId="39F60B8C">
      <w:pPr>
        <w:spacing w:line="560" w:lineRule="exact"/>
        <w:ind w:firstLine="482" w:firstLineChars="200"/>
        <w:rPr>
          <w:rFonts w:ascii="仿宋" w:hAnsi="仿宋" w:eastAsia="仿宋" w:cs="仿宋"/>
          <w:b/>
          <w:sz w:val="24"/>
        </w:rPr>
      </w:pPr>
      <w:bookmarkStart w:id="897" w:name="_Toc2232"/>
      <w:bookmarkStart w:id="898" w:name="_Toc3029"/>
      <w:bookmarkStart w:id="899" w:name="_Toc24059"/>
      <w:r>
        <w:rPr>
          <w:rFonts w:hint="eastAsia" w:ascii="仿宋" w:hAnsi="仿宋" w:eastAsia="仿宋" w:cs="仿宋"/>
          <w:b/>
          <w:sz w:val="24"/>
        </w:rPr>
        <w:t>1.1 合同组成部分</w:t>
      </w:r>
      <w:bookmarkEnd w:id="897"/>
      <w:bookmarkEnd w:id="898"/>
      <w:bookmarkEnd w:id="899"/>
    </w:p>
    <w:p w14:paraId="7C2710CF">
      <w:pPr>
        <w:spacing w:line="560" w:lineRule="exact"/>
        <w:ind w:firstLine="480" w:firstLineChars="200"/>
        <w:rPr>
          <w:rFonts w:ascii="仿宋" w:hAnsi="仿宋" w:eastAsia="仿宋" w:cs="仿宋"/>
          <w:sz w:val="24"/>
        </w:rPr>
      </w:pPr>
      <w:r>
        <w:rPr>
          <w:rFonts w:hint="eastAsia" w:ascii="仿宋" w:hAnsi="仿宋" w:eastAsia="仿宋" w:cs="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3328303">
      <w:pPr>
        <w:spacing w:line="560" w:lineRule="exact"/>
        <w:ind w:firstLine="480" w:firstLineChars="200"/>
        <w:rPr>
          <w:rFonts w:ascii="仿宋" w:hAnsi="仿宋" w:eastAsia="仿宋" w:cs="仿宋"/>
          <w:sz w:val="24"/>
        </w:rPr>
      </w:pPr>
      <w:r>
        <w:rPr>
          <w:rFonts w:hint="eastAsia" w:ascii="仿宋" w:hAnsi="仿宋" w:eastAsia="仿宋" w:cs="仿宋"/>
          <w:sz w:val="24"/>
        </w:rPr>
        <w:t>1.1.1 本合同及其补充合同、变更协议；</w:t>
      </w:r>
    </w:p>
    <w:p w14:paraId="7BFDEBC4">
      <w:pPr>
        <w:spacing w:line="560" w:lineRule="exact"/>
        <w:ind w:firstLine="480" w:firstLineChars="200"/>
        <w:rPr>
          <w:rFonts w:ascii="仿宋" w:hAnsi="仿宋" w:eastAsia="仿宋" w:cs="仿宋"/>
          <w:sz w:val="24"/>
        </w:rPr>
      </w:pPr>
      <w:r>
        <w:rPr>
          <w:rFonts w:hint="eastAsia" w:ascii="仿宋" w:hAnsi="仿宋" w:eastAsia="仿宋" w:cs="仿宋"/>
          <w:sz w:val="24"/>
        </w:rPr>
        <w:t>1.1.2 中标通知书；</w:t>
      </w:r>
    </w:p>
    <w:p w14:paraId="44F1E77B">
      <w:pPr>
        <w:spacing w:line="560" w:lineRule="exact"/>
        <w:ind w:firstLine="480" w:firstLineChars="200"/>
        <w:rPr>
          <w:rFonts w:ascii="仿宋" w:hAnsi="仿宋" w:eastAsia="仿宋" w:cs="仿宋"/>
          <w:sz w:val="24"/>
        </w:rPr>
      </w:pPr>
      <w:r>
        <w:rPr>
          <w:rFonts w:hint="eastAsia" w:ascii="仿宋" w:hAnsi="仿宋" w:eastAsia="仿宋" w:cs="仿宋"/>
          <w:sz w:val="24"/>
        </w:rPr>
        <w:t>1.1.3 投标文件（含澄清或者说明文件）；</w:t>
      </w:r>
    </w:p>
    <w:p w14:paraId="72E470AF">
      <w:pPr>
        <w:spacing w:line="560" w:lineRule="exact"/>
        <w:ind w:firstLine="480" w:firstLineChars="200"/>
        <w:rPr>
          <w:rFonts w:ascii="仿宋" w:hAnsi="仿宋" w:eastAsia="仿宋" w:cs="仿宋"/>
          <w:sz w:val="24"/>
        </w:rPr>
      </w:pPr>
      <w:r>
        <w:rPr>
          <w:rFonts w:hint="eastAsia" w:ascii="仿宋" w:hAnsi="仿宋" w:eastAsia="仿宋" w:cs="仿宋"/>
          <w:sz w:val="24"/>
        </w:rPr>
        <w:t>1.1.4 招标文件（含澄清或者修改文件）；</w:t>
      </w:r>
    </w:p>
    <w:p w14:paraId="2558B5E0">
      <w:pPr>
        <w:spacing w:line="560" w:lineRule="exact"/>
        <w:ind w:firstLine="480" w:firstLineChars="200"/>
        <w:rPr>
          <w:rFonts w:ascii="仿宋" w:hAnsi="仿宋" w:eastAsia="仿宋" w:cs="仿宋"/>
          <w:sz w:val="24"/>
        </w:rPr>
      </w:pPr>
      <w:r>
        <w:rPr>
          <w:rFonts w:hint="eastAsia" w:ascii="仿宋" w:hAnsi="仿宋" w:eastAsia="仿宋" w:cs="仿宋"/>
          <w:sz w:val="24"/>
        </w:rPr>
        <w:t>1.1.5 其他相关采购文件。</w:t>
      </w:r>
    </w:p>
    <w:p w14:paraId="35471A74">
      <w:pPr>
        <w:spacing w:line="560" w:lineRule="exact"/>
        <w:ind w:firstLine="482" w:firstLineChars="200"/>
        <w:rPr>
          <w:rFonts w:ascii="仿宋" w:hAnsi="仿宋" w:eastAsia="仿宋" w:cs="仿宋"/>
          <w:b/>
          <w:sz w:val="24"/>
        </w:rPr>
      </w:pPr>
      <w:bookmarkStart w:id="900" w:name="_Toc27126"/>
      <w:bookmarkStart w:id="901" w:name="_Toc24300"/>
      <w:bookmarkStart w:id="902" w:name="_Toc21295"/>
      <w:r>
        <w:rPr>
          <w:rFonts w:hint="eastAsia" w:ascii="仿宋" w:hAnsi="仿宋" w:eastAsia="仿宋" w:cs="仿宋"/>
          <w:b/>
          <w:sz w:val="24"/>
        </w:rPr>
        <w:t>1.2 货物</w:t>
      </w:r>
      <w:bookmarkEnd w:id="900"/>
      <w:bookmarkEnd w:id="901"/>
      <w:bookmarkEnd w:id="902"/>
    </w:p>
    <w:p w14:paraId="27005A82">
      <w:pPr>
        <w:spacing w:line="560" w:lineRule="exact"/>
        <w:ind w:firstLine="480" w:firstLineChars="200"/>
        <w:rPr>
          <w:rFonts w:ascii="仿宋" w:hAnsi="仿宋" w:eastAsia="仿宋" w:cs="仿宋"/>
          <w:sz w:val="24"/>
          <w:u w:val="single"/>
        </w:rPr>
      </w:pPr>
      <w:r>
        <w:rPr>
          <w:rFonts w:hint="eastAsia" w:ascii="仿宋" w:hAnsi="仿宋" w:eastAsia="仿宋" w:cs="仿宋"/>
          <w:sz w:val="24"/>
        </w:rPr>
        <w:t>1.2.1 货物名称：</w:t>
      </w:r>
      <w:r>
        <w:rPr>
          <w:rFonts w:hint="eastAsia" w:ascii="仿宋" w:hAnsi="仿宋" w:eastAsia="仿宋" w:cs="仿宋"/>
          <w:sz w:val="24"/>
          <w:u w:val="single"/>
        </w:rPr>
        <w:t xml:space="preserve">                                                </w:t>
      </w:r>
      <w:r>
        <w:rPr>
          <w:rFonts w:hint="eastAsia" w:ascii="仿宋" w:hAnsi="仿宋" w:eastAsia="仿宋" w:cs="仿宋"/>
          <w:sz w:val="24"/>
        </w:rPr>
        <w:t>；</w:t>
      </w:r>
    </w:p>
    <w:p w14:paraId="4CB52B83">
      <w:pPr>
        <w:spacing w:line="560" w:lineRule="exact"/>
        <w:ind w:firstLine="480" w:firstLineChars="200"/>
        <w:rPr>
          <w:rFonts w:ascii="仿宋" w:hAnsi="仿宋" w:eastAsia="仿宋" w:cs="仿宋"/>
          <w:sz w:val="24"/>
          <w:u w:val="single"/>
        </w:rPr>
      </w:pPr>
      <w:r>
        <w:rPr>
          <w:rFonts w:hint="eastAsia" w:ascii="仿宋" w:hAnsi="仿宋" w:eastAsia="仿宋" w:cs="仿宋"/>
          <w:sz w:val="24"/>
        </w:rPr>
        <w:t>1.2.2 货物数量：</w:t>
      </w:r>
      <w:r>
        <w:rPr>
          <w:rFonts w:hint="eastAsia" w:ascii="仿宋" w:hAnsi="仿宋" w:eastAsia="仿宋" w:cs="仿宋"/>
          <w:sz w:val="24"/>
          <w:u w:val="single"/>
        </w:rPr>
        <w:t xml:space="preserve">                                                </w:t>
      </w:r>
      <w:r>
        <w:rPr>
          <w:rFonts w:hint="eastAsia" w:ascii="仿宋" w:hAnsi="仿宋" w:eastAsia="仿宋" w:cs="仿宋"/>
          <w:sz w:val="24"/>
        </w:rPr>
        <w:t>；</w:t>
      </w:r>
    </w:p>
    <w:p w14:paraId="7639403F">
      <w:pPr>
        <w:spacing w:line="560" w:lineRule="exact"/>
        <w:ind w:firstLine="480" w:firstLineChars="200"/>
        <w:rPr>
          <w:rFonts w:ascii="仿宋" w:hAnsi="仿宋" w:eastAsia="仿宋" w:cs="仿宋"/>
          <w:sz w:val="24"/>
        </w:rPr>
      </w:pPr>
      <w:r>
        <w:rPr>
          <w:rFonts w:hint="eastAsia" w:ascii="仿宋" w:hAnsi="仿宋" w:eastAsia="仿宋" w:cs="仿宋"/>
          <w:sz w:val="24"/>
        </w:rPr>
        <w:t>1.2.3 货物质量：</w:t>
      </w:r>
      <w:r>
        <w:rPr>
          <w:rFonts w:hint="eastAsia" w:ascii="仿宋" w:hAnsi="仿宋" w:eastAsia="仿宋" w:cs="仿宋"/>
          <w:sz w:val="24"/>
          <w:u w:val="single"/>
        </w:rPr>
        <w:t xml:space="preserve">　　　　　　　　　                      　      </w:t>
      </w:r>
      <w:r>
        <w:rPr>
          <w:rFonts w:hint="eastAsia" w:ascii="仿宋" w:hAnsi="仿宋" w:eastAsia="仿宋" w:cs="仿宋"/>
          <w:sz w:val="24"/>
        </w:rPr>
        <w:t>。</w:t>
      </w:r>
    </w:p>
    <w:p w14:paraId="0462FCFF">
      <w:pPr>
        <w:spacing w:line="560" w:lineRule="exact"/>
        <w:ind w:firstLine="482" w:firstLineChars="200"/>
        <w:rPr>
          <w:rFonts w:ascii="仿宋" w:hAnsi="仿宋" w:eastAsia="仿宋" w:cs="仿宋"/>
          <w:b/>
          <w:sz w:val="24"/>
        </w:rPr>
      </w:pPr>
      <w:bookmarkStart w:id="903" w:name="_Toc21631"/>
      <w:bookmarkStart w:id="904" w:name="_Toc21551"/>
      <w:bookmarkStart w:id="905" w:name="_Toc23292"/>
      <w:r>
        <w:rPr>
          <w:rFonts w:hint="eastAsia" w:ascii="仿宋" w:hAnsi="仿宋" w:eastAsia="仿宋" w:cs="仿宋"/>
          <w:b/>
          <w:sz w:val="24"/>
        </w:rPr>
        <w:t>1.3 价款</w:t>
      </w:r>
      <w:bookmarkEnd w:id="903"/>
      <w:bookmarkEnd w:id="904"/>
      <w:bookmarkEnd w:id="905"/>
    </w:p>
    <w:p w14:paraId="12A654A3">
      <w:pPr>
        <w:spacing w:line="560" w:lineRule="exact"/>
        <w:ind w:firstLine="480" w:firstLineChars="200"/>
        <w:rPr>
          <w:rFonts w:ascii="仿宋" w:hAnsi="仿宋" w:eastAsia="仿宋" w:cs="仿宋"/>
          <w:sz w:val="24"/>
        </w:rPr>
      </w:pPr>
      <w:r>
        <w:rPr>
          <w:rFonts w:hint="eastAsia" w:ascii="仿宋" w:hAnsi="仿宋" w:eastAsia="仿宋" w:cs="仿宋"/>
          <w:sz w:val="24"/>
        </w:rPr>
        <w:t>本合同总价为：￥</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元人民币）。</w:t>
      </w:r>
    </w:p>
    <w:p w14:paraId="04DF6DF0">
      <w:pPr>
        <w:spacing w:line="560" w:lineRule="exact"/>
        <w:ind w:firstLine="480" w:firstLineChars="200"/>
        <w:rPr>
          <w:rFonts w:ascii="仿宋" w:hAnsi="仿宋" w:eastAsia="仿宋" w:cs="仿宋"/>
          <w:sz w:val="24"/>
          <w:u w:val="single"/>
        </w:rPr>
      </w:pPr>
      <w:r>
        <w:rPr>
          <w:rFonts w:hint="eastAsia" w:ascii="仿宋" w:hAnsi="仿宋" w:eastAsia="仿宋" w:cs="仿宋"/>
          <w:sz w:val="24"/>
        </w:rPr>
        <w:t>分项价格：</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570B4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E89D400">
            <w:pPr>
              <w:pStyle w:val="81"/>
              <w:spacing w:line="560" w:lineRule="exact"/>
              <w:jc w:val="center"/>
              <w:rPr>
                <w:rFonts w:ascii="仿宋" w:hAnsi="仿宋" w:eastAsia="仿宋" w:cs="仿宋"/>
                <w:kern w:val="2"/>
                <w:sz w:val="24"/>
                <w:szCs w:val="24"/>
              </w:rPr>
            </w:pPr>
            <w:r>
              <w:rPr>
                <w:rFonts w:hint="eastAsia" w:ascii="仿宋" w:hAnsi="仿宋" w:eastAsia="仿宋" w:cs="仿宋"/>
                <w:kern w:val="2"/>
                <w:sz w:val="24"/>
                <w:szCs w:val="24"/>
              </w:rPr>
              <w:t>序号</w:t>
            </w:r>
          </w:p>
        </w:tc>
        <w:tc>
          <w:tcPr>
            <w:tcW w:w="3402" w:type="dxa"/>
            <w:vAlign w:val="center"/>
          </w:tcPr>
          <w:p w14:paraId="4FCBFB3F">
            <w:pPr>
              <w:pStyle w:val="81"/>
              <w:spacing w:line="560" w:lineRule="exact"/>
              <w:ind w:firstLine="200"/>
              <w:jc w:val="center"/>
              <w:rPr>
                <w:rFonts w:ascii="仿宋" w:hAnsi="仿宋" w:eastAsia="仿宋" w:cs="仿宋"/>
                <w:kern w:val="2"/>
                <w:sz w:val="24"/>
                <w:szCs w:val="24"/>
              </w:rPr>
            </w:pPr>
            <w:r>
              <w:rPr>
                <w:rFonts w:hint="eastAsia" w:ascii="仿宋" w:hAnsi="仿宋" w:eastAsia="仿宋" w:cs="仿宋"/>
                <w:kern w:val="2"/>
                <w:sz w:val="24"/>
                <w:szCs w:val="24"/>
              </w:rPr>
              <w:t>分项名称</w:t>
            </w:r>
          </w:p>
        </w:tc>
        <w:tc>
          <w:tcPr>
            <w:tcW w:w="2552" w:type="dxa"/>
            <w:vAlign w:val="center"/>
          </w:tcPr>
          <w:p w14:paraId="0D620FE5">
            <w:pPr>
              <w:pStyle w:val="81"/>
              <w:spacing w:line="560" w:lineRule="exact"/>
              <w:jc w:val="center"/>
              <w:rPr>
                <w:rFonts w:ascii="仿宋" w:hAnsi="仿宋" w:eastAsia="仿宋" w:cs="仿宋"/>
                <w:kern w:val="2"/>
                <w:sz w:val="24"/>
                <w:szCs w:val="24"/>
              </w:rPr>
            </w:pPr>
            <w:r>
              <w:rPr>
                <w:rFonts w:hint="eastAsia" w:ascii="仿宋" w:hAnsi="仿宋" w:eastAsia="仿宋" w:cs="仿宋"/>
                <w:kern w:val="2"/>
                <w:sz w:val="24"/>
                <w:szCs w:val="24"/>
              </w:rPr>
              <w:t>分项价格</w:t>
            </w:r>
          </w:p>
        </w:tc>
      </w:tr>
      <w:tr w14:paraId="6447E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7A7060C">
            <w:pPr>
              <w:pStyle w:val="81"/>
              <w:spacing w:line="560" w:lineRule="exact"/>
              <w:ind w:firstLine="200"/>
              <w:jc w:val="center"/>
              <w:rPr>
                <w:rFonts w:ascii="仿宋" w:hAnsi="仿宋" w:eastAsia="仿宋" w:cs="仿宋"/>
                <w:kern w:val="2"/>
                <w:sz w:val="24"/>
                <w:szCs w:val="24"/>
              </w:rPr>
            </w:pPr>
          </w:p>
        </w:tc>
        <w:tc>
          <w:tcPr>
            <w:tcW w:w="3402" w:type="dxa"/>
            <w:vAlign w:val="center"/>
          </w:tcPr>
          <w:p w14:paraId="16DEDCBF">
            <w:pPr>
              <w:pStyle w:val="81"/>
              <w:spacing w:line="560" w:lineRule="exact"/>
              <w:ind w:firstLine="200"/>
              <w:jc w:val="center"/>
              <w:rPr>
                <w:rFonts w:ascii="仿宋" w:hAnsi="仿宋" w:eastAsia="仿宋" w:cs="仿宋"/>
                <w:kern w:val="2"/>
                <w:sz w:val="24"/>
                <w:szCs w:val="24"/>
              </w:rPr>
            </w:pPr>
          </w:p>
        </w:tc>
        <w:tc>
          <w:tcPr>
            <w:tcW w:w="2552" w:type="dxa"/>
            <w:vAlign w:val="center"/>
          </w:tcPr>
          <w:p w14:paraId="2CAC8504">
            <w:pPr>
              <w:pStyle w:val="81"/>
              <w:spacing w:line="560" w:lineRule="exact"/>
              <w:ind w:firstLine="200"/>
              <w:jc w:val="center"/>
              <w:rPr>
                <w:rFonts w:ascii="仿宋" w:hAnsi="仿宋" w:eastAsia="仿宋" w:cs="仿宋"/>
                <w:kern w:val="2"/>
                <w:sz w:val="24"/>
                <w:szCs w:val="24"/>
              </w:rPr>
            </w:pPr>
          </w:p>
        </w:tc>
      </w:tr>
      <w:tr w14:paraId="1338BA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153076B">
            <w:pPr>
              <w:pStyle w:val="81"/>
              <w:spacing w:line="560" w:lineRule="exact"/>
              <w:ind w:firstLine="200"/>
              <w:jc w:val="center"/>
              <w:rPr>
                <w:rFonts w:ascii="仿宋" w:hAnsi="仿宋" w:eastAsia="仿宋" w:cs="仿宋"/>
                <w:kern w:val="2"/>
                <w:sz w:val="24"/>
                <w:szCs w:val="24"/>
              </w:rPr>
            </w:pPr>
          </w:p>
        </w:tc>
        <w:tc>
          <w:tcPr>
            <w:tcW w:w="3402" w:type="dxa"/>
            <w:vAlign w:val="center"/>
          </w:tcPr>
          <w:p w14:paraId="38F2F9E4">
            <w:pPr>
              <w:pStyle w:val="81"/>
              <w:spacing w:line="560" w:lineRule="exact"/>
              <w:ind w:firstLine="200"/>
              <w:jc w:val="center"/>
              <w:rPr>
                <w:rFonts w:ascii="仿宋" w:hAnsi="仿宋" w:eastAsia="仿宋" w:cs="仿宋"/>
                <w:kern w:val="2"/>
                <w:sz w:val="24"/>
                <w:szCs w:val="24"/>
              </w:rPr>
            </w:pPr>
          </w:p>
        </w:tc>
        <w:tc>
          <w:tcPr>
            <w:tcW w:w="2552" w:type="dxa"/>
            <w:vAlign w:val="center"/>
          </w:tcPr>
          <w:p w14:paraId="185EC898">
            <w:pPr>
              <w:pStyle w:val="81"/>
              <w:spacing w:line="560" w:lineRule="exact"/>
              <w:ind w:firstLine="200"/>
              <w:jc w:val="center"/>
              <w:rPr>
                <w:rFonts w:ascii="仿宋" w:hAnsi="仿宋" w:eastAsia="仿宋" w:cs="仿宋"/>
                <w:kern w:val="2"/>
                <w:sz w:val="24"/>
                <w:szCs w:val="24"/>
              </w:rPr>
            </w:pPr>
          </w:p>
        </w:tc>
      </w:tr>
      <w:tr w14:paraId="216D8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95C653A">
            <w:pPr>
              <w:pStyle w:val="81"/>
              <w:spacing w:line="560" w:lineRule="exact"/>
              <w:ind w:firstLine="200"/>
              <w:jc w:val="center"/>
              <w:rPr>
                <w:rFonts w:ascii="仿宋" w:hAnsi="仿宋" w:eastAsia="仿宋" w:cs="仿宋"/>
                <w:kern w:val="2"/>
                <w:sz w:val="24"/>
                <w:szCs w:val="24"/>
              </w:rPr>
            </w:pPr>
          </w:p>
        </w:tc>
        <w:tc>
          <w:tcPr>
            <w:tcW w:w="3402" w:type="dxa"/>
            <w:vAlign w:val="center"/>
          </w:tcPr>
          <w:p w14:paraId="4D136BDC">
            <w:pPr>
              <w:pStyle w:val="81"/>
              <w:spacing w:line="560" w:lineRule="exact"/>
              <w:ind w:firstLine="200"/>
              <w:jc w:val="center"/>
              <w:rPr>
                <w:rFonts w:ascii="仿宋" w:hAnsi="仿宋" w:eastAsia="仿宋" w:cs="仿宋"/>
                <w:kern w:val="2"/>
                <w:sz w:val="24"/>
                <w:szCs w:val="24"/>
              </w:rPr>
            </w:pPr>
          </w:p>
        </w:tc>
        <w:tc>
          <w:tcPr>
            <w:tcW w:w="2552" w:type="dxa"/>
            <w:vAlign w:val="center"/>
          </w:tcPr>
          <w:p w14:paraId="3DFBAE97">
            <w:pPr>
              <w:pStyle w:val="81"/>
              <w:spacing w:line="560" w:lineRule="exact"/>
              <w:ind w:firstLine="200"/>
              <w:jc w:val="center"/>
              <w:rPr>
                <w:rFonts w:ascii="仿宋" w:hAnsi="仿宋" w:eastAsia="仿宋" w:cs="仿宋"/>
                <w:kern w:val="2"/>
                <w:sz w:val="24"/>
                <w:szCs w:val="24"/>
              </w:rPr>
            </w:pPr>
          </w:p>
        </w:tc>
      </w:tr>
      <w:tr w14:paraId="49A7D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B3444ED">
            <w:pPr>
              <w:pStyle w:val="81"/>
              <w:spacing w:line="560" w:lineRule="exact"/>
              <w:ind w:firstLine="200"/>
              <w:jc w:val="center"/>
              <w:rPr>
                <w:rFonts w:ascii="仿宋" w:hAnsi="仿宋" w:eastAsia="仿宋" w:cs="仿宋"/>
                <w:kern w:val="2"/>
                <w:sz w:val="24"/>
                <w:szCs w:val="24"/>
              </w:rPr>
            </w:pPr>
          </w:p>
        </w:tc>
        <w:tc>
          <w:tcPr>
            <w:tcW w:w="3402" w:type="dxa"/>
            <w:vAlign w:val="center"/>
          </w:tcPr>
          <w:p w14:paraId="3B7552CB">
            <w:pPr>
              <w:pStyle w:val="81"/>
              <w:spacing w:line="560" w:lineRule="exact"/>
              <w:ind w:firstLine="200"/>
              <w:jc w:val="center"/>
              <w:rPr>
                <w:rFonts w:ascii="仿宋" w:hAnsi="仿宋" w:eastAsia="仿宋" w:cs="仿宋"/>
                <w:kern w:val="2"/>
                <w:sz w:val="24"/>
                <w:szCs w:val="24"/>
              </w:rPr>
            </w:pPr>
          </w:p>
        </w:tc>
        <w:tc>
          <w:tcPr>
            <w:tcW w:w="2552" w:type="dxa"/>
            <w:vAlign w:val="center"/>
          </w:tcPr>
          <w:p w14:paraId="238892FD">
            <w:pPr>
              <w:pStyle w:val="81"/>
              <w:spacing w:line="560" w:lineRule="exact"/>
              <w:ind w:firstLine="200"/>
              <w:jc w:val="center"/>
              <w:rPr>
                <w:rFonts w:ascii="仿宋" w:hAnsi="仿宋" w:eastAsia="仿宋" w:cs="仿宋"/>
                <w:kern w:val="2"/>
                <w:sz w:val="24"/>
                <w:szCs w:val="24"/>
              </w:rPr>
            </w:pPr>
          </w:p>
        </w:tc>
      </w:tr>
      <w:tr w14:paraId="5C9A3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448BFA46">
            <w:pPr>
              <w:pStyle w:val="81"/>
              <w:spacing w:line="560" w:lineRule="exact"/>
              <w:ind w:firstLine="200"/>
              <w:jc w:val="center"/>
              <w:rPr>
                <w:rFonts w:ascii="仿宋" w:hAnsi="仿宋" w:eastAsia="仿宋" w:cs="仿宋"/>
                <w:kern w:val="2"/>
                <w:sz w:val="24"/>
                <w:szCs w:val="24"/>
              </w:rPr>
            </w:pPr>
            <w:r>
              <w:rPr>
                <w:rFonts w:hint="eastAsia" w:ascii="仿宋" w:hAnsi="仿宋" w:eastAsia="仿宋" w:cs="仿宋"/>
                <w:kern w:val="2"/>
                <w:sz w:val="24"/>
                <w:szCs w:val="24"/>
              </w:rPr>
              <w:t>总价</w:t>
            </w:r>
          </w:p>
        </w:tc>
        <w:tc>
          <w:tcPr>
            <w:tcW w:w="2552" w:type="dxa"/>
            <w:vAlign w:val="center"/>
          </w:tcPr>
          <w:p w14:paraId="48D107DD">
            <w:pPr>
              <w:pStyle w:val="81"/>
              <w:spacing w:line="560" w:lineRule="exact"/>
              <w:ind w:firstLine="200"/>
              <w:jc w:val="center"/>
              <w:rPr>
                <w:rFonts w:ascii="仿宋" w:hAnsi="仿宋" w:eastAsia="仿宋" w:cs="仿宋"/>
                <w:kern w:val="2"/>
                <w:sz w:val="24"/>
                <w:szCs w:val="24"/>
              </w:rPr>
            </w:pPr>
          </w:p>
        </w:tc>
      </w:tr>
    </w:tbl>
    <w:p w14:paraId="732ED1FA">
      <w:pPr>
        <w:spacing w:line="560" w:lineRule="exact"/>
        <w:ind w:firstLine="482" w:firstLineChars="200"/>
        <w:rPr>
          <w:rFonts w:ascii="仿宋" w:hAnsi="仿宋" w:eastAsia="仿宋" w:cs="仿宋"/>
          <w:b/>
          <w:sz w:val="24"/>
        </w:rPr>
      </w:pPr>
      <w:bookmarkStart w:id="906" w:name="_Toc1814"/>
      <w:bookmarkStart w:id="907" w:name="_Toc10340"/>
      <w:bookmarkStart w:id="908" w:name="_Toc22618"/>
      <w:r>
        <w:rPr>
          <w:rFonts w:hint="eastAsia" w:ascii="仿宋" w:hAnsi="仿宋" w:eastAsia="仿宋" w:cs="仿宋"/>
          <w:b/>
          <w:sz w:val="24"/>
        </w:rPr>
        <w:t>1.4 付款方式和发票开具方式</w:t>
      </w:r>
      <w:bookmarkEnd w:id="906"/>
      <w:bookmarkEnd w:id="907"/>
      <w:bookmarkEnd w:id="908"/>
    </w:p>
    <w:p w14:paraId="11E877D9">
      <w:pPr>
        <w:spacing w:line="560" w:lineRule="exact"/>
        <w:ind w:firstLine="480" w:firstLineChars="200"/>
        <w:rPr>
          <w:rFonts w:ascii="仿宋" w:hAnsi="仿宋" w:eastAsia="仿宋" w:cs="仿宋"/>
          <w:sz w:val="24"/>
        </w:rPr>
      </w:pPr>
      <w:r>
        <w:rPr>
          <w:rFonts w:hint="eastAsia" w:ascii="仿宋" w:hAnsi="仿宋" w:eastAsia="仿宋" w:cs="仿宋"/>
          <w:sz w:val="24"/>
        </w:rPr>
        <w:t>1.4.1 付款方式：</w:t>
      </w:r>
      <w:r>
        <w:rPr>
          <w:rFonts w:hint="eastAsia" w:ascii="仿宋" w:hAnsi="仿宋" w:eastAsia="仿宋" w:cs="仿宋"/>
          <w:sz w:val="24"/>
          <w:u w:val="single"/>
        </w:rPr>
        <w:t xml:space="preserve">                                                </w:t>
      </w:r>
      <w:r>
        <w:rPr>
          <w:rFonts w:hint="eastAsia" w:ascii="仿宋" w:hAnsi="仿宋" w:eastAsia="仿宋" w:cs="仿宋"/>
          <w:sz w:val="24"/>
        </w:rPr>
        <w:t>；</w:t>
      </w:r>
    </w:p>
    <w:p w14:paraId="59659B2F">
      <w:pPr>
        <w:spacing w:line="560" w:lineRule="exact"/>
        <w:ind w:firstLine="480" w:firstLineChars="200"/>
        <w:rPr>
          <w:rFonts w:ascii="仿宋" w:hAnsi="仿宋" w:eastAsia="仿宋" w:cs="仿宋"/>
          <w:sz w:val="24"/>
        </w:rPr>
      </w:pPr>
      <w:r>
        <w:rPr>
          <w:rFonts w:hint="eastAsia" w:ascii="仿宋" w:hAnsi="仿宋" w:eastAsia="仿宋" w:cs="仿宋"/>
          <w:sz w:val="24"/>
        </w:rPr>
        <w:t>1.4.2 发票开具方式：</w:t>
      </w:r>
      <w:r>
        <w:rPr>
          <w:rFonts w:hint="eastAsia" w:ascii="仿宋" w:hAnsi="仿宋" w:eastAsia="仿宋" w:cs="仿宋"/>
          <w:sz w:val="24"/>
          <w:u w:val="single"/>
        </w:rPr>
        <w:t xml:space="preserve">                                            </w:t>
      </w:r>
      <w:r>
        <w:rPr>
          <w:rFonts w:hint="eastAsia" w:ascii="仿宋" w:hAnsi="仿宋" w:eastAsia="仿宋" w:cs="仿宋"/>
          <w:sz w:val="24"/>
        </w:rPr>
        <w:t>。</w:t>
      </w:r>
    </w:p>
    <w:p w14:paraId="4C0B419A">
      <w:pPr>
        <w:spacing w:line="560" w:lineRule="exact"/>
        <w:ind w:firstLine="482" w:firstLineChars="200"/>
        <w:rPr>
          <w:rFonts w:ascii="仿宋" w:hAnsi="仿宋" w:eastAsia="仿宋" w:cs="仿宋"/>
          <w:b/>
          <w:sz w:val="24"/>
        </w:rPr>
      </w:pPr>
      <w:bookmarkStart w:id="909" w:name="_Toc32071"/>
      <w:bookmarkStart w:id="910" w:name="_Toc19304"/>
      <w:bookmarkStart w:id="911" w:name="_Toc2846"/>
      <w:r>
        <w:rPr>
          <w:rFonts w:hint="eastAsia" w:ascii="仿宋" w:hAnsi="仿宋" w:eastAsia="仿宋" w:cs="仿宋"/>
          <w:b/>
          <w:sz w:val="24"/>
        </w:rPr>
        <w:t>1.5 货物交付期限、地点和方式</w:t>
      </w:r>
      <w:bookmarkEnd w:id="909"/>
      <w:bookmarkEnd w:id="910"/>
      <w:bookmarkEnd w:id="911"/>
    </w:p>
    <w:p w14:paraId="4E65DE91">
      <w:pPr>
        <w:spacing w:line="560" w:lineRule="exact"/>
        <w:ind w:firstLine="480" w:firstLineChars="200"/>
        <w:rPr>
          <w:rFonts w:ascii="仿宋" w:hAnsi="仿宋" w:eastAsia="仿宋" w:cs="仿宋"/>
          <w:sz w:val="24"/>
          <w:u w:val="single"/>
        </w:rPr>
      </w:pPr>
      <w:r>
        <w:rPr>
          <w:rFonts w:hint="eastAsia" w:ascii="仿宋" w:hAnsi="仿宋" w:eastAsia="仿宋" w:cs="仿宋"/>
          <w:sz w:val="24"/>
        </w:rPr>
        <w:t>1.5.1 交付期限：</w:t>
      </w:r>
      <w:r>
        <w:rPr>
          <w:rFonts w:hint="eastAsia" w:ascii="仿宋" w:hAnsi="仿宋" w:eastAsia="仿宋" w:cs="仿宋"/>
          <w:sz w:val="24"/>
          <w:u w:val="single"/>
        </w:rPr>
        <w:t xml:space="preserve">                                                </w:t>
      </w:r>
      <w:r>
        <w:rPr>
          <w:rFonts w:hint="eastAsia" w:ascii="仿宋" w:hAnsi="仿宋" w:eastAsia="仿宋" w:cs="仿宋"/>
          <w:sz w:val="24"/>
        </w:rPr>
        <w:t>；</w:t>
      </w:r>
    </w:p>
    <w:p w14:paraId="58FA2DC5">
      <w:pPr>
        <w:spacing w:line="560" w:lineRule="exact"/>
        <w:ind w:firstLine="480" w:firstLineChars="200"/>
        <w:rPr>
          <w:rFonts w:ascii="仿宋" w:hAnsi="仿宋" w:eastAsia="仿宋" w:cs="仿宋"/>
          <w:sz w:val="24"/>
        </w:rPr>
      </w:pPr>
      <w:r>
        <w:rPr>
          <w:rFonts w:hint="eastAsia" w:ascii="仿宋" w:hAnsi="仿宋" w:eastAsia="仿宋" w:cs="仿宋"/>
          <w:sz w:val="24"/>
        </w:rPr>
        <w:t>1.5.2 交付地点：</w:t>
      </w:r>
      <w:r>
        <w:rPr>
          <w:rFonts w:hint="eastAsia" w:ascii="仿宋" w:hAnsi="仿宋" w:eastAsia="仿宋" w:cs="仿宋"/>
          <w:sz w:val="24"/>
          <w:u w:val="single"/>
        </w:rPr>
        <w:t xml:space="preserve">                                                </w:t>
      </w:r>
      <w:r>
        <w:rPr>
          <w:rFonts w:hint="eastAsia" w:ascii="仿宋" w:hAnsi="仿宋" w:eastAsia="仿宋" w:cs="仿宋"/>
          <w:sz w:val="24"/>
        </w:rPr>
        <w:t>；</w:t>
      </w:r>
    </w:p>
    <w:p w14:paraId="5042369A">
      <w:pPr>
        <w:spacing w:line="560" w:lineRule="exact"/>
        <w:ind w:firstLine="480" w:firstLineChars="200"/>
        <w:rPr>
          <w:rFonts w:ascii="仿宋" w:hAnsi="仿宋" w:eastAsia="仿宋" w:cs="仿宋"/>
          <w:sz w:val="24"/>
        </w:rPr>
      </w:pPr>
      <w:r>
        <w:rPr>
          <w:rFonts w:hint="eastAsia" w:ascii="仿宋" w:hAnsi="仿宋" w:eastAsia="仿宋" w:cs="仿宋"/>
          <w:sz w:val="24"/>
        </w:rPr>
        <w:t>1.5.3 交付方式：</w:t>
      </w:r>
      <w:r>
        <w:rPr>
          <w:rFonts w:hint="eastAsia" w:ascii="仿宋" w:hAnsi="仿宋" w:eastAsia="仿宋" w:cs="仿宋"/>
          <w:sz w:val="24"/>
          <w:u w:val="single"/>
        </w:rPr>
        <w:t xml:space="preserve">　　　　　　　　　                      　      </w:t>
      </w:r>
      <w:r>
        <w:rPr>
          <w:rFonts w:hint="eastAsia" w:ascii="仿宋" w:hAnsi="仿宋" w:eastAsia="仿宋" w:cs="仿宋"/>
          <w:sz w:val="24"/>
        </w:rPr>
        <w:t>。</w:t>
      </w:r>
    </w:p>
    <w:p w14:paraId="3BA7F410">
      <w:pPr>
        <w:spacing w:line="560" w:lineRule="exact"/>
        <w:ind w:firstLine="482" w:firstLineChars="200"/>
        <w:rPr>
          <w:rFonts w:ascii="仿宋" w:hAnsi="仿宋" w:eastAsia="仿宋" w:cs="仿宋"/>
          <w:b/>
          <w:sz w:val="24"/>
        </w:rPr>
      </w:pPr>
      <w:bookmarkStart w:id="912" w:name="_Toc21423"/>
      <w:bookmarkStart w:id="913" w:name="_Toc19554"/>
      <w:bookmarkStart w:id="914" w:name="_Toc27250"/>
      <w:r>
        <w:rPr>
          <w:rFonts w:hint="eastAsia" w:ascii="仿宋" w:hAnsi="仿宋" w:eastAsia="仿宋" w:cs="仿宋"/>
          <w:b/>
          <w:sz w:val="24"/>
        </w:rPr>
        <w:t>1.6 违约责任</w:t>
      </w:r>
      <w:bookmarkEnd w:id="912"/>
      <w:bookmarkEnd w:id="913"/>
      <w:bookmarkEnd w:id="914"/>
    </w:p>
    <w:p w14:paraId="42B75D21">
      <w:pPr>
        <w:spacing w:line="560" w:lineRule="exact"/>
        <w:ind w:firstLine="480" w:firstLineChars="200"/>
        <w:rPr>
          <w:rFonts w:ascii="仿宋" w:hAnsi="仿宋" w:eastAsia="仿宋" w:cs="仿宋"/>
          <w:sz w:val="24"/>
        </w:rPr>
      </w:pPr>
      <w:r>
        <w:rPr>
          <w:rFonts w:hint="eastAsia" w:ascii="仿宋" w:hAnsi="仿宋" w:eastAsia="仿宋" w:cs="仿宋"/>
          <w:sz w:val="24"/>
        </w:rPr>
        <w:t>1.6.1 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w:t>
      </w:r>
      <w:r>
        <w:rPr>
          <w:rFonts w:hint="eastAsia" w:ascii="仿宋" w:hAnsi="仿宋" w:eastAsia="仿宋" w:cs="仿宋"/>
          <w:sz w:val="24"/>
        </w:rPr>
        <w:t>%；迟延交付货物的违约金计算数额达到前述最高限额之日起，甲方有权在要求乙方支付违约金的同时，书面通知乙方解除本合同；</w:t>
      </w:r>
    </w:p>
    <w:p w14:paraId="7E6B9723">
      <w:pPr>
        <w:spacing w:line="560" w:lineRule="exact"/>
        <w:ind w:firstLine="480" w:firstLineChars="200"/>
        <w:rPr>
          <w:rFonts w:ascii="仿宋" w:hAnsi="仿宋" w:eastAsia="仿宋" w:cs="仿宋"/>
          <w:sz w:val="24"/>
        </w:rPr>
      </w:pPr>
      <w:r>
        <w:rPr>
          <w:rFonts w:hint="eastAsia" w:ascii="仿宋" w:hAnsi="仿宋" w:eastAsia="仿宋" w:cs="仿宋"/>
          <w:sz w:val="24"/>
        </w:rPr>
        <w:t>1.6.2 除不可抗力外，如果甲方没有按照本合同约定的付款方式付款，那么乙方可要求甲方支付违约金，违约金按每迟延付款一日的应付而未付款的</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w:t>
      </w:r>
      <w:r>
        <w:rPr>
          <w:rFonts w:hint="eastAsia" w:ascii="仿宋" w:hAnsi="仿宋" w:eastAsia="仿宋" w:cs="仿宋"/>
          <w:sz w:val="24"/>
        </w:rPr>
        <w:t>%；迟延付款的违约金计算数额达到前述最高限额之日起，乙方有权在要求甲方支付违约金的同时，书面通知甲方解除本合同；</w:t>
      </w:r>
    </w:p>
    <w:p w14:paraId="5192BE78">
      <w:pPr>
        <w:spacing w:line="560" w:lineRule="exact"/>
        <w:ind w:firstLine="480" w:firstLineChars="200"/>
        <w:rPr>
          <w:rFonts w:ascii="仿宋" w:hAnsi="仿宋" w:eastAsia="仿宋" w:cs="仿宋"/>
          <w:sz w:val="24"/>
        </w:rPr>
      </w:pPr>
      <w:r>
        <w:rPr>
          <w:rFonts w:hint="eastAsia" w:ascii="仿宋" w:hAnsi="仿宋" w:eastAsia="仿宋" w:cs="仿宋"/>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6FE1EE5">
      <w:pPr>
        <w:spacing w:line="560" w:lineRule="exact"/>
        <w:ind w:firstLine="480" w:firstLineChars="200"/>
        <w:rPr>
          <w:rFonts w:ascii="仿宋" w:hAnsi="仿宋" w:eastAsia="仿宋" w:cs="仿宋"/>
          <w:sz w:val="24"/>
        </w:rPr>
      </w:pPr>
      <w:r>
        <w:rPr>
          <w:rFonts w:hint="eastAsia" w:ascii="仿宋" w:hAnsi="仿宋" w:eastAsia="仿宋" w:cs="仿宋"/>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54DF6F9D">
      <w:pPr>
        <w:spacing w:line="560" w:lineRule="exact"/>
        <w:ind w:firstLine="480" w:firstLineChars="200"/>
        <w:rPr>
          <w:rFonts w:ascii="仿宋" w:hAnsi="仿宋" w:eastAsia="仿宋" w:cs="仿宋"/>
          <w:sz w:val="24"/>
        </w:rPr>
      </w:pPr>
      <w:r>
        <w:rPr>
          <w:rFonts w:hint="eastAsia" w:ascii="仿宋" w:hAnsi="仿宋" w:eastAsia="仿宋" w:cs="仿宋"/>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11C7DFA8">
      <w:pPr>
        <w:spacing w:line="560" w:lineRule="exact"/>
        <w:ind w:firstLine="480" w:firstLineChars="200"/>
        <w:rPr>
          <w:rFonts w:ascii="仿宋" w:hAnsi="仿宋" w:eastAsia="仿宋" w:cs="仿宋"/>
          <w:sz w:val="24"/>
        </w:rPr>
      </w:pPr>
      <w:r>
        <w:rPr>
          <w:rFonts w:hint="eastAsia" w:ascii="仿宋" w:hAnsi="仿宋" w:eastAsia="仿宋" w:cs="仿宋"/>
          <w:sz w:val="24"/>
        </w:rPr>
        <w:t>1.6.6 如果出现政府采购监督管理部门在处理投诉事项期间，书面通知甲方暂停采购活动的情形，或者询问或质疑事项可能影响中标结果的，导致甲方中止履行合同的情形，均不视为甲方违约。</w:t>
      </w:r>
    </w:p>
    <w:p w14:paraId="7C6C574C">
      <w:pPr>
        <w:spacing w:line="560" w:lineRule="exact"/>
        <w:ind w:firstLine="482" w:firstLineChars="200"/>
        <w:rPr>
          <w:rFonts w:ascii="仿宋" w:hAnsi="仿宋" w:eastAsia="仿宋" w:cs="仿宋"/>
          <w:b/>
          <w:sz w:val="24"/>
        </w:rPr>
      </w:pPr>
      <w:bookmarkStart w:id="915" w:name="_Toc16021"/>
      <w:bookmarkStart w:id="916" w:name="_Toc15583"/>
      <w:bookmarkStart w:id="917" w:name="_Toc28375"/>
      <w:r>
        <w:rPr>
          <w:rFonts w:hint="eastAsia" w:ascii="仿宋" w:hAnsi="仿宋" w:eastAsia="仿宋" w:cs="仿宋"/>
          <w:b/>
          <w:sz w:val="24"/>
        </w:rPr>
        <w:t>1.7 合同争议的解决</w:t>
      </w:r>
      <w:bookmarkEnd w:id="915"/>
      <w:bookmarkEnd w:id="916"/>
      <w:bookmarkEnd w:id="917"/>
    </w:p>
    <w:p w14:paraId="0C4AA965">
      <w:pPr>
        <w:spacing w:line="560" w:lineRule="exact"/>
        <w:ind w:firstLine="480" w:firstLineChars="200"/>
        <w:rPr>
          <w:rFonts w:ascii="仿宋" w:hAnsi="仿宋" w:eastAsia="仿宋" w:cs="仿宋"/>
          <w:sz w:val="24"/>
        </w:rPr>
      </w:pPr>
      <w:r>
        <w:rPr>
          <w:rFonts w:hint="eastAsia" w:ascii="仿宋" w:hAnsi="仿宋" w:eastAsia="仿宋" w:cs="仿宋"/>
          <w:sz w:val="24"/>
        </w:rPr>
        <w:t>本合同履行过程中发生的任何争议，双方当事人均可通过和解或者调解解决；不愿和解、调解或者和解、调解不成的，可以选择下列第</w:t>
      </w:r>
      <w:r>
        <w:rPr>
          <w:rFonts w:hint="eastAsia" w:ascii="仿宋" w:hAnsi="仿宋" w:eastAsia="仿宋" w:cs="仿宋"/>
          <w:sz w:val="24"/>
          <w:u w:val="single"/>
        </w:rPr>
        <w:t xml:space="preserve">    </w:t>
      </w:r>
      <w:r>
        <w:rPr>
          <w:rFonts w:hint="eastAsia" w:ascii="仿宋" w:hAnsi="仿宋" w:eastAsia="仿宋" w:cs="仿宋"/>
          <w:sz w:val="24"/>
        </w:rPr>
        <w:t>种方式解决：</w:t>
      </w:r>
    </w:p>
    <w:p w14:paraId="1C1D05A3">
      <w:pPr>
        <w:spacing w:line="560" w:lineRule="exact"/>
        <w:ind w:firstLine="480" w:firstLineChars="200"/>
        <w:rPr>
          <w:rFonts w:ascii="仿宋" w:hAnsi="仿宋" w:eastAsia="仿宋" w:cs="仿宋"/>
          <w:sz w:val="24"/>
        </w:rPr>
      </w:pPr>
      <w:r>
        <w:rPr>
          <w:rFonts w:hint="eastAsia" w:ascii="仿宋" w:hAnsi="仿宋" w:eastAsia="仿宋" w:cs="仿宋"/>
          <w:sz w:val="24"/>
        </w:rPr>
        <w:t>1.7.1 将争议提交</w:t>
      </w:r>
      <w:r>
        <w:rPr>
          <w:rFonts w:hint="eastAsia" w:ascii="仿宋" w:hAnsi="仿宋" w:eastAsia="仿宋" w:cs="仿宋"/>
          <w:sz w:val="24"/>
          <w:u w:val="single"/>
        </w:rPr>
        <w:t xml:space="preserve">              </w:t>
      </w:r>
      <w:r>
        <w:rPr>
          <w:rFonts w:hint="eastAsia" w:ascii="仿宋" w:hAnsi="仿宋" w:eastAsia="仿宋" w:cs="仿宋"/>
          <w:sz w:val="24"/>
        </w:rPr>
        <w:t>仲裁委员会依申请仲裁时其现行有效的仲裁规则裁决；</w:t>
      </w:r>
    </w:p>
    <w:p w14:paraId="4BCD9C77">
      <w:pPr>
        <w:spacing w:line="560" w:lineRule="exact"/>
        <w:ind w:firstLine="480" w:firstLineChars="200"/>
        <w:rPr>
          <w:rFonts w:ascii="仿宋" w:hAnsi="仿宋" w:eastAsia="仿宋" w:cs="仿宋"/>
          <w:sz w:val="24"/>
        </w:rPr>
      </w:pPr>
      <w:r>
        <w:rPr>
          <w:rFonts w:hint="eastAsia" w:ascii="仿宋" w:hAnsi="仿宋" w:eastAsia="仿宋" w:cs="仿宋"/>
          <w:sz w:val="24"/>
        </w:rPr>
        <w:t>1.7.2 向</w:t>
      </w:r>
      <w:r>
        <w:rPr>
          <w:rFonts w:hint="eastAsia" w:ascii="仿宋" w:hAnsi="仿宋" w:eastAsia="仿宋" w:cs="仿宋"/>
          <w:sz w:val="24"/>
          <w:u w:val="single"/>
        </w:rPr>
        <w:t xml:space="preserve">   （被告住所地、合同履行地、合同签订地、原告住所地、标的物所在地等与争议有实际联系的地点中选出的人民法院名称）    </w:t>
      </w:r>
      <w:r>
        <w:rPr>
          <w:rFonts w:hint="eastAsia" w:ascii="仿宋" w:hAnsi="仿宋" w:eastAsia="仿宋" w:cs="仿宋"/>
          <w:sz w:val="24"/>
        </w:rPr>
        <w:t>人民法院起诉。</w:t>
      </w:r>
    </w:p>
    <w:p w14:paraId="2F504677">
      <w:pPr>
        <w:spacing w:line="560" w:lineRule="exact"/>
        <w:ind w:firstLine="482" w:firstLineChars="200"/>
        <w:rPr>
          <w:rFonts w:ascii="仿宋" w:hAnsi="仿宋" w:eastAsia="仿宋" w:cs="仿宋"/>
          <w:b/>
          <w:sz w:val="24"/>
        </w:rPr>
      </w:pPr>
      <w:bookmarkStart w:id="918" w:name="_Toc15322"/>
      <w:bookmarkStart w:id="919" w:name="_Toc7245"/>
      <w:bookmarkStart w:id="920" w:name="_Toc11173"/>
      <w:r>
        <w:rPr>
          <w:rFonts w:hint="eastAsia" w:ascii="仿宋" w:hAnsi="仿宋" w:eastAsia="仿宋" w:cs="仿宋"/>
          <w:b/>
          <w:sz w:val="24"/>
        </w:rPr>
        <w:t>1.8 合同生效</w:t>
      </w:r>
      <w:bookmarkEnd w:id="918"/>
      <w:bookmarkEnd w:id="919"/>
      <w:bookmarkEnd w:id="920"/>
    </w:p>
    <w:p w14:paraId="43BC490F">
      <w:pPr>
        <w:spacing w:line="560" w:lineRule="exact"/>
        <w:ind w:firstLine="480" w:firstLineChars="200"/>
        <w:rPr>
          <w:rFonts w:ascii="仿宋" w:hAnsi="仿宋" w:eastAsia="仿宋" w:cs="仿宋"/>
          <w:b/>
          <w:sz w:val="24"/>
        </w:rPr>
      </w:pPr>
      <w:r>
        <w:rPr>
          <w:rFonts w:hint="eastAsia" w:ascii="仿宋" w:hAnsi="仿宋" w:eastAsia="仿宋" w:cs="仿宋"/>
          <w:sz w:val="24"/>
        </w:rPr>
        <w:t>本合同自双方当事人盖章或者签字时生效。</w:t>
      </w:r>
    </w:p>
    <w:p w14:paraId="478F1246">
      <w:pPr>
        <w:autoSpaceDE w:val="0"/>
        <w:autoSpaceDN w:val="0"/>
        <w:adjustRightInd w:val="0"/>
        <w:spacing w:line="560" w:lineRule="exact"/>
        <w:rPr>
          <w:rFonts w:ascii="仿宋" w:hAnsi="仿宋" w:eastAsia="仿宋" w:cs="仿宋"/>
          <w:sz w:val="24"/>
          <w:lang w:val="zh-CN"/>
        </w:rPr>
      </w:pPr>
    </w:p>
    <w:p w14:paraId="24C7270C">
      <w:pPr>
        <w:autoSpaceDE w:val="0"/>
        <w:autoSpaceDN w:val="0"/>
        <w:adjustRightInd w:val="0"/>
        <w:spacing w:line="560" w:lineRule="exact"/>
        <w:rPr>
          <w:rFonts w:ascii="仿宋" w:hAnsi="仿宋" w:eastAsia="仿宋" w:cs="仿宋"/>
          <w:sz w:val="24"/>
          <w:lang w:val="zh-CN"/>
        </w:rPr>
      </w:pPr>
      <w:r>
        <w:rPr>
          <w:rFonts w:hint="eastAsia" w:ascii="仿宋" w:hAnsi="仿宋" w:eastAsia="仿宋" w:cs="仿宋"/>
          <w:b/>
          <w:sz w:val="24"/>
          <w:lang w:val="zh-CN"/>
        </w:rPr>
        <w:t>甲方</w:t>
      </w:r>
      <w:r>
        <w:rPr>
          <w:rFonts w:hint="eastAsia" w:ascii="仿宋" w:hAnsi="仿宋" w:eastAsia="仿宋" w:cs="仿宋"/>
          <w:sz w:val="24"/>
          <w:lang w:val="zh-CN"/>
        </w:rPr>
        <w:t xml:space="preserve">：                             </w:t>
      </w:r>
      <w:r>
        <w:rPr>
          <w:rFonts w:hint="eastAsia" w:ascii="仿宋" w:hAnsi="仿宋" w:eastAsia="仿宋" w:cs="仿宋"/>
          <w:b/>
          <w:sz w:val="24"/>
          <w:lang w:val="zh-CN"/>
        </w:rPr>
        <w:t xml:space="preserve">      乙方</w:t>
      </w:r>
      <w:r>
        <w:rPr>
          <w:rFonts w:hint="eastAsia" w:ascii="仿宋" w:hAnsi="仿宋" w:eastAsia="仿宋" w:cs="仿宋"/>
          <w:sz w:val="24"/>
          <w:lang w:val="zh-CN"/>
        </w:rPr>
        <w:t>：</w:t>
      </w:r>
    </w:p>
    <w:p w14:paraId="315F7601">
      <w:pPr>
        <w:autoSpaceDE w:val="0"/>
        <w:autoSpaceDN w:val="0"/>
        <w:adjustRightInd w:val="0"/>
        <w:spacing w:line="560" w:lineRule="exact"/>
        <w:rPr>
          <w:rFonts w:ascii="仿宋" w:hAnsi="仿宋" w:eastAsia="仿宋" w:cs="仿宋"/>
          <w:sz w:val="24"/>
          <w:lang w:val="zh-CN"/>
        </w:rPr>
      </w:pPr>
      <w:r>
        <w:rPr>
          <w:rFonts w:hint="eastAsia" w:ascii="仿宋" w:hAnsi="仿宋" w:eastAsia="仿宋" w:cs="仿宋"/>
          <w:sz w:val="24"/>
          <w:lang w:val="zh-CN"/>
        </w:rPr>
        <w:t>统一社会信用代码：                        统一社会信用代码或身份证号码：</w:t>
      </w:r>
    </w:p>
    <w:p w14:paraId="13A876B6">
      <w:pPr>
        <w:autoSpaceDE w:val="0"/>
        <w:autoSpaceDN w:val="0"/>
        <w:adjustRightInd w:val="0"/>
        <w:spacing w:line="560" w:lineRule="exact"/>
        <w:rPr>
          <w:rFonts w:ascii="仿宋" w:hAnsi="仿宋" w:eastAsia="仿宋" w:cs="仿宋"/>
          <w:sz w:val="24"/>
          <w:lang w:val="zh-CN"/>
        </w:rPr>
      </w:pPr>
    </w:p>
    <w:p w14:paraId="1A04DBBF">
      <w:pPr>
        <w:autoSpaceDE w:val="0"/>
        <w:autoSpaceDN w:val="0"/>
        <w:adjustRightInd w:val="0"/>
        <w:spacing w:line="560" w:lineRule="exact"/>
        <w:rPr>
          <w:rFonts w:ascii="仿宋" w:hAnsi="仿宋" w:eastAsia="仿宋" w:cs="仿宋"/>
          <w:sz w:val="24"/>
          <w:lang w:val="zh-CN"/>
        </w:rPr>
      </w:pPr>
      <w:r>
        <w:rPr>
          <w:rFonts w:hint="eastAsia" w:ascii="仿宋" w:hAnsi="仿宋" w:eastAsia="仿宋" w:cs="仿宋"/>
          <w:sz w:val="24"/>
          <w:lang w:val="zh-CN"/>
        </w:rPr>
        <w:t>住所：                                   住所：</w:t>
      </w:r>
    </w:p>
    <w:p w14:paraId="5DEB98E5">
      <w:pPr>
        <w:autoSpaceDE w:val="0"/>
        <w:autoSpaceDN w:val="0"/>
        <w:adjustRightInd w:val="0"/>
        <w:spacing w:line="560" w:lineRule="exact"/>
        <w:rPr>
          <w:rFonts w:ascii="仿宋" w:hAnsi="仿宋" w:eastAsia="仿宋" w:cs="仿宋"/>
          <w:sz w:val="24"/>
          <w:lang w:val="zh-CN"/>
        </w:rPr>
      </w:pPr>
      <w:r>
        <w:rPr>
          <w:rFonts w:hint="eastAsia" w:ascii="仿宋" w:hAnsi="仿宋" w:eastAsia="仿宋" w:cs="仿宋"/>
          <w:sz w:val="24"/>
          <w:lang w:val="zh-CN"/>
        </w:rPr>
        <w:t>法定代表人或                             法定代表人</w:t>
      </w:r>
    </w:p>
    <w:p w14:paraId="64E5AD1F">
      <w:pPr>
        <w:autoSpaceDE w:val="0"/>
        <w:autoSpaceDN w:val="0"/>
        <w:adjustRightInd w:val="0"/>
        <w:spacing w:line="560" w:lineRule="exact"/>
        <w:rPr>
          <w:rFonts w:ascii="仿宋" w:hAnsi="仿宋" w:eastAsia="仿宋" w:cs="仿宋"/>
          <w:sz w:val="24"/>
          <w:lang w:val="zh-CN"/>
        </w:rPr>
      </w:pPr>
      <w:r>
        <w:rPr>
          <w:rFonts w:hint="eastAsia" w:ascii="仿宋" w:hAnsi="仿宋" w:eastAsia="仿宋" w:cs="仿宋"/>
          <w:sz w:val="24"/>
          <w:lang w:val="zh-CN"/>
        </w:rPr>
        <w:t xml:space="preserve">授权代表（签字）：                        或授权代表（签字）: </w:t>
      </w:r>
    </w:p>
    <w:p w14:paraId="2583C9C5">
      <w:pPr>
        <w:autoSpaceDE w:val="0"/>
        <w:autoSpaceDN w:val="0"/>
        <w:adjustRightInd w:val="0"/>
        <w:spacing w:line="560" w:lineRule="exact"/>
        <w:rPr>
          <w:rFonts w:ascii="仿宋" w:hAnsi="仿宋" w:eastAsia="仿宋" w:cs="仿宋"/>
          <w:sz w:val="24"/>
          <w:lang w:val="zh-CN"/>
        </w:rPr>
      </w:pPr>
      <w:r>
        <w:rPr>
          <w:rFonts w:hint="eastAsia" w:ascii="仿宋" w:hAnsi="仿宋" w:eastAsia="仿宋" w:cs="仿宋"/>
          <w:sz w:val="24"/>
          <w:lang w:val="zh-CN"/>
        </w:rPr>
        <w:t>联系人：                                 联系人：</w:t>
      </w:r>
    </w:p>
    <w:p w14:paraId="5843B2BA">
      <w:pPr>
        <w:autoSpaceDE w:val="0"/>
        <w:autoSpaceDN w:val="0"/>
        <w:adjustRightInd w:val="0"/>
        <w:spacing w:line="560" w:lineRule="exact"/>
        <w:rPr>
          <w:rFonts w:ascii="仿宋" w:hAnsi="仿宋" w:eastAsia="仿宋" w:cs="仿宋"/>
          <w:sz w:val="24"/>
          <w:lang w:val="zh-CN"/>
        </w:rPr>
      </w:pPr>
      <w:r>
        <w:rPr>
          <w:rFonts w:hint="eastAsia" w:ascii="仿宋" w:hAnsi="仿宋" w:eastAsia="仿宋" w:cs="仿宋"/>
          <w:sz w:val="24"/>
          <w:lang w:val="zh-CN"/>
        </w:rPr>
        <w:t>约定送达地址：                           约定送达地址：</w:t>
      </w:r>
    </w:p>
    <w:p w14:paraId="18DFE2EB">
      <w:pPr>
        <w:autoSpaceDE w:val="0"/>
        <w:autoSpaceDN w:val="0"/>
        <w:adjustRightInd w:val="0"/>
        <w:spacing w:line="560" w:lineRule="exact"/>
        <w:rPr>
          <w:rFonts w:ascii="仿宋" w:hAnsi="仿宋" w:eastAsia="仿宋" w:cs="仿宋"/>
          <w:sz w:val="24"/>
          <w:lang w:val="zh-CN"/>
        </w:rPr>
      </w:pPr>
      <w:r>
        <w:rPr>
          <w:rFonts w:hint="eastAsia" w:ascii="仿宋" w:hAnsi="仿宋" w:eastAsia="仿宋" w:cs="仿宋"/>
          <w:sz w:val="24"/>
          <w:lang w:val="zh-CN"/>
        </w:rPr>
        <w:t>邮政编码：                               邮政编码：</w:t>
      </w:r>
    </w:p>
    <w:p w14:paraId="144C5C42">
      <w:pPr>
        <w:autoSpaceDE w:val="0"/>
        <w:autoSpaceDN w:val="0"/>
        <w:adjustRightInd w:val="0"/>
        <w:spacing w:line="560" w:lineRule="exact"/>
        <w:rPr>
          <w:rFonts w:ascii="仿宋" w:hAnsi="仿宋" w:eastAsia="仿宋" w:cs="仿宋"/>
          <w:sz w:val="24"/>
          <w:lang w:val="zh-CN"/>
        </w:rPr>
      </w:pPr>
      <w:r>
        <w:rPr>
          <w:rFonts w:hint="eastAsia" w:ascii="仿宋" w:hAnsi="仿宋" w:eastAsia="仿宋" w:cs="仿宋"/>
          <w:sz w:val="24"/>
          <w:lang w:val="zh-CN"/>
        </w:rPr>
        <w:t xml:space="preserve">电话:                                    电话: </w:t>
      </w:r>
    </w:p>
    <w:p w14:paraId="47F924E0">
      <w:pPr>
        <w:autoSpaceDE w:val="0"/>
        <w:autoSpaceDN w:val="0"/>
        <w:adjustRightInd w:val="0"/>
        <w:spacing w:line="560" w:lineRule="exact"/>
        <w:rPr>
          <w:rFonts w:ascii="仿宋" w:hAnsi="仿宋" w:eastAsia="仿宋" w:cs="仿宋"/>
          <w:sz w:val="24"/>
          <w:lang w:val="zh-CN"/>
        </w:rPr>
      </w:pPr>
      <w:r>
        <w:rPr>
          <w:rFonts w:hint="eastAsia" w:ascii="仿宋" w:hAnsi="仿宋" w:eastAsia="仿宋" w:cs="仿宋"/>
          <w:sz w:val="24"/>
          <w:lang w:val="zh-CN"/>
        </w:rPr>
        <w:t>传真:                                    传真:</w:t>
      </w:r>
    </w:p>
    <w:p w14:paraId="415C738E">
      <w:pPr>
        <w:autoSpaceDE w:val="0"/>
        <w:autoSpaceDN w:val="0"/>
        <w:adjustRightInd w:val="0"/>
        <w:spacing w:line="560" w:lineRule="exact"/>
        <w:rPr>
          <w:rFonts w:ascii="仿宋" w:hAnsi="仿宋" w:eastAsia="仿宋" w:cs="仿宋"/>
          <w:sz w:val="24"/>
        </w:rPr>
      </w:pPr>
      <w:r>
        <w:rPr>
          <w:rFonts w:hint="eastAsia" w:ascii="仿宋" w:hAnsi="仿宋" w:eastAsia="仿宋" w:cs="仿宋"/>
          <w:sz w:val="24"/>
          <w:lang w:val="zh-CN"/>
        </w:rPr>
        <w:t>电子邮箱：                               电子邮箱：</w:t>
      </w:r>
    </w:p>
    <w:p w14:paraId="271E3247">
      <w:pPr>
        <w:autoSpaceDE w:val="0"/>
        <w:autoSpaceDN w:val="0"/>
        <w:adjustRightInd w:val="0"/>
        <w:spacing w:line="560" w:lineRule="exact"/>
        <w:rPr>
          <w:rFonts w:ascii="仿宋" w:hAnsi="仿宋" w:eastAsia="仿宋" w:cs="仿宋"/>
          <w:sz w:val="24"/>
        </w:rPr>
      </w:pPr>
      <w:r>
        <w:rPr>
          <w:rFonts w:hint="eastAsia" w:ascii="仿宋" w:hAnsi="仿宋" w:eastAsia="仿宋" w:cs="仿宋"/>
          <w:sz w:val="24"/>
        </w:rPr>
        <w:t xml:space="preserve">开户银行：                               开户银行： </w:t>
      </w:r>
    </w:p>
    <w:p w14:paraId="6B0AC6A2">
      <w:pPr>
        <w:autoSpaceDE w:val="0"/>
        <w:autoSpaceDN w:val="0"/>
        <w:adjustRightInd w:val="0"/>
        <w:spacing w:line="560" w:lineRule="exact"/>
        <w:rPr>
          <w:rFonts w:ascii="仿宋" w:hAnsi="仿宋" w:eastAsia="仿宋" w:cs="仿宋"/>
          <w:sz w:val="24"/>
        </w:rPr>
      </w:pPr>
      <w:r>
        <w:rPr>
          <w:rFonts w:hint="eastAsia" w:ascii="仿宋" w:hAnsi="仿宋" w:eastAsia="仿宋" w:cs="仿宋"/>
          <w:sz w:val="24"/>
        </w:rPr>
        <w:t xml:space="preserve">开户名称：                               开户名称： </w:t>
      </w:r>
    </w:p>
    <w:p w14:paraId="3909AF2D">
      <w:pPr>
        <w:autoSpaceDE w:val="0"/>
        <w:autoSpaceDN w:val="0"/>
        <w:adjustRightInd w:val="0"/>
        <w:spacing w:line="560" w:lineRule="exact"/>
        <w:rPr>
          <w:rFonts w:ascii="仿宋" w:hAnsi="仿宋" w:eastAsia="仿宋" w:cs="仿宋"/>
          <w:sz w:val="24"/>
        </w:rPr>
      </w:pPr>
      <w:r>
        <w:rPr>
          <w:rFonts w:hint="eastAsia" w:ascii="仿宋" w:hAnsi="仿宋" w:eastAsia="仿宋" w:cs="仿宋"/>
          <w:sz w:val="24"/>
        </w:rPr>
        <w:t>开户账号：</w:t>
      </w:r>
      <w:r>
        <w:rPr>
          <w:rFonts w:hint="eastAsia" w:ascii="仿宋" w:hAnsi="仿宋" w:eastAsia="仿宋" w:cs="仿宋"/>
          <w:sz w:val="24"/>
          <w:lang w:val="zh-CN"/>
        </w:rPr>
        <w:t xml:space="preserve">                               </w:t>
      </w:r>
      <w:r>
        <w:rPr>
          <w:rFonts w:hint="eastAsia" w:ascii="仿宋" w:hAnsi="仿宋" w:eastAsia="仿宋" w:cs="仿宋"/>
          <w:sz w:val="24"/>
        </w:rPr>
        <w:t>开户账号：</w:t>
      </w:r>
    </w:p>
    <w:p w14:paraId="1D4849F4">
      <w:pPr>
        <w:widowControl/>
        <w:spacing w:line="560" w:lineRule="exact"/>
        <w:jc w:val="left"/>
        <w:rPr>
          <w:rFonts w:ascii="仿宋" w:hAnsi="仿宋" w:eastAsia="仿宋" w:cs="仿宋"/>
          <w:b/>
        </w:rPr>
      </w:pPr>
      <w:bookmarkStart w:id="921" w:name="_Toc331685783"/>
    </w:p>
    <w:p w14:paraId="584E120D">
      <w:pPr>
        <w:widowControl/>
        <w:spacing w:line="560" w:lineRule="exact"/>
        <w:jc w:val="left"/>
        <w:rPr>
          <w:rFonts w:ascii="仿宋" w:hAnsi="仿宋" w:eastAsia="仿宋" w:cs="仿宋"/>
          <w:b/>
          <w:kern w:val="0"/>
          <w:sz w:val="24"/>
        </w:rPr>
      </w:pPr>
    </w:p>
    <w:p w14:paraId="49FE713D">
      <w:pPr>
        <w:pStyle w:val="58"/>
        <w:spacing w:line="560" w:lineRule="exact"/>
        <w:ind w:firstLine="200"/>
        <w:jc w:val="center"/>
        <w:rPr>
          <w:rFonts w:ascii="仿宋" w:hAnsi="仿宋" w:eastAsia="仿宋" w:cs="仿宋"/>
          <w:b/>
          <w:szCs w:val="24"/>
        </w:rPr>
      </w:pPr>
      <w:r>
        <w:rPr>
          <w:rFonts w:hint="eastAsia" w:ascii="仿宋" w:hAnsi="仿宋" w:eastAsia="仿宋" w:cs="仿宋"/>
          <w:b/>
          <w:szCs w:val="24"/>
        </w:rPr>
        <w:t>第二部分 合同一般条款</w:t>
      </w:r>
      <w:bookmarkEnd w:id="921"/>
    </w:p>
    <w:p w14:paraId="4BAFAF82">
      <w:pPr>
        <w:spacing w:line="560" w:lineRule="exact"/>
        <w:ind w:firstLine="482" w:firstLineChars="200"/>
        <w:rPr>
          <w:rFonts w:ascii="仿宋" w:hAnsi="仿宋" w:eastAsia="仿宋" w:cs="仿宋"/>
          <w:b/>
          <w:sz w:val="24"/>
        </w:rPr>
      </w:pPr>
      <w:bookmarkStart w:id="922" w:name="_Ref467378404"/>
      <w:bookmarkStart w:id="923" w:name="_Toc259093669"/>
      <w:bookmarkStart w:id="924" w:name="_Ref467379094"/>
      <w:bookmarkStart w:id="925" w:name="_Ref467379101"/>
      <w:bookmarkStart w:id="926" w:name="_Toc487900349"/>
      <w:bookmarkStart w:id="927" w:name="_Ref467379205"/>
      <w:bookmarkStart w:id="928" w:name="_Ref467378499"/>
      <w:bookmarkStart w:id="929" w:name="_Ref467379195"/>
      <w:bookmarkStart w:id="930" w:name="_Toc28763"/>
      <w:bookmarkStart w:id="931" w:name="_Ref467378463"/>
      <w:bookmarkStart w:id="932" w:name="_Ref467379225"/>
      <w:bookmarkStart w:id="933" w:name="_Ref467379214"/>
      <w:bookmarkStart w:id="934" w:name="_Toc19614"/>
      <w:bookmarkStart w:id="935" w:name="_Toc279701240"/>
      <w:bookmarkStart w:id="936" w:name="_Toc16917"/>
      <w:bookmarkStart w:id="937" w:name="_Ref467379109"/>
      <w:r>
        <w:rPr>
          <w:rFonts w:hint="eastAsia" w:ascii="仿宋" w:hAnsi="仿宋" w:eastAsia="仿宋" w:cs="仿宋"/>
          <w:b/>
          <w:sz w:val="24"/>
        </w:rPr>
        <w:t>2.1 定义</w:t>
      </w:r>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p>
    <w:p w14:paraId="771E0222">
      <w:pPr>
        <w:spacing w:line="560" w:lineRule="exact"/>
        <w:ind w:firstLine="480" w:firstLineChars="200"/>
        <w:rPr>
          <w:rFonts w:ascii="仿宋" w:hAnsi="仿宋" w:eastAsia="仿宋" w:cs="仿宋"/>
          <w:sz w:val="24"/>
        </w:rPr>
      </w:pPr>
      <w:r>
        <w:rPr>
          <w:rFonts w:hint="eastAsia" w:ascii="仿宋" w:hAnsi="仿宋" w:eastAsia="仿宋" w:cs="仿宋"/>
          <w:sz w:val="24"/>
        </w:rPr>
        <w:t>本合同中的下列词语应按以下内容进行解释：</w:t>
      </w:r>
    </w:p>
    <w:p w14:paraId="6D96F69C">
      <w:pPr>
        <w:spacing w:line="560" w:lineRule="exact"/>
        <w:ind w:firstLine="480" w:firstLineChars="200"/>
        <w:rPr>
          <w:rFonts w:ascii="仿宋" w:hAnsi="仿宋" w:eastAsia="仿宋" w:cs="仿宋"/>
          <w:sz w:val="24"/>
        </w:rPr>
      </w:pPr>
      <w:r>
        <w:rPr>
          <w:rFonts w:hint="eastAsia" w:ascii="仿宋" w:hAnsi="仿宋" w:eastAsia="仿宋" w:cs="仿宋"/>
          <w:sz w:val="24"/>
        </w:rPr>
        <w:t>2.1.1 “合同”系指采购人和中标人签订的载明双方当事人所达成的协议，并包括所有的附件、附录和构成合同的其他文件。</w:t>
      </w:r>
    </w:p>
    <w:p w14:paraId="53AF2068">
      <w:pPr>
        <w:spacing w:line="560" w:lineRule="exact"/>
        <w:ind w:firstLine="480" w:firstLineChars="200"/>
        <w:rPr>
          <w:rFonts w:ascii="仿宋" w:hAnsi="仿宋" w:eastAsia="仿宋" w:cs="仿宋"/>
          <w:sz w:val="24"/>
        </w:rPr>
      </w:pPr>
      <w:r>
        <w:rPr>
          <w:rFonts w:hint="eastAsia" w:ascii="仿宋" w:hAnsi="仿宋" w:eastAsia="仿宋" w:cs="仿宋"/>
          <w:sz w:val="24"/>
        </w:rPr>
        <w:t>2.1.2 “合同价”系指根据合同约定，中标人在完全履行合同义务后，采购人应支付给中标人的价格。</w:t>
      </w:r>
    </w:p>
    <w:p w14:paraId="7757E8A4">
      <w:pPr>
        <w:spacing w:line="560" w:lineRule="exact"/>
        <w:ind w:firstLine="480" w:firstLineChars="200"/>
        <w:rPr>
          <w:rFonts w:ascii="仿宋" w:hAnsi="仿宋" w:eastAsia="仿宋" w:cs="仿宋"/>
          <w:sz w:val="24"/>
        </w:rPr>
      </w:pPr>
      <w:r>
        <w:rPr>
          <w:rFonts w:hint="eastAsia" w:ascii="仿宋" w:hAnsi="仿宋" w:eastAsia="仿宋" w:cs="仿宋"/>
          <w:sz w:val="24"/>
        </w:rPr>
        <w:t>2.1.3 “货物”系指中标人根据合同约定应向采购人交付的一切各种形态和种类的物品，包括原材料、燃料、设备、机械、仪表、备件、计算机软件、产品等，并包括工具、手册等其他相关资料。</w:t>
      </w:r>
    </w:p>
    <w:p w14:paraId="4F92FB26">
      <w:pPr>
        <w:spacing w:line="560" w:lineRule="exact"/>
        <w:ind w:firstLine="480" w:firstLineChars="200"/>
        <w:rPr>
          <w:rFonts w:ascii="仿宋" w:hAnsi="仿宋" w:eastAsia="仿宋" w:cs="仿宋"/>
          <w:sz w:val="24"/>
        </w:rPr>
      </w:pPr>
      <w:bookmarkStart w:id="938" w:name="_Ref467378840"/>
      <w:r>
        <w:rPr>
          <w:rFonts w:hint="eastAsia" w:ascii="仿宋" w:hAnsi="仿宋" w:eastAsia="仿宋" w:cs="仿宋"/>
          <w:sz w:val="24"/>
        </w:rPr>
        <w:t>2.1.4 “甲方”系指与中标人签署合同的采购人</w:t>
      </w:r>
      <w:bookmarkEnd w:id="938"/>
      <w:r>
        <w:rPr>
          <w:rFonts w:hint="eastAsia" w:ascii="仿宋" w:hAnsi="仿宋" w:eastAsia="仿宋" w:cs="仿宋"/>
          <w:sz w:val="24"/>
        </w:rPr>
        <w:t>；采购人委托采购代理机构代表其与乙方签订合同的，采购人的授权委托书作为合同附件。</w:t>
      </w:r>
    </w:p>
    <w:p w14:paraId="52A6852D">
      <w:pPr>
        <w:spacing w:line="560" w:lineRule="exact"/>
        <w:ind w:firstLine="480" w:firstLineChars="200"/>
        <w:rPr>
          <w:rFonts w:ascii="仿宋" w:hAnsi="仿宋" w:eastAsia="仿宋" w:cs="仿宋"/>
          <w:sz w:val="24"/>
        </w:rPr>
      </w:pPr>
      <w:bookmarkStart w:id="939" w:name="_Ref467379400"/>
      <w:r>
        <w:rPr>
          <w:rFonts w:hint="eastAsia" w:ascii="仿宋" w:hAnsi="仿宋" w:eastAsia="仿宋" w:cs="仿宋"/>
          <w:sz w:val="24"/>
        </w:rPr>
        <w:t>2.1.5 “乙方”系指根据合同约定交付货物的</w:t>
      </w:r>
      <w:bookmarkEnd w:id="939"/>
      <w:r>
        <w:rPr>
          <w:rFonts w:hint="eastAsia" w:ascii="仿宋" w:hAnsi="仿宋" w:eastAsia="仿宋" w:cs="仿宋"/>
          <w:sz w:val="24"/>
        </w:rPr>
        <w:t>中标人；两个以上的自然人、法人或者其他组织组成一个联合体，以一个投标人的身份共同参加政府采购的，联合体各方均应为乙方或者与乙方相同地位的合同当事人，并就合同约定的事项对甲方承担连带责任。</w:t>
      </w:r>
    </w:p>
    <w:p w14:paraId="72157D86">
      <w:pPr>
        <w:spacing w:line="560" w:lineRule="exact"/>
        <w:ind w:firstLine="480" w:firstLineChars="200"/>
        <w:rPr>
          <w:rFonts w:ascii="仿宋" w:hAnsi="仿宋" w:eastAsia="仿宋" w:cs="仿宋"/>
          <w:sz w:val="24"/>
        </w:rPr>
      </w:pPr>
      <w:bookmarkStart w:id="940" w:name="_Ref467379436"/>
      <w:r>
        <w:rPr>
          <w:rFonts w:hint="eastAsia" w:ascii="仿宋" w:hAnsi="仿宋" w:eastAsia="仿宋" w:cs="仿宋"/>
          <w:sz w:val="24"/>
        </w:rPr>
        <w:t>2.1.6 “现场”系指合同约定货物将要运至或者安装的地点。</w:t>
      </w:r>
      <w:bookmarkEnd w:id="940"/>
    </w:p>
    <w:p w14:paraId="1B622B76">
      <w:pPr>
        <w:spacing w:line="560" w:lineRule="exact"/>
        <w:ind w:firstLine="482" w:firstLineChars="200"/>
        <w:rPr>
          <w:rFonts w:ascii="仿宋" w:hAnsi="仿宋" w:eastAsia="仿宋" w:cs="仿宋"/>
          <w:b/>
          <w:sz w:val="24"/>
        </w:rPr>
      </w:pPr>
      <w:bookmarkStart w:id="941" w:name="_Toc13336"/>
      <w:bookmarkStart w:id="942" w:name="_Toc279701241"/>
      <w:bookmarkStart w:id="943" w:name="_Toc487900350"/>
      <w:bookmarkStart w:id="944" w:name="_Toc27635"/>
      <w:bookmarkStart w:id="945" w:name="_Toc32504"/>
      <w:bookmarkStart w:id="946" w:name="_Toc259093670"/>
      <w:r>
        <w:rPr>
          <w:rFonts w:hint="eastAsia" w:ascii="仿宋" w:hAnsi="仿宋" w:eastAsia="仿宋" w:cs="仿宋"/>
          <w:b/>
          <w:sz w:val="24"/>
        </w:rPr>
        <w:t>2.2 技术规范</w:t>
      </w:r>
      <w:bookmarkEnd w:id="941"/>
      <w:bookmarkEnd w:id="942"/>
      <w:bookmarkEnd w:id="943"/>
      <w:bookmarkEnd w:id="944"/>
      <w:bookmarkEnd w:id="945"/>
      <w:bookmarkEnd w:id="946"/>
    </w:p>
    <w:p w14:paraId="0E94C2BD">
      <w:pPr>
        <w:spacing w:line="560" w:lineRule="exact"/>
        <w:ind w:firstLine="480" w:firstLineChars="200"/>
        <w:rPr>
          <w:rFonts w:ascii="仿宋" w:hAnsi="仿宋" w:eastAsia="仿宋" w:cs="仿宋"/>
          <w:sz w:val="24"/>
        </w:rPr>
      </w:pPr>
      <w:r>
        <w:rPr>
          <w:rFonts w:hint="eastAsia" w:ascii="仿宋" w:hAnsi="仿宋" w:eastAsia="仿宋" w:cs="仿宋"/>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77D337DE">
      <w:pPr>
        <w:spacing w:line="560" w:lineRule="exact"/>
        <w:ind w:firstLine="482" w:firstLineChars="200"/>
        <w:rPr>
          <w:rFonts w:ascii="仿宋" w:hAnsi="仿宋" w:eastAsia="仿宋" w:cs="仿宋"/>
          <w:b/>
          <w:sz w:val="24"/>
        </w:rPr>
      </w:pPr>
      <w:bookmarkStart w:id="947" w:name="_Toc9829"/>
      <w:bookmarkStart w:id="948" w:name="_Toc31634"/>
      <w:bookmarkStart w:id="949" w:name="_Toc279701242"/>
      <w:bookmarkStart w:id="950" w:name="_Toc259093671"/>
      <w:bookmarkStart w:id="951" w:name="_Toc27853"/>
      <w:bookmarkStart w:id="952" w:name="_Toc487900351"/>
      <w:r>
        <w:rPr>
          <w:rFonts w:hint="eastAsia" w:ascii="仿宋" w:hAnsi="仿宋" w:eastAsia="仿宋" w:cs="仿宋"/>
          <w:b/>
          <w:sz w:val="24"/>
        </w:rPr>
        <w:t>2.3 知识产权</w:t>
      </w:r>
      <w:bookmarkEnd w:id="947"/>
      <w:bookmarkEnd w:id="948"/>
      <w:bookmarkEnd w:id="949"/>
      <w:bookmarkEnd w:id="950"/>
      <w:bookmarkEnd w:id="951"/>
      <w:bookmarkEnd w:id="952"/>
    </w:p>
    <w:p w14:paraId="4595EC23">
      <w:pPr>
        <w:spacing w:line="560" w:lineRule="exact"/>
        <w:ind w:firstLine="480" w:firstLineChars="200"/>
        <w:rPr>
          <w:rFonts w:ascii="仿宋" w:hAnsi="仿宋" w:eastAsia="仿宋" w:cs="仿宋"/>
          <w:sz w:val="24"/>
        </w:rPr>
      </w:pPr>
      <w:r>
        <w:rPr>
          <w:rFonts w:hint="eastAsia" w:ascii="仿宋" w:hAnsi="仿宋" w:eastAsia="仿宋" w:cs="仿宋"/>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14:paraId="6DF4CAE1">
      <w:pPr>
        <w:spacing w:line="560" w:lineRule="exact"/>
        <w:ind w:firstLine="480" w:firstLineChars="200"/>
        <w:rPr>
          <w:rFonts w:ascii="仿宋" w:hAnsi="仿宋" w:eastAsia="仿宋" w:cs="仿宋"/>
          <w:sz w:val="24"/>
        </w:rPr>
      </w:pPr>
      <w:r>
        <w:rPr>
          <w:rFonts w:hint="eastAsia" w:ascii="仿宋" w:hAnsi="仿宋" w:eastAsia="仿宋" w:cs="仿宋"/>
          <w:sz w:val="24"/>
        </w:rPr>
        <w:t>2.3.2具有知识产权的计算机软件等货物的知识产权归属，详见</w:t>
      </w:r>
      <w:r>
        <w:rPr>
          <w:rFonts w:hint="eastAsia" w:ascii="仿宋" w:hAnsi="仿宋" w:eastAsia="仿宋" w:cs="仿宋"/>
          <w:b/>
          <w:i/>
          <w:sz w:val="24"/>
          <w:u w:val="single"/>
        </w:rPr>
        <w:t>合同专用条款</w:t>
      </w:r>
      <w:r>
        <w:rPr>
          <w:rFonts w:hint="eastAsia" w:ascii="仿宋" w:hAnsi="仿宋" w:eastAsia="仿宋" w:cs="仿宋"/>
          <w:sz w:val="24"/>
        </w:rPr>
        <w:t>。</w:t>
      </w:r>
    </w:p>
    <w:p w14:paraId="6ED7C928">
      <w:pPr>
        <w:spacing w:line="560" w:lineRule="exact"/>
        <w:ind w:firstLine="482" w:firstLineChars="200"/>
        <w:rPr>
          <w:rFonts w:ascii="仿宋" w:hAnsi="仿宋" w:eastAsia="仿宋" w:cs="仿宋"/>
          <w:b/>
          <w:sz w:val="24"/>
        </w:rPr>
      </w:pPr>
      <w:bookmarkStart w:id="953" w:name="_Toc29149"/>
      <w:bookmarkStart w:id="954" w:name="_Toc4194"/>
      <w:bookmarkStart w:id="955" w:name="_Toc11932"/>
      <w:r>
        <w:rPr>
          <w:rFonts w:hint="eastAsia" w:ascii="仿宋" w:hAnsi="仿宋" w:eastAsia="仿宋" w:cs="仿宋"/>
          <w:b/>
          <w:sz w:val="24"/>
        </w:rPr>
        <w:t>2.4 包装和装运</w:t>
      </w:r>
      <w:bookmarkEnd w:id="953"/>
      <w:bookmarkEnd w:id="954"/>
      <w:bookmarkEnd w:id="955"/>
    </w:p>
    <w:p w14:paraId="7F444799">
      <w:pPr>
        <w:spacing w:line="560" w:lineRule="exact"/>
        <w:ind w:firstLine="480" w:firstLineChars="200"/>
        <w:rPr>
          <w:rFonts w:ascii="仿宋" w:hAnsi="仿宋" w:eastAsia="仿宋" w:cs="仿宋"/>
          <w:sz w:val="24"/>
        </w:rPr>
      </w:pPr>
      <w:r>
        <w:rPr>
          <w:rFonts w:hint="eastAsia" w:ascii="仿宋" w:hAnsi="仿宋" w:eastAsia="仿宋" w:cs="仿宋"/>
          <w:sz w:val="24"/>
        </w:rPr>
        <w:t>2.4.1除</w:t>
      </w:r>
      <w:r>
        <w:rPr>
          <w:rFonts w:hint="eastAsia" w:ascii="仿宋" w:hAnsi="仿宋" w:eastAsia="仿宋" w:cs="仿宋"/>
          <w:b/>
          <w:i/>
          <w:sz w:val="24"/>
          <w:u w:val="single"/>
        </w:rPr>
        <w:t>合同专用条款</w:t>
      </w:r>
      <w:r>
        <w:rPr>
          <w:rFonts w:hint="eastAsia" w:ascii="仿宋" w:hAnsi="仿宋" w:eastAsia="仿宋" w:cs="仿宋"/>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671662D6">
      <w:pPr>
        <w:spacing w:line="560" w:lineRule="exact"/>
        <w:ind w:firstLine="480" w:firstLineChars="200"/>
        <w:rPr>
          <w:rFonts w:ascii="仿宋" w:hAnsi="仿宋" w:eastAsia="仿宋" w:cs="仿宋"/>
          <w:sz w:val="24"/>
        </w:rPr>
      </w:pPr>
      <w:r>
        <w:rPr>
          <w:rFonts w:hint="eastAsia" w:ascii="仿宋" w:hAnsi="仿宋" w:eastAsia="仿宋" w:cs="仿宋"/>
          <w:sz w:val="24"/>
        </w:rPr>
        <w:t>2.4.2 装运货物的要求和通知，详见</w:t>
      </w:r>
      <w:r>
        <w:rPr>
          <w:rFonts w:hint="eastAsia" w:ascii="仿宋" w:hAnsi="仿宋" w:eastAsia="仿宋" w:cs="仿宋"/>
          <w:b/>
          <w:i/>
          <w:sz w:val="24"/>
          <w:u w:val="single"/>
        </w:rPr>
        <w:t>合同专用条款</w:t>
      </w:r>
      <w:r>
        <w:rPr>
          <w:rFonts w:hint="eastAsia" w:ascii="仿宋" w:hAnsi="仿宋" w:eastAsia="仿宋" w:cs="仿宋"/>
          <w:sz w:val="24"/>
        </w:rPr>
        <w:t>。</w:t>
      </w:r>
    </w:p>
    <w:p w14:paraId="0B28A683">
      <w:pPr>
        <w:spacing w:line="560" w:lineRule="exact"/>
        <w:ind w:firstLine="482" w:firstLineChars="200"/>
        <w:rPr>
          <w:rFonts w:ascii="仿宋" w:hAnsi="仿宋" w:eastAsia="仿宋" w:cs="仿宋"/>
          <w:b/>
          <w:sz w:val="24"/>
        </w:rPr>
      </w:pPr>
      <w:bookmarkStart w:id="956" w:name="_Ref467378591"/>
      <w:bookmarkStart w:id="957" w:name="_Ref467378541"/>
      <w:bookmarkStart w:id="958" w:name="_Toc279701245"/>
      <w:bookmarkStart w:id="959" w:name="_Toc259093674"/>
      <w:bookmarkStart w:id="960" w:name="_Toc487900354"/>
      <w:bookmarkStart w:id="961" w:name="_Ref467379527"/>
      <w:bookmarkStart w:id="962" w:name="_Ref467379542"/>
      <w:bookmarkStart w:id="963" w:name="_Ref467379536"/>
      <w:bookmarkStart w:id="964" w:name="_Toc30272"/>
      <w:bookmarkStart w:id="965" w:name="_Toc26182"/>
      <w:bookmarkStart w:id="966" w:name="_Toc19074"/>
      <w:r>
        <w:rPr>
          <w:rFonts w:hint="eastAsia" w:ascii="仿宋" w:hAnsi="仿宋" w:eastAsia="仿宋" w:cs="仿宋"/>
          <w:b/>
          <w:sz w:val="24"/>
        </w:rPr>
        <w:t>2.</w:t>
      </w:r>
      <w:bookmarkEnd w:id="956"/>
      <w:bookmarkEnd w:id="957"/>
      <w:bookmarkEnd w:id="958"/>
      <w:bookmarkEnd w:id="959"/>
      <w:bookmarkEnd w:id="960"/>
      <w:bookmarkEnd w:id="961"/>
      <w:bookmarkEnd w:id="962"/>
      <w:bookmarkEnd w:id="963"/>
      <w:r>
        <w:rPr>
          <w:rFonts w:hint="eastAsia" w:ascii="仿宋" w:hAnsi="仿宋" w:eastAsia="仿宋" w:cs="仿宋"/>
          <w:b/>
          <w:sz w:val="24"/>
        </w:rPr>
        <w:t>5 履约检查和问题反馈</w:t>
      </w:r>
      <w:bookmarkEnd w:id="964"/>
      <w:bookmarkEnd w:id="965"/>
      <w:bookmarkEnd w:id="966"/>
    </w:p>
    <w:p w14:paraId="0DBB750B">
      <w:pPr>
        <w:spacing w:line="560" w:lineRule="exact"/>
        <w:ind w:firstLine="480" w:firstLineChars="200"/>
        <w:rPr>
          <w:rFonts w:ascii="仿宋" w:hAnsi="仿宋" w:eastAsia="仿宋" w:cs="仿宋"/>
          <w:sz w:val="24"/>
        </w:rPr>
      </w:pPr>
      <w:bookmarkStart w:id="967" w:name="_Ref467379657"/>
      <w:r>
        <w:rPr>
          <w:rFonts w:hint="eastAsia" w:ascii="仿宋" w:hAnsi="仿宋" w:eastAsia="仿宋" w:cs="仿宋"/>
          <w:sz w:val="24"/>
        </w:rPr>
        <w:t>2.5.1</w:t>
      </w:r>
      <w:bookmarkEnd w:id="967"/>
      <w:bookmarkStart w:id="968" w:name="_Toc186431854"/>
      <w:bookmarkStart w:id="969" w:name="_Toc279701247"/>
      <w:bookmarkStart w:id="970" w:name="_Toc487900357"/>
      <w:bookmarkStart w:id="971" w:name="_Ref467379807"/>
      <w:bookmarkStart w:id="972" w:name="_Toc259093676"/>
      <w:bookmarkStart w:id="973" w:name="_Ref467379793"/>
      <w:r>
        <w:rPr>
          <w:rFonts w:hint="eastAsia" w:ascii="仿宋" w:hAnsi="仿宋" w:eastAsia="仿宋" w:cs="仿宋"/>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14:paraId="5C3E6303">
      <w:pPr>
        <w:spacing w:line="560" w:lineRule="exact"/>
        <w:ind w:firstLine="480" w:firstLineChars="200"/>
        <w:rPr>
          <w:rFonts w:ascii="仿宋" w:hAnsi="仿宋" w:eastAsia="仿宋" w:cs="仿宋"/>
          <w:sz w:val="24"/>
        </w:rPr>
      </w:pPr>
      <w:r>
        <w:rPr>
          <w:rFonts w:hint="eastAsia" w:ascii="仿宋" w:hAnsi="仿宋" w:eastAsia="仿宋" w:cs="仿宋"/>
          <w:sz w:val="24"/>
        </w:rPr>
        <w:t>2.5.2 合同履行期间，甲方有权将履行过程中出现的问题反馈给乙方，双方当事人应以书面形式约定需要完善和改进的内容</w:t>
      </w:r>
      <w:bookmarkEnd w:id="968"/>
      <w:bookmarkStart w:id="974" w:name="_Toc186431855"/>
      <w:r>
        <w:rPr>
          <w:rFonts w:hint="eastAsia" w:ascii="仿宋" w:hAnsi="仿宋" w:eastAsia="仿宋" w:cs="仿宋"/>
          <w:sz w:val="24"/>
        </w:rPr>
        <w:t>。</w:t>
      </w:r>
    </w:p>
    <w:bookmarkEnd w:id="974"/>
    <w:p w14:paraId="24ABCF84">
      <w:pPr>
        <w:spacing w:line="560" w:lineRule="exact"/>
        <w:ind w:firstLine="482" w:firstLineChars="200"/>
        <w:rPr>
          <w:rFonts w:ascii="仿宋" w:hAnsi="仿宋" w:eastAsia="仿宋" w:cs="仿宋"/>
          <w:b/>
          <w:sz w:val="24"/>
        </w:rPr>
      </w:pPr>
      <w:bookmarkStart w:id="975" w:name="_Toc19219"/>
      <w:bookmarkStart w:id="976" w:name="_Toc7836"/>
      <w:bookmarkStart w:id="977" w:name="_Toc28451"/>
      <w:r>
        <w:rPr>
          <w:rFonts w:hint="eastAsia" w:ascii="仿宋" w:hAnsi="仿宋" w:eastAsia="仿宋" w:cs="仿宋"/>
          <w:b/>
          <w:sz w:val="24"/>
        </w:rPr>
        <w:t>2.6 结算方式和付款条件</w:t>
      </w:r>
      <w:bookmarkEnd w:id="969"/>
      <w:bookmarkEnd w:id="970"/>
      <w:bookmarkEnd w:id="971"/>
      <w:bookmarkEnd w:id="972"/>
      <w:bookmarkEnd w:id="973"/>
      <w:bookmarkEnd w:id="975"/>
      <w:bookmarkEnd w:id="976"/>
      <w:bookmarkEnd w:id="977"/>
    </w:p>
    <w:p w14:paraId="2B9F0D15">
      <w:pPr>
        <w:spacing w:line="560" w:lineRule="exact"/>
        <w:ind w:firstLine="480" w:firstLineChars="200"/>
        <w:rPr>
          <w:rFonts w:ascii="仿宋" w:hAnsi="仿宋" w:eastAsia="仿宋" w:cs="仿宋"/>
          <w:sz w:val="24"/>
        </w:rPr>
      </w:pPr>
      <w:r>
        <w:rPr>
          <w:rFonts w:hint="eastAsia" w:ascii="仿宋" w:hAnsi="仿宋" w:eastAsia="仿宋" w:cs="仿宋"/>
          <w:sz w:val="24"/>
        </w:rPr>
        <w:t>详见</w:t>
      </w:r>
      <w:r>
        <w:rPr>
          <w:rFonts w:hint="eastAsia" w:ascii="仿宋" w:hAnsi="仿宋" w:eastAsia="仿宋" w:cs="仿宋"/>
          <w:b/>
          <w:i/>
          <w:sz w:val="24"/>
          <w:u w:val="single"/>
        </w:rPr>
        <w:t>合同专用条款</w:t>
      </w:r>
      <w:r>
        <w:rPr>
          <w:rFonts w:hint="eastAsia" w:ascii="仿宋" w:hAnsi="仿宋" w:eastAsia="仿宋" w:cs="仿宋"/>
          <w:sz w:val="24"/>
        </w:rPr>
        <w:t>。</w:t>
      </w:r>
    </w:p>
    <w:p w14:paraId="3E1C9C5B">
      <w:pPr>
        <w:spacing w:line="560" w:lineRule="exact"/>
        <w:ind w:firstLine="482" w:firstLineChars="200"/>
        <w:rPr>
          <w:rFonts w:ascii="仿宋" w:hAnsi="仿宋" w:eastAsia="仿宋" w:cs="仿宋"/>
          <w:b/>
          <w:sz w:val="24"/>
        </w:rPr>
      </w:pPr>
      <w:bookmarkStart w:id="978" w:name="_Toc279701248"/>
      <w:bookmarkStart w:id="979" w:name="_Ref467379863"/>
      <w:bookmarkStart w:id="980" w:name="_Ref467379852"/>
      <w:bookmarkStart w:id="981" w:name="_Toc259093677"/>
      <w:bookmarkStart w:id="982" w:name="_Ref467379923"/>
      <w:bookmarkStart w:id="983" w:name="_Toc487900358"/>
      <w:bookmarkStart w:id="984" w:name="_Toc16110"/>
      <w:bookmarkStart w:id="985" w:name="_Toc774"/>
      <w:bookmarkStart w:id="986" w:name="_Toc3225"/>
      <w:r>
        <w:rPr>
          <w:rFonts w:hint="eastAsia" w:ascii="仿宋" w:hAnsi="仿宋" w:eastAsia="仿宋" w:cs="仿宋"/>
          <w:b/>
          <w:sz w:val="24"/>
        </w:rPr>
        <w:t>2.7 技术资料</w:t>
      </w:r>
      <w:bookmarkEnd w:id="978"/>
      <w:bookmarkEnd w:id="979"/>
      <w:bookmarkEnd w:id="980"/>
      <w:bookmarkEnd w:id="981"/>
      <w:bookmarkEnd w:id="982"/>
      <w:bookmarkEnd w:id="983"/>
      <w:r>
        <w:rPr>
          <w:rFonts w:hint="eastAsia" w:ascii="仿宋" w:hAnsi="仿宋" w:eastAsia="仿宋" w:cs="仿宋"/>
          <w:b/>
          <w:sz w:val="24"/>
        </w:rPr>
        <w:t>和保密义务</w:t>
      </w:r>
      <w:bookmarkEnd w:id="984"/>
      <w:bookmarkEnd w:id="985"/>
      <w:bookmarkEnd w:id="986"/>
    </w:p>
    <w:p w14:paraId="470776F6">
      <w:pPr>
        <w:spacing w:line="560" w:lineRule="exact"/>
        <w:ind w:firstLine="480" w:firstLineChars="200"/>
        <w:rPr>
          <w:rFonts w:ascii="仿宋" w:hAnsi="仿宋" w:eastAsia="仿宋" w:cs="仿宋"/>
          <w:sz w:val="24"/>
        </w:rPr>
      </w:pPr>
      <w:r>
        <w:rPr>
          <w:rFonts w:hint="eastAsia" w:ascii="仿宋" w:hAnsi="仿宋" w:eastAsia="仿宋" w:cs="仿宋"/>
          <w:sz w:val="24"/>
        </w:rPr>
        <w:t>2.7.1 乙方有权依据合同约定和项目需要，向甲方了解有关情况，调阅有关资料等，甲方应予积极配合；</w:t>
      </w:r>
    </w:p>
    <w:p w14:paraId="515C17D6">
      <w:pPr>
        <w:spacing w:line="560" w:lineRule="exact"/>
        <w:ind w:firstLine="480" w:firstLineChars="200"/>
        <w:rPr>
          <w:rFonts w:ascii="仿宋" w:hAnsi="仿宋" w:eastAsia="仿宋" w:cs="仿宋"/>
          <w:sz w:val="24"/>
        </w:rPr>
      </w:pPr>
      <w:r>
        <w:rPr>
          <w:rFonts w:hint="eastAsia" w:ascii="仿宋" w:hAnsi="仿宋" w:eastAsia="仿宋" w:cs="仿宋"/>
          <w:sz w:val="24"/>
        </w:rPr>
        <w:t>2.7.2 乙方有义务妥善保管和保护由甲方提供的前款信息和资料等；</w:t>
      </w:r>
    </w:p>
    <w:p w14:paraId="22BBB2B3">
      <w:pPr>
        <w:spacing w:line="560" w:lineRule="exact"/>
        <w:ind w:firstLine="480" w:firstLineChars="200"/>
        <w:rPr>
          <w:rFonts w:ascii="仿宋" w:hAnsi="仿宋" w:eastAsia="仿宋" w:cs="仿宋"/>
          <w:sz w:val="24"/>
        </w:rPr>
      </w:pPr>
      <w:r>
        <w:rPr>
          <w:rFonts w:hint="eastAsia" w:ascii="仿宋" w:hAnsi="仿宋" w:eastAsia="仿宋" w:cs="仿宋"/>
          <w:sz w:val="24"/>
        </w:rPr>
        <w:t>2.7.3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448E6797">
      <w:pPr>
        <w:spacing w:line="560" w:lineRule="exact"/>
        <w:ind w:firstLine="482" w:firstLineChars="200"/>
        <w:rPr>
          <w:rFonts w:ascii="仿宋" w:hAnsi="仿宋" w:eastAsia="仿宋" w:cs="仿宋"/>
          <w:b/>
          <w:sz w:val="24"/>
        </w:rPr>
      </w:pPr>
      <w:bookmarkStart w:id="987" w:name="_Toc7860"/>
      <w:r>
        <w:rPr>
          <w:rFonts w:hint="eastAsia" w:ascii="仿宋" w:hAnsi="仿宋" w:eastAsia="仿宋" w:cs="仿宋"/>
          <w:b/>
          <w:sz w:val="24"/>
        </w:rPr>
        <w:t>2.8 质量保证</w:t>
      </w:r>
      <w:bookmarkEnd w:id="987"/>
    </w:p>
    <w:p w14:paraId="6FC66E08">
      <w:pPr>
        <w:spacing w:line="560" w:lineRule="exact"/>
        <w:ind w:firstLine="480" w:firstLineChars="200"/>
        <w:rPr>
          <w:rFonts w:ascii="仿宋" w:hAnsi="仿宋" w:eastAsia="仿宋" w:cs="仿宋"/>
          <w:sz w:val="24"/>
        </w:rPr>
      </w:pPr>
      <w:r>
        <w:rPr>
          <w:rFonts w:hint="eastAsia" w:ascii="仿宋" w:hAnsi="仿宋" w:eastAsia="仿宋" w:cs="仿宋"/>
          <w:sz w:val="24"/>
        </w:rPr>
        <w:t>2.8.1 乙方应建立和完善履行合同的内部质量保证体系，并提供相关内部规章制度给甲方，以便甲方进行监督检查；</w:t>
      </w:r>
    </w:p>
    <w:p w14:paraId="3BBA4662">
      <w:pPr>
        <w:spacing w:line="560" w:lineRule="exact"/>
        <w:ind w:firstLine="480" w:firstLineChars="200"/>
        <w:rPr>
          <w:rFonts w:ascii="仿宋" w:hAnsi="仿宋" w:eastAsia="仿宋" w:cs="仿宋"/>
          <w:sz w:val="24"/>
        </w:rPr>
      </w:pPr>
      <w:r>
        <w:rPr>
          <w:rFonts w:hint="eastAsia" w:ascii="仿宋" w:hAnsi="仿宋" w:eastAsia="仿宋" w:cs="仿宋"/>
          <w:sz w:val="24"/>
        </w:rPr>
        <w:t>2.8.2 乙方应保证履行合同的人员数量和素质、软件和硬件设备的配置、场地、环境和设施等满足全面履行合同的要求，并应接受甲方的监督检查。</w:t>
      </w:r>
    </w:p>
    <w:p w14:paraId="3FBA5B22">
      <w:pPr>
        <w:spacing w:line="560" w:lineRule="exact"/>
        <w:ind w:firstLine="482" w:firstLineChars="200"/>
        <w:rPr>
          <w:rFonts w:ascii="仿宋" w:hAnsi="仿宋" w:eastAsia="仿宋" w:cs="仿宋"/>
          <w:b/>
          <w:sz w:val="24"/>
        </w:rPr>
      </w:pPr>
      <w:bookmarkStart w:id="988" w:name="_Toc17244"/>
      <w:bookmarkStart w:id="989" w:name="_Toc279701252"/>
      <w:bookmarkStart w:id="990" w:name="_Toc259093681"/>
      <w:bookmarkStart w:id="991" w:name="_Toc487900362"/>
      <w:r>
        <w:rPr>
          <w:rFonts w:hint="eastAsia" w:ascii="仿宋" w:hAnsi="仿宋" w:eastAsia="仿宋" w:cs="仿宋"/>
          <w:b/>
          <w:sz w:val="24"/>
        </w:rPr>
        <w:t>2.9 货物的风险负担</w:t>
      </w:r>
      <w:bookmarkEnd w:id="988"/>
    </w:p>
    <w:p w14:paraId="72A6DE9C">
      <w:pPr>
        <w:spacing w:line="560" w:lineRule="exact"/>
        <w:ind w:firstLine="480" w:firstLineChars="200"/>
        <w:rPr>
          <w:rFonts w:ascii="仿宋" w:hAnsi="仿宋" w:eastAsia="仿宋" w:cs="仿宋"/>
          <w:b/>
          <w:sz w:val="24"/>
        </w:rPr>
      </w:pPr>
      <w:r>
        <w:rPr>
          <w:rFonts w:hint="eastAsia" w:ascii="仿宋" w:hAnsi="仿宋" w:eastAsia="仿宋" w:cs="仿宋"/>
          <w:sz w:val="24"/>
        </w:rPr>
        <w:t>货物或者在途货物或者交付给第一承运人后的货物毁损、灭失的风险负担详见</w:t>
      </w:r>
      <w:r>
        <w:rPr>
          <w:rFonts w:hint="eastAsia" w:ascii="仿宋" w:hAnsi="仿宋" w:eastAsia="仿宋" w:cs="仿宋"/>
          <w:b/>
          <w:i/>
          <w:sz w:val="24"/>
          <w:u w:val="single"/>
        </w:rPr>
        <w:t>合同专用条款</w:t>
      </w:r>
      <w:r>
        <w:rPr>
          <w:rFonts w:hint="eastAsia" w:ascii="仿宋" w:hAnsi="仿宋" w:eastAsia="仿宋" w:cs="仿宋"/>
          <w:sz w:val="24"/>
        </w:rPr>
        <w:t>。</w:t>
      </w:r>
    </w:p>
    <w:p w14:paraId="616C12E2">
      <w:pPr>
        <w:spacing w:line="560" w:lineRule="exact"/>
        <w:ind w:firstLine="482" w:firstLineChars="200"/>
        <w:rPr>
          <w:rFonts w:ascii="仿宋" w:hAnsi="仿宋" w:eastAsia="仿宋" w:cs="仿宋"/>
          <w:b/>
          <w:sz w:val="24"/>
        </w:rPr>
      </w:pPr>
      <w:bookmarkStart w:id="992" w:name="_Toc14055"/>
      <w:r>
        <w:rPr>
          <w:rFonts w:hint="eastAsia" w:ascii="仿宋" w:hAnsi="仿宋" w:eastAsia="仿宋" w:cs="仿宋"/>
          <w:b/>
          <w:sz w:val="24"/>
        </w:rPr>
        <w:t>2.10 延迟交货</w:t>
      </w:r>
      <w:bookmarkEnd w:id="989"/>
      <w:bookmarkEnd w:id="990"/>
      <w:bookmarkEnd w:id="991"/>
      <w:bookmarkEnd w:id="992"/>
    </w:p>
    <w:p w14:paraId="0CC99F00">
      <w:pPr>
        <w:spacing w:line="560" w:lineRule="exact"/>
        <w:ind w:firstLine="480" w:firstLineChars="200"/>
        <w:rPr>
          <w:rFonts w:ascii="仿宋" w:hAnsi="仿宋" w:eastAsia="仿宋" w:cs="仿宋"/>
          <w:sz w:val="24"/>
        </w:rPr>
      </w:pPr>
      <w:r>
        <w:rPr>
          <w:rFonts w:hint="eastAsia" w:ascii="仿宋" w:hAnsi="仿宋" w:eastAsia="仿宋" w:cs="仿宋"/>
          <w:sz w:val="24"/>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14:paraId="23376760">
      <w:pPr>
        <w:spacing w:line="560" w:lineRule="exact"/>
        <w:ind w:firstLine="482" w:firstLineChars="200"/>
        <w:rPr>
          <w:rFonts w:ascii="仿宋" w:hAnsi="仿宋" w:eastAsia="仿宋" w:cs="仿宋"/>
          <w:b/>
          <w:sz w:val="24"/>
        </w:rPr>
      </w:pPr>
      <w:bookmarkStart w:id="993" w:name="_Toc7502"/>
      <w:bookmarkStart w:id="994" w:name="_Toc487900364"/>
      <w:bookmarkStart w:id="995" w:name="_Toc279701254"/>
      <w:bookmarkStart w:id="996" w:name="_Ref467378121"/>
      <w:bookmarkStart w:id="997" w:name="_Toc259093683"/>
      <w:r>
        <w:rPr>
          <w:rFonts w:hint="eastAsia" w:ascii="仿宋" w:hAnsi="仿宋" w:eastAsia="仿宋" w:cs="仿宋"/>
          <w:b/>
          <w:sz w:val="24"/>
        </w:rPr>
        <w:t>2.11 合同变更</w:t>
      </w:r>
      <w:bookmarkEnd w:id="993"/>
    </w:p>
    <w:p w14:paraId="2F88E23D">
      <w:pPr>
        <w:spacing w:line="560" w:lineRule="exact"/>
        <w:ind w:firstLine="480" w:firstLineChars="200"/>
        <w:rPr>
          <w:rFonts w:ascii="仿宋" w:hAnsi="仿宋" w:eastAsia="仿宋" w:cs="仿宋"/>
          <w:sz w:val="24"/>
        </w:rPr>
      </w:pPr>
      <w:r>
        <w:rPr>
          <w:rFonts w:hint="eastAsia" w:ascii="仿宋" w:hAnsi="仿宋" w:eastAsia="仿宋" w:cs="仿宋"/>
          <w:sz w:val="24"/>
        </w:rPr>
        <w:t>2.11.1双方当事人协商一致，可以签订书面补充合同的形式变更合同，但不得违背采购文件确定的事项，且如果系追加与合同标的相同的货物的，那么所有补充合同的采购金额不得超过原合同价的10%；</w:t>
      </w:r>
    </w:p>
    <w:p w14:paraId="389C042C">
      <w:pPr>
        <w:spacing w:line="560" w:lineRule="exact"/>
        <w:ind w:firstLine="480" w:firstLineChars="200"/>
        <w:rPr>
          <w:rFonts w:ascii="仿宋" w:hAnsi="仿宋" w:eastAsia="仿宋" w:cs="仿宋"/>
          <w:sz w:val="24"/>
        </w:rPr>
      </w:pPr>
      <w:r>
        <w:rPr>
          <w:rFonts w:hint="eastAsia" w:ascii="仿宋" w:hAnsi="仿宋" w:eastAsia="仿宋" w:cs="仿宋"/>
          <w:sz w:val="24"/>
        </w:rPr>
        <w:t>2.11.2 合同继续履行将损害国家利益和社会公共利益的，双方当事人应当以书面形式变更合同。有过错的一方应当承担赔偿责任，双方当事人都有过错的，各自承担相应的责任。</w:t>
      </w:r>
      <w:bookmarkStart w:id="998" w:name="_Toc487900369"/>
      <w:bookmarkStart w:id="999" w:name="_Toc259093688"/>
      <w:bookmarkStart w:id="1000" w:name="_Toc279701259"/>
    </w:p>
    <w:p w14:paraId="5BD99957">
      <w:pPr>
        <w:spacing w:line="560" w:lineRule="exact"/>
        <w:ind w:firstLine="482" w:firstLineChars="200"/>
        <w:rPr>
          <w:rFonts w:ascii="仿宋" w:hAnsi="仿宋" w:eastAsia="仿宋" w:cs="仿宋"/>
          <w:b/>
          <w:sz w:val="24"/>
        </w:rPr>
      </w:pPr>
      <w:bookmarkStart w:id="1001" w:name="_Toc15237"/>
      <w:bookmarkStart w:id="1002" w:name="_Toc22955"/>
      <w:bookmarkStart w:id="1003" w:name="_Toc10366"/>
      <w:r>
        <w:rPr>
          <w:rFonts w:hint="eastAsia" w:ascii="仿宋" w:hAnsi="仿宋" w:eastAsia="仿宋" w:cs="仿宋"/>
          <w:b/>
          <w:sz w:val="24"/>
        </w:rPr>
        <w:t>2.12 合同转让</w:t>
      </w:r>
      <w:bookmarkEnd w:id="998"/>
      <w:bookmarkEnd w:id="999"/>
      <w:bookmarkEnd w:id="1000"/>
      <w:r>
        <w:rPr>
          <w:rFonts w:hint="eastAsia" w:ascii="仿宋" w:hAnsi="仿宋" w:eastAsia="仿宋" w:cs="仿宋"/>
          <w:b/>
          <w:sz w:val="24"/>
        </w:rPr>
        <w:t>和分包</w:t>
      </w:r>
      <w:bookmarkEnd w:id="1001"/>
      <w:bookmarkEnd w:id="1002"/>
      <w:bookmarkEnd w:id="1003"/>
    </w:p>
    <w:p w14:paraId="78204CBB">
      <w:pPr>
        <w:spacing w:line="560" w:lineRule="exact"/>
        <w:ind w:firstLine="480" w:firstLineChars="200"/>
        <w:rPr>
          <w:rFonts w:ascii="仿宋" w:hAnsi="仿宋" w:eastAsia="仿宋" w:cs="仿宋"/>
          <w:sz w:val="24"/>
        </w:rPr>
      </w:pPr>
      <w:r>
        <w:rPr>
          <w:rFonts w:hint="eastAsia" w:ascii="仿宋" w:hAnsi="仿宋" w:eastAsia="仿宋" w:cs="仿宋"/>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投标人就分包项目向甲方承担连带责任。</w:t>
      </w:r>
    </w:p>
    <w:p w14:paraId="2F779274">
      <w:pPr>
        <w:spacing w:line="560" w:lineRule="exact"/>
        <w:ind w:firstLine="482" w:firstLineChars="200"/>
        <w:rPr>
          <w:rFonts w:ascii="仿宋" w:hAnsi="仿宋" w:eastAsia="仿宋" w:cs="仿宋"/>
          <w:b/>
          <w:sz w:val="24"/>
        </w:rPr>
      </w:pPr>
      <w:bookmarkStart w:id="1004" w:name="_Toc13566"/>
      <w:bookmarkStart w:id="1005" w:name="_Toc14066"/>
      <w:bookmarkStart w:id="1006" w:name="_Toc16508"/>
      <w:r>
        <w:rPr>
          <w:rFonts w:hint="eastAsia" w:ascii="仿宋" w:hAnsi="仿宋" w:eastAsia="仿宋" w:cs="仿宋"/>
          <w:b/>
          <w:sz w:val="24"/>
        </w:rPr>
        <w:t>2.13 不可抗力</w:t>
      </w:r>
      <w:bookmarkEnd w:id="1004"/>
      <w:bookmarkEnd w:id="1005"/>
      <w:bookmarkEnd w:id="1006"/>
    </w:p>
    <w:p w14:paraId="4E035AAA">
      <w:pPr>
        <w:spacing w:line="560" w:lineRule="exact"/>
        <w:ind w:firstLine="480" w:firstLineChars="200"/>
        <w:rPr>
          <w:rFonts w:ascii="仿宋" w:hAnsi="仿宋" w:eastAsia="仿宋" w:cs="仿宋"/>
          <w:sz w:val="24"/>
        </w:rPr>
      </w:pPr>
      <w:r>
        <w:rPr>
          <w:rFonts w:hint="eastAsia" w:ascii="仿宋" w:hAnsi="仿宋" w:eastAsia="仿宋" w:cs="仿宋"/>
          <w:sz w:val="24"/>
        </w:rPr>
        <w:t>2.13.1如果任何一方遭遇法律规定的不可抗力，致使合同履行受阻时，履行合同的期限应予延长，延长的期限应相当于不可抗力所影响的时间；</w:t>
      </w:r>
    </w:p>
    <w:p w14:paraId="6D9FE00A">
      <w:pPr>
        <w:spacing w:line="560" w:lineRule="exact"/>
        <w:ind w:firstLine="480" w:firstLineChars="200"/>
        <w:rPr>
          <w:rFonts w:ascii="仿宋" w:hAnsi="仿宋" w:eastAsia="仿宋" w:cs="仿宋"/>
          <w:sz w:val="24"/>
        </w:rPr>
      </w:pPr>
      <w:r>
        <w:rPr>
          <w:rFonts w:hint="eastAsia" w:ascii="仿宋" w:hAnsi="仿宋" w:eastAsia="仿宋" w:cs="仿宋"/>
          <w:sz w:val="24"/>
        </w:rPr>
        <w:t>2.13.2 因不可抗力致使不能实现合同目的的，当事人可以解除合同；</w:t>
      </w:r>
    </w:p>
    <w:p w14:paraId="09F08B80">
      <w:pPr>
        <w:spacing w:line="560" w:lineRule="exact"/>
        <w:ind w:firstLine="480" w:firstLineChars="200"/>
        <w:rPr>
          <w:rFonts w:ascii="仿宋" w:hAnsi="仿宋" w:eastAsia="仿宋" w:cs="仿宋"/>
          <w:sz w:val="24"/>
        </w:rPr>
      </w:pPr>
      <w:r>
        <w:rPr>
          <w:rFonts w:hint="eastAsia" w:ascii="仿宋" w:hAnsi="仿宋" w:eastAsia="仿宋" w:cs="仿宋"/>
          <w:sz w:val="24"/>
        </w:rPr>
        <w:t>2.13.3 因不可抗力致使合同有变更必要的，双方当事人应在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约定时间内以书面形式变更合同；</w:t>
      </w:r>
    </w:p>
    <w:p w14:paraId="35B6553B">
      <w:pPr>
        <w:spacing w:line="560" w:lineRule="exact"/>
        <w:ind w:firstLine="480" w:firstLineChars="200"/>
        <w:rPr>
          <w:rFonts w:ascii="仿宋" w:hAnsi="仿宋" w:eastAsia="仿宋" w:cs="仿宋"/>
          <w:sz w:val="24"/>
        </w:rPr>
      </w:pPr>
      <w:r>
        <w:rPr>
          <w:rFonts w:hint="eastAsia" w:ascii="仿宋" w:hAnsi="仿宋" w:eastAsia="仿宋" w:cs="仿宋"/>
          <w:sz w:val="24"/>
        </w:rPr>
        <w:t>2.13.4受不可抗力影响的一方在不可抗力发生后，应在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约定时间内以书面形式通知对方当事人，并在</w:t>
      </w:r>
      <w:r>
        <w:rPr>
          <w:rFonts w:hint="eastAsia" w:ascii="仿宋" w:hAnsi="仿宋" w:eastAsia="仿宋" w:cs="仿宋"/>
          <w:b/>
          <w:i/>
          <w:sz w:val="24"/>
          <w:u w:val="single"/>
        </w:rPr>
        <w:t>合同专用条款</w:t>
      </w:r>
      <w:r>
        <w:rPr>
          <w:rFonts w:hint="eastAsia" w:ascii="仿宋" w:hAnsi="仿宋" w:eastAsia="仿宋" w:cs="仿宋"/>
          <w:sz w:val="24"/>
        </w:rPr>
        <w:t>约定时间内，将有关部门出具的证明文件送达对方当事人。</w:t>
      </w:r>
    </w:p>
    <w:p w14:paraId="02974178">
      <w:pPr>
        <w:spacing w:line="560" w:lineRule="exact"/>
        <w:ind w:firstLine="482" w:firstLineChars="200"/>
        <w:rPr>
          <w:rFonts w:ascii="仿宋" w:hAnsi="仿宋" w:eastAsia="仿宋" w:cs="仿宋"/>
          <w:b/>
          <w:sz w:val="24"/>
        </w:rPr>
      </w:pPr>
      <w:bookmarkStart w:id="1007" w:name="_Toc259093684"/>
      <w:bookmarkStart w:id="1008" w:name="_Toc689"/>
      <w:bookmarkStart w:id="1009" w:name="_Toc487900365"/>
      <w:bookmarkStart w:id="1010" w:name="_Toc6969"/>
      <w:bookmarkStart w:id="1011" w:name="_Toc30676"/>
      <w:bookmarkStart w:id="1012" w:name="_Toc279701255"/>
      <w:r>
        <w:rPr>
          <w:rFonts w:hint="eastAsia" w:ascii="仿宋" w:hAnsi="仿宋" w:eastAsia="仿宋" w:cs="仿宋"/>
          <w:b/>
          <w:sz w:val="24"/>
        </w:rPr>
        <w:t>2.14 税费</w:t>
      </w:r>
      <w:bookmarkEnd w:id="1007"/>
      <w:bookmarkEnd w:id="1008"/>
      <w:bookmarkEnd w:id="1009"/>
      <w:bookmarkEnd w:id="1010"/>
      <w:bookmarkEnd w:id="1011"/>
      <w:bookmarkEnd w:id="1012"/>
    </w:p>
    <w:p w14:paraId="48727680">
      <w:pPr>
        <w:spacing w:line="560" w:lineRule="exact"/>
        <w:ind w:firstLine="480" w:firstLineChars="200"/>
        <w:rPr>
          <w:rFonts w:ascii="仿宋" w:hAnsi="仿宋" w:eastAsia="仿宋" w:cs="仿宋"/>
          <w:sz w:val="24"/>
        </w:rPr>
      </w:pPr>
      <w:r>
        <w:rPr>
          <w:rFonts w:hint="eastAsia" w:ascii="仿宋" w:hAnsi="仿宋" w:eastAsia="仿宋" w:cs="仿宋"/>
          <w:sz w:val="24"/>
        </w:rPr>
        <w:t>与合同有关的一切税费，均按照中华人民共和国法律的相关规定。</w:t>
      </w:r>
    </w:p>
    <w:p w14:paraId="03A19AEF">
      <w:pPr>
        <w:spacing w:line="560" w:lineRule="exact"/>
        <w:ind w:firstLine="482" w:firstLineChars="200"/>
        <w:rPr>
          <w:rFonts w:ascii="仿宋" w:hAnsi="仿宋" w:eastAsia="仿宋" w:cs="仿宋"/>
          <w:b/>
          <w:sz w:val="24"/>
        </w:rPr>
      </w:pPr>
      <w:bookmarkStart w:id="1013" w:name="_Toc259093687"/>
      <w:bookmarkStart w:id="1014" w:name="_Toc487900368"/>
      <w:bookmarkStart w:id="1015" w:name="_Toc279701258"/>
      <w:bookmarkStart w:id="1016" w:name="_Toc7102"/>
      <w:bookmarkStart w:id="1017" w:name="_Toc16959"/>
      <w:bookmarkStart w:id="1018" w:name="_Toc8298"/>
      <w:r>
        <w:rPr>
          <w:rFonts w:hint="eastAsia" w:ascii="仿宋" w:hAnsi="仿宋" w:eastAsia="仿宋" w:cs="仿宋"/>
          <w:b/>
          <w:sz w:val="24"/>
        </w:rPr>
        <w:t>2.15 乙方破产</w:t>
      </w:r>
      <w:bookmarkEnd w:id="1013"/>
      <w:bookmarkEnd w:id="1014"/>
      <w:bookmarkEnd w:id="1015"/>
      <w:bookmarkEnd w:id="1016"/>
      <w:bookmarkEnd w:id="1017"/>
      <w:bookmarkEnd w:id="1018"/>
    </w:p>
    <w:p w14:paraId="1E1DAAB3">
      <w:pPr>
        <w:spacing w:line="560" w:lineRule="exact"/>
        <w:ind w:firstLine="480" w:firstLineChars="200"/>
        <w:rPr>
          <w:rFonts w:ascii="仿宋" w:hAnsi="仿宋" w:eastAsia="仿宋" w:cs="仿宋"/>
          <w:sz w:val="24"/>
        </w:rPr>
      </w:pPr>
      <w:r>
        <w:rPr>
          <w:rFonts w:hint="eastAsia" w:ascii="仿宋" w:hAnsi="仿宋" w:eastAsia="仿宋" w:cs="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211ABB60">
      <w:pPr>
        <w:spacing w:line="560" w:lineRule="exact"/>
        <w:ind w:firstLine="482" w:firstLineChars="200"/>
        <w:rPr>
          <w:rFonts w:ascii="仿宋" w:hAnsi="仿宋" w:eastAsia="仿宋" w:cs="仿宋"/>
          <w:b/>
          <w:sz w:val="24"/>
        </w:rPr>
      </w:pPr>
      <w:bookmarkStart w:id="1019" w:name="_Toc29333"/>
      <w:bookmarkStart w:id="1020" w:name="_Toc15387"/>
      <w:bookmarkStart w:id="1021" w:name="_Toc6134"/>
      <w:r>
        <w:rPr>
          <w:rFonts w:hint="eastAsia" w:ascii="仿宋" w:hAnsi="仿宋" w:eastAsia="仿宋" w:cs="仿宋"/>
          <w:b/>
          <w:sz w:val="24"/>
        </w:rPr>
        <w:t>2.16 合同中止、终止</w:t>
      </w:r>
      <w:bookmarkEnd w:id="1019"/>
      <w:bookmarkEnd w:id="1020"/>
      <w:bookmarkEnd w:id="1021"/>
    </w:p>
    <w:p w14:paraId="1C655195">
      <w:pPr>
        <w:spacing w:line="560" w:lineRule="exact"/>
        <w:ind w:firstLine="480" w:firstLineChars="200"/>
        <w:rPr>
          <w:rFonts w:ascii="仿宋" w:hAnsi="仿宋" w:eastAsia="仿宋" w:cs="仿宋"/>
          <w:sz w:val="24"/>
        </w:rPr>
      </w:pPr>
      <w:r>
        <w:rPr>
          <w:rFonts w:hint="eastAsia" w:ascii="仿宋" w:hAnsi="仿宋" w:eastAsia="仿宋" w:cs="仿宋"/>
          <w:sz w:val="24"/>
        </w:rPr>
        <w:t>2.16.1 双方当事人不得擅自中止或者终止合同；</w:t>
      </w:r>
    </w:p>
    <w:p w14:paraId="4F269822">
      <w:pPr>
        <w:spacing w:line="560" w:lineRule="exact"/>
        <w:ind w:firstLine="480" w:firstLineChars="200"/>
        <w:rPr>
          <w:rFonts w:ascii="仿宋" w:hAnsi="仿宋" w:eastAsia="仿宋" w:cs="仿宋"/>
          <w:sz w:val="24"/>
        </w:rPr>
      </w:pPr>
      <w:r>
        <w:rPr>
          <w:rFonts w:hint="eastAsia" w:ascii="仿宋" w:hAnsi="仿宋" w:eastAsia="仿宋" w:cs="仿宋"/>
          <w:sz w:val="24"/>
        </w:rPr>
        <w:t>2.16.2合同继续履行将损害国家利益和社会公共利益的，双方当事人应当中止或者终止合同。有过错的一方应当承担赔偿责任，双方当事人都有过错的，各自承担相应的责任。</w:t>
      </w:r>
    </w:p>
    <w:p w14:paraId="62228A04">
      <w:pPr>
        <w:spacing w:line="560" w:lineRule="exact"/>
        <w:ind w:firstLine="482" w:firstLineChars="200"/>
        <w:rPr>
          <w:rFonts w:ascii="仿宋" w:hAnsi="仿宋" w:eastAsia="仿宋" w:cs="仿宋"/>
          <w:b/>
          <w:sz w:val="24"/>
        </w:rPr>
      </w:pPr>
      <w:bookmarkStart w:id="1022" w:name="_Toc6596"/>
      <w:bookmarkStart w:id="1023" w:name="_Toc1125"/>
      <w:bookmarkStart w:id="1024" w:name="_Toc14563"/>
      <w:r>
        <w:rPr>
          <w:rFonts w:hint="eastAsia" w:ascii="仿宋" w:hAnsi="仿宋" w:eastAsia="仿宋" w:cs="仿宋"/>
          <w:b/>
          <w:sz w:val="24"/>
        </w:rPr>
        <w:t>2.17 检验和验收</w:t>
      </w:r>
      <w:bookmarkEnd w:id="1022"/>
      <w:bookmarkEnd w:id="1023"/>
      <w:bookmarkEnd w:id="1024"/>
    </w:p>
    <w:p w14:paraId="2129EBED">
      <w:pPr>
        <w:tabs>
          <w:tab w:val="left" w:pos="360"/>
          <w:tab w:val="left" w:pos="540"/>
          <w:tab w:val="left" w:pos="1080"/>
        </w:tabs>
        <w:spacing w:line="560" w:lineRule="exact"/>
        <w:ind w:firstLine="480" w:firstLineChars="200"/>
        <w:rPr>
          <w:rFonts w:ascii="仿宋" w:hAnsi="仿宋" w:eastAsia="仿宋" w:cs="仿宋"/>
          <w:sz w:val="24"/>
        </w:rPr>
      </w:pPr>
      <w:r>
        <w:rPr>
          <w:rFonts w:hint="eastAsia" w:ascii="仿宋" w:hAnsi="仿宋" w:eastAsia="仿宋" w:cs="仿宋"/>
          <w:sz w:val="24"/>
        </w:rPr>
        <w:t>2.17.1货物交付前，乙方应对货物的质量、数量等方面进行详细、全面的检验，并向甲方出具证明货物符合合同约定的文件；货物交付时，乙方在</w:t>
      </w:r>
      <w:r>
        <w:rPr>
          <w:rFonts w:hint="eastAsia" w:ascii="仿宋" w:hAnsi="仿宋" w:eastAsia="仿宋" w:cs="仿宋"/>
          <w:b/>
          <w:i/>
          <w:sz w:val="24"/>
          <w:u w:val="single"/>
        </w:rPr>
        <w:t>合同专用条款</w:t>
      </w:r>
      <w:r>
        <w:rPr>
          <w:rFonts w:hint="eastAsia" w:ascii="仿宋" w:hAnsi="仿宋" w:eastAsia="仿宋" w:cs="仿宋"/>
          <w:sz w:val="24"/>
        </w:rPr>
        <w:t>约定时间内组织验收，并可依法邀请相关方参加，验收应出具验收书。</w:t>
      </w:r>
    </w:p>
    <w:p w14:paraId="16793864">
      <w:pPr>
        <w:tabs>
          <w:tab w:val="left" w:pos="360"/>
          <w:tab w:val="left" w:pos="540"/>
          <w:tab w:val="left" w:pos="1080"/>
        </w:tabs>
        <w:spacing w:line="560" w:lineRule="exact"/>
        <w:ind w:firstLine="480" w:firstLineChars="200"/>
        <w:rPr>
          <w:rFonts w:ascii="仿宋" w:hAnsi="仿宋" w:eastAsia="仿宋" w:cs="仿宋"/>
          <w:sz w:val="24"/>
        </w:rPr>
      </w:pPr>
      <w:r>
        <w:rPr>
          <w:rFonts w:hint="eastAsia" w:ascii="仿宋" w:hAnsi="仿宋" w:eastAsia="仿宋" w:cs="仿宋"/>
          <w:sz w:val="24"/>
        </w:rPr>
        <w:t>2.17.2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4A717E2C">
      <w:pPr>
        <w:tabs>
          <w:tab w:val="left" w:pos="360"/>
          <w:tab w:val="left" w:pos="540"/>
          <w:tab w:val="left" w:pos="1080"/>
        </w:tabs>
        <w:spacing w:line="560" w:lineRule="exact"/>
        <w:ind w:firstLine="480" w:firstLineChars="200"/>
        <w:rPr>
          <w:rFonts w:ascii="仿宋" w:hAnsi="仿宋" w:eastAsia="仿宋" w:cs="仿宋"/>
          <w:sz w:val="24"/>
        </w:rPr>
      </w:pPr>
      <w:r>
        <w:rPr>
          <w:rFonts w:hint="eastAsia" w:ascii="仿宋" w:hAnsi="仿宋" w:eastAsia="仿宋" w:cs="仿宋"/>
          <w:sz w:val="24"/>
        </w:rPr>
        <w:t>2.17.3 检验和验收标准、程序等具体内容以及前述验收书的效力详见</w:t>
      </w:r>
      <w:r>
        <w:rPr>
          <w:rFonts w:hint="eastAsia" w:ascii="仿宋" w:hAnsi="仿宋" w:eastAsia="仿宋" w:cs="仿宋"/>
          <w:b/>
          <w:i/>
          <w:sz w:val="24"/>
          <w:u w:val="single"/>
        </w:rPr>
        <w:t>合同专用条款</w:t>
      </w:r>
      <w:r>
        <w:rPr>
          <w:rFonts w:hint="eastAsia" w:ascii="仿宋" w:hAnsi="仿宋" w:eastAsia="仿宋" w:cs="仿宋"/>
          <w:i/>
          <w:sz w:val="24"/>
        </w:rPr>
        <w:t>。</w:t>
      </w:r>
    </w:p>
    <w:bookmarkEnd w:id="994"/>
    <w:bookmarkEnd w:id="995"/>
    <w:bookmarkEnd w:id="996"/>
    <w:bookmarkEnd w:id="997"/>
    <w:p w14:paraId="1DAEE3C7">
      <w:pPr>
        <w:spacing w:line="560" w:lineRule="exact"/>
        <w:ind w:firstLine="482" w:firstLineChars="200"/>
        <w:rPr>
          <w:rFonts w:ascii="仿宋" w:hAnsi="仿宋" w:eastAsia="仿宋" w:cs="仿宋"/>
          <w:b/>
          <w:sz w:val="24"/>
        </w:rPr>
      </w:pPr>
      <w:bookmarkStart w:id="1025" w:name="_Toc487900371"/>
      <w:bookmarkStart w:id="1026" w:name="_Toc259093690"/>
      <w:bookmarkStart w:id="1027" w:name="_Toc279701261"/>
      <w:bookmarkStart w:id="1028" w:name="_Toc25182"/>
      <w:bookmarkStart w:id="1029" w:name="_Toc19604"/>
      <w:bookmarkStart w:id="1030" w:name="_Toc11284"/>
      <w:r>
        <w:rPr>
          <w:rFonts w:hint="eastAsia" w:ascii="仿宋" w:hAnsi="仿宋" w:eastAsia="仿宋" w:cs="仿宋"/>
          <w:b/>
          <w:sz w:val="24"/>
        </w:rPr>
        <w:t>2.18 通知</w:t>
      </w:r>
      <w:bookmarkEnd w:id="1025"/>
      <w:bookmarkEnd w:id="1026"/>
      <w:bookmarkEnd w:id="1027"/>
      <w:r>
        <w:rPr>
          <w:rFonts w:hint="eastAsia" w:ascii="仿宋" w:hAnsi="仿宋" w:eastAsia="仿宋" w:cs="仿宋"/>
          <w:b/>
          <w:sz w:val="24"/>
        </w:rPr>
        <w:t>和送达</w:t>
      </w:r>
      <w:bookmarkEnd w:id="1028"/>
      <w:bookmarkEnd w:id="1029"/>
      <w:bookmarkEnd w:id="1030"/>
    </w:p>
    <w:p w14:paraId="1F7F2C2F">
      <w:pPr>
        <w:spacing w:line="560" w:lineRule="exact"/>
        <w:ind w:firstLine="480" w:firstLineChars="200"/>
        <w:rPr>
          <w:rFonts w:ascii="仿宋" w:hAnsi="仿宋" w:eastAsia="仿宋" w:cs="仿宋"/>
          <w:sz w:val="24"/>
        </w:rPr>
      </w:pPr>
      <w:bookmarkStart w:id="1031" w:name="_Toc6698"/>
      <w:bookmarkStart w:id="1032" w:name="_Toc3135"/>
      <w:bookmarkStart w:id="1033" w:name="_Toc279701262"/>
      <w:bookmarkStart w:id="1034" w:name="_Toc259093691"/>
      <w:bookmarkStart w:id="1035" w:name="_Toc487900372"/>
      <w:r>
        <w:rPr>
          <w:rFonts w:hint="eastAsia" w:ascii="仿宋" w:hAnsi="仿宋" w:eastAsia="仿宋" w:cs="仿宋"/>
          <w:sz w:val="24"/>
        </w:rPr>
        <w:t>2.18.1 任何一方因履行合同而以合同第一部分尾部所列明的</w:t>
      </w:r>
      <w:r>
        <w:rPr>
          <w:rFonts w:hint="eastAsia" w:ascii="仿宋" w:hAnsi="仿宋" w:eastAsia="仿宋" w:cs="仿宋"/>
          <w:sz w:val="24"/>
          <w:u w:val="single"/>
        </w:rPr>
        <w:t xml:space="preserve">          </w:t>
      </w:r>
      <w:r>
        <w:rPr>
          <w:rFonts w:hint="eastAsia" w:ascii="仿宋" w:hAnsi="仿宋" w:eastAsia="仿宋" w:cs="仿宋"/>
          <w:sz w:val="24"/>
        </w:rPr>
        <w:t>发出的所有通知、文件、材料，均视为已向对方当事人送达；任何一方变更上述送达方式或者地址的，应于</w:t>
      </w:r>
      <w:r>
        <w:rPr>
          <w:rFonts w:hint="eastAsia" w:ascii="仿宋" w:hAnsi="仿宋" w:eastAsia="仿宋" w:cs="仿宋"/>
          <w:sz w:val="24"/>
          <w:u w:val="single"/>
        </w:rPr>
        <w:t xml:space="preserve">   </w:t>
      </w:r>
      <w:r>
        <w:rPr>
          <w:rFonts w:hint="eastAsia" w:ascii="仿宋" w:hAnsi="仿宋" w:eastAsia="仿宋" w:cs="仿宋"/>
          <w:sz w:val="24"/>
        </w:rPr>
        <w:t>个工作日内书面通知对方当事人，在对方当事人收到有关变更通知之前，变更前的约定送达方式或者地址仍视为有效。</w:t>
      </w:r>
      <w:bookmarkEnd w:id="1031"/>
      <w:bookmarkEnd w:id="1032"/>
    </w:p>
    <w:p w14:paraId="1E742110">
      <w:pPr>
        <w:spacing w:line="560" w:lineRule="exact"/>
        <w:ind w:firstLine="480" w:firstLineChars="200"/>
        <w:rPr>
          <w:rFonts w:ascii="仿宋" w:hAnsi="仿宋" w:eastAsia="仿宋" w:cs="仿宋"/>
          <w:sz w:val="24"/>
        </w:rPr>
      </w:pPr>
      <w:bookmarkStart w:id="1036" w:name="_Toc23128"/>
      <w:bookmarkStart w:id="1037" w:name="_Toc23294"/>
      <w:r>
        <w:rPr>
          <w:rFonts w:hint="eastAsia" w:ascii="仿宋" w:hAnsi="仿宋" w:eastAsia="仿宋" w:cs="仿宋"/>
          <w:sz w:val="24"/>
        </w:rPr>
        <w:t>2.18.2以当面交付方式送达的，交付之时视为送达；以电子邮件方式送达的，发出电子邮件之时视为送达；以传真方式送达的，发出传真之时视为送达；以邮寄方式送达的，邮件挂号寄出或者交邮之日之次日视为送达。</w:t>
      </w:r>
      <w:bookmarkEnd w:id="1036"/>
      <w:bookmarkEnd w:id="1037"/>
    </w:p>
    <w:p w14:paraId="5353E53D">
      <w:pPr>
        <w:spacing w:line="560" w:lineRule="exact"/>
        <w:ind w:firstLine="482" w:firstLineChars="200"/>
        <w:rPr>
          <w:rFonts w:ascii="仿宋" w:hAnsi="仿宋" w:eastAsia="仿宋" w:cs="仿宋"/>
          <w:b/>
          <w:sz w:val="24"/>
        </w:rPr>
      </w:pPr>
      <w:bookmarkStart w:id="1038" w:name="_Toc30599"/>
      <w:bookmarkStart w:id="1039" w:name="_Toc4355"/>
      <w:bookmarkStart w:id="1040" w:name="_Toc18540"/>
      <w:r>
        <w:rPr>
          <w:rFonts w:hint="eastAsia" w:ascii="仿宋" w:hAnsi="仿宋" w:eastAsia="仿宋" w:cs="仿宋"/>
          <w:b/>
          <w:sz w:val="24"/>
        </w:rPr>
        <w:t>2.19 计量单位</w:t>
      </w:r>
      <w:bookmarkEnd w:id="1033"/>
      <w:bookmarkEnd w:id="1034"/>
      <w:bookmarkEnd w:id="1035"/>
      <w:bookmarkEnd w:id="1038"/>
      <w:bookmarkEnd w:id="1039"/>
      <w:bookmarkEnd w:id="1040"/>
    </w:p>
    <w:p w14:paraId="5FCE75E4">
      <w:pPr>
        <w:spacing w:line="560" w:lineRule="exact"/>
        <w:ind w:firstLine="480" w:firstLineChars="200"/>
        <w:rPr>
          <w:rFonts w:ascii="仿宋" w:hAnsi="仿宋" w:eastAsia="仿宋" w:cs="仿宋"/>
          <w:sz w:val="24"/>
        </w:rPr>
      </w:pPr>
      <w:r>
        <w:rPr>
          <w:rFonts w:hint="eastAsia" w:ascii="仿宋" w:hAnsi="仿宋" w:eastAsia="仿宋" w:cs="仿宋"/>
          <w:sz w:val="24"/>
        </w:rPr>
        <w:t>除技术规范中另有规定外,合同的计量单位均使用国家法定计量单位。</w:t>
      </w:r>
    </w:p>
    <w:p w14:paraId="534F6629">
      <w:pPr>
        <w:spacing w:line="560" w:lineRule="exact"/>
        <w:ind w:firstLine="482" w:firstLineChars="200"/>
        <w:rPr>
          <w:rFonts w:ascii="仿宋" w:hAnsi="仿宋" w:eastAsia="仿宋" w:cs="仿宋"/>
          <w:b/>
          <w:sz w:val="24"/>
        </w:rPr>
      </w:pPr>
      <w:bookmarkStart w:id="1041" w:name="_Toc487900373"/>
      <w:bookmarkStart w:id="1042" w:name="_Toc18567"/>
      <w:bookmarkStart w:id="1043" w:name="_Toc259093692"/>
      <w:bookmarkStart w:id="1044" w:name="_Toc10330"/>
      <w:bookmarkStart w:id="1045" w:name="_Toc12773"/>
      <w:bookmarkStart w:id="1046" w:name="_Toc279701263"/>
      <w:r>
        <w:rPr>
          <w:rFonts w:hint="eastAsia" w:ascii="仿宋" w:hAnsi="仿宋" w:eastAsia="仿宋" w:cs="仿宋"/>
          <w:b/>
          <w:sz w:val="24"/>
        </w:rPr>
        <w:t>2.20 合同使用的文字和适用的法律</w:t>
      </w:r>
      <w:bookmarkEnd w:id="1041"/>
      <w:bookmarkEnd w:id="1042"/>
      <w:bookmarkEnd w:id="1043"/>
      <w:bookmarkEnd w:id="1044"/>
      <w:bookmarkEnd w:id="1045"/>
      <w:bookmarkEnd w:id="1046"/>
    </w:p>
    <w:p w14:paraId="58A0D5CE">
      <w:pPr>
        <w:spacing w:line="560" w:lineRule="exact"/>
        <w:ind w:firstLine="480" w:firstLineChars="200"/>
        <w:rPr>
          <w:rFonts w:ascii="仿宋" w:hAnsi="仿宋" w:eastAsia="仿宋" w:cs="仿宋"/>
          <w:sz w:val="24"/>
        </w:rPr>
      </w:pPr>
      <w:r>
        <w:rPr>
          <w:rFonts w:hint="eastAsia" w:ascii="仿宋" w:hAnsi="仿宋" w:eastAsia="仿宋" w:cs="仿宋"/>
          <w:sz w:val="24"/>
        </w:rPr>
        <w:t>2.20.1 合同使用汉语书就、变更和解释；</w:t>
      </w:r>
    </w:p>
    <w:p w14:paraId="27B3BE7E">
      <w:pPr>
        <w:spacing w:line="560" w:lineRule="exact"/>
        <w:ind w:firstLine="480" w:firstLineChars="200"/>
        <w:rPr>
          <w:rFonts w:ascii="仿宋" w:hAnsi="仿宋" w:eastAsia="仿宋" w:cs="仿宋"/>
          <w:sz w:val="24"/>
        </w:rPr>
      </w:pPr>
      <w:r>
        <w:rPr>
          <w:rFonts w:hint="eastAsia" w:ascii="仿宋" w:hAnsi="仿宋" w:eastAsia="仿宋" w:cs="仿宋"/>
          <w:sz w:val="24"/>
        </w:rPr>
        <w:t>2.20.2 合同适用中华人民共和国法律。</w:t>
      </w:r>
    </w:p>
    <w:p w14:paraId="5BFE7984">
      <w:pPr>
        <w:spacing w:line="560" w:lineRule="exact"/>
        <w:ind w:firstLine="482" w:firstLineChars="200"/>
        <w:rPr>
          <w:rFonts w:ascii="仿宋" w:hAnsi="仿宋" w:eastAsia="仿宋" w:cs="仿宋"/>
          <w:b/>
          <w:sz w:val="24"/>
        </w:rPr>
      </w:pPr>
      <w:bookmarkStart w:id="1047" w:name="_Toc3148"/>
      <w:bookmarkStart w:id="1048" w:name="_Toc12004"/>
      <w:bookmarkStart w:id="1049" w:name="_Toc16673"/>
      <w:bookmarkStart w:id="1050" w:name="_Toc259093693"/>
      <w:bookmarkStart w:id="1051" w:name="_Toc279701264"/>
      <w:bookmarkStart w:id="1052" w:name="_Toc487900374"/>
      <w:r>
        <w:rPr>
          <w:rFonts w:hint="eastAsia" w:ascii="仿宋" w:hAnsi="仿宋" w:eastAsia="仿宋" w:cs="仿宋"/>
          <w:b/>
          <w:sz w:val="24"/>
        </w:rPr>
        <w:t>2.21 履约保证金</w:t>
      </w:r>
      <w:bookmarkEnd w:id="1047"/>
      <w:bookmarkEnd w:id="1048"/>
      <w:bookmarkEnd w:id="1049"/>
      <w:bookmarkEnd w:id="1050"/>
      <w:bookmarkEnd w:id="1051"/>
    </w:p>
    <w:p w14:paraId="1E8F20CF">
      <w:pPr>
        <w:spacing w:line="560" w:lineRule="exact"/>
        <w:ind w:firstLine="480" w:firstLineChars="200"/>
        <w:rPr>
          <w:rFonts w:ascii="仿宋" w:hAnsi="仿宋" w:eastAsia="仿宋" w:cs="仿宋"/>
          <w:sz w:val="24"/>
        </w:rPr>
      </w:pPr>
      <w:r>
        <w:rPr>
          <w:rFonts w:hint="eastAsia" w:ascii="仿宋" w:hAnsi="仿宋" w:eastAsia="仿宋" w:cs="仿宋"/>
          <w:sz w:val="24"/>
        </w:rPr>
        <w:t>2.21.1 采购文件要求乙方提交履约保证金的，乙方应按</w:t>
      </w:r>
      <w:r>
        <w:rPr>
          <w:rFonts w:hint="eastAsia" w:ascii="仿宋" w:hAnsi="仿宋" w:eastAsia="仿宋" w:cs="仿宋"/>
          <w:b/>
          <w:i/>
          <w:sz w:val="24"/>
          <w:u w:val="single"/>
        </w:rPr>
        <w:t>合同专用条款</w:t>
      </w:r>
      <w:r>
        <w:rPr>
          <w:rFonts w:hint="eastAsia" w:ascii="仿宋" w:hAnsi="仿宋" w:eastAsia="仿宋" w:cs="仿宋"/>
          <w:sz w:val="24"/>
        </w:rPr>
        <w:t>约定的方式，以支票、汇票、本票或者金融机构、担保机构出具的保函等非现金形式，提交不超过合同价5%的履约保证金；</w:t>
      </w:r>
    </w:p>
    <w:p w14:paraId="443AC1D1">
      <w:pPr>
        <w:spacing w:line="560" w:lineRule="exact"/>
        <w:ind w:firstLine="480" w:firstLineChars="200"/>
        <w:rPr>
          <w:rFonts w:ascii="仿宋" w:hAnsi="仿宋" w:eastAsia="仿宋" w:cs="仿宋"/>
          <w:sz w:val="24"/>
        </w:rPr>
      </w:pPr>
      <w:r>
        <w:rPr>
          <w:rFonts w:hint="eastAsia" w:ascii="仿宋" w:hAnsi="仿宋" w:eastAsia="仿宋" w:cs="仿宋"/>
          <w:sz w:val="24"/>
        </w:rPr>
        <w:t>2.21.2  履约保证金在</w:t>
      </w:r>
      <w:r>
        <w:rPr>
          <w:rFonts w:hint="eastAsia" w:ascii="仿宋" w:hAnsi="仿宋" w:eastAsia="仿宋" w:cs="仿宋"/>
          <w:b/>
          <w:i/>
          <w:sz w:val="24"/>
          <w:u w:val="single"/>
        </w:rPr>
        <w:t>合同专用条款</w:t>
      </w:r>
      <w:r>
        <w:rPr>
          <w:rFonts w:hint="eastAsia" w:ascii="仿宋" w:hAnsi="仿宋" w:eastAsia="仿宋" w:cs="仿宋"/>
          <w:sz w:val="24"/>
        </w:rPr>
        <w:t>约定期间内或者货物质量保证期内不予退还或者应完全有效，前述约定期间届满或者货物质量保证期届满之日起</w:t>
      </w:r>
      <w:r>
        <w:rPr>
          <w:rFonts w:hint="eastAsia" w:ascii="仿宋" w:hAnsi="仿宋" w:eastAsia="仿宋" w:cs="仿宋"/>
          <w:sz w:val="24"/>
          <w:u w:val="single"/>
        </w:rPr>
        <w:t xml:space="preserve">  </w:t>
      </w:r>
      <w:r>
        <w:rPr>
          <w:rFonts w:hint="eastAsia" w:ascii="仿宋" w:hAnsi="仿宋" w:eastAsia="仿宋" w:cs="仿宋"/>
          <w:sz w:val="24"/>
        </w:rPr>
        <w:t>个工作日内，甲方应将履约保证金退还乙方；</w:t>
      </w:r>
    </w:p>
    <w:p w14:paraId="1809B410">
      <w:pPr>
        <w:spacing w:line="560" w:lineRule="exact"/>
        <w:ind w:firstLine="480" w:firstLineChars="200"/>
        <w:rPr>
          <w:rFonts w:ascii="仿宋" w:hAnsi="仿宋" w:eastAsia="仿宋" w:cs="仿宋"/>
          <w:sz w:val="24"/>
        </w:rPr>
      </w:pPr>
      <w:r>
        <w:rPr>
          <w:rFonts w:hint="eastAsia" w:ascii="仿宋" w:hAnsi="仿宋" w:eastAsia="仿宋" w:cs="仿宋"/>
          <w:sz w:val="24"/>
        </w:rPr>
        <w:t>2.21.3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1052"/>
    <w:p w14:paraId="18FBE0EA">
      <w:pPr>
        <w:spacing w:line="560" w:lineRule="exact"/>
        <w:ind w:firstLine="482" w:firstLineChars="200"/>
        <w:rPr>
          <w:rFonts w:ascii="仿宋" w:hAnsi="仿宋" w:eastAsia="仿宋" w:cs="仿宋"/>
          <w:b/>
          <w:sz w:val="24"/>
        </w:rPr>
      </w:pPr>
      <w:bookmarkStart w:id="1053" w:name="_Toc6885"/>
      <w:bookmarkStart w:id="1054" w:name="_Toc19890"/>
      <w:bookmarkStart w:id="1055" w:name="_Toc14001"/>
      <w:r>
        <w:rPr>
          <w:rFonts w:hint="eastAsia" w:ascii="仿宋" w:hAnsi="仿宋" w:eastAsia="仿宋" w:cs="仿宋"/>
          <w:b/>
          <w:sz w:val="24"/>
        </w:rPr>
        <w:t>2.22 合同份数</w:t>
      </w:r>
      <w:bookmarkEnd w:id="1053"/>
      <w:bookmarkEnd w:id="1054"/>
      <w:bookmarkEnd w:id="1055"/>
    </w:p>
    <w:p w14:paraId="3256FD8E">
      <w:pPr>
        <w:spacing w:line="560" w:lineRule="exact"/>
        <w:ind w:firstLine="480" w:firstLineChars="200"/>
        <w:rPr>
          <w:rFonts w:ascii="仿宋" w:hAnsi="仿宋" w:eastAsia="仿宋" w:cs="仿宋"/>
          <w:sz w:val="24"/>
        </w:rPr>
      </w:pPr>
      <w:r>
        <w:rPr>
          <w:rFonts w:hint="eastAsia" w:ascii="仿宋" w:hAnsi="仿宋" w:eastAsia="仿宋" w:cs="仿宋"/>
          <w:sz w:val="24"/>
        </w:rPr>
        <w:t>合同份数按</w:t>
      </w:r>
      <w:r>
        <w:rPr>
          <w:rFonts w:hint="eastAsia" w:ascii="仿宋" w:hAnsi="仿宋" w:eastAsia="仿宋" w:cs="仿宋"/>
          <w:b/>
          <w:i/>
          <w:sz w:val="24"/>
          <w:u w:val="single"/>
        </w:rPr>
        <w:t>合同专用条款</w:t>
      </w:r>
      <w:r>
        <w:rPr>
          <w:rFonts w:hint="eastAsia" w:ascii="仿宋" w:hAnsi="仿宋" w:eastAsia="仿宋" w:cs="仿宋"/>
          <w:sz w:val="24"/>
        </w:rPr>
        <w:t>规定，每份均具有同等法律效力。</w:t>
      </w:r>
    </w:p>
    <w:p w14:paraId="2E474C7C">
      <w:pPr>
        <w:pStyle w:val="58"/>
        <w:spacing w:line="560" w:lineRule="exact"/>
        <w:ind w:firstLine="0"/>
        <w:jc w:val="center"/>
        <w:rPr>
          <w:rFonts w:ascii="仿宋" w:hAnsi="仿宋" w:eastAsia="仿宋" w:cs="仿宋"/>
          <w:b/>
          <w:szCs w:val="24"/>
        </w:rPr>
      </w:pPr>
      <w:r>
        <w:rPr>
          <w:rFonts w:hint="eastAsia" w:ascii="仿宋" w:hAnsi="仿宋" w:eastAsia="仿宋" w:cs="仿宋"/>
          <w:szCs w:val="24"/>
        </w:rPr>
        <w:br w:type="page"/>
      </w:r>
      <w:bookmarkStart w:id="1056" w:name="_Toc331685784"/>
      <w:r>
        <w:rPr>
          <w:rFonts w:hint="eastAsia" w:ascii="仿宋" w:hAnsi="仿宋" w:eastAsia="仿宋" w:cs="仿宋"/>
          <w:b/>
          <w:szCs w:val="24"/>
        </w:rPr>
        <w:t>第三部分  合同专用条款</w:t>
      </w:r>
      <w:bookmarkEnd w:id="1056"/>
    </w:p>
    <w:p w14:paraId="79A52A21">
      <w:pPr>
        <w:spacing w:line="560" w:lineRule="exact"/>
        <w:ind w:firstLine="480" w:firstLineChars="200"/>
        <w:rPr>
          <w:rFonts w:ascii="仿宋" w:hAnsi="仿宋" w:eastAsia="仿宋" w:cs="仿宋"/>
          <w:sz w:val="24"/>
        </w:rPr>
      </w:pPr>
      <w:r>
        <w:rPr>
          <w:rFonts w:hint="eastAsia" w:ascii="仿宋" w:hAnsi="仿宋" w:eastAsia="仿宋" w:cs="仿宋"/>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35"/>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06EF2F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vAlign w:val="center"/>
          </w:tcPr>
          <w:p w14:paraId="56E3D642">
            <w:pPr>
              <w:spacing w:line="560" w:lineRule="exact"/>
              <w:jc w:val="center"/>
              <w:rPr>
                <w:rFonts w:ascii="仿宋" w:hAnsi="仿宋" w:eastAsia="仿宋" w:cs="仿宋"/>
                <w:b/>
                <w:sz w:val="24"/>
              </w:rPr>
            </w:pPr>
            <w:r>
              <w:rPr>
                <w:rFonts w:hint="eastAsia" w:ascii="仿宋" w:hAnsi="仿宋" w:eastAsia="仿宋" w:cs="仿宋"/>
                <w:b/>
                <w:sz w:val="24"/>
              </w:rPr>
              <w:t>条款号</w:t>
            </w:r>
          </w:p>
        </w:tc>
        <w:tc>
          <w:tcPr>
            <w:tcW w:w="7633" w:type="dxa"/>
            <w:vAlign w:val="center"/>
          </w:tcPr>
          <w:p w14:paraId="06539A1E">
            <w:pPr>
              <w:spacing w:line="560" w:lineRule="exact"/>
              <w:jc w:val="center"/>
              <w:rPr>
                <w:rFonts w:ascii="仿宋" w:hAnsi="仿宋" w:eastAsia="仿宋" w:cs="仿宋"/>
                <w:b/>
                <w:sz w:val="24"/>
              </w:rPr>
            </w:pPr>
            <w:r>
              <w:rPr>
                <w:rFonts w:hint="eastAsia" w:ascii="仿宋" w:hAnsi="仿宋" w:eastAsia="仿宋" w:cs="仿宋"/>
                <w:b/>
                <w:sz w:val="24"/>
              </w:rPr>
              <w:t>约定内容</w:t>
            </w:r>
          </w:p>
        </w:tc>
      </w:tr>
      <w:tr w14:paraId="2D1587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vAlign w:val="center"/>
          </w:tcPr>
          <w:p w14:paraId="006DB3FE">
            <w:pPr>
              <w:spacing w:line="560" w:lineRule="exact"/>
              <w:rPr>
                <w:rFonts w:ascii="仿宋" w:hAnsi="仿宋" w:eastAsia="仿宋" w:cs="仿宋"/>
                <w:sz w:val="24"/>
              </w:rPr>
            </w:pPr>
          </w:p>
        </w:tc>
        <w:tc>
          <w:tcPr>
            <w:tcW w:w="7633" w:type="dxa"/>
            <w:vAlign w:val="center"/>
          </w:tcPr>
          <w:p w14:paraId="19F643A1">
            <w:pPr>
              <w:spacing w:line="560" w:lineRule="exact"/>
              <w:rPr>
                <w:rFonts w:ascii="仿宋" w:hAnsi="仿宋" w:eastAsia="仿宋" w:cs="仿宋"/>
                <w:sz w:val="24"/>
              </w:rPr>
            </w:pPr>
          </w:p>
        </w:tc>
      </w:tr>
      <w:tr w14:paraId="0A1124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25824B1D">
            <w:pPr>
              <w:spacing w:line="560" w:lineRule="exact"/>
              <w:rPr>
                <w:rFonts w:ascii="仿宋" w:hAnsi="仿宋" w:eastAsia="仿宋" w:cs="仿宋"/>
                <w:sz w:val="24"/>
              </w:rPr>
            </w:pPr>
          </w:p>
        </w:tc>
        <w:tc>
          <w:tcPr>
            <w:tcW w:w="7633" w:type="dxa"/>
            <w:vAlign w:val="center"/>
          </w:tcPr>
          <w:p w14:paraId="6C54479E">
            <w:pPr>
              <w:spacing w:line="560" w:lineRule="exact"/>
              <w:rPr>
                <w:rFonts w:ascii="仿宋" w:hAnsi="仿宋" w:eastAsia="仿宋" w:cs="仿宋"/>
                <w:sz w:val="24"/>
              </w:rPr>
            </w:pPr>
          </w:p>
        </w:tc>
      </w:tr>
      <w:tr w14:paraId="67CFB5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6E663A07">
            <w:pPr>
              <w:spacing w:line="560" w:lineRule="exact"/>
              <w:rPr>
                <w:rFonts w:ascii="仿宋" w:hAnsi="仿宋" w:eastAsia="仿宋" w:cs="仿宋"/>
                <w:sz w:val="24"/>
              </w:rPr>
            </w:pPr>
          </w:p>
        </w:tc>
        <w:tc>
          <w:tcPr>
            <w:tcW w:w="7633" w:type="dxa"/>
            <w:vAlign w:val="center"/>
          </w:tcPr>
          <w:p w14:paraId="68A0017B">
            <w:pPr>
              <w:spacing w:line="560" w:lineRule="exact"/>
              <w:rPr>
                <w:rFonts w:ascii="仿宋" w:hAnsi="仿宋" w:eastAsia="仿宋" w:cs="仿宋"/>
                <w:sz w:val="24"/>
              </w:rPr>
            </w:pPr>
          </w:p>
        </w:tc>
      </w:tr>
      <w:tr w14:paraId="2C3591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46DCD8B4">
            <w:pPr>
              <w:spacing w:line="560" w:lineRule="exact"/>
              <w:rPr>
                <w:rFonts w:ascii="仿宋" w:hAnsi="仿宋" w:eastAsia="仿宋" w:cs="仿宋"/>
                <w:sz w:val="24"/>
              </w:rPr>
            </w:pPr>
          </w:p>
        </w:tc>
        <w:tc>
          <w:tcPr>
            <w:tcW w:w="7633" w:type="dxa"/>
            <w:vAlign w:val="center"/>
          </w:tcPr>
          <w:p w14:paraId="2B795A68">
            <w:pPr>
              <w:spacing w:line="560" w:lineRule="exact"/>
              <w:rPr>
                <w:rFonts w:ascii="仿宋" w:hAnsi="仿宋" w:eastAsia="仿宋" w:cs="仿宋"/>
                <w:sz w:val="24"/>
              </w:rPr>
            </w:pPr>
          </w:p>
        </w:tc>
      </w:tr>
      <w:tr w14:paraId="2047F6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3DFF8C55">
            <w:pPr>
              <w:spacing w:line="560" w:lineRule="exact"/>
              <w:rPr>
                <w:rFonts w:ascii="仿宋" w:hAnsi="仿宋" w:eastAsia="仿宋" w:cs="仿宋"/>
                <w:sz w:val="24"/>
              </w:rPr>
            </w:pPr>
          </w:p>
        </w:tc>
        <w:tc>
          <w:tcPr>
            <w:tcW w:w="7633" w:type="dxa"/>
            <w:vAlign w:val="center"/>
          </w:tcPr>
          <w:p w14:paraId="32E103A1">
            <w:pPr>
              <w:spacing w:line="560" w:lineRule="exact"/>
              <w:rPr>
                <w:rFonts w:ascii="仿宋" w:hAnsi="仿宋" w:eastAsia="仿宋" w:cs="仿宋"/>
                <w:sz w:val="24"/>
                <w:u w:val="single"/>
              </w:rPr>
            </w:pPr>
          </w:p>
        </w:tc>
      </w:tr>
      <w:tr w14:paraId="0110E5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6C6D8896">
            <w:pPr>
              <w:spacing w:line="560" w:lineRule="exact"/>
              <w:rPr>
                <w:rFonts w:ascii="仿宋" w:hAnsi="仿宋" w:eastAsia="仿宋" w:cs="仿宋"/>
                <w:sz w:val="24"/>
              </w:rPr>
            </w:pPr>
          </w:p>
        </w:tc>
        <w:tc>
          <w:tcPr>
            <w:tcW w:w="7633" w:type="dxa"/>
            <w:vAlign w:val="center"/>
          </w:tcPr>
          <w:p w14:paraId="5B50BDD1">
            <w:pPr>
              <w:spacing w:line="560" w:lineRule="exact"/>
              <w:rPr>
                <w:rFonts w:ascii="仿宋" w:hAnsi="仿宋" w:eastAsia="仿宋" w:cs="仿宋"/>
                <w:sz w:val="24"/>
              </w:rPr>
            </w:pPr>
          </w:p>
        </w:tc>
      </w:tr>
      <w:tr w14:paraId="1D1F04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4CCA8EBD">
            <w:pPr>
              <w:spacing w:line="560" w:lineRule="exact"/>
              <w:rPr>
                <w:rFonts w:ascii="仿宋" w:hAnsi="仿宋" w:eastAsia="仿宋" w:cs="仿宋"/>
                <w:sz w:val="24"/>
              </w:rPr>
            </w:pPr>
          </w:p>
        </w:tc>
        <w:tc>
          <w:tcPr>
            <w:tcW w:w="7633" w:type="dxa"/>
            <w:vAlign w:val="center"/>
          </w:tcPr>
          <w:p w14:paraId="67411CDD">
            <w:pPr>
              <w:spacing w:line="560" w:lineRule="exact"/>
              <w:rPr>
                <w:rFonts w:ascii="仿宋" w:hAnsi="仿宋" w:eastAsia="仿宋" w:cs="仿宋"/>
                <w:sz w:val="24"/>
                <w:u w:val="single"/>
              </w:rPr>
            </w:pPr>
          </w:p>
        </w:tc>
      </w:tr>
      <w:tr w14:paraId="5C6874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7880FE3E">
            <w:pPr>
              <w:spacing w:line="560" w:lineRule="exact"/>
              <w:rPr>
                <w:rFonts w:ascii="仿宋" w:hAnsi="仿宋" w:eastAsia="仿宋" w:cs="仿宋"/>
                <w:sz w:val="24"/>
              </w:rPr>
            </w:pPr>
          </w:p>
        </w:tc>
        <w:tc>
          <w:tcPr>
            <w:tcW w:w="7633" w:type="dxa"/>
            <w:vAlign w:val="center"/>
          </w:tcPr>
          <w:p w14:paraId="59FCE868">
            <w:pPr>
              <w:spacing w:line="560" w:lineRule="exact"/>
              <w:rPr>
                <w:rFonts w:ascii="仿宋" w:hAnsi="仿宋" w:eastAsia="仿宋" w:cs="仿宋"/>
                <w:sz w:val="24"/>
              </w:rPr>
            </w:pPr>
          </w:p>
        </w:tc>
      </w:tr>
      <w:tr w14:paraId="0CA626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3C235ACB">
            <w:pPr>
              <w:spacing w:line="560" w:lineRule="exact"/>
              <w:rPr>
                <w:rFonts w:ascii="仿宋" w:hAnsi="仿宋" w:eastAsia="仿宋" w:cs="仿宋"/>
                <w:sz w:val="24"/>
              </w:rPr>
            </w:pPr>
          </w:p>
        </w:tc>
        <w:tc>
          <w:tcPr>
            <w:tcW w:w="7633" w:type="dxa"/>
            <w:vAlign w:val="center"/>
          </w:tcPr>
          <w:p w14:paraId="61FDCC22">
            <w:pPr>
              <w:spacing w:line="560" w:lineRule="exact"/>
              <w:rPr>
                <w:rFonts w:ascii="仿宋" w:hAnsi="仿宋" w:eastAsia="仿宋" w:cs="仿宋"/>
                <w:sz w:val="24"/>
              </w:rPr>
            </w:pPr>
          </w:p>
        </w:tc>
      </w:tr>
      <w:tr w14:paraId="081284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1250C5AE">
            <w:pPr>
              <w:spacing w:line="560" w:lineRule="exact"/>
              <w:rPr>
                <w:rFonts w:ascii="仿宋" w:hAnsi="仿宋" w:eastAsia="仿宋" w:cs="仿宋"/>
                <w:sz w:val="24"/>
              </w:rPr>
            </w:pPr>
          </w:p>
        </w:tc>
        <w:tc>
          <w:tcPr>
            <w:tcW w:w="7633" w:type="dxa"/>
            <w:vAlign w:val="center"/>
          </w:tcPr>
          <w:p w14:paraId="008E14D5">
            <w:pPr>
              <w:spacing w:line="560" w:lineRule="exact"/>
              <w:rPr>
                <w:rFonts w:ascii="仿宋" w:hAnsi="仿宋" w:eastAsia="仿宋" w:cs="仿宋"/>
                <w:sz w:val="24"/>
              </w:rPr>
            </w:pPr>
          </w:p>
        </w:tc>
      </w:tr>
      <w:tr w14:paraId="25E825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50EBA33A">
            <w:pPr>
              <w:spacing w:line="560" w:lineRule="exact"/>
              <w:rPr>
                <w:rFonts w:ascii="仿宋" w:hAnsi="仿宋" w:eastAsia="仿宋" w:cs="仿宋"/>
                <w:sz w:val="24"/>
              </w:rPr>
            </w:pPr>
          </w:p>
        </w:tc>
        <w:tc>
          <w:tcPr>
            <w:tcW w:w="7633" w:type="dxa"/>
            <w:vAlign w:val="center"/>
          </w:tcPr>
          <w:p w14:paraId="6E91B5C5">
            <w:pPr>
              <w:spacing w:line="560" w:lineRule="exact"/>
              <w:rPr>
                <w:rFonts w:ascii="仿宋" w:hAnsi="仿宋" w:eastAsia="仿宋" w:cs="仿宋"/>
                <w:sz w:val="24"/>
              </w:rPr>
            </w:pPr>
          </w:p>
        </w:tc>
      </w:tr>
      <w:tr w14:paraId="4D8233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5D927D96">
            <w:pPr>
              <w:spacing w:line="560" w:lineRule="exact"/>
              <w:rPr>
                <w:rFonts w:ascii="仿宋" w:hAnsi="仿宋" w:eastAsia="仿宋" w:cs="仿宋"/>
                <w:sz w:val="24"/>
              </w:rPr>
            </w:pPr>
          </w:p>
        </w:tc>
        <w:tc>
          <w:tcPr>
            <w:tcW w:w="7633" w:type="dxa"/>
            <w:vAlign w:val="center"/>
          </w:tcPr>
          <w:p w14:paraId="3AEF5716">
            <w:pPr>
              <w:spacing w:line="560" w:lineRule="exact"/>
              <w:rPr>
                <w:rFonts w:ascii="仿宋" w:hAnsi="仿宋" w:eastAsia="仿宋" w:cs="仿宋"/>
                <w:sz w:val="24"/>
              </w:rPr>
            </w:pPr>
          </w:p>
        </w:tc>
      </w:tr>
    </w:tbl>
    <w:p w14:paraId="0756EB03">
      <w:pPr>
        <w:spacing w:after="156" w:line="560" w:lineRule="exact"/>
        <w:ind w:firstLine="480"/>
        <w:rPr>
          <w:rFonts w:ascii="仿宋" w:hAnsi="仿宋" w:eastAsia="仿宋" w:cs="仿宋"/>
        </w:rPr>
      </w:pPr>
    </w:p>
    <w:p w14:paraId="250FB5F2">
      <w:pPr>
        <w:spacing w:line="240" w:lineRule="atLeast"/>
        <w:ind w:left="1080" w:leftChars="257" w:hanging="540"/>
        <w:rPr>
          <w:rFonts w:ascii="仿宋" w:hAnsi="仿宋" w:eastAsia="仿宋" w:cs="仿宋"/>
          <w:sz w:val="24"/>
        </w:rPr>
      </w:pPr>
    </w:p>
    <w:p w14:paraId="36899C51">
      <w:pPr>
        <w:rPr>
          <w:rFonts w:ascii="仿宋" w:hAnsi="仿宋" w:eastAsia="仿宋" w:cs="仿宋"/>
        </w:rPr>
      </w:pPr>
    </w:p>
    <w:p w14:paraId="1F53DFC9">
      <w:pPr>
        <w:spacing w:line="240" w:lineRule="atLeast"/>
        <w:rPr>
          <w:rFonts w:ascii="仿宋" w:hAnsi="仿宋" w:eastAsia="仿宋" w:cs="仿宋"/>
        </w:rPr>
      </w:pPr>
    </w:p>
    <w:p w14:paraId="7F1328DA">
      <w:pPr>
        <w:pStyle w:val="7"/>
        <w:spacing w:line="240" w:lineRule="atLeast"/>
        <w:ind w:left="1080" w:leftChars="257" w:hanging="540"/>
        <w:rPr>
          <w:rFonts w:ascii="仿宋" w:hAnsi="仿宋" w:eastAsia="仿宋" w:cs="仿宋"/>
          <w:sz w:val="28"/>
        </w:rPr>
      </w:pPr>
    </w:p>
    <w:sectPr>
      <w:footerReference r:id="rId22" w:type="default"/>
      <w:pgSz w:w="11907" w:h="16840"/>
      <w:pgMar w:top="1474" w:right="1814" w:bottom="1474" w:left="1814" w:header="851" w:footer="851" w:gutter="0"/>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roman"/>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方正仿宋简体">
    <w:altName w:val="微软雅黑"/>
    <w:panose1 w:val="00000000000000000000"/>
    <w:charset w:val="86"/>
    <w:family w:val="roma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微软雅黑 Light">
    <w:panose1 w:val="020B0502040204020203"/>
    <w:charset w:val="86"/>
    <w:family w:val="swiss"/>
    <w:pitch w:val="default"/>
    <w:sig w:usb0="80000287" w:usb1="2ACF001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44A306">
    <w:pPr>
      <w:pStyle w:val="21"/>
      <w:ind w:right="360" w:firstLine="360"/>
      <w:jc w:val="right"/>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46DE521">
                          <w:pPr>
                            <w:pStyle w:val="21"/>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KntSbnCAQAAjwMAAA4AAAAAAAAAAQAgAAAAHgEAAGRycy9lMm9Eb2MueG1sUEsF&#10;BgAAAAAGAAYAWQEAAFIFAAAAAA==&#10;">
              <v:fill on="f" focussize="0,0"/>
              <v:stroke on="f"/>
              <v:imagedata o:title=""/>
              <o:lock v:ext="edit" aspectratio="f"/>
              <v:textbox inset="0mm,0mm,0mm,0mm" style="mso-fit-shape-to-text:t;">
                <w:txbxContent>
                  <w:p w14:paraId="446DE521">
                    <w:pPr>
                      <w:pStyle w:val="21"/>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3377C7">
    <w:pPr>
      <w:pStyle w:val="21"/>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9303CA2">
                          <w:pPr>
                            <w:pStyle w:val="21"/>
                          </w:pPr>
                          <w:r>
                            <w:fldChar w:fldCharType="begin"/>
                          </w:r>
                          <w:r>
                            <w:instrText xml:space="preserve"> PAGE  \* MERGEFORMAT </w:instrText>
                          </w:r>
                          <w:r>
                            <w:fldChar w:fldCharType="separate"/>
                          </w:r>
                          <w:r>
                            <w:t>16</w:t>
                          </w:r>
                          <w:r>
                            <w:fldChar w:fldCharType="end"/>
                          </w:r>
                        </w:p>
                      </w:txbxContent>
                    </wps:txbx>
                    <wps:bodyPr wrap="none" lIns="0" tIns="0" rIns="0" bIns="0">
                      <a:spAutoFit/>
                    </wps:bodyPr>
                  </wps:wsp>
                </a:graphicData>
              </a:graphic>
            </wp:anchor>
          </w:drawing>
        </mc:Choice>
        <mc:Fallback>
          <w:pict>
            <v:shape id="文本框 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M6pebnPAAAABQEAAA8AAAAAAAAAAQAgAAAAIgAAAGRycy9kb3ducmV2LnhtbFBLAQIU&#10;ABQAAAAIAIdO4kDFmm1qwwEAAI8DAAAOAAAAAAAAAAEAIAAAAB4BAABkcnMvZTJvRG9jLnhtbFBL&#10;BQYAAAAABgAGAFkBAABTBQAAAAA=&#10;">
              <v:fill on="f" focussize="0,0"/>
              <v:stroke on="f"/>
              <v:imagedata o:title=""/>
              <o:lock v:ext="edit" aspectratio="f"/>
              <v:textbox inset="0mm,0mm,0mm,0mm" style="mso-fit-shape-to-text:t;">
                <w:txbxContent>
                  <w:p w14:paraId="19303CA2">
                    <w:pPr>
                      <w:pStyle w:val="21"/>
                    </w:pPr>
                    <w:r>
                      <w:fldChar w:fldCharType="begin"/>
                    </w:r>
                    <w:r>
                      <w:instrText xml:space="preserve"> PAGE  \* MERGEFORMAT </w:instrText>
                    </w:r>
                    <w:r>
                      <w:fldChar w:fldCharType="separate"/>
                    </w:r>
                    <w:r>
                      <w:t>16</w:t>
                    </w:r>
                    <w:r>
                      <w:fldChar w:fldCharType="end"/>
                    </w:r>
                  </w:p>
                </w:txbxContent>
              </v:textbox>
            </v:shape>
          </w:pict>
        </mc:Fallback>
      </mc:AlternateContent>
    </w:r>
  </w:p>
  <w:p w14:paraId="10AC4C98">
    <w:pPr>
      <w:pStyle w:val="21"/>
      <w:ind w:right="360"/>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4C9ACE">
    <w:pPr>
      <w:pStyle w:val="21"/>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919C6B">
                          <w:pPr>
                            <w:pStyle w:val="21"/>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1B919C6B">
                    <w:pPr>
                      <w:pStyle w:val="21"/>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B13647">
    <w:pPr>
      <w:spacing w:line="179" w:lineRule="auto"/>
      <w:ind w:left="4224"/>
      <w:rPr>
        <w:rFonts w:ascii="宋体" w:hAnsi="宋体" w:cs="宋体"/>
        <w:sz w:val="17"/>
        <w:szCs w:val="17"/>
      </w:rPr>
    </w:pPr>
    <w:r>
      <w:rPr>
        <w:sz w:val="17"/>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B69CB9">
                          <w:pPr>
                            <w:pStyle w:val="21"/>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ZNNQgt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CZNNQgtAgAAVwQAAA4AAAAAAAAAAQAgAAAAHwEAAGRycy9lMm9Eb2MueG1sUEsFBgAAAAAG&#10;AAYAWQEAAL4FAAAAAA==&#10;">
              <v:fill on="f" focussize="0,0"/>
              <v:stroke on="f" weight="0.5pt"/>
              <v:imagedata o:title=""/>
              <o:lock v:ext="edit" aspectratio="f"/>
              <v:textbox inset="0mm,0mm,0mm,0mm" style="mso-fit-shape-to-text:t;">
                <w:txbxContent>
                  <w:p w14:paraId="45B69CB9">
                    <w:pPr>
                      <w:pStyle w:val="21"/>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F0400E">
    <w:pPr>
      <w:pStyle w:val="21"/>
      <w:jc w:val="center"/>
    </w:pPr>
    <w: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14935" cy="148590"/>
              <wp:effectExtent l="0" t="0" r="0" b="0"/>
              <wp:wrapNone/>
              <wp:docPr id="17" name="文本框 1027"/>
              <wp:cNvGraphicFramePr/>
              <a:graphic xmlns:a="http://schemas.openxmlformats.org/drawingml/2006/main">
                <a:graphicData uri="http://schemas.microsoft.com/office/word/2010/wordprocessingShape">
                  <wps:wsp>
                    <wps:cNvSpPr txBox="1"/>
                    <wps:spPr>
                      <a:xfrm>
                        <a:off x="0" y="0"/>
                        <a:ext cx="114935" cy="148590"/>
                      </a:xfrm>
                      <a:prstGeom prst="rect">
                        <a:avLst/>
                      </a:prstGeom>
                      <a:noFill/>
                      <a:ln>
                        <a:noFill/>
                      </a:ln>
                    </wps:spPr>
                    <wps:txbx>
                      <w:txbxContent>
                        <w:p w14:paraId="13E72BE1">
                          <w:pPr>
                            <w:pStyle w:val="21"/>
                            <w:jc w:val="center"/>
                          </w:pPr>
                          <w:r>
                            <w:fldChar w:fldCharType="begin"/>
                          </w:r>
                          <w:r>
                            <w:instrText xml:space="preserve">PAGE   \* MERGEFORMAT</w:instrText>
                          </w:r>
                          <w:r>
                            <w:fldChar w:fldCharType="separate"/>
                          </w:r>
                          <w:r>
                            <w:rPr>
                              <w:lang w:val="zh-CN"/>
                            </w:rPr>
                            <w:t>46</w:t>
                          </w:r>
                          <w:r>
                            <w:fldChar w:fldCharType="end"/>
                          </w:r>
                        </w:p>
                      </w:txbxContent>
                    </wps:txbx>
                    <wps:bodyPr wrap="none" lIns="0" tIns="0" rIns="0" bIns="0">
                      <a:spAutoFit/>
                    </wps:bodyPr>
                  </wps:wsp>
                </a:graphicData>
              </a:graphic>
            </wp:anchor>
          </w:drawing>
        </mc:Choice>
        <mc:Fallback>
          <w:pict>
            <v:shape id="文本框 1027" o:spid="_x0000_s1026" o:spt="202" type="#_x0000_t202" style="position:absolute;left:0pt;margin-top:0pt;height:11.7pt;width:9.05pt;mso-position-horizontal:center;mso-position-horizontal-relative:margin;mso-wrap-style:none;z-index:251673600;mso-width-relative:page;mso-height-relative:page;" filled="f" stroked="f" coordsize="21600,21600" o:gfxdata="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AgLoFF0QAAAAMBAAAPAAAAAAAAAAEAIAAAACIAAABkcnMvZG93bnJl&#10;di54bWxQSwECFAAUAAAACACHTuJASAUhC8sBAACPAwAADgAAAAAAAAABACAAAAAgAQAAZHJzL2Uy&#10;b0RvYy54bWxQSwUGAAAAAAYABgBZAQAAXQUAAAAA&#10;">
              <v:fill on="f" focussize="0,0"/>
              <v:stroke on="f"/>
              <v:imagedata o:title=""/>
              <o:lock v:ext="edit" aspectratio="f"/>
              <v:textbox inset="0mm,0mm,0mm,0mm" style="mso-fit-shape-to-text:t;">
                <w:txbxContent>
                  <w:p w14:paraId="13E72BE1">
                    <w:pPr>
                      <w:pStyle w:val="21"/>
                      <w:jc w:val="center"/>
                    </w:pPr>
                    <w:r>
                      <w:fldChar w:fldCharType="begin"/>
                    </w:r>
                    <w:r>
                      <w:instrText xml:space="preserve">PAGE   \* MERGEFORMAT</w:instrText>
                    </w:r>
                    <w:r>
                      <w:fldChar w:fldCharType="separate"/>
                    </w:r>
                    <w:r>
                      <w:rPr>
                        <w:lang w:val="zh-CN"/>
                      </w:rPr>
                      <w:t>46</w:t>
                    </w:r>
                    <w:r>
                      <w:fldChar w:fldCharType="end"/>
                    </w:r>
                  </w:p>
                </w:txbxContent>
              </v:textbox>
            </v:shape>
          </w:pict>
        </mc:Fallback>
      </mc:AlternateContent>
    </w:r>
  </w:p>
  <w:p w14:paraId="3766C9F1">
    <w:pPr>
      <w:pStyle w:val="21"/>
      <w:ind w:right="360"/>
      <w:jc w:val="right"/>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79D7BD">
    <w:pPr>
      <w:pStyle w:val="21"/>
      <w:framePr w:wrap="around" w:vAnchor="text" w:hAnchor="margin" w:xAlign="center" w:y="1"/>
      <w:rPr>
        <w:rStyle w:val="39"/>
      </w:rPr>
    </w:pPr>
    <w:r>
      <w:fldChar w:fldCharType="begin"/>
    </w:r>
    <w:r>
      <w:rPr>
        <w:rStyle w:val="39"/>
      </w:rPr>
      <w:instrText xml:space="preserve">PAGE  </w:instrText>
    </w:r>
    <w:r>
      <w:fldChar w:fldCharType="end"/>
    </w:r>
  </w:p>
  <w:p w14:paraId="2219DA90">
    <w:pPr>
      <w:pStyle w:val="21"/>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375370">
    <w:pPr>
      <w:spacing w:line="179" w:lineRule="auto"/>
      <w:ind w:left="4442"/>
      <w:rPr>
        <w:rFonts w:ascii="宋体" w:hAnsi="宋体" w:cs="宋体"/>
        <w:sz w:val="17"/>
        <w:szCs w:val="17"/>
      </w:rPr>
    </w:pPr>
    <w:r>
      <w:rPr>
        <w:sz w:val="17"/>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1E4A18">
                          <w:pPr>
                            <w:pStyle w:val="21"/>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4AZkgtAgAAVwQAAA4AAABkcnMvZTJvRG9jLnhtbK1UzY7TMBC+I/EO&#10;lu80aVesSt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b56na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I4AZkgtAgAAVwQAAA4AAAAAAAAAAQAgAAAAHwEAAGRycy9lMm9Eb2MueG1sUEsFBgAAAAAG&#10;AAYAWQEAAL4FAAAAAA==&#10;">
              <v:fill on="f" focussize="0,0"/>
              <v:stroke on="f" weight="0.5pt"/>
              <v:imagedata o:title=""/>
              <o:lock v:ext="edit" aspectratio="f"/>
              <v:textbox inset="0mm,0mm,0mm,0mm" style="mso-fit-shape-to-text:t;">
                <w:txbxContent>
                  <w:p w14:paraId="091E4A18">
                    <w:pPr>
                      <w:pStyle w:val="21"/>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7FACB9">
    <w:pPr>
      <w:pStyle w:val="21"/>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1291B28">
                          <w:pPr>
                            <w:pStyle w:val="21"/>
                            <w:jc w:val="center"/>
                          </w:pPr>
                          <w:r>
                            <w:fldChar w:fldCharType="begin"/>
                          </w:r>
                          <w:r>
                            <w:instrText xml:space="preserve">PAGE   \* MERGEFORMAT</w:instrText>
                          </w:r>
                          <w:r>
                            <w:fldChar w:fldCharType="separate"/>
                          </w:r>
                          <w:r>
                            <w:rPr>
                              <w:lang w:val="zh-CN"/>
                            </w:rPr>
                            <w:t>58</w:t>
                          </w:r>
                          <w:r>
                            <w:rPr>
                              <w:lang w:val="zh-CN"/>
                            </w:rPr>
                            <w:fldChar w:fldCharType="end"/>
                          </w:r>
                        </w:p>
                      </w:txbxContent>
                    </wps:txbx>
                    <wps:bodyPr wrap="none" lIns="0" tIns="0" rIns="0" bIns="0" upright="1">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FaYRvfIAQAAmgMAAA4AAAAAAAAAAQAgAAAAHgEAAGRycy9lMm9Eb2Mu&#10;eG1sUEsFBgAAAAAGAAYAWQEAAFgFAAAAAA==&#10;">
              <v:fill on="f" focussize="0,0"/>
              <v:stroke on="f"/>
              <v:imagedata o:title=""/>
              <o:lock v:ext="edit" aspectratio="f"/>
              <v:textbox inset="0mm,0mm,0mm,0mm" style="mso-fit-shape-to-text:t;">
                <w:txbxContent>
                  <w:p w14:paraId="11291B28">
                    <w:pPr>
                      <w:pStyle w:val="21"/>
                      <w:jc w:val="center"/>
                    </w:pPr>
                    <w:r>
                      <w:fldChar w:fldCharType="begin"/>
                    </w:r>
                    <w:r>
                      <w:instrText xml:space="preserve">PAGE   \* MERGEFORMAT</w:instrText>
                    </w:r>
                    <w:r>
                      <w:fldChar w:fldCharType="separate"/>
                    </w:r>
                    <w:r>
                      <w:rPr>
                        <w:lang w:val="zh-CN"/>
                      </w:rPr>
                      <w:t>58</w:t>
                    </w:r>
                    <w:r>
                      <w:rPr>
                        <w:lang w:val="zh-CN"/>
                      </w:rPr>
                      <w:fldChar w:fldCharType="end"/>
                    </w:r>
                  </w:p>
                </w:txbxContent>
              </v:textbox>
            </v:shape>
          </w:pict>
        </mc:Fallback>
      </mc:AlternateContent>
    </w:r>
  </w:p>
  <w:p w14:paraId="5DF1F297">
    <w:pPr>
      <w:pStyle w:val="21"/>
      <w:jc w:val="cen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5DE1EB">
    <w:pPr>
      <w:pStyle w:val="21"/>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E222BB">
    <w:pPr>
      <w:pStyle w:val="21"/>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211745">
    <w:pPr>
      <w:pStyle w:val="21"/>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14935" cy="148590"/>
              <wp:effectExtent l="0" t="0" r="0" b="0"/>
              <wp:wrapNone/>
              <wp:docPr id="19" name="文本框 1029"/>
              <wp:cNvGraphicFramePr/>
              <a:graphic xmlns:a="http://schemas.openxmlformats.org/drawingml/2006/main">
                <a:graphicData uri="http://schemas.microsoft.com/office/word/2010/wordprocessingShape">
                  <wps:wsp>
                    <wps:cNvSpPr txBox="1"/>
                    <wps:spPr>
                      <a:xfrm>
                        <a:off x="0" y="0"/>
                        <a:ext cx="114935" cy="148590"/>
                      </a:xfrm>
                      <a:prstGeom prst="rect">
                        <a:avLst/>
                      </a:prstGeom>
                      <a:noFill/>
                      <a:ln>
                        <a:noFill/>
                      </a:ln>
                    </wps:spPr>
                    <wps:txbx>
                      <w:txbxContent>
                        <w:p w14:paraId="508EDE22">
                          <w:pPr>
                            <w:pStyle w:val="21"/>
                            <w:jc w:val="center"/>
                          </w:pPr>
                          <w:r>
                            <w:fldChar w:fldCharType="begin"/>
                          </w:r>
                          <w:r>
                            <w:instrText xml:space="preserve">PAGE   \* MERGEFORMAT</w:instrText>
                          </w:r>
                          <w:r>
                            <w:fldChar w:fldCharType="separate"/>
                          </w:r>
                          <w:r>
                            <w:rPr>
                              <w:lang w:val="zh-CN"/>
                            </w:rPr>
                            <w:t>69</w:t>
                          </w:r>
                          <w:r>
                            <w:fldChar w:fldCharType="end"/>
                          </w:r>
                        </w:p>
                      </w:txbxContent>
                    </wps:txbx>
                    <wps:bodyPr wrap="none" lIns="0" tIns="0" rIns="0" bIns="0">
                      <a:spAutoFit/>
                    </wps:bodyPr>
                  </wps:wsp>
                </a:graphicData>
              </a:graphic>
            </wp:anchor>
          </w:drawing>
        </mc:Choice>
        <mc:Fallback>
          <w:pict>
            <v:shape id="文本框 1029" o:spid="_x0000_s1026" o:spt="202" type="#_x0000_t202" style="position:absolute;left:0pt;margin-top:0pt;height:11.7pt;width:9.05pt;mso-position-horizontal:center;mso-position-horizontal-relative:margin;mso-wrap-style:none;z-index:251662336;mso-width-relative:page;mso-height-relative:page;" filled="f" stroked="f" coordsize="21600,21600" o:gfxdata="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AgLoFF0QAAAAMBAAAPAAAAAAAAAAEAIAAAACIAAABkcnMvZG93bnJl&#10;di54bWxQSwECFAAUAAAACACHTuJAsxXwb8sBAACPAwAADgAAAAAAAAABACAAAAAgAQAAZHJzL2Uy&#10;b0RvYy54bWxQSwUGAAAAAAYABgBZAQAAXQUAAAAA&#10;">
              <v:fill on="f" focussize="0,0"/>
              <v:stroke on="f"/>
              <v:imagedata o:title=""/>
              <o:lock v:ext="edit" aspectratio="f"/>
              <v:textbox inset="0mm,0mm,0mm,0mm" style="mso-fit-shape-to-text:t;">
                <w:txbxContent>
                  <w:p w14:paraId="508EDE22">
                    <w:pPr>
                      <w:pStyle w:val="21"/>
                      <w:jc w:val="center"/>
                    </w:pPr>
                    <w:r>
                      <w:fldChar w:fldCharType="begin"/>
                    </w:r>
                    <w:r>
                      <w:instrText xml:space="preserve">PAGE   \* MERGEFORMAT</w:instrText>
                    </w:r>
                    <w:r>
                      <w:fldChar w:fldCharType="separate"/>
                    </w:r>
                    <w:r>
                      <w:rPr>
                        <w:lang w:val="zh-CN"/>
                      </w:rPr>
                      <w:t>69</w:t>
                    </w:r>
                    <w:r>
                      <w:fldChar w:fldCharType="end"/>
                    </w:r>
                  </w:p>
                </w:txbxContent>
              </v:textbox>
            </v:shape>
          </w:pict>
        </mc:Fallback>
      </mc:AlternateContent>
    </w:r>
  </w:p>
  <w:p w14:paraId="3EBA5797">
    <w:pPr>
      <w:pStyle w:val="21"/>
      <w:ind w:right="360"/>
      <w:jc w:val="right"/>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98B259">
    <w:pPr>
      <w:pStyle w:val="22"/>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E2A552">
    <w:pPr>
      <w:pStyle w:val="22"/>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4CD354">
    <w:pPr>
      <w:ind w:firstLine="3150" w:firstLineChars="150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2C0D94">
    <w:pPr>
      <w:pStyle w:val="22"/>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227C3C">
    <w:pPr>
      <w:pStyle w:val="22"/>
      <w:pBdr>
        <w:bottom w:val="none" w:color="auto" w:sz="0" w:space="0"/>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1CA290">
    <w:pPr>
      <w:pStyle w:val="22"/>
      <w:pBdr>
        <w:bottom w:val="none" w:color="auto" w:sz="0" w:space="0"/>
      </w:pBd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1ECA65">
    <w:pPr>
      <w:pStyle w:val="22"/>
      <w:pBdr>
        <w:bottom w:val="none" w:color="auto" w:sz="0" w:space="0"/>
      </w:pBdr>
      <w:jc w:val="right"/>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EC6213">
    <w:pPr>
      <w:pStyle w:val="22"/>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472508">
    <w:pPr>
      <w:pStyle w:val="2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ACA291"/>
    <w:multiLevelType w:val="singleLevel"/>
    <w:tmpl w:val="98ACA291"/>
    <w:lvl w:ilvl="0" w:tentative="0">
      <w:start w:val="1"/>
      <w:numFmt w:val="chineseCounting"/>
      <w:suff w:val="nothing"/>
      <w:lvlText w:val="%1、"/>
      <w:lvlJc w:val="left"/>
      <w:rPr>
        <w:rFonts w:hint="eastAsia"/>
      </w:rPr>
    </w:lvl>
  </w:abstractNum>
  <w:abstractNum w:abstractNumId="1">
    <w:nsid w:val="9EDCC5E5"/>
    <w:multiLevelType w:val="singleLevel"/>
    <w:tmpl w:val="9EDCC5E5"/>
    <w:lvl w:ilvl="0" w:tentative="0">
      <w:start w:val="10"/>
      <w:numFmt w:val="decimal"/>
      <w:suff w:val="nothing"/>
      <w:lvlText w:val="%1、"/>
      <w:lvlJc w:val="left"/>
    </w:lvl>
  </w:abstractNum>
  <w:abstractNum w:abstractNumId="2">
    <w:nsid w:val="D4F06988"/>
    <w:multiLevelType w:val="multilevel"/>
    <w:tmpl w:val="D4F06988"/>
    <w:lvl w:ilvl="0" w:tentative="0">
      <w:start w:val="18"/>
      <w:numFmt w:val="decimal"/>
      <w:lvlText w:val="%1."/>
      <w:lvlJc w:val="left"/>
    </w:lvl>
    <w:lvl w:ilvl="1" w:tentative="0">
      <w:start w:val="1"/>
      <w:numFmt w:val="decimal"/>
      <w:lvlText w:val="%1.%2"/>
      <w:lvlJc w:val="left"/>
      <w:pPr>
        <w:tabs>
          <w:tab w:val="left" w:pos="312"/>
        </w:tabs>
        <w:ind w:left="0" w:firstLine="0"/>
      </w:pPr>
      <w:rPr>
        <w:rFonts w:hint="default"/>
      </w:rPr>
    </w:lvl>
    <w:lvl w:ilvl="2" w:tentative="0">
      <w:start w:val="1"/>
      <w:numFmt w:val="decimal"/>
      <w:lvlText w:val="%1.%2.%3"/>
      <w:lvlJc w:val="left"/>
      <w:pPr>
        <w:tabs>
          <w:tab w:val="left" w:pos="312"/>
        </w:tabs>
        <w:ind w:left="0" w:firstLine="0"/>
      </w:pPr>
      <w:rPr>
        <w:rFonts w:hint="default"/>
      </w:rPr>
    </w:lvl>
    <w:lvl w:ilvl="3" w:tentative="0">
      <w:start w:val="1"/>
      <w:numFmt w:val="decimal"/>
      <w:lvlText w:val="%1.%2.%3.%4"/>
      <w:lvlJc w:val="left"/>
      <w:pPr>
        <w:tabs>
          <w:tab w:val="left" w:pos="312"/>
        </w:tabs>
        <w:ind w:left="0" w:firstLine="0"/>
      </w:pPr>
      <w:rPr>
        <w:rFonts w:hint="default"/>
      </w:rPr>
    </w:lvl>
    <w:lvl w:ilvl="4" w:tentative="0">
      <w:start w:val="1"/>
      <w:numFmt w:val="decimal"/>
      <w:lvlText w:val="%1.%2.%3.%4.%5"/>
      <w:lvlJc w:val="left"/>
      <w:pPr>
        <w:tabs>
          <w:tab w:val="left" w:pos="312"/>
        </w:tabs>
        <w:ind w:left="0" w:firstLine="0"/>
      </w:pPr>
      <w:rPr>
        <w:rFonts w:hint="default"/>
      </w:rPr>
    </w:lvl>
    <w:lvl w:ilvl="5" w:tentative="0">
      <w:start w:val="1"/>
      <w:numFmt w:val="decimal"/>
      <w:lvlText w:val="%1.%2.%3.%4.%5.%6"/>
      <w:lvlJc w:val="left"/>
      <w:pPr>
        <w:tabs>
          <w:tab w:val="left" w:pos="312"/>
        </w:tabs>
        <w:ind w:left="0" w:firstLine="0"/>
      </w:pPr>
      <w:rPr>
        <w:rFonts w:hint="default"/>
      </w:rPr>
    </w:lvl>
    <w:lvl w:ilvl="6" w:tentative="0">
      <w:start w:val="1"/>
      <w:numFmt w:val="decimal"/>
      <w:lvlText w:val="%1.%2.%3.%4.%5.%6.%7"/>
      <w:lvlJc w:val="left"/>
      <w:pPr>
        <w:tabs>
          <w:tab w:val="left" w:pos="312"/>
        </w:tabs>
        <w:ind w:left="0" w:firstLine="0"/>
      </w:pPr>
      <w:rPr>
        <w:rFonts w:hint="default"/>
      </w:rPr>
    </w:lvl>
    <w:lvl w:ilvl="7" w:tentative="0">
      <w:start w:val="1"/>
      <w:numFmt w:val="decimal"/>
      <w:lvlText w:val="%1.%2.%3.%4.%5.%6.%7.%8"/>
      <w:lvlJc w:val="left"/>
      <w:pPr>
        <w:tabs>
          <w:tab w:val="left" w:pos="312"/>
        </w:tabs>
        <w:ind w:left="0" w:firstLine="0"/>
      </w:pPr>
      <w:rPr>
        <w:rFonts w:hint="default"/>
      </w:rPr>
    </w:lvl>
    <w:lvl w:ilvl="8" w:tentative="0">
      <w:start w:val="1"/>
      <w:numFmt w:val="decimal"/>
      <w:lvlText w:val="%1.%2.%3.%4.%5.%6.%7.%8.%9"/>
      <w:lvlJc w:val="left"/>
      <w:pPr>
        <w:tabs>
          <w:tab w:val="left" w:pos="312"/>
        </w:tabs>
        <w:ind w:left="0" w:firstLine="0"/>
      </w:pPr>
      <w:rPr>
        <w:rFonts w:hint="default"/>
      </w:rPr>
    </w:lvl>
  </w:abstractNum>
  <w:abstractNum w:abstractNumId="3">
    <w:nsid w:val="04F0AE12"/>
    <w:multiLevelType w:val="singleLevel"/>
    <w:tmpl w:val="04F0AE12"/>
    <w:lvl w:ilvl="0" w:tentative="0">
      <w:start w:val="9"/>
      <w:numFmt w:val="chineseCounting"/>
      <w:suff w:val="nothing"/>
      <w:lvlText w:val="%1、"/>
      <w:lvlJc w:val="left"/>
      <w:rPr>
        <w:rFonts w:hint="eastAsia"/>
      </w:rPr>
    </w:lvl>
  </w:abstractNum>
  <w:abstractNum w:abstractNumId="4">
    <w:nsid w:val="24E409BB"/>
    <w:multiLevelType w:val="multilevel"/>
    <w:tmpl w:val="24E409BB"/>
    <w:lvl w:ilvl="0" w:tentative="0">
      <w:start w:val="1"/>
      <w:numFmt w:val="decimal"/>
      <w:pStyle w:val="84"/>
      <w:lvlText w:val="表%1："/>
      <w:lvlJc w:val="left"/>
      <w:pPr>
        <w:ind w:left="900" w:hanging="420"/>
      </w:pPr>
      <w:rPr>
        <w:rFonts w:hint="eastAsia"/>
        <w:b w:val="0"/>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5">
    <w:nsid w:val="25E9131D"/>
    <w:multiLevelType w:val="multilevel"/>
    <w:tmpl w:val="25E9131D"/>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6">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94"/>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7">
    <w:nsid w:val="5B412502"/>
    <w:multiLevelType w:val="multilevel"/>
    <w:tmpl w:val="5B412502"/>
    <w:lvl w:ilvl="0" w:tentative="0">
      <w:start w:val="1"/>
      <w:numFmt w:val="decimalEnclosedCircle"/>
      <w:lvlText w:val="%1"/>
      <w:lvlJc w:val="left"/>
      <w:pPr>
        <w:ind w:left="360" w:hanging="360"/>
      </w:pPr>
      <w:rPr>
        <w:rFonts w:ascii="宋体" w:hAnsi="宋体" w:eastAsia="宋体" w:cs="宋体"/>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5F6D72B9"/>
    <w:multiLevelType w:val="singleLevel"/>
    <w:tmpl w:val="5F6D72B9"/>
    <w:lvl w:ilvl="0" w:tentative="0">
      <w:start w:val="1"/>
      <w:numFmt w:val="decimal"/>
      <w:suff w:val="nothing"/>
      <w:lvlText w:val="（%1）"/>
      <w:lvlJc w:val="left"/>
    </w:lvl>
  </w:abstractNum>
  <w:abstractNum w:abstractNumId="9">
    <w:nsid w:val="66E4770E"/>
    <w:multiLevelType w:val="multilevel"/>
    <w:tmpl w:val="66E4770E"/>
    <w:lvl w:ilvl="0" w:tentative="0">
      <w:start w:val="1"/>
      <w:numFmt w:val="decimal"/>
      <w:lvlText w:val="第%1章"/>
      <w:lvlJc w:val="left"/>
      <w:pPr>
        <w:tabs>
          <w:tab w:val="left" w:pos="1680"/>
        </w:tabs>
        <w:ind w:left="1680" w:hanging="1140"/>
      </w:pPr>
      <w:rPr>
        <w:rFonts w:hint="eastAsia"/>
      </w:rPr>
    </w:lvl>
    <w:lvl w:ilvl="1" w:tentative="0">
      <w:start w:val="1"/>
      <w:numFmt w:val="lowerLetter"/>
      <w:lvlText w:val="%2)"/>
      <w:lvlJc w:val="left"/>
      <w:pPr>
        <w:tabs>
          <w:tab w:val="left" w:pos="1380"/>
        </w:tabs>
        <w:ind w:left="1380" w:hanging="420"/>
      </w:pPr>
      <w:rPr>
        <w:rFonts w:hint="eastAsia"/>
      </w:rPr>
    </w:lvl>
    <w:lvl w:ilvl="2" w:tentative="0">
      <w:start w:val="1"/>
      <w:numFmt w:val="lowerRoman"/>
      <w:lvlText w:val="%3."/>
      <w:lvlJc w:val="right"/>
      <w:pPr>
        <w:tabs>
          <w:tab w:val="left" w:pos="1800"/>
        </w:tabs>
        <w:ind w:left="1800" w:hanging="420"/>
      </w:pPr>
      <w:rPr>
        <w:rFonts w:hint="eastAsia"/>
      </w:rPr>
    </w:lvl>
    <w:lvl w:ilvl="3" w:tentative="0">
      <w:start w:val="1"/>
      <w:numFmt w:val="decimal"/>
      <w:lvlText w:val="%4."/>
      <w:lvlJc w:val="left"/>
      <w:pPr>
        <w:tabs>
          <w:tab w:val="left" w:pos="2220"/>
        </w:tabs>
        <w:ind w:left="2220" w:hanging="420"/>
      </w:pPr>
      <w:rPr>
        <w:rFonts w:hint="eastAsia"/>
      </w:rPr>
    </w:lvl>
    <w:lvl w:ilvl="4" w:tentative="0">
      <w:start w:val="1"/>
      <w:numFmt w:val="lowerLetter"/>
      <w:lvlText w:val="%5)"/>
      <w:lvlJc w:val="left"/>
      <w:pPr>
        <w:tabs>
          <w:tab w:val="left" w:pos="2640"/>
        </w:tabs>
        <w:ind w:left="2640" w:hanging="420"/>
      </w:pPr>
      <w:rPr>
        <w:rFonts w:hint="eastAsia"/>
      </w:rPr>
    </w:lvl>
    <w:lvl w:ilvl="5" w:tentative="0">
      <w:start w:val="1"/>
      <w:numFmt w:val="lowerRoman"/>
      <w:lvlText w:val="%6."/>
      <w:lvlJc w:val="right"/>
      <w:pPr>
        <w:tabs>
          <w:tab w:val="left" w:pos="3060"/>
        </w:tabs>
        <w:ind w:left="3060" w:hanging="420"/>
      </w:pPr>
      <w:rPr>
        <w:rFonts w:hint="eastAsia"/>
      </w:rPr>
    </w:lvl>
    <w:lvl w:ilvl="6" w:tentative="0">
      <w:start w:val="1"/>
      <w:numFmt w:val="decimal"/>
      <w:lvlText w:val="%7."/>
      <w:lvlJc w:val="left"/>
      <w:pPr>
        <w:tabs>
          <w:tab w:val="left" w:pos="3480"/>
        </w:tabs>
        <w:ind w:left="3480" w:hanging="420"/>
      </w:pPr>
      <w:rPr>
        <w:rFonts w:hint="eastAsia"/>
      </w:rPr>
    </w:lvl>
    <w:lvl w:ilvl="7" w:tentative="0">
      <w:start w:val="1"/>
      <w:numFmt w:val="lowerLetter"/>
      <w:lvlText w:val="%8)"/>
      <w:lvlJc w:val="left"/>
      <w:pPr>
        <w:tabs>
          <w:tab w:val="left" w:pos="3900"/>
        </w:tabs>
        <w:ind w:left="3900" w:hanging="420"/>
      </w:pPr>
      <w:rPr>
        <w:rFonts w:hint="eastAsia"/>
      </w:rPr>
    </w:lvl>
    <w:lvl w:ilvl="8" w:tentative="0">
      <w:start w:val="1"/>
      <w:numFmt w:val="lowerRoman"/>
      <w:lvlText w:val="%9."/>
      <w:lvlJc w:val="right"/>
      <w:pPr>
        <w:tabs>
          <w:tab w:val="left" w:pos="4320"/>
        </w:tabs>
        <w:ind w:left="4320" w:hanging="420"/>
      </w:pPr>
      <w:rPr>
        <w:rFonts w:hint="eastAsia"/>
      </w:rPr>
    </w:lvl>
  </w:abstractNum>
  <w:num w:numId="1">
    <w:abstractNumId w:val="4"/>
  </w:num>
  <w:num w:numId="2">
    <w:abstractNumId w:val="6"/>
  </w:num>
  <w:num w:numId="3">
    <w:abstractNumId w:val="5"/>
  </w:num>
  <w:num w:numId="4">
    <w:abstractNumId w:val="9"/>
  </w:num>
  <w:num w:numId="5">
    <w:abstractNumId w:val="2"/>
  </w:num>
  <w:num w:numId="6">
    <w:abstractNumId w:val="8"/>
  </w:num>
  <w:num w:numId="7">
    <w:abstractNumId w:val="1"/>
  </w:num>
  <w:num w:numId="8">
    <w:abstractNumId w:val="0"/>
  </w:num>
  <w:num w:numId="9">
    <w:abstractNumId w:val="3"/>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ACTIVE" w:val="03年范本稿123.doc"/>
    <w:docVar w:name="commondata" w:val="eyJoZGlkIjoiMDY5NmFjMmM4ZTljMGJiZDAxN2JmYTc0NGI0NmFiNDgifQ=="/>
    <w:docVar w:name="VTCASE" w:val="4"/>
    <w:docVar w:name="VTCommandPending" w:val="NONE"/>
  </w:docVars>
  <w:rsids>
    <w:rsidRoot w:val="00172A27"/>
    <w:rsid w:val="000004CD"/>
    <w:rsid w:val="00001783"/>
    <w:rsid w:val="00001797"/>
    <w:rsid w:val="0000273B"/>
    <w:rsid w:val="00002DF7"/>
    <w:rsid w:val="000041A8"/>
    <w:rsid w:val="000055D7"/>
    <w:rsid w:val="0001529F"/>
    <w:rsid w:val="000157E2"/>
    <w:rsid w:val="0001697A"/>
    <w:rsid w:val="000169E1"/>
    <w:rsid w:val="00020D78"/>
    <w:rsid w:val="00021486"/>
    <w:rsid w:val="000214AD"/>
    <w:rsid w:val="00021AE8"/>
    <w:rsid w:val="00022E94"/>
    <w:rsid w:val="000313B5"/>
    <w:rsid w:val="00032835"/>
    <w:rsid w:val="00032B95"/>
    <w:rsid w:val="000333A8"/>
    <w:rsid w:val="000356BE"/>
    <w:rsid w:val="000367B8"/>
    <w:rsid w:val="00042BA7"/>
    <w:rsid w:val="000434F9"/>
    <w:rsid w:val="00043533"/>
    <w:rsid w:val="00045D67"/>
    <w:rsid w:val="0004677C"/>
    <w:rsid w:val="0005172B"/>
    <w:rsid w:val="000538CC"/>
    <w:rsid w:val="000541C7"/>
    <w:rsid w:val="00054A8E"/>
    <w:rsid w:val="00055A71"/>
    <w:rsid w:val="00056583"/>
    <w:rsid w:val="00056932"/>
    <w:rsid w:val="00057BB2"/>
    <w:rsid w:val="0006019D"/>
    <w:rsid w:val="000612B3"/>
    <w:rsid w:val="00061B68"/>
    <w:rsid w:val="00063750"/>
    <w:rsid w:val="00065379"/>
    <w:rsid w:val="00066EBC"/>
    <w:rsid w:val="000673C5"/>
    <w:rsid w:val="00070907"/>
    <w:rsid w:val="00071285"/>
    <w:rsid w:val="000719AB"/>
    <w:rsid w:val="00072C53"/>
    <w:rsid w:val="00073852"/>
    <w:rsid w:val="00076670"/>
    <w:rsid w:val="0007684F"/>
    <w:rsid w:val="00076927"/>
    <w:rsid w:val="00080B56"/>
    <w:rsid w:val="00080C9B"/>
    <w:rsid w:val="00080FC7"/>
    <w:rsid w:val="00081D11"/>
    <w:rsid w:val="00083115"/>
    <w:rsid w:val="00087961"/>
    <w:rsid w:val="00093645"/>
    <w:rsid w:val="00096150"/>
    <w:rsid w:val="00096F54"/>
    <w:rsid w:val="000A31C4"/>
    <w:rsid w:val="000A3727"/>
    <w:rsid w:val="000A49C1"/>
    <w:rsid w:val="000A73EF"/>
    <w:rsid w:val="000A799B"/>
    <w:rsid w:val="000B3242"/>
    <w:rsid w:val="000B3392"/>
    <w:rsid w:val="000B362F"/>
    <w:rsid w:val="000B366A"/>
    <w:rsid w:val="000B51E6"/>
    <w:rsid w:val="000B6C50"/>
    <w:rsid w:val="000C092A"/>
    <w:rsid w:val="000C0AC9"/>
    <w:rsid w:val="000C0FDF"/>
    <w:rsid w:val="000C15AF"/>
    <w:rsid w:val="000C3524"/>
    <w:rsid w:val="000C5071"/>
    <w:rsid w:val="000C55ED"/>
    <w:rsid w:val="000C6F86"/>
    <w:rsid w:val="000D10E4"/>
    <w:rsid w:val="000D1613"/>
    <w:rsid w:val="000D19C1"/>
    <w:rsid w:val="000D4E69"/>
    <w:rsid w:val="000D5125"/>
    <w:rsid w:val="000D7812"/>
    <w:rsid w:val="000D790C"/>
    <w:rsid w:val="000E1288"/>
    <w:rsid w:val="000E3784"/>
    <w:rsid w:val="000E37E0"/>
    <w:rsid w:val="000E47A0"/>
    <w:rsid w:val="000E597F"/>
    <w:rsid w:val="000E5BFC"/>
    <w:rsid w:val="000E694F"/>
    <w:rsid w:val="000E7158"/>
    <w:rsid w:val="000E74D4"/>
    <w:rsid w:val="000F2D05"/>
    <w:rsid w:val="000F2EEE"/>
    <w:rsid w:val="000F4234"/>
    <w:rsid w:val="000F6215"/>
    <w:rsid w:val="000F63C8"/>
    <w:rsid w:val="000F6581"/>
    <w:rsid w:val="00102417"/>
    <w:rsid w:val="001032CC"/>
    <w:rsid w:val="00103B53"/>
    <w:rsid w:val="00105B0B"/>
    <w:rsid w:val="0011024E"/>
    <w:rsid w:val="00112163"/>
    <w:rsid w:val="00112CFA"/>
    <w:rsid w:val="00114579"/>
    <w:rsid w:val="00115BF1"/>
    <w:rsid w:val="0012032C"/>
    <w:rsid w:val="001211EB"/>
    <w:rsid w:val="0012244B"/>
    <w:rsid w:val="001224B5"/>
    <w:rsid w:val="00122643"/>
    <w:rsid w:val="0012425B"/>
    <w:rsid w:val="001244F8"/>
    <w:rsid w:val="001247F0"/>
    <w:rsid w:val="00124F11"/>
    <w:rsid w:val="001252D8"/>
    <w:rsid w:val="001257D4"/>
    <w:rsid w:val="00131E0D"/>
    <w:rsid w:val="0013242F"/>
    <w:rsid w:val="0013359E"/>
    <w:rsid w:val="001342B3"/>
    <w:rsid w:val="001352B1"/>
    <w:rsid w:val="00135690"/>
    <w:rsid w:val="00135D8B"/>
    <w:rsid w:val="00137694"/>
    <w:rsid w:val="00141EAC"/>
    <w:rsid w:val="00143652"/>
    <w:rsid w:val="0014627C"/>
    <w:rsid w:val="0015142E"/>
    <w:rsid w:val="00157C74"/>
    <w:rsid w:val="00157D8E"/>
    <w:rsid w:val="00161678"/>
    <w:rsid w:val="00161D71"/>
    <w:rsid w:val="00162805"/>
    <w:rsid w:val="00165014"/>
    <w:rsid w:val="001669D4"/>
    <w:rsid w:val="0017180F"/>
    <w:rsid w:val="00172A27"/>
    <w:rsid w:val="001733C3"/>
    <w:rsid w:val="00173BFF"/>
    <w:rsid w:val="00174749"/>
    <w:rsid w:val="00174FCA"/>
    <w:rsid w:val="00175AFB"/>
    <w:rsid w:val="00176F12"/>
    <w:rsid w:val="001770BE"/>
    <w:rsid w:val="00177A3E"/>
    <w:rsid w:val="0018099E"/>
    <w:rsid w:val="00183E4B"/>
    <w:rsid w:val="001850F1"/>
    <w:rsid w:val="00187B13"/>
    <w:rsid w:val="00187EB4"/>
    <w:rsid w:val="0019618B"/>
    <w:rsid w:val="00196952"/>
    <w:rsid w:val="00196FA0"/>
    <w:rsid w:val="001A0A50"/>
    <w:rsid w:val="001A3B44"/>
    <w:rsid w:val="001A3D9B"/>
    <w:rsid w:val="001A4571"/>
    <w:rsid w:val="001A5EEB"/>
    <w:rsid w:val="001A62A5"/>
    <w:rsid w:val="001B0D0D"/>
    <w:rsid w:val="001B2CF9"/>
    <w:rsid w:val="001B4216"/>
    <w:rsid w:val="001B49A4"/>
    <w:rsid w:val="001B521B"/>
    <w:rsid w:val="001B5CC8"/>
    <w:rsid w:val="001B6587"/>
    <w:rsid w:val="001C0582"/>
    <w:rsid w:val="001C058D"/>
    <w:rsid w:val="001C24DD"/>
    <w:rsid w:val="001C54C3"/>
    <w:rsid w:val="001C577E"/>
    <w:rsid w:val="001C73C5"/>
    <w:rsid w:val="001C743B"/>
    <w:rsid w:val="001D027D"/>
    <w:rsid w:val="001D19F5"/>
    <w:rsid w:val="001D4A1E"/>
    <w:rsid w:val="001D70E9"/>
    <w:rsid w:val="001E181E"/>
    <w:rsid w:val="001E1DCD"/>
    <w:rsid w:val="001E4481"/>
    <w:rsid w:val="001E44EF"/>
    <w:rsid w:val="001E4671"/>
    <w:rsid w:val="001E6C1A"/>
    <w:rsid w:val="001E723E"/>
    <w:rsid w:val="001E7629"/>
    <w:rsid w:val="001E7846"/>
    <w:rsid w:val="001E7E8B"/>
    <w:rsid w:val="001F2D39"/>
    <w:rsid w:val="001F2F0B"/>
    <w:rsid w:val="001F3130"/>
    <w:rsid w:val="001F5903"/>
    <w:rsid w:val="001F7292"/>
    <w:rsid w:val="002001DC"/>
    <w:rsid w:val="002032B0"/>
    <w:rsid w:val="00203778"/>
    <w:rsid w:val="0020407A"/>
    <w:rsid w:val="00210885"/>
    <w:rsid w:val="00210AE7"/>
    <w:rsid w:val="002123C7"/>
    <w:rsid w:val="002124BD"/>
    <w:rsid w:val="00213411"/>
    <w:rsid w:val="00214A23"/>
    <w:rsid w:val="00216D4F"/>
    <w:rsid w:val="00216E43"/>
    <w:rsid w:val="00220866"/>
    <w:rsid w:val="002231A4"/>
    <w:rsid w:val="00223245"/>
    <w:rsid w:val="00224447"/>
    <w:rsid w:val="00224A77"/>
    <w:rsid w:val="0022671D"/>
    <w:rsid w:val="0023090E"/>
    <w:rsid w:val="00231C64"/>
    <w:rsid w:val="00232763"/>
    <w:rsid w:val="00232C22"/>
    <w:rsid w:val="0023318A"/>
    <w:rsid w:val="002354CB"/>
    <w:rsid w:val="00236A9B"/>
    <w:rsid w:val="0023715B"/>
    <w:rsid w:val="00237592"/>
    <w:rsid w:val="00237C48"/>
    <w:rsid w:val="0024137B"/>
    <w:rsid w:val="002448BE"/>
    <w:rsid w:val="00244A0E"/>
    <w:rsid w:val="00244F73"/>
    <w:rsid w:val="00247F12"/>
    <w:rsid w:val="002501BB"/>
    <w:rsid w:val="0025021D"/>
    <w:rsid w:val="002509CA"/>
    <w:rsid w:val="00250C1D"/>
    <w:rsid w:val="00251A29"/>
    <w:rsid w:val="00251B89"/>
    <w:rsid w:val="00253615"/>
    <w:rsid w:val="00253950"/>
    <w:rsid w:val="00254F7E"/>
    <w:rsid w:val="0025569E"/>
    <w:rsid w:val="002564FE"/>
    <w:rsid w:val="002603EB"/>
    <w:rsid w:val="0026107E"/>
    <w:rsid w:val="00261FEB"/>
    <w:rsid w:val="00264327"/>
    <w:rsid w:val="002650F1"/>
    <w:rsid w:val="00266403"/>
    <w:rsid w:val="00266406"/>
    <w:rsid w:val="002672D6"/>
    <w:rsid w:val="002679CA"/>
    <w:rsid w:val="00272722"/>
    <w:rsid w:val="00273A5B"/>
    <w:rsid w:val="002745E7"/>
    <w:rsid w:val="002760AC"/>
    <w:rsid w:val="002764D1"/>
    <w:rsid w:val="00277370"/>
    <w:rsid w:val="00277935"/>
    <w:rsid w:val="00277E8E"/>
    <w:rsid w:val="00280DD6"/>
    <w:rsid w:val="00282496"/>
    <w:rsid w:val="00283033"/>
    <w:rsid w:val="002854DC"/>
    <w:rsid w:val="0028616B"/>
    <w:rsid w:val="00290CDE"/>
    <w:rsid w:val="00290DE2"/>
    <w:rsid w:val="00294626"/>
    <w:rsid w:val="0029463A"/>
    <w:rsid w:val="00294959"/>
    <w:rsid w:val="00294BAD"/>
    <w:rsid w:val="002959CC"/>
    <w:rsid w:val="002A0C27"/>
    <w:rsid w:val="002A2315"/>
    <w:rsid w:val="002A2732"/>
    <w:rsid w:val="002A3153"/>
    <w:rsid w:val="002A6C9C"/>
    <w:rsid w:val="002B6923"/>
    <w:rsid w:val="002C10AC"/>
    <w:rsid w:val="002C2AE8"/>
    <w:rsid w:val="002C2FF3"/>
    <w:rsid w:val="002C39D7"/>
    <w:rsid w:val="002C3A5A"/>
    <w:rsid w:val="002C4ABE"/>
    <w:rsid w:val="002C71EC"/>
    <w:rsid w:val="002C7548"/>
    <w:rsid w:val="002C780B"/>
    <w:rsid w:val="002C7E47"/>
    <w:rsid w:val="002D2C13"/>
    <w:rsid w:val="002D2FFB"/>
    <w:rsid w:val="002D4E0A"/>
    <w:rsid w:val="002D4E16"/>
    <w:rsid w:val="002D505C"/>
    <w:rsid w:val="002D5DF8"/>
    <w:rsid w:val="002E334D"/>
    <w:rsid w:val="002E486A"/>
    <w:rsid w:val="002E53C0"/>
    <w:rsid w:val="002E766C"/>
    <w:rsid w:val="002F02C8"/>
    <w:rsid w:val="002F03A7"/>
    <w:rsid w:val="002F0A07"/>
    <w:rsid w:val="002F2D5F"/>
    <w:rsid w:val="002F46DC"/>
    <w:rsid w:val="002F5145"/>
    <w:rsid w:val="002F5CB9"/>
    <w:rsid w:val="002F5E9B"/>
    <w:rsid w:val="002F683C"/>
    <w:rsid w:val="002F7C07"/>
    <w:rsid w:val="003010C9"/>
    <w:rsid w:val="00301C8C"/>
    <w:rsid w:val="00310C52"/>
    <w:rsid w:val="0031140B"/>
    <w:rsid w:val="00313E9D"/>
    <w:rsid w:val="00314E3D"/>
    <w:rsid w:val="0031538D"/>
    <w:rsid w:val="00316C1A"/>
    <w:rsid w:val="00317120"/>
    <w:rsid w:val="003171BB"/>
    <w:rsid w:val="0032100C"/>
    <w:rsid w:val="003212C2"/>
    <w:rsid w:val="00321921"/>
    <w:rsid w:val="00321926"/>
    <w:rsid w:val="003229FD"/>
    <w:rsid w:val="003239D3"/>
    <w:rsid w:val="00327707"/>
    <w:rsid w:val="00327B26"/>
    <w:rsid w:val="0033060D"/>
    <w:rsid w:val="003318F3"/>
    <w:rsid w:val="00331ECA"/>
    <w:rsid w:val="00333919"/>
    <w:rsid w:val="00334F3E"/>
    <w:rsid w:val="00337825"/>
    <w:rsid w:val="003379AF"/>
    <w:rsid w:val="00337C5C"/>
    <w:rsid w:val="00343E4C"/>
    <w:rsid w:val="00351949"/>
    <w:rsid w:val="003528B8"/>
    <w:rsid w:val="00352BC8"/>
    <w:rsid w:val="00355D82"/>
    <w:rsid w:val="00356CAF"/>
    <w:rsid w:val="003577A2"/>
    <w:rsid w:val="00360D5D"/>
    <w:rsid w:val="003612A6"/>
    <w:rsid w:val="003671F3"/>
    <w:rsid w:val="00367712"/>
    <w:rsid w:val="00367C88"/>
    <w:rsid w:val="00367DB2"/>
    <w:rsid w:val="00370B19"/>
    <w:rsid w:val="00371C8C"/>
    <w:rsid w:val="00373408"/>
    <w:rsid w:val="00373ABD"/>
    <w:rsid w:val="003748EB"/>
    <w:rsid w:val="00375DCD"/>
    <w:rsid w:val="00376F36"/>
    <w:rsid w:val="003800A6"/>
    <w:rsid w:val="0038151E"/>
    <w:rsid w:val="00381B28"/>
    <w:rsid w:val="00381CDD"/>
    <w:rsid w:val="00382358"/>
    <w:rsid w:val="00382580"/>
    <w:rsid w:val="00382FFA"/>
    <w:rsid w:val="0038357B"/>
    <w:rsid w:val="00383B0A"/>
    <w:rsid w:val="00383D5B"/>
    <w:rsid w:val="0038491D"/>
    <w:rsid w:val="0038570F"/>
    <w:rsid w:val="00387606"/>
    <w:rsid w:val="00391DD2"/>
    <w:rsid w:val="003925E1"/>
    <w:rsid w:val="00393D74"/>
    <w:rsid w:val="003943A7"/>
    <w:rsid w:val="00396A66"/>
    <w:rsid w:val="003A0E06"/>
    <w:rsid w:val="003A1A69"/>
    <w:rsid w:val="003A37B8"/>
    <w:rsid w:val="003A582F"/>
    <w:rsid w:val="003A6B72"/>
    <w:rsid w:val="003A724F"/>
    <w:rsid w:val="003A72BC"/>
    <w:rsid w:val="003B020F"/>
    <w:rsid w:val="003B3917"/>
    <w:rsid w:val="003B41D9"/>
    <w:rsid w:val="003B4356"/>
    <w:rsid w:val="003B5422"/>
    <w:rsid w:val="003B7293"/>
    <w:rsid w:val="003B7D7E"/>
    <w:rsid w:val="003C0EF3"/>
    <w:rsid w:val="003C38F2"/>
    <w:rsid w:val="003C53B2"/>
    <w:rsid w:val="003C592A"/>
    <w:rsid w:val="003C63D3"/>
    <w:rsid w:val="003C6422"/>
    <w:rsid w:val="003C6C9A"/>
    <w:rsid w:val="003D6961"/>
    <w:rsid w:val="003E2C77"/>
    <w:rsid w:val="003E2C89"/>
    <w:rsid w:val="003E3C14"/>
    <w:rsid w:val="003E56CB"/>
    <w:rsid w:val="003E6516"/>
    <w:rsid w:val="003E747A"/>
    <w:rsid w:val="003F0149"/>
    <w:rsid w:val="003F11BD"/>
    <w:rsid w:val="003F4748"/>
    <w:rsid w:val="003F61AC"/>
    <w:rsid w:val="003F6B46"/>
    <w:rsid w:val="00401267"/>
    <w:rsid w:val="00401B70"/>
    <w:rsid w:val="00402836"/>
    <w:rsid w:val="0040298F"/>
    <w:rsid w:val="0040367C"/>
    <w:rsid w:val="00404B23"/>
    <w:rsid w:val="00405154"/>
    <w:rsid w:val="004109B8"/>
    <w:rsid w:val="0041238C"/>
    <w:rsid w:val="00412829"/>
    <w:rsid w:val="0041314E"/>
    <w:rsid w:val="00414EDB"/>
    <w:rsid w:val="0041638E"/>
    <w:rsid w:val="004164DF"/>
    <w:rsid w:val="0042141B"/>
    <w:rsid w:val="00425FB2"/>
    <w:rsid w:val="004261AF"/>
    <w:rsid w:val="00426BB0"/>
    <w:rsid w:val="00427182"/>
    <w:rsid w:val="004277C9"/>
    <w:rsid w:val="00433AFF"/>
    <w:rsid w:val="00433EEA"/>
    <w:rsid w:val="00436ECF"/>
    <w:rsid w:val="004408B0"/>
    <w:rsid w:val="004408EE"/>
    <w:rsid w:val="00441C7F"/>
    <w:rsid w:val="00441E5E"/>
    <w:rsid w:val="0044524F"/>
    <w:rsid w:val="0044654E"/>
    <w:rsid w:val="004504F2"/>
    <w:rsid w:val="00450C1F"/>
    <w:rsid w:val="00451783"/>
    <w:rsid w:val="00454D05"/>
    <w:rsid w:val="00455240"/>
    <w:rsid w:val="00455919"/>
    <w:rsid w:val="0045705D"/>
    <w:rsid w:val="00457AEF"/>
    <w:rsid w:val="0046046C"/>
    <w:rsid w:val="0046404F"/>
    <w:rsid w:val="004663F3"/>
    <w:rsid w:val="00467553"/>
    <w:rsid w:val="00471F78"/>
    <w:rsid w:val="00473B94"/>
    <w:rsid w:val="00473DC2"/>
    <w:rsid w:val="0047556E"/>
    <w:rsid w:val="00475991"/>
    <w:rsid w:val="00475B13"/>
    <w:rsid w:val="0047732F"/>
    <w:rsid w:val="00480D8D"/>
    <w:rsid w:val="004814E5"/>
    <w:rsid w:val="004827CD"/>
    <w:rsid w:val="00484641"/>
    <w:rsid w:val="004846F8"/>
    <w:rsid w:val="00485EFC"/>
    <w:rsid w:val="00490A94"/>
    <w:rsid w:val="004911E4"/>
    <w:rsid w:val="004912F4"/>
    <w:rsid w:val="004922BC"/>
    <w:rsid w:val="00492CE8"/>
    <w:rsid w:val="00493558"/>
    <w:rsid w:val="004938BB"/>
    <w:rsid w:val="00493E23"/>
    <w:rsid w:val="00493EC9"/>
    <w:rsid w:val="00494ECE"/>
    <w:rsid w:val="00495251"/>
    <w:rsid w:val="00495B0C"/>
    <w:rsid w:val="004963A5"/>
    <w:rsid w:val="00496C34"/>
    <w:rsid w:val="004970E5"/>
    <w:rsid w:val="004A1759"/>
    <w:rsid w:val="004A2275"/>
    <w:rsid w:val="004A3872"/>
    <w:rsid w:val="004A3AC0"/>
    <w:rsid w:val="004A42D0"/>
    <w:rsid w:val="004A46DF"/>
    <w:rsid w:val="004A4ED0"/>
    <w:rsid w:val="004A5218"/>
    <w:rsid w:val="004A6F61"/>
    <w:rsid w:val="004B0706"/>
    <w:rsid w:val="004B22B1"/>
    <w:rsid w:val="004B46E5"/>
    <w:rsid w:val="004B6542"/>
    <w:rsid w:val="004B72A3"/>
    <w:rsid w:val="004C1E33"/>
    <w:rsid w:val="004C6870"/>
    <w:rsid w:val="004D29A3"/>
    <w:rsid w:val="004D4D48"/>
    <w:rsid w:val="004D5250"/>
    <w:rsid w:val="004D5BF0"/>
    <w:rsid w:val="004D6AD9"/>
    <w:rsid w:val="004E0517"/>
    <w:rsid w:val="004E0C12"/>
    <w:rsid w:val="004E13F0"/>
    <w:rsid w:val="004E3576"/>
    <w:rsid w:val="004E3FF4"/>
    <w:rsid w:val="004E4854"/>
    <w:rsid w:val="004E5FCE"/>
    <w:rsid w:val="004E70C8"/>
    <w:rsid w:val="004F036B"/>
    <w:rsid w:val="004F052D"/>
    <w:rsid w:val="004F0E54"/>
    <w:rsid w:val="004F2798"/>
    <w:rsid w:val="004F38B5"/>
    <w:rsid w:val="004F7B7E"/>
    <w:rsid w:val="00501785"/>
    <w:rsid w:val="00503724"/>
    <w:rsid w:val="0050487A"/>
    <w:rsid w:val="00504E3C"/>
    <w:rsid w:val="00507AD5"/>
    <w:rsid w:val="0051115E"/>
    <w:rsid w:val="00513C5B"/>
    <w:rsid w:val="00513F7C"/>
    <w:rsid w:val="005149B8"/>
    <w:rsid w:val="005168FA"/>
    <w:rsid w:val="005175C0"/>
    <w:rsid w:val="00520001"/>
    <w:rsid w:val="00520037"/>
    <w:rsid w:val="00521717"/>
    <w:rsid w:val="0052391C"/>
    <w:rsid w:val="0052393A"/>
    <w:rsid w:val="0052438D"/>
    <w:rsid w:val="00530C3F"/>
    <w:rsid w:val="00532B1D"/>
    <w:rsid w:val="00533524"/>
    <w:rsid w:val="00534347"/>
    <w:rsid w:val="00540C55"/>
    <w:rsid w:val="00541E42"/>
    <w:rsid w:val="00542227"/>
    <w:rsid w:val="005422EB"/>
    <w:rsid w:val="00544156"/>
    <w:rsid w:val="0054426F"/>
    <w:rsid w:val="0054508F"/>
    <w:rsid w:val="00546F3A"/>
    <w:rsid w:val="005475C6"/>
    <w:rsid w:val="00550C61"/>
    <w:rsid w:val="00552FBA"/>
    <w:rsid w:val="005542B3"/>
    <w:rsid w:val="00554D9D"/>
    <w:rsid w:val="00555A82"/>
    <w:rsid w:val="00556C52"/>
    <w:rsid w:val="0056008C"/>
    <w:rsid w:val="00560CBD"/>
    <w:rsid w:val="0056396C"/>
    <w:rsid w:val="0057053B"/>
    <w:rsid w:val="00570A8A"/>
    <w:rsid w:val="00571BE1"/>
    <w:rsid w:val="0057268E"/>
    <w:rsid w:val="00573C95"/>
    <w:rsid w:val="005750B7"/>
    <w:rsid w:val="00577986"/>
    <w:rsid w:val="005801AF"/>
    <w:rsid w:val="005806C7"/>
    <w:rsid w:val="00582C8B"/>
    <w:rsid w:val="00582CA5"/>
    <w:rsid w:val="00582FE9"/>
    <w:rsid w:val="0058511B"/>
    <w:rsid w:val="005852AF"/>
    <w:rsid w:val="00586FF5"/>
    <w:rsid w:val="005912BC"/>
    <w:rsid w:val="00593D15"/>
    <w:rsid w:val="00597AA6"/>
    <w:rsid w:val="005A0332"/>
    <w:rsid w:val="005A1737"/>
    <w:rsid w:val="005A1914"/>
    <w:rsid w:val="005A1D6F"/>
    <w:rsid w:val="005A378B"/>
    <w:rsid w:val="005A3804"/>
    <w:rsid w:val="005A40B3"/>
    <w:rsid w:val="005B078D"/>
    <w:rsid w:val="005B1361"/>
    <w:rsid w:val="005B177D"/>
    <w:rsid w:val="005B337F"/>
    <w:rsid w:val="005B3B4A"/>
    <w:rsid w:val="005B4C3F"/>
    <w:rsid w:val="005B4C4C"/>
    <w:rsid w:val="005B7966"/>
    <w:rsid w:val="005C0341"/>
    <w:rsid w:val="005C3CDD"/>
    <w:rsid w:val="005D2B33"/>
    <w:rsid w:val="005D4B36"/>
    <w:rsid w:val="005D5B37"/>
    <w:rsid w:val="005D6D35"/>
    <w:rsid w:val="005E1062"/>
    <w:rsid w:val="005E12BD"/>
    <w:rsid w:val="005E132E"/>
    <w:rsid w:val="005E1F41"/>
    <w:rsid w:val="005E305E"/>
    <w:rsid w:val="005E3ECC"/>
    <w:rsid w:val="005E53A4"/>
    <w:rsid w:val="005E6AAE"/>
    <w:rsid w:val="005F1F63"/>
    <w:rsid w:val="005F324D"/>
    <w:rsid w:val="005F4C0F"/>
    <w:rsid w:val="006011F9"/>
    <w:rsid w:val="006016B0"/>
    <w:rsid w:val="00602247"/>
    <w:rsid w:val="00603A62"/>
    <w:rsid w:val="006054AE"/>
    <w:rsid w:val="00606661"/>
    <w:rsid w:val="00612A91"/>
    <w:rsid w:val="00612F6B"/>
    <w:rsid w:val="00615BD4"/>
    <w:rsid w:val="006176D9"/>
    <w:rsid w:val="0062063C"/>
    <w:rsid w:val="00621EEA"/>
    <w:rsid w:val="00622049"/>
    <w:rsid w:val="00625F86"/>
    <w:rsid w:val="006267AC"/>
    <w:rsid w:val="006275F8"/>
    <w:rsid w:val="00627E6B"/>
    <w:rsid w:val="00630C8F"/>
    <w:rsid w:val="0063126C"/>
    <w:rsid w:val="006321D9"/>
    <w:rsid w:val="00635ACD"/>
    <w:rsid w:val="006360BD"/>
    <w:rsid w:val="006433FA"/>
    <w:rsid w:val="0064448B"/>
    <w:rsid w:val="00645F9B"/>
    <w:rsid w:val="006462F4"/>
    <w:rsid w:val="00646C7B"/>
    <w:rsid w:val="006519B0"/>
    <w:rsid w:val="00653EEF"/>
    <w:rsid w:val="00655832"/>
    <w:rsid w:val="00656DB1"/>
    <w:rsid w:val="0065706C"/>
    <w:rsid w:val="006570F3"/>
    <w:rsid w:val="006574CA"/>
    <w:rsid w:val="00663087"/>
    <w:rsid w:val="00664AEC"/>
    <w:rsid w:val="0066644B"/>
    <w:rsid w:val="00666905"/>
    <w:rsid w:val="00666E6E"/>
    <w:rsid w:val="00667926"/>
    <w:rsid w:val="0066795B"/>
    <w:rsid w:val="00671B72"/>
    <w:rsid w:val="00672A07"/>
    <w:rsid w:val="00672A3D"/>
    <w:rsid w:val="00673284"/>
    <w:rsid w:val="00673C56"/>
    <w:rsid w:val="00674E3C"/>
    <w:rsid w:val="00680795"/>
    <w:rsid w:val="00680F5D"/>
    <w:rsid w:val="00684062"/>
    <w:rsid w:val="00684218"/>
    <w:rsid w:val="00684A17"/>
    <w:rsid w:val="00684A6C"/>
    <w:rsid w:val="0068548A"/>
    <w:rsid w:val="00686ACA"/>
    <w:rsid w:val="006904AF"/>
    <w:rsid w:val="00691347"/>
    <w:rsid w:val="00691E6C"/>
    <w:rsid w:val="00692FA7"/>
    <w:rsid w:val="00695821"/>
    <w:rsid w:val="0069607D"/>
    <w:rsid w:val="006960C5"/>
    <w:rsid w:val="006A05F8"/>
    <w:rsid w:val="006A0897"/>
    <w:rsid w:val="006A27B1"/>
    <w:rsid w:val="006A4246"/>
    <w:rsid w:val="006A56B9"/>
    <w:rsid w:val="006A64EB"/>
    <w:rsid w:val="006A7750"/>
    <w:rsid w:val="006A7FD4"/>
    <w:rsid w:val="006B0E91"/>
    <w:rsid w:val="006B1891"/>
    <w:rsid w:val="006B37AE"/>
    <w:rsid w:val="006B3C07"/>
    <w:rsid w:val="006B476E"/>
    <w:rsid w:val="006B51CC"/>
    <w:rsid w:val="006B7254"/>
    <w:rsid w:val="006B73B9"/>
    <w:rsid w:val="006C0F43"/>
    <w:rsid w:val="006C2D51"/>
    <w:rsid w:val="006C4083"/>
    <w:rsid w:val="006C4B81"/>
    <w:rsid w:val="006C517C"/>
    <w:rsid w:val="006C5CAA"/>
    <w:rsid w:val="006C6855"/>
    <w:rsid w:val="006C7F43"/>
    <w:rsid w:val="006D12D7"/>
    <w:rsid w:val="006D16F3"/>
    <w:rsid w:val="006D49E3"/>
    <w:rsid w:val="006D4C2C"/>
    <w:rsid w:val="006D62FF"/>
    <w:rsid w:val="006D750B"/>
    <w:rsid w:val="006E019F"/>
    <w:rsid w:val="006E18C4"/>
    <w:rsid w:val="006E3E50"/>
    <w:rsid w:val="006E402A"/>
    <w:rsid w:val="006E525F"/>
    <w:rsid w:val="006E58F6"/>
    <w:rsid w:val="006E74F5"/>
    <w:rsid w:val="006E7DCA"/>
    <w:rsid w:val="006F00D3"/>
    <w:rsid w:val="006F03B7"/>
    <w:rsid w:val="006F2035"/>
    <w:rsid w:val="006F28EE"/>
    <w:rsid w:val="006F42C2"/>
    <w:rsid w:val="006F602A"/>
    <w:rsid w:val="006F7412"/>
    <w:rsid w:val="00704E65"/>
    <w:rsid w:val="00707845"/>
    <w:rsid w:val="0071025E"/>
    <w:rsid w:val="007105A5"/>
    <w:rsid w:val="00710B8D"/>
    <w:rsid w:val="00711B21"/>
    <w:rsid w:val="00712CF9"/>
    <w:rsid w:val="00713024"/>
    <w:rsid w:val="00713EA1"/>
    <w:rsid w:val="00715D6B"/>
    <w:rsid w:val="00717F6B"/>
    <w:rsid w:val="007212F0"/>
    <w:rsid w:val="00722EC6"/>
    <w:rsid w:val="00723FF6"/>
    <w:rsid w:val="0072460B"/>
    <w:rsid w:val="007266A7"/>
    <w:rsid w:val="00726876"/>
    <w:rsid w:val="007269B1"/>
    <w:rsid w:val="00730DF7"/>
    <w:rsid w:val="0073114A"/>
    <w:rsid w:val="0073123A"/>
    <w:rsid w:val="00731306"/>
    <w:rsid w:val="007331F6"/>
    <w:rsid w:val="0073362F"/>
    <w:rsid w:val="00733A3E"/>
    <w:rsid w:val="00736999"/>
    <w:rsid w:val="00736B54"/>
    <w:rsid w:val="007402CA"/>
    <w:rsid w:val="00740605"/>
    <w:rsid w:val="00740FA5"/>
    <w:rsid w:val="00742D13"/>
    <w:rsid w:val="007440A8"/>
    <w:rsid w:val="00747B97"/>
    <w:rsid w:val="00747DD4"/>
    <w:rsid w:val="00751820"/>
    <w:rsid w:val="00751B20"/>
    <w:rsid w:val="00751B7E"/>
    <w:rsid w:val="00752AB2"/>
    <w:rsid w:val="00754193"/>
    <w:rsid w:val="007556C8"/>
    <w:rsid w:val="00756FA1"/>
    <w:rsid w:val="0075717F"/>
    <w:rsid w:val="0075734A"/>
    <w:rsid w:val="007605DF"/>
    <w:rsid w:val="0076244A"/>
    <w:rsid w:val="00762D9D"/>
    <w:rsid w:val="0076348B"/>
    <w:rsid w:val="00763FD6"/>
    <w:rsid w:val="0076431D"/>
    <w:rsid w:val="00766DE9"/>
    <w:rsid w:val="007678A5"/>
    <w:rsid w:val="00770841"/>
    <w:rsid w:val="00771F67"/>
    <w:rsid w:val="00772012"/>
    <w:rsid w:val="0077276C"/>
    <w:rsid w:val="0077418F"/>
    <w:rsid w:val="00774B93"/>
    <w:rsid w:val="00774C01"/>
    <w:rsid w:val="007756C4"/>
    <w:rsid w:val="007823C9"/>
    <w:rsid w:val="007835B7"/>
    <w:rsid w:val="007863E1"/>
    <w:rsid w:val="007910D3"/>
    <w:rsid w:val="0079336E"/>
    <w:rsid w:val="0079713F"/>
    <w:rsid w:val="007A2F5A"/>
    <w:rsid w:val="007A5BD0"/>
    <w:rsid w:val="007B2F0F"/>
    <w:rsid w:val="007B4B46"/>
    <w:rsid w:val="007B539F"/>
    <w:rsid w:val="007B5E5F"/>
    <w:rsid w:val="007B6CA0"/>
    <w:rsid w:val="007B6F71"/>
    <w:rsid w:val="007C06F8"/>
    <w:rsid w:val="007C27E5"/>
    <w:rsid w:val="007C2E24"/>
    <w:rsid w:val="007C3F78"/>
    <w:rsid w:val="007C4B09"/>
    <w:rsid w:val="007C6167"/>
    <w:rsid w:val="007C6EB8"/>
    <w:rsid w:val="007C7809"/>
    <w:rsid w:val="007D0A7B"/>
    <w:rsid w:val="007D13B9"/>
    <w:rsid w:val="007D2774"/>
    <w:rsid w:val="007D687F"/>
    <w:rsid w:val="007D71F7"/>
    <w:rsid w:val="007E024C"/>
    <w:rsid w:val="007E065D"/>
    <w:rsid w:val="007E160E"/>
    <w:rsid w:val="007E1BDD"/>
    <w:rsid w:val="007E1DED"/>
    <w:rsid w:val="007E700C"/>
    <w:rsid w:val="007E7388"/>
    <w:rsid w:val="007F1BAF"/>
    <w:rsid w:val="007F1F1C"/>
    <w:rsid w:val="007F2277"/>
    <w:rsid w:val="007F433C"/>
    <w:rsid w:val="007F4428"/>
    <w:rsid w:val="008004B0"/>
    <w:rsid w:val="008045D9"/>
    <w:rsid w:val="0080469F"/>
    <w:rsid w:val="0080691F"/>
    <w:rsid w:val="00806C8A"/>
    <w:rsid w:val="0080702C"/>
    <w:rsid w:val="00807165"/>
    <w:rsid w:val="00807348"/>
    <w:rsid w:val="00810CFD"/>
    <w:rsid w:val="00812094"/>
    <w:rsid w:val="0081333B"/>
    <w:rsid w:val="008140D7"/>
    <w:rsid w:val="0081653B"/>
    <w:rsid w:val="00821DF6"/>
    <w:rsid w:val="00823CCC"/>
    <w:rsid w:val="0082598E"/>
    <w:rsid w:val="00827179"/>
    <w:rsid w:val="0083029A"/>
    <w:rsid w:val="00830426"/>
    <w:rsid w:val="00830E02"/>
    <w:rsid w:val="00831C83"/>
    <w:rsid w:val="00831E0A"/>
    <w:rsid w:val="008343C4"/>
    <w:rsid w:val="00835847"/>
    <w:rsid w:val="00835C6F"/>
    <w:rsid w:val="008367A9"/>
    <w:rsid w:val="00837429"/>
    <w:rsid w:val="0083745B"/>
    <w:rsid w:val="00840252"/>
    <w:rsid w:val="00840420"/>
    <w:rsid w:val="00842DE3"/>
    <w:rsid w:val="00844F5E"/>
    <w:rsid w:val="00846701"/>
    <w:rsid w:val="0085232F"/>
    <w:rsid w:val="00853DAF"/>
    <w:rsid w:val="008541F5"/>
    <w:rsid w:val="00854E2A"/>
    <w:rsid w:val="008550CD"/>
    <w:rsid w:val="00857E3A"/>
    <w:rsid w:val="00861135"/>
    <w:rsid w:val="00864495"/>
    <w:rsid w:val="0086449D"/>
    <w:rsid w:val="008651BC"/>
    <w:rsid w:val="00867059"/>
    <w:rsid w:val="00867A5A"/>
    <w:rsid w:val="008711B1"/>
    <w:rsid w:val="0087154D"/>
    <w:rsid w:val="00871FBA"/>
    <w:rsid w:val="00872119"/>
    <w:rsid w:val="008722FB"/>
    <w:rsid w:val="008772E2"/>
    <w:rsid w:val="00877EA2"/>
    <w:rsid w:val="00877F6D"/>
    <w:rsid w:val="008808CA"/>
    <w:rsid w:val="00883321"/>
    <w:rsid w:val="00884BE5"/>
    <w:rsid w:val="00887D93"/>
    <w:rsid w:val="00890912"/>
    <w:rsid w:val="00890D7D"/>
    <w:rsid w:val="008917B4"/>
    <w:rsid w:val="008933C7"/>
    <w:rsid w:val="008941B9"/>
    <w:rsid w:val="00894216"/>
    <w:rsid w:val="008959F9"/>
    <w:rsid w:val="00896786"/>
    <w:rsid w:val="00897413"/>
    <w:rsid w:val="008A118C"/>
    <w:rsid w:val="008A46DC"/>
    <w:rsid w:val="008A4806"/>
    <w:rsid w:val="008A4BF4"/>
    <w:rsid w:val="008A510D"/>
    <w:rsid w:val="008A5EDE"/>
    <w:rsid w:val="008A7A4E"/>
    <w:rsid w:val="008A7C4F"/>
    <w:rsid w:val="008B21B9"/>
    <w:rsid w:val="008B2FA8"/>
    <w:rsid w:val="008B3253"/>
    <w:rsid w:val="008B3F5C"/>
    <w:rsid w:val="008C020E"/>
    <w:rsid w:val="008C2C9D"/>
    <w:rsid w:val="008C2F9E"/>
    <w:rsid w:val="008C4BCD"/>
    <w:rsid w:val="008C51D0"/>
    <w:rsid w:val="008D03EA"/>
    <w:rsid w:val="008D16BD"/>
    <w:rsid w:val="008D17A7"/>
    <w:rsid w:val="008D2E91"/>
    <w:rsid w:val="008D58E2"/>
    <w:rsid w:val="008D6283"/>
    <w:rsid w:val="008D7FB0"/>
    <w:rsid w:val="008E050B"/>
    <w:rsid w:val="008E1010"/>
    <w:rsid w:val="008E259A"/>
    <w:rsid w:val="008E2C2E"/>
    <w:rsid w:val="008E3F04"/>
    <w:rsid w:val="008E72A8"/>
    <w:rsid w:val="008F03CE"/>
    <w:rsid w:val="008F0627"/>
    <w:rsid w:val="008F15EC"/>
    <w:rsid w:val="008F1FF1"/>
    <w:rsid w:val="008F2498"/>
    <w:rsid w:val="008F41FB"/>
    <w:rsid w:val="008F4B49"/>
    <w:rsid w:val="008F4FAB"/>
    <w:rsid w:val="008F5977"/>
    <w:rsid w:val="008F5C9B"/>
    <w:rsid w:val="00903338"/>
    <w:rsid w:val="009039C8"/>
    <w:rsid w:val="009049D8"/>
    <w:rsid w:val="00904BCF"/>
    <w:rsid w:val="00905B77"/>
    <w:rsid w:val="00906FD6"/>
    <w:rsid w:val="009079D0"/>
    <w:rsid w:val="00907DCD"/>
    <w:rsid w:val="009104AA"/>
    <w:rsid w:val="00914466"/>
    <w:rsid w:val="00915D8A"/>
    <w:rsid w:val="00917746"/>
    <w:rsid w:val="009209A5"/>
    <w:rsid w:val="00920F98"/>
    <w:rsid w:val="00922448"/>
    <w:rsid w:val="009228BB"/>
    <w:rsid w:val="00922FDA"/>
    <w:rsid w:val="00924172"/>
    <w:rsid w:val="009244DF"/>
    <w:rsid w:val="00927EF6"/>
    <w:rsid w:val="00930D45"/>
    <w:rsid w:val="00930E14"/>
    <w:rsid w:val="00930ECD"/>
    <w:rsid w:val="00933885"/>
    <w:rsid w:val="009338DA"/>
    <w:rsid w:val="00936E93"/>
    <w:rsid w:val="00937FDA"/>
    <w:rsid w:val="00947632"/>
    <w:rsid w:val="0094786C"/>
    <w:rsid w:val="00947B9F"/>
    <w:rsid w:val="00947FB4"/>
    <w:rsid w:val="00952D2F"/>
    <w:rsid w:val="00952D60"/>
    <w:rsid w:val="00952E44"/>
    <w:rsid w:val="00955447"/>
    <w:rsid w:val="00955A17"/>
    <w:rsid w:val="00957C50"/>
    <w:rsid w:val="00960E12"/>
    <w:rsid w:val="0096331F"/>
    <w:rsid w:val="00963914"/>
    <w:rsid w:val="00963A90"/>
    <w:rsid w:val="009729D8"/>
    <w:rsid w:val="00973A66"/>
    <w:rsid w:val="0097453F"/>
    <w:rsid w:val="00974577"/>
    <w:rsid w:val="00975045"/>
    <w:rsid w:val="00976670"/>
    <w:rsid w:val="00976BC3"/>
    <w:rsid w:val="00976E64"/>
    <w:rsid w:val="00977929"/>
    <w:rsid w:val="0098426D"/>
    <w:rsid w:val="009856EF"/>
    <w:rsid w:val="009875D9"/>
    <w:rsid w:val="00993B1F"/>
    <w:rsid w:val="00993F70"/>
    <w:rsid w:val="0099428D"/>
    <w:rsid w:val="00995932"/>
    <w:rsid w:val="00996D49"/>
    <w:rsid w:val="009A1C77"/>
    <w:rsid w:val="009A51E6"/>
    <w:rsid w:val="009A5BC5"/>
    <w:rsid w:val="009A61AA"/>
    <w:rsid w:val="009A747C"/>
    <w:rsid w:val="009A7DAC"/>
    <w:rsid w:val="009B2B6E"/>
    <w:rsid w:val="009B3C1F"/>
    <w:rsid w:val="009B7D7E"/>
    <w:rsid w:val="009C10F7"/>
    <w:rsid w:val="009C11B1"/>
    <w:rsid w:val="009C1722"/>
    <w:rsid w:val="009C6235"/>
    <w:rsid w:val="009C6E76"/>
    <w:rsid w:val="009D00B8"/>
    <w:rsid w:val="009D3E42"/>
    <w:rsid w:val="009D4581"/>
    <w:rsid w:val="009D682E"/>
    <w:rsid w:val="009E3023"/>
    <w:rsid w:val="009E40F9"/>
    <w:rsid w:val="009E48BC"/>
    <w:rsid w:val="009E5844"/>
    <w:rsid w:val="009E653F"/>
    <w:rsid w:val="009E7C9A"/>
    <w:rsid w:val="009F1CC4"/>
    <w:rsid w:val="009F4C6D"/>
    <w:rsid w:val="009F5062"/>
    <w:rsid w:val="009F5729"/>
    <w:rsid w:val="00A0043A"/>
    <w:rsid w:val="00A01D25"/>
    <w:rsid w:val="00A02277"/>
    <w:rsid w:val="00A02C8F"/>
    <w:rsid w:val="00A0624A"/>
    <w:rsid w:val="00A06830"/>
    <w:rsid w:val="00A076A0"/>
    <w:rsid w:val="00A10FF2"/>
    <w:rsid w:val="00A12892"/>
    <w:rsid w:val="00A149DF"/>
    <w:rsid w:val="00A1634D"/>
    <w:rsid w:val="00A16974"/>
    <w:rsid w:val="00A1707B"/>
    <w:rsid w:val="00A32694"/>
    <w:rsid w:val="00A33A18"/>
    <w:rsid w:val="00A33FA2"/>
    <w:rsid w:val="00A3470B"/>
    <w:rsid w:val="00A350BE"/>
    <w:rsid w:val="00A35C8A"/>
    <w:rsid w:val="00A36343"/>
    <w:rsid w:val="00A36638"/>
    <w:rsid w:val="00A36B9A"/>
    <w:rsid w:val="00A37737"/>
    <w:rsid w:val="00A4149B"/>
    <w:rsid w:val="00A51ECF"/>
    <w:rsid w:val="00A5335D"/>
    <w:rsid w:val="00A53EBD"/>
    <w:rsid w:val="00A56524"/>
    <w:rsid w:val="00A610B8"/>
    <w:rsid w:val="00A61208"/>
    <w:rsid w:val="00A62660"/>
    <w:rsid w:val="00A62D2C"/>
    <w:rsid w:val="00A64D6A"/>
    <w:rsid w:val="00A66A0F"/>
    <w:rsid w:val="00A67FB0"/>
    <w:rsid w:val="00A700BE"/>
    <w:rsid w:val="00A7038D"/>
    <w:rsid w:val="00A713C2"/>
    <w:rsid w:val="00A725C2"/>
    <w:rsid w:val="00A73440"/>
    <w:rsid w:val="00A75908"/>
    <w:rsid w:val="00A75D01"/>
    <w:rsid w:val="00A76B01"/>
    <w:rsid w:val="00A813D7"/>
    <w:rsid w:val="00A83BB1"/>
    <w:rsid w:val="00A87807"/>
    <w:rsid w:val="00A90332"/>
    <w:rsid w:val="00A94426"/>
    <w:rsid w:val="00A9734B"/>
    <w:rsid w:val="00A97D26"/>
    <w:rsid w:val="00AA06C5"/>
    <w:rsid w:val="00AA1669"/>
    <w:rsid w:val="00AA3A8E"/>
    <w:rsid w:val="00AA5BB8"/>
    <w:rsid w:val="00AA5D50"/>
    <w:rsid w:val="00AA6487"/>
    <w:rsid w:val="00AB001E"/>
    <w:rsid w:val="00AB2D04"/>
    <w:rsid w:val="00AB318B"/>
    <w:rsid w:val="00AB7D6A"/>
    <w:rsid w:val="00AC0A22"/>
    <w:rsid w:val="00AC3A3F"/>
    <w:rsid w:val="00AD190D"/>
    <w:rsid w:val="00AD2DAB"/>
    <w:rsid w:val="00AD5BFF"/>
    <w:rsid w:val="00AD7D83"/>
    <w:rsid w:val="00AE0052"/>
    <w:rsid w:val="00AE1BBB"/>
    <w:rsid w:val="00AE2163"/>
    <w:rsid w:val="00AE2F4C"/>
    <w:rsid w:val="00AE3B4A"/>
    <w:rsid w:val="00AE4A87"/>
    <w:rsid w:val="00AE673D"/>
    <w:rsid w:val="00AE749B"/>
    <w:rsid w:val="00AF0629"/>
    <w:rsid w:val="00AF1BF1"/>
    <w:rsid w:val="00AF32B8"/>
    <w:rsid w:val="00AF3CB3"/>
    <w:rsid w:val="00AF531B"/>
    <w:rsid w:val="00AF5337"/>
    <w:rsid w:val="00AF53C2"/>
    <w:rsid w:val="00AF71F6"/>
    <w:rsid w:val="00AF78C6"/>
    <w:rsid w:val="00AF7C60"/>
    <w:rsid w:val="00B005C5"/>
    <w:rsid w:val="00B02305"/>
    <w:rsid w:val="00B02E23"/>
    <w:rsid w:val="00B05983"/>
    <w:rsid w:val="00B060D5"/>
    <w:rsid w:val="00B1175D"/>
    <w:rsid w:val="00B12731"/>
    <w:rsid w:val="00B12AA5"/>
    <w:rsid w:val="00B146BC"/>
    <w:rsid w:val="00B14DF1"/>
    <w:rsid w:val="00B15081"/>
    <w:rsid w:val="00B153B3"/>
    <w:rsid w:val="00B17790"/>
    <w:rsid w:val="00B17CBB"/>
    <w:rsid w:val="00B20BBF"/>
    <w:rsid w:val="00B217CC"/>
    <w:rsid w:val="00B22797"/>
    <w:rsid w:val="00B2523F"/>
    <w:rsid w:val="00B25447"/>
    <w:rsid w:val="00B27097"/>
    <w:rsid w:val="00B271C9"/>
    <w:rsid w:val="00B31C57"/>
    <w:rsid w:val="00B32F09"/>
    <w:rsid w:val="00B33D96"/>
    <w:rsid w:val="00B33E36"/>
    <w:rsid w:val="00B342E4"/>
    <w:rsid w:val="00B34F0E"/>
    <w:rsid w:val="00B35F5F"/>
    <w:rsid w:val="00B36F78"/>
    <w:rsid w:val="00B3755E"/>
    <w:rsid w:val="00B404A6"/>
    <w:rsid w:val="00B40A63"/>
    <w:rsid w:val="00B41213"/>
    <w:rsid w:val="00B44C32"/>
    <w:rsid w:val="00B45C45"/>
    <w:rsid w:val="00B47277"/>
    <w:rsid w:val="00B475F2"/>
    <w:rsid w:val="00B56FB7"/>
    <w:rsid w:val="00B577A6"/>
    <w:rsid w:val="00B607BE"/>
    <w:rsid w:val="00B61E09"/>
    <w:rsid w:val="00B6274D"/>
    <w:rsid w:val="00B62B63"/>
    <w:rsid w:val="00B63F96"/>
    <w:rsid w:val="00B64C49"/>
    <w:rsid w:val="00B64D41"/>
    <w:rsid w:val="00B65758"/>
    <w:rsid w:val="00B66CB3"/>
    <w:rsid w:val="00B66D6E"/>
    <w:rsid w:val="00B67351"/>
    <w:rsid w:val="00B706C6"/>
    <w:rsid w:val="00B71917"/>
    <w:rsid w:val="00B71F65"/>
    <w:rsid w:val="00B7370A"/>
    <w:rsid w:val="00B739CF"/>
    <w:rsid w:val="00B7475F"/>
    <w:rsid w:val="00B80B07"/>
    <w:rsid w:val="00B8178C"/>
    <w:rsid w:val="00B81BF0"/>
    <w:rsid w:val="00B82E33"/>
    <w:rsid w:val="00B82ECB"/>
    <w:rsid w:val="00B8310B"/>
    <w:rsid w:val="00B83C8B"/>
    <w:rsid w:val="00B83DAE"/>
    <w:rsid w:val="00B85BAF"/>
    <w:rsid w:val="00B90874"/>
    <w:rsid w:val="00B90BFA"/>
    <w:rsid w:val="00B93044"/>
    <w:rsid w:val="00B931B0"/>
    <w:rsid w:val="00B93ED9"/>
    <w:rsid w:val="00B95E2C"/>
    <w:rsid w:val="00BA2C17"/>
    <w:rsid w:val="00BA40F3"/>
    <w:rsid w:val="00BA5F6B"/>
    <w:rsid w:val="00BA6BD0"/>
    <w:rsid w:val="00BB0589"/>
    <w:rsid w:val="00BB1AF8"/>
    <w:rsid w:val="00BB2E2A"/>
    <w:rsid w:val="00BB4B39"/>
    <w:rsid w:val="00BB6ECF"/>
    <w:rsid w:val="00BB7271"/>
    <w:rsid w:val="00BC0C82"/>
    <w:rsid w:val="00BC3515"/>
    <w:rsid w:val="00BC59C2"/>
    <w:rsid w:val="00BD02CC"/>
    <w:rsid w:val="00BD22C7"/>
    <w:rsid w:val="00BD277B"/>
    <w:rsid w:val="00BD31A9"/>
    <w:rsid w:val="00BD530D"/>
    <w:rsid w:val="00BE205B"/>
    <w:rsid w:val="00BE264E"/>
    <w:rsid w:val="00BE4E80"/>
    <w:rsid w:val="00BE68B4"/>
    <w:rsid w:val="00BF11E3"/>
    <w:rsid w:val="00BF174F"/>
    <w:rsid w:val="00BF22DA"/>
    <w:rsid w:val="00C029B6"/>
    <w:rsid w:val="00C03B0F"/>
    <w:rsid w:val="00C03E68"/>
    <w:rsid w:val="00C05139"/>
    <w:rsid w:val="00C1115B"/>
    <w:rsid w:val="00C124B7"/>
    <w:rsid w:val="00C1658C"/>
    <w:rsid w:val="00C16745"/>
    <w:rsid w:val="00C16AB3"/>
    <w:rsid w:val="00C17224"/>
    <w:rsid w:val="00C17614"/>
    <w:rsid w:val="00C17685"/>
    <w:rsid w:val="00C20CBD"/>
    <w:rsid w:val="00C223A5"/>
    <w:rsid w:val="00C23A93"/>
    <w:rsid w:val="00C23BCF"/>
    <w:rsid w:val="00C2546E"/>
    <w:rsid w:val="00C2648A"/>
    <w:rsid w:val="00C2711D"/>
    <w:rsid w:val="00C275B4"/>
    <w:rsid w:val="00C310A0"/>
    <w:rsid w:val="00C33258"/>
    <w:rsid w:val="00C351DB"/>
    <w:rsid w:val="00C36A88"/>
    <w:rsid w:val="00C372C1"/>
    <w:rsid w:val="00C44141"/>
    <w:rsid w:val="00C45FC5"/>
    <w:rsid w:val="00C46E16"/>
    <w:rsid w:val="00C53DF0"/>
    <w:rsid w:val="00C53EEF"/>
    <w:rsid w:val="00C54193"/>
    <w:rsid w:val="00C55A01"/>
    <w:rsid w:val="00C56A39"/>
    <w:rsid w:val="00C57DD6"/>
    <w:rsid w:val="00C607D5"/>
    <w:rsid w:val="00C62A8F"/>
    <w:rsid w:val="00C634E0"/>
    <w:rsid w:val="00C63617"/>
    <w:rsid w:val="00C66466"/>
    <w:rsid w:val="00C671BC"/>
    <w:rsid w:val="00C70919"/>
    <w:rsid w:val="00C759E4"/>
    <w:rsid w:val="00C75BEC"/>
    <w:rsid w:val="00C7791E"/>
    <w:rsid w:val="00C779D0"/>
    <w:rsid w:val="00C80D96"/>
    <w:rsid w:val="00C83560"/>
    <w:rsid w:val="00C836E3"/>
    <w:rsid w:val="00C83A19"/>
    <w:rsid w:val="00C84756"/>
    <w:rsid w:val="00C8527E"/>
    <w:rsid w:val="00C855D2"/>
    <w:rsid w:val="00C85B78"/>
    <w:rsid w:val="00C85E96"/>
    <w:rsid w:val="00C86FBD"/>
    <w:rsid w:val="00C9128F"/>
    <w:rsid w:val="00C91666"/>
    <w:rsid w:val="00C9219D"/>
    <w:rsid w:val="00C923D5"/>
    <w:rsid w:val="00C94E84"/>
    <w:rsid w:val="00CA0D9F"/>
    <w:rsid w:val="00CA18FB"/>
    <w:rsid w:val="00CA1BD1"/>
    <w:rsid w:val="00CA1CEF"/>
    <w:rsid w:val="00CB030A"/>
    <w:rsid w:val="00CB125C"/>
    <w:rsid w:val="00CB455B"/>
    <w:rsid w:val="00CB4D87"/>
    <w:rsid w:val="00CC4E6E"/>
    <w:rsid w:val="00CC5A69"/>
    <w:rsid w:val="00CC6E0A"/>
    <w:rsid w:val="00CC7617"/>
    <w:rsid w:val="00CC7935"/>
    <w:rsid w:val="00CD17D1"/>
    <w:rsid w:val="00CD20F9"/>
    <w:rsid w:val="00CD5F39"/>
    <w:rsid w:val="00CD66FB"/>
    <w:rsid w:val="00CD67D5"/>
    <w:rsid w:val="00CE6D2A"/>
    <w:rsid w:val="00CE70E4"/>
    <w:rsid w:val="00CE7C1D"/>
    <w:rsid w:val="00CF0889"/>
    <w:rsid w:val="00CF2156"/>
    <w:rsid w:val="00CF41C5"/>
    <w:rsid w:val="00CF4D7B"/>
    <w:rsid w:val="00CF6914"/>
    <w:rsid w:val="00CF71FE"/>
    <w:rsid w:val="00CF7F30"/>
    <w:rsid w:val="00D003AF"/>
    <w:rsid w:val="00D0323A"/>
    <w:rsid w:val="00D049C3"/>
    <w:rsid w:val="00D04E6B"/>
    <w:rsid w:val="00D062A5"/>
    <w:rsid w:val="00D07715"/>
    <w:rsid w:val="00D106FE"/>
    <w:rsid w:val="00D10ED3"/>
    <w:rsid w:val="00D125E8"/>
    <w:rsid w:val="00D12D3B"/>
    <w:rsid w:val="00D13D7B"/>
    <w:rsid w:val="00D14535"/>
    <w:rsid w:val="00D15FDA"/>
    <w:rsid w:val="00D161B7"/>
    <w:rsid w:val="00D17C84"/>
    <w:rsid w:val="00D21A22"/>
    <w:rsid w:val="00D21ED8"/>
    <w:rsid w:val="00D22A32"/>
    <w:rsid w:val="00D23012"/>
    <w:rsid w:val="00D244E8"/>
    <w:rsid w:val="00D25D7C"/>
    <w:rsid w:val="00D26EC1"/>
    <w:rsid w:val="00D2709A"/>
    <w:rsid w:val="00D27EFB"/>
    <w:rsid w:val="00D30569"/>
    <w:rsid w:val="00D31F30"/>
    <w:rsid w:val="00D31F45"/>
    <w:rsid w:val="00D335BB"/>
    <w:rsid w:val="00D34B05"/>
    <w:rsid w:val="00D34CE8"/>
    <w:rsid w:val="00D35583"/>
    <w:rsid w:val="00D360B1"/>
    <w:rsid w:val="00D37504"/>
    <w:rsid w:val="00D37996"/>
    <w:rsid w:val="00D45D37"/>
    <w:rsid w:val="00D4725F"/>
    <w:rsid w:val="00D47EAE"/>
    <w:rsid w:val="00D54091"/>
    <w:rsid w:val="00D54B9A"/>
    <w:rsid w:val="00D54F2F"/>
    <w:rsid w:val="00D557F5"/>
    <w:rsid w:val="00D60619"/>
    <w:rsid w:val="00D61100"/>
    <w:rsid w:val="00D61C45"/>
    <w:rsid w:val="00D62AEF"/>
    <w:rsid w:val="00D62CE1"/>
    <w:rsid w:val="00D64AE1"/>
    <w:rsid w:val="00D64DD6"/>
    <w:rsid w:val="00D6587C"/>
    <w:rsid w:val="00D72C4E"/>
    <w:rsid w:val="00D756CA"/>
    <w:rsid w:val="00D77713"/>
    <w:rsid w:val="00D7798A"/>
    <w:rsid w:val="00D81645"/>
    <w:rsid w:val="00D8307B"/>
    <w:rsid w:val="00D8327C"/>
    <w:rsid w:val="00D836F7"/>
    <w:rsid w:val="00D84645"/>
    <w:rsid w:val="00D85D93"/>
    <w:rsid w:val="00D864F8"/>
    <w:rsid w:val="00D879A3"/>
    <w:rsid w:val="00D87AFF"/>
    <w:rsid w:val="00D87DBF"/>
    <w:rsid w:val="00D93123"/>
    <w:rsid w:val="00D95999"/>
    <w:rsid w:val="00DA2A76"/>
    <w:rsid w:val="00DA2AC1"/>
    <w:rsid w:val="00DA527C"/>
    <w:rsid w:val="00DA5B6B"/>
    <w:rsid w:val="00DA700C"/>
    <w:rsid w:val="00DB2EF0"/>
    <w:rsid w:val="00DB4640"/>
    <w:rsid w:val="00DB72D0"/>
    <w:rsid w:val="00DC115C"/>
    <w:rsid w:val="00DC44F4"/>
    <w:rsid w:val="00DC6EFE"/>
    <w:rsid w:val="00DD027E"/>
    <w:rsid w:val="00DD0447"/>
    <w:rsid w:val="00DD05BB"/>
    <w:rsid w:val="00DD63E4"/>
    <w:rsid w:val="00DD688C"/>
    <w:rsid w:val="00DD74A4"/>
    <w:rsid w:val="00DE2783"/>
    <w:rsid w:val="00DE27B8"/>
    <w:rsid w:val="00DE3D55"/>
    <w:rsid w:val="00DE5707"/>
    <w:rsid w:val="00DE70C6"/>
    <w:rsid w:val="00DF0DB1"/>
    <w:rsid w:val="00DF21A8"/>
    <w:rsid w:val="00DF3A84"/>
    <w:rsid w:val="00DF64F7"/>
    <w:rsid w:val="00DF7C6E"/>
    <w:rsid w:val="00E01663"/>
    <w:rsid w:val="00E01A46"/>
    <w:rsid w:val="00E04FDE"/>
    <w:rsid w:val="00E07A39"/>
    <w:rsid w:val="00E103AB"/>
    <w:rsid w:val="00E104EF"/>
    <w:rsid w:val="00E125CB"/>
    <w:rsid w:val="00E12F03"/>
    <w:rsid w:val="00E13C7D"/>
    <w:rsid w:val="00E13EDF"/>
    <w:rsid w:val="00E146EE"/>
    <w:rsid w:val="00E165C9"/>
    <w:rsid w:val="00E17165"/>
    <w:rsid w:val="00E202E6"/>
    <w:rsid w:val="00E20E8D"/>
    <w:rsid w:val="00E21B3E"/>
    <w:rsid w:val="00E21F7E"/>
    <w:rsid w:val="00E224C3"/>
    <w:rsid w:val="00E226E3"/>
    <w:rsid w:val="00E22BB4"/>
    <w:rsid w:val="00E23B83"/>
    <w:rsid w:val="00E23FD1"/>
    <w:rsid w:val="00E25D87"/>
    <w:rsid w:val="00E27377"/>
    <w:rsid w:val="00E300EC"/>
    <w:rsid w:val="00E31E46"/>
    <w:rsid w:val="00E332F5"/>
    <w:rsid w:val="00E34AE2"/>
    <w:rsid w:val="00E37601"/>
    <w:rsid w:val="00E42235"/>
    <w:rsid w:val="00E43B3E"/>
    <w:rsid w:val="00E4414C"/>
    <w:rsid w:val="00E443BA"/>
    <w:rsid w:val="00E45FB7"/>
    <w:rsid w:val="00E470CE"/>
    <w:rsid w:val="00E47C61"/>
    <w:rsid w:val="00E50F94"/>
    <w:rsid w:val="00E52203"/>
    <w:rsid w:val="00E524C3"/>
    <w:rsid w:val="00E528C9"/>
    <w:rsid w:val="00E5462E"/>
    <w:rsid w:val="00E56A9C"/>
    <w:rsid w:val="00E62AD0"/>
    <w:rsid w:val="00E65605"/>
    <w:rsid w:val="00E65AFF"/>
    <w:rsid w:val="00E6767D"/>
    <w:rsid w:val="00E7411A"/>
    <w:rsid w:val="00E77371"/>
    <w:rsid w:val="00E77612"/>
    <w:rsid w:val="00E77A83"/>
    <w:rsid w:val="00E82888"/>
    <w:rsid w:val="00E85972"/>
    <w:rsid w:val="00E86053"/>
    <w:rsid w:val="00E90E9C"/>
    <w:rsid w:val="00E91247"/>
    <w:rsid w:val="00E919BF"/>
    <w:rsid w:val="00E9512C"/>
    <w:rsid w:val="00EA0077"/>
    <w:rsid w:val="00EA0E38"/>
    <w:rsid w:val="00EA1872"/>
    <w:rsid w:val="00EA604E"/>
    <w:rsid w:val="00EA6536"/>
    <w:rsid w:val="00EA6AA3"/>
    <w:rsid w:val="00EA7167"/>
    <w:rsid w:val="00EB0026"/>
    <w:rsid w:val="00EB0384"/>
    <w:rsid w:val="00EB39F8"/>
    <w:rsid w:val="00EB3AE8"/>
    <w:rsid w:val="00EB6196"/>
    <w:rsid w:val="00EB67F0"/>
    <w:rsid w:val="00EB6B0C"/>
    <w:rsid w:val="00EB6F46"/>
    <w:rsid w:val="00EC058C"/>
    <w:rsid w:val="00EC1BDE"/>
    <w:rsid w:val="00EC1F4B"/>
    <w:rsid w:val="00EC678A"/>
    <w:rsid w:val="00ED1413"/>
    <w:rsid w:val="00ED1663"/>
    <w:rsid w:val="00ED1981"/>
    <w:rsid w:val="00ED50F5"/>
    <w:rsid w:val="00ED6BE1"/>
    <w:rsid w:val="00ED7099"/>
    <w:rsid w:val="00ED7757"/>
    <w:rsid w:val="00EE027B"/>
    <w:rsid w:val="00EE13B8"/>
    <w:rsid w:val="00EE31DF"/>
    <w:rsid w:val="00EE4E73"/>
    <w:rsid w:val="00EE7916"/>
    <w:rsid w:val="00EF1C6E"/>
    <w:rsid w:val="00EF2C80"/>
    <w:rsid w:val="00EF3559"/>
    <w:rsid w:val="00EF4D3B"/>
    <w:rsid w:val="00EF6A34"/>
    <w:rsid w:val="00EF7579"/>
    <w:rsid w:val="00EF7950"/>
    <w:rsid w:val="00F00BE0"/>
    <w:rsid w:val="00F016BD"/>
    <w:rsid w:val="00F026F0"/>
    <w:rsid w:val="00F0680A"/>
    <w:rsid w:val="00F06ED0"/>
    <w:rsid w:val="00F12013"/>
    <w:rsid w:val="00F12999"/>
    <w:rsid w:val="00F13822"/>
    <w:rsid w:val="00F14565"/>
    <w:rsid w:val="00F14973"/>
    <w:rsid w:val="00F14A70"/>
    <w:rsid w:val="00F175A5"/>
    <w:rsid w:val="00F22AEF"/>
    <w:rsid w:val="00F230F1"/>
    <w:rsid w:val="00F27B8D"/>
    <w:rsid w:val="00F304FB"/>
    <w:rsid w:val="00F313F8"/>
    <w:rsid w:val="00F315AB"/>
    <w:rsid w:val="00F32692"/>
    <w:rsid w:val="00F33033"/>
    <w:rsid w:val="00F33F07"/>
    <w:rsid w:val="00F35871"/>
    <w:rsid w:val="00F35D52"/>
    <w:rsid w:val="00F35F8C"/>
    <w:rsid w:val="00F36C93"/>
    <w:rsid w:val="00F373E1"/>
    <w:rsid w:val="00F42574"/>
    <w:rsid w:val="00F45257"/>
    <w:rsid w:val="00F45ABB"/>
    <w:rsid w:val="00F45CA2"/>
    <w:rsid w:val="00F45D78"/>
    <w:rsid w:val="00F46154"/>
    <w:rsid w:val="00F46AD5"/>
    <w:rsid w:val="00F47DCD"/>
    <w:rsid w:val="00F506F1"/>
    <w:rsid w:val="00F50CA4"/>
    <w:rsid w:val="00F50CAA"/>
    <w:rsid w:val="00F50CE7"/>
    <w:rsid w:val="00F51438"/>
    <w:rsid w:val="00F5274D"/>
    <w:rsid w:val="00F5301A"/>
    <w:rsid w:val="00F53110"/>
    <w:rsid w:val="00F549E7"/>
    <w:rsid w:val="00F5550D"/>
    <w:rsid w:val="00F618BB"/>
    <w:rsid w:val="00F6302F"/>
    <w:rsid w:val="00F67625"/>
    <w:rsid w:val="00F721E6"/>
    <w:rsid w:val="00F73A79"/>
    <w:rsid w:val="00F74C9D"/>
    <w:rsid w:val="00F76B14"/>
    <w:rsid w:val="00F81487"/>
    <w:rsid w:val="00F85F21"/>
    <w:rsid w:val="00F90CF5"/>
    <w:rsid w:val="00F91AD8"/>
    <w:rsid w:val="00F922B1"/>
    <w:rsid w:val="00F9432B"/>
    <w:rsid w:val="00FA1CBD"/>
    <w:rsid w:val="00FA56EF"/>
    <w:rsid w:val="00FA5D99"/>
    <w:rsid w:val="00FA6505"/>
    <w:rsid w:val="00FA72F6"/>
    <w:rsid w:val="00FB10A3"/>
    <w:rsid w:val="00FB1C83"/>
    <w:rsid w:val="00FB36D4"/>
    <w:rsid w:val="00FB3B0F"/>
    <w:rsid w:val="00FB510B"/>
    <w:rsid w:val="00FB5D1B"/>
    <w:rsid w:val="00FB75F9"/>
    <w:rsid w:val="00FB7C5A"/>
    <w:rsid w:val="00FC1C97"/>
    <w:rsid w:val="00FC26BF"/>
    <w:rsid w:val="00FC40B6"/>
    <w:rsid w:val="00FC423E"/>
    <w:rsid w:val="00FC523E"/>
    <w:rsid w:val="00FC574D"/>
    <w:rsid w:val="00FC6CE0"/>
    <w:rsid w:val="00FC7232"/>
    <w:rsid w:val="00FC7525"/>
    <w:rsid w:val="00FD1A30"/>
    <w:rsid w:val="00FD418F"/>
    <w:rsid w:val="00FD4365"/>
    <w:rsid w:val="00FD4D39"/>
    <w:rsid w:val="00FD4F52"/>
    <w:rsid w:val="00FD532F"/>
    <w:rsid w:val="00FD73E1"/>
    <w:rsid w:val="00FE1EF3"/>
    <w:rsid w:val="00FE315D"/>
    <w:rsid w:val="00FE3182"/>
    <w:rsid w:val="00FE41E1"/>
    <w:rsid w:val="00FE4C92"/>
    <w:rsid w:val="00FE55F1"/>
    <w:rsid w:val="00FE5843"/>
    <w:rsid w:val="00FF213C"/>
    <w:rsid w:val="00FF4D81"/>
    <w:rsid w:val="00FF6F3D"/>
    <w:rsid w:val="00FF6F49"/>
    <w:rsid w:val="00FF75F5"/>
    <w:rsid w:val="010A3C9B"/>
    <w:rsid w:val="010D54EC"/>
    <w:rsid w:val="011376A2"/>
    <w:rsid w:val="01165FCD"/>
    <w:rsid w:val="01272D2B"/>
    <w:rsid w:val="012A3BF5"/>
    <w:rsid w:val="012B0079"/>
    <w:rsid w:val="013567F0"/>
    <w:rsid w:val="013B4ECC"/>
    <w:rsid w:val="013E61E2"/>
    <w:rsid w:val="01472656"/>
    <w:rsid w:val="014D4677"/>
    <w:rsid w:val="01592D24"/>
    <w:rsid w:val="0159301C"/>
    <w:rsid w:val="015C48BA"/>
    <w:rsid w:val="015E4AC8"/>
    <w:rsid w:val="015F37AB"/>
    <w:rsid w:val="016025FC"/>
    <w:rsid w:val="01627929"/>
    <w:rsid w:val="01635C49"/>
    <w:rsid w:val="016669EB"/>
    <w:rsid w:val="016B506A"/>
    <w:rsid w:val="017205E0"/>
    <w:rsid w:val="01722509"/>
    <w:rsid w:val="01775986"/>
    <w:rsid w:val="01811D96"/>
    <w:rsid w:val="01883E36"/>
    <w:rsid w:val="018E345A"/>
    <w:rsid w:val="018E7ABF"/>
    <w:rsid w:val="018F2513"/>
    <w:rsid w:val="0198796C"/>
    <w:rsid w:val="019A03EB"/>
    <w:rsid w:val="019E522D"/>
    <w:rsid w:val="01A5497A"/>
    <w:rsid w:val="01A91A6C"/>
    <w:rsid w:val="01B464A4"/>
    <w:rsid w:val="01B500FA"/>
    <w:rsid w:val="01B8299A"/>
    <w:rsid w:val="01B8411E"/>
    <w:rsid w:val="01BB3CD7"/>
    <w:rsid w:val="01C133B8"/>
    <w:rsid w:val="01C25065"/>
    <w:rsid w:val="01C270FB"/>
    <w:rsid w:val="01C40DDD"/>
    <w:rsid w:val="01C50397"/>
    <w:rsid w:val="01C80D8D"/>
    <w:rsid w:val="01C901A1"/>
    <w:rsid w:val="01CA7A55"/>
    <w:rsid w:val="01D11385"/>
    <w:rsid w:val="01D332BB"/>
    <w:rsid w:val="01E67010"/>
    <w:rsid w:val="01FE2FA9"/>
    <w:rsid w:val="02016B70"/>
    <w:rsid w:val="02070CCA"/>
    <w:rsid w:val="020F2171"/>
    <w:rsid w:val="021B7C4E"/>
    <w:rsid w:val="021D0846"/>
    <w:rsid w:val="02240F10"/>
    <w:rsid w:val="0233386D"/>
    <w:rsid w:val="023870D5"/>
    <w:rsid w:val="023C035E"/>
    <w:rsid w:val="02420FBA"/>
    <w:rsid w:val="024535A0"/>
    <w:rsid w:val="024B1C03"/>
    <w:rsid w:val="024F77E7"/>
    <w:rsid w:val="02560647"/>
    <w:rsid w:val="025D4B5C"/>
    <w:rsid w:val="0264378A"/>
    <w:rsid w:val="026515B7"/>
    <w:rsid w:val="026E6F9B"/>
    <w:rsid w:val="02730253"/>
    <w:rsid w:val="02762AF5"/>
    <w:rsid w:val="02794364"/>
    <w:rsid w:val="029329B0"/>
    <w:rsid w:val="029733A6"/>
    <w:rsid w:val="029C1009"/>
    <w:rsid w:val="02A242FC"/>
    <w:rsid w:val="02A3645B"/>
    <w:rsid w:val="02A62291"/>
    <w:rsid w:val="02B26E88"/>
    <w:rsid w:val="02B456C1"/>
    <w:rsid w:val="02BE0C02"/>
    <w:rsid w:val="02BE1C3B"/>
    <w:rsid w:val="02C46D9B"/>
    <w:rsid w:val="02C71F07"/>
    <w:rsid w:val="02CE7095"/>
    <w:rsid w:val="02CE7839"/>
    <w:rsid w:val="02D23086"/>
    <w:rsid w:val="02EB6A9B"/>
    <w:rsid w:val="02EC1789"/>
    <w:rsid w:val="02F200B2"/>
    <w:rsid w:val="02F3472A"/>
    <w:rsid w:val="02F778BD"/>
    <w:rsid w:val="030242D2"/>
    <w:rsid w:val="03031491"/>
    <w:rsid w:val="030376E3"/>
    <w:rsid w:val="030A0A72"/>
    <w:rsid w:val="031158F5"/>
    <w:rsid w:val="03121468"/>
    <w:rsid w:val="031C2553"/>
    <w:rsid w:val="0325170D"/>
    <w:rsid w:val="03273969"/>
    <w:rsid w:val="033003B6"/>
    <w:rsid w:val="0336366B"/>
    <w:rsid w:val="033D20C5"/>
    <w:rsid w:val="03410097"/>
    <w:rsid w:val="0348748B"/>
    <w:rsid w:val="034877EC"/>
    <w:rsid w:val="037203C5"/>
    <w:rsid w:val="03726617"/>
    <w:rsid w:val="03731188"/>
    <w:rsid w:val="037B7D1A"/>
    <w:rsid w:val="03822C68"/>
    <w:rsid w:val="038826BA"/>
    <w:rsid w:val="038C7E40"/>
    <w:rsid w:val="038D16A3"/>
    <w:rsid w:val="03917DFD"/>
    <w:rsid w:val="03921B3D"/>
    <w:rsid w:val="039B0FB4"/>
    <w:rsid w:val="039C3A61"/>
    <w:rsid w:val="039C6988"/>
    <w:rsid w:val="039F2BBC"/>
    <w:rsid w:val="03A03184"/>
    <w:rsid w:val="03A728D9"/>
    <w:rsid w:val="03A96A90"/>
    <w:rsid w:val="03AC7274"/>
    <w:rsid w:val="03AE3AF3"/>
    <w:rsid w:val="03B23CFC"/>
    <w:rsid w:val="03B6238C"/>
    <w:rsid w:val="03B945D4"/>
    <w:rsid w:val="03B97685"/>
    <w:rsid w:val="03BE21D5"/>
    <w:rsid w:val="03C14004"/>
    <w:rsid w:val="03C328C1"/>
    <w:rsid w:val="03C815E0"/>
    <w:rsid w:val="03CB1288"/>
    <w:rsid w:val="03CB7CE8"/>
    <w:rsid w:val="03CE62F9"/>
    <w:rsid w:val="03D0482E"/>
    <w:rsid w:val="03D352ED"/>
    <w:rsid w:val="03D746CC"/>
    <w:rsid w:val="03D96AC5"/>
    <w:rsid w:val="03E00516"/>
    <w:rsid w:val="03E2554B"/>
    <w:rsid w:val="03F24223"/>
    <w:rsid w:val="03F64807"/>
    <w:rsid w:val="03F92894"/>
    <w:rsid w:val="03FD25BA"/>
    <w:rsid w:val="04022B7C"/>
    <w:rsid w:val="04073203"/>
    <w:rsid w:val="040E4716"/>
    <w:rsid w:val="040F70CD"/>
    <w:rsid w:val="04106A25"/>
    <w:rsid w:val="0414147C"/>
    <w:rsid w:val="04145AE0"/>
    <w:rsid w:val="04161698"/>
    <w:rsid w:val="041C3D42"/>
    <w:rsid w:val="041F7D0F"/>
    <w:rsid w:val="04220CB2"/>
    <w:rsid w:val="0423034F"/>
    <w:rsid w:val="042A1D07"/>
    <w:rsid w:val="04322FF4"/>
    <w:rsid w:val="0438160E"/>
    <w:rsid w:val="043A7135"/>
    <w:rsid w:val="043F6F4A"/>
    <w:rsid w:val="04433CEA"/>
    <w:rsid w:val="04436F26"/>
    <w:rsid w:val="044625E2"/>
    <w:rsid w:val="044C4BAF"/>
    <w:rsid w:val="045C354F"/>
    <w:rsid w:val="045E2EE6"/>
    <w:rsid w:val="04671D69"/>
    <w:rsid w:val="04784101"/>
    <w:rsid w:val="048221D3"/>
    <w:rsid w:val="0485012C"/>
    <w:rsid w:val="04894B8E"/>
    <w:rsid w:val="048E56D2"/>
    <w:rsid w:val="04904EE7"/>
    <w:rsid w:val="04977C3F"/>
    <w:rsid w:val="049A4077"/>
    <w:rsid w:val="04A24CDA"/>
    <w:rsid w:val="04AE6891"/>
    <w:rsid w:val="04B12FF3"/>
    <w:rsid w:val="04B6239F"/>
    <w:rsid w:val="04BA5556"/>
    <w:rsid w:val="04C7405C"/>
    <w:rsid w:val="04CD4DAE"/>
    <w:rsid w:val="04D5330D"/>
    <w:rsid w:val="04D81DD4"/>
    <w:rsid w:val="04E23873"/>
    <w:rsid w:val="04E452F2"/>
    <w:rsid w:val="04EF43C3"/>
    <w:rsid w:val="04F445ED"/>
    <w:rsid w:val="04FA1A94"/>
    <w:rsid w:val="050414F1"/>
    <w:rsid w:val="05071955"/>
    <w:rsid w:val="050B36B6"/>
    <w:rsid w:val="050C0AB2"/>
    <w:rsid w:val="051E3875"/>
    <w:rsid w:val="0521087B"/>
    <w:rsid w:val="05280773"/>
    <w:rsid w:val="05287DA2"/>
    <w:rsid w:val="052A7579"/>
    <w:rsid w:val="0533125B"/>
    <w:rsid w:val="05357A3D"/>
    <w:rsid w:val="05397515"/>
    <w:rsid w:val="053A5640"/>
    <w:rsid w:val="053F077B"/>
    <w:rsid w:val="0541349F"/>
    <w:rsid w:val="05465740"/>
    <w:rsid w:val="054A088F"/>
    <w:rsid w:val="054E0D09"/>
    <w:rsid w:val="054E19AB"/>
    <w:rsid w:val="054F4EE9"/>
    <w:rsid w:val="055045C3"/>
    <w:rsid w:val="055422CC"/>
    <w:rsid w:val="05551EBD"/>
    <w:rsid w:val="05573D16"/>
    <w:rsid w:val="0560611A"/>
    <w:rsid w:val="05666772"/>
    <w:rsid w:val="05681C41"/>
    <w:rsid w:val="056B3FB1"/>
    <w:rsid w:val="056D353A"/>
    <w:rsid w:val="056F18F5"/>
    <w:rsid w:val="05886F4B"/>
    <w:rsid w:val="058A40EC"/>
    <w:rsid w:val="059419B1"/>
    <w:rsid w:val="05947554"/>
    <w:rsid w:val="05976809"/>
    <w:rsid w:val="059A3F79"/>
    <w:rsid w:val="05B55C7F"/>
    <w:rsid w:val="05B64EE1"/>
    <w:rsid w:val="05BA01C0"/>
    <w:rsid w:val="05C25634"/>
    <w:rsid w:val="05C42475"/>
    <w:rsid w:val="05C70E9C"/>
    <w:rsid w:val="05CA6B7F"/>
    <w:rsid w:val="05CF60C0"/>
    <w:rsid w:val="05D008D1"/>
    <w:rsid w:val="05D20121"/>
    <w:rsid w:val="05D67331"/>
    <w:rsid w:val="05D9472B"/>
    <w:rsid w:val="05DB2AF1"/>
    <w:rsid w:val="05E02296"/>
    <w:rsid w:val="05E20370"/>
    <w:rsid w:val="05E46CCB"/>
    <w:rsid w:val="05F65FAE"/>
    <w:rsid w:val="05F9149B"/>
    <w:rsid w:val="06050623"/>
    <w:rsid w:val="0607573C"/>
    <w:rsid w:val="060C1307"/>
    <w:rsid w:val="060C2D53"/>
    <w:rsid w:val="06137DBA"/>
    <w:rsid w:val="06227AEC"/>
    <w:rsid w:val="06230653"/>
    <w:rsid w:val="06261D04"/>
    <w:rsid w:val="062A0AEB"/>
    <w:rsid w:val="062E1625"/>
    <w:rsid w:val="062E4A77"/>
    <w:rsid w:val="063848B4"/>
    <w:rsid w:val="06385D00"/>
    <w:rsid w:val="063B320A"/>
    <w:rsid w:val="06426C88"/>
    <w:rsid w:val="06455CC2"/>
    <w:rsid w:val="06543A2B"/>
    <w:rsid w:val="06547DB3"/>
    <w:rsid w:val="065A162A"/>
    <w:rsid w:val="065D1AC3"/>
    <w:rsid w:val="066A3FBC"/>
    <w:rsid w:val="0676641E"/>
    <w:rsid w:val="067803E8"/>
    <w:rsid w:val="06840B3B"/>
    <w:rsid w:val="06842580"/>
    <w:rsid w:val="068B5480"/>
    <w:rsid w:val="068F5597"/>
    <w:rsid w:val="069074E0"/>
    <w:rsid w:val="069B5F1B"/>
    <w:rsid w:val="06A50AB1"/>
    <w:rsid w:val="06A6607A"/>
    <w:rsid w:val="06A72A7B"/>
    <w:rsid w:val="06AB5586"/>
    <w:rsid w:val="06B26263"/>
    <w:rsid w:val="06BC02D5"/>
    <w:rsid w:val="06BD5DFB"/>
    <w:rsid w:val="06BE2F7D"/>
    <w:rsid w:val="06C06015"/>
    <w:rsid w:val="06C82AA1"/>
    <w:rsid w:val="06C929F2"/>
    <w:rsid w:val="06CB44B7"/>
    <w:rsid w:val="06CC68D5"/>
    <w:rsid w:val="06CE0008"/>
    <w:rsid w:val="06D3658E"/>
    <w:rsid w:val="06D9077D"/>
    <w:rsid w:val="06D97623"/>
    <w:rsid w:val="06E31BBF"/>
    <w:rsid w:val="06E75DC0"/>
    <w:rsid w:val="06EE20B1"/>
    <w:rsid w:val="06EF3C21"/>
    <w:rsid w:val="06F40D4B"/>
    <w:rsid w:val="06FC0BC6"/>
    <w:rsid w:val="06FF12BF"/>
    <w:rsid w:val="070A3D66"/>
    <w:rsid w:val="07103A46"/>
    <w:rsid w:val="0711044D"/>
    <w:rsid w:val="07133C6D"/>
    <w:rsid w:val="07153E89"/>
    <w:rsid w:val="071B225A"/>
    <w:rsid w:val="071C0D73"/>
    <w:rsid w:val="071C3B6B"/>
    <w:rsid w:val="072150F3"/>
    <w:rsid w:val="07283BBC"/>
    <w:rsid w:val="073027E2"/>
    <w:rsid w:val="073A655C"/>
    <w:rsid w:val="074309F6"/>
    <w:rsid w:val="07446F84"/>
    <w:rsid w:val="07533514"/>
    <w:rsid w:val="07571DAC"/>
    <w:rsid w:val="075B63E2"/>
    <w:rsid w:val="076369A2"/>
    <w:rsid w:val="07670C63"/>
    <w:rsid w:val="076A48FE"/>
    <w:rsid w:val="07707E8A"/>
    <w:rsid w:val="07795D43"/>
    <w:rsid w:val="077C569C"/>
    <w:rsid w:val="077E558A"/>
    <w:rsid w:val="078419A4"/>
    <w:rsid w:val="07996A2F"/>
    <w:rsid w:val="079C79BB"/>
    <w:rsid w:val="079E1D00"/>
    <w:rsid w:val="079F0581"/>
    <w:rsid w:val="079F512A"/>
    <w:rsid w:val="07A64AE1"/>
    <w:rsid w:val="07A75DA3"/>
    <w:rsid w:val="07A80859"/>
    <w:rsid w:val="07A8164F"/>
    <w:rsid w:val="07A82607"/>
    <w:rsid w:val="07AD04B8"/>
    <w:rsid w:val="07AF4E93"/>
    <w:rsid w:val="07AF53CD"/>
    <w:rsid w:val="07B03628"/>
    <w:rsid w:val="07B1625B"/>
    <w:rsid w:val="07B44C1E"/>
    <w:rsid w:val="07C342D2"/>
    <w:rsid w:val="07C351BF"/>
    <w:rsid w:val="07C67E6D"/>
    <w:rsid w:val="07C844FE"/>
    <w:rsid w:val="07C8477D"/>
    <w:rsid w:val="07CA07CF"/>
    <w:rsid w:val="07CE1AA9"/>
    <w:rsid w:val="07D96E9C"/>
    <w:rsid w:val="07EF359B"/>
    <w:rsid w:val="07F573F8"/>
    <w:rsid w:val="07F6333F"/>
    <w:rsid w:val="07F67B80"/>
    <w:rsid w:val="07FC0BA5"/>
    <w:rsid w:val="08001F42"/>
    <w:rsid w:val="08002443"/>
    <w:rsid w:val="08071A24"/>
    <w:rsid w:val="08090382"/>
    <w:rsid w:val="08093C92"/>
    <w:rsid w:val="080E717D"/>
    <w:rsid w:val="081B0D7F"/>
    <w:rsid w:val="081B2CD8"/>
    <w:rsid w:val="081C06C0"/>
    <w:rsid w:val="081D1C51"/>
    <w:rsid w:val="081F2DF0"/>
    <w:rsid w:val="0822685D"/>
    <w:rsid w:val="08260360"/>
    <w:rsid w:val="082C3CF2"/>
    <w:rsid w:val="083149F2"/>
    <w:rsid w:val="083B330C"/>
    <w:rsid w:val="083D71F3"/>
    <w:rsid w:val="083F3D81"/>
    <w:rsid w:val="08400D74"/>
    <w:rsid w:val="08452B21"/>
    <w:rsid w:val="084560A8"/>
    <w:rsid w:val="08534B88"/>
    <w:rsid w:val="0854453D"/>
    <w:rsid w:val="0859198F"/>
    <w:rsid w:val="08610BA9"/>
    <w:rsid w:val="086230FE"/>
    <w:rsid w:val="086A5B0F"/>
    <w:rsid w:val="08707DA5"/>
    <w:rsid w:val="0871490B"/>
    <w:rsid w:val="08752E31"/>
    <w:rsid w:val="08761B4F"/>
    <w:rsid w:val="087C22C3"/>
    <w:rsid w:val="087E2564"/>
    <w:rsid w:val="08834C71"/>
    <w:rsid w:val="08861943"/>
    <w:rsid w:val="08862AD5"/>
    <w:rsid w:val="088B326F"/>
    <w:rsid w:val="089600B3"/>
    <w:rsid w:val="089B1B97"/>
    <w:rsid w:val="089F7EAE"/>
    <w:rsid w:val="08A76D63"/>
    <w:rsid w:val="08B916C1"/>
    <w:rsid w:val="08BD20E2"/>
    <w:rsid w:val="08C94DB5"/>
    <w:rsid w:val="08C94F2B"/>
    <w:rsid w:val="08CC1439"/>
    <w:rsid w:val="08D22EEA"/>
    <w:rsid w:val="08D51DF0"/>
    <w:rsid w:val="08D65C17"/>
    <w:rsid w:val="08D8695A"/>
    <w:rsid w:val="08D86F1C"/>
    <w:rsid w:val="08E104C7"/>
    <w:rsid w:val="08E8161A"/>
    <w:rsid w:val="08F062C2"/>
    <w:rsid w:val="08F32FFF"/>
    <w:rsid w:val="08F45398"/>
    <w:rsid w:val="08F95623"/>
    <w:rsid w:val="090327CA"/>
    <w:rsid w:val="090B19E1"/>
    <w:rsid w:val="090B6229"/>
    <w:rsid w:val="090D306A"/>
    <w:rsid w:val="090E0B90"/>
    <w:rsid w:val="0910646C"/>
    <w:rsid w:val="09136778"/>
    <w:rsid w:val="091C2C93"/>
    <w:rsid w:val="091E0127"/>
    <w:rsid w:val="091E5EEA"/>
    <w:rsid w:val="09235BFF"/>
    <w:rsid w:val="092C644B"/>
    <w:rsid w:val="09376435"/>
    <w:rsid w:val="09391815"/>
    <w:rsid w:val="093E3239"/>
    <w:rsid w:val="0946032A"/>
    <w:rsid w:val="094D16B8"/>
    <w:rsid w:val="0955120F"/>
    <w:rsid w:val="095742E5"/>
    <w:rsid w:val="0958005D"/>
    <w:rsid w:val="095C0FA5"/>
    <w:rsid w:val="096C5BEF"/>
    <w:rsid w:val="096F79DD"/>
    <w:rsid w:val="09824FE5"/>
    <w:rsid w:val="098A1CFD"/>
    <w:rsid w:val="098E4BBC"/>
    <w:rsid w:val="09975029"/>
    <w:rsid w:val="099D2709"/>
    <w:rsid w:val="09AC6517"/>
    <w:rsid w:val="09AF222A"/>
    <w:rsid w:val="09BB688D"/>
    <w:rsid w:val="09BD382D"/>
    <w:rsid w:val="09C1515D"/>
    <w:rsid w:val="09C33294"/>
    <w:rsid w:val="09C474A0"/>
    <w:rsid w:val="09CA5BC9"/>
    <w:rsid w:val="09D51D3F"/>
    <w:rsid w:val="09D53E6D"/>
    <w:rsid w:val="09DE00BB"/>
    <w:rsid w:val="09E15530"/>
    <w:rsid w:val="09E23FFF"/>
    <w:rsid w:val="09EB7B38"/>
    <w:rsid w:val="09F76E81"/>
    <w:rsid w:val="09F7767B"/>
    <w:rsid w:val="0A011CDE"/>
    <w:rsid w:val="0A0377B9"/>
    <w:rsid w:val="0A0B3CFF"/>
    <w:rsid w:val="0A116B8A"/>
    <w:rsid w:val="0A19094E"/>
    <w:rsid w:val="0A1B2824"/>
    <w:rsid w:val="0A1B58FF"/>
    <w:rsid w:val="0A203115"/>
    <w:rsid w:val="0A20579E"/>
    <w:rsid w:val="0A262F18"/>
    <w:rsid w:val="0A3F0598"/>
    <w:rsid w:val="0A40746F"/>
    <w:rsid w:val="0A4801D9"/>
    <w:rsid w:val="0A4D029C"/>
    <w:rsid w:val="0A4E3A53"/>
    <w:rsid w:val="0A502579"/>
    <w:rsid w:val="0A5108B3"/>
    <w:rsid w:val="0A594EA5"/>
    <w:rsid w:val="0A5A1036"/>
    <w:rsid w:val="0A64315D"/>
    <w:rsid w:val="0A6A6CD0"/>
    <w:rsid w:val="0A6D7B49"/>
    <w:rsid w:val="0A6E435A"/>
    <w:rsid w:val="0A7100C5"/>
    <w:rsid w:val="0A762E91"/>
    <w:rsid w:val="0A7862F4"/>
    <w:rsid w:val="0A7D7E85"/>
    <w:rsid w:val="0A7F0792"/>
    <w:rsid w:val="0A841679"/>
    <w:rsid w:val="0A89125A"/>
    <w:rsid w:val="0A917654"/>
    <w:rsid w:val="0A96708F"/>
    <w:rsid w:val="0A9D6DC0"/>
    <w:rsid w:val="0AAF113F"/>
    <w:rsid w:val="0AB26674"/>
    <w:rsid w:val="0AB47515"/>
    <w:rsid w:val="0AB54FCC"/>
    <w:rsid w:val="0ABD78B6"/>
    <w:rsid w:val="0AC41A0D"/>
    <w:rsid w:val="0AC66C3F"/>
    <w:rsid w:val="0ACA2285"/>
    <w:rsid w:val="0AD11D45"/>
    <w:rsid w:val="0AD6392F"/>
    <w:rsid w:val="0ADB2FAB"/>
    <w:rsid w:val="0ADD081A"/>
    <w:rsid w:val="0AE007F1"/>
    <w:rsid w:val="0AE0655C"/>
    <w:rsid w:val="0AE903B8"/>
    <w:rsid w:val="0AEB11FD"/>
    <w:rsid w:val="0AEB708B"/>
    <w:rsid w:val="0AF025F3"/>
    <w:rsid w:val="0AF67D3D"/>
    <w:rsid w:val="0AFC3057"/>
    <w:rsid w:val="0AFF2E86"/>
    <w:rsid w:val="0B022976"/>
    <w:rsid w:val="0B040E69"/>
    <w:rsid w:val="0B093D05"/>
    <w:rsid w:val="0B0C10FF"/>
    <w:rsid w:val="0B1873A5"/>
    <w:rsid w:val="0B1A624D"/>
    <w:rsid w:val="0B210F78"/>
    <w:rsid w:val="0B2D79F3"/>
    <w:rsid w:val="0B3060B6"/>
    <w:rsid w:val="0B394485"/>
    <w:rsid w:val="0B3E0D72"/>
    <w:rsid w:val="0B3F14D4"/>
    <w:rsid w:val="0B403FCB"/>
    <w:rsid w:val="0B43574D"/>
    <w:rsid w:val="0B440D74"/>
    <w:rsid w:val="0B5A00BC"/>
    <w:rsid w:val="0B5C667D"/>
    <w:rsid w:val="0B5D1D8E"/>
    <w:rsid w:val="0B651B32"/>
    <w:rsid w:val="0B6C5DE7"/>
    <w:rsid w:val="0B6D6042"/>
    <w:rsid w:val="0B7462A1"/>
    <w:rsid w:val="0B7B3AA7"/>
    <w:rsid w:val="0B7D2A61"/>
    <w:rsid w:val="0B8C496B"/>
    <w:rsid w:val="0B973E2D"/>
    <w:rsid w:val="0B9C2483"/>
    <w:rsid w:val="0B9D6951"/>
    <w:rsid w:val="0BA16641"/>
    <w:rsid w:val="0BB04180"/>
    <w:rsid w:val="0BB25F6E"/>
    <w:rsid w:val="0BB3001E"/>
    <w:rsid w:val="0BB5398A"/>
    <w:rsid w:val="0BB57FB0"/>
    <w:rsid w:val="0BB8200C"/>
    <w:rsid w:val="0BBB7B92"/>
    <w:rsid w:val="0BC21965"/>
    <w:rsid w:val="0BC53C2D"/>
    <w:rsid w:val="0BCA7F98"/>
    <w:rsid w:val="0BCF0AAA"/>
    <w:rsid w:val="0BD92EBB"/>
    <w:rsid w:val="0BDF05C2"/>
    <w:rsid w:val="0BE75D86"/>
    <w:rsid w:val="0BF9008E"/>
    <w:rsid w:val="0BF946AA"/>
    <w:rsid w:val="0C0A63D9"/>
    <w:rsid w:val="0C0E2A4D"/>
    <w:rsid w:val="0C283DFB"/>
    <w:rsid w:val="0C2A2367"/>
    <w:rsid w:val="0C2A545F"/>
    <w:rsid w:val="0C3414B3"/>
    <w:rsid w:val="0C39411F"/>
    <w:rsid w:val="0C3A5296"/>
    <w:rsid w:val="0C430C9E"/>
    <w:rsid w:val="0C460641"/>
    <w:rsid w:val="0C4F3E77"/>
    <w:rsid w:val="0C517013"/>
    <w:rsid w:val="0C566AD6"/>
    <w:rsid w:val="0C567A7F"/>
    <w:rsid w:val="0C5B51F2"/>
    <w:rsid w:val="0C6D3E1F"/>
    <w:rsid w:val="0C727688"/>
    <w:rsid w:val="0C7317AD"/>
    <w:rsid w:val="0C7A176F"/>
    <w:rsid w:val="0C7B29E0"/>
    <w:rsid w:val="0C7E39F0"/>
    <w:rsid w:val="0C7F03D9"/>
    <w:rsid w:val="0C81308E"/>
    <w:rsid w:val="0C8338B3"/>
    <w:rsid w:val="0C890729"/>
    <w:rsid w:val="0C8A2925"/>
    <w:rsid w:val="0C8E0841"/>
    <w:rsid w:val="0C917B0E"/>
    <w:rsid w:val="0C933345"/>
    <w:rsid w:val="0C971286"/>
    <w:rsid w:val="0C9C7EF4"/>
    <w:rsid w:val="0C9D0CAA"/>
    <w:rsid w:val="0C9D782F"/>
    <w:rsid w:val="0CA912FB"/>
    <w:rsid w:val="0CAB1715"/>
    <w:rsid w:val="0CAC6BB6"/>
    <w:rsid w:val="0CAF61E6"/>
    <w:rsid w:val="0CB02EB1"/>
    <w:rsid w:val="0CB15605"/>
    <w:rsid w:val="0CB328B0"/>
    <w:rsid w:val="0CBF2C0D"/>
    <w:rsid w:val="0CC03C6B"/>
    <w:rsid w:val="0CC32409"/>
    <w:rsid w:val="0CC34F37"/>
    <w:rsid w:val="0CC7352F"/>
    <w:rsid w:val="0CC90A17"/>
    <w:rsid w:val="0CCD447F"/>
    <w:rsid w:val="0CD41746"/>
    <w:rsid w:val="0CD520F0"/>
    <w:rsid w:val="0CD757B5"/>
    <w:rsid w:val="0CDB347F"/>
    <w:rsid w:val="0CDF2F6F"/>
    <w:rsid w:val="0CE860F6"/>
    <w:rsid w:val="0CEA1C84"/>
    <w:rsid w:val="0CEA36C2"/>
    <w:rsid w:val="0CF51EF3"/>
    <w:rsid w:val="0CF6695B"/>
    <w:rsid w:val="0CF956B3"/>
    <w:rsid w:val="0D10137A"/>
    <w:rsid w:val="0D116EA1"/>
    <w:rsid w:val="0D1358BE"/>
    <w:rsid w:val="0D18464C"/>
    <w:rsid w:val="0D2070E4"/>
    <w:rsid w:val="0D261100"/>
    <w:rsid w:val="0D270A75"/>
    <w:rsid w:val="0D2E7A52"/>
    <w:rsid w:val="0D315EA9"/>
    <w:rsid w:val="0D3D5EE8"/>
    <w:rsid w:val="0D4B4161"/>
    <w:rsid w:val="0D564B17"/>
    <w:rsid w:val="0D594C75"/>
    <w:rsid w:val="0D613984"/>
    <w:rsid w:val="0D692839"/>
    <w:rsid w:val="0D6971CC"/>
    <w:rsid w:val="0D7F0D93"/>
    <w:rsid w:val="0D846A54"/>
    <w:rsid w:val="0D8579FA"/>
    <w:rsid w:val="0D86163D"/>
    <w:rsid w:val="0D864353"/>
    <w:rsid w:val="0D8858CE"/>
    <w:rsid w:val="0D8B6C53"/>
    <w:rsid w:val="0D8C093F"/>
    <w:rsid w:val="0D8C5089"/>
    <w:rsid w:val="0D8E6E37"/>
    <w:rsid w:val="0D915359"/>
    <w:rsid w:val="0D926B18"/>
    <w:rsid w:val="0D933B4A"/>
    <w:rsid w:val="0D99217A"/>
    <w:rsid w:val="0DAB03AE"/>
    <w:rsid w:val="0DAB36BA"/>
    <w:rsid w:val="0DB547BE"/>
    <w:rsid w:val="0DBA6BE6"/>
    <w:rsid w:val="0DBC7CFE"/>
    <w:rsid w:val="0DCB52A1"/>
    <w:rsid w:val="0DD028B8"/>
    <w:rsid w:val="0DD505F0"/>
    <w:rsid w:val="0DD759F4"/>
    <w:rsid w:val="0DDB31EB"/>
    <w:rsid w:val="0DDC74AE"/>
    <w:rsid w:val="0DDF0D4D"/>
    <w:rsid w:val="0DE27630"/>
    <w:rsid w:val="0DE764FE"/>
    <w:rsid w:val="0DEA3475"/>
    <w:rsid w:val="0DEA5E6A"/>
    <w:rsid w:val="0DED16BC"/>
    <w:rsid w:val="0DF14DE5"/>
    <w:rsid w:val="0DF465A6"/>
    <w:rsid w:val="0DF62C9E"/>
    <w:rsid w:val="0DFC36FB"/>
    <w:rsid w:val="0E0D7668"/>
    <w:rsid w:val="0E122ED0"/>
    <w:rsid w:val="0E15698D"/>
    <w:rsid w:val="0E226D74"/>
    <w:rsid w:val="0E2C4F13"/>
    <w:rsid w:val="0E2D1963"/>
    <w:rsid w:val="0E345CDC"/>
    <w:rsid w:val="0E3632B2"/>
    <w:rsid w:val="0E39795C"/>
    <w:rsid w:val="0E415DB3"/>
    <w:rsid w:val="0E4917B5"/>
    <w:rsid w:val="0E4A292A"/>
    <w:rsid w:val="0E4E2B96"/>
    <w:rsid w:val="0E545297"/>
    <w:rsid w:val="0E5611E1"/>
    <w:rsid w:val="0E567261"/>
    <w:rsid w:val="0E567341"/>
    <w:rsid w:val="0E65405D"/>
    <w:rsid w:val="0E700A64"/>
    <w:rsid w:val="0E7B0A75"/>
    <w:rsid w:val="0E7D1670"/>
    <w:rsid w:val="0E826757"/>
    <w:rsid w:val="0E83792A"/>
    <w:rsid w:val="0E8D4D50"/>
    <w:rsid w:val="0E8F2773"/>
    <w:rsid w:val="0E910656"/>
    <w:rsid w:val="0E925E6F"/>
    <w:rsid w:val="0E93094D"/>
    <w:rsid w:val="0E941B37"/>
    <w:rsid w:val="0E982A8B"/>
    <w:rsid w:val="0E9B1118"/>
    <w:rsid w:val="0E9F0119"/>
    <w:rsid w:val="0EA425CF"/>
    <w:rsid w:val="0EAE38CF"/>
    <w:rsid w:val="0EB14497"/>
    <w:rsid w:val="0EB37705"/>
    <w:rsid w:val="0EB641F6"/>
    <w:rsid w:val="0EB66A2D"/>
    <w:rsid w:val="0EBB2C32"/>
    <w:rsid w:val="0EC83D6B"/>
    <w:rsid w:val="0ED572C9"/>
    <w:rsid w:val="0EDC1BCE"/>
    <w:rsid w:val="0EDF4DA4"/>
    <w:rsid w:val="0EE04D7C"/>
    <w:rsid w:val="0EE7435D"/>
    <w:rsid w:val="0EE77EB9"/>
    <w:rsid w:val="0EEC54CF"/>
    <w:rsid w:val="0EF52635"/>
    <w:rsid w:val="0EF820C6"/>
    <w:rsid w:val="0EFE3455"/>
    <w:rsid w:val="0F0D26CC"/>
    <w:rsid w:val="0F103F50"/>
    <w:rsid w:val="0F16079E"/>
    <w:rsid w:val="0F184ADA"/>
    <w:rsid w:val="0F225395"/>
    <w:rsid w:val="0F254285"/>
    <w:rsid w:val="0F254BC5"/>
    <w:rsid w:val="0F2B249C"/>
    <w:rsid w:val="0F360329"/>
    <w:rsid w:val="0F3A4D6F"/>
    <w:rsid w:val="0F3D21CF"/>
    <w:rsid w:val="0F451083"/>
    <w:rsid w:val="0F454FBA"/>
    <w:rsid w:val="0F4715A1"/>
    <w:rsid w:val="0F492E3F"/>
    <w:rsid w:val="0F4C0575"/>
    <w:rsid w:val="0F4C7B1C"/>
    <w:rsid w:val="0F590F9B"/>
    <w:rsid w:val="0F6862DA"/>
    <w:rsid w:val="0F7A6F7F"/>
    <w:rsid w:val="0F9B3185"/>
    <w:rsid w:val="0FA1669B"/>
    <w:rsid w:val="0FAB5D62"/>
    <w:rsid w:val="0FAD2305"/>
    <w:rsid w:val="0FB84EA6"/>
    <w:rsid w:val="0FBF6D58"/>
    <w:rsid w:val="0FC1323B"/>
    <w:rsid w:val="0FC77080"/>
    <w:rsid w:val="0FD053C6"/>
    <w:rsid w:val="0FD3668F"/>
    <w:rsid w:val="0FD76C15"/>
    <w:rsid w:val="0FE4089C"/>
    <w:rsid w:val="0FE43632"/>
    <w:rsid w:val="10066A65"/>
    <w:rsid w:val="100B66C4"/>
    <w:rsid w:val="100D18E1"/>
    <w:rsid w:val="101C54DD"/>
    <w:rsid w:val="10223133"/>
    <w:rsid w:val="102B64CB"/>
    <w:rsid w:val="102D3FF1"/>
    <w:rsid w:val="102E5D3B"/>
    <w:rsid w:val="10303AE2"/>
    <w:rsid w:val="103B5D52"/>
    <w:rsid w:val="103E2A4F"/>
    <w:rsid w:val="104717AF"/>
    <w:rsid w:val="105667BD"/>
    <w:rsid w:val="10597D75"/>
    <w:rsid w:val="106808C5"/>
    <w:rsid w:val="10685029"/>
    <w:rsid w:val="106A0648"/>
    <w:rsid w:val="106B203E"/>
    <w:rsid w:val="106B330D"/>
    <w:rsid w:val="1072324E"/>
    <w:rsid w:val="107407BA"/>
    <w:rsid w:val="107D54AD"/>
    <w:rsid w:val="10806E73"/>
    <w:rsid w:val="1082744F"/>
    <w:rsid w:val="108370EA"/>
    <w:rsid w:val="10861954"/>
    <w:rsid w:val="10876323"/>
    <w:rsid w:val="10893B2B"/>
    <w:rsid w:val="108A7B57"/>
    <w:rsid w:val="108C54C8"/>
    <w:rsid w:val="108E4479"/>
    <w:rsid w:val="1092654A"/>
    <w:rsid w:val="10A00598"/>
    <w:rsid w:val="10B42EE9"/>
    <w:rsid w:val="10B767FF"/>
    <w:rsid w:val="10C304B2"/>
    <w:rsid w:val="10CC46B3"/>
    <w:rsid w:val="10D56B2F"/>
    <w:rsid w:val="10D91A83"/>
    <w:rsid w:val="10DB1C9F"/>
    <w:rsid w:val="10E02E12"/>
    <w:rsid w:val="10E11B23"/>
    <w:rsid w:val="10E32902"/>
    <w:rsid w:val="10E87F18"/>
    <w:rsid w:val="10EF538B"/>
    <w:rsid w:val="10F04DD6"/>
    <w:rsid w:val="11021A8B"/>
    <w:rsid w:val="110411F6"/>
    <w:rsid w:val="110D6ECE"/>
    <w:rsid w:val="1111121D"/>
    <w:rsid w:val="111156C1"/>
    <w:rsid w:val="11125C3A"/>
    <w:rsid w:val="1113591B"/>
    <w:rsid w:val="111A1606"/>
    <w:rsid w:val="11216397"/>
    <w:rsid w:val="11267301"/>
    <w:rsid w:val="11312DC0"/>
    <w:rsid w:val="11336333"/>
    <w:rsid w:val="113439DF"/>
    <w:rsid w:val="11344F36"/>
    <w:rsid w:val="11366607"/>
    <w:rsid w:val="113C7F88"/>
    <w:rsid w:val="113E2EAB"/>
    <w:rsid w:val="114367DA"/>
    <w:rsid w:val="114701EB"/>
    <w:rsid w:val="11486D50"/>
    <w:rsid w:val="11522D8A"/>
    <w:rsid w:val="11561326"/>
    <w:rsid w:val="115B06EA"/>
    <w:rsid w:val="115D74DB"/>
    <w:rsid w:val="115F467E"/>
    <w:rsid w:val="11612582"/>
    <w:rsid w:val="116577BB"/>
    <w:rsid w:val="11844481"/>
    <w:rsid w:val="11844ECA"/>
    <w:rsid w:val="118510CB"/>
    <w:rsid w:val="118848CF"/>
    <w:rsid w:val="118916FB"/>
    <w:rsid w:val="11894149"/>
    <w:rsid w:val="118C5FAD"/>
    <w:rsid w:val="118E2015"/>
    <w:rsid w:val="118F4F1D"/>
    <w:rsid w:val="118F74A0"/>
    <w:rsid w:val="11904838"/>
    <w:rsid w:val="119564CF"/>
    <w:rsid w:val="119D1E8A"/>
    <w:rsid w:val="119D3980"/>
    <w:rsid w:val="119E6913"/>
    <w:rsid w:val="119F4A7B"/>
    <w:rsid w:val="11A402E3"/>
    <w:rsid w:val="11B15B92"/>
    <w:rsid w:val="11B4612E"/>
    <w:rsid w:val="11C11380"/>
    <w:rsid w:val="11C15F24"/>
    <w:rsid w:val="11C4327C"/>
    <w:rsid w:val="11CB0B28"/>
    <w:rsid w:val="11CB2ED9"/>
    <w:rsid w:val="11CD4312"/>
    <w:rsid w:val="11D353EB"/>
    <w:rsid w:val="11D41553"/>
    <w:rsid w:val="11D71DB4"/>
    <w:rsid w:val="11D774D6"/>
    <w:rsid w:val="11DA2CA1"/>
    <w:rsid w:val="11DB6BE3"/>
    <w:rsid w:val="11EA752B"/>
    <w:rsid w:val="11F528ED"/>
    <w:rsid w:val="11FC011F"/>
    <w:rsid w:val="11FD6207"/>
    <w:rsid w:val="12092462"/>
    <w:rsid w:val="120A03AC"/>
    <w:rsid w:val="120C17D7"/>
    <w:rsid w:val="120F250A"/>
    <w:rsid w:val="120F2891"/>
    <w:rsid w:val="12137217"/>
    <w:rsid w:val="12162319"/>
    <w:rsid w:val="12186591"/>
    <w:rsid w:val="121865DB"/>
    <w:rsid w:val="121D403F"/>
    <w:rsid w:val="12261112"/>
    <w:rsid w:val="12276F00"/>
    <w:rsid w:val="122C61F2"/>
    <w:rsid w:val="12333415"/>
    <w:rsid w:val="12341308"/>
    <w:rsid w:val="124272D4"/>
    <w:rsid w:val="124420C5"/>
    <w:rsid w:val="12450BFD"/>
    <w:rsid w:val="12466F14"/>
    <w:rsid w:val="124B14A7"/>
    <w:rsid w:val="125F245C"/>
    <w:rsid w:val="126438E3"/>
    <w:rsid w:val="126927D9"/>
    <w:rsid w:val="126B216A"/>
    <w:rsid w:val="126D6927"/>
    <w:rsid w:val="127D3720"/>
    <w:rsid w:val="12857766"/>
    <w:rsid w:val="128A0DD7"/>
    <w:rsid w:val="128B4BC4"/>
    <w:rsid w:val="128C1339"/>
    <w:rsid w:val="12902DF3"/>
    <w:rsid w:val="12905686"/>
    <w:rsid w:val="12937F81"/>
    <w:rsid w:val="129812CD"/>
    <w:rsid w:val="129A6A3B"/>
    <w:rsid w:val="129C76F3"/>
    <w:rsid w:val="129F7C67"/>
    <w:rsid w:val="12AF5192"/>
    <w:rsid w:val="12BB5397"/>
    <w:rsid w:val="12C215CD"/>
    <w:rsid w:val="12C57436"/>
    <w:rsid w:val="12D451A7"/>
    <w:rsid w:val="12DB6887"/>
    <w:rsid w:val="12DB7D35"/>
    <w:rsid w:val="12E053C9"/>
    <w:rsid w:val="12E27315"/>
    <w:rsid w:val="12E5133B"/>
    <w:rsid w:val="12ED0C43"/>
    <w:rsid w:val="12F21444"/>
    <w:rsid w:val="12F40AC9"/>
    <w:rsid w:val="12F45803"/>
    <w:rsid w:val="12FE7BEE"/>
    <w:rsid w:val="13001549"/>
    <w:rsid w:val="13020825"/>
    <w:rsid w:val="13070C85"/>
    <w:rsid w:val="13082412"/>
    <w:rsid w:val="130B7EEE"/>
    <w:rsid w:val="13190AA8"/>
    <w:rsid w:val="1319260B"/>
    <w:rsid w:val="13201149"/>
    <w:rsid w:val="132A0BBC"/>
    <w:rsid w:val="132A0CBC"/>
    <w:rsid w:val="132C2F9D"/>
    <w:rsid w:val="132E255A"/>
    <w:rsid w:val="132F0080"/>
    <w:rsid w:val="132F62D2"/>
    <w:rsid w:val="13304CAA"/>
    <w:rsid w:val="13380DD8"/>
    <w:rsid w:val="13381102"/>
    <w:rsid w:val="133D47A7"/>
    <w:rsid w:val="1344521A"/>
    <w:rsid w:val="134C29E0"/>
    <w:rsid w:val="13577C09"/>
    <w:rsid w:val="135812DA"/>
    <w:rsid w:val="13631AD8"/>
    <w:rsid w:val="13636CE7"/>
    <w:rsid w:val="13645ACB"/>
    <w:rsid w:val="136515AA"/>
    <w:rsid w:val="136D066E"/>
    <w:rsid w:val="13705C9D"/>
    <w:rsid w:val="137361BF"/>
    <w:rsid w:val="1374007D"/>
    <w:rsid w:val="13782739"/>
    <w:rsid w:val="1379754E"/>
    <w:rsid w:val="138450F3"/>
    <w:rsid w:val="138A175B"/>
    <w:rsid w:val="138F6241"/>
    <w:rsid w:val="13906489"/>
    <w:rsid w:val="13955C19"/>
    <w:rsid w:val="13960100"/>
    <w:rsid w:val="1397044C"/>
    <w:rsid w:val="13A1536F"/>
    <w:rsid w:val="13A20852"/>
    <w:rsid w:val="13A30DD9"/>
    <w:rsid w:val="13A63768"/>
    <w:rsid w:val="13AC7DD3"/>
    <w:rsid w:val="13AF2F6F"/>
    <w:rsid w:val="13B26361"/>
    <w:rsid w:val="13B619EA"/>
    <w:rsid w:val="13B81E24"/>
    <w:rsid w:val="13C20EF5"/>
    <w:rsid w:val="13C21D5F"/>
    <w:rsid w:val="13C81B74"/>
    <w:rsid w:val="13CB5FFB"/>
    <w:rsid w:val="13CB67CA"/>
    <w:rsid w:val="13D30D8E"/>
    <w:rsid w:val="13D33102"/>
    <w:rsid w:val="13D94887"/>
    <w:rsid w:val="13DD77E3"/>
    <w:rsid w:val="13E23025"/>
    <w:rsid w:val="13E663A7"/>
    <w:rsid w:val="13E957B5"/>
    <w:rsid w:val="13F015BE"/>
    <w:rsid w:val="13F54664"/>
    <w:rsid w:val="140432BB"/>
    <w:rsid w:val="140A4D1D"/>
    <w:rsid w:val="140E5EE8"/>
    <w:rsid w:val="14164203"/>
    <w:rsid w:val="14171240"/>
    <w:rsid w:val="14184FB8"/>
    <w:rsid w:val="141A1AFC"/>
    <w:rsid w:val="141B7DAB"/>
    <w:rsid w:val="141D612B"/>
    <w:rsid w:val="141E383D"/>
    <w:rsid w:val="1422481E"/>
    <w:rsid w:val="14316568"/>
    <w:rsid w:val="14321134"/>
    <w:rsid w:val="143B4DE0"/>
    <w:rsid w:val="14412BB2"/>
    <w:rsid w:val="14423F54"/>
    <w:rsid w:val="144308BB"/>
    <w:rsid w:val="14467430"/>
    <w:rsid w:val="14497960"/>
    <w:rsid w:val="144A252F"/>
    <w:rsid w:val="144B2C98"/>
    <w:rsid w:val="144D6CB9"/>
    <w:rsid w:val="14551D69"/>
    <w:rsid w:val="14567DC8"/>
    <w:rsid w:val="145927AB"/>
    <w:rsid w:val="14634486"/>
    <w:rsid w:val="146B50E8"/>
    <w:rsid w:val="146F2D0E"/>
    <w:rsid w:val="147536A7"/>
    <w:rsid w:val="147541B9"/>
    <w:rsid w:val="14795A57"/>
    <w:rsid w:val="147A17CF"/>
    <w:rsid w:val="147C3697"/>
    <w:rsid w:val="148368D6"/>
    <w:rsid w:val="148E354E"/>
    <w:rsid w:val="14912EDB"/>
    <w:rsid w:val="14957C57"/>
    <w:rsid w:val="14963173"/>
    <w:rsid w:val="14975441"/>
    <w:rsid w:val="14987356"/>
    <w:rsid w:val="149C34F4"/>
    <w:rsid w:val="14A15F39"/>
    <w:rsid w:val="14A17A74"/>
    <w:rsid w:val="14A23D5A"/>
    <w:rsid w:val="14A376AA"/>
    <w:rsid w:val="14A51304"/>
    <w:rsid w:val="14B003A6"/>
    <w:rsid w:val="14BF3B23"/>
    <w:rsid w:val="14C01D51"/>
    <w:rsid w:val="14C22B23"/>
    <w:rsid w:val="14C308DD"/>
    <w:rsid w:val="14C737E9"/>
    <w:rsid w:val="14C74097"/>
    <w:rsid w:val="14CA0061"/>
    <w:rsid w:val="14D712DA"/>
    <w:rsid w:val="14D83AA4"/>
    <w:rsid w:val="14DA1A69"/>
    <w:rsid w:val="14E0132F"/>
    <w:rsid w:val="14E05AD6"/>
    <w:rsid w:val="14EB5E8F"/>
    <w:rsid w:val="14EF5D19"/>
    <w:rsid w:val="14F13234"/>
    <w:rsid w:val="14FF6D92"/>
    <w:rsid w:val="150126F3"/>
    <w:rsid w:val="150744D3"/>
    <w:rsid w:val="150A7466"/>
    <w:rsid w:val="15170DCC"/>
    <w:rsid w:val="15211C4B"/>
    <w:rsid w:val="15230B72"/>
    <w:rsid w:val="153320AA"/>
    <w:rsid w:val="15371D4B"/>
    <w:rsid w:val="1542409B"/>
    <w:rsid w:val="15477053"/>
    <w:rsid w:val="154E1966"/>
    <w:rsid w:val="154F5B2A"/>
    <w:rsid w:val="15505E42"/>
    <w:rsid w:val="15581B2C"/>
    <w:rsid w:val="1559194D"/>
    <w:rsid w:val="155C14A4"/>
    <w:rsid w:val="156027A9"/>
    <w:rsid w:val="1565471E"/>
    <w:rsid w:val="15655FDB"/>
    <w:rsid w:val="157460AE"/>
    <w:rsid w:val="157601E9"/>
    <w:rsid w:val="157955E3"/>
    <w:rsid w:val="157B469B"/>
    <w:rsid w:val="1582736D"/>
    <w:rsid w:val="15842F69"/>
    <w:rsid w:val="15863331"/>
    <w:rsid w:val="158C5316"/>
    <w:rsid w:val="158F4E06"/>
    <w:rsid w:val="159054BF"/>
    <w:rsid w:val="15950B46"/>
    <w:rsid w:val="159A3BF9"/>
    <w:rsid w:val="159C2317"/>
    <w:rsid w:val="15A02C05"/>
    <w:rsid w:val="15A078BC"/>
    <w:rsid w:val="15A24B3A"/>
    <w:rsid w:val="15A73194"/>
    <w:rsid w:val="15AE733A"/>
    <w:rsid w:val="15B15BAD"/>
    <w:rsid w:val="15B42ABF"/>
    <w:rsid w:val="15B5037D"/>
    <w:rsid w:val="15B53281"/>
    <w:rsid w:val="15B77304"/>
    <w:rsid w:val="15C454E5"/>
    <w:rsid w:val="15CC0C9A"/>
    <w:rsid w:val="15CC451A"/>
    <w:rsid w:val="15D32F45"/>
    <w:rsid w:val="15D867AD"/>
    <w:rsid w:val="15E9427A"/>
    <w:rsid w:val="15EA25B6"/>
    <w:rsid w:val="15F84071"/>
    <w:rsid w:val="15FC212E"/>
    <w:rsid w:val="15FD6214"/>
    <w:rsid w:val="160101E5"/>
    <w:rsid w:val="16021A3F"/>
    <w:rsid w:val="1603305E"/>
    <w:rsid w:val="16037FF8"/>
    <w:rsid w:val="160B1BD8"/>
    <w:rsid w:val="1610130F"/>
    <w:rsid w:val="16111CBF"/>
    <w:rsid w:val="16172083"/>
    <w:rsid w:val="161D33D4"/>
    <w:rsid w:val="16305BFD"/>
    <w:rsid w:val="1635134B"/>
    <w:rsid w:val="163952E0"/>
    <w:rsid w:val="1640457D"/>
    <w:rsid w:val="1647108A"/>
    <w:rsid w:val="16591947"/>
    <w:rsid w:val="16597293"/>
    <w:rsid w:val="165C118C"/>
    <w:rsid w:val="165C720B"/>
    <w:rsid w:val="16661C68"/>
    <w:rsid w:val="166718DF"/>
    <w:rsid w:val="16684AF4"/>
    <w:rsid w:val="16753FFC"/>
    <w:rsid w:val="167A18C1"/>
    <w:rsid w:val="167A7865"/>
    <w:rsid w:val="16863709"/>
    <w:rsid w:val="16976668"/>
    <w:rsid w:val="16A235F7"/>
    <w:rsid w:val="16A3214A"/>
    <w:rsid w:val="16AD3B86"/>
    <w:rsid w:val="16B010C4"/>
    <w:rsid w:val="16BB1E41"/>
    <w:rsid w:val="16BB73C0"/>
    <w:rsid w:val="16BC60CF"/>
    <w:rsid w:val="16BE31B2"/>
    <w:rsid w:val="16CE6F3C"/>
    <w:rsid w:val="16E34BC4"/>
    <w:rsid w:val="16EA5C33"/>
    <w:rsid w:val="16F511B2"/>
    <w:rsid w:val="16F93153"/>
    <w:rsid w:val="16FF780B"/>
    <w:rsid w:val="170149D2"/>
    <w:rsid w:val="1705161F"/>
    <w:rsid w:val="17077F43"/>
    <w:rsid w:val="17152E17"/>
    <w:rsid w:val="17172CC3"/>
    <w:rsid w:val="171955EB"/>
    <w:rsid w:val="171C5FB5"/>
    <w:rsid w:val="1720665E"/>
    <w:rsid w:val="17264519"/>
    <w:rsid w:val="172A1253"/>
    <w:rsid w:val="172B4C33"/>
    <w:rsid w:val="172F4AF3"/>
    <w:rsid w:val="173869C3"/>
    <w:rsid w:val="1740285C"/>
    <w:rsid w:val="17471E3D"/>
    <w:rsid w:val="174948DC"/>
    <w:rsid w:val="174A78E6"/>
    <w:rsid w:val="175207E1"/>
    <w:rsid w:val="17590DA7"/>
    <w:rsid w:val="175B7696"/>
    <w:rsid w:val="175E4D83"/>
    <w:rsid w:val="176169D2"/>
    <w:rsid w:val="176202D6"/>
    <w:rsid w:val="176564D4"/>
    <w:rsid w:val="17671DD7"/>
    <w:rsid w:val="176A328A"/>
    <w:rsid w:val="176B128C"/>
    <w:rsid w:val="176B2594"/>
    <w:rsid w:val="176E561B"/>
    <w:rsid w:val="17731AF7"/>
    <w:rsid w:val="17737CF8"/>
    <w:rsid w:val="17752EFE"/>
    <w:rsid w:val="17765D15"/>
    <w:rsid w:val="17797B1C"/>
    <w:rsid w:val="177B5642"/>
    <w:rsid w:val="177D6B97"/>
    <w:rsid w:val="17847813"/>
    <w:rsid w:val="17872E16"/>
    <w:rsid w:val="17877DBA"/>
    <w:rsid w:val="17983320"/>
    <w:rsid w:val="17987288"/>
    <w:rsid w:val="17992095"/>
    <w:rsid w:val="17AC29AB"/>
    <w:rsid w:val="17B9616B"/>
    <w:rsid w:val="17BA17F6"/>
    <w:rsid w:val="17BB323B"/>
    <w:rsid w:val="17BC1DD2"/>
    <w:rsid w:val="17BE7C25"/>
    <w:rsid w:val="17C54FD7"/>
    <w:rsid w:val="17C55D1A"/>
    <w:rsid w:val="17C61BD6"/>
    <w:rsid w:val="17DF02C7"/>
    <w:rsid w:val="17E44312"/>
    <w:rsid w:val="17F35B20"/>
    <w:rsid w:val="17F866CA"/>
    <w:rsid w:val="17FD6AAF"/>
    <w:rsid w:val="17FE578F"/>
    <w:rsid w:val="18027B12"/>
    <w:rsid w:val="18067C6B"/>
    <w:rsid w:val="18073411"/>
    <w:rsid w:val="180B5092"/>
    <w:rsid w:val="180D7666"/>
    <w:rsid w:val="180E041D"/>
    <w:rsid w:val="181267F9"/>
    <w:rsid w:val="181B5077"/>
    <w:rsid w:val="181D6492"/>
    <w:rsid w:val="18266F40"/>
    <w:rsid w:val="183449C5"/>
    <w:rsid w:val="183A52E7"/>
    <w:rsid w:val="183B3D13"/>
    <w:rsid w:val="183C5528"/>
    <w:rsid w:val="183F2B14"/>
    <w:rsid w:val="1844493A"/>
    <w:rsid w:val="18445D64"/>
    <w:rsid w:val="184A0B34"/>
    <w:rsid w:val="184F0A04"/>
    <w:rsid w:val="18512CF7"/>
    <w:rsid w:val="18540FC5"/>
    <w:rsid w:val="185722F3"/>
    <w:rsid w:val="185808AC"/>
    <w:rsid w:val="185855DF"/>
    <w:rsid w:val="18585984"/>
    <w:rsid w:val="18624A54"/>
    <w:rsid w:val="18655195"/>
    <w:rsid w:val="186B0674"/>
    <w:rsid w:val="186C7681"/>
    <w:rsid w:val="1874541D"/>
    <w:rsid w:val="18752D8F"/>
    <w:rsid w:val="18772927"/>
    <w:rsid w:val="18782C66"/>
    <w:rsid w:val="187D188E"/>
    <w:rsid w:val="188213EC"/>
    <w:rsid w:val="18866995"/>
    <w:rsid w:val="18871F4D"/>
    <w:rsid w:val="188C77F1"/>
    <w:rsid w:val="18904498"/>
    <w:rsid w:val="189747BD"/>
    <w:rsid w:val="189B32FD"/>
    <w:rsid w:val="18A01BF8"/>
    <w:rsid w:val="18A1429D"/>
    <w:rsid w:val="18A3471E"/>
    <w:rsid w:val="18B01DE4"/>
    <w:rsid w:val="18B352B0"/>
    <w:rsid w:val="18B52685"/>
    <w:rsid w:val="18C179CD"/>
    <w:rsid w:val="18CD3EF3"/>
    <w:rsid w:val="18D144BA"/>
    <w:rsid w:val="18D25736"/>
    <w:rsid w:val="18DE3ABF"/>
    <w:rsid w:val="18FF2603"/>
    <w:rsid w:val="19037FE5"/>
    <w:rsid w:val="190869B1"/>
    <w:rsid w:val="190F0738"/>
    <w:rsid w:val="19102702"/>
    <w:rsid w:val="19183767"/>
    <w:rsid w:val="191A5382"/>
    <w:rsid w:val="191E5B42"/>
    <w:rsid w:val="19202945"/>
    <w:rsid w:val="192960CA"/>
    <w:rsid w:val="192B4DF7"/>
    <w:rsid w:val="192D223F"/>
    <w:rsid w:val="192D641F"/>
    <w:rsid w:val="192E4F24"/>
    <w:rsid w:val="1936705A"/>
    <w:rsid w:val="193A0433"/>
    <w:rsid w:val="193B3A70"/>
    <w:rsid w:val="193E101D"/>
    <w:rsid w:val="194B021E"/>
    <w:rsid w:val="194C2869"/>
    <w:rsid w:val="195425EF"/>
    <w:rsid w:val="195500C6"/>
    <w:rsid w:val="19563E00"/>
    <w:rsid w:val="19574DFB"/>
    <w:rsid w:val="19587488"/>
    <w:rsid w:val="19597C05"/>
    <w:rsid w:val="195A572B"/>
    <w:rsid w:val="196642EF"/>
    <w:rsid w:val="196E6E60"/>
    <w:rsid w:val="19702C51"/>
    <w:rsid w:val="19743E37"/>
    <w:rsid w:val="197E12A7"/>
    <w:rsid w:val="197E36EE"/>
    <w:rsid w:val="19804FB8"/>
    <w:rsid w:val="19831126"/>
    <w:rsid w:val="19860F09"/>
    <w:rsid w:val="199D6C68"/>
    <w:rsid w:val="19A14E4F"/>
    <w:rsid w:val="19A2756E"/>
    <w:rsid w:val="19AA1A62"/>
    <w:rsid w:val="19AA220F"/>
    <w:rsid w:val="19B2405E"/>
    <w:rsid w:val="19B52F66"/>
    <w:rsid w:val="19BA38E9"/>
    <w:rsid w:val="19BA6371"/>
    <w:rsid w:val="19C332D1"/>
    <w:rsid w:val="19C53F90"/>
    <w:rsid w:val="19C71EDF"/>
    <w:rsid w:val="19C83E7A"/>
    <w:rsid w:val="19D159ED"/>
    <w:rsid w:val="19E00942"/>
    <w:rsid w:val="19E27BFB"/>
    <w:rsid w:val="19EF24A3"/>
    <w:rsid w:val="19F66D1E"/>
    <w:rsid w:val="19F90D7B"/>
    <w:rsid w:val="1A005E51"/>
    <w:rsid w:val="1A0A7151"/>
    <w:rsid w:val="1A195147"/>
    <w:rsid w:val="1A1C00CA"/>
    <w:rsid w:val="1A1D5C27"/>
    <w:rsid w:val="1A1D5C9D"/>
    <w:rsid w:val="1A22292E"/>
    <w:rsid w:val="1A255D39"/>
    <w:rsid w:val="1A295A7D"/>
    <w:rsid w:val="1A297E93"/>
    <w:rsid w:val="1A2C70C8"/>
    <w:rsid w:val="1A332204"/>
    <w:rsid w:val="1A3450F6"/>
    <w:rsid w:val="1A35096F"/>
    <w:rsid w:val="1A354F1E"/>
    <w:rsid w:val="1A37691F"/>
    <w:rsid w:val="1A391603"/>
    <w:rsid w:val="1A396071"/>
    <w:rsid w:val="1A3969F1"/>
    <w:rsid w:val="1A3A0B51"/>
    <w:rsid w:val="1A3C0945"/>
    <w:rsid w:val="1A3E5CD0"/>
    <w:rsid w:val="1A421918"/>
    <w:rsid w:val="1A450189"/>
    <w:rsid w:val="1A477835"/>
    <w:rsid w:val="1A4964D8"/>
    <w:rsid w:val="1A497C7A"/>
    <w:rsid w:val="1A4E02B5"/>
    <w:rsid w:val="1A4F3BD8"/>
    <w:rsid w:val="1A614980"/>
    <w:rsid w:val="1A6236C2"/>
    <w:rsid w:val="1A6B1272"/>
    <w:rsid w:val="1A803582"/>
    <w:rsid w:val="1A877989"/>
    <w:rsid w:val="1A8824EC"/>
    <w:rsid w:val="1A8962C8"/>
    <w:rsid w:val="1A8973FF"/>
    <w:rsid w:val="1A8F2B01"/>
    <w:rsid w:val="1A9E1B46"/>
    <w:rsid w:val="1AAC54A3"/>
    <w:rsid w:val="1AB8095B"/>
    <w:rsid w:val="1ABB06B4"/>
    <w:rsid w:val="1ABC044C"/>
    <w:rsid w:val="1ABF25D9"/>
    <w:rsid w:val="1AC45552"/>
    <w:rsid w:val="1AC62840"/>
    <w:rsid w:val="1AD25EC1"/>
    <w:rsid w:val="1AD554DD"/>
    <w:rsid w:val="1AD5594E"/>
    <w:rsid w:val="1AD75285"/>
    <w:rsid w:val="1ADB5062"/>
    <w:rsid w:val="1ADE4866"/>
    <w:rsid w:val="1AE53476"/>
    <w:rsid w:val="1AE654C9"/>
    <w:rsid w:val="1AEB3B6C"/>
    <w:rsid w:val="1AED2CFB"/>
    <w:rsid w:val="1AF23E6D"/>
    <w:rsid w:val="1AF51BB0"/>
    <w:rsid w:val="1AF6583C"/>
    <w:rsid w:val="1AFE6CB6"/>
    <w:rsid w:val="1B035027"/>
    <w:rsid w:val="1B0A6E37"/>
    <w:rsid w:val="1B1451F1"/>
    <w:rsid w:val="1B154000"/>
    <w:rsid w:val="1B182C82"/>
    <w:rsid w:val="1B27381F"/>
    <w:rsid w:val="1B273B62"/>
    <w:rsid w:val="1B2903BD"/>
    <w:rsid w:val="1B2925C2"/>
    <w:rsid w:val="1B2A5208"/>
    <w:rsid w:val="1B323058"/>
    <w:rsid w:val="1B3645F9"/>
    <w:rsid w:val="1B3812F1"/>
    <w:rsid w:val="1B386E6F"/>
    <w:rsid w:val="1B391A90"/>
    <w:rsid w:val="1B3C67E4"/>
    <w:rsid w:val="1B4D5D94"/>
    <w:rsid w:val="1B5561CE"/>
    <w:rsid w:val="1B5B3AB2"/>
    <w:rsid w:val="1B5E366F"/>
    <w:rsid w:val="1B60171F"/>
    <w:rsid w:val="1B610FF3"/>
    <w:rsid w:val="1B6463AA"/>
    <w:rsid w:val="1B740D26"/>
    <w:rsid w:val="1B7B66B5"/>
    <w:rsid w:val="1B7C407F"/>
    <w:rsid w:val="1B7F246B"/>
    <w:rsid w:val="1B8151F1"/>
    <w:rsid w:val="1B852BFA"/>
    <w:rsid w:val="1B8558A1"/>
    <w:rsid w:val="1B867F14"/>
    <w:rsid w:val="1B8B164F"/>
    <w:rsid w:val="1B8B5DC0"/>
    <w:rsid w:val="1B8D1DE8"/>
    <w:rsid w:val="1B9413C8"/>
    <w:rsid w:val="1BA52C13"/>
    <w:rsid w:val="1BA62EAA"/>
    <w:rsid w:val="1BAC6057"/>
    <w:rsid w:val="1BAD4238"/>
    <w:rsid w:val="1BB12D3A"/>
    <w:rsid w:val="1BB47375"/>
    <w:rsid w:val="1BB9498B"/>
    <w:rsid w:val="1BB97AB4"/>
    <w:rsid w:val="1BC82D28"/>
    <w:rsid w:val="1BCC2D86"/>
    <w:rsid w:val="1BD230D2"/>
    <w:rsid w:val="1BD23C9F"/>
    <w:rsid w:val="1BD25A4D"/>
    <w:rsid w:val="1BD600BC"/>
    <w:rsid w:val="1BD85D53"/>
    <w:rsid w:val="1BDB3B08"/>
    <w:rsid w:val="1BDB6FF7"/>
    <w:rsid w:val="1BDC68CC"/>
    <w:rsid w:val="1BF314C7"/>
    <w:rsid w:val="1BF41580"/>
    <w:rsid w:val="1BF76248"/>
    <w:rsid w:val="1BFB41C6"/>
    <w:rsid w:val="1BFE4A94"/>
    <w:rsid w:val="1C0B3440"/>
    <w:rsid w:val="1C11378B"/>
    <w:rsid w:val="1C1222ED"/>
    <w:rsid w:val="1C1333C3"/>
    <w:rsid w:val="1C161DDD"/>
    <w:rsid w:val="1C183DA8"/>
    <w:rsid w:val="1C18644F"/>
    <w:rsid w:val="1C197B20"/>
    <w:rsid w:val="1C225E9B"/>
    <w:rsid w:val="1C225F98"/>
    <w:rsid w:val="1C24274C"/>
    <w:rsid w:val="1C272EF4"/>
    <w:rsid w:val="1C2A3ADB"/>
    <w:rsid w:val="1C3D380E"/>
    <w:rsid w:val="1C443965"/>
    <w:rsid w:val="1C493F61"/>
    <w:rsid w:val="1C513DC0"/>
    <w:rsid w:val="1C595424"/>
    <w:rsid w:val="1C5A43C0"/>
    <w:rsid w:val="1C655F51"/>
    <w:rsid w:val="1C672254"/>
    <w:rsid w:val="1C6A3ED7"/>
    <w:rsid w:val="1C6C7C4F"/>
    <w:rsid w:val="1C6E187C"/>
    <w:rsid w:val="1C7233D8"/>
    <w:rsid w:val="1C8054A9"/>
    <w:rsid w:val="1C89080C"/>
    <w:rsid w:val="1C8D31D5"/>
    <w:rsid w:val="1C9200B7"/>
    <w:rsid w:val="1C96073B"/>
    <w:rsid w:val="1C985634"/>
    <w:rsid w:val="1CAC4530"/>
    <w:rsid w:val="1CB14D58"/>
    <w:rsid w:val="1CB42982"/>
    <w:rsid w:val="1CB533A4"/>
    <w:rsid w:val="1CB75B21"/>
    <w:rsid w:val="1CBA4E5F"/>
    <w:rsid w:val="1CBE637B"/>
    <w:rsid w:val="1CC16B7E"/>
    <w:rsid w:val="1CDF6673"/>
    <w:rsid w:val="1CE00D50"/>
    <w:rsid w:val="1CE65C54"/>
    <w:rsid w:val="1CE67BE5"/>
    <w:rsid w:val="1CF14E4C"/>
    <w:rsid w:val="1CF3211F"/>
    <w:rsid w:val="1CFA34AD"/>
    <w:rsid w:val="1D022362"/>
    <w:rsid w:val="1D060497"/>
    <w:rsid w:val="1D0B002A"/>
    <w:rsid w:val="1D1327C1"/>
    <w:rsid w:val="1D137517"/>
    <w:rsid w:val="1D181B85"/>
    <w:rsid w:val="1D28454F"/>
    <w:rsid w:val="1D320A97"/>
    <w:rsid w:val="1D353AC3"/>
    <w:rsid w:val="1D3541D9"/>
    <w:rsid w:val="1D3544E5"/>
    <w:rsid w:val="1D3E6FE0"/>
    <w:rsid w:val="1D417781"/>
    <w:rsid w:val="1D44297A"/>
    <w:rsid w:val="1D4454A0"/>
    <w:rsid w:val="1D4F2685"/>
    <w:rsid w:val="1D5030CD"/>
    <w:rsid w:val="1D510639"/>
    <w:rsid w:val="1D5670E5"/>
    <w:rsid w:val="1D5E190C"/>
    <w:rsid w:val="1D622AE0"/>
    <w:rsid w:val="1D631052"/>
    <w:rsid w:val="1D6909E2"/>
    <w:rsid w:val="1D6D3C7F"/>
    <w:rsid w:val="1D740177"/>
    <w:rsid w:val="1D7A2484"/>
    <w:rsid w:val="1D7C66E4"/>
    <w:rsid w:val="1D835251"/>
    <w:rsid w:val="1D862F12"/>
    <w:rsid w:val="1D8C2C52"/>
    <w:rsid w:val="1DB25B36"/>
    <w:rsid w:val="1DB76D37"/>
    <w:rsid w:val="1DBB2EA1"/>
    <w:rsid w:val="1DC61C47"/>
    <w:rsid w:val="1DC674BF"/>
    <w:rsid w:val="1DD34259"/>
    <w:rsid w:val="1DD7559C"/>
    <w:rsid w:val="1DE173D0"/>
    <w:rsid w:val="1DE33F53"/>
    <w:rsid w:val="1DE35853"/>
    <w:rsid w:val="1DE45963"/>
    <w:rsid w:val="1DE873BA"/>
    <w:rsid w:val="1DF443A0"/>
    <w:rsid w:val="1DF63C75"/>
    <w:rsid w:val="1DFB4F2F"/>
    <w:rsid w:val="1DFC46F0"/>
    <w:rsid w:val="1DFF65CA"/>
    <w:rsid w:val="1E09439F"/>
    <w:rsid w:val="1E096D85"/>
    <w:rsid w:val="1E0C3498"/>
    <w:rsid w:val="1E0F2F88"/>
    <w:rsid w:val="1E12416F"/>
    <w:rsid w:val="1E1C7EC6"/>
    <w:rsid w:val="1E1D38F7"/>
    <w:rsid w:val="1E2A19C5"/>
    <w:rsid w:val="1E2D1660"/>
    <w:rsid w:val="1E324813"/>
    <w:rsid w:val="1E326C77"/>
    <w:rsid w:val="1E34129B"/>
    <w:rsid w:val="1E376CEE"/>
    <w:rsid w:val="1E3D435B"/>
    <w:rsid w:val="1E3E2D25"/>
    <w:rsid w:val="1E4507E4"/>
    <w:rsid w:val="1E453EF4"/>
    <w:rsid w:val="1E4744D0"/>
    <w:rsid w:val="1E5452BA"/>
    <w:rsid w:val="1E5631F5"/>
    <w:rsid w:val="1E6037E4"/>
    <w:rsid w:val="1E6210B8"/>
    <w:rsid w:val="1E65704C"/>
    <w:rsid w:val="1E6973EB"/>
    <w:rsid w:val="1E731CD6"/>
    <w:rsid w:val="1E735005"/>
    <w:rsid w:val="1E7B061E"/>
    <w:rsid w:val="1E7D29AF"/>
    <w:rsid w:val="1E8229CB"/>
    <w:rsid w:val="1E917E41"/>
    <w:rsid w:val="1E9F430C"/>
    <w:rsid w:val="1EA414D5"/>
    <w:rsid w:val="1EAD17CE"/>
    <w:rsid w:val="1EC014EF"/>
    <w:rsid w:val="1EC5770B"/>
    <w:rsid w:val="1EC664F8"/>
    <w:rsid w:val="1EC85309"/>
    <w:rsid w:val="1ECF44C6"/>
    <w:rsid w:val="1ED85DF1"/>
    <w:rsid w:val="1EDA22B2"/>
    <w:rsid w:val="1EDA6951"/>
    <w:rsid w:val="1EDE4DF0"/>
    <w:rsid w:val="1EDF3CF2"/>
    <w:rsid w:val="1EE6729F"/>
    <w:rsid w:val="1EF25CE1"/>
    <w:rsid w:val="1EF563EE"/>
    <w:rsid w:val="1EF63B7C"/>
    <w:rsid w:val="1EFA3C38"/>
    <w:rsid w:val="1EFB6E67"/>
    <w:rsid w:val="1EFC5515"/>
    <w:rsid w:val="1F01285A"/>
    <w:rsid w:val="1F031515"/>
    <w:rsid w:val="1F067607"/>
    <w:rsid w:val="1F0B72E6"/>
    <w:rsid w:val="1F0C3771"/>
    <w:rsid w:val="1F0C56B5"/>
    <w:rsid w:val="1F130897"/>
    <w:rsid w:val="1F1A1BE5"/>
    <w:rsid w:val="1F204682"/>
    <w:rsid w:val="1F264A2D"/>
    <w:rsid w:val="1F3407E0"/>
    <w:rsid w:val="1F366DDB"/>
    <w:rsid w:val="1F443106"/>
    <w:rsid w:val="1F444F2D"/>
    <w:rsid w:val="1F470BF3"/>
    <w:rsid w:val="1F49071C"/>
    <w:rsid w:val="1F563B47"/>
    <w:rsid w:val="1F570005"/>
    <w:rsid w:val="1F60778E"/>
    <w:rsid w:val="1F62037E"/>
    <w:rsid w:val="1F64141A"/>
    <w:rsid w:val="1F69529A"/>
    <w:rsid w:val="1F6C6450"/>
    <w:rsid w:val="1F6C705A"/>
    <w:rsid w:val="1F71321A"/>
    <w:rsid w:val="1F744CA1"/>
    <w:rsid w:val="1F745799"/>
    <w:rsid w:val="1F75198F"/>
    <w:rsid w:val="1F7F6672"/>
    <w:rsid w:val="1F882FF2"/>
    <w:rsid w:val="1F941997"/>
    <w:rsid w:val="1FA64EAA"/>
    <w:rsid w:val="1FB75686"/>
    <w:rsid w:val="1FBA6F24"/>
    <w:rsid w:val="1FD06747"/>
    <w:rsid w:val="1FD2426D"/>
    <w:rsid w:val="1FD754CA"/>
    <w:rsid w:val="1FDE2C12"/>
    <w:rsid w:val="1FE10954"/>
    <w:rsid w:val="1FF77556"/>
    <w:rsid w:val="1FF91559"/>
    <w:rsid w:val="1FFB33E2"/>
    <w:rsid w:val="2003259A"/>
    <w:rsid w:val="200C3C23"/>
    <w:rsid w:val="200F101E"/>
    <w:rsid w:val="201071A3"/>
    <w:rsid w:val="20157DDB"/>
    <w:rsid w:val="20173C78"/>
    <w:rsid w:val="20180D66"/>
    <w:rsid w:val="201A33FC"/>
    <w:rsid w:val="20242EA5"/>
    <w:rsid w:val="20246950"/>
    <w:rsid w:val="202F16C0"/>
    <w:rsid w:val="20335C6D"/>
    <w:rsid w:val="20337402"/>
    <w:rsid w:val="20345DC5"/>
    <w:rsid w:val="203B2E3D"/>
    <w:rsid w:val="203E07CD"/>
    <w:rsid w:val="20447B15"/>
    <w:rsid w:val="2045770D"/>
    <w:rsid w:val="204D1B46"/>
    <w:rsid w:val="2052619B"/>
    <w:rsid w:val="205B18E7"/>
    <w:rsid w:val="20613B25"/>
    <w:rsid w:val="206155F1"/>
    <w:rsid w:val="2065034B"/>
    <w:rsid w:val="206876C4"/>
    <w:rsid w:val="206F2178"/>
    <w:rsid w:val="206F5F60"/>
    <w:rsid w:val="207249CE"/>
    <w:rsid w:val="2075613B"/>
    <w:rsid w:val="20790DF3"/>
    <w:rsid w:val="208345C7"/>
    <w:rsid w:val="208B380B"/>
    <w:rsid w:val="208C266E"/>
    <w:rsid w:val="2091095B"/>
    <w:rsid w:val="209130C4"/>
    <w:rsid w:val="20923866"/>
    <w:rsid w:val="209F5F09"/>
    <w:rsid w:val="20A0760C"/>
    <w:rsid w:val="20A2572D"/>
    <w:rsid w:val="20A756FA"/>
    <w:rsid w:val="20A92AAD"/>
    <w:rsid w:val="20AC72F7"/>
    <w:rsid w:val="20B350E6"/>
    <w:rsid w:val="20B379E1"/>
    <w:rsid w:val="20B56069"/>
    <w:rsid w:val="20B87907"/>
    <w:rsid w:val="20B95A12"/>
    <w:rsid w:val="20B9746F"/>
    <w:rsid w:val="20BC3458"/>
    <w:rsid w:val="20C4005A"/>
    <w:rsid w:val="20C46096"/>
    <w:rsid w:val="20C75D9C"/>
    <w:rsid w:val="20CE3668"/>
    <w:rsid w:val="20D06B4E"/>
    <w:rsid w:val="20D60162"/>
    <w:rsid w:val="20DA5ACF"/>
    <w:rsid w:val="20DB0876"/>
    <w:rsid w:val="20DB61CE"/>
    <w:rsid w:val="20E555F0"/>
    <w:rsid w:val="20F070A1"/>
    <w:rsid w:val="20F546B7"/>
    <w:rsid w:val="20FA6430"/>
    <w:rsid w:val="210C58D9"/>
    <w:rsid w:val="21121B12"/>
    <w:rsid w:val="211F34E2"/>
    <w:rsid w:val="21262AC3"/>
    <w:rsid w:val="212B0325"/>
    <w:rsid w:val="21311468"/>
    <w:rsid w:val="214147B8"/>
    <w:rsid w:val="21440C9E"/>
    <w:rsid w:val="21571CE1"/>
    <w:rsid w:val="21576677"/>
    <w:rsid w:val="215C4736"/>
    <w:rsid w:val="21647B81"/>
    <w:rsid w:val="21665293"/>
    <w:rsid w:val="216842D4"/>
    <w:rsid w:val="216A62BD"/>
    <w:rsid w:val="2172245A"/>
    <w:rsid w:val="21783FFD"/>
    <w:rsid w:val="217E28FF"/>
    <w:rsid w:val="21894E00"/>
    <w:rsid w:val="218C6669"/>
    <w:rsid w:val="219015E6"/>
    <w:rsid w:val="21935C7E"/>
    <w:rsid w:val="219568DA"/>
    <w:rsid w:val="219E3D79"/>
    <w:rsid w:val="21A3266E"/>
    <w:rsid w:val="21A44E00"/>
    <w:rsid w:val="21AA585E"/>
    <w:rsid w:val="21B17238"/>
    <w:rsid w:val="21B1734D"/>
    <w:rsid w:val="21BB6D14"/>
    <w:rsid w:val="21BF7FAF"/>
    <w:rsid w:val="21D02A2F"/>
    <w:rsid w:val="21D33621"/>
    <w:rsid w:val="21D442C0"/>
    <w:rsid w:val="21E47A36"/>
    <w:rsid w:val="21E92610"/>
    <w:rsid w:val="21EA5A33"/>
    <w:rsid w:val="21EB43DB"/>
    <w:rsid w:val="21F93D33"/>
    <w:rsid w:val="220060E6"/>
    <w:rsid w:val="220B1CB9"/>
    <w:rsid w:val="220E4EAD"/>
    <w:rsid w:val="22117BFE"/>
    <w:rsid w:val="22121826"/>
    <w:rsid w:val="22155EFF"/>
    <w:rsid w:val="221A5B54"/>
    <w:rsid w:val="221C56F1"/>
    <w:rsid w:val="221F6EDC"/>
    <w:rsid w:val="221F70D3"/>
    <w:rsid w:val="2221772E"/>
    <w:rsid w:val="22254A78"/>
    <w:rsid w:val="222618CF"/>
    <w:rsid w:val="22280ABD"/>
    <w:rsid w:val="222F26CC"/>
    <w:rsid w:val="22316FC2"/>
    <w:rsid w:val="22493D99"/>
    <w:rsid w:val="224B22A8"/>
    <w:rsid w:val="224F586A"/>
    <w:rsid w:val="22511DC1"/>
    <w:rsid w:val="225278E7"/>
    <w:rsid w:val="226006F6"/>
    <w:rsid w:val="226337D6"/>
    <w:rsid w:val="226440A0"/>
    <w:rsid w:val="22653662"/>
    <w:rsid w:val="22660D81"/>
    <w:rsid w:val="22665C45"/>
    <w:rsid w:val="22684249"/>
    <w:rsid w:val="226C6BFB"/>
    <w:rsid w:val="2271209A"/>
    <w:rsid w:val="227C004B"/>
    <w:rsid w:val="2280022A"/>
    <w:rsid w:val="228026A7"/>
    <w:rsid w:val="22821EED"/>
    <w:rsid w:val="22885B34"/>
    <w:rsid w:val="229654C7"/>
    <w:rsid w:val="2298179E"/>
    <w:rsid w:val="229A7114"/>
    <w:rsid w:val="229C639F"/>
    <w:rsid w:val="229E54C2"/>
    <w:rsid w:val="22A002A0"/>
    <w:rsid w:val="22A00653"/>
    <w:rsid w:val="22AE6704"/>
    <w:rsid w:val="22B43FFD"/>
    <w:rsid w:val="22B81E40"/>
    <w:rsid w:val="22BB639F"/>
    <w:rsid w:val="22BE5C90"/>
    <w:rsid w:val="22C11687"/>
    <w:rsid w:val="22C72B66"/>
    <w:rsid w:val="22CD2A7C"/>
    <w:rsid w:val="22CD5486"/>
    <w:rsid w:val="22D30BD4"/>
    <w:rsid w:val="22D84291"/>
    <w:rsid w:val="22DD18A7"/>
    <w:rsid w:val="22DE117B"/>
    <w:rsid w:val="22E35196"/>
    <w:rsid w:val="22E3639B"/>
    <w:rsid w:val="22E42FC1"/>
    <w:rsid w:val="22E645D5"/>
    <w:rsid w:val="22EE7610"/>
    <w:rsid w:val="22F02220"/>
    <w:rsid w:val="22F377CF"/>
    <w:rsid w:val="22FB1D2D"/>
    <w:rsid w:val="22FC23C6"/>
    <w:rsid w:val="23013B93"/>
    <w:rsid w:val="2303453C"/>
    <w:rsid w:val="230554A1"/>
    <w:rsid w:val="230841CA"/>
    <w:rsid w:val="23151F68"/>
    <w:rsid w:val="23160915"/>
    <w:rsid w:val="231A6657"/>
    <w:rsid w:val="23207452"/>
    <w:rsid w:val="2322116E"/>
    <w:rsid w:val="23223C6C"/>
    <w:rsid w:val="23265576"/>
    <w:rsid w:val="23290EB6"/>
    <w:rsid w:val="232A43C0"/>
    <w:rsid w:val="232B0864"/>
    <w:rsid w:val="232F001E"/>
    <w:rsid w:val="233561B7"/>
    <w:rsid w:val="2338088B"/>
    <w:rsid w:val="233B100B"/>
    <w:rsid w:val="2343431C"/>
    <w:rsid w:val="23452D92"/>
    <w:rsid w:val="23496F3C"/>
    <w:rsid w:val="234D14F4"/>
    <w:rsid w:val="234D709F"/>
    <w:rsid w:val="235356C5"/>
    <w:rsid w:val="23560593"/>
    <w:rsid w:val="23581960"/>
    <w:rsid w:val="23620FC5"/>
    <w:rsid w:val="23621DAC"/>
    <w:rsid w:val="2364528E"/>
    <w:rsid w:val="236A7B8D"/>
    <w:rsid w:val="236C1F35"/>
    <w:rsid w:val="236C5FEB"/>
    <w:rsid w:val="23790D5A"/>
    <w:rsid w:val="23797927"/>
    <w:rsid w:val="237D1C7F"/>
    <w:rsid w:val="237E7DB8"/>
    <w:rsid w:val="237F1ED6"/>
    <w:rsid w:val="238166D6"/>
    <w:rsid w:val="238A0302"/>
    <w:rsid w:val="238B4E5F"/>
    <w:rsid w:val="239161EE"/>
    <w:rsid w:val="239445E5"/>
    <w:rsid w:val="2395665B"/>
    <w:rsid w:val="2396658E"/>
    <w:rsid w:val="23974DD6"/>
    <w:rsid w:val="239A59A6"/>
    <w:rsid w:val="239A7798"/>
    <w:rsid w:val="23A331E1"/>
    <w:rsid w:val="23A41335"/>
    <w:rsid w:val="23A6613D"/>
    <w:rsid w:val="23AE22F3"/>
    <w:rsid w:val="23BB0841"/>
    <w:rsid w:val="23C12F77"/>
    <w:rsid w:val="23D04F22"/>
    <w:rsid w:val="23D700CE"/>
    <w:rsid w:val="23DA2049"/>
    <w:rsid w:val="23DB504A"/>
    <w:rsid w:val="23E245CB"/>
    <w:rsid w:val="23EB6B1F"/>
    <w:rsid w:val="23F12686"/>
    <w:rsid w:val="23F23130"/>
    <w:rsid w:val="23F3787B"/>
    <w:rsid w:val="23F5124F"/>
    <w:rsid w:val="23F74D30"/>
    <w:rsid w:val="23F86267"/>
    <w:rsid w:val="23F9261E"/>
    <w:rsid w:val="24013373"/>
    <w:rsid w:val="24052D8D"/>
    <w:rsid w:val="240A66CC"/>
    <w:rsid w:val="240F3CE2"/>
    <w:rsid w:val="24125580"/>
    <w:rsid w:val="24160839"/>
    <w:rsid w:val="241F7B88"/>
    <w:rsid w:val="24236105"/>
    <w:rsid w:val="242A1EAC"/>
    <w:rsid w:val="242B03F0"/>
    <w:rsid w:val="242B513C"/>
    <w:rsid w:val="243454F7"/>
    <w:rsid w:val="243674C1"/>
    <w:rsid w:val="244022FA"/>
    <w:rsid w:val="24454F64"/>
    <w:rsid w:val="24480FA2"/>
    <w:rsid w:val="2451029E"/>
    <w:rsid w:val="245D4646"/>
    <w:rsid w:val="246062EC"/>
    <w:rsid w:val="2463402E"/>
    <w:rsid w:val="246352E7"/>
    <w:rsid w:val="246851A0"/>
    <w:rsid w:val="246A3530"/>
    <w:rsid w:val="246C571E"/>
    <w:rsid w:val="247C4817"/>
    <w:rsid w:val="248144B4"/>
    <w:rsid w:val="2481772E"/>
    <w:rsid w:val="2484099C"/>
    <w:rsid w:val="248A3446"/>
    <w:rsid w:val="248B795C"/>
    <w:rsid w:val="249800AF"/>
    <w:rsid w:val="249A2145"/>
    <w:rsid w:val="24A73F1B"/>
    <w:rsid w:val="24AF5470"/>
    <w:rsid w:val="24BC213D"/>
    <w:rsid w:val="24C777BE"/>
    <w:rsid w:val="24C9586B"/>
    <w:rsid w:val="24CF521F"/>
    <w:rsid w:val="24CF79D2"/>
    <w:rsid w:val="24D16F6D"/>
    <w:rsid w:val="24D71789"/>
    <w:rsid w:val="24D80578"/>
    <w:rsid w:val="24DF44F3"/>
    <w:rsid w:val="24E2447B"/>
    <w:rsid w:val="24E46F1D"/>
    <w:rsid w:val="24E97062"/>
    <w:rsid w:val="24EA02AB"/>
    <w:rsid w:val="24EF41DA"/>
    <w:rsid w:val="24F36825"/>
    <w:rsid w:val="24F53414"/>
    <w:rsid w:val="24F8572F"/>
    <w:rsid w:val="24FE5B05"/>
    <w:rsid w:val="25034EC9"/>
    <w:rsid w:val="2503684F"/>
    <w:rsid w:val="250E5E4E"/>
    <w:rsid w:val="250F64BB"/>
    <w:rsid w:val="2519649B"/>
    <w:rsid w:val="25255003"/>
    <w:rsid w:val="25292B82"/>
    <w:rsid w:val="252C75A5"/>
    <w:rsid w:val="252E4DD5"/>
    <w:rsid w:val="253337A0"/>
    <w:rsid w:val="253A3606"/>
    <w:rsid w:val="253D4749"/>
    <w:rsid w:val="253F23A5"/>
    <w:rsid w:val="25445D9E"/>
    <w:rsid w:val="256964A6"/>
    <w:rsid w:val="256A1008"/>
    <w:rsid w:val="25706A02"/>
    <w:rsid w:val="25754019"/>
    <w:rsid w:val="25755DC7"/>
    <w:rsid w:val="25784F0B"/>
    <w:rsid w:val="257E49F7"/>
    <w:rsid w:val="257F44D5"/>
    <w:rsid w:val="25826736"/>
    <w:rsid w:val="258431A3"/>
    <w:rsid w:val="258E6E89"/>
    <w:rsid w:val="25974421"/>
    <w:rsid w:val="25995EA7"/>
    <w:rsid w:val="259B281E"/>
    <w:rsid w:val="259C1B9A"/>
    <w:rsid w:val="25BC1C48"/>
    <w:rsid w:val="25BD07C5"/>
    <w:rsid w:val="25BD2F3F"/>
    <w:rsid w:val="25C11095"/>
    <w:rsid w:val="25D16C66"/>
    <w:rsid w:val="25D60786"/>
    <w:rsid w:val="25D81502"/>
    <w:rsid w:val="25D85E19"/>
    <w:rsid w:val="25E42F4C"/>
    <w:rsid w:val="25E73A1D"/>
    <w:rsid w:val="25E75AD1"/>
    <w:rsid w:val="25F0544D"/>
    <w:rsid w:val="25F10744"/>
    <w:rsid w:val="25F202CE"/>
    <w:rsid w:val="25F4180E"/>
    <w:rsid w:val="25F565E7"/>
    <w:rsid w:val="25F8054A"/>
    <w:rsid w:val="2604539D"/>
    <w:rsid w:val="260B672B"/>
    <w:rsid w:val="26123616"/>
    <w:rsid w:val="261453AF"/>
    <w:rsid w:val="261535AD"/>
    <w:rsid w:val="26196614"/>
    <w:rsid w:val="261D0BCB"/>
    <w:rsid w:val="262275D1"/>
    <w:rsid w:val="26233A75"/>
    <w:rsid w:val="262A0B05"/>
    <w:rsid w:val="262F10B6"/>
    <w:rsid w:val="26355556"/>
    <w:rsid w:val="263868B0"/>
    <w:rsid w:val="263B1B4E"/>
    <w:rsid w:val="263C0CF3"/>
    <w:rsid w:val="263D4A6F"/>
    <w:rsid w:val="264170ED"/>
    <w:rsid w:val="26435B6E"/>
    <w:rsid w:val="264E6B6E"/>
    <w:rsid w:val="26630315"/>
    <w:rsid w:val="26655E3B"/>
    <w:rsid w:val="266D6297"/>
    <w:rsid w:val="266F4DBA"/>
    <w:rsid w:val="2671240D"/>
    <w:rsid w:val="26722306"/>
    <w:rsid w:val="26747E2C"/>
    <w:rsid w:val="267918E7"/>
    <w:rsid w:val="267923D7"/>
    <w:rsid w:val="268055BA"/>
    <w:rsid w:val="26815F25"/>
    <w:rsid w:val="26890D03"/>
    <w:rsid w:val="26946631"/>
    <w:rsid w:val="26977C9E"/>
    <w:rsid w:val="269C3827"/>
    <w:rsid w:val="269D0D44"/>
    <w:rsid w:val="26A32093"/>
    <w:rsid w:val="26A528FE"/>
    <w:rsid w:val="26AE5AC3"/>
    <w:rsid w:val="26B21D43"/>
    <w:rsid w:val="26B648E9"/>
    <w:rsid w:val="26B80F84"/>
    <w:rsid w:val="26B9229C"/>
    <w:rsid w:val="26BC4068"/>
    <w:rsid w:val="26C012C4"/>
    <w:rsid w:val="26C435C3"/>
    <w:rsid w:val="26C66878"/>
    <w:rsid w:val="26CA6E57"/>
    <w:rsid w:val="26CB6FCD"/>
    <w:rsid w:val="26CF57CC"/>
    <w:rsid w:val="26D44586"/>
    <w:rsid w:val="26E26EF3"/>
    <w:rsid w:val="26E7211D"/>
    <w:rsid w:val="26EB0D3E"/>
    <w:rsid w:val="27022042"/>
    <w:rsid w:val="270574F1"/>
    <w:rsid w:val="270916B6"/>
    <w:rsid w:val="270D0126"/>
    <w:rsid w:val="27122CC4"/>
    <w:rsid w:val="27135897"/>
    <w:rsid w:val="271E5FEA"/>
    <w:rsid w:val="271F4834"/>
    <w:rsid w:val="27316223"/>
    <w:rsid w:val="27382578"/>
    <w:rsid w:val="273875EC"/>
    <w:rsid w:val="273972E3"/>
    <w:rsid w:val="273B3F50"/>
    <w:rsid w:val="27402404"/>
    <w:rsid w:val="274845CD"/>
    <w:rsid w:val="274F1F56"/>
    <w:rsid w:val="274F7393"/>
    <w:rsid w:val="275000F4"/>
    <w:rsid w:val="275E0B6F"/>
    <w:rsid w:val="276C144B"/>
    <w:rsid w:val="276C29FF"/>
    <w:rsid w:val="27787DF0"/>
    <w:rsid w:val="277D5407"/>
    <w:rsid w:val="278422F1"/>
    <w:rsid w:val="278C0189"/>
    <w:rsid w:val="27922308"/>
    <w:rsid w:val="279407BB"/>
    <w:rsid w:val="279A668B"/>
    <w:rsid w:val="279A7F14"/>
    <w:rsid w:val="27AC2787"/>
    <w:rsid w:val="27B13177"/>
    <w:rsid w:val="27B16315"/>
    <w:rsid w:val="27BB17AB"/>
    <w:rsid w:val="27C724D1"/>
    <w:rsid w:val="27C76682"/>
    <w:rsid w:val="27D25B05"/>
    <w:rsid w:val="27D41F54"/>
    <w:rsid w:val="27D43A86"/>
    <w:rsid w:val="27D43BB9"/>
    <w:rsid w:val="27DC212D"/>
    <w:rsid w:val="27E6002D"/>
    <w:rsid w:val="27E728EA"/>
    <w:rsid w:val="27EE6ABF"/>
    <w:rsid w:val="27F9199C"/>
    <w:rsid w:val="28022EB3"/>
    <w:rsid w:val="280B67EF"/>
    <w:rsid w:val="281B53B1"/>
    <w:rsid w:val="281F67DD"/>
    <w:rsid w:val="28221B0A"/>
    <w:rsid w:val="2836008F"/>
    <w:rsid w:val="283732BE"/>
    <w:rsid w:val="283B63ED"/>
    <w:rsid w:val="284101E2"/>
    <w:rsid w:val="28420162"/>
    <w:rsid w:val="284616E0"/>
    <w:rsid w:val="284E164D"/>
    <w:rsid w:val="28506677"/>
    <w:rsid w:val="2852568E"/>
    <w:rsid w:val="285F4B0C"/>
    <w:rsid w:val="287038CD"/>
    <w:rsid w:val="28724264"/>
    <w:rsid w:val="2879582C"/>
    <w:rsid w:val="287979C1"/>
    <w:rsid w:val="288173EB"/>
    <w:rsid w:val="2883247D"/>
    <w:rsid w:val="28855A7D"/>
    <w:rsid w:val="288B549B"/>
    <w:rsid w:val="288B76AF"/>
    <w:rsid w:val="288E06C4"/>
    <w:rsid w:val="28924F86"/>
    <w:rsid w:val="28951DB4"/>
    <w:rsid w:val="28A344B6"/>
    <w:rsid w:val="28A77D66"/>
    <w:rsid w:val="28AF463F"/>
    <w:rsid w:val="28B32B44"/>
    <w:rsid w:val="28B409B4"/>
    <w:rsid w:val="28C53BF9"/>
    <w:rsid w:val="28C826B1"/>
    <w:rsid w:val="28D26968"/>
    <w:rsid w:val="28D56B7C"/>
    <w:rsid w:val="28D67A85"/>
    <w:rsid w:val="28E576C1"/>
    <w:rsid w:val="28E57E54"/>
    <w:rsid w:val="28E82D54"/>
    <w:rsid w:val="28EE6DC5"/>
    <w:rsid w:val="28FF4167"/>
    <w:rsid w:val="29011A11"/>
    <w:rsid w:val="29053906"/>
    <w:rsid w:val="290A0F1C"/>
    <w:rsid w:val="290D0488"/>
    <w:rsid w:val="29111FBA"/>
    <w:rsid w:val="29147E0C"/>
    <w:rsid w:val="29155C17"/>
    <w:rsid w:val="291678C1"/>
    <w:rsid w:val="29253660"/>
    <w:rsid w:val="29303A19"/>
    <w:rsid w:val="29383ED6"/>
    <w:rsid w:val="293B2E83"/>
    <w:rsid w:val="293C4DCD"/>
    <w:rsid w:val="29400C7B"/>
    <w:rsid w:val="2940493E"/>
    <w:rsid w:val="29455AB0"/>
    <w:rsid w:val="29495532"/>
    <w:rsid w:val="29571884"/>
    <w:rsid w:val="29581C87"/>
    <w:rsid w:val="295F03B1"/>
    <w:rsid w:val="296323DA"/>
    <w:rsid w:val="29637D57"/>
    <w:rsid w:val="29647303"/>
    <w:rsid w:val="296C132E"/>
    <w:rsid w:val="29717D14"/>
    <w:rsid w:val="297665B1"/>
    <w:rsid w:val="29796309"/>
    <w:rsid w:val="297D7FC7"/>
    <w:rsid w:val="29892C42"/>
    <w:rsid w:val="298A3E0B"/>
    <w:rsid w:val="29986658"/>
    <w:rsid w:val="299B1B74"/>
    <w:rsid w:val="299C06DD"/>
    <w:rsid w:val="29A24CB1"/>
    <w:rsid w:val="29AC5B2F"/>
    <w:rsid w:val="29B57536"/>
    <w:rsid w:val="29B669AE"/>
    <w:rsid w:val="29CD0E8D"/>
    <w:rsid w:val="29CF088F"/>
    <w:rsid w:val="29CF5F7B"/>
    <w:rsid w:val="29D07B2C"/>
    <w:rsid w:val="29DF7CB3"/>
    <w:rsid w:val="29E91347"/>
    <w:rsid w:val="29EB624B"/>
    <w:rsid w:val="29EE0EC5"/>
    <w:rsid w:val="2A017669"/>
    <w:rsid w:val="2A073D29"/>
    <w:rsid w:val="2A131163"/>
    <w:rsid w:val="2A1862D1"/>
    <w:rsid w:val="2A1B4A63"/>
    <w:rsid w:val="2A1C7A90"/>
    <w:rsid w:val="2A1F5A20"/>
    <w:rsid w:val="2A233028"/>
    <w:rsid w:val="2A257690"/>
    <w:rsid w:val="2A292902"/>
    <w:rsid w:val="2A2F67F8"/>
    <w:rsid w:val="2A314286"/>
    <w:rsid w:val="2A394081"/>
    <w:rsid w:val="2A3D56F9"/>
    <w:rsid w:val="2A41271B"/>
    <w:rsid w:val="2A4346E5"/>
    <w:rsid w:val="2A467D32"/>
    <w:rsid w:val="2A472991"/>
    <w:rsid w:val="2A4C3F78"/>
    <w:rsid w:val="2A4D10C0"/>
    <w:rsid w:val="2A575112"/>
    <w:rsid w:val="2A581813"/>
    <w:rsid w:val="2A5C441A"/>
    <w:rsid w:val="2A5F2BA2"/>
    <w:rsid w:val="2A61691A"/>
    <w:rsid w:val="2A64709E"/>
    <w:rsid w:val="2A6530A6"/>
    <w:rsid w:val="2A68012A"/>
    <w:rsid w:val="2A701B55"/>
    <w:rsid w:val="2A703001"/>
    <w:rsid w:val="2A714723"/>
    <w:rsid w:val="2A7538D0"/>
    <w:rsid w:val="2A755B5E"/>
    <w:rsid w:val="2A7C3468"/>
    <w:rsid w:val="2A89181D"/>
    <w:rsid w:val="2A9233CE"/>
    <w:rsid w:val="2A942242"/>
    <w:rsid w:val="2A987BF0"/>
    <w:rsid w:val="2A9E191C"/>
    <w:rsid w:val="2AA352BD"/>
    <w:rsid w:val="2AAB5DE7"/>
    <w:rsid w:val="2AB05631"/>
    <w:rsid w:val="2AB42DD7"/>
    <w:rsid w:val="2AB7478C"/>
    <w:rsid w:val="2ABC7692"/>
    <w:rsid w:val="2ABE5B1A"/>
    <w:rsid w:val="2ABF25ED"/>
    <w:rsid w:val="2AC07B49"/>
    <w:rsid w:val="2AC65D97"/>
    <w:rsid w:val="2AC84BEB"/>
    <w:rsid w:val="2AC92B3B"/>
    <w:rsid w:val="2AD12683"/>
    <w:rsid w:val="2AD76BDC"/>
    <w:rsid w:val="2ADA20FA"/>
    <w:rsid w:val="2ADB2899"/>
    <w:rsid w:val="2ADE6B55"/>
    <w:rsid w:val="2AEA75FB"/>
    <w:rsid w:val="2AF53506"/>
    <w:rsid w:val="2AF8766C"/>
    <w:rsid w:val="2AFE060C"/>
    <w:rsid w:val="2B01009F"/>
    <w:rsid w:val="2B100B7A"/>
    <w:rsid w:val="2B10227B"/>
    <w:rsid w:val="2B1200BA"/>
    <w:rsid w:val="2B125E66"/>
    <w:rsid w:val="2B14220F"/>
    <w:rsid w:val="2B146847"/>
    <w:rsid w:val="2B1C6CE5"/>
    <w:rsid w:val="2B2068F9"/>
    <w:rsid w:val="2B234665"/>
    <w:rsid w:val="2B281C84"/>
    <w:rsid w:val="2B2A0255"/>
    <w:rsid w:val="2B2A3917"/>
    <w:rsid w:val="2B2A70F4"/>
    <w:rsid w:val="2B2E4EA6"/>
    <w:rsid w:val="2B2F6A18"/>
    <w:rsid w:val="2B30453E"/>
    <w:rsid w:val="2B31412B"/>
    <w:rsid w:val="2B3B716B"/>
    <w:rsid w:val="2B3F4E05"/>
    <w:rsid w:val="2B41648E"/>
    <w:rsid w:val="2B41674B"/>
    <w:rsid w:val="2B4353FD"/>
    <w:rsid w:val="2B4542AD"/>
    <w:rsid w:val="2B470C7F"/>
    <w:rsid w:val="2B481888"/>
    <w:rsid w:val="2B4A1AA4"/>
    <w:rsid w:val="2B4A3852"/>
    <w:rsid w:val="2B5621EE"/>
    <w:rsid w:val="2B664F63"/>
    <w:rsid w:val="2B6A5CA2"/>
    <w:rsid w:val="2B713152"/>
    <w:rsid w:val="2B715282"/>
    <w:rsid w:val="2B784E2F"/>
    <w:rsid w:val="2B7F799F"/>
    <w:rsid w:val="2B8925FB"/>
    <w:rsid w:val="2B8B23B1"/>
    <w:rsid w:val="2BA01329"/>
    <w:rsid w:val="2BA67150"/>
    <w:rsid w:val="2BAE3DE1"/>
    <w:rsid w:val="2BB22D4F"/>
    <w:rsid w:val="2BB54D24"/>
    <w:rsid w:val="2BB6737C"/>
    <w:rsid w:val="2BBD04C8"/>
    <w:rsid w:val="2BC55BDC"/>
    <w:rsid w:val="2BC83B7A"/>
    <w:rsid w:val="2BCD07E6"/>
    <w:rsid w:val="2BD02972"/>
    <w:rsid w:val="2BD77849"/>
    <w:rsid w:val="2BD870AF"/>
    <w:rsid w:val="2BE076DD"/>
    <w:rsid w:val="2BE95450"/>
    <w:rsid w:val="2BEB0855"/>
    <w:rsid w:val="2BEF61A7"/>
    <w:rsid w:val="2BF02408"/>
    <w:rsid w:val="2BF107DF"/>
    <w:rsid w:val="2BF16504"/>
    <w:rsid w:val="2BF176BE"/>
    <w:rsid w:val="2BF30862"/>
    <w:rsid w:val="2BF96603"/>
    <w:rsid w:val="2C0440A1"/>
    <w:rsid w:val="2C092A31"/>
    <w:rsid w:val="2C0E0D23"/>
    <w:rsid w:val="2C14691D"/>
    <w:rsid w:val="2C1A6AAD"/>
    <w:rsid w:val="2C1D30B4"/>
    <w:rsid w:val="2C1E7672"/>
    <w:rsid w:val="2C2643AF"/>
    <w:rsid w:val="2C266C4F"/>
    <w:rsid w:val="2C277295"/>
    <w:rsid w:val="2C2A60AA"/>
    <w:rsid w:val="2C2C2F57"/>
    <w:rsid w:val="2C2F4A08"/>
    <w:rsid w:val="2C337640"/>
    <w:rsid w:val="2C491093"/>
    <w:rsid w:val="2C4B7CCD"/>
    <w:rsid w:val="2C4F5B54"/>
    <w:rsid w:val="2C506C46"/>
    <w:rsid w:val="2C5801F0"/>
    <w:rsid w:val="2C581F9E"/>
    <w:rsid w:val="2C5D5D51"/>
    <w:rsid w:val="2C6F6165"/>
    <w:rsid w:val="2C860FAA"/>
    <w:rsid w:val="2C8903AA"/>
    <w:rsid w:val="2C8B0EFE"/>
    <w:rsid w:val="2C9A206F"/>
    <w:rsid w:val="2CA0486E"/>
    <w:rsid w:val="2CA43435"/>
    <w:rsid w:val="2CA46A1D"/>
    <w:rsid w:val="2CAD3C2C"/>
    <w:rsid w:val="2CBC077F"/>
    <w:rsid w:val="2CC325B8"/>
    <w:rsid w:val="2CC76232"/>
    <w:rsid w:val="2CCB2911"/>
    <w:rsid w:val="2CCD53D6"/>
    <w:rsid w:val="2CD820FE"/>
    <w:rsid w:val="2CD929F9"/>
    <w:rsid w:val="2CE46F77"/>
    <w:rsid w:val="2CE7482D"/>
    <w:rsid w:val="2CEA709A"/>
    <w:rsid w:val="2CF271A5"/>
    <w:rsid w:val="2CF5337D"/>
    <w:rsid w:val="2CFE48F4"/>
    <w:rsid w:val="2CFF6A31"/>
    <w:rsid w:val="2D0E6EFB"/>
    <w:rsid w:val="2D1068D6"/>
    <w:rsid w:val="2D117311"/>
    <w:rsid w:val="2D1E0A79"/>
    <w:rsid w:val="2D2514BE"/>
    <w:rsid w:val="2D2873DA"/>
    <w:rsid w:val="2D2D72E1"/>
    <w:rsid w:val="2D2E70D2"/>
    <w:rsid w:val="2D3133A6"/>
    <w:rsid w:val="2D364FBB"/>
    <w:rsid w:val="2D3927D7"/>
    <w:rsid w:val="2D395076"/>
    <w:rsid w:val="2D3D778B"/>
    <w:rsid w:val="2D3E6111"/>
    <w:rsid w:val="2D426A09"/>
    <w:rsid w:val="2D4D7629"/>
    <w:rsid w:val="2D501D8D"/>
    <w:rsid w:val="2D5233DA"/>
    <w:rsid w:val="2D606A7F"/>
    <w:rsid w:val="2D69305E"/>
    <w:rsid w:val="2D6A2228"/>
    <w:rsid w:val="2D6C5D01"/>
    <w:rsid w:val="2D762891"/>
    <w:rsid w:val="2D7A1A9E"/>
    <w:rsid w:val="2D7B2EBD"/>
    <w:rsid w:val="2D81074F"/>
    <w:rsid w:val="2D8400D7"/>
    <w:rsid w:val="2D851D9A"/>
    <w:rsid w:val="2D8C557A"/>
    <w:rsid w:val="2D8D7A26"/>
    <w:rsid w:val="2D960FD0"/>
    <w:rsid w:val="2D965BB7"/>
    <w:rsid w:val="2D9B7011"/>
    <w:rsid w:val="2D9D235F"/>
    <w:rsid w:val="2D9E3D73"/>
    <w:rsid w:val="2DA04A84"/>
    <w:rsid w:val="2DB16F20"/>
    <w:rsid w:val="2DB504EE"/>
    <w:rsid w:val="2DB674E1"/>
    <w:rsid w:val="2DBB27E5"/>
    <w:rsid w:val="2DC65C5D"/>
    <w:rsid w:val="2DDA215C"/>
    <w:rsid w:val="2DE07348"/>
    <w:rsid w:val="2DE62982"/>
    <w:rsid w:val="2DE643E9"/>
    <w:rsid w:val="2DEF06E0"/>
    <w:rsid w:val="2DF32344"/>
    <w:rsid w:val="2DF4654A"/>
    <w:rsid w:val="2DF47F4D"/>
    <w:rsid w:val="2DFC1570"/>
    <w:rsid w:val="2DFD6F0F"/>
    <w:rsid w:val="2E021854"/>
    <w:rsid w:val="2E057F04"/>
    <w:rsid w:val="2E0D592A"/>
    <w:rsid w:val="2E132621"/>
    <w:rsid w:val="2E151E3F"/>
    <w:rsid w:val="2E161F59"/>
    <w:rsid w:val="2E1B4E62"/>
    <w:rsid w:val="2E1B7727"/>
    <w:rsid w:val="2E254102"/>
    <w:rsid w:val="2E293ABE"/>
    <w:rsid w:val="2E2B796A"/>
    <w:rsid w:val="2E2B7DC3"/>
    <w:rsid w:val="2E2C476D"/>
    <w:rsid w:val="2E307A51"/>
    <w:rsid w:val="2E3305CD"/>
    <w:rsid w:val="2E3B7D7C"/>
    <w:rsid w:val="2E402CEA"/>
    <w:rsid w:val="2E461A7F"/>
    <w:rsid w:val="2E481E52"/>
    <w:rsid w:val="2E4E445D"/>
    <w:rsid w:val="2E514EF7"/>
    <w:rsid w:val="2E552C39"/>
    <w:rsid w:val="2E56497E"/>
    <w:rsid w:val="2E5A23A2"/>
    <w:rsid w:val="2E5A2C24"/>
    <w:rsid w:val="2E642E7C"/>
    <w:rsid w:val="2E725599"/>
    <w:rsid w:val="2E836346"/>
    <w:rsid w:val="2E856E72"/>
    <w:rsid w:val="2E876DD2"/>
    <w:rsid w:val="2E8D20CC"/>
    <w:rsid w:val="2E8F0C1E"/>
    <w:rsid w:val="2E9142C3"/>
    <w:rsid w:val="2E9848D4"/>
    <w:rsid w:val="2EA21BDF"/>
    <w:rsid w:val="2EB40279"/>
    <w:rsid w:val="2EB931C8"/>
    <w:rsid w:val="2EBD7F64"/>
    <w:rsid w:val="2ED37A54"/>
    <w:rsid w:val="2ED57C77"/>
    <w:rsid w:val="2EDC2A13"/>
    <w:rsid w:val="2EDD7505"/>
    <w:rsid w:val="2EDE0726"/>
    <w:rsid w:val="2EE53A9F"/>
    <w:rsid w:val="2EE937FA"/>
    <w:rsid w:val="2EE95130"/>
    <w:rsid w:val="2EEA15D4"/>
    <w:rsid w:val="2EF064BE"/>
    <w:rsid w:val="2EF273D6"/>
    <w:rsid w:val="2EF950C1"/>
    <w:rsid w:val="2F065CE2"/>
    <w:rsid w:val="2F06678E"/>
    <w:rsid w:val="2F0B071C"/>
    <w:rsid w:val="2F192F50"/>
    <w:rsid w:val="2F1B1C13"/>
    <w:rsid w:val="2F1C72B3"/>
    <w:rsid w:val="2F25485A"/>
    <w:rsid w:val="2F287054"/>
    <w:rsid w:val="2F2D14C0"/>
    <w:rsid w:val="2F3565C7"/>
    <w:rsid w:val="2F3B1E2F"/>
    <w:rsid w:val="2F3E191F"/>
    <w:rsid w:val="2F4A0F22"/>
    <w:rsid w:val="2F4C5E70"/>
    <w:rsid w:val="2F526CA4"/>
    <w:rsid w:val="2F55438A"/>
    <w:rsid w:val="2F656EAC"/>
    <w:rsid w:val="2F754C15"/>
    <w:rsid w:val="2F7B10A8"/>
    <w:rsid w:val="2F802287"/>
    <w:rsid w:val="2F831840"/>
    <w:rsid w:val="2F844F3D"/>
    <w:rsid w:val="2F994DA8"/>
    <w:rsid w:val="2FA254F9"/>
    <w:rsid w:val="2FA41046"/>
    <w:rsid w:val="2FA55278"/>
    <w:rsid w:val="2FA554FB"/>
    <w:rsid w:val="2FA86D99"/>
    <w:rsid w:val="2FB219C5"/>
    <w:rsid w:val="2FB26301"/>
    <w:rsid w:val="2FBA2DF3"/>
    <w:rsid w:val="2FBE00EF"/>
    <w:rsid w:val="2FBF0D63"/>
    <w:rsid w:val="2FC42A76"/>
    <w:rsid w:val="2FD74D6F"/>
    <w:rsid w:val="2FDF6A9F"/>
    <w:rsid w:val="2FE074EB"/>
    <w:rsid w:val="2FE37ADC"/>
    <w:rsid w:val="2FE60B2B"/>
    <w:rsid w:val="2FE7396B"/>
    <w:rsid w:val="2FEC21C6"/>
    <w:rsid w:val="2FF26DAD"/>
    <w:rsid w:val="2FF33A5F"/>
    <w:rsid w:val="2FF548BF"/>
    <w:rsid w:val="2FFA2E09"/>
    <w:rsid w:val="2FFD2195"/>
    <w:rsid w:val="30030473"/>
    <w:rsid w:val="30073A09"/>
    <w:rsid w:val="30087541"/>
    <w:rsid w:val="30087994"/>
    <w:rsid w:val="300C09A4"/>
    <w:rsid w:val="300D7D4A"/>
    <w:rsid w:val="301124FE"/>
    <w:rsid w:val="301362BF"/>
    <w:rsid w:val="30196CC1"/>
    <w:rsid w:val="301E2267"/>
    <w:rsid w:val="303F4207"/>
    <w:rsid w:val="3041030B"/>
    <w:rsid w:val="30477C59"/>
    <w:rsid w:val="304A6497"/>
    <w:rsid w:val="304D15B2"/>
    <w:rsid w:val="304E10FA"/>
    <w:rsid w:val="30555B90"/>
    <w:rsid w:val="30560ED4"/>
    <w:rsid w:val="30560FD6"/>
    <w:rsid w:val="30566F5E"/>
    <w:rsid w:val="305C4D3A"/>
    <w:rsid w:val="306C4F60"/>
    <w:rsid w:val="307331E6"/>
    <w:rsid w:val="30747320"/>
    <w:rsid w:val="307A0252"/>
    <w:rsid w:val="307A4A48"/>
    <w:rsid w:val="307D423C"/>
    <w:rsid w:val="30801AC4"/>
    <w:rsid w:val="308472F3"/>
    <w:rsid w:val="3085774C"/>
    <w:rsid w:val="30896D00"/>
    <w:rsid w:val="308F3262"/>
    <w:rsid w:val="30907A25"/>
    <w:rsid w:val="30967C0A"/>
    <w:rsid w:val="30A12213"/>
    <w:rsid w:val="30B26421"/>
    <w:rsid w:val="30B71C9C"/>
    <w:rsid w:val="30BB2AFC"/>
    <w:rsid w:val="30BB45F6"/>
    <w:rsid w:val="30C20F8E"/>
    <w:rsid w:val="30C51C65"/>
    <w:rsid w:val="30CA5B74"/>
    <w:rsid w:val="30CC2310"/>
    <w:rsid w:val="30CF739B"/>
    <w:rsid w:val="30D27F68"/>
    <w:rsid w:val="30D75B88"/>
    <w:rsid w:val="30DB2A7E"/>
    <w:rsid w:val="30E402A4"/>
    <w:rsid w:val="30EA37B4"/>
    <w:rsid w:val="30EB33E1"/>
    <w:rsid w:val="30FF7CF9"/>
    <w:rsid w:val="310224D9"/>
    <w:rsid w:val="3105052E"/>
    <w:rsid w:val="31083D14"/>
    <w:rsid w:val="310B1688"/>
    <w:rsid w:val="311022F8"/>
    <w:rsid w:val="3115483F"/>
    <w:rsid w:val="311A0C0B"/>
    <w:rsid w:val="311C09E2"/>
    <w:rsid w:val="311E335C"/>
    <w:rsid w:val="311F548E"/>
    <w:rsid w:val="31263949"/>
    <w:rsid w:val="312E5CA5"/>
    <w:rsid w:val="313269FE"/>
    <w:rsid w:val="313F2A48"/>
    <w:rsid w:val="3143651B"/>
    <w:rsid w:val="31442AF1"/>
    <w:rsid w:val="314A3338"/>
    <w:rsid w:val="314D5E4A"/>
    <w:rsid w:val="31601136"/>
    <w:rsid w:val="31604AE0"/>
    <w:rsid w:val="316358C8"/>
    <w:rsid w:val="316407DE"/>
    <w:rsid w:val="31672B0C"/>
    <w:rsid w:val="31727387"/>
    <w:rsid w:val="3173071A"/>
    <w:rsid w:val="3189561E"/>
    <w:rsid w:val="318F7BBF"/>
    <w:rsid w:val="3193654E"/>
    <w:rsid w:val="319578A7"/>
    <w:rsid w:val="319737F6"/>
    <w:rsid w:val="319A4022"/>
    <w:rsid w:val="31A20E23"/>
    <w:rsid w:val="31A35A6A"/>
    <w:rsid w:val="31A67308"/>
    <w:rsid w:val="31A71FE7"/>
    <w:rsid w:val="31AC6F2B"/>
    <w:rsid w:val="31B0610C"/>
    <w:rsid w:val="31B41A25"/>
    <w:rsid w:val="31B81679"/>
    <w:rsid w:val="31B867DA"/>
    <w:rsid w:val="31BA7B5B"/>
    <w:rsid w:val="31BB7C0A"/>
    <w:rsid w:val="31BC1E2C"/>
    <w:rsid w:val="31BF1C2F"/>
    <w:rsid w:val="31C12394"/>
    <w:rsid w:val="31C257A3"/>
    <w:rsid w:val="31C97D2B"/>
    <w:rsid w:val="31D31F9C"/>
    <w:rsid w:val="31D45D2E"/>
    <w:rsid w:val="31D54EF7"/>
    <w:rsid w:val="31D90B18"/>
    <w:rsid w:val="31DB4E51"/>
    <w:rsid w:val="31E61BB4"/>
    <w:rsid w:val="31E75151"/>
    <w:rsid w:val="31F462C5"/>
    <w:rsid w:val="31F6028F"/>
    <w:rsid w:val="31F6203D"/>
    <w:rsid w:val="31FE41DB"/>
    <w:rsid w:val="31FE5396"/>
    <w:rsid w:val="31FE7C49"/>
    <w:rsid w:val="320504D2"/>
    <w:rsid w:val="32056724"/>
    <w:rsid w:val="320C5C58"/>
    <w:rsid w:val="32100EDB"/>
    <w:rsid w:val="3217617A"/>
    <w:rsid w:val="321A7C4C"/>
    <w:rsid w:val="321B5F48"/>
    <w:rsid w:val="321F32DC"/>
    <w:rsid w:val="32211855"/>
    <w:rsid w:val="32230959"/>
    <w:rsid w:val="32231817"/>
    <w:rsid w:val="3239017C"/>
    <w:rsid w:val="323D2A7A"/>
    <w:rsid w:val="324463DD"/>
    <w:rsid w:val="325568AA"/>
    <w:rsid w:val="32582CF8"/>
    <w:rsid w:val="325F16C7"/>
    <w:rsid w:val="3277271E"/>
    <w:rsid w:val="3277369F"/>
    <w:rsid w:val="327A3C22"/>
    <w:rsid w:val="327C4FD4"/>
    <w:rsid w:val="327D275F"/>
    <w:rsid w:val="327D699A"/>
    <w:rsid w:val="327E43F2"/>
    <w:rsid w:val="328733C1"/>
    <w:rsid w:val="328B4E7C"/>
    <w:rsid w:val="328D66C2"/>
    <w:rsid w:val="328E2276"/>
    <w:rsid w:val="32951856"/>
    <w:rsid w:val="3296312C"/>
    <w:rsid w:val="3296737C"/>
    <w:rsid w:val="32A2630E"/>
    <w:rsid w:val="32A4694B"/>
    <w:rsid w:val="32A61CB5"/>
    <w:rsid w:val="32AF7620"/>
    <w:rsid w:val="32B06E1C"/>
    <w:rsid w:val="32B5223D"/>
    <w:rsid w:val="32BC694A"/>
    <w:rsid w:val="32C16F34"/>
    <w:rsid w:val="32C53DFD"/>
    <w:rsid w:val="32C849EE"/>
    <w:rsid w:val="32C91500"/>
    <w:rsid w:val="32CA03CC"/>
    <w:rsid w:val="32CE4225"/>
    <w:rsid w:val="32D25EDA"/>
    <w:rsid w:val="32D745CC"/>
    <w:rsid w:val="32D91CD1"/>
    <w:rsid w:val="32E26A66"/>
    <w:rsid w:val="32E50160"/>
    <w:rsid w:val="32EB26A2"/>
    <w:rsid w:val="32F47C21"/>
    <w:rsid w:val="32FA249B"/>
    <w:rsid w:val="32FB2C8F"/>
    <w:rsid w:val="33030975"/>
    <w:rsid w:val="330B644E"/>
    <w:rsid w:val="331166AE"/>
    <w:rsid w:val="33125DBA"/>
    <w:rsid w:val="331C5AD4"/>
    <w:rsid w:val="332D4F22"/>
    <w:rsid w:val="3335369A"/>
    <w:rsid w:val="33370AD2"/>
    <w:rsid w:val="33383C8F"/>
    <w:rsid w:val="333C277D"/>
    <w:rsid w:val="333F0E47"/>
    <w:rsid w:val="334175BB"/>
    <w:rsid w:val="33447C07"/>
    <w:rsid w:val="335137B3"/>
    <w:rsid w:val="335214F5"/>
    <w:rsid w:val="33523E52"/>
    <w:rsid w:val="33525999"/>
    <w:rsid w:val="33576B0C"/>
    <w:rsid w:val="335C6818"/>
    <w:rsid w:val="335C79B2"/>
    <w:rsid w:val="33660FEB"/>
    <w:rsid w:val="336F02F9"/>
    <w:rsid w:val="33752745"/>
    <w:rsid w:val="33775400"/>
    <w:rsid w:val="33783E67"/>
    <w:rsid w:val="3381002D"/>
    <w:rsid w:val="33817268"/>
    <w:rsid w:val="338437F6"/>
    <w:rsid w:val="33845BB1"/>
    <w:rsid w:val="33891E3E"/>
    <w:rsid w:val="338A688B"/>
    <w:rsid w:val="3392223A"/>
    <w:rsid w:val="33925D96"/>
    <w:rsid w:val="339A2E9C"/>
    <w:rsid w:val="339C774A"/>
    <w:rsid w:val="33A67A93"/>
    <w:rsid w:val="33AC29F8"/>
    <w:rsid w:val="33B32EF5"/>
    <w:rsid w:val="33B73531"/>
    <w:rsid w:val="33B757FC"/>
    <w:rsid w:val="33BB4608"/>
    <w:rsid w:val="33BF1F70"/>
    <w:rsid w:val="33CA60B1"/>
    <w:rsid w:val="33CE32A4"/>
    <w:rsid w:val="33E01235"/>
    <w:rsid w:val="33E35653"/>
    <w:rsid w:val="33E41DC1"/>
    <w:rsid w:val="33F120DC"/>
    <w:rsid w:val="33FD3130"/>
    <w:rsid w:val="33FD3B57"/>
    <w:rsid w:val="33FF08E9"/>
    <w:rsid w:val="34015674"/>
    <w:rsid w:val="34081549"/>
    <w:rsid w:val="340824FC"/>
    <w:rsid w:val="34120C85"/>
    <w:rsid w:val="341A2801"/>
    <w:rsid w:val="342403C0"/>
    <w:rsid w:val="342A06C4"/>
    <w:rsid w:val="34383FA7"/>
    <w:rsid w:val="343B6477"/>
    <w:rsid w:val="343F0DEA"/>
    <w:rsid w:val="34406C87"/>
    <w:rsid w:val="344336C6"/>
    <w:rsid w:val="34452887"/>
    <w:rsid w:val="344A48C2"/>
    <w:rsid w:val="34563267"/>
    <w:rsid w:val="345D2848"/>
    <w:rsid w:val="345E559A"/>
    <w:rsid w:val="346534AA"/>
    <w:rsid w:val="346644D8"/>
    <w:rsid w:val="34684D49"/>
    <w:rsid w:val="346A0AC1"/>
    <w:rsid w:val="346E4E8F"/>
    <w:rsid w:val="347100A1"/>
    <w:rsid w:val="34733E19"/>
    <w:rsid w:val="34811386"/>
    <w:rsid w:val="34824BD2"/>
    <w:rsid w:val="34833930"/>
    <w:rsid w:val="34846FB6"/>
    <w:rsid w:val="348C0A37"/>
    <w:rsid w:val="348F0527"/>
    <w:rsid w:val="3492236C"/>
    <w:rsid w:val="349A75F8"/>
    <w:rsid w:val="34A70F86"/>
    <w:rsid w:val="34A7237F"/>
    <w:rsid w:val="34B65F84"/>
    <w:rsid w:val="34B87A7E"/>
    <w:rsid w:val="34C24459"/>
    <w:rsid w:val="34C3707B"/>
    <w:rsid w:val="34CB3356"/>
    <w:rsid w:val="34CE72A2"/>
    <w:rsid w:val="34D67E92"/>
    <w:rsid w:val="34D8334B"/>
    <w:rsid w:val="34D84DA0"/>
    <w:rsid w:val="34E86F5F"/>
    <w:rsid w:val="34EB3E1C"/>
    <w:rsid w:val="34F07218"/>
    <w:rsid w:val="34F82570"/>
    <w:rsid w:val="34F8476F"/>
    <w:rsid w:val="35075781"/>
    <w:rsid w:val="35093D63"/>
    <w:rsid w:val="350D601C"/>
    <w:rsid w:val="35123632"/>
    <w:rsid w:val="351C1C63"/>
    <w:rsid w:val="351D5249"/>
    <w:rsid w:val="35284AFC"/>
    <w:rsid w:val="3529051C"/>
    <w:rsid w:val="352B46F4"/>
    <w:rsid w:val="35304680"/>
    <w:rsid w:val="35370A08"/>
    <w:rsid w:val="353D7F83"/>
    <w:rsid w:val="35404F5A"/>
    <w:rsid w:val="35414BC8"/>
    <w:rsid w:val="35465138"/>
    <w:rsid w:val="35483250"/>
    <w:rsid w:val="355157DD"/>
    <w:rsid w:val="3551651F"/>
    <w:rsid w:val="355359F9"/>
    <w:rsid w:val="355377A7"/>
    <w:rsid w:val="355552CD"/>
    <w:rsid w:val="35575782"/>
    <w:rsid w:val="355D31CB"/>
    <w:rsid w:val="35641C4D"/>
    <w:rsid w:val="35672BC1"/>
    <w:rsid w:val="356B5E37"/>
    <w:rsid w:val="356D1C71"/>
    <w:rsid w:val="35726A4B"/>
    <w:rsid w:val="35845BB2"/>
    <w:rsid w:val="35892CB9"/>
    <w:rsid w:val="358A08A4"/>
    <w:rsid w:val="358A1B36"/>
    <w:rsid w:val="35924A39"/>
    <w:rsid w:val="359279C8"/>
    <w:rsid w:val="359A7E3B"/>
    <w:rsid w:val="359D0A22"/>
    <w:rsid w:val="359D6079"/>
    <w:rsid w:val="359E6C74"/>
    <w:rsid w:val="35A11196"/>
    <w:rsid w:val="35B6520A"/>
    <w:rsid w:val="35B653DB"/>
    <w:rsid w:val="35B67A20"/>
    <w:rsid w:val="35B753AC"/>
    <w:rsid w:val="35B815BB"/>
    <w:rsid w:val="35BB0E36"/>
    <w:rsid w:val="35BF47A8"/>
    <w:rsid w:val="35CB3272"/>
    <w:rsid w:val="35D63513"/>
    <w:rsid w:val="35DE3514"/>
    <w:rsid w:val="35E14DB3"/>
    <w:rsid w:val="35E24015"/>
    <w:rsid w:val="35E92AEB"/>
    <w:rsid w:val="35F70D5C"/>
    <w:rsid w:val="35F76384"/>
    <w:rsid w:val="35FA37AB"/>
    <w:rsid w:val="35FB40C6"/>
    <w:rsid w:val="35FD0786"/>
    <w:rsid w:val="35FE3BB6"/>
    <w:rsid w:val="3601056A"/>
    <w:rsid w:val="3601366F"/>
    <w:rsid w:val="36014282"/>
    <w:rsid w:val="360607D9"/>
    <w:rsid w:val="36147966"/>
    <w:rsid w:val="36190C5C"/>
    <w:rsid w:val="362271FA"/>
    <w:rsid w:val="362A675A"/>
    <w:rsid w:val="362F1FC2"/>
    <w:rsid w:val="362F5D6F"/>
    <w:rsid w:val="363B3095"/>
    <w:rsid w:val="363D616D"/>
    <w:rsid w:val="36407D2B"/>
    <w:rsid w:val="364C2B74"/>
    <w:rsid w:val="364C5A56"/>
    <w:rsid w:val="365B2D75"/>
    <w:rsid w:val="365D064F"/>
    <w:rsid w:val="36603F29"/>
    <w:rsid w:val="366A72D8"/>
    <w:rsid w:val="366E78C2"/>
    <w:rsid w:val="366F616A"/>
    <w:rsid w:val="36723C5D"/>
    <w:rsid w:val="367515AA"/>
    <w:rsid w:val="367938FC"/>
    <w:rsid w:val="367A1BA6"/>
    <w:rsid w:val="367B5887"/>
    <w:rsid w:val="3680580C"/>
    <w:rsid w:val="36851E25"/>
    <w:rsid w:val="36951659"/>
    <w:rsid w:val="369B7657"/>
    <w:rsid w:val="369E2CA4"/>
    <w:rsid w:val="36A04C6E"/>
    <w:rsid w:val="36A91473"/>
    <w:rsid w:val="36B01289"/>
    <w:rsid w:val="36B9370E"/>
    <w:rsid w:val="36C72C95"/>
    <w:rsid w:val="36CB2139"/>
    <w:rsid w:val="36CC0EFA"/>
    <w:rsid w:val="36D861B6"/>
    <w:rsid w:val="36DA0180"/>
    <w:rsid w:val="36E36908"/>
    <w:rsid w:val="36E56469"/>
    <w:rsid w:val="36EE7787"/>
    <w:rsid w:val="36F31241"/>
    <w:rsid w:val="36F32FEF"/>
    <w:rsid w:val="36F56C63"/>
    <w:rsid w:val="36FC3260"/>
    <w:rsid w:val="370211A3"/>
    <w:rsid w:val="37040D59"/>
    <w:rsid w:val="37061F98"/>
    <w:rsid w:val="37125005"/>
    <w:rsid w:val="37144D14"/>
    <w:rsid w:val="3719601A"/>
    <w:rsid w:val="372068AC"/>
    <w:rsid w:val="37240668"/>
    <w:rsid w:val="372D427E"/>
    <w:rsid w:val="37313B18"/>
    <w:rsid w:val="373152BB"/>
    <w:rsid w:val="37332815"/>
    <w:rsid w:val="3734059B"/>
    <w:rsid w:val="374B4187"/>
    <w:rsid w:val="374C0952"/>
    <w:rsid w:val="37537F32"/>
    <w:rsid w:val="37555A58"/>
    <w:rsid w:val="375E1622"/>
    <w:rsid w:val="37665080"/>
    <w:rsid w:val="37667C65"/>
    <w:rsid w:val="378803FD"/>
    <w:rsid w:val="378A38CA"/>
    <w:rsid w:val="37937C15"/>
    <w:rsid w:val="3794631E"/>
    <w:rsid w:val="379A0692"/>
    <w:rsid w:val="379A5CEB"/>
    <w:rsid w:val="37A442EA"/>
    <w:rsid w:val="37B117D8"/>
    <w:rsid w:val="37B1317D"/>
    <w:rsid w:val="37B45D63"/>
    <w:rsid w:val="37B61FBB"/>
    <w:rsid w:val="37BE35FD"/>
    <w:rsid w:val="37BF2ACE"/>
    <w:rsid w:val="37CD33F9"/>
    <w:rsid w:val="37CE4033"/>
    <w:rsid w:val="37D20E57"/>
    <w:rsid w:val="37E172EC"/>
    <w:rsid w:val="37E37D94"/>
    <w:rsid w:val="37F11C3A"/>
    <w:rsid w:val="37F54B45"/>
    <w:rsid w:val="37F74639"/>
    <w:rsid w:val="380A0786"/>
    <w:rsid w:val="380A264F"/>
    <w:rsid w:val="38122E1D"/>
    <w:rsid w:val="381800EE"/>
    <w:rsid w:val="381A6B45"/>
    <w:rsid w:val="38296DA3"/>
    <w:rsid w:val="38390187"/>
    <w:rsid w:val="383D7C4C"/>
    <w:rsid w:val="383E78A0"/>
    <w:rsid w:val="384018DF"/>
    <w:rsid w:val="3848630F"/>
    <w:rsid w:val="384C6E5B"/>
    <w:rsid w:val="384D3BA4"/>
    <w:rsid w:val="385375DF"/>
    <w:rsid w:val="38594445"/>
    <w:rsid w:val="38595064"/>
    <w:rsid w:val="385A07E5"/>
    <w:rsid w:val="385B02F2"/>
    <w:rsid w:val="3867667F"/>
    <w:rsid w:val="386C2FE3"/>
    <w:rsid w:val="387716E2"/>
    <w:rsid w:val="38776900"/>
    <w:rsid w:val="38783A4D"/>
    <w:rsid w:val="3887653F"/>
    <w:rsid w:val="388A1731"/>
    <w:rsid w:val="388C4906"/>
    <w:rsid w:val="388C7CC2"/>
    <w:rsid w:val="388F6D48"/>
    <w:rsid w:val="3894610C"/>
    <w:rsid w:val="389600D6"/>
    <w:rsid w:val="389A768B"/>
    <w:rsid w:val="389E008F"/>
    <w:rsid w:val="389F171F"/>
    <w:rsid w:val="38A50319"/>
    <w:rsid w:val="38A8296F"/>
    <w:rsid w:val="38A94C99"/>
    <w:rsid w:val="38B30DCB"/>
    <w:rsid w:val="38B36EDA"/>
    <w:rsid w:val="38C22C79"/>
    <w:rsid w:val="38C23AE1"/>
    <w:rsid w:val="38D6246F"/>
    <w:rsid w:val="38D767B8"/>
    <w:rsid w:val="38EA70B9"/>
    <w:rsid w:val="38F00189"/>
    <w:rsid w:val="38F02197"/>
    <w:rsid w:val="38F31085"/>
    <w:rsid w:val="38F512A1"/>
    <w:rsid w:val="38F56CD1"/>
    <w:rsid w:val="38F670AA"/>
    <w:rsid w:val="38F75DA1"/>
    <w:rsid w:val="38FB3A07"/>
    <w:rsid w:val="390738EA"/>
    <w:rsid w:val="390A3CBC"/>
    <w:rsid w:val="391536F1"/>
    <w:rsid w:val="39177F01"/>
    <w:rsid w:val="39202A26"/>
    <w:rsid w:val="392F0891"/>
    <w:rsid w:val="39334C6D"/>
    <w:rsid w:val="393F2828"/>
    <w:rsid w:val="39477622"/>
    <w:rsid w:val="39494829"/>
    <w:rsid w:val="394E6C03"/>
    <w:rsid w:val="39564F30"/>
    <w:rsid w:val="395B383D"/>
    <w:rsid w:val="395D7AF6"/>
    <w:rsid w:val="39612290"/>
    <w:rsid w:val="396B5C66"/>
    <w:rsid w:val="396B77E3"/>
    <w:rsid w:val="396D20AF"/>
    <w:rsid w:val="39711E73"/>
    <w:rsid w:val="397505EE"/>
    <w:rsid w:val="39761BE7"/>
    <w:rsid w:val="39824642"/>
    <w:rsid w:val="39856390"/>
    <w:rsid w:val="39881992"/>
    <w:rsid w:val="398D7264"/>
    <w:rsid w:val="3995038E"/>
    <w:rsid w:val="399603D3"/>
    <w:rsid w:val="399E0063"/>
    <w:rsid w:val="39A3530D"/>
    <w:rsid w:val="39A97991"/>
    <w:rsid w:val="39AC56D7"/>
    <w:rsid w:val="39B27192"/>
    <w:rsid w:val="39B60B61"/>
    <w:rsid w:val="39BD78E5"/>
    <w:rsid w:val="39C84201"/>
    <w:rsid w:val="39C90037"/>
    <w:rsid w:val="39CB3DB0"/>
    <w:rsid w:val="39D07618"/>
    <w:rsid w:val="39D100D0"/>
    <w:rsid w:val="39D2303C"/>
    <w:rsid w:val="39D42CE7"/>
    <w:rsid w:val="39D4539A"/>
    <w:rsid w:val="39DD3AE3"/>
    <w:rsid w:val="39DE1D35"/>
    <w:rsid w:val="39E82BB3"/>
    <w:rsid w:val="39EB26A4"/>
    <w:rsid w:val="39F00926"/>
    <w:rsid w:val="39FE4ED9"/>
    <w:rsid w:val="3A006552"/>
    <w:rsid w:val="3A100AFC"/>
    <w:rsid w:val="3A122A6A"/>
    <w:rsid w:val="3A1A268F"/>
    <w:rsid w:val="3A1B73AC"/>
    <w:rsid w:val="3A1E65D5"/>
    <w:rsid w:val="3A225344"/>
    <w:rsid w:val="3A32580B"/>
    <w:rsid w:val="3A3B7187"/>
    <w:rsid w:val="3A3C70DA"/>
    <w:rsid w:val="3A445152"/>
    <w:rsid w:val="3A460281"/>
    <w:rsid w:val="3A4E7A36"/>
    <w:rsid w:val="3A5308B9"/>
    <w:rsid w:val="3A6078CE"/>
    <w:rsid w:val="3A617ED5"/>
    <w:rsid w:val="3A6D643D"/>
    <w:rsid w:val="3A700DC6"/>
    <w:rsid w:val="3A742699"/>
    <w:rsid w:val="3A7A7584"/>
    <w:rsid w:val="3A7D5A71"/>
    <w:rsid w:val="3A7D77A0"/>
    <w:rsid w:val="3A7F3A1E"/>
    <w:rsid w:val="3A8012DC"/>
    <w:rsid w:val="3A82338F"/>
    <w:rsid w:val="3A87225C"/>
    <w:rsid w:val="3A881CA1"/>
    <w:rsid w:val="3A886145"/>
    <w:rsid w:val="3A8E5D10"/>
    <w:rsid w:val="3A9B19D4"/>
    <w:rsid w:val="3AA05F85"/>
    <w:rsid w:val="3AA20FB4"/>
    <w:rsid w:val="3AA63444"/>
    <w:rsid w:val="3AA840F1"/>
    <w:rsid w:val="3AB91397"/>
    <w:rsid w:val="3ABB568A"/>
    <w:rsid w:val="3ABF235F"/>
    <w:rsid w:val="3AC214F7"/>
    <w:rsid w:val="3AC30EEC"/>
    <w:rsid w:val="3AC3671E"/>
    <w:rsid w:val="3AC3717D"/>
    <w:rsid w:val="3AC52EF5"/>
    <w:rsid w:val="3AC95FA8"/>
    <w:rsid w:val="3ACF78CF"/>
    <w:rsid w:val="3AD153F6"/>
    <w:rsid w:val="3AD5061C"/>
    <w:rsid w:val="3ADE5CEC"/>
    <w:rsid w:val="3AE11A4E"/>
    <w:rsid w:val="3AF15A98"/>
    <w:rsid w:val="3AF64E5C"/>
    <w:rsid w:val="3AF759E3"/>
    <w:rsid w:val="3B0752BB"/>
    <w:rsid w:val="3B0C27E0"/>
    <w:rsid w:val="3B0F4170"/>
    <w:rsid w:val="3B10495E"/>
    <w:rsid w:val="3B2148DA"/>
    <w:rsid w:val="3B223EA3"/>
    <w:rsid w:val="3B2371FA"/>
    <w:rsid w:val="3B256D14"/>
    <w:rsid w:val="3B2A13FF"/>
    <w:rsid w:val="3B2A4FB6"/>
    <w:rsid w:val="3B301742"/>
    <w:rsid w:val="3B31640C"/>
    <w:rsid w:val="3B3A2E3D"/>
    <w:rsid w:val="3B3A431D"/>
    <w:rsid w:val="3B3E6803"/>
    <w:rsid w:val="3B4022B7"/>
    <w:rsid w:val="3B47390A"/>
    <w:rsid w:val="3B4937D1"/>
    <w:rsid w:val="3B4B6916"/>
    <w:rsid w:val="3B4D2EE2"/>
    <w:rsid w:val="3B4E41A0"/>
    <w:rsid w:val="3B537901"/>
    <w:rsid w:val="3B586A99"/>
    <w:rsid w:val="3B5A13DA"/>
    <w:rsid w:val="3B750477"/>
    <w:rsid w:val="3B7523A6"/>
    <w:rsid w:val="3B774511"/>
    <w:rsid w:val="3B7B52E1"/>
    <w:rsid w:val="3B8412CC"/>
    <w:rsid w:val="3B8C756F"/>
    <w:rsid w:val="3B8E0FB2"/>
    <w:rsid w:val="3B8F4DC4"/>
    <w:rsid w:val="3B9308FD"/>
    <w:rsid w:val="3B932D9C"/>
    <w:rsid w:val="3B974912"/>
    <w:rsid w:val="3B9F1EDC"/>
    <w:rsid w:val="3BA8115D"/>
    <w:rsid w:val="3BB5491A"/>
    <w:rsid w:val="3BB67E4F"/>
    <w:rsid w:val="3BB80364"/>
    <w:rsid w:val="3BBB7E54"/>
    <w:rsid w:val="3BBC1E3F"/>
    <w:rsid w:val="3BBF5B96"/>
    <w:rsid w:val="3BC705CC"/>
    <w:rsid w:val="3BCA261C"/>
    <w:rsid w:val="3BD01B51"/>
    <w:rsid w:val="3BD26834"/>
    <w:rsid w:val="3BD31B77"/>
    <w:rsid w:val="3BD614A0"/>
    <w:rsid w:val="3BE253E0"/>
    <w:rsid w:val="3BE458BB"/>
    <w:rsid w:val="3BE66FA4"/>
    <w:rsid w:val="3BE77B7A"/>
    <w:rsid w:val="3BE8197F"/>
    <w:rsid w:val="3BF22098"/>
    <w:rsid w:val="3BF42D14"/>
    <w:rsid w:val="3BFF2436"/>
    <w:rsid w:val="3C057030"/>
    <w:rsid w:val="3C0757E3"/>
    <w:rsid w:val="3C0C1780"/>
    <w:rsid w:val="3C0F15E4"/>
    <w:rsid w:val="3C19288C"/>
    <w:rsid w:val="3C1A7270"/>
    <w:rsid w:val="3C1B6C33"/>
    <w:rsid w:val="3C321FC3"/>
    <w:rsid w:val="3C3C194D"/>
    <w:rsid w:val="3C3F4DB4"/>
    <w:rsid w:val="3C4017A7"/>
    <w:rsid w:val="3C441D02"/>
    <w:rsid w:val="3C463BA4"/>
    <w:rsid w:val="3C474E66"/>
    <w:rsid w:val="3C47738E"/>
    <w:rsid w:val="3C4C0535"/>
    <w:rsid w:val="3C5070D4"/>
    <w:rsid w:val="3C56614E"/>
    <w:rsid w:val="3C5C5A8B"/>
    <w:rsid w:val="3C5E6899"/>
    <w:rsid w:val="3C634773"/>
    <w:rsid w:val="3C7454B8"/>
    <w:rsid w:val="3C764B1D"/>
    <w:rsid w:val="3C767358"/>
    <w:rsid w:val="3C767618"/>
    <w:rsid w:val="3C7C5835"/>
    <w:rsid w:val="3C7C5FE2"/>
    <w:rsid w:val="3C86132C"/>
    <w:rsid w:val="3C886931"/>
    <w:rsid w:val="3C8B39EE"/>
    <w:rsid w:val="3C925059"/>
    <w:rsid w:val="3C9266AD"/>
    <w:rsid w:val="3C92687C"/>
    <w:rsid w:val="3C9B5C32"/>
    <w:rsid w:val="3C9E4263"/>
    <w:rsid w:val="3CA30328"/>
    <w:rsid w:val="3CA806D7"/>
    <w:rsid w:val="3CAC2C8B"/>
    <w:rsid w:val="3CAD03BB"/>
    <w:rsid w:val="3CB1218A"/>
    <w:rsid w:val="3CB23005"/>
    <w:rsid w:val="3CB37A06"/>
    <w:rsid w:val="3CB96102"/>
    <w:rsid w:val="3CBA43FC"/>
    <w:rsid w:val="3CBA7213"/>
    <w:rsid w:val="3CBC3636"/>
    <w:rsid w:val="3CBD4815"/>
    <w:rsid w:val="3CBE2CA9"/>
    <w:rsid w:val="3CC03974"/>
    <w:rsid w:val="3CC16867"/>
    <w:rsid w:val="3CCE5FE8"/>
    <w:rsid w:val="3CDB63E1"/>
    <w:rsid w:val="3CDC6426"/>
    <w:rsid w:val="3CE00868"/>
    <w:rsid w:val="3CE11114"/>
    <w:rsid w:val="3CE21B3C"/>
    <w:rsid w:val="3CE77C76"/>
    <w:rsid w:val="3CE80C6A"/>
    <w:rsid w:val="3CED04E1"/>
    <w:rsid w:val="3CF25D94"/>
    <w:rsid w:val="3CF76797"/>
    <w:rsid w:val="3CF8135F"/>
    <w:rsid w:val="3D0B6E64"/>
    <w:rsid w:val="3D155987"/>
    <w:rsid w:val="3D1E1909"/>
    <w:rsid w:val="3D227BC2"/>
    <w:rsid w:val="3D235CB1"/>
    <w:rsid w:val="3D23732D"/>
    <w:rsid w:val="3D314871"/>
    <w:rsid w:val="3D361FC8"/>
    <w:rsid w:val="3D36750A"/>
    <w:rsid w:val="3D37130B"/>
    <w:rsid w:val="3D531AB5"/>
    <w:rsid w:val="3D573AAE"/>
    <w:rsid w:val="3D581DFE"/>
    <w:rsid w:val="3D5C3B63"/>
    <w:rsid w:val="3D630803"/>
    <w:rsid w:val="3D6437E1"/>
    <w:rsid w:val="3D6562C9"/>
    <w:rsid w:val="3D6663BC"/>
    <w:rsid w:val="3D6739D2"/>
    <w:rsid w:val="3D6D1400"/>
    <w:rsid w:val="3D77013B"/>
    <w:rsid w:val="3D86135D"/>
    <w:rsid w:val="3D885D7E"/>
    <w:rsid w:val="3D891FEB"/>
    <w:rsid w:val="3D894A1C"/>
    <w:rsid w:val="3D8A3BC0"/>
    <w:rsid w:val="3D8F52FC"/>
    <w:rsid w:val="3DA75AC4"/>
    <w:rsid w:val="3DAE23B6"/>
    <w:rsid w:val="3DBC43B2"/>
    <w:rsid w:val="3DC456E6"/>
    <w:rsid w:val="3DCC00F6"/>
    <w:rsid w:val="3DDB1F8C"/>
    <w:rsid w:val="3DDC6AF7"/>
    <w:rsid w:val="3DE70243"/>
    <w:rsid w:val="3DE73F01"/>
    <w:rsid w:val="3DEE2762"/>
    <w:rsid w:val="3DEE38D9"/>
    <w:rsid w:val="3DF20CB5"/>
    <w:rsid w:val="3DF325B6"/>
    <w:rsid w:val="3DF37D79"/>
    <w:rsid w:val="3DFC4E7F"/>
    <w:rsid w:val="3DFC50D8"/>
    <w:rsid w:val="3DFF10F6"/>
    <w:rsid w:val="3DFF3AB5"/>
    <w:rsid w:val="3E045AE2"/>
    <w:rsid w:val="3E060061"/>
    <w:rsid w:val="3E0658F8"/>
    <w:rsid w:val="3E0C2BE9"/>
    <w:rsid w:val="3E0F73EF"/>
    <w:rsid w:val="3E1026D9"/>
    <w:rsid w:val="3E156929"/>
    <w:rsid w:val="3E18158D"/>
    <w:rsid w:val="3E1A323A"/>
    <w:rsid w:val="3E2A0315"/>
    <w:rsid w:val="3E2C5FFE"/>
    <w:rsid w:val="3E304B29"/>
    <w:rsid w:val="3E337968"/>
    <w:rsid w:val="3E3D7ECF"/>
    <w:rsid w:val="3E4634F9"/>
    <w:rsid w:val="3E4C3269"/>
    <w:rsid w:val="3E4D56DB"/>
    <w:rsid w:val="3E5352E3"/>
    <w:rsid w:val="3E5C1861"/>
    <w:rsid w:val="3E5F1E94"/>
    <w:rsid w:val="3E5F71BC"/>
    <w:rsid w:val="3E622809"/>
    <w:rsid w:val="3E661243"/>
    <w:rsid w:val="3E691DE9"/>
    <w:rsid w:val="3E714E1C"/>
    <w:rsid w:val="3E7212ED"/>
    <w:rsid w:val="3E772758"/>
    <w:rsid w:val="3E895FE7"/>
    <w:rsid w:val="3E8B6203"/>
    <w:rsid w:val="3E8F30B5"/>
    <w:rsid w:val="3E9977AD"/>
    <w:rsid w:val="3E9E1A93"/>
    <w:rsid w:val="3EAB7EAD"/>
    <w:rsid w:val="3EB86D71"/>
    <w:rsid w:val="3EBA619F"/>
    <w:rsid w:val="3EBB43E8"/>
    <w:rsid w:val="3EBC016B"/>
    <w:rsid w:val="3EBD0C5E"/>
    <w:rsid w:val="3EBD4B4D"/>
    <w:rsid w:val="3ECD4126"/>
    <w:rsid w:val="3ECD4B2F"/>
    <w:rsid w:val="3ED25BE0"/>
    <w:rsid w:val="3ED81F6F"/>
    <w:rsid w:val="3EDC080D"/>
    <w:rsid w:val="3EE50A86"/>
    <w:rsid w:val="3EE772F3"/>
    <w:rsid w:val="3EEA3997"/>
    <w:rsid w:val="3EF840CF"/>
    <w:rsid w:val="3EFC5866"/>
    <w:rsid w:val="3EFD4748"/>
    <w:rsid w:val="3EFE0737"/>
    <w:rsid w:val="3EFF60F3"/>
    <w:rsid w:val="3F012456"/>
    <w:rsid w:val="3F022944"/>
    <w:rsid w:val="3F080BC5"/>
    <w:rsid w:val="3F0A7BA0"/>
    <w:rsid w:val="3F0B3854"/>
    <w:rsid w:val="3F0C7B15"/>
    <w:rsid w:val="3F0F2990"/>
    <w:rsid w:val="3F116B6E"/>
    <w:rsid w:val="3F125943"/>
    <w:rsid w:val="3F30187A"/>
    <w:rsid w:val="3F3E6DD2"/>
    <w:rsid w:val="3F420918"/>
    <w:rsid w:val="3F482BD1"/>
    <w:rsid w:val="3F4B701E"/>
    <w:rsid w:val="3F4F7231"/>
    <w:rsid w:val="3F5E4773"/>
    <w:rsid w:val="3F5F6316"/>
    <w:rsid w:val="3F652AD4"/>
    <w:rsid w:val="3F691733"/>
    <w:rsid w:val="3F744EE9"/>
    <w:rsid w:val="3F7647BE"/>
    <w:rsid w:val="3F7D2FB5"/>
    <w:rsid w:val="3F817D6A"/>
    <w:rsid w:val="3F84750C"/>
    <w:rsid w:val="3F88684E"/>
    <w:rsid w:val="3F955530"/>
    <w:rsid w:val="3F982986"/>
    <w:rsid w:val="3F9D7F9C"/>
    <w:rsid w:val="3F9E3DB3"/>
    <w:rsid w:val="3FAF4912"/>
    <w:rsid w:val="3FB43D0E"/>
    <w:rsid w:val="3FB66F63"/>
    <w:rsid w:val="3FB672B0"/>
    <w:rsid w:val="3FB9677F"/>
    <w:rsid w:val="3FBC7FD8"/>
    <w:rsid w:val="3FC76427"/>
    <w:rsid w:val="3FD14F9A"/>
    <w:rsid w:val="3FD43EF0"/>
    <w:rsid w:val="3FD92723"/>
    <w:rsid w:val="3FDD382D"/>
    <w:rsid w:val="3FF12A08"/>
    <w:rsid w:val="3FF35E0E"/>
    <w:rsid w:val="3FF43934"/>
    <w:rsid w:val="3FFD6147"/>
    <w:rsid w:val="3FFF347E"/>
    <w:rsid w:val="40013BD9"/>
    <w:rsid w:val="40014803"/>
    <w:rsid w:val="400353AF"/>
    <w:rsid w:val="400D3374"/>
    <w:rsid w:val="400D69CF"/>
    <w:rsid w:val="400F3069"/>
    <w:rsid w:val="40235CA2"/>
    <w:rsid w:val="4029353B"/>
    <w:rsid w:val="402C1751"/>
    <w:rsid w:val="40316936"/>
    <w:rsid w:val="40354679"/>
    <w:rsid w:val="403B5D29"/>
    <w:rsid w:val="405439D7"/>
    <w:rsid w:val="4057639D"/>
    <w:rsid w:val="4058162F"/>
    <w:rsid w:val="406428A4"/>
    <w:rsid w:val="40687A87"/>
    <w:rsid w:val="406A72FF"/>
    <w:rsid w:val="407024AC"/>
    <w:rsid w:val="407336C7"/>
    <w:rsid w:val="40784565"/>
    <w:rsid w:val="407C559D"/>
    <w:rsid w:val="40876DA4"/>
    <w:rsid w:val="40960CFD"/>
    <w:rsid w:val="409A44DC"/>
    <w:rsid w:val="409F5C80"/>
    <w:rsid w:val="40A11BDC"/>
    <w:rsid w:val="40AA4AF3"/>
    <w:rsid w:val="40AE6587"/>
    <w:rsid w:val="40AF2D44"/>
    <w:rsid w:val="40B01F51"/>
    <w:rsid w:val="40B25CC9"/>
    <w:rsid w:val="40B437EF"/>
    <w:rsid w:val="40CC3AF6"/>
    <w:rsid w:val="40CD787E"/>
    <w:rsid w:val="40D419B4"/>
    <w:rsid w:val="40D67DD7"/>
    <w:rsid w:val="40D93256"/>
    <w:rsid w:val="40DB4CAC"/>
    <w:rsid w:val="40E1100B"/>
    <w:rsid w:val="40E33A83"/>
    <w:rsid w:val="40E57E4D"/>
    <w:rsid w:val="40EA5463"/>
    <w:rsid w:val="40EA7211"/>
    <w:rsid w:val="40ED6437"/>
    <w:rsid w:val="40F92D5C"/>
    <w:rsid w:val="40F95B78"/>
    <w:rsid w:val="41000A49"/>
    <w:rsid w:val="4105077F"/>
    <w:rsid w:val="41055DF9"/>
    <w:rsid w:val="410D23C6"/>
    <w:rsid w:val="410F0555"/>
    <w:rsid w:val="41100E9F"/>
    <w:rsid w:val="41110C42"/>
    <w:rsid w:val="411E335F"/>
    <w:rsid w:val="41203D8E"/>
    <w:rsid w:val="41250249"/>
    <w:rsid w:val="41281AE7"/>
    <w:rsid w:val="4135617F"/>
    <w:rsid w:val="41392BC6"/>
    <w:rsid w:val="413B24B7"/>
    <w:rsid w:val="41420656"/>
    <w:rsid w:val="41485AB3"/>
    <w:rsid w:val="414F4CC6"/>
    <w:rsid w:val="4152722B"/>
    <w:rsid w:val="4153106D"/>
    <w:rsid w:val="415616CC"/>
    <w:rsid w:val="41584164"/>
    <w:rsid w:val="41635215"/>
    <w:rsid w:val="4168559A"/>
    <w:rsid w:val="41811912"/>
    <w:rsid w:val="41821D4C"/>
    <w:rsid w:val="41842808"/>
    <w:rsid w:val="41843914"/>
    <w:rsid w:val="41872CB2"/>
    <w:rsid w:val="4189357C"/>
    <w:rsid w:val="418946B1"/>
    <w:rsid w:val="41894C7C"/>
    <w:rsid w:val="418C6142"/>
    <w:rsid w:val="41915007"/>
    <w:rsid w:val="419278A7"/>
    <w:rsid w:val="41965EDF"/>
    <w:rsid w:val="41983306"/>
    <w:rsid w:val="41A06362"/>
    <w:rsid w:val="41A27AEC"/>
    <w:rsid w:val="41AC3006"/>
    <w:rsid w:val="41B10084"/>
    <w:rsid w:val="41CE6B33"/>
    <w:rsid w:val="41CF4BE0"/>
    <w:rsid w:val="41D91034"/>
    <w:rsid w:val="41D9576C"/>
    <w:rsid w:val="41DA54D8"/>
    <w:rsid w:val="41E56B95"/>
    <w:rsid w:val="41E736CA"/>
    <w:rsid w:val="41EC6FB9"/>
    <w:rsid w:val="41F90EB2"/>
    <w:rsid w:val="41FF59B2"/>
    <w:rsid w:val="41FF74D8"/>
    <w:rsid w:val="42071D18"/>
    <w:rsid w:val="42094707"/>
    <w:rsid w:val="420C1409"/>
    <w:rsid w:val="42147F27"/>
    <w:rsid w:val="421A4FE3"/>
    <w:rsid w:val="421B7832"/>
    <w:rsid w:val="421B7986"/>
    <w:rsid w:val="421D6C58"/>
    <w:rsid w:val="42254A34"/>
    <w:rsid w:val="423B3A9C"/>
    <w:rsid w:val="423D5A66"/>
    <w:rsid w:val="42407479"/>
    <w:rsid w:val="42442951"/>
    <w:rsid w:val="42446DF5"/>
    <w:rsid w:val="42500768"/>
    <w:rsid w:val="4250579A"/>
    <w:rsid w:val="425B7C9B"/>
    <w:rsid w:val="425F7817"/>
    <w:rsid w:val="426B25D4"/>
    <w:rsid w:val="426C1D94"/>
    <w:rsid w:val="426F2480"/>
    <w:rsid w:val="42727E6C"/>
    <w:rsid w:val="42777040"/>
    <w:rsid w:val="427C791C"/>
    <w:rsid w:val="4281763A"/>
    <w:rsid w:val="42847921"/>
    <w:rsid w:val="42890CAC"/>
    <w:rsid w:val="428B52AC"/>
    <w:rsid w:val="42935686"/>
    <w:rsid w:val="42937943"/>
    <w:rsid w:val="4294377D"/>
    <w:rsid w:val="429462ED"/>
    <w:rsid w:val="42973F4D"/>
    <w:rsid w:val="42A96C58"/>
    <w:rsid w:val="42AD50EE"/>
    <w:rsid w:val="42B61283"/>
    <w:rsid w:val="42BC7DDF"/>
    <w:rsid w:val="42C21024"/>
    <w:rsid w:val="42C77633"/>
    <w:rsid w:val="42C8332E"/>
    <w:rsid w:val="42CB43AC"/>
    <w:rsid w:val="42CF2B62"/>
    <w:rsid w:val="42D454E4"/>
    <w:rsid w:val="42D73854"/>
    <w:rsid w:val="42DD1545"/>
    <w:rsid w:val="42E4687E"/>
    <w:rsid w:val="42E90505"/>
    <w:rsid w:val="42E965E3"/>
    <w:rsid w:val="42ED6467"/>
    <w:rsid w:val="42EE734C"/>
    <w:rsid w:val="42F11D2D"/>
    <w:rsid w:val="42F462E9"/>
    <w:rsid w:val="42FB2570"/>
    <w:rsid w:val="4303525B"/>
    <w:rsid w:val="43056584"/>
    <w:rsid w:val="43060CE4"/>
    <w:rsid w:val="43067773"/>
    <w:rsid w:val="43072FA1"/>
    <w:rsid w:val="43076C51"/>
    <w:rsid w:val="43095949"/>
    <w:rsid w:val="430C7B0A"/>
    <w:rsid w:val="431151CC"/>
    <w:rsid w:val="4314692A"/>
    <w:rsid w:val="431A23EC"/>
    <w:rsid w:val="431F2F73"/>
    <w:rsid w:val="432509D4"/>
    <w:rsid w:val="432B288E"/>
    <w:rsid w:val="43336B06"/>
    <w:rsid w:val="43423147"/>
    <w:rsid w:val="43482915"/>
    <w:rsid w:val="434C1AC0"/>
    <w:rsid w:val="434D4854"/>
    <w:rsid w:val="434D4C26"/>
    <w:rsid w:val="434F5638"/>
    <w:rsid w:val="43504C92"/>
    <w:rsid w:val="4351680C"/>
    <w:rsid w:val="4353719E"/>
    <w:rsid w:val="4357356D"/>
    <w:rsid w:val="43574906"/>
    <w:rsid w:val="435766B4"/>
    <w:rsid w:val="435C3CCA"/>
    <w:rsid w:val="4365000D"/>
    <w:rsid w:val="436F1849"/>
    <w:rsid w:val="43706017"/>
    <w:rsid w:val="43724C1B"/>
    <w:rsid w:val="4376642B"/>
    <w:rsid w:val="437C32D0"/>
    <w:rsid w:val="437E00E5"/>
    <w:rsid w:val="437E2698"/>
    <w:rsid w:val="43870F4B"/>
    <w:rsid w:val="438751EB"/>
    <w:rsid w:val="438A0837"/>
    <w:rsid w:val="439746B1"/>
    <w:rsid w:val="439B53F0"/>
    <w:rsid w:val="439D01B2"/>
    <w:rsid w:val="439E0787"/>
    <w:rsid w:val="439F3FDA"/>
    <w:rsid w:val="43AD43B9"/>
    <w:rsid w:val="43C401ED"/>
    <w:rsid w:val="43C93609"/>
    <w:rsid w:val="43CC4B25"/>
    <w:rsid w:val="43DC14B4"/>
    <w:rsid w:val="43DF441D"/>
    <w:rsid w:val="43F219B8"/>
    <w:rsid w:val="43F839F3"/>
    <w:rsid w:val="43F87E97"/>
    <w:rsid w:val="43F93743"/>
    <w:rsid w:val="43FD65F5"/>
    <w:rsid w:val="440A14C9"/>
    <w:rsid w:val="44114C2F"/>
    <w:rsid w:val="441B41C3"/>
    <w:rsid w:val="44201AAB"/>
    <w:rsid w:val="44281D93"/>
    <w:rsid w:val="442E1B0B"/>
    <w:rsid w:val="442E4815"/>
    <w:rsid w:val="442F6191"/>
    <w:rsid w:val="44385BA8"/>
    <w:rsid w:val="44421DCC"/>
    <w:rsid w:val="444255B6"/>
    <w:rsid w:val="44492935"/>
    <w:rsid w:val="44500264"/>
    <w:rsid w:val="44511355"/>
    <w:rsid w:val="44584313"/>
    <w:rsid w:val="446077EA"/>
    <w:rsid w:val="446352D8"/>
    <w:rsid w:val="44654E01"/>
    <w:rsid w:val="44672928"/>
    <w:rsid w:val="446B7B19"/>
    <w:rsid w:val="44735770"/>
    <w:rsid w:val="447A2DD6"/>
    <w:rsid w:val="447F2366"/>
    <w:rsid w:val="44842520"/>
    <w:rsid w:val="44861D69"/>
    <w:rsid w:val="4488688E"/>
    <w:rsid w:val="448A72D9"/>
    <w:rsid w:val="44904CF7"/>
    <w:rsid w:val="44935882"/>
    <w:rsid w:val="44960F90"/>
    <w:rsid w:val="449776B0"/>
    <w:rsid w:val="449853D1"/>
    <w:rsid w:val="44A827BF"/>
    <w:rsid w:val="44AA218A"/>
    <w:rsid w:val="44AB0307"/>
    <w:rsid w:val="44B00772"/>
    <w:rsid w:val="44B22039"/>
    <w:rsid w:val="44B37276"/>
    <w:rsid w:val="44B40598"/>
    <w:rsid w:val="44C35AEB"/>
    <w:rsid w:val="44D101F3"/>
    <w:rsid w:val="44E31305"/>
    <w:rsid w:val="44E328F5"/>
    <w:rsid w:val="44E565B2"/>
    <w:rsid w:val="44E706D8"/>
    <w:rsid w:val="44E95B4F"/>
    <w:rsid w:val="44EA498B"/>
    <w:rsid w:val="44EF1B82"/>
    <w:rsid w:val="44F2263A"/>
    <w:rsid w:val="44F536A1"/>
    <w:rsid w:val="44F62D17"/>
    <w:rsid w:val="44F95521"/>
    <w:rsid w:val="4508406A"/>
    <w:rsid w:val="451707F1"/>
    <w:rsid w:val="45175B8B"/>
    <w:rsid w:val="451A619E"/>
    <w:rsid w:val="451D442B"/>
    <w:rsid w:val="451E56DB"/>
    <w:rsid w:val="453018B3"/>
    <w:rsid w:val="4530540F"/>
    <w:rsid w:val="453D1CD3"/>
    <w:rsid w:val="453F1EB7"/>
    <w:rsid w:val="45412F2E"/>
    <w:rsid w:val="454823E9"/>
    <w:rsid w:val="454D6DCC"/>
    <w:rsid w:val="45505AB1"/>
    <w:rsid w:val="455410BB"/>
    <w:rsid w:val="45646640"/>
    <w:rsid w:val="45660E30"/>
    <w:rsid w:val="456652D4"/>
    <w:rsid w:val="456D21BF"/>
    <w:rsid w:val="456F4A8E"/>
    <w:rsid w:val="457322A9"/>
    <w:rsid w:val="45792522"/>
    <w:rsid w:val="45797C51"/>
    <w:rsid w:val="457E20F9"/>
    <w:rsid w:val="458A109C"/>
    <w:rsid w:val="45900B50"/>
    <w:rsid w:val="459360E3"/>
    <w:rsid w:val="45947D2C"/>
    <w:rsid w:val="459A27F1"/>
    <w:rsid w:val="45A12D06"/>
    <w:rsid w:val="45A168B6"/>
    <w:rsid w:val="45A378FA"/>
    <w:rsid w:val="45A71B75"/>
    <w:rsid w:val="45B137DB"/>
    <w:rsid w:val="45B8708B"/>
    <w:rsid w:val="45C36283"/>
    <w:rsid w:val="45C83059"/>
    <w:rsid w:val="45CD7DCC"/>
    <w:rsid w:val="45CE25AE"/>
    <w:rsid w:val="45CE6EB7"/>
    <w:rsid w:val="45CF69D6"/>
    <w:rsid w:val="45D70B74"/>
    <w:rsid w:val="45D95AA6"/>
    <w:rsid w:val="45E00BE3"/>
    <w:rsid w:val="45E5245F"/>
    <w:rsid w:val="45EA18E4"/>
    <w:rsid w:val="45EB510E"/>
    <w:rsid w:val="45EE4E64"/>
    <w:rsid w:val="45FC104C"/>
    <w:rsid w:val="45FC472A"/>
    <w:rsid w:val="46017AF3"/>
    <w:rsid w:val="46053E0B"/>
    <w:rsid w:val="460E5A16"/>
    <w:rsid w:val="46142A03"/>
    <w:rsid w:val="461507BE"/>
    <w:rsid w:val="461B2714"/>
    <w:rsid w:val="46336D11"/>
    <w:rsid w:val="463A4797"/>
    <w:rsid w:val="464E0242"/>
    <w:rsid w:val="46504FEC"/>
    <w:rsid w:val="465876E0"/>
    <w:rsid w:val="465F6E8D"/>
    <w:rsid w:val="46674425"/>
    <w:rsid w:val="46696D45"/>
    <w:rsid w:val="46794B93"/>
    <w:rsid w:val="467F7D3C"/>
    <w:rsid w:val="468024D4"/>
    <w:rsid w:val="468123C6"/>
    <w:rsid w:val="46925B3C"/>
    <w:rsid w:val="469359EF"/>
    <w:rsid w:val="46935C55"/>
    <w:rsid w:val="46962F65"/>
    <w:rsid w:val="469B3245"/>
    <w:rsid w:val="46A165C4"/>
    <w:rsid w:val="46A63BDA"/>
    <w:rsid w:val="46A77952"/>
    <w:rsid w:val="46A97C84"/>
    <w:rsid w:val="46AE7B45"/>
    <w:rsid w:val="46B76181"/>
    <w:rsid w:val="46BB366A"/>
    <w:rsid w:val="46BF18F4"/>
    <w:rsid w:val="46C053D9"/>
    <w:rsid w:val="46C736D2"/>
    <w:rsid w:val="46CA6113"/>
    <w:rsid w:val="46CC1FB0"/>
    <w:rsid w:val="46CC73B9"/>
    <w:rsid w:val="46D52711"/>
    <w:rsid w:val="46D9526E"/>
    <w:rsid w:val="46DE4B0F"/>
    <w:rsid w:val="46E464B1"/>
    <w:rsid w:val="46E93AC7"/>
    <w:rsid w:val="46F2171D"/>
    <w:rsid w:val="46F41301"/>
    <w:rsid w:val="46FC0EC1"/>
    <w:rsid w:val="46FC6C97"/>
    <w:rsid w:val="4712301E"/>
    <w:rsid w:val="471508EB"/>
    <w:rsid w:val="471B0693"/>
    <w:rsid w:val="47240FA3"/>
    <w:rsid w:val="472562C9"/>
    <w:rsid w:val="4728616E"/>
    <w:rsid w:val="472A632A"/>
    <w:rsid w:val="472E51F4"/>
    <w:rsid w:val="47380150"/>
    <w:rsid w:val="473D2DF8"/>
    <w:rsid w:val="47474276"/>
    <w:rsid w:val="474B11F0"/>
    <w:rsid w:val="47577FEC"/>
    <w:rsid w:val="475B3C8B"/>
    <w:rsid w:val="475F534E"/>
    <w:rsid w:val="476426E1"/>
    <w:rsid w:val="476B0988"/>
    <w:rsid w:val="47787145"/>
    <w:rsid w:val="477B2701"/>
    <w:rsid w:val="477D602D"/>
    <w:rsid w:val="478065F6"/>
    <w:rsid w:val="478101A3"/>
    <w:rsid w:val="47811F51"/>
    <w:rsid w:val="4792711E"/>
    <w:rsid w:val="47A201F7"/>
    <w:rsid w:val="47A65085"/>
    <w:rsid w:val="47AA1ED1"/>
    <w:rsid w:val="47AD4653"/>
    <w:rsid w:val="47B133C0"/>
    <w:rsid w:val="47B431C2"/>
    <w:rsid w:val="47BA73F4"/>
    <w:rsid w:val="47C00F0A"/>
    <w:rsid w:val="47C36D46"/>
    <w:rsid w:val="47C56E9C"/>
    <w:rsid w:val="47CD5197"/>
    <w:rsid w:val="47D51C4B"/>
    <w:rsid w:val="47D800C1"/>
    <w:rsid w:val="47DD13CD"/>
    <w:rsid w:val="47E86495"/>
    <w:rsid w:val="47E904B8"/>
    <w:rsid w:val="47F414CB"/>
    <w:rsid w:val="47F66832"/>
    <w:rsid w:val="47FE17F4"/>
    <w:rsid w:val="480137F1"/>
    <w:rsid w:val="4804468E"/>
    <w:rsid w:val="48084EF8"/>
    <w:rsid w:val="480B033B"/>
    <w:rsid w:val="48144882"/>
    <w:rsid w:val="481E3C44"/>
    <w:rsid w:val="481F03A7"/>
    <w:rsid w:val="481F608B"/>
    <w:rsid w:val="482414A4"/>
    <w:rsid w:val="48250CCA"/>
    <w:rsid w:val="482A5C0C"/>
    <w:rsid w:val="482A7B31"/>
    <w:rsid w:val="482F734F"/>
    <w:rsid w:val="48354D96"/>
    <w:rsid w:val="48356E78"/>
    <w:rsid w:val="483A5065"/>
    <w:rsid w:val="483D2C31"/>
    <w:rsid w:val="48413CDD"/>
    <w:rsid w:val="484535C9"/>
    <w:rsid w:val="484713ED"/>
    <w:rsid w:val="484719F0"/>
    <w:rsid w:val="48471B84"/>
    <w:rsid w:val="4849456D"/>
    <w:rsid w:val="484D2675"/>
    <w:rsid w:val="48547666"/>
    <w:rsid w:val="48580F04"/>
    <w:rsid w:val="485F6737"/>
    <w:rsid w:val="4860637D"/>
    <w:rsid w:val="4861685C"/>
    <w:rsid w:val="48620C02"/>
    <w:rsid w:val="48627FD5"/>
    <w:rsid w:val="48645AFB"/>
    <w:rsid w:val="486635BF"/>
    <w:rsid w:val="48671739"/>
    <w:rsid w:val="486C56F6"/>
    <w:rsid w:val="48727F8C"/>
    <w:rsid w:val="4879296F"/>
    <w:rsid w:val="48821D18"/>
    <w:rsid w:val="488942EB"/>
    <w:rsid w:val="48914416"/>
    <w:rsid w:val="489772F0"/>
    <w:rsid w:val="489F79D0"/>
    <w:rsid w:val="48B84099"/>
    <w:rsid w:val="48BA42EE"/>
    <w:rsid w:val="48BA4C67"/>
    <w:rsid w:val="48BD7FEE"/>
    <w:rsid w:val="48C06AA9"/>
    <w:rsid w:val="48CD3E91"/>
    <w:rsid w:val="48CD7300"/>
    <w:rsid w:val="48D04F3E"/>
    <w:rsid w:val="48D50218"/>
    <w:rsid w:val="48D84B97"/>
    <w:rsid w:val="48DC77A6"/>
    <w:rsid w:val="48E21116"/>
    <w:rsid w:val="48EB5D96"/>
    <w:rsid w:val="48F454D3"/>
    <w:rsid w:val="48F51911"/>
    <w:rsid w:val="48F549A5"/>
    <w:rsid w:val="48F62D0F"/>
    <w:rsid w:val="48FA0636"/>
    <w:rsid w:val="48FF19A3"/>
    <w:rsid w:val="4900334A"/>
    <w:rsid w:val="49012624"/>
    <w:rsid w:val="49025314"/>
    <w:rsid w:val="490A36AA"/>
    <w:rsid w:val="490C6B1F"/>
    <w:rsid w:val="49123A53"/>
    <w:rsid w:val="49136F55"/>
    <w:rsid w:val="491D5CAA"/>
    <w:rsid w:val="492C2EE6"/>
    <w:rsid w:val="49373210"/>
    <w:rsid w:val="49384950"/>
    <w:rsid w:val="493A2104"/>
    <w:rsid w:val="493C5DA8"/>
    <w:rsid w:val="494D6A9A"/>
    <w:rsid w:val="49583186"/>
    <w:rsid w:val="495A6636"/>
    <w:rsid w:val="495B677C"/>
    <w:rsid w:val="495C686D"/>
    <w:rsid w:val="495F44D9"/>
    <w:rsid w:val="49695393"/>
    <w:rsid w:val="497C0C22"/>
    <w:rsid w:val="49804BB7"/>
    <w:rsid w:val="498D25A4"/>
    <w:rsid w:val="499B1CFC"/>
    <w:rsid w:val="499B4B44"/>
    <w:rsid w:val="499E6C9B"/>
    <w:rsid w:val="499F2718"/>
    <w:rsid w:val="499F6DF8"/>
    <w:rsid w:val="49A25894"/>
    <w:rsid w:val="49A46880"/>
    <w:rsid w:val="49A66AFD"/>
    <w:rsid w:val="49A91EB8"/>
    <w:rsid w:val="49BC0E52"/>
    <w:rsid w:val="49CA5E32"/>
    <w:rsid w:val="49CB181C"/>
    <w:rsid w:val="49D15412"/>
    <w:rsid w:val="49D40583"/>
    <w:rsid w:val="49D831E7"/>
    <w:rsid w:val="49D85376"/>
    <w:rsid w:val="49DB2099"/>
    <w:rsid w:val="49DC4A3A"/>
    <w:rsid w:val="49EA6B85"/>
    <w:rsid w:val="49EF1D7E"/>
    <w:rsid w:val="49F64E79"/>
    <w:rsid w:val="49FB60FD"/>
    <w:rsid w:val="4A0155CC"/>
    <w:rsid w:val="4A061D57"/>
    <w:rsid w:val="4A081734"/>
    <w:rsid w:val="4A0A6975"/>
    <w:rsid w:val="4A211429"/>
    <w:rsid w:val="4A2512BA"/>
    <w:rsid w:val="4A297B23"/>
    <w:rsid w:val="4A2C5B1A"/>
    <w:rsid w:val="4A361719"/>
    <w:rsid w:val="4A373581"/>
    <w:rsid w:val="4A394D65"/>
    <w:rsid w:val="4A3C14DF"/>
    <w:rsid w:val="4A446F13"/>
    <w:rsid w:val="4A45195C"/>
    <w:rsid w:val="4A491A65"/>
    <w:rsid w:val="4A4C05C5"/>
    <w:rsid w:val="4A4D636F"/>
    <w:rsid w:val="4A5B2ED4"/>
    <w:rsid w:val="4A5F343D"/>
    <w:rsid w:val="4A5F5CA7"/>
    <w:rsid w:val="4A771C12"/>
    <w:rsid w:val="4A783AE0"/>
    <w:rsid w:val="4A840273"/>
    <w:rsid w:val="4A8A66BC"/>
    <w:rsid w:val="4A8E0901"/>
    <w:rsid w:val="4A8E3303"/>
    <w:rsid w:val="4A8F0E29"/>
    <w:rsid w:val="4A973912"/>
    <w:rsid w:val="4AA74514"/>
    <w:rsid w:val="4AB61E23"/>
    <w:rsid w:val="4AB8753E"/>
    <w:rsid w:val="4ABD4C72"/>
    <w:rsid w:val="4ABF3A6E"/>
    <w:rsid w:val="4AC4394C"/>
    <w:rsid w:val="4AC960E9"/>
    <w:rsid w:val="4AE271AB"/>
    <w:rsid w:val="4AE34555"/>
    <w:rsid w:val="4AE41B52"/>
    <w:rsid w:val="4AE44CD1"/>
    <w:rsid w:val="4AE831F9"/>
    <w:rsid w:val="4AE9338A"/>
    <w:rsid w:val="4AF62C56"/>
    <w:rsid w:val="4AF90FCD"/>
    <w:rsid w:val="4AFE1C0C"/>
    <w:rsid w:val="4B0C1599"/>
    <w:rsid w:val="4B0C3A7C"/>
    <w:rsid w:val="4B133808"/>
    <w:rsid w:val="4B1677FE"/>
    <w:rsid w:val="4B2941CE"/>
    <w:rsid w:val="4B29505F"/>
    <w:rsid w:val="4B2B5A9B"/>
    <w:rsid w:val="4B2D49B8"/>
    <w:rsid w:val="4B435B6E"/>
    <w:rsid w:val="4B447E66"/>
    <w:rsid w:val="4B4842BF"/>
    <w:rsid w:val="4B4D13ED"/>
    <w:rsid w:val="4B571947"/>
    <w:rsid w:val="4B5F0442"/>
    <w:rsid w:val="4B622F35"/>
    <w:rsid w:val="4B6776B0"/>
    <w:rsid w:val="4B6F44D6"/>
    <w:rsid w:val="4B714C00"/>
    <w:rsid w:val="4B7F7C9E"/>
    <w:rsid w:val="4B807D59"/>
    <w:rsid w:val="4B8464B4"/>
    <w:rsid w:val="4B885FA4"/>
    <w:rsid w:val="4B8A4ED1"/>
    <w:rsid w:val="4B8C2783"/>
    <w:rsid w:val="4B8C3CD4"/>
    <w:rsid w:val="4B9D5082"/>
    <w:rsid w:val="4BA12BC2"/>
    <w:rsid w:val="4BA46423"/>
    <w:rsid w:val="4BA72EF2"/>
    <w:rsid w:val="4BB12126"/>
    <w:rsid w:val="4BB3758A"/>
    <w:rsid w:val="4BB90ED3"/>
    <w:rsid w:val="4BBF3803"/>
    <w:rsid w:val="4BC44B03"/>
    <w:rsid w:val="4BC65E9C"/>
    <w:rsid w:val="4BCA036B"/>
    <w:rsid w:val="4BCB72D6"/>
    <w:rsid w:val="4BCE3544"/>
    <w:rsid w:val="4BE227E0"/>
    <w:rsid w:val="4BE32B47"/>
    <w:rsid w:val="4BE854FF"/>
    <w:rsid w:val="4BEB1720"/>
    <w:rsid w:val="4BF17A7B"/>
    <w:rsid w:val="4BFB49C8"/>
    <w:rsid w:val="4C000FCD"/>
    <w:rsid w:val="4C0118B3"/>
    <w:rsid w:val="4C037998"/>
    <w:rsid w:val="4C07162C"/>
    <w:rsid w:val="4C090165"/>
    <w:rsid w:val="4C0F3FD0"/>
    <w:rsid w:val="4C190934"/>
    <w:rsid w:val="4C212431"/>
    <w:rsid w:val="4C2568E3"/>
    <w:rsid w:val="4C284772"/>
    <w:rsid w:val="4C2A69FF"/>
    <w:rsid w:val="4C2F4672"/>
    <w:rsid w:val="4C3451FF"/>
    <w:rsid w:val="4C3E203F"/>
    <w:rsid w:val="4C407EDE"/>
    <w:rsid w:val="4C4116A4"/>
    <w:rsid w:val="4C420EBA"/>
    <w:rsid w:val="4C4243A5"/>
    <w:rsid w:val="4C4A2448"/>
    <w:rsid w:val="4C4B3B1D"/>
    <w:rsid w:val="4C542EE9"/>
    <w:rsid w:val="4C5440D8"/>
    <w:rsid w:val="4C60663A"/>
    <w:rsid w:val="4C68556A"/>
    <w:rsid w:val="4C6922D6"/>
    <w:rsid w:val="4C69609D"/>
    <w:rsid w:val="4C744B0C"/>
    <w:rsid w:val="4C7622A1"/>
    <w:rsid w:val="4C7F5523"/>
    <w:rsid w:val="4C8347DF"/>
    <w:rsid w:val="4C856040"/>
    <w:rsid w:val="4C8F5111"/>
    <w:rsid w:val="4C91296C"/>
    <w:rsid w:val="4CA1570F"/>
    <w:rsid w:val="4CA34E17"/>
    <w:rsid w:val="4CA43AA8"/>
    <w:rsid w:val="4CB474AB"/>
    <w:rsid w:val="4CB6269D"/>
    <w:rsid w:val="4CBA497C"/>
    <w:rsid w:val="4CBB4340"/>
    <w:rsid w:val="4CC410AE"/>
    <w:rsid w:val="4CC66C49"/>
    <w:rsid w:val="4CC83830"/>
    <w:rsid w:val="4CD6689C"/>
    <w:rsid w:val="4CEC4B87"/>
    <w:rsid w:val="4CF626D0"/>
    <w:rsid w:val="4CF6285E"/>
    <w:rsid w:val="4CF7331D"/>
    <w:rsid w:val="4CF96E8A"/>
    <w:rsid w:val="4CFB71C8"/>
    <w:rsid w:val="4D0A649B"/>
    <w:rsid w:val="4D0B08C1"/>
    <w:rsid w:val="4D135D42"/>
    <w:rsid w:val="4D1415F1"/>
    <w:rsid w:val="4D1C0151"/>
    <w:rsid w:val="4D227D33"/>
    <w:rsid w:val="4D275349"/>
    <w:rsid w:val="4D2910C1"/>
    <w:rsid w:val="4D2A6912"/>
    <w:rsid w:val="4D2D4D8D"/>
    <w:rsid w:val="4D36558C"/>
    <w:rsid w:val="4D365812"/>
    <w:rsid w:val="4D410F5D"/>
    <w:rsid w:val="4D422020"/>
    <w:rsid w:val="4D422183"/>
    <w:rsid w:val="4D43572F"/>
    <w:rsid w:val="4D4A1C9C"/>
    <w:rsid w:val="4D4A762C"/>
    <w:rsid w:val="4D4E0B28"/>
    <w:rsid w:val="4D510618"/>
    <w:rsid w:val="4D5325E2"/>
    <w:rsid w:val="4D62031F"/>
    <w:rsid w:val="4D635078"/>
    <w:rsid w:val="4D66702B"/>
    <w:rsid w:val="4D7021C3"/>
    <w:rsid w:val="4D785BA5"/>
    <w:rsid w:val="4D7C185B"/>
    <w:rsid w:val="4D9728D6"/>
    <w:rsid w:val="4D9B4F3A"/>
    <w:rsid w:val="4DA56DAE"/>
    <w:rsid w:val="4DA846DC"/>
    <w:rsid w:val="4DAB5F7A"/>
    <w:rsid w:val="4DB27309"/>
    <w:rsid w:val="4DB7148A"/>
    <w:rsid w:val="4DB72B71"/>
    <w:rsid w:val="4DB76A14"/>
    <w:rsid w:val="4DB82C14"/>
    <w:rsid w:val="4DB94EA7"/>
    <w:rsid w:val="4DBD51A5"/>
    <w:rsid w:val="4DBD7A5B"/>
    <w:rsid w:val="4DC17508"/>
    <w:rsid w:val="4DC60DC4"/>
    <w:rsid w:val="4DC60F90"/>
    <w:rsid w:val="4DC94F61"/>
    <w:rsid w:val="4DD36241"/>
    <w:rsid w:val="4DD43956"/>
    <w:rsid w:val="4DD54163"/>
    <w:rsid w:val="4DD64831"/>
    <w:rsid w:val="4DD94895"/>
    <w:rsid w:val="4DE1199C"/>
    <w:rsid w:val="4DE17E3C"/>
    <w:rsid w:val="4DEB45C9"/>
    <w:rsid w:val="4DED52D5"/>
    <w:rsid w:val="4DF10F64"/>
    <w:rsid w:val="4DF3106E"/>
    <w:rsid w:val="4DF70283"/>
    <w:rsid w:val="4E0062C6"/>
    <w:rsid w:val="4E040623"/>
    <w:rsid w:val="4E0713EE"/>
    <w:rsid w:val="4E07671B"/>
    <w:rsid w:val="4E0827DB"/>
    <w:rsid w:val="4E0C080E"/>
    <w:rsid w:val="4E1E499E"/>
    <w:rsid w:val="4E1F24C4"/>
    <w:rsid w:val="4E296E9F"/>
    <w:rsid w:val="4E2A0C14"/>
    <w:rsid w:val="4E2E7D37"/>
    <w:rsid w:val="4E30022D"/>
    <w:rsid w:val="4E3221F7"/>
    <w:rsid w:val="4E3A10AC"/>
    <w:rsid w:val="4E3B2540"/>
    <w:rsid w:val="4E453CD9"/>
    <w:rsid w:val="4E470864"/>
    <w:rsid w:val="4E4B32B9"/>
    <w:rsid w:val="4E4E4590"/>
    <w:rsid w:val="4E524648"/>
    <w:rsid w:val="4E56460A"/>
    <w:rsid w:val="4E654419"/>
    <w:rsid w:val="4E677DB0"/>
    <w:rsid w:val="4E6A4E82"/>
    <w:rsid w:val="4E6D64E5"/>
    <w:rsid w:val="4E6E523D"/>
    <w:rsid w:val="4E710F72"/>
    <w:rsid w:val="4E726219"/>
    <w:rsid w:val="4E7616EC"/>
    <w:rsid w:val="4E761FE7"/>
    <w:rsid w:val="4E870A66"/>
    <w:rsid w:val="4E9758EF"/>
    <w:rsid w:val="4EA00729"/>
    <w:rsid w:val="4EA14621"/>
    <w:rsid w:val="4EA21D87"/>
    <w:rsid w:val="4EAA1831"/>
    <w:rsid w:val="4EAA6232"/>
    <w:rsid w:val="4EAB30EF"/>
    <w:rsid w:val="4EBF7AA9"/>
    <w:rsid w:val="4ECC7F56"/>
    <w:rsid w:val="4ECF17A1"/>
    <w:rsid w:val="4EDD5F8A"/>
    <w:rsid w:val="4EE06E3C"/>
    <w:rsid w:val="4EE265B6"/>
    <w:rsid w:val="4EE31744"/>
    <w:rsid w:val="4EEE4370"/>
    <w:rsid w:val="4EF128D2"/>
    <w:rsid w:val="4EF363DD"/>
    <w:rsid w:val="4EF52CCE"/>
    <w:rsid w:val="4EF53B2A"/>
    <w:rsid w:val="4EF87D8C"/>
    <w:rsid w:val="4EFC1B46"/>
    <w:rsid w:val="4F027DCE"/>
    <w:rsid w:val="4F0414B8"/>
    <w:rsid w:val="4F051CCB"/>
    <w:rsid w:val="4F087D02"/>
    <w:rsid w:val="4F0A0A7E"/>
    <w:rsid w:val="4F155DA1"/>
    <w:rsid w:val="4F1A3EF9"/>
    <w:rsid w:val="4F1E38A5"/>
    <w:rsid w:val="4F221EB4"/>
    <w:rsid w:val="4F2558B8"/>
    <w:rsid w:val="4F2953A8"/>
    <w:rsid w:val="4F2B0974"/>
    <w:rsid w:val="4F380E5F"/>
    <w:rsid w:val="4F446E41"/>
    <w:rsid w:val="4F4E2192"/>
    <w:rsid w:val="4F4F0B87"/>
    <w:rsid w:val="4F4F4302"/>
    <w:rsid w:val="4F533A98"/>
    <w:rsid w:val="4F574E93"/>
    <w:rsid w:val="4F5D14F6"/>
    <w:rsid w:val="4F5E38E0"/>
    <w:rsid w:val="4F73779A"/>
    <w:rsid w:val="4F822D0B"/>
    <w:rsid w:val="4F846A83"/>
    <w:rsid w:val="4F8839EA"/>
    <w:rsid w:val="4F8847C5"/>
    <w:rsid w:val="4F904BD0"/>
    <w:rsid w:val="4F9071D6"/>
    <w:rsid w:val="4F9238A2"/>
    <w:rsid w:val="4F942D05"/>
    <w:rsid w:val="4F9608DF"/>
    <w:rsid w:val="4F98252E"/>
    <w:rsid w:val="4FB97DFA"/>
    <w:rsid w:val="4FBA49F2"/>
    <w:rsid w:val="4FC67DC3"/>
    <w:rsid w:val="4FC945C8"/>
    <w:rsid w:val="4FC96655"/>
    <w:rsid w:val="4FCF2411"/>
    <w:rsid w:val="4FD227CD"/>
    <w:rsid w:val="4FDC066D"/>
    <w:rsid w:val="4FE24E7E"/>
    <w:rsid w:val="4FF05EC6"/>
    <w:rsid w:val="4FF6732B"/>
    <w:rsid w:val="4FF97471"/>
    <w:rsid w:val="4FFA4F97"/>
    <w:rsid w:val="500122A6"/>
    <w:rsid w:val="500E459E"/>
    <w:rsid w:val="50105770"/>
    <w:rsid w:val="501A2F43"/>
    <w:rsid w:val="501D0A1A"/>
    <w:rsid w:val="501F19B2"/>
    <w:rsid w:val="50236F06"/>
    <w:rsid w:val="50306C0B"/>
    <w:rsid w:val="503B34AC"/>
    <w:rsid w:val="50461D9C"/>
    <w:rsid w:val="504D3319"/>
    <w:rsid w:val="505168CC"/>
    <w:rsid w:val="505C355C"/>
    <w:rsid w:val="50640C0D"/>
    <w:rsid w:val="50642410"/>
    <w:rsid w:val="506568B4"/>
    <w:rsid w:val="5070666E"/>
    <w:rsid w:val="50772144"/>
    <w:rsid w:val="508D5321"/>
    <w:rsid w:val="50902684"/>
    <w:rsid w:val="509C07D1"/>
    <w:rsid w:val="50A166C7"/>
    <w:rsid w:val="50B27620"/>
    <w:rsid w:val="50B62437"/>
    <w:rsid w:val="50B769E4"/>
    <w:rsid w:val="50BE4216"/>
    <w:rsid w:val="50C01D3C"/>
    <w:rsid w:val="50C57353"/>
    <w:rsid w:val="50D411F3"/>
    <w:rsid w:val="50D56791"/>
    <w:rsid w:val="50DF429E"/>
    <w:rsid w:val="50DF56DA"/>
    <w:rsid w:val="50E83041"/>
    <w:rsid w:val="50F22B5F"/>
    <w:rsid w:val="50FC0BE7"/>
    <w:rsid w:val="50FE06CE"/>
    <w:rsid w:val="51002139"/>
    <w:rsid w:val="5100482F"/>
    <w:rsid w:val="510936E3"/>
    <w:rsid w:val="51111267"/>
    <w:rsid w:val="51125918"/>
    <w:rsid w:val="51135C92"/>
    <w:rsid w:val="5114090E"/>
    <w:rsid w:val="51181B78"/>
    <w:rsid w:val="511824C9"/>
    <w:rsid w:val="51251248"/>
    <w:rsid w:val="51261749"/>
    <w:rsid w:val="51265A86"/>
    <w:rsid w:val="512814BC"/>
    <w:rsid w:val="512E0FE5"/>
    <w:rsid w:val="51355514"/>
    <w:rsid w:val="51366457"/>
    <w:rsid w:val="51387B25"/>
    <w:rsid w:val="513A094D"/>
    <w:rsid w:val="5153670D"/>
    <w:rsid w:val="51581BED"/>
    <w:rsid w:val="51657F28"/>
    <w:rsid w:val="516746FA"/>
    <w:rsid w:val="516A1F01"/>
    <w:rsid w:val="51713037"/>
    <w:rsid w:val="517718D3"/>
    <w:rsid w:val="51785BFD"/>
    <w:rsid w:val="518A5EA7"/>
    <w:rsid w:val="518F15B2"/>
    <w:rsid w:val="518F7CDA"/>
    <w:rsid w:val="51927D44"/>
    <w:rsid w:val="51937451"/>
    <w:rsid w:val="51967731"/>
    <w:rsid w:val="519A3ACF"/>
    <w:rsid w:val="51A52CE0"/>
    <w:rsid w:val="51AD1913"/>
    <w:rsid w:val="51B03B5F"/>
    <w:rsid w:val="51BD0971"/>
    <w:rsid w:val="51BF1EDD"/>
    <w:rsid w:val="51BF6EE5"/>
    <w:rsid w:val="51C37AA6"/>
    <w:rsid w:val="51C5653E"/>
    <w:rsid w:val="51C56801"/>
    <w:rsid w:val="51C60107"/>
    <w:rsid w:val="51C6336A"/>
    <w:rsid w:val="51CB42A1"/>
    <w:rsid w:val="51CB4B2F"/>
    <w:rsid w:val="51CE0A29"/>
    <w:rsid w:val="51CE3F19"/>
    <w:rsid w:val="51D04201"/>
    <w:rsid w:val="51D17B94"/>
    <w:rsid w:val="51D60E4D"/>
    <w:rsid w:val="51D67189"/>
    <w:rsid w:val="51D6733E"/>
    <w:rsid w:val="51D84E64"/>
    <w:rsid w:val="51E45A9B"/>
    <w:rsid w:val="51EA645F"/>
    <w:rsid w:val="51EE62E1"/>
    <w:rsid w:val="52036805"/>
    <w:rsid w:val="520640FF"/>
    <w:rsid w:val="52067778"/>
    <w:rsid w:val="521265C8"/>
    <w:rsid w:val="521E3EAD"/>
    <w:rsid w:val="521F6F37"/>
    <w:rsid w:val="522462FB"/>
    <w:rsid w:val="5225721D"/>
    <w:rsid w:val="52257A13"/>
    <w:rsid w:val="52290AA3"/>
    <w:rsid w:val="52325405"/>
    <w:rsid w:val="523452F7"/>
    <w:rsid w:val="52366120"/>
    <w:rsid w:val="5243098E"/>
    <w:rsid w:val="52461B27"/>
    <w:rsid w:val="52514243"/>
    <w:rsid w:val="5253273C"/>
    <w:rsid w:val="525C7843"/>
    <w:rsid w:val="525F08B8"/>
    <w:rsid w:val="52691871"/>
    <w:rsid w:val="52693681"/>
    <w:rsid w:val="526B5CD8"/>
    <w:rsid w:val="526D4CD2"/>
    <w:rsid w:val="527103FC"/>
    <w:rsid w:val="52797615"/>
    <w:rsid w:val="527F2B6C"/>
    <w:rsid w:val="528943B0"/>
    <w:rsid w:val="528F2BC1"/>
    <w:rsid w:val="52950FA7"/>
    <w:rsid w:val="529671F9"/>
    <w:rsid w:val="529A792F"/>
    <w:rsid w:val="52A1794C"/>
    <w:rsid w:val="52A4759B"/>
    <w:rsid w:val="52A86F2C"/>
    <w:rsid w:val="52AC6DB4"/>
    <w:rsid w:val="52B35629"/>
    <w:rsid w:val="52BA0823"/>
    <w:rsid w:val="52C06024"/>
    <w:rsid w:val="52C079AC"/>
    <w:rsid w:val="52C12A5B"/>
    <w:rsid w:val="52C378C2"/>
    <w:rsid w:val="52CA718B"/>
    <w:rsid w:val="52CD6993"/>
    <w:rsid w:val="52D32AFD"/>
    <w:rsid w:val="52D617B9"/>
    <w:rsid w:val="52D970E6"/>
    <w:rsid w:val="52F00857"/>
    <w:rsid w:val="52F8737A"/>
    <w:rsid w:val="52FB0264"/>
    <w:rsid w:val="53047FA7"/>
    <w:rsid w:val="530D098C"/>
    <w:rsid w:val="53126848"/>
    <w:rsid w:val="53163E96"/>
    <w:rsid w:val="531D13E5"/>
    <w:rsid w:val="53223F99"/>
    <w:rsid w:val="532E7431"/>
    <w:rsid w:val="53327308"/>
    <w:rsid w:val="533407C0"/>
    <w:rsid w:val="53397B84"/>
    <w:rsid w:val="533A3EE7"/>
    <w:rsid w:val="533C34AD"/>
    <w:rsid w:val="53481136"/>
    <w:rsid w:val="53551842"/>
    <w:rsid w:val="5356406D"/>
    <w:rsid w:val="535964C7"/>
    <w:rsid w:val="535E75EB"/>
    <w:rsid w:val="5361219D"/>
    <w:rsid w:val="536A2433"/>
    <w:rsid w:val="536C2974"/>
    <w:rsid w:val="536F0D7E"/>
    <w:rsid w:val="53773037"/>
    <w:rsid w:val="53773A87"/>
    <w:rsid w:val="538057B3"/>
    <w:rsid w:val="539128D9"/>
    <w:rsid w:val="53943FB8"/>
    <w:rsid w:val="5396536E"/>
    <w:rsid w:val="53985279"/>
    <w:rsid w:val="539F3171"/>
    <w:rsid w:val="53AD1371"/>
    <w:rsid w:val="53B1556A"/>
    <w:rsid w:val="53B4075B"/>
    <w:rsid w:val="53B552FC"/>
    <w:rsid w:val="53B8319F"/>
    <w:rsid w:val="53BD3DBF"/>
    <w:rsid w:val="53C07EE7"/>
    <w:rsid w:val="53C63DAA"/>
    <w:rsid w:val="53CB2EA2"/>
    <w:rsid w:val="53D36CC2"/>
    <w:rsid w:val="53DA2DA4"/>
    <w:rsid w:val="53DA5E8D"/>
    <w:rsid w:val="53DC031D"/>
    <w:rsid w:val="53E3418C"/>
    <w:rsid w:val="53E416B0"/>
    <w:rsid w:val="53EA6308"/>
    <w:rsid w:val="53EC70D5"/>
    <w:rsid w:val="53EE447D"/>
    <w:rsid w:val="53F31939"/>
    <w:rsid w:val="53FA37B7"/>
    <w:rsid w:val="5408252E"/>
    <w:rsid w:val="541008E5"/>
    <w:rsid w:val="541C3918"/>
    <w:rsid w:val="541F19FF"/>
    <w:rsid w:val="54232EA1"/>
    <w:rsid w:val="54241585"/>
    <w:rsid w:val="542B3971"/>
    <w:rsid w:val="542C383A"/>
    <w:rsid w:val="54300F87"/>
    <w:rsid w:val="543257FE"/>
    <w:rsid w:val="5433107F"/>
    <w:rsid w:val="54397E43"/>
    <w:rsid w:val="5441176C"/>
    <w:rsid w:val="54422A6C"/>
    <w:rsid w:val="544B4013"/>
    <w:rsid w:val="544B7B6F"/>
    <w:rsid w:val="54574766"/>
    <w:rsid w:val="545A650E"/>
    <w:rsid w:val="54674AE5"/>
    <w:rsid w:val="5475393B"/>
    <w:rsid w:val="547C16E9"/>
    <w:rsid w:val="547D6C93"/>
    <w:rsid w:val="54A11E85"/>
    <w:rsid w:val="54A13C33"/>
    <w:rsid w:val="54A220F5"/>
    <w:rsid w:val="54A31759"/>
    <w:rsid w:val="54A517D3"/>
    <w:rsid w:val="54B95421"/>
    <w:rsid w:val="54BD5556"/>
    <w:rsid w:val="54C03418"/>
    <w:rsid w:val="54D67704"/>
    <w:rsid w:val="54E47161"/>
    <w:rsid w:val="54EE02B9"/>
    <w:rsid w:val="54F46459"/>
    <w:rsid w:val="54FC43A9"/>
    <w:rsid w:val="54FC43EB"/>
    <w:rsid w:val="54FE635C"/>
    <w:rsid w:val="55052B69"/>
    <w:rsid w:val="550D3F66"/>
    <w:rsid w:val="5512068D"/>
    <w:rsid w:val="55152958"/>
    <w:rsid w:val="55241A05"/>
    <w:rsid w:val="55316F72"/>
    <w:rsid w:val="553302D1"/>
    <w:rsid w:val="5536081F"/>
    <w:rsid w:val="553C4F80"/>
    <w:rsid w:val="553F6170"/>
    <w:rsid w:val="55466588"/>
    <w:rsid w:val="55470C7B"/>
    <w:rsid w:val="554B5D6F"/>
    <w:rsid w:val="55520C18"/>
    <w:rsid w:val="55545149"/>
    <w:rsid w:val="555B039D"/>
    <w:rsid w:val="555D0567"/>
    <w:rsid w:val="555D5F45"/>
    <w:rsid w:val="555E38D2"/>
    <w:rsid w:val="55630EE8"/>
    <w:rsid w:val="556C6910"/>
    <w:rsid w:val="556D03D4"/>
    <w:rsid w:val="557064C3"/>
    <w:rsid w:val="55707024"/>
    <w:rsid w:val="557B66C6"/>
    <w:rsid w:val="5584366E"/>
    <w:rsid w:val="55920761"/>
    <w:rsid w:val="55973ECE"/>
    <w:rsid w:val="55992337"/>
    <w:rsid w:val="55992F6B"/>
    <w:rsid w:val="55B17149"/>
    <w:rsid w:val="55BC4CBA"/>
    <w:rsid w:val="55C15A64"/>
    <w:rsid w:val="55C23E61"/>
    <w:rsid w:val="55E013D5"/>
    <w:rsid w:val="55E71B19"/>
    <w:rsid w:val="55EA0EE1"/>
    <w:rsid w:val="55EE72FC"/>
    <w:rsid w:val="55F323A4"/>
    <w:rsid w:val="55FA184D"/>
    <w:rsid w:val="55FE7257"/>
    <w:rsid w:val="56005659"/>
    <w:rsid w:val="56064695"/>
    <w:rsid w:val="56094412"/>
    <w:rsid w:val="560E354A"/>
    <w:rsid w:val="561370A7"/>
    <w:rsid w:val="561B3DCB"/>
    <w:rsid w:val="561B3FE4"/>
    <w:rsid w:val="561E3510"/>
    <w:rsid w:val="561E4EBE"/>
    <w:rsid w:val="561F1F50"/>
    <w:rsid w:val="5620593A"/>
    <w:rsid w:val="562543F0"/>
    <w:rsid w:val="56262AA1"/>
    <w:rsid w:val="562B47FB"/>
    <w:rsid w:val="562D3AE7"/>
    <w:rsid w:val="562E2336"/>
    <w:rsid w:val="563542E5"/>
    <w:rsid w:val="5648005A"/>
    <w:rsid w:val="56490CF2"/>
    <w:rsid w:val="564A110B"/>
    <w:rsid w:val="564B6549"/>
    <w:rsid w:val="56582A17"/>
    <w:rsid w:val="56590C81"/>
    <w:rsid w:val="565F1615"/>
    <w:rsid w:val="56632A88"/>
    <w:rsid w:val="56667A6A"/>
    <w:rsid w:val="566A1B90"/>
    <w:rsid w:val="566B1114"/>
    <w:rsid w:val="566B5A1D"/>
    <w:rsid w:val="566E2F7F"/>
    <w:rsid w:val="56720E5C"/>
    <w:rsid w:val="56751AFE"/>
    <w:rsid w:val="567A0BDF"/>
    <w:rsid w:val="568120CE"/>
    <w:rsid w:val="568A7507"/>
    <w:rsid w:val="56902633"/>
    <w:rsid w:val="56915824"/>
    <w:rsid w:val="56951575"/>
    <w:rsid w:val="569F41A2"/>
    <w:rsid w:val="56A47A0A"/>
    <w:rsid w:val="56A812A9"/>
    <w:rsid w:val="56AB6F4A"/>
    <w:rsid w:val="56AE6596"/>
    <w:rsid w:val="56B02893"/>
    <w:rsid w:val="56B3305D"/>
    <w:rsid w:val="56B83E9E"/>
    <w:rsid w:val="56B87560"/>
    <w:rsid w:val="56BE4065"/>
    <w:rsid w:val="56C1680E"/>
    <w:rsid w:val="56C854A7"/>
    <w:rsid w:val="56D140DA"/>
    <w:rsid w:val="56D22D87"/>
    <w:rsid w:val="56D26326"/>
    <w:rsid w:val="56D4483A"/>
    <w:rsid w:val="56E060B4"/>
    <w:rsid w:val="56E60023"/>
    <w:rsid w:val="56E911DB"/>
    <w:rsid w:val="56FF0D89"/>
    <w:rsid w:val="57111A34"/>
    <w:rsid w:val="57184BFC"/>
    <w:rsid w:val="5719306B"/>
    <w:rsid w:val="571A3205"/>
    <w:rsid w:val="571C15DC"/>
    <w:rsid w:val="571C57F3"/>
    <w:rsid w:val="571E4278"/>
    <w:rsid w:val="571F0C91"/>
    <w:rsid w:val="57271A58"/>
    <w:rsid w:val="572C5589"/>
    <w:rsid w:val="572D5C52"/>
    <w:rsid w:val="5737799E"/>
    <w:rsid w:val="573D533D"/>
    <w:rsid w:val="573E6686"/>
    <w:rsid w:val="57466D32"/>
    <w:rsid w:val="575656F2"/>
    <w:rsid w:val="575862EB"/>
    <w:rsid w:val="57596A47"/>
    <w:rsid w:val="575A2924"/>
    <w:rsid w:val="575F5169"/>
    <w:rsid w:val="57684119"/>
    <w:rsid w:val="576D2146"/>
    <w:rsid w:val="577218B7"/>
    <w:rsid w:val="57766A9F"/>
    <w:rsid w:val="57847164"/>
    <w:rsid w:val="578B197C"/>
    <w:rsid w:val="57984720"/>
    <w:rsid w:val="57986764"/>
    <w:rsid w:val="57995332"/>
    <w:rsid w:val="579F2C68"/>
    <w:rsid w:val="579F5A91"/>
    <w:rsid w:val="57BC1F55"/>
    <w:rsid w:val="57BD2122"/>
    <w:rsid w:val="57C32112"/>
    <w:rsid w:val="57C87729"/>
    <w:rsid w:val="57D13B13"/>
    <w:rsid w:val="57D165DD"/>
    <w:rsid w:val="57D367F9"/>
    <w:rsid w:val="57DC0E52"/>
    <w:rsid w:val="57DD603C"/>
    <w:rsid w:val="57DE7147"/>
    <w:rsid w:val="57E02CC4"/>
    <w:rsid w:val="57E20CBD"/>
    <w:rsid w:val="57E24C8E"/>
    <w:rsid w:val="57E50EE7"/>
    <w:rsid w:val="57E722A5"/>
    <w:rsid w:val="57E74053"/>
    <w:rsid w:val="57EB66BA"/>
    <w:rsid w:val="57F81B4E"/>
    <w:rsid w:val="57FF1AFC"/>
    <w:rsid w:val="5800013B"/>
    <w:rsid w:val="580C5E98"/>
    <w:rsid w:val="581C692D"/>
    <w:rsid w:val="58203745"/>
    <w:rsid w:val="5823635D"/>
    <w:rsid w:val="58254B7B"/>
    <w:rsid w:val="58311772"/>
    <w:rsid w:val="583567F1"/>
    <w:rsid w:val="5837673D"/>
    <w:rsid w:val="585C42F0"/>
    <w:rsid w:val="585F1E3B"/>
    <w:rsid w:val="586C0EDF"/>
    <w:rsid w:val="58745ECC"/>
    <w:rsid w:val="587C673A"/>
    <w:rsid w:val="587E5669"/>
    <w:rsid w:val="58814851"/>
    <w:rsid w:val="5882098E"/>
    <w:rsid w:val="588804B7"/>
    <w:rsid w:val="588A52B4"/>
    <w:rsid w:val="58921AD3"/>
    <w:rsid w:val="58975CCB"/>
    <w:rsid w:val="5898534D"/>
    <w:rsid w:val="58A1626E"/>
    <w:rsid w:val="58A27F7A"/>
    <w:rsid w:val="58AA5EF7"/>
    <w:rsid w:val="58C61EBA"/>
    <w:rsid w:val="58CA2B88"/>
    <w:rsid w:val="58CD3249"/>
    <w:rsid w:val="58DC7930"/>
    <w:rsid w:val="58DF6CF4"/>
    <w:rsid w:val="58E862D4"/>
    <w:rsid w:val="58E95BA9"/>
    <w:rsid w:val="58FC1D80"/>
    <w:rsid w:val="5904132B"/>
    <w:rsid w:val="590B665F"/>
    <w:rsid w:val="59101387"/>
    <w:rsid w:val="591066C2"/>
    <w:rsid w:val="591075D9"/>
    <w:rsid w:val="59157827"/>
    <w:rsid w:val="59176145"/>
    <w:rsid w:val="591921E1"/>
    <w:rsid w:val="59193D74"/>
    <w:rsid w:val="591B0C23"/>
    <w:rsid w:val="591C1ADA"/>
    <w:rsid w:val="591C7D2C"/>
    <w:rsid w:val="591F270D"/>
    <w:rsid w:val="592B3FE4"/>
    <w:rsid w:val="59301A29"/>
    <w:rsid w:val="5936432D"/>
    <w:rsid w:val="59372AC5"/>
    <w:rsid w:val="593E5EF4"/>
    <w:rsid w:val="594159E5"/>
    <w:rsid w:val="594400A5"/>
    <w:rsid w:val="594472A6"/>
    <w:rsid w:val="59460EC7"/>
    <w:rsid w:val="59471FF6"/>
    <w:rsid w:val="594A7657"/>
    <w:rsid w:val="594D6137"/>
    <w:rsid w:val="5955429F"/>
    <w:rsid w:val="59561490"/>
    <w:rsid w:val="595F2875"/>
    <w:rsid w:val="595F6B3C"/>
    <w:rsid w:val="59683DC0"/>
    <w:rsid w:val="596E3941"/>
    <w:rsid w:val="59754791"/>
    <w:rsid w:val="59784A2A"/>
    <w:rsid w:val="597A1B52"/>
    <w:rsid w:val="59806A57"/>
    <w:rsid w:val="59872500"/>
    <w:rsid w:val="598B6C60"/>
    <w:rsid w:val="598D0C2A"/>
    <w:rsid w:val="599A7C6D"/>
    <w:rsid w:val="59A16CA2"/>
    <w:rsid w:val="59A33FA9"/>
    <w:rsid w:val="59A749CF"/>
    <w:rsid w:val="59AA17DC"/>
    <w:rsid w:val="59AE605B"/>
    <w:rsid w:val="59B13A03"/>
    <w:rsid w:val="59B22E18"/>
    <w:rsid w:val="59B44408"/>
    <w:rsid w:val="59BD32BD"/>
    <w:rsid w:val="59C8672D"/>
    <w:rsid w:val="59C90F05"/>
    <w:rsid w:val="59CD4A2B"/>
    <w:rsid w:val="59CE766A"/>
    <w:rsid w:val="59D14FBA"/>
    <w:rsid w:val="59D93E6F"/>
    <w:rsid w:val="59DD395F"/>
    <w:rsid w:val="59E135FA"/>
    <w:rsid w:val="59E16A51"/>
    <w:rsid w:val="59F14D15"/>
    <w:rsid w:val="59F46D49"/>
    <w:rsid w:val="59FA7A62"/>
    <w:rsid w:val="5A0A3167"/>
    <w:rsid w:val="5A0B3DB7"/>
    <w:rsid w:val="5A116B9E"/>
    <w:rsid w:val="5A13112F"/>
    <w:rsid w:val="5A146C55"/>
    <w:rsid w:val="5A2D7975"/>
    <w:rsid w:val="5A342013"/>
    <w:rsid w:val="5A366631"/>
    <w:rsid w:val="5A374B89"/>
    <w:rsid w:val="5A3764E2"/>
    <w:rsid w:val="5A3B68D8"/>
    <w:rsid w:val="5A3D61AC"/>
    <w:rsid w:val="5A4F7C8D"/>
    <w:rsid w:val="5A5A3FC0"/>
    <w:rsid w:val="5A5D23AA"/>
    <w:rsid w:val="5A644857"/>
    <w:rsid w:val="5A6E0A5B"/>
    <w:rsid w:val="5A6F20DD"/>
    <w:rsid w:val="5A706581"/>
    <w:rsid w:val="5A783688"/>
    <w:rsid w:val="5A7C3C82"/>
    <w:rsid w:val="5A7F454F"/>
    <w:rsid w:val="5A81253D"/>
    <w:rsid w:val="5A8156AB"/>
    <w:rsid w:val="5A820F0F"/>
    <w:rsid w:val="5A9410D3"/>
    <w:rsid w:val="5A9437AB"/>
    <w:rsid w:val="5A960E21"/>
    <w:rsid w:val="5A96184C"/>
    <w:rsid w:val="5A9750D9"/>
    <w:rsid w:val="5A9E0DF1"/>
    <w:rsid w:val="5AA4566E"/>
    <w:rsid w:val="5AA557F6"/>
    <w:rsid w:val="5AA659C5"/>
    <w:rsid w:val="5AB1347D"/>
    <w:rsid w:val="5AB23A35"/>
    <w:rsid w:val="5AB53F94"/>
    <w:rsid w:val="5AC421AA"/>
    <w:rsid w:val="5AC80EDD"/>
    <w:rsid w:val="5AD32AD7"/>
    <w:rsid w:val="5AE12FDB"/>
    <w:rsid w:val="5AE15225"/>
    <w:rsid w:val="5AE54C55"/>
    <w:rsid w:val="5AEB52E8"/>
    <w:rsid w:val="5AEE394A"/>
    <w:rsid w:val="5AF413B3"/>
    <w:rsid w:val="5AF71B60"/>
    <w:rsid w:val="5AFD5152"/>
    <w:rsid w:val="5B202DA7"/>
    <w:rsid w:val="5B220814"/>
    <w:rsid w:val="5B274449"/>
    <w:rsid w:val="5B280C0A"/>
    <w:rsid w:val="5B2829B8"/>
    <w:rsid w:val="5B2937BB"/>
    <w:rsid w:val="5B300B41"/>
    <w:rsid w:val="5B3300C0"/>
    <w:rsid w:val="5B346874"/>
    <w:rsid w:val="5B370E4D"/>
    <w:rsid w:val="5B371F8E"/>
    <w:rsid w:val="5B401F40"/>
    <w:rsid w:val="5B403DA0"/>
    <w:rsid w:val="5B451C46"/>
    <w:rsid w:val="5B462375"/>
    <w:rsid w:val="5B4A26E7"/>
    <w:rsid w:val="5B4F5DC4"/>
    <w:rsid w:val="5B4F7AA0"/>
    <w:rsid w:val="5B50416D"/>
    <w:rsid w:val="5B5E5ADA"/>
    <w:rsid w:val="5B5F1F57"/>
    <w:rsid w:val="5B6065F6"/>
    <w:rsid w:val="5B61236E"/>
    <w:rsid w:val="5B6D1C5E"/>
    <w:rsid w:val="5B7439DC"/>
    <w:rsid w:val="5B76550D"/>
    <w:rsid w:val="5B7C27D9"/>
    <w:rsid w:val="5B7E0124"/>
    <w:rsid w:val="5B835E40"/>
    <w:rsid w:val="5B8A3673"/>
    <w:rsid w:val="5B9015C6"/>
    <w:rsid w:val="5B903DD1"/>
    <w:rsid w:val="5B93137D"/>
    <w:rsid w:val="5BA95E07"/>
    <w:rsid w:val="5BAA261F"/>
    <w:rsid w:val="5BB05E54"/>
    <w:rsid w:val="5BB62E45"/>
    <w:rsid w:val="5BB8245A"/>
    <w:rsid w:val="5BC85F49"/>
    <w:rsid w:val="5BDE46D4"/>
    <w:rsid w:val="5BE112DE"/>
    <w:rsid w:val="5BE508A9"/>
    <w:rsid w:val="5BEC3552"/>
    <w:rsid w:val="5BF74B6C"/>
    <w:rsid w:val="5BF907F8"/>
    <w:rsid w:val="5C007491"/>
    <w:rsid w:val="5C063EDE"/>
    <w:rsid w:val="5C1465D3"/>
    <w:rsid w:val="5C1645D3"/>
    <w:rsid w:val="5C180C7F"/>
    <w:rsid w:val="5C1B51DB"/>
    <w:rsid w:val="5C1F0D56"/>
    <w:rsid w:val="5C2068F5"/>
    <w:rsid w:val="5C3914B8"/>
    <w:rsid w:val="5C393B54"/>
    <w:rsid w:val="5C3A6CDE"/>
    <w:rsid w:val="5C3E620B"/>
    <w:rsid w:val="5C5872CD"/>
    <w:rsid w:val="5C597E89"/>
    <w:rsid w:val="5C5F065B"/>
    <w:rsid w:val="5C5F49CB"/>
    <w:rsid w:val="5C6277EC"/>
    <w:rsid w:val="5C652406"/>
    <w:rsid w:val="5C6D68F5"/>
    <w:rsid w:val="5C6E089F"/>
    <w:rsid w:val="5C6E4C16"/>
    <w:rsid w:val="5C7543CA"/>
    <w:rsid w:val="5C7942D9"/>
    <w:rsid w:val="5C7C6482"/>
    <w:rsid w:val="5C7E3117"/>
    <w:rsid w:val="5C83144D"/>
    <w:rsid w:val="5C85755D"/>
    <w:rsid w:val="5C881FC6"/>
    <w:rsid w:val="5C8A20DC"/>
    <w:rsid w:val="5C945012"/>
    <w:rsid w:val="5C997BE1"/>
    <w:rsid w:val="5C9C1D83"/>
    <w:rsid w:val="5CA22C3E"/>
    <w:rsid w:val="5CA31E2B"/>
    <w:rsid w:val="5CA32EE4"/>
    <w:rsid w:val="5CA6628A"/>
    <w:rsid w:val="5CAA4206"/>
    <w:rsid w:val="5CB169DD"/>
    <w:rsid w:val="5CB200B1"/>
    <w:rsid w:val="5CB70498"/>
    <w:rsid w:val="5CB81978"/>
    <w:rsid w:val="5CB863EB"/>
    <w:rsid w:val="5CBF1F61"/>
    <w:rsid w:val="5CC132EF"/>
    <w:rsid w:val="5CC44962"/>
    <w:rsid w:val="5CCE4FCE"/>
    <w:rsid w:val="5CD31C30"/>
    <w:rsid w:val="5CD65F70"/>
    <w:rsid w:val="5CF224D6"/>
    <w:rsid w:val="5CFC5D8D"/>
    <w:rsid w:val="5CFE65C9"/>
    <w:rsid w:val="5CFF023F"/>
    <w:rsid w:val="5D007AA2"/>
    <w:rsid w:val="5D060EFB"/>
    <w:rsid w:val="5D0C6AE9"/>
    <w:rsid w:val="5D0D0C29"/>
    <w:rsid w:val="5D1209D8"/>
    <w:rsid w:val="5D1615FD"/>
    <w:rsid w:val="5D1A0A26"/>
    <w:rsid w:val="5D2C5841"/>
    <w:rsid w:val="5D2E6280"/>
    <w:rsid w:val="5D3778BE"/>
    <w:rsid w:val="5D38332A"/>
    <w:rsid w:val="5D3923D5"/>
    <w:rsid w:val="5D3A4C25"/>
    <w:rsid w:val="5D3C099D"/>
    <w:rsid w:val="5D46181B"/>
    <w:rsid w:val="5D471B21"/>
    <w:rsid w:val="5D487342"/>
    <w:rsid w:val="5D5A45D1"/>
    <w:rsid w:val="5D5C09F8"/>
    <w:rsid w:val="5D5C433C"/>
    <w:rsid w:val="5D5D6704"/>
    <w:rsid w:val="5D6A78EC"/>
    <w:rsid w:val="5D6F0D72"/>
    <w:rsid w:val="5D6F2B20"/>
    <w:rsid w:val="5D7647EC"/>
    <w:rsid w:val="5D79574D"/>
    <w:rsid w:val="5D7C523D"/>
    <w:rsid w:val="5D7F0889"/>
    <w:rsid w:val="5D834FA1"/>
    <w:rsid w:val="5D8738E6"/>
    <w:rsid w:val="5D882F9A"/>
    <w:rsid w:val="5D8D0191"/>
    <w:rsid w:val="5D8F4D1A"/>
    <w:rsid w:val="5D934290"/>
    <w:rsid w:val="5D9957EB"/>
    <w:rsid w:val="5D9B48C8"/>
    <w:rsid w:val="5D9C07F6"/>
    <w:rsid w:val="5DA11230"/>
    <w:rsid w:val="5DA90EAE"/>
    <w:rsid w:val="5DAD68CF"/>
    <w:rsid w:val="5DB80AF6"/>
    <w:rsid w:val="5DBA1FF8"/>
    <w:rsid w:val="5DBF0B82"/>
    <w:rsid w:val="5DCD5A99"/>
    <w:rsid w:val="5DCF3574"/>
    <w:rsid w:val="5DD24E5D"/>
    <w:rsid w:val="5DDB1F64"/>
    <w:rsid w:val="5DDB4A3D"/>
    <w:rsid w:val="5DDE7CB7"/>
    <w:rsid w:val="5DE316B6"/>
    <w:rsid w:val="5E06062B"/>
    <w:rsid w:val="5E0756C5"/>
    <w:rsid w:val="5E084D23"/>
    <w:rsid w:val="5E0C438B"/>
    <w:rsid w:val="5E0E1594"/>
    <w:rsid w:val="5E1D3356"/>
    <w:rsid w:val="5E1D3725"/>
    <w:rsid w:val="5E211941"/>
    <w:rsid w:val="5E2819E4"/>
    <w:rsid w:val="5E282CCF"/>
    <w:rsid w:val="5E2960AD"/>
    <w:rsid w:val="5E3157A3"/>
    <w:rsid w:val="5E32748A"/>
    <w:rsid w:val="5E3653EC"/>
    <w:rsid w:val="5E37668B"/>
    <w:rsid w:val="5E3E0745"/>
    <w:rsid w:val="5E416895"/>
    <w:rsid w:val="5E4E2F65"/>
    <w:rsid w:val="5E5A37D0"/>
    <w:rsid w:val="5E5B110F"/>
    <w:rsid w:val="5E6657AF"/>
    <w:rsid w:val="5E6A0F6E"/>
    <w:rsid w:val="5E720326"/>
    <w:rsid w:val="5E725E32"/>
    <w:rsid w:val="5E7555F7"/>
    <w:rsid w:val="5E767EDE"/>
    <w:rsid w:val="5E7A0A21"/>
    <w:rsid w:val="5E7D3261"/>
    <w:rsid w:val="5E8E0F1C"/>
    <w:rsid w:val="5E8E27B1"/>
    <w:rsid w:val="5E931FD7"/>
    <w:rsid w:val="5E981D92"/>
    <w:rsid w:val="5E9C51FA"/>
    <w:rsid w:val="5EA62DAD"/>
    <w:rsid w:val="5EAA57A2"/>
    <w:rsid w:val="5EAE2E11"/>
    <w:rsid w:val="5EB44121"/>
    <w:rsid w:val="5EB56FFB"/>
    <w:rsid w:val="5EBB1D95"/>
    <w:rsid w:val="5EC42D73"/>
    <w:rsid w:val="5EC7698C"/>
    <w:rsid w:val="5ECA750A"/>
    <w:rsid w:val="5ECC5C53"/>
    <w:rsid w:val="5ECD58CB"/>
    <w:rsid w:val="5ED17FF8"/>
    <w:rsid w:val="5ED20E77"/>
    <w:rsid w:val="5ED54C52"/>
    <w:rsid w:val="5ED864A3"/>
    <w:rsid w:val="5EDD61AF"/>
    <w:rsid w:val="5EDD6E26"/>
    <w:rsid w:val="5EE65064"/>
    <w:rsid w:val="5EEB267A"/>
    <w:rsid w:val="5EEE216B"/>
    <w:rsid w:val="5F066AF8"/>
    <w:rsid w:val="5F180506"/>
    <w:rsid w:val="5F191AFB"/>
    <w:rsid w:val="5F1D3B2D"/>
    <w:rsid w:val="5F1E3BC0"/>
    <w:rsid w:val="5F227813"/>
    <w:rsid w:val="5F2328FD"/>
    <w:rsid w:val="5F245B8C"/>
    <w:rsid w:val="5F2505CE"/>
    <w:rsid w:val="5F2569A8"/>
    <w:rsid w:val="5F322057"/>
    <w:rsid w:val="5F3412AF"/>
    <w:rsid w:val="5F395EA5"/>
    <w:rsid w:val="5F3E6C4E"/>
    <w:rsid w:val="5F443336"/>
    <w:rsid w:val="5F4B5EE4"/>
    <w:rsid w:val="5F4E6765"/>
    <w:rsid w:val="5F537870"/>
    <w:rsid w:val="5F553F46"/>
    <w:rsid w:val="5F585836"/>
    <w:rsid w:val="5F593A88"/>
    <w:rsid w:val="5F5C79BE"/>
    <w:rsid w:val="5F5D4BFA"/>
    <w:rsid w:val="5F630659"/>
    <w:rsid w:val="5F637B5C"/>
    <w:rsid w:val="5F6D2400"/>
    <w:rsid w:val="5F6D7533"/>
    <w:rsid w:val="5F707A36"/>
    <w:rsid w:val="5F8328B3"/>
    <w:rsid w:val="5F86738D"/>
    <w:rsid w:val="5F8759CF"/>
    <w:rsid w:val="5F8C7FB7"/>
    <w:rsid w:val="5F9217AD"/>
    <w:rsid w:val="5F92436A"/>
    <w:rsid w:val="5F94796C"/>
    <w:rsid w:val="5F9826B5"/>
    <w:rsid w:val="5F9F5213"/>
    <w:rsid w:val="5FA36AB1"/>
    <w:rsid w:val="5FA97E40"/>
    <w:rsid w:val="5FAA6092"/>
    <w:rsid w:val="5FAF1A3E"/>
    <w:rsid w:val="5FB05672"/>
    <w:rsid w:val="5FB52C88"/>
    <w:rsid w:val="5FB7050C"/>
    <w:rsid w:val="5FB777D9"/>
    <w:rsid w:val="5FBB1E15"/>
    <w:rsid w:val="5FBC4D33"/>
    <w:rsid w:val="5FBE3F64"/>
    <w:rsid w:val="5FBF3FC7"/>
    <w:rsid w:val="5FBF618C"/>
    <w:rsid w:val="5FC0018D"/>
    <w:rsid w:val="5FC133DB"/>
    <w:rsid w:val="5FCD1D80"/>
    <w:rsid w:val="5FCD40EC"/>
    <w:rsid w:val="5FD632A1"/>
    <w:rsid w:val="5FE70B7E"/>
    <w:rsid w:val="5FEB16C5"/>
    <w:rsid w:val="5FED2422"/>
    <w:rsid w:val="5FEF7F48"/>
    <w:rsid w:val="5FF1145E"/>
    <w:rsid w:val="5FF43BB0"/>
    <w:rsid w:val="5FFA36CB"/>
    <w:rsid w:val="5FFE63DD"/>
    <w:rsid w:val="60011A2A"/>
    <w:rsid w:val="600704CB"/>
    <w:rsid w:val="601C7169"/>
    <w:rsid w:val="601D2D62"/>
    <w:rsid w:val="60206354"/>
    <w:rsid w:val="602816AC"/>
    <w:rsid w:val="602C2F4B"/>
    <w:rsid w:val="602F4169"/>
    <w:rsid w:val="60340051"/>
    <w:rsid w:val="603718EF"/>
    <w:rsid w:val="603B2CD6"/>
    <w:rsid w:val="60451960"/>
    <w:rsid w:val="60476CE2"/>
    <w:rsid w:val="604A0AE1"/>
    <w:rsid w:val="604D3375"/>
    <w:rsid w:val="60525B05"/>
    <w:rsid w:val="605A5D15"/>
    <w:rsid w:val="605D1DF0"/>
    <w:rsid w:val="60647798"/>
    <w:rsid w:val="606869D0"/>
    <w:rsid w:val="607D76D3"/>
    <w:rsid w:val="60824919"/>
    <w:rsid w:val="60832F80"/>
    <w:rsid w:val="608369B9"/>
    <w:rsid w:val="60A71170"/>
    <w:rsid w:val="60AA74EF"/>
    <w:rsid w:val="60B0496C"/>
    <w:rsid w:val="60B1490C"/>
    <w:rsid w:val="60B62331"/>
    <w:rsid w:val="60C346C6"/>
    <w:rsid w:val="60C42130"/>
    <w:rsid w:val="60C50CA9"/>
    <w:rsid w:val="60C52B4F"/>
    <w:rsid w:val="60C73328"/>
    <w:rsid w:val="60D010E1"/>
    <w:rsid w:val="60D50803"/>
    <w:rsid w:val="60E6447A"/>
    <w:rsid w:val="60EA0710"/>
    <w:rsid w:val="61024E93"/>
    <w:rsid w:val="6106379C"/>
    <w:rsid w:val="610C5241"/>
    <w:rsid w:val="610D284A"/>
    <w:rsid w:val="610F1105"/>
    <w:rsid w:val="61141727"/>
    <w:rsid w:val="61155A6F"/>
    <w:rsid w:val="6117207C"/>
    <w:rsid w:val="611F41B0"/>
    <w:rsid w:val="61205237"/>
    <w:rsid w:val="6126611E"/>
    <w:rsid w:val="61275BC4"/>
    <w:rsid w:val="612B6850"/>
    <w:rsid w:val="613004E0"/>
    <w:rsid w:val="613B0F6B"/>
    <w:rsid w:val="614E072A"/>
    <w:rsid w:val="61515D28"/>
    <w:rsid w:val="61521585"/>
    <w:rsid w:val="61614E76"/>
    <w:rsid w:val="61665FE8"/>
    <w:rsid w:val="617030C9"/>
    <w:rsid w:val="617678DB"/>
    <w:rsid w:val="617A1A94"/>
    <w:rsid w:val="617C0E5F"/>
    <w:rsid w:val="617C627B"/>
    <w:rsid w:val="617D6400"/>
    <w:rsid w:val="617E72D4"/>
    <w:rsid w:val="617F6FC1"/>
    <w:rsid w:val="618172C6"/>
    <w:rsid w:val="61821292"/>
    <w:rsid w:val="61845429"/>
    <w:rsid w:val="618A7729"/>
    <w:rsid w:val="61907472"/>
    <w:rsid w:val="61932948"/>
    <w:rsid w:val="619D39D4"/>
    <w:rsid w:val="619F75E8"/>
    <w:rsid w:val="61A057D0"/>
    <w:rsid w:val="61A42FB4"/>
    <w:rsid w:val="61A7655F"/>
    <w:rsid w:val="61A94127"/>
    <w:rsid w:val="61AB7E9F"/>
    <w:rsid w:val="61AE7D0E"/>
    <w:rsid w:val="61BC6A68"/>
    <w:rsid w:val="61BD4AD4"/>
    <w:rsid w:val="61C3302C"/>
    <w:rsid w:val="61C471B3"/>
    <w:rsid w:val="61D41829"/>
    <w:rsid w:val="61D70C94"/>
    <w:rsid w:val="61E93520"/>
    <w:rsid w:val="61EE32A6"/>
    <w:rsid w:val="61F47A98"/>
    <w:rsid w:val="620219E0"/>
    <w:rsid w:val="6212388C"/>
    <w:rsid w:val="62156F75"/>
    <w:rsid w:val="62164897"/>
    <w:rsid w:val="621B515A"/>
    <w:rsid w:val="6221464B"/>
    <w:rsid w:val="622C0CEF"/>
    <w:rsid w:val="622C48C4"/>
    <w:rsid w:val="622F6646"/>
    <w:rsid w:val="623029B2"/>
    <w:rsid w:val="62326738"/>
    <w:rsid w:val="62344338"/>
    <w:rsid w:val="623F2D7D"/>
    <w:rsid w:val="62480406"/>
    <w:rsid w:val="62495C62"/>
    <w:rsid w:val="62532B7D"/>
    <w:rsid w:val="625E1FC6"/>
    <w:rsid w:val="62624DA7"/>
    <w:rsid w:val="62652744"/>
    <w:rsid w:val="626A3C62"/>
    <w:rsid w:val="62704242"/>
    <w:rsid w:val="62721F7A"/>
    <w:rsid w:val="6274550B"/>
    <w:rsid w:val="627D236F"/>
    <w:rsid w:val="628030DA"/>
    <w:rsid w:val="628726BA"/>
    <w:rsid w:val="62960B4F"/>
    <w:rsid w:val="6299419B"/>
    <w:rsid w:val="629B7F14"/>
    <w:rsid w:val="62A554BB"/>
    <w:rsid w:val="62A600C2"/>
    <w:rsid w:val="62B35AD8"/>
    <w:rsid w:val="62BB2091"/>
    <w:rsid w:val="62BE41DA"/>
    <w:rsid w:val="62CC631F"/>
    <w:rsid w:val="62D33022"/>
    <w:rsid w:val="62D81168"/>
    <w:rsid w:val="62DF104A"/>
    <w:rsid w:val="62E22628"/>
    <w:rsid w:val="62E25FC4"/>
    <w:rsid w:val="62E70066"/>
    <w:rsid w:val="62E713AB"/>
    <w:rsid w:val="62F664D4"/>
    <w:rsid w:val="630048F7"/>
    <w:rsid w:val="63073570"/>
    <w:rsid w:val="630B32EB"/>
    <w:rsid w:val="630E06E5"/>
    <w:rsid w:val="631D033A"/>
    <w:rsid w:val="631D75C4"/>
    <w:rsid w:val="63215DB8"/>
    <w:rsid w:val="63251ED3"/>
    <w:rsid w:val="632757F0"/>
    <w:rsid w:val="633A6571"/>
    <w:rsid w:val="633F29E1"/>
    <w:rsid w:val="63416D0D"/>
    <w:rsid w:val="634725DB"/>
    <w:rsid w:val="634C56B2"/>
    <w:rsid w:val="6353259C"/>
    <w:rsid w:val="635602DE"/>
    <w:rsid w:val="63576530"/>
    <w:rsid w:val="635B701A"/>
    <w:rsid w:val="63640C4D"/>
    <w:rsid w:val="63652925"/>
    <w:rsid w:val="636E01E1"/>
    <w:rsid w:val="636E5628"/>
    <w:rsid w:val="63754353"/>
    <w:rsid w:val="637C665D"/>
    <w:rsid w:val="637E33DD"/>
    <w:rsid w:val="637F3617"/>
    <w:rsid w:val="637F4388"/>
    <w:rsid w:val="638210D3"/>
    <w:rsid w:val="63844E4C"/>
    <w:rsid w:val="638A0451"/>
    <w:rsid w:val="638A4F30"/>
    <w:rsid w:val="639C2195"/>
    <w:rsid w:val="63B14EF3"/>
    <w:rsid w:val="63B77B8E"/>
    <w:rsid w:val="63CB66EE"/>
    <w:rsid w:val="63D00091"/>
    <w:rsid w:val="63D55654"/>
    <w:rsid w:val="63D77671"/>
    <w:rsid w:val="63D84CF0"/>
    <w:rsid w:val="63DD41E3"/>
    <w:rsid w:val="63DF2082"/>
    <w:rsid w:val="63E24358"/>
    <w:rsid w:val="63E329D5"/>
    <w:rsid w:val="63EE6769"/>
    <w:rsid w:val="63F44F6B"/>
    <w:rsid w:val="63FF121A"/>
    <w:rsid w:val="64067E94"/>
    <w:rsid w:val="640A6CED"/>
    <w:rsid w:val="640C1667"/>
    <w:rsid w:val="640E2967"/>
    <w:rsid w:val="642406E1"/>
    <w:rsid w:val="64244518"/>
    <w:rsid w:val="6427071F"/>
    <w:rsid w:val="642C59E6"/>
    <w:rsid w:val="64323C66"/>
    <w:rsid w:val="6434679F"/>
    <w:rsid w:val="643B0233"/>
    <w:rsid w:val="643D3518"/>
    <w:rsid w:val="643E7EF6"/>
    <w:rsid w:val="64462101"/>
    <w:rsid w:val="644F52EB"/>
    <w:rsid w:val="645079A9"/>
    <w:rsid w:val="64584D13"/>
    <w:rsid w:val="646C3332"/>
    <w:rsid w:val="646C5DBB"/>
    <w:rsid w:val="647A1F92"/>
    <w:rsid w:val="648A4ECF"/>
    <w:rsid w:val="648C4E8A"/>
    <w:rsid w:val="648E510E"/>
    <w:rsid w:val="64955C62"/>
    <w:rsid w:val="64993BEF"/>
    <w:rsid w:val="649B39A5"/>
    <w:rsid w:val="649D67AE"/>
    <w:rsid w:val="64A05CB5"/>
    <w:rsid w:val="64A357A5"/>
    <w:rsid w:val="64AC63B6"/>
    <w:rsid w:val="64B93503"/>
    <w:rsid w:val="64BE130D"/>
    <w:rsid w:val="64C8419E"/>
    <w:rsid w:val="64C91E1B"/>
    <w:rsid w:val="64D241D9"/>
    <w:rsid w:val="64D50079"/>
    <w:rsid w:val="64E23781"/>
    <w:rsid w:val="64E92F4D"/>
    <w:rsid w:val="64EF7D9D"/>
    <w:rsid w:val="64F44FB0"/>
    <w:rsid w:val="64FB773A"/>
    <w:rsid w:val="65006754"/>
    <w:rsid w:val="650A4AEB"/>
    <w:rsid w:val="650B7681"/>
    <w:rsid w:val="65141DE9"/>
    <w:rsid w:val="651727CC"/>
    <w:rsid w:val="65195C25"/>
    <w:rsid w:val="651E4AE7"/>
    <w:rsid w:val="652266CA"/>
    <w:rsid w:val="6524091F"/>
    <w:rsid w:val="653328BA"/>
    <w:rsid w:val="653E145C"/>
    <w:rsid w:val="654C3747"/>
    <w:rsid w:val="654D494E"/>
    <w:rsid w:val="65520FA5"/>
    <w:rsid w:val="655C5151"/>
    <w:rsid w:val="655F4C96"/>
    <w:rsid w:val="656211BC"/>
    <w:rsid w:val="65624253"/>
    <w:rsid w:val="656517F2"/>
    <w:rsid w:val="65743348"/>
    <w:rsid w:val="657767E3"/>
    <w:rsid w:val="65786809"/>
    <w:rsid w:val="657B5DDA"/>
    <w:rsid w:val="657E3181"/>
    <w:rsid w:val="65833974"/>
    <w:rsid w:val="659B7048"/>
    <w:rsid w:val="65B512EC"/>
    <w:rsid w:val="65B718B3"/>
    <w:rsid w:val="65B813E2"/>
    <w:rsid w:val="65B83E1E"/>
    <w:rsid w:val="65BD52D0"/>
    <w:rsid w:val="65BF660F"/>
    <w:rsid w:val="65D53696"/>
    <w:rsid w:val="65DA51F7"/>
    <w:rsid w:val="65DD6A95"/>
    <w:rsid w:val="65DE048F"/>
    <w:rsid w:val="65E41BD1"/>
    <w:rsid w:val="65E52F40"/>
    <w:rsid w:val="65E55800"/>
    <w:rsid w:val="65E9368C"/>
    <w:rsid w:val="65E94B0A"/>
    <w:rsid w:val="661125BE"/>
    <w:rsid w:val="66113D6C"/>
    <w:rsid w:val="66173D55"/>
    <w:rsid w:val="661B2BD2"/>
    <w:rsid w:val="66210588"/>
    <w:rsid w:val="66244894"/>
    <w:rsid w:val="66291CDA"/>
    <w:rsid w:val="662D79CE"/>
    <w:rsid w:val="66312BF0"/>
    <w:rsid w:val="6635242D"/>
    <w:rsid w:val="66356B5C"/>
    <w:rsid w:val="663578A6"/>
    <w:rsid w:val="663743F7"/>
    <w:rsid w:val="663A5C95"/>
    <w:rsid w:val="66455E1D"/>
    <w:rsid w:val="66473AFB"/>
    <w:rsid w:val="664D7777"/>
    <w:rsid w:val="664E34EF"/>
    <w:rsid w:val="66527B78"/>
    <w:rsid w:val="665B1454"/>
    <w:rsid w:val="665E7BD6"/>
    <w:rsid w:val="666176C6"/>
    <w:rsid w:val="66672FCC"/>
    <w:rsid w:val="666A657B"/>
    <w:rsid w:val="666E595E"/>
    <w:rsid w:val="667016B7"/>
    <w:rsid w:val="66715A41"/>
    <w:rsid w:val="66725DEB"/>
    <w:rsid w:val="6681065E"/>
    <w:rsid w:val="668F7750"/>
    <w:rsid w:val="669B6734"/>
    <w:rsid w:val="669C24AC"/>
    <w:rsid w:val="66A07C3D"/>
    <w:rsid w:val="66AE2836"/>
    <w:rsid w:val="66B4419A"/>
    <w:rsid w:val="66B9509F"/>
    <w:rsid w:val="66C1744F"/>
    <w:rsid w:val="66C25E3E"/>
    <w:rsid w:val="66C96A6D"/>
    <w:rsid w:val="66CF2882"/>
    <w:rsid w:val="66D13048"/>
    <w:rsid w:val="66D32372"/>
    <w:rsid w:val="66D41C46"/>
    <w:rsid w:val="66D76166"/>
    <w:rsid w:val="66DE1A77"/>
    <w:rsid w:val="66E41372"/>
    <w:rsid w:val="66E75E1D"/>
    <w:rsid w:val="66F40537"/>
    <w:rsid w:val="66F83B86"/>
    <w:rsid w:val="66F95B50"/>
    <w:rsid w:val="66FC2F4B"/>
    <w:rsid w:val="66FE3167"/>
    <w:rsid w:val="67082894"/>
    <w:rsid w:val="67092F25"/>
    <w:rsid w:val="671100FB"/>
    <w:rsid w:val="67281F92"/>
    <w:rsid w:val="672D0AB3"/>
    <w:rsid w:val="673031F4"/>
    <w:rsid w:val="67313AC8"/>
    <w:rsid w:val="6732696D"/>
    <w:rsid w:val="673A7750"/>
    <w:rsid w:val="673A7B83"/>
    <w:rsid w:val="673B7F17"/>
    <w:rsid w:val="67422180"/>
    <w:rsid w:val="674748CF"/>
    <w:rsid w:val="67496777"/>
    <w:rsid w:val="67506B17"/>
    <w:rsid w:val="675813ED"/>
    <w:rsid w:val="675D1C3B"/>
    <w:rsid w:val="676034DA"/>
    <w:rsid w:val="676905E0"/>
    <w:rsid w:val="67696832"/>
    <w:rsid w:val="676B5DD8"/>
    <w:rsid w:val="67721686"/>
    <w:rsid w:val="6773320D"/>
    <w:rsid w:val="677745D8"/>
    <w:rsid w:val="6778579B"/>
    <w:rsid w:val="6780592A"/>
    <w:rsid w:val="67957D33"/>
    <w:rsid w:val="679A69EC"/>
    <w:rsid w:val="679B09B6"/>
    <w:rsid w:val="67AD3747"/>
    <w:rsid w:val="67AE16CA"/>
    <w:rsid w:val="67B724D0"/>
    <w:rsid w:val="67B756C3"/>
    <w:rsid w:val="67C55FCF"/>
    <w:rsid w:val="67CC1F33"/>
    <w:rsid w:val="67CE51C8"/>
    <w:rsid w:val="67D533B8"/>
    <w:rsid w:val="67D635BE"/>
    <w:rsid w:val="67D839B8"/>
    <w:rsid w:val="67DF6801"/>
    <w:rsid w:val="67E1286C"/>
    <w:rsid w:val="67F13E17"/>
    <w:rsid w:val="67F87BB6"/>
    <w:rsid w:val="67F931B2"/>
    <w:rsid w:val="67FA2386"/>
    <w:rsid w:val="68024591"/>
    <w:rsid w:val="681E143E"/>
    <w:rsid w:val="681F5143"/>
    <w:rsid w:val="6820016A"/>
    <w:rsid w:val="6822175D"/>
    <w:rsid w:val="68262975"/>
    <w:rsid w:val="683A3D2B"/>
    <w:rsid w:val="683C3F47"/>
    <w:rsid w:val="683E1A6D"/>
    <w:rsid w:val="684D2A07"/>
    <w:rsid w:val="68505064"/>
    <w:rsid w:val="68516591"/>
    <w:rsid w:val="68560392"/>
    <w:rsid w:val="68580067"/>
    <w:rsid w:val="685B7F17"/>
    <w:rsid w:val="6865349E"/>
    <w:rsid w:val="68674585"/>
    <w:rsid w:val="68733608"/>
    <w:rsid w:val="6878082B"/>
    <w:rsid w:val="687A2D02"/>
    <w:rsid w:val="688343BB"/>
    <w:rsid w:val="68865F84"/>
    <w:rsid w:val="688D705F"/>
    <w:rsid w:val="68970A5A"/>
    <w:rsid w:val="689A2794"/>
    <w:rsid w:val="68A369F2"/>
    <w:rsid w:val="68A60A48"/>
    <w:rsid w:val="68A9573D"/>
    <w:rsid w:val="68AD3D8C"/>
    <w:rsid w:val="68BD3C88"/>
    <w:rsid w:val="68C53F3C"/>
    <w:rsid w:val="68CB1E67"/>
    <w:rsid w:val="68D90AF0"/>
    <w:rsid w:val="68DA686F"/>
    <w:rsid w:val="68DB19C1"/>
    <w:rsid w:val="68DB4CE6"/>
    <w:rsid w:val="68E36170"/>
    <w:rsid w:val="68E819D9"/>
    <w:rsid w:val="68ED3493"/>
    <w:rsid w:val="68EE26FE"/>
    <w:rsid w:val="68F10571"/>
    <w:rsid w:val="68F13C0B"/>
    <w:rsid w:val="68F50862"/>
    <w:rsid w:val="68F760C0"/>
    <w:rsid w:val="68F93BE6"/>
    <w:rsid w:val="68F95994"/>
    <w:rsid w:val="68FB291F"/>
    <w:rsid w:val="69040B90"/>
    <w:rsid w:val="69062542"/>
    <w:rsid w:val="6909714A"/>
    <w:rsid w:val="69125A96"/>
    <w:rsid w:val="691427CE"/>
    <w:rsid w:val="69230C63"/>
    <w:rsid w:val="69252C2D"/>
    <w:rsid w:val="69281617"/>
    <w:rsid w:val="69284ADB"/>
    <w:rsid w:val="692A1F3E"/>
    <w:rsid w:val="692A379C"/>
    <w:rsid w:val="692B0CE1"/>
    <w:rsid w:val="692D6520"/>
    <w:rsid w:val="693E3CEF"/>
    <w:rsid w:val="694767DE"/>
    <w:rsid w:val="694A4441"/>
    <w:rsid w:val="694B5740"/>
    <w:rsid w:val="69561038"/>
    <w:rsid w:val="6959151C"/>
    <w:rsid w:val="695B179B"/>
    <w:rsid w:val="69637ED3"/>
    <w:rsid w:val="696B0C22"/>
    <w:rsid w:val="697C3A7A"/>
    <w:rsid w:val="69814582"/>
    <w:rsid w:val="69821E2D"/>
    <w:rsid w:val="698330A4"/>
    <w:rsid w:val="6985699C"/>
    <w:rsid w:val="6986527A"/>
    <w:rsid w:val="698E78BA"/>
    <w:rsid w:val="698F5F67"/>
    <w:rsid w:val="69916B78"/>
    <w:rsid w:val="699851AD"/>
    <w:rsid w:val="69A23567"/>
    <w:rsid w:val="69A96D8B"/>
    <w:rsid w:val="69C74893"/>
    <w:rsid w:val="69C81B50"/>
    <w:rsid w:val="69CC12FA"/>
    <w:rsid w:val="69DC2FDF"/>
    <w:rsid w:val="69DF55A1"/>
    <w:rsid w:val="69E20612"/>
    <w:rsid w:val="69E20834"/>
    <w:rsid w:val="69EB7D82"/>
    <w:rsid w:val="69EC0ABA"/>
    <w:rsid w:val="69ED1E71"/>
    <w:rsid w:val="69F06D97"/>
    <w:rsid w:val="69F110E6"/>
    <w:rsid w:val="69F60125"/>
    <w:rsid w:val="69F734E1"/>
    <w:rsid w:val="69F80DA9"/>
    <w:rsid w:val="69F83E9D"/>
    <w:rsid w:val="69FA5E67"/>
    <w:rsid w:val="6A007968"/>
    <w:rsid w:val="6A070584"/>
    <w:rsid w:val="6A0710F2"/>
    <w:rsid w:val="6A0823F8"/>
    <w:rsid w:val="6A0E546F"/>
    <w:rsid w:val="6A102F95"/>
    <w:rsid w:val="6A1036F2"/>
    <w:rsid w:val="6A125358"/>
    <w:rsid w:val="6A160FCF"/>
    <w:rsid w:val="6A170175"/>
    <w:rsid w:val="6A1B20C9"/>
    <w:rsid w:val="6A1F435F"/>
    <w:rsid w:val="6A264739"/>
    <w:rsid w:val="6A296146"/>
    <w:rsid w:val="6A2B6021"/>
    <w:rsid w:val="6A2D7FEB"/>
    <w:rsid w:val="6A3273AF"/>
    <w:rsid w:val="6A3C4D50"/>
    <w:rsid w:val="6A411262"/>
    <w:rsid w:val="6A5601F1"/>
    <w:rsid w:val="6A627569"/>
    <w:rsid w:val="6A6629E8"/>
    <w:rsid w:val="6A7E11C4"/>
    <w:rsid w:val="6A7E25F5"/>
    <w:rsid w:val="6A7E297B"/>
    <w:rsid w:val="6A80789A"/>
    <w:rsid w:val="6A843983"/>
    <w:rsid w:val="6A846DCA"/>
    <w:rsid w:val="6A8614A9"/>
    <w:rsid w:val="6A876178"/>
    <w:rsid w:val="6A8F72B9"/>
    <w:rsid w:val="6A9635BE"/>
    <w:rsid w:val="6A9A404E"/>
    <w:rsid w:val="6A9A4F55"/>
    <w:rsid w:val="6A9E7FF6"/>
    <w:rsid w:val="6AA00147"/>
    <w:rsid w:val="6AA265C6"/>
    <w:rsid w:val="6AA74760"/>
    <w:rsid w:val="6AAB7F50"/>
    <w:rsid w:val="6AB37DC4"/>
    <w:rsid w:val="6AB853DB"/>
    <w:rsid w:val="6ABD1870"/>
    <w:rsid w:val="6ABE50E7"/>
    <w:rsid w:val="6ABF221F"/>
    <w:rsid w:val="6AC60B18"/>
    <w:rsid w:val="6ACB15B2"/>
    <w:rsid w:val="6ACF2E50"/>
    <w:rsid w:val="6AD14E1A"/>
    <w:rsid w:val="6AD31E30"/>
    <w:rsid w:val="6AD70146"/>
    <w:rsid w:val="6AD83A39"/>
    <w:rsid w:val="6ADD35FB"/>
    <w:rsid w:val="6ADF041C"/>
    <w:rsid w:val="6AE52304"/>
    <w:rsid w:val="6AE60F83"/>
    <w:rsid w:val="6AEF6DD3"/>
    <w:rsid w:val="6AF02956"/>
    <w:rsid w:val="6AF20FCD"/>
    <w:rsid w:val="6AF752E2"/>
    <w:rsid w:val="6AF865EC"/>
    <w:rsid w:val="6AFA518A"/>
    <w:rsid w:val="6AFC176B"/>
    <w:rsid w:val="6B2D55FF"/>
    <w:rsid w:val="6B341F03"/>
    <w:rsid w:val="6B3473C0"/>
    <w:rsid w:val="6B39476E"/>
    <w:rsid w:val="6B495161"/>
    <w:rsid w:val="6B4A0729"/>
    <w:rsid w:val="6B4F21E3"/>
    <w:rsid w:val="6B555AFB"/>
    <w:rsid w:val="6B574C6A"/>
    <w:rsid w:val="6B581098"/>
    <w:rsid w:val="6B611BFD"/>
    <w:rsid w:val="6B626F30"/>
    <w:rsid w:val="6B633408"/>
    <w:rsid w:val="6B6F325D"/>
    <w:rsid w:val="6B72093E"/>
    <w:rsid w:val="6B7A27A7"/>
    <w:rsid w:val="6B7D3E4B"/>
    <w:rsid w:val="6B820631"/>
    <w:rsid w:val="6B880B52"/>
    <w:rsid w:val="6B8A4FC9"/>
    <w:rsid w:val="6B8B03B8"/>
    <w:rsid w:val="6B8B7EF1"/>
    <w:rsid w:val="6B8F0831"/>
    <w:rsid w:val="6B934A08"/>
    <w:rsid w:val="6B9D3CA9"/>
    <w:rsid w:val="6BA3608B"/>
    <w:rsid w:val="6BA918F3"/>
    <w:rsid w:val="6BAB4090"/>
    <w:rsid w:val="6BB12556"/>
    <w:rsid w:val="6BB46349"/>
    <w:rsid w:val="6BBA24B6"/>
    <w:rsid w:val="6BC60733"/>
    <w:rsid w:val="6BC92D18"/>
    <w:rsid w:val="6BCC6637"/>
    <w:rsid w:val="6BCE4EB6"/>
    <w:rsid w:val="6BCE6035"/>
    <w:rsid w:val="6BD34BC2"/>
    <w:rsid w:val="6BD53CC8"/>
    <w:rsid w:val="6BD64E50"/>
    <w:rsid w:val="6BD76AC6"/>
    <w:rsid w:val="6BE04BE9"/>
    <w:rsid w:val="6BE11055"/>
    <w:rsid w:val="6BEC1C93"/>
    <w:rsid w:val="6BEC2B2E"/>
    <w:rsid w:val="6BEF05AD"/>
    <w:rsid w:val="6BFC662E"/>
    <w:rsid w:val="6C0B2B1B"/>
    <w:rsid w:val="6C0C0A3F"/>
    <w:rsid w:val="6C1172AD"/>
    <w:rsid w:val="6C197835"/>
    <w:rsid w:val="6C1A634D"/>
    <w:rsid w:val="6C292A34"/>
    <w:rsid w:val="6C2C7E07"/>
    <w:rsid w:val="6C310293"/>
    <w:rsid w:val="6C37132C"/>
    <w:rsid w:val="6C3F109E"/>
    <w:rsid w:val="6C477D1E"/>
    <w:rsid w:val="6C491FA7"/>
    <w:rsid w:val="6C4C0AD1"/>
    <w:rsid w:val="6C4E5FF7"/>
    <w:rsid w:val="6C506213"/>
    <w:rsid w:val="6C551424"/>
    <w:rsid w:val="6C574CF9"/>
    <w:rsid w:val="6C586E75"/>
    <w:rsid w:val="6C5A7023"/>
    <w:rsid w:val="6C5D7FE5"/>
    <w:rsid w:val="6C6235E8"/>
    <w:rsid w:val="6C671EC3"/>
    <w:rsid w:val="6C6778AB"/>
    <w:rsid w:val="6C6E0447"/>
    <w:rsid w:val="6C72551B"/>
    <w:rsid w:val="6C744EE0"/>
    <w:rsid w:val="6C847041"/>
    <w:rsid w:val="6C87358B"/>
    <w:rsid w:val="6C8B2DA7"/>
    <w:rsid w:val="6C8E634F"/>
    <w:rsid w:val="6C933ED4"/>
    <w:rsid w:val="6C935742"/>
    <w:rsid w:val="6C976D17"/>
    <w:rsid w:val="6CA10E9D"/>
    <w:rsid w:val="6CA52EC7"/>
    <w:rsid w:val="6CAC5558"/>
    <w:rsid w:val="6CB546E3"/>
    <w:rsid w:val="6CB6520A"/>
    <w:rsid w:val="6CBB272A"/>
    <w:rsid w:val="6CC90D79"/>
    <w:rsid w:val="6CCB7647"/>
    <w:rsid w:val="6CDC0FAA"/>
    <w:rsid w:val="6CE47C9E"/>
    <w:rsid w:val="6CE55693"/>
    <w:rsid w:val="6CEB5F3B"/>
    <w:rsid w:val="6CED6176"/>
    <w:rsid w:val="6CF05300"/>
    <w:rsid w:val="6CF145E0"/>
    <w:rsid w:val="6CF2271D"/>
    <w:rsid w:val="6CF4562A"/>
    <w:rsid w:val="6CF7043C"/>
    <w:rsid w:val="6CFA1CDB"/>
    <w:rsid w:val="6CFC0CF8"/>
    <w:rsid w:val="6D036804"/>
    <w:rsid w:val="6D071698"/>
    <w:rsid w:val="6D0F39D8"/>
    <w:rsid w:val="6D11704A"/>
    <w:rsid w:val="6D125E56"/>
    <w:rsid w:val="6D1C4B34"/>
    <w:rsid w:val="6D1C7EA3"/>
    <w:rsid w:val="6D1E1003"/>
    <w:rsid w:val="6D1E5712"/>
    <w:rsid w:val="6D244591"/>
    <w:rsid w:val="6D254FA9"/>
    <w:rsid w:val="6D3B09DB"/>
    <w:rsid w:val="6D3C22F7"/>
    <w:rsid w:val="6D3F56BC"/>
    <w:rsid w:val="6D491C00"/>
    <w:rsid w:val="6D562ED0"/>
    <w:rsid w:val="6D5D43C7"/>
    <w:rsid w:val="6D6211D5"/>
    <w:rsid w:val="6D657A9C"/>
    <w:rsid w:val="6D7C64AC"/>
    <w:rsid w:val="6D7F14DA"/>
    <w:rsid w:val="6D853C9A"/>
    <w:rsid w:val="6D8D0186"/>
    <w:rsid w:val="6D953F91"/>
    <w:rsid w:val="6D9956BA"/>
    <w:rsid w:val="6DA87B9F"/>
    <w:rsid w:val="6DAA42AB"/>
    <w:rsid w:val="6DB1683D"/>
    <w:rsid w:val="6DB176F2"/>
    <w:rsid w:val="6DB30807"/>
    <w:rsid w:val="6DBF6CE2"/>
    <w:rsid w:val="6DC45C54"/>
    <w:rsid w:val="6DC5053A"/>
    <w:rsid w:val="6DC53107"/>
    <w:rsid w:val="6DC80F28"/>
    <w:rsid w:val="6DC96BAD"/>
    <w:rsid w:val="6DCE58E2"/>
    <w:rsid w:val="6DDF6A59"/>
    <w:rsid w:val="6DE07122"/>
    <w:rsid w:val="6DF67F9A"/>
    <w:rsid w:val="6DFC351E"/>
    <w:rsid w:val="6E004123"/>
    <w:rsid w:val="6E045BC2"/>
    <w:rsid w:val="6E0649EF"/>
    <w:rsid w:val="6E0B0BFD"/>
    <w:rsid w:val="6E0C1BB5"/>
    <w:rsid w:val="6E0F4548"/>
    <w:rsid w:val="6E1A6AD8"/>
    <w:rsid w:val="6E281527"/>
    <w:rsid w:val="6E292877"/>
    <w:rsid w:val="6E36203A"/>
    <w:rsid w:val="6E4A0A40"/>
    <w:rsid w:val="6E4A36FE"/>
    <w:rsid w:val="6E4A7A10"/>
    <w:rsid w:val="6E4D3223"/>
    <w:rsid w:val="6E4E0FC6"/>
    <w:rsid w:val="6E510956"/>
    <w:rsid w:val="6E5A4005"/>
    <w:rsid w:val="6E5F56C8"/>
    <w:rsid w:val="6E625129"/>
    <w:rsid w:val="6E6B10E2"/>
    <w:rsid w:val="6E720A33"/>
    <w:rsid w:val="6E751F61"/>
    <w:rsid w:val="6E762510"/>
    <w:rsid w:val="6E7F693B"/>
    <w:rsid w:val="6E825347"/>
    <w:rsid w:val="6E835AA8"/>
    <w:rsid w:val="6E8C2E06"/>
    <w:rsid w:val="6E95412F"/>
    <w:rsid w:val="6E965E0F"/>
    <w:rsid w:val="6E9C20B4"/>
    <w:rsid w:val="6EA16987"/>
    <w:rsid w:val="6EA46E41"/>
    <w:rsid w:val="6EAC5256"/>
    <w:rsid w:val="6EAE7348"/>
    <w:rsid w:val="6EAF557F"/>
    <w:rsid w:val="6EBB49FF"/>
    <w:rsid w:val="6EC16F54"/>
    <w:rsid w:val="6EC41959"/>
    <w:rsid w:val="6EC9744D"/>
    <w:rsid w:val="6ECB392F"/>
    <w:rsid w:val="6ED45E07"/>
    <w:rsid w:val="6ED6282D"/>
    <w:rsid w:val="6ED80C66"/>
    <w:rsid w:val="6EE16435"/>
    <w:rsid w:val="6EE7195F"/>
    <w:rsid w:val="6EE93378"/>
    <w:rsid w:val="6EEC0B65"/>
    <w:rsid w:val="6EEC72A1"/>
    <w:rsid w:val="6EF020B7"/>
    <w:rsid w:val="6EF72976"/>
    <w:rsid w:val="6EFA4214"/>
    <w:rsid w:val="6F002A48"/>
    <w:rsid w:val="6F045092"/>
    <w:rsid w:val="6F052ACB"/>
    <w:rsid w:val="6F0633EF"/>
    <w:rsid w:val="6F0E1DC6"/>
    <w:rsid w:val="6F1232E1"/>
    <w:rsid w:val="6F147F92"/>
    <w:rsid w:val="6F200022"/>
    <w:rsid w:val="6F231513"/>
    <w:rsid w:val="6F2E10F9"/>
    <w:rsid w:val="6F305C3A"/>
    <w:rsid w:val="6F351BAF"/>
    <w:rsid w:val="6F433E0D"/>
    <w:rsid w:val="6F441CAA"/>
    <w:rsid w:val="6F451933"/>
    <w:rsid w:val="6F484143"/>
    <w:rsid w:val="6F4C5049"/>
    <w:rsid w:val="6F4D07E7"/>
    <w:rsid w:val="6F574271"/>
    <w:rsid w:val="6F5778B8"/>
    <w:rsid w:val="6F593630"/>
    <w:rsid w:val="6F59718C"/>
    <w:rsid w:val="6F5E29F5"/>
    <w:rsid w:val="6F5F0DC5"/>
    <w:rsid w:val="6F662024"/>
    <w:rsid w:val="6F667AFB"/>
    <w:rsid w:val="6F6A3147"/>
    <w:rsid w:val="6F6A75EB"/>
    <w:rsid w:val="6F6D0E8A"/>
    <w:rsid w:val="6F750F26"/>
    <w:rsid w:val="6F7B72E9"/>
    <w:rsid w:val="6F8166E3"/>
    <w:rsid w:val="6F8445D4"/>
    <w:rsid w:val="6F8C58B1"/>
    <w:rsid w:val="6F8D5C1A"/>
    <w:rsid w:val="6F8E342E"/>
    <w:rsid w:val="6FA8133A"/>
    <w:rsid w:val="6FAA3530"/>
    <w:rsid w:val="6FB8153F"/>
    <w:rsid w:val="6FB846F5"/>
    <w:rsid w:val="6FB940CF"/>
    <w:rsid w:val="6FBA55F4"/>
    <w:rsid w:val="6FBB4C3C"/>
    <w:rsid w:val="6FBE084A"/>
    <w:rsid w:val="6FC34F4E"/>
    <w:rsid w:val="6FC82655"/>
    <w:rsid w:val="6FC85BE2"/>
    <w:rsid w:val="6FD27139"/>
    <w:rsid w:val="6FDD7E87"/>
    <w:rsid w:val="6FE44A4D"/>
    <w:rsid w:val="6FE74079"/>
    <w:rsid w:val="6FE87350"/>
    <w:rsid w:val="6FEA07C3"/>
    <w:rsid w:val="6FF01EE9"/>
    <w:rsid w:val="6FF43662"/>
    <w:rsid w:val="6FF454B4"/>
    <w:rsid w:val="6FF70753"/>
    <w:rsid w:val="7001163F"/>
    <w:rsid w:val="70042D2E"/>
    <w:rsid w:val="7005616D"/>
    <w:rsid w:val="700A7CDF"/>
    <w:rsid w:val="70194B6E"/>
    <w:rsid w:val="701A3C85"/>
    <w:rsid w:val="701B2694"/>
    <w:rsid w:val="701F6988"/>
    <w:rsid w:val="70242284"/>
    <w:rsid w:val="70271038"/>
    <w:rsid w:val="702754DC"/>
    <w:rsid w:val="70343755"/>
    <w:rsid w:val="70352F12"/>
    <w:rsid w:val="703B0F88"/>
    <w:rsid w:val="704C6A05"/>
    <w:rsid w:val="704F558C"/>
    <w:rsid w:val="70575FF5"/>
    <w:rsid w:val="705F00BC"/>
    <w:rsid w:val="7061658F"/>
    <w:rsid w:val="70625EC0"/>
    <w:rsid w:val="7063761B"/>
    <w:rsid w:val="70691651"/>
    <w:rsid w:val="70695EF8"/>
    <w:rsid w:val="70726756"/>
    <w:rsid w:val="70750FBD"/>
    <w:rsid w:val="707A1135"/>
    <w:rsid w:val="70827219"/>
    <w:rsid w:val="70860CE0"/>
    <w:rsid w:val="70862027"/>
    <w:rsid w:val="708A455A"/>
    <w:rsid w:val="708A68F9"/>
    <w:rsid w:val="708D3467"/>
    <w:rsid w:val="709243A0"/>
    <w:rsid w:val="70983CE4"/>
    <w:rsid w:val="70AE3508"/>
    <w:rsid w:val="70BE20AC"/>
    <w:rsid w:val="70C525FF"/>
    <w:rsid w:val="70C95B11"/>
    <w:rsid w:val="70CD2B48"/>
    <w:rsid w:val="70CD7E32"/>
    <w:rsid w:val="70D23E2B"/>
    <w:rsid w:val="70D64680"/>
    <w:rsid w:val="70DF1913"/>
    <w:rsid w:val="70E02726"/>
    <w:rsid w:val="70EB1819"/>
    <w:rsid w:val="70F00C3A"/>
    <w:rsid w:val="70F1729C"/>
    <w:rsid w:val="70F22AA4"/>
    <w:rsid w:val="71126EE7"/>
    <w:rsid w:val="7113780F"/>
    <w:rsid w:val="71153587"/>
    <w:rsid w:val="71196A51"/>
    <w:rsid w:val="711D27F9"/>
    <w:rsid w:val="71200232"/>
    <w:rsid w:val="71247ACE"/>
    <w:rsid w:val="71267542"/>
    <w:rsid w:val="713338E1"/>
    <w:rsid w:val="71422988"/>
    <w:rsid w:val="714E141B"/>
    <w:rsid w:val="715F786C"/>
    <w:rsid w:val="716167CC"/>
    <w:rsid w:val="71654E27"/>
    <w:rsid w:val="71707E34"/>
    <w:rsid w:val="717A3FCB"/>
    <w:rsid w:val="717F6C52"/>
    <w:rsid w:val="718511BE"/>
    <w:rsid w:val="7185693C"/>
    <w:rsid w:val="7186244E"/>
    <w:rsid w:val="718B25C3"/>
    <w:rsid w:val="718B3849"/>
    <w:rsid w:val="718F3339"/>
    <w:rsid w:val="719477B9"/>
    <w:rsid w:val="719759F7"/>
    <w:rsid w:val="719A4503"/>
    <w:rsid w:val="719D577A"/>
    <w:rsid w:val="719E73CE"/>
    <w:rsid w:val="71A42199"/>
    <w:rsid w:val="71A43FE7"/>
    <w:rsid w:val="71A70106"/>
    <w:rsid w:val="71AE2D17"/>
    <w:rsid w:val="71B42DA0"/>
    <w:rsid w:val="71B44B4E"/>
    <w:rsid w:val="71C64EDD"/>
    <w:rsid w:val="71C92E07"/>
    <w:rsid w:val="71CB17A6"/>
    <w:rsid w:val="71CC00E9"/>
    <w:rsid w:val="71CD2C6D"/>
    <w:rsid w:val="71D13A0F"/>
    <w:rsid w:val="71D3049F"/>
    <w:rsid w:val="71D62D16"/>
    <w:rsid w:val="71D634A2"/>
    <w:rsid w:val="71D65918"/>
    <w:rsid w:val="71DD5D48"/>
    <w:rsid w:val="71E643AF"/>
    <w:rsid w:val="71E806D8"/>
    <w:rsid w:val="71EB41E4"/>
    <w:rsid w:val="71F6500C"/>
    <w:rsid w:val="71F77285"/>
    <w:rsid w:val="71FA2C4E"/>
    <w:rsid w:val="720158B9"/>
    <w:rsid w:val="720C6738"/>
    <w:rsid w:val="72113D4E"/>
    <w:rsid w:val="721215DD"/>
    <w:rsid w:val="72160662"/>
    <w:rsid w:val="721A55BB"/>
    <w:rsid w:val="721B697B"/>
    <w:rsid w:val="721D26F3"/>
    <w:rsid w:val="72216D7F"/>
    <w:rsid w:val="7232196E"/>
    <w:rsid w:val="723932A5"/>
    <w:rsid w:val="7242215A"/>
    <w:rsid w:val="724E1E90"/>
    <w:rsid w:val="724F4D0B"/>
    <w:rsid w:val="726819D1"/>
    <w:rsid w:val="727A5D97"/>
    <w:rsid w:val="728F6212"/>
    <w:rsid w:val="729131C4"/>
    <w:rsid w:val="729329B5"/>
    <w:rsid w:val="729624A5"/>
    <w:rsid w:val="729802F2"/>
    <w:rsid w:val="72AA3A4C"/>
    <w:rsid w:val="72AB1549"/>
    <w:rsid w:val="72AB7029"/>
    <w:rsid w:val="72B13D0A"/>
    <w:rsid w:val="72B17117"/>
    <w:rsid w:val="72BC4572"/>
    <w:rsid w:val="72C54B39"/>
    <w:rsid w:val="72CC236B"/>
    <w:rsid w:val="72D34D7D"/>
    <w:rsid w:val="72E340AC"/>
    <w:rsid w:val="72E42717"/>
    <w:rsid w:val="72E43211"/>
    <w:rsid w:val="72F079F1"/>
    <w:rsid w:val="72F62F44"/>
    <w:rsid w:val="72F74868"/>
    <w:rsid w:val="72F83160"/>
    <w:rsid w:val="7300126B"/>
    <w:rsid w:val="73005B71"/>
    <w:rsid w:val="73027489"/>
    <w:rsid w:val="73047724"/>
    <w:rsid w:val="730B4C41"/>
    <w:rsid w:val="73276A0C"/>
    <w:rsid w:val="73334198"/>
    <w:rsid w:val="733673D9"/>
    <w:rsid w:val="733C129F"/>
    <w:rsid w:val="733E6DC5"/>
    <w:rsid w:val="73444C4E"/>
    <w:rsid w:val="73447A7D"/>
    <w:rsid w:val="735000B1"/>
    <w:rsid w:val="73504851"/>
    <w:rsid w:val="735463C8"/>
    <w:rsid w:val="73576FF4"/>
    <w:rsid w:val="735924E2"/>
    <w:rsid w:val="735E01A5"/>
    <w:rsid w:val="736600CA"/>
    <w:rsid w:val="73661E78"/>
    <w:rsid w:val="73716FAA"/>
    <w:rsid w:val="737767F8"/>
    <w:rsid w:val="737B0530"/>
    <w:rsid w:val="737C282B"/>
    <w:rsid w:val="737E24ED"/>
    <w:rsid w:val="73844C49"/>
    <w:rsid w:val="7388115F"/>
    <w:rsid w:val="738B7B30"/>
    <w:rsid w:val="73955FA5"/>
    <w:rsid w:val="73983049"/>
    <w:rsid w:val="739A73D4"/>
    <w:rsid w:val="739C2A76"/>
    <w:rsid w:val="739F57E9"/>
    <w:rsid w:val="73A86934"/>
    <w:rsid w:val="73B07183"/>
    <w:rsid w:val="73B57E4B"/>
    <w:rsid w:val="73B82B73"/>
    <w:rsid w:val="73BA0F31"/>
    <w:rsid w:val="73C01AB0"/>
    <w:rsid w:val="73C130D8"/>
    <w:rsid w:val="73C53042"/>
    <w:rsid w:val="73D11C5C"/>
    <w:rsid w:val="73D17583"/>
    <w:rsid w:val="73D818B4"/>
    <w:rsid w:val="73DA4614"/>
    <w:rsid w:val="73DB0AB8"/>
    <w:rsid w:val="73F12089"/>
    <w:rsid w:val="73FC0A2E"/>
    <w:rsid w:val="73FC458A"/>
    <w:rsid w:val="7400051E"/>
    <w:rsid w:val="740663F7"/>
    <w:rsid w:val="741B7106"/>
    <w:rsid w:val="74203020"/>
    <w:rsid w:val="742217E5"/>
    <w:rsid w:val="74261F54"/>
    <w:rsid w:val="744644EE"/>
    <w:rsid w:val="744A31B1"/>
    <w:rsid w:val="744D3B71"/>
    <w:rsid w:val="74544B29"/>
    <w:rsid w:val="745D18E8"/>
    <w:rsid w:val="745F3497"/>
    <w:rsid w:val="74640AAD"/>
    <w:rsid w:val="746662C7"/>
    <w:rsid w:val="74687E72"/>
    <w:rsid w:val="747C24C2"/>
    <w:rsid w:val="74850A24"/>
    <w:rsid w:val="748527D2"/>
    <w:rsid w:val="74876C4F"/>
    <w:rsid w:val="748A3080"/>
    <w:rsid w:val="748C0004"/>
    <w:rsid w:val="749067A4"/>
    <w:rsid w:val="74926778"/>
    <w:rsid w:val="74942A2F"/>
    <w:rsid w:val="749972FA"/>
    <w:rsid w:val="74A7099A"/>
    <w:rsid w:val="74A82EE2"/>
    <w:rsid w:val="74A90290"/>
    <w:rsid w:val="74B213F1"/>
    <w:rsid w:val="74B27B1B"/>
    <w:rsid w:val="74BB5783"/>
    <w:rsid w:val="74C61F60"/>
    <w:rsid w:val="74CC0400"/>
    <w:rsid w:val="74CD57F7"/>
    <w:rsid w:val="74D418FF"/>
    <w:rsid w:val="74D82744"/>
    <w:rsid w:val="74DB0643"/>
    <w:rsid w:val="74DB208E"/>
    <w:rsid w:val="74E06D5C"/>
    <w:rsid w:val="74E7348C"/>
    <w:rsid w:val="74EC0A46"/>
    <w:rsid w:val="74EC589E"/>
    <w:rsid w:val="74F5036D"/>
    <w:rsid w:val="74F77D80"/>
    <w:rsid w:val="74FD05BA"/>
    <w:rsid w:val="750302DD"/>
    <w:rsid w:val="75033868"/>
    <w:rsid w:val="75041948"/>
    <w:rsid w:val="750C20C2"/>
    <w:rsid w:val="75150BB6"/>
    <w:rsid w:val="7522181F"/>
    <w:rsid w:val="75284813"/>
    <w:rsid w:val="752A3786"/>
    <w:rsid w:val="752E5AD3"/>
    <w:rsid w:val="75367E50"/>
    <w:rsid w:val="75393BB0"/>
    <w:rsid w:val="755661E3"/>
    <w:rsid w:val="755C22DD"/>
    <w:rsid w:val="755C26BF"/>
    <w:rsid w:val="755D3B49"/>
    <w:rsid w:val="755D54FC"/>
    <w:rsid w:val="756E2093"/>
    <w:rsid w:val="7571335D"/>
    <w:rsid w:val="75735A9C"/>
    <w:rsid w:val="75752846"/>
    <w:rsid w:val="757549CA"/>
    <w:rsid w:val="75764564"/>
    <w:rsid w:val="757C043C"/>
    <w:rsid w:val="758B7DA1"/>
    <w:rsid w:val="758D046E"/>
    <w:rsid w:val="758F0B16"/>
    <w:rsid w:val="759232B3"/>
    <w:rsid w:val="75924506"/>
    <w:rsid w:val="759929D8"/>
    <w:rsid w:val="759C0E51"/>
    <w:rsid w:val="75A003FD"/>
    <w:rsid w:val="75A12490"/>
    <w:rsid w:val="75A2127E"/>
    <w:rsid w:val="75A44ED9"/>
    <w:rsid w:val="75A924F0"/>
    <w:rsid w:val="75AB270C"/>
    <w:rsid w:val="75B47B1B"/>
    <w:rsid w:val="75B863E3"/>
    <w:rsid w:val="75BD1156"/>
    <w:rsid w:val="75BE243F"/>
    <w:rsid w:val="75C26938"/>
    <w:rsid w:val="75CA1286"/>
    <w:rsid w:val="75CC6EA4"/>
    <w:rsid w:val="75CF6FF0"/>
    <w:rsid w:val="75D03F20"/>
    <w:rsid w:val="75D576C6"/>
    <w:rsid w:val="75E27D6E"/>
    <w:rsid w:val="75E33C54"/>
    <w:rsid w:val="75EB2B08"/>
    <w:rsid w:val="75EF370E"/>
    <w:rsid w:val="75F25C45"/>
    <w:rsid w:val="75F662D7"/>
    <w:rsid w:val="75FA3731"/>
    <w:rsid w:val="75FE0C2A"/>
    <w:rsid w:val="760E2FC6"/>
    <w:rsid w:val="760E6331"/>
    <w:rsid w:val="76134845"/>
    <w:rsid w:val="76143E0D"/>
    <w:rsid w:val="761A6E19"/>
    <w:rsid w:val="761E670E"/>
    <w:rsid w:val="761E7399"/>
    <w:rsid w:val="762229CE"/>
    <w:rsid w:val="76234EE1"/>
    <w:rsid w:val="76242BC3"/>
    <w:rsid w:val="762431F4"/>
    <w:rsid w:val="76255738"/>
    <w:rsid w:val="762A335A"/>
    <w:rsid w:val="762A7AD4"/>
    <w:rsid w:val="762B0F1B"/>
    <w:rsid w:val="762D7DFA"/>
    <w:rsid w:val="762F0897"/>
    <w:rsid w:val="762F0C47"/>
    <w:rsid w:val="76310452"/>
    <w:rsid w:val="7635655C"/>
    <w:rsid w:val="763639DD"/>
    <w:rsid w:val="763922F4"/>
    <w:rsid w:val="763A311B"/>
    <w:rsid w:val="763C5295"/>
    <w:rsid w:val="763D0E36"/>
    <w:rsid w:val="763F59CD"/>
    <w:rsid w:val="7645409B"/>
    <w:rsid w:val="764741E2"/>
    <w:rsid w:val="764D347E"/>
    <w:rsid w:val="764D457D"/>
    <w:rsid w:val="765A0B7B"/>
    <w:rsid w:val="765E7C81"/>
    <w:rsid w:val="76631FBF"/>
    <w:rsid w:val="76676633"/>
    <w:rsid w:val="7669115C"/>
    <w:rsid w:val="766B7792"/>
    <w:rsid w:val="766E1913"/>
    <w:rsid w:val="76702DDE"/>
    <w:rsid w:val="76713672"/>
    <w:rsid w:val="76733229"/>
    <w:rsid w:val="767B647F"/>
    <w:rsid w:val="76805946"/>
    <w:rsid w:val="76920849"/>
    <w:rsid w:val="76955C78"/>
    <w:rsid w:val="76966F18"/>
    <w:rsid w:val="76991851"/>
    <w:rsid w:val="76A57BDA"/>
    <w:rsid w:val="76AC04E9"/>
    <w:rsid w:val="76B4739E"/>
    <w:rsid w:val="76B63116"/>
    <w:rsid w:val="76B96D59"/>
    <w:rsid w:val="76C05C49"/>
    <w:rsid w:val="76CA4E14"/>
    <w:rsid w:val="76D10343"/>
    <w:rsid w:val="76D2138C"/>
    <w:rsid w:val="76DA3C64"/>
    <w:rsid w:val="76DB70F1"/>
    <w:rsid w:val="76DE441B"/>
    <w:rsid w:val="76DF08BF"/>
    <w:rsid w:val="76E00193"/>
    <w:rsid w:val="76E62A28"/>
    <w:rsid w:val="76EB5504"/>
    <w:rsid w:val="76ED4113"/>
    <w:rsid w:val="76F65C09"/>
    <w:rsid w:val="76FB4FCD"/>
    <w:rsid w:val="770E0C1A"/>
    <w:rsid w:val="7711659E"/>
    <w:rsid w:val="7714207A"/>
    <w:rsid w:val="771B3980"/>
    <w:rsid w:val="771B741D"/>
    <w:rsid w:val="771F2A69"/>
    <w:rsid w:val="77271F99"/>
    <w:rsid w:val="772C6707"/>
    <w:rsid w:val="772F7464"/>
    <w:rsid w:val="7731208C"/>
    <w:rsid w:val="77343875"/>
    <w:rsid w:val="7735228D"/>
    <w:rsid w:val="773B361B"/>
    <w:rsid w:val="773D52C2"/>
    <w:rsid w:val="77454A83"/>
    <w:rsid w:val="774B075C"/>
    <w:rsid w:val="774B7D02"/>
    <w:rsid w:val="774D3A2F"/>
    <w:rsid w:val="774F5A13"/>
    <w:rsid w:val="77526798"/>
    <w:rsid w:val="7756051D"/>
    <w:rsid w:val="775841CD"/>
    <w:rsid w:val="77594712"/>
    <w:rsid w:val="775C5FD7"/>
    <w:rsid w:val="775D5504"/>
    <w:rsid w:val="775F37AE"/>
    <w:rsid w:val="77641D1B"/>
    <w:rsid w:val="776459B8"/>
    <w:rsid w:val="77672662"/>
    <w:rsid w:val="77741395"/>
    <w:rsid w:val="777728A5"/>
    <w:rsid w:val="7778611F"/>
    <w:rsid w:val="77835F42"/>
    <w:rsid w:val="77883B43"/>
    <w:rsid w:val="77896DD2"/>
    <w:rsid w:val="778B063C"/>
    <w:rsid w:val="778B6351"/>
    <w:rsid w:val="778C3E77"/>
    <w:rsid w:val="77902BE1"/>
    <w:rsid w:val="7798538D"/>
    <w:rsid w:val="779B2934"/>
    <w:rsid w:val="779F004E"/>
    <w:rsid w:val="779F1DFC"/>
    <w:rsid w:val="77A348D5"/>
    <w:rsid w:val="77A634D1"/>
    <w:rsid w:val="77C36223"/>
    <w:rsid w:val="77C96B54"/>
    <w:rsid w:val="77CB73F2"/>
    <w:rsid w:val="77D25D2E"/>
    <w:rsid w:val="77D630EC"/>
    <w:rsid w:val="77D73344"/>
    <w:rsid w:val="77D91686"/>
    <w:rsid w:val="77D96B89"/>
    <w:rsid w:val="77DC6BAC"/>
    <w:rsid w:val="77DE19E0"/>
    <w:rsid w:val="77E205AA"/>
    <w:rsid w:val="77E56A41"/>
    <w:rsid w:val="77E61C73"/>
    <w:rsid w:val="77F04406"/>
    <w:rsid w:val="77F076AB"/>
    <w:rsid w:val="77F8360C"/>
    <w:rsid w:val="77F9150C"/>
    <w:rsid w:val="77FD7254"/>
    <w:rsid w:val="78001D9A"/>
    <w:rsid w:val="78006D3F"/>
    <w:rsid w:val="78017D0D"/>
    <w:rsid w:val="78063EEF"/>
    <w:rsid w:val="780B39D6"/>
    <w:rsid w:val="7813546A"/>
    <w:rsid w:val="78164F9D"/>
    <w:rsid w:val="781C5C85"/>
    <w:rsid w:val="781E5417"/>
    <w:rsid w:val="782169F2"/>
    <w:rsid w:val="78255245"/>
    <w:rsid w:val="782858B1"/>
    <w:rsid w:val="782A7F03"/>
    <w:rsid w:val="782B18E2"/>
    <w:rsid w:val="782F64FB"/>
    <w:rsid w:val="78347BEA"/>
    <w:rsid w:val="784A656D"/>
    <w:rsid w:val="784C1F84"/>
    <w:rsid w:val="785157C9"/>
    <w:rsid w:val="7859644F"/>
    <w:rsid w:val="785E19EB"/>
    <w:rsid w:val="78645796"/>
    <w:rsid w:val="786A240A"/>
    <w:rsid w:val="786A67ED"/>
    <w:rsid w:val="78776825"/>
    <w:rsid w:val="787B4617"/>
    <w:rsid w:val="787E114F"/>
    <w:rsid w:val="78890E72"/>
    <w:rsid w:val="788F3C1F"/>
    <w:rsid w:val="78900DBA"/>
    <w:rsid w:val="78972AD3"/>
    <w:rsid w:val="789D27E0"/>
    <w:rsid w:val="789E2C69"/>
    <w:rsid w:val="78A81D4B"/>
    <w:rsid w:val="78AA387B"/>
    <w:rsid w:val="78AD6DCE"/>
    <w:rsid w:val="78B2790D"/>
    <w:rsid w:val="78B3563A"/>
    <w:rsid w:val="78B62C2E"/>
    <w:rsid w:val="78B76AB2"/>
    <w:rsid w:val="78C46F9F"/>
    <w:rsid w:val="78CA4C9D"/>
    <w:rsid w:val="78D14D12"/>
    <w:rsid w:val="78E026CC"/>
    <w:rsid w:val="78E07452"/>
    <w:rsid w:val="78E4494C"/>
    <w:rsid w:val="78EA70A7"/>
    <w:rsid w:val="78EC72C3"/>
    <w:rsid w:val="78EE0C4C"/>
    <w:rsid w:val="78FA311C"/>
    <w:rsid w:val="79052133"/>
    <w:rsid w:val="790A7963"/>
    <w:rsid w:val="79110AD8"/>
    <w:rsid w:val="79135755"/>
    <w:rsid w:val="791A55D0"/>
    <w:rsid w:val="79231027"/>
    <w:rsid w:val="7923708D"/>
    <w:rsid w:val="79256F3B"/>
    <w:rsid w:val="79292601"/>
    <w:rsid w:val="79322641"/>
    <w:rsid w:val="79326B5C"/>
    <w:rsid w:val="7936596C"/>
    <w:rsid w:val="794C148D"/>
    <w:rsid w:val="794E3ADA"/>
    <w:rsid w:val="79541474"/>
    <w:rsid w:val="79556C16"/>
    <w:rsid w:val="79557CA7"/>
    <w:rsid w:val="79586E14"/>
    <w:rsid w:val="795F5CE7"/>
    <w:rsid w:val="79616DC4"/>
    <w:rsid w:val="79654980"/>
    <w:rsid w:val="79680055"/>
    <w:rsid w:val="7969603B"/>
    <w:rsid w:val="796E7CD8"/>
    <w:rsid w:val="7971028C"/>
    <w:rsid w:val="797D43BF"/>
    <w:rsid w:val="7982489B"/>
    <w:rsid w:val="79845D9F"/>
    <w:rsid w:val="79AE27CB"/>
    <w:rsid w:val="79B76C11"/>
    <w:rsid w:val="79BC5797"/>
    <w:rsid w:val="79BD7604"/>
    <w:rsid w:val="79C002CB"/>
    <w:rsid w:val="79C35C72"/>
    <w:rsid w:val="79C45288"/>
    <w:rsid w:val="79CB058E"/>
    <w:rsid w:val="79CE0D8E"/>
    <w:rsid w:val="79CE63A9"/>
    <w:rsid w:val="79D20A2C"/>
    <w:rsid w:val="79DC704B"/>
    <w:rsid w:val="79E166FC"/>
    <w:rsid w:val="79E31BD0"/>
    <w:rsid w:val="79E34F82"/>
    <w:rsid w:val="79E54E2B"/>
    <w:rsid w:val="79E55C98"/>
    <w:rsid w:val="79E820BE"/>
    <w:rsid w:val="79EC40BD"/>
    <w:rsid w:val="79ED2075"/>
    <w:rsid w:val="79ED7113"/>
    <w:rsid w:val="79EF706B"/>
    <w:rsid w:val="79F07583"/>
    <w:rsid w:val="79FC4231"/>
    <w:rsid w:val="79FC4D1F"/>
    <w:rsid w:val="7A0E1E10"/>
    <w:rsid w:val="7A1C6AFD"/>
    <w:rsid w:val="7A290E6C"/>
    <w:rsid w:val="7A2B59A2"/>
    <w:rsid w:val="7A2E4763"/>
    <w:rsid w:val="7A39286F"/>
    <w:rsid w:val="7A3B5EBC"/>
    <w:rsid w:val="7A453A61"/>
    <w:rsid w:val="7A460C55"/>
    <w:rsid w:val="7A47696D"/>
    <w:rsid w:val="7A57076C"/>
    <w:rsid w:val="7A591612"/>
    <w:rsid w:val="7A5C2D01"/>
    <w:rsid w:val="7A65462C"/>
    <w:rsid w:val="7A6A4943"/>
    <w:rsid w:val="7A805F15"/>
    <w:rsid w:val="7A862644"/>
    <w:rsid w:val="7A886B78"/>
    <w:rsid w:val="7A895914"/>
    <w:rsid w:val="7A920D69"/>
    <w:rsid w:val="7A96124D"/>
    <w:rsid w:val="7A970A5F"/>
    <w:rsid w:val="7A990D85"/>
    <w:rsid w:val="7AA10C0E"/>
    <w:rsid w:val="7AA24C33"/>
    <w:rsid w:val="7AA377B5"/>
    <w:rsid w:val="7AB7185D"/>
    <w:rsid w:val="7AB7745D"/>
    <w:rsid w:val="7ABE4CF6"/>
    <w:rsid w:val="7ABF5752"/>
    <w:rsid w:val="7AC022EF"/>
    <w:rsid w:val="7AC35E02"/>
    <w:rsid w:val="7AC7799B"/>
    <w:rsid w:val="7AC85F87"/>
    <w:rsid w:val="7AC92AA5"/>
    <w:rsid w:val="7AC948CB"/>
    <w:rsid w:val="7AD031F2"/>
    <w:rsid w:val="7AD25691"/>
    <w:rsid w:val="7AD26045"/>
    <w:rsid w:val="7AD313B6"/>
    <w:rsid w:val="7AD54C77"/>
    <w:rsid w:val="7AD65B35"/>
    <w:rsid w:val="7ADE1882"/>
    <w:rsid w:val="7AE921C3"/>
    <w:rsid w:val="7AE94743"/>
    <w:rsid w:val="7AEE0F58"/>
    <w:rsid w:val="7AEE6E2A"/>
    <w:rsid w:val="7AF65772"/>
    <w:rsid w:val="7AF73D47"/>
    <w:rsid w:val="7AF914C0"/>
    <w:rsid w:val="7AFB0962"/>
    <w:rsid w:val="7AFE32DE"/>
    <w:rsid w:val="7B0F0542"/>
    <w:rsid w:val="7B116B6D"/>
    <w:rsid w:val="7B120866"/>
    <w:rsid w:val="7B1571BD"/>
    <w:rsid w:val="7B171802"/>
    <w:rsid w:val="7B1D086E"/>
    <w:rsid w:val="7B1D19B6"/>
    <w:rsid w:val="7B1D7C08"/>
    <w:rsid w:val="7B203254"/>
    <w:rsid w:val="7B256ABC"/>
    <w:rsid w:val="7B2D0704"/>
    <w:rsid w:val="7B2D1507"/>
    <w:rsid w:val="7B34132B"/>
    <w:rsid w:val="7B37738D"/>
    <w:rsid w:val="7B3A0C3E"/>
    <w:rsid w:val="7B4128F5"/>
    <w:rsid w:val="7B4350A0"/>
    <w:rsid w:val="7B467FC7"/>
    <w:rsid w:val="7B4927AB"/>
    <w:rsid w:val="7B4F7695"/>
    <w:rsid w:val="7B5A7DCD"/>
    <w:rsid w:val="7B5D0004"/>
    <w:rsid w:val="7B681A01"/>
    <w:rsid w:val="7B6F06F8"/>
    <w:rsid w:val="7B707D38"/>
    <w:rsid w:val="7B7317DB"/>
    <w:rsid w:val="7B747F60"/>
    <w:rsid w:val="7B754A79"/>
    <w:rsid w:val="7B7C2D28"/>
    <w:rsid w:val="7B853BB5"/>
    <w:rsid w:val="7B86410F"/>
    <w:rsid w:val="7B8F22CB"/>
    <w:rsid w:val="7B900F0C"/>
    <w:rsid w:val="7B9630A1"/>
    <w:rsid w:val="7B971768"/>
    <w:rsid w:val="7BA06143"/>
    <w:rsid w:val="7BA429B4"/>
    <w:rsid w:val="7BA64FCC"/>
    <w:rsid w:val="7BB34DAF"/>
    <w:rsid w:val="7BB87F79"/>
    <w:rsid w:val="7BBB21A7"/>
    <w:rsid w:val="7BBC0371"/>
    <w:rsid w:val="7BBC11CF"/>
    <w:rsid w:val="7BCE3D5E"/>
    <w:rsid w:val="7BD3539E"/>
    <w:rsid w:val="7BD45874"/>
    <w:rsid w:val="7BD77296"/>
    <w:rsid w:val="7BDC40FE"/>
    <w:rsid w:val="7BE10A38"/>
    <w:rsid w:val="7BE46CFD"/>
    <w:rsid w:val="7BE75B20"/>
    <w:rsid w:val="7BF035AF"/>
    <w:rsid w:val="7BF302A3"/>
    <w:rsid w:val="7BFA3AA5"/>
    <w:rsid w:val="7BFC5A6F"/>
    <w:rsid w:val="7BFE17E7"/>
    <w:rsid w:val="7BFF7C80"/>
    <w:rsid w:val="7C0115D3"/>
    <w:rsid w:val="7C0764D7"/>
    <w:rsid w:val="7C096CB3"/>
    <w:rsid w:val="7C0C0428"/>
    <w:rsid w:val="7C2D3DB3"/>
    <w:rsid w:val="7C302607"/>
    <w:rsid w:val="7C321491"/>
    <w:rsid w:val="7C340013"/>
    <w:rsid w:val="7C3C23DF"/>
    <w:rsid w:val="7C3D1311"/>
    <w:rsid w:val="7C3E0D7E"/>
    <w:rsid w:val="7C400253"/>
    <w:rsid w:val="7C464F3C"/>
    <w:rsid w:val="7C46760A"/>
    <w:rsid w:val="7C47478B"/>
    <w:rsid w:val="7C495AF7"/>
    <w:rsid w:val="7C4B4301"/>
    <w:rsid w:val="7C4E4BEE"/>
    <w:rsid w:val="7C5238E1"/>
    <w:rsid w:val="7C565733"/>
    <w:rsid w:val="7C5C7EEF"/>
    <w:rsid w:val="7C615057"/>
    <w:rsid w:val="7C65411C"/>
    <w:rsid w:val="7C6B01C3"/>
    <w:rsid w:val="7C745605"/>
    <w:rsid w:val="7C7B2E38"/>
    <w:rsid w:val="7C7C095E"/>
    <w:rsid w:val="7C8021FC"/>
    <w:rsid w:val="7C8154D1"/>
    <w:rsid w:val="7C8B0BA1"/>
    <w:rsid w:val="7C8E3FE1"/>
    <w:rsid w:val="7CA54FF4"/>
    <w:rsid w:val="7CB10BC9"/>
    <w:rsid w:val="7CB42860"/>
    <w:rsid w:val="7CB42C75"/>
    <w:rsid w:val="7CB645AE"/>
    <w:rsid w:val="7CBB76D8"/>
    <w:rsid w:val="7CC14E75"/>
    <w:rsid w:val="7CC55E61"/>
    <w:rsid w:val="7CD3238B"/>
    <w:rsid w:val="7CDE5175"/>
    <w:rsid w:val="7CE16A13"/>
    <w:rsid w:val="7CE537E3"/>
    <w:rsid w:val="7CE73B3B"/>
    <w:rsid w:val="7CE93701"/>
    <w:rsid w:val="7CEE2024"/>
    <w:rsid w:val="7CF14EA8"/>
    <w:rsid w:val="7CF4552C"/>
    <w:rsid w:val="7CF52A51"/>
    <w:rsid w:val="7CF67D38"/>
    <w:rsid w:val="7CF77FE5"/>
    <w:rsid w:val="7CFF5FBA"/>
    <w:rsid w:val="7D00333D"/>
    <w:rsid w:val="7D010984"/>
    <w:rsid w:val="7D021F92"/>
    <w:rsid w:val="7D0270B5"/>
    <w:rsid w:val="7D081E5B"/>
    <w:rsid w:val="7D096D78"/>
    <w:rsid w:val="7D216992"/>
    <w:rsid w:val="7D231CB2"/>
    <w:rsid w:val="7D241A25"/>
    <w:rsid w:val="7D250C61"/>
    <w:rsid w:val="7D270829"/>
    <w:rsid w:val="7D2C7C8E"/>
    <w:rsid w:val="7D2E7895"/>
    <w:rsid w:val="7D342FE7"/>
    <w:rsid w:val="7D3644B4"/>
    <w:rsid w:val="7D3E5F5C"/>
    <w:rsid w:val="7D4703D0"/>
    <w:rsid w:val="7D4A6514"/>
    <w:rsid w:val="7D4B26CB"/>
    <w:rsid w:val="7D4C6582"/>
    <w:rsid w:val="7D555476"/>
    <w:rsid w:val="7D5D2BC7"/>
    <w:rsid w:val="7D615EBE"/>
    <w:rsid w:val="7D657644"/>
    <w:rsid w:val="7D6F3B9E"/>
    <w:rsid w:val="7D6F401F"/>
    <w:rsid w:val="7D7864E4"/>
    <w:rsid w:val="7D7B6E68"/>
    <w:rsid w:val="7D7D673C"/>
    <w:rsid w:val="7D88568C"/>
    <w:rsid w:val="7D8A2FE4"/>
    <w:rsid w:val="7D923D1C"/>
    <w:rsid w:val="7D962394"/>
    <w:rsid w:val="7D9A5540"/>
    <w:rsid w:val="7D9F3E03"/>
    <w:rsid w:val="7DA4016C"/>
    <w:rsid w:val="7DA97531"/>
    <w:rsid w:val="7DB8087D"/>
    <w:rsid w:val="7DBF424F"/>
    <w:rsid w:val="7DC10FCE"/>
    <w:rsid w:val="7DC425BD"/>
    <w:rsid w:val="7DC53CD9"/>
    <w:rsid w:val="7DC544D5"/>
    <w:rsid w:val="7DC8187F"/>
    <w:rsid w:val="7DCD1769"/>
    <w:rsid w:val="7DD02B52"/>
    <w:rsid w:val="7DD373C4"/>
    <w:rsid w:val="7DE14B70"/>
    <w:rsid w:val="7DE2387B"/>
    <w:rsid w:val="7DE408FE"/>
    <w:rsid w:val="7DE83EAE"/>
    <w:rsid w:val="7DED0F15"/>
    <w:rsid w:val="7DED1B13"/>
    <w:rsid w:val="7DF0482B"/>
    <w:rsid w:val="7DF0526F"/>
    <w:rsid w:val="7DF45470"/>
    <w:rsid w:val="7DF45569"/>
    <w:rsid w:val="7DF63DA9"/>
    <w:rsid w:val="7E037699"/>
    <w:rsid w:val="7E044B9C"/>
    <w:rsid w:val="7E046E5D"/>
    <w:rsid w:val="7E066731"/>
    <w:rsid w:val="7E0B01EB"/>
    <w:rsid w:val="7E0E3838"/>
    <w:rsid w:val="7E126ABD"/>
    <w:rsid w:val="7E180C47"/>
    <w:rsid w:val="7E2111B6"/>
    <w:rsid w:val="7E2474EB"/>
    <w:rsid w:val="7E2B3A6B"/>
    <w:rsid w:val="7E2E247B"/>
    <w:rsid w:val="7E425B4A"/>
    <w:rsid w:val="7E492AC2"/>
    <w:rsid w:val="7E4A1640"/>
    <w:rsid w:val="7E4E1E86"/>
    <w:rsid w:val="7E551332"/>
    <w:rsid w:val="7E5A1376"/>
    <w:rsid w:val="7E5A5B06"/>
    <w:rsid w:val="7E5F5E41"/>
    <w:rsid w:val="7E610830"/>
    <w:rsid w:val="7E631DD5"/>
    <w:rsid w:val="7E6E2E4D"/>
    <w:rsid w:val="7E706BE0"/>
    <w:rsid w:val="7E815D64"/>
    <w:rsid w:val="7E8A39A9"/>
    <w:rsid w:val="7E8B4029"/>
    <w:rsid w:val="7E923843"/>
    <w:rsid w:val="7E926217"/>
    <w:rsid w:val="7EA570B1"/>
    <w:rsid w:val="7EAC460E"/>
    <w:rsid w:val="7EAF0B77"/>
    <w:rsid w:val="7EB64ADA"/>
    <w:rsid w:val="7EBE6F11"/>
    <w:rsid w:val="7EC01132"/>
    <w:rsid w:val="7EC138A4"/>
    <w:rsid w:val="7EC16430"/>
    <w:rsid w:val="7EC40A46"/>
    <w:rsid w:val="7EC53C21"/>
    <w:rsid w:val="7EC62364"/>
    <w:rsid w:val="7ECE4CFB"/>
    <w:rsid w:val="7ED00AED"/>
    <w:rsid w:val="7ED846A5"/>
    <w:rsid w:val="7EDA1503"/>
    <w:rsid w:val="7EDB61EB"/>
    <w:rsid w:val="7EDF777D"/>
    <w:rsid w:val="7EE051D4"/>
    <w:rsid w:val="7EE30DF1"/>
    <w:rsid w:val="7EE8197C"/>
    <w:rsid w:val="7EE822DB"/>
    <w:rsid w:val="7EEA6202"/>
    <w:rsid w:val="7EF54663"/>
    <w:rsid w:val="7EFB1903"/>
    <w:rsid w:val="7F0300F7"/>
    <w:rsid w:val="7F066ECC"/>
    <w:rsid w:val="7F071BF9"/>
    <w:rsid w:val="7F17126F"/>
    <w:rsid w:val="7F182B1F"/>
    <w:rsid w:val="7F1932DF"/>
    <w:rsid w:val="7F1E5CFC"/>
    <w:rsid w:val="7F243866"/>
    <w:rsid w:val="7F322421"/>
    <w:rsid w:val="7F324B31"/>
    <w:rsid w:val="7F341F76"/>
    <w:rsid w:val="7F4219EB"/>
    <w:rsid w:val="7F421A90"/>
    <w:rsid w:val="7F45772D"/>
    <w:rsid w:val="7F5003CE"/>
    <w:rsid w:val="7F526375"/>
    <w:rsid w:val="7F5D2259"/>
    <w:rsid w:val="7F5E1F5E"/>
    <w:rsid w:val="7F5F07EF"/>
    <w:rsid w:val="7F6012B7"/>
    <w:rsid w:val="7F6212F9"/>
    <w:rsid w:val="7F625BE9"/>
    <w:rsid w:val="7F700E9F"/>
    <w:rsid w:val="7F775A40"/>
    <w:rsid w:val="7F7A5538"/>
    <w:rsid w:val="7F7B6CAB"/>
    <w:rsid w:val="7F833D8D"/>
    <w:rsid w:val="7F873CA1"/>
    <w:rsid w:val="7F8C1817"/>
    <w:rsid w:val="7F8E5458"/>
    <w:rsid w:val="7F943438"/>
    <w:rsid w:val="7F954882"/>
    <w:rsid w:val="7F9F2CE0"/>
    <w:rsid w:val="7FAA52DD"/>
    <w:rsid w:val="7FB148E2"/>
    <w:rsid w:val="7FB7346C"/>
    <w:rsid w:val="7FB83A5B"/>
    <w:rsid w:val="7FB83B76"/>
    <w:rsid w:val="7FC45207"/>
    <w:rsid w:val="7FC65E22"/>
    <w:rsid w:val="7FCB5E84"/>
    <w:rsid w:val="7FCB682C"/>
    <w:rsid w:val="7FDD5BB8"/>
    <w:rsid w:val="7FE01204"/>
    <w:rsid w:val="7FE20049"/>
    <w:rsid w:val="7FED4FC7"/>
    <w:rsid w:val="7FEE3921"/>
    <w:rsid w:val="7FF539A2"/>
    <w:rsid w:val="7FFE54D1"/>
    <w:rsid w:val="7FFE6121"/>
    <w:rsid w:val="7FFF1A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iPriority="99"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4"/>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4">
    <w:name w:val="heading 2"/>
    <w:basedOn w:val="1"/>
    <w:next w:val="1"/>
    <w:link w:val="45"/>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5">
    <w:name w:val="heading 3"/>
    <w:basedOn w:val="1"/>
    <w:next w:val="1"/>
    <w:link w:val="46"/>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character" w:default="1" w:styleId="37">
    <w:name w:val="Default Paragraph Font"/>
    <w:semiHidden/>
    <w:unhideWhenUsed/>
    <w:qFormat/>
    <w:uiPriority w:val="1"/>
  </w:style>
  <w:style w:type="table" w:default="1" w:styleId="35">
    <w:name w:val="Normal Table"/>
    <w:semiHidden/>
    <w:unhideWhenUsed/>
    <w:qFormat/>
    <w:uiPriority w:val="99"/>
    <w:tblPr>
      <w:tblCellMar>
        <w:top w:w="0" w:type="dxa"/>
        <w:left w:w="108" w:type="dxa"/>
        <w:bottom w:w="0" w:type="dxa"/>
        <w:right w:w="108" w:type="dxa"/>
      </w:tblCellMar>
    </w:tblPr>
  </w:style>
  <w:style w:type="paragraph" w:styleId="2">
    <w:name w:val="List"/>
    <w:basedOn w:val="1"/>
    <w:unhideWhenUsed/>
    <w:qFormat/>
    <w:uiPriority w:val="99"/>
    <w:pPr>
      <w:ind w:left="200" w:hanging="200" w:hangingChars="200"/>
      <w:contextualSpacing/>
    </w:pPr>
  </w:style>
  <w:style w:type="paragraph" w:styleId="6">
    <w:name w:val="toc 7"/>
    <w:basedOn w:val="1"/>
    <w:next w:val="1"/>
    <w:qFormat/>
    <w:uiPriority w:val="39"/>
    <w:pPr>
      <w:ind w:left="2520" w:leftChars="1200"/>
    </w:pPr>
  </w:style>
  <w:style w:type="paragraph" w:styleId="7">
    <w:name w:val="Normal Indent"/>
    <w:basedOn w:val="1"/>
    <w:next w:val="1"/>
    <w:qFormat/>
    <w:uiPriority w:val="0"/>
    <w:pPr>
      <w:autoSpaceDE w:val="0"/>
      <w:autoSpaceDN w:val="0"/>
      <w:adjustRightInd w:val="0"/>
      <w:ind w:firstLine="420"/>
      <w:jc w:val="left"/>
    </w:pPr>
    <w:rPr>
      <w:rFonts w:ascii="宋体"/>
      <w:kern w:val="0"/>
      <w:sz w:val="24"/>
      <w:szCs w:val="20"/>
    </w:rPr>
  </w:style>
  <w:style w:type="paragraph" w:styleId="8">
    <w:name w:val="index 5"/>
    <w:basedOn w:val="1"/>
    <w:next w:val="1"/>
    <w:qFormat/>
    <w:uiPriority w:val="0"/>
    <w:pPr>
      <w:ind w:left="800" w:leftChars="800"/>
    </w:pPr>
    <w:rPr>
      <w:szCs w:val="20"/>
      <w:lang w:bidi="he-IL"/>
    </w:rPr>
  </w:style>
  <w:style w:type="paragraph" w:styleId="9">
    <w:name w:val="toa heading"/>
    <w:basedOn w:val="1"/>
    <w:next w:val="1"/>
    <w:qFormat/>
    <w:uiPriority w:val="0"/>
    <w:pPr>
      <w:spacing w:before="120"/>
    </w:pPr>
    <w:rPr>
      <w:rFonts w:ascii="Cambria" w:hAnsi="Cambria"/>
      <w:sz w:val="24"/>
    </w:rPr>
  </w:style>
  <w:style w:type="paragraph" w:styleId="10">
    <w:name w:val="annotation text"/>
    <w:basedOn w:val="1"/>
    <w:link w:val="47"/>
    <w:qFormat/>
    <w:uiPriority w:val="99"/>
    <w:pPr>
      <w:jc w:val="left"/>
    </w:pPr>
  </w:style>
  <w:style w:type="paragraph" w:styleId="11">
    <w:name w:val="Body Text"/>
    <w:basedOn w:val="1"/>
    <w:link w:val="48"/>
    <w:qFormat/>
    <w:uiPriority w:val="0"/>
    <w:pPr>
      <w:tabs>
        <w:tab w:val="left" w:pos="567"/>
      </w:tabs>
      <w:spacing w:before="120" w:line="22" w:lineRule="atLeast"/>
    </w:pPr>
    <w:rPr>
      <w:rFonts w:ascii="宋体" w:hAnsi="宋体"/>
      <w:sz w:val="24"/>
    </w:rPr>
  </w:style>
  <w:style w:type="paragraph" w:styleId="12">
    <w:name w:val="Body Text Indent"/>
    <w:basedOn w:val="1"/>
    <w:next w:val="1"/>
    <w:qFormat/>
    <w:uiPriority w:val="0"/>
    <w:pPr>
      <w:spacing w:line="360" w:lineRule="auto"/>
      <w:ind w:firstLine="570"/>
    </w:pPr>
    <w:rPr>
      <w:sz w:val="24"/>
    </w:rPr>
  </w:style>
  <w:style w:type="paragraph" w:styleId="13">
    <w:name w:val="Block Text"/>
    <w:basedOn w:val="1"/>
    <w:qFormat/>
    <w:uiPriority w:val="0"/>
    <w:pPr>
      <w:spacing w:after="120"/>
      <w:ind w:left="1440" w:leftChars="700" w:right="700" w:rightChars="700"/>
    </w:pPr>
  </w:style>
  <w:style w:type="paragraph" w:styleId="14">
    <w:name w:val="toc 5"/>
    <w:basedOn w:val="1"/>
    <w:next w:val="1"/>
    <w:qFormat/>
    <w:uiPriority w:val="39"/>
    <w:pPr>
      <w:ind w:left="1680" w:leftChars="800"/>
    </w:pPr>
  </w:style>
  <w:style w:type="paragraph" w:styleId="15">
    <w:name w:val="toc 3"/>
    <w:basedOn w:val="1"/>
    <w:next w:val="1"/>
    <w:qFormat/>
    <w:uiPriority w:val="39"/>
    <w:pPr>
      <w:tabs>
        <w:tab w:val="left" w:pos="1260"/>
        <w:tab w:val="right" w:leader="dot" w:pos="8630"/>
      </w:tabs>
      <w:ind w:left="840" w:leftChars="400"/>
    </w:pPr>
  </w:style>
  <w:style w:type="paragraph" w:styleId="16">
    <w:name w:val="Plain Text"/>
    <w:basedOn w:val="1"/>
    <w:link w:val="49"/>
    <w:qFormat/>
    <w:uiPriority w:val="0"/>
    <w:rPr>
      <w:rFonts w:ascii="宋体" w:hAnsi="Courier New"/>
      <w:szCs w:val="20"/>
    </w:rPr>
  </w:style>
  <w:style w:type="paragraph" w:styleId="17">
    <w:name w:val="toc 8"/>
    <w:basedOn w:val="1"/>
    <w:next w:val="1"/>
    <w:qFormat/>
    <w:uiPriority w:val="39"/>
    <w:pPr>
      <w:ind w:left="2940" w:leftChars="1400"/>
    </w:pPr>
  </w:style>
  <w:style w:type="paragraph" w:styleId="18">
    <w:name w:val="Date"/>
    <w:basedOn w:val="1"/>
    <w:next w:val="1"/>
    <w:link w:val="50"/>
    <w:qFormat/>
    <w:uiPriority w:val="0"/>
    <w:pPr>
      <w:ind w:left="100" w:leftChars="2500"/>
    </w:pPr>
    <w:rPr>
      <w:rFonts w:ascii="仿宋_GB2312" w:hAnsi="宋体" w:eastAsia="仿宋_GB2312"/>
      <w:color w:val="000000"/>
      <w:sz w:val="24"/>
    </w:rPr>
  </w:style>
  <w:style w:type="paragraph" w:styleId="19">
    <w:name w:val="Body Text Indent 2"/>
    <w:basedOn w:val="1"/>
    <w:qFormat/>
    <w:uiPriority w:val="0"/>
    <w:pPr>
      <w:ind w:firstLine="480" w:firstLineChars="200"/>
    </w:pPr>
    <w:rPr>
      <w:rFonts w:ascii="仿宋_GB2312" w:eastAsia="仿宋_GB2312"/>
      <w:sz w:val="24"/>
    </w:rPr>
  </w:style>
  <w:style w:type="paragraph" w:styleId="20">
    <w:name w:val="Balloon Text"/>
    <w:basedOn w:val="1"/>
    <w:link w:val="51"/>
    <w:qFormat/>
    <w:uiPriority w:val="0"/>
    <w:rPr>
      <w:sz w:val="18"/>
      <w:szCs w:val="18"/>
    </w:rPr>
  </w:style>
  <w:style w:type="paragraph" w:styleId="21">
    <w:name w:val="footer"/>
    <w:basedOn w:val="1"/>
    <w:link w:val="52"/>
    <w:qFormat/>
    <w:uiPriority w:val="99"/>
    <w:pPr>
      <w:tabs>
        <w:tab w:val="center" w:pos="4153"/>
        <w:tab w:val="right" w:pos="8306"/>
      </w:tabs>
      <w:autoSpaceDE w:val="0"/>
      <w:autoSpaceDN w:val="0"/>
      <w:adjustRightInd w:val="0"/>
      <w:snapToGrid w:val="0"/>
      <w:jc w:val="left"/>
    </w:pPr>
    <w:rPr>
      <w:rFonts w:ascii="宋体"/>
      <w:kern w:val="0"/>
      <w:sz w:val="18"/>
      <w:szCs w:val="20"/>
    </w:rPr>
  </w:style>
  <w:style w:type="paragraph" w:styleId="22">
    <w:name w:val="header"/>
    <w:basedOn w:val="1"/>
    <w:link w:val="53"/>
    <w:qFormat/>
    <w:uiPriority w:val="0"/>
    <w:pPr>
      <w:pBdr>
        <w:bottom w:val="single" w:color="auto" w:sz="6" w:space="1"/>
      </w:pBdr>
      <w:tabs>
        <w:tab w:val="center" w:pos="4153"/>
        <w:tab w:val="right" w:pos="8306"/>
      </w:tabs>
      <w:snapToGrid w:val="0"/>
      <w:jc w:val="center"/>
    </w:pPr>
    <w:rPr>
      <w:sz w:val="18"/>
      <w:szCs w:val="18"/>
    </w:rPr>
  </w:style>
  <w:style w:type="paragraph" w:styleId="23">
    <w:name w:val="toc 1"/>
    <w:basedOn w:val="1"/>
    <w:next w:val="1"/>
    <w:qFormat/>
    <w:uiPriority w:val="39"/>
  </w:style>
  <w:style w:type="paragraph" w:styleId="24">
    <w:name w:val="toc 4"/>
    <w:basedOn w:val="1"/>
    <w:next w:val="1"/>
    <w:qFormat/>
    <w:uiPriority w:val="39"/>
    <w:pPr>
      <w:ind w:left="1260" w:leftChars="600"/>
    </w:pPr>
  </w:style>
  <w:style w:type="paragraph" w:styleId="25">
    <w:name w:val="footnote text"/>
    <w:basedOn w:val="1"/>
    <w:qFormat/>
    <w:uiPriority w:val="0"/>
    <w:pPr>
      <w:snapToGrid w:val="0"/>
      <w:jc w:val="left"/>
    </w:pPr>
    <w:rPr>
      <w:sz w:val="18"/>
    </w:rPr>
  </w:style>
  <w:style w:type="paragraph" w:styleId="26">
    <w:name w:val="toc 6"/>
    <w:basedOn w:val="1"/>
    <w:next w:val="1"/>
    <w:qFormat/>
    <w:uiPriority w:val="39"/>
    <w:pPr>
      <w:ind w:left="2100" w:leftChars="1000"/>
    </w:pPr>
  </w:style>
  <w:style w:type="paragraph" w:styleId="27">
    <w:name w:val="Body Text Indent 3"/>
    <w:basedOn w:val="1"/>
    <w:qFormat/>
    <w:uiPriority w:val="0"/>
    <w:pPr>
      <w:autoSpaceDE w:val="0"/>
      <w:autoSpaceDN w:val="0"/>
      <w:adjustRightInd w:val="0"/>
      <w:spacing w:before="120" w:line="22" w:lineRule="atLeast"/>
      <w:ind w:left="720" w:firstLine="480"/>
      <w:jc w:val="left"/>
    </w:pPr>
    <w:rPr>
      <w:rFonts w:ascii="宋体"/>
      <w:kern w:val="0"/>
      <w:sz w:val="24"/>
      <w:szCs w:val="20"/>
    </w:rPr>
  </w:style>
  <w:style w:type="paragraph" w:styleId="28">
    <w:name w:val="toc 2"/>
    <w:basedOn w:val="1"/>
    <w:next w:val="1"/>
    <w:qFormat/>
    <w:uiPriority w:val="39"/>
    <w:pPr>
      <w:ind w:left="420" w:leftChars="200"/>
    </w:pPr>
  </w:style>
  <w:style w:type="paragraph" w:styleId="29">
    <w:name w:val="toc 9"/>
    <w:basedOn w:val="1"/>
    <w:next w:val="1"/>
    <w:qFormat/>
    <w:uiPriority w:val="39"/>
    <w:pPr>
      <w:ind w:left="3360" w:leftChars="1600"/>
    </w:pPr>
  </w:style>
  <w:style w:type="paragraph" w:styleId="30">
    <w:name w:val="Normal (Web)"/>
    <w:basedOn w:val="1"/>
    <w:qFormat/>
    <w:uiPriority w:val="0"/>
    <w:pPr>
      <w:spacing w:before="100" w:beforeAutospacing="1" w:after="100" w:afterAutospacing="1"/>
      <w:jc w:val="left"/>
    </w:pPr>
    <w:rPr>
      <w:kern w:val="0"/>
      <w:sz w:val="24"/>
    </w:rPr>
  </w:style>
  <w:style w:type="paragraph" w:styleId="31">
    <w:name w:val="index 1"/>
    <w:basedOn w:val="1"/>
    <w:next w:val="1"/>
    <w:semiHidden/>
    <w:qFormat/>
    <w:uiPriority w:val="0"/>
    <w:rPr>
      <w:szCs w:val="20"/>
    </w:rPr>
  </w:style>
  <w:style w:type="paragraph" w:styleId="32">
    <w:name w:val="annotation subject"/>
    <w:basedOn w:val="10"/>
    <w:next w:val="10"/>
    <w:link w:val="54"/>
    <w:qFormat/>
    <w:uiPriority w:val="0"/>
    <w:rPr>
      <w:b/>
      <w:bCs/>
    </w:rPr>
  </w:style>
  <w:style w:type="paragraph" w:styleId="33">
    <w:name w:val="Body Text First Indent"/>
    <w:basedOn w:val="11"/>
    <w:next w:val="26"/>
    <w:unhideWhenUsed/>
    <w:qFormat/>
    <w:uiPriority w:val="99"/>
    <w:pPr>
      <w:ind w:firstLine="420" w:firstLineChars="100"/>
    </w:pPr>
  </w:style>
  <w:style w:type="paragraph" w:styleId="34">
    <w:name w:val="Body Text First Indent 2"/>
    <w:basedOn w:val="12"/>
    <w:next w:val="33"/>
    <w:qFormat/>
    <w:uiPriority w:val="0"/>
    <w:pPr>
      <w:ind w:firstLine="420" w:firstLineChars="200"/>
    </w:pPr>
  </w:style>
  <w:style w:type="table" w:styleId="36">
    <w:name w:val="Table Grid"/>
    <w:basedOn w:val="3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8">
    <w:name w:val="Strong"/>
    <w:basedOn w:val="37"/>
    <w:qFormat/>
    <w:uiPriority w:val="0"/>
    <w:rPr>
      <w:b/>
    </w:rPr>
  </w:style>
  <w:style w:type="character" w:styleId="39">
    <w:name w:val="page number"/>
    <w:basedOn w:val="37"/>
    <w:qFormat/>
    <w:uiPriority w:val="0"/>
  </w:style>
  <w:style w:type="character" w:styleId="40">
    <w:name w:val="Hyperlink"/>
    <w:qFormat/>
    <w:uiPriority w:val="99"/>
    <w:rPr>
      <w:color w:val="0000FF"/>
      <w:u w:val="single"/>
    </w:rPr>
  </w:style>
  <w:style w:type="character" w:styleId="41">
    <w:name w:val="annotation reference"/>
    <w:qFormat/>
    <w:uiPriority w:val="99"/>
    <w:rPr>
      <w:sz w:val="21"/>
      <w:szCs w:val="21"/>
    </w:rPr>
  </w:style>
  <w:style w:type="character" w:styleId="42">
    <w:name w:val="HTML Sample"/>
    <w:basedOn w:val="37"/>
    <w:qFormat/>
    <w:uiPriority w:val="0"/>
    <w:rPr>
      <w:rFonts w:ascii="Courier New" w:hAnsi="Courier New"/>
    </w:rPr>
  </w:style>
  <w:style w:type="paragraph" w:customStyle="1" w:styleId="43">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character" w:customStyle="1" w:styleId="44">
    <w:name w:val="标题 1 Char"/>
    <w:link w:val="3"/>
    <w:qFormat/>
    <w:uiPriority w:val="0"/>
    <w:rPr>
      <w:rFonts w:ascii="宋体"/>
      <w:b/>
      <w:kern w:val="44"/>
      <w:sz w:val="32"/>
    </w:rPr>
  </w:style>
  <w:style w:type="character" w:customStyle="1" w:styleId="45">
    <w:name w:val="标题 2 Char"/>
    <w:link w:val="4"/>
    <w:qFormat/>
    <w:uiPriority w:val="0"/>
    <w:rPr>
      <w:rFonts w:ascii="Arial" w:hAnsi="Arial" w:eastAsia="黑体"/>
      <w:b/>
      <w:sz w:val="30"/>
    </w:rPr>
  </w:style>
  <w:style w:type="character" w:customStyle="1" w:styleId="46">
    <w:name w:val="标题 3 Char"/>
    <w:link w:val="5"/>
    <w:qFormat/>
    <w:uiPriority w:val="0"/>
    <w:rPr>
      <w:rFonts w:ascii="宋体"/>
      <w:b/>
      <w:sz w:val="24"/>
      <w:u w:val="single"/>
    </w:rPr>
  </w:style>
  <w:style w:type="character" w:customStyle="1" w:styleId="47">
    <w:name w:val="批注文字 Char"/>
    <w:link w:val="10"/>
    <w:qFormat/>
    <w:uiPriority w:val="99"/>
    <w:rPr>
      <w:kern w:val="2"/>
      <w:sz w:val="21"/>
      <w:szCs w:val="24"/>
    </w:rPr>
  </w:style>
  <w:style w:type="character" w:customStyle="1" w:styleId="48">
    <w:name w:val="正文文本 Char"/>
    <w:link w:val="11"/>
    <w:qFormat/>
    <w:uiPriority w:val="0"/>
    <w:rPr>
      <w:rFonts w:ascii="宋体" w:hAnsi="宋体"/>
      <w:kern w:val="2"/>
      <w:sz w:val="24"/>
      <w:szCs w:val="24"/>
    </w:rPr>
  </w:style>
  <w:style w:type="character" w:customStyle="1" w:styleId="49">
    <w:name w:val="纯文本 Char"/>
    <w:link w:val="16"/>
    <w:qFormat/>
    <w:uiPriority w:val="0"/>
    <w:rPr>
      <w:rFonts w:ascii="宋体" w:hAnsi="Courier New"/>
      <w:kern w:val="2"/>
      <w:sz w:val="21"/>
    </w:rPr>
  </w:style>
  <w:style w:type="character" w:customStyle="1" w:styleId="50">
    <w:name w:val="日期 Char"/>
    <w:link w:val="18"/>
    <w:qFormat/>
    <w:uiPriority w:val="0"/>
    <w:rPr>
      <w:rFonts w:ascii="仿宋_GB2312" w:hAnsi="宋体" w:eastAsia="仿宋_GB2312"/>
      <w:color w:val="000000"/>
      <w:kern w:val="2"/>
      <w:sz w:val="24"/>
      <w:szCs w:val="24"/>
    </w:rPr>
  </w:style>
  <w:style w:type="character" w:customStyle="1" w:styleId="51">
    <w:name w:val="批注框文本 Char"/>
    <w:link w:val="20"/>
    <w:qFormat/>
    <w:uiPriority w:val="0"/>
    <w:rPr>
      <w:kern w:val="2"/>
      <w:sz w:val="18"/>
      <w:szCs w:val="18"/>
    </w:rPr>
  </w:style>
  <w:style w:type="character" w:customStyle="1" w:styleId="52">
    <w:name w:val="页脚 Char"/>
    <w:link w:val="21"/>
    <w:qFormat/>
    <w:uiPriority w:val="99"/>
    <w:rPr>
      <w:rFonts w:ascii="宋体"/>
      <w:sz w:val="18"/>
    </w:rPr>
  </w:style>
  <w:style w:type="character" w:customStyle="1" w:styleId="53">
    <w:name w:val="页眉 Char"/>
    <w:link w:val="22"/>
    <w:qFormat/>
    <w:uiPriority w:val="0"/>
    <w:rPr>
      <w:kern w:val="2"/>
      <w:sz w:val="18"/>
      <w:szCs w:val="18"/>
    </w:rPr>
  </w:style>
  <w:style w:type="character" w:customStyle="1" w:styleId="54">
    <w:name w:val="批注主题 Char"/>
    <w:link w:val="32"/>
    <w:qFormat/>
    <w:uiPriority w:val="0"/>
    <w:rPr>
      <w:b/>
      <w:bCs/>
      <w:kern w:val="2"/>
      <w:sz w:val="21"/>
      <w:szCs w:val="24"/>
    </w:rPr>
  </w:style>
  <w:style w:type="paragraph" w:customStyle="1" w:styleId="55">
    <w:name w:val="Style1"/>
    <w:basedOn w:val="1"/>
    <w:qFormat/>
    <w:uiPriority w:val="0"/>
    <w:pPr>
      <w:widowControl/>
      <w:tabs>
        <w:tab w:val="left" w:pos="-720"/>
      </w:tabs>
      <w:spacing w:after="120"/>
    </w:pPr>
    <w:rPr>
      <w:spacing w:val="-3"/>
      <w:kern w:val="0"/>
      <w:sz w:val="24"/>
      <w:szCs w:val="20"/>
      <w:lang w:val="en-AU" w:eastAsia="en-US"/>
    </w:rPr>
  </w:style>
  <w:style w:type="character" w:customStyle="1" w:styleId="56">
    <w:name w:val="font101"/>
    <w:basedOn w:val="37"/>
    <w:qFormat/>
    <w:uiPriority w:val="0"/>
    <w:rPr>
      <w:rFonts w:hint="eastAsia" w:ascii="宋体" w:hAnsi="宋体" w:eastAsia="宋体" w:cs="宋体"/>
      <w:b/>
      <w:color w:val="FF0000"/>
      <w:sz w:val="22"/>
      <w:szCs w:val="22"/>
      <w:u w:val="none"/>
    </w:rPr>
  </w:style>
  <w:style w:type="character" w:customStyle="1" w:styleId="57">
    <w:name w:val="正文缩进 Char1"/>
    <w:link w:val="58"/>
    <w:qFormat/>
    <w:uiPriority w:val="0"/>
    <w:rPr>
      <w:rFonts w:ascii="宋体"/>
      <w:sz w:val="24"/>
    </w:rPr>
  </w:style>
  <w:style w:type="paragraph" w:customStyle="1" w:styleId="58">
    <w:name w:val="正文缩进1"/>
    <w:basedOn w:val="1"/>
    <w:link w:val="57"/>
    <w:qFormat/>
    <w:uiPriority w:val="0"/>
    <w:pPr>
      <w:autoSpaceDE w:val="0"/>
      <w:autoSpaceDN w:val="0"/>
      <w:adjustRightInd w:val="0"/>
      <w:ind w:firstLine="420"/>
      <w:jc w:val="left"/>
    </w:pPr>
    <w:rPr>
      <w:rFonts w:ascii="宋体"/>
      <w:kern w:val="0"/>
      <w:sz w:val="24"/>
      <w:szCs w:val="20"/>
    </w:rPr>
  </w:style>
  <w:style w:type="character" w:customStyle="1" w:styleId="59">
    <w:name w:val="font61"/>
    <w:basedOn w:val="37"/>
    <w:qFormat/>
    <w:uiPriority w:val="0"/>
    <w:rPr>
      <w:rFonts w:hint="eastAsia" w:ascii="宋体" w:hAnsi="宋体" w:eastAsia="宋体" w:cs="宋体"/>
      <w:b/>
      <w:color w:val="FF0000"/>
      <w:sz w:val="20"/>
      <w:szCs w:val="20"/>
      <w:u w:val="none"/>
    </w:rPr>
  </w:style>
  <w:style w:type="character" w:customStyle="1" w:styleId="60">
    <w:name w:val="font51"/>
    <w:basedOn w:val="37"/>
    <w:qFormat/>
    <w:uiPriority w:val="0"/>
    <w:rPr>
      <w:rFonts w:hint="eastAsia" w:ascii="宋体" w:hAnsi="宋体" w:eastAsia="宋体" w:cs="宋体"/>
      <w:b/>
      <w:color w:val="000000"/>
      <w:sz w:val="20"/>
      <w:szCs w:val="20"/>
      <w:u w:val="none"/>
    </w:rPr>
  </w:style>
  <w:style w:type="character" w:customStyle="1" w:styleId="61">
    <w:name w:val="font21"/>
    <w:basedOn w:val="37"/>
    <w:qFormat/>
    <w:uiPriority w:val="0"/>
    <w:rPr>
      <w:rFonts w:hint="default" w:ascii="方正仿宋简体" w:hAnsi="方正仿宋简体" w:eastAsia="方正仿宋简体" w:cs="方正仿宋简体"/>
      <w:color w:val="000000"/>
      <w:sz w:val="20"/>
      <w:szCs w:val="20"/>
      <w:u w:val="none"/>
    </w:rPr>
  </w:style>
  <w:style w:type="character" w:customStyle="1" w:styleId="62">
    <w:name w:val="apple-style-span"/>
    <w:basedOn w:val="37"/>
    <w:qFormat/>
    <w:uiPriority w:val="0"/>
  </w:style>
  <w:style w:type="character" w:customStyle="1" w:styleId="63">
    <w:name w:val="10"/>
    <w:qFormat/>
    <w:uiPriority w:val="0"/>
    <w:rPr>
      <w:rFonts w:hint="default" w:ascii="Calibri" w:hAnsi="Calibri" w:cs="Calibri"/>
    </w:rPr>
  </w:style>
  <w:style w:type="character" w:customStyle="1" w:styleId="64">
    <w:name w:val="批注框文本 Char1"/>
    <w:semiHidden/>
    <w:qFormat/>
    <w:uiPriority w:val="99"/>
    <w:rPr>
      <w:kern w:val="2"/>
      <w:sz w:val="18"/>
      <w:szCs w:val="18"/>
    </w:rPr>
  </w:style>
  <w:style w:type="character" w:customStyle="1" w:styleId="65">
    <w:name w:val="font91"/>
    <w:basedOn w:val="37"/>
    <w:qFormat/>
    <w:uiPriority w:val="0"/>
    <w:rPr>
      <w:rFonts w:hint="eastAsia" w:ascii="宋体" w:hAnsi="宋体" w:eastAsia="宋体" w:cs="宋体"/>
      <w:color w:val="FF0000"/>
      <w:sz w:val="20"/>
      <w:szCs w:val="20"/>
      <w:u w:val="none"/>
    </w:rPr>
  </w:style>
  <w:style w:type="character" w:customStyle="1" w:styleId="66">
    <w:name w:val="批注主题 Char1"/>
    <w:semiHidden/>
    <w:qFormat/>
    <w:uiPriority w:val="99"/>
    <w:rPr>
      <w:b/>
      <w:bCs/>
      <w:kern w:val="2"/>
      <w:sz w:val="21"/>
      <w:szCs w:val="24"/>
    </w:rPr>
  </w:style>
  <w:style w:type="character" w:customStyle="1" w:styleId="67">
    <w:name w:val="font151"/>
    <w:qFormat/>
    <w:uiPriority w:val="0"/>
    <w:rPr>
      <w:rFonts w:hint="default" w:ascii="Times New Roman" w:hAnsi="Times New Roman" w:cs="Times New Roman"/>
      <w:color w:val="000000"/>
      <w:sz w:val="20"/>
      <w:szCs w:val="20"/>
      <w:u w:val="none"/>
    </w:rPr>
  </w:style>
  <w:style w:type="character" w:customStyle="1" w:styleId="68">
    <w:name w:val="15"/>
    <w:qFormat/>
    <w:uiPriority w:val="0"/>
    <w:rPr>
      <w:rFonts w:hint="default" w:ascii="Calibri" w:hAnsi="Calibri" w:cs="Calibri"/>
    </w:rPr>
  </w:style>
  <w:style w:type="character" w:customStyle="1" w:styleId="69">
    <w:name w:val="font31"/>
    <w:basedOn w:val="37"/>
    <w:qFormat/>
    <w:uiPriority w:val="0"/>
    <w:rPr>
      <w:rFonts w:hint="eastAsia" w:ascii="宋体" w:hAnsi="宋体" w:eastAsia="宋体" w:cs="宋体"/>
      <w:color w:val="000000"/>
      <w:sz w:val="24"/>
      <w:szCs w:val="24"/>
      <w:u w:val="none"/>
    </w:rPr>
  </w:style>
  <w:style w:type="character" w:customStyle="1" w:styleId="70">
    <w:name w:val="批注文字 Char1"/>
    <w:semiHidden/>
    <w:qFormat/>
    <w:uiPriority w:val="99"/>
    <w:rPr>
      <w:kern w:val="2"/>
      <w:sz w:val="21"/>
      <w:szCs w:val="24"/>
    </w:rPr>
  </w:style>
  <w:style w:type="character" w:customStyle="1" w:styleId="71">
    <w:name w:val="font71"/>
    <w:basedOn w:val="37"/>
    <w:qFormat/>
    <w:uiPriority w:val="0"/>
    <w:rPr>
      <w:rFonts w:hint="eastAsia" w:ascii="宋体" w:hAnsi="宋体" w:eastAsia="宋体" w:cs="宋体"/>
      <w:b/>
      <w:color w:val="000000"/>
      <w:sz w:val="22"/>
      <w:szCs w:val="22"/>
      <w:u w:val="none"/>
    </w:rPr>
  </w:style>
  <w:style w:type="character" w:customStyle="1" w:styleId="72">
    <w:name w:val="font41"/>
    <w:basedOn w:val="37"/>
    <w:qFormat/>
    <w:uiPriority w:val="0"/>
    <w:rPr>
      <w:rFonts w:hint="eastAsia" w:ascii="宋体" w:hAnsi="宋体" w:eastAsia="宋体" w:cs="宋体"/>
      <w:color w:val="000000"/>
      <w:sz w:val="20"/>
      <w:szCs w:val="20"/>
      <w:u w:val="none"/>
    </w:rPr>
  </w:style>
  <w:style w:type="character" w:customStyle="1" w:styleId="73">
    <w:name w:val="font01"/>
    <w:basedOn w:val="37"/>
    <w:qFormat/>
    <w:uiPriority w:val="0"/>
    <w:rPr>
      <w:rFonts w:ascii="宋体" w:hAnsi="宋体" w:eastAsia="宋体" w:cs="宋体"/>
      <w:color w:val="000000"/>
      <w:sz w:val="20"/>
      <w:szCs w:val="20"/>
      <w:u w:val="none"/>
    </w:rPr>
  </w:style>
  <w:style w:type="character" w:customStyle="1" w:styleId="74">
    <w:name w:val="页眉 Char1"/>
    <w:semiHidden/>
    <w:qFormat/>
    <w:uiPriority w:val="99"/>
    <w:rPr>
      <w:kern w:val="2"/>
      <w:sz w:val="18"/>
      <w:szCs w:val="18"/>
    </w:rPr>
  </w:style>
  <w:style w:type="character" w:customStyle="1" w:styleId="75">
    <w:name w:val="NormalCharacter"/>
    <w:link w:val="76"/>
    <w:semiHidden/>
    <w:qFormat/>
    <w:uiPriority w:val="0"/>
  </w:style>
  <w:style w:type="paragraph" w:customStyle="1" w:styleId="76">
    <w:name w:val="UserStyle_5"/>
    <w:basedOn w:val="1"/>
    <w:link w:val="75"/>
    <w:qFormat/>
    <w:uiPriority w:val="0"/>
    <w:pPr>
      <w:widowControl/>
      <w:spacing w:after="160" w:line="240" w:lineRule="exact"/>
      <w:jc w:val="left"/>
      <w:textAlignment w:val="baseline"/>
    </w:pPr>
  </w:style>
  <w:style w:type="character" w:customStyle="1" w:styleId="77">
    <w:name w:val="font141"/>
    <w:qFormat/>
    <w:uiPriority w:val="0"/>
    <w:rPr>
      <w:rFonts w:hint="eastAsia" w:ascii="宋体" w:hAnsi="宋体" w:eastAsia="宋体" w:cs="宋体"/>
      <w:color w:val="000000"/>
      <w:sz w:val="20"/>
      <w:szCs w:val="20"/>
      <w:u w:val="none"/>
    </w:rPr>
  </w:style>
  <w:style w:type="character" w:customStyle="1" w:styleId="78">
    <w:name w:val="font131"/>
    <w:basedOn w:val="37"/>
    <w:qFormat/>
    <w:uiPriority w:val="0"/>
    <w:rPr>
      <w:rFonts w:hint="eastAsia" w:ascii="宋体" w:hAnsi="宋体" w:eastAsia="宋体" w:cs="宋体"/>
      <w:b/>
      <w:bCs/>
      <w:color w:val="538DD5"/>
      <w:sz w:val="20"/>
      <w:szCs w:val="20"/>
      <w:u w:val="none"/>
    </w:rPr>
  </w:style>
  <w:style w:type="character" w:customStyle="1" w:styleId="79">
    <w:name w:val="font11"/>
    <w:basedOn w:val="37"/>
    <w:qFormat/>
    <w:uiPriority w:val="0"/>
    <w:rPr>
      <w:rFonts w:hint="default" w:ascii="方正仿宋简体" w:hAnsi="方正仿宋简体" w:eastAsia="方正仿宋简体" w:cs="方正仿宋简体"/>
      <w:color w:val="000000"/>
      <w:sz w:val="20"/>
      <w:szCs w:val="20"/>
      <w:u w:val="none"/>
      <w:vertAlign w:val="subscript"/>
    </w:rPr>
  </w:style>
  <w:style w:type="character" w:customStyle="1" w:styleId="80">
    <w:name w:val="纯文本 Char1"/>
    <w:link w:val="81"/>
    <w:qFormat/>
    <w:uiPriority w:val="0"/>
    <w:rPr>
      <w:rFonts w:ascii="宋体" w:hAnsi="Courier New"/>
    </w:rPr>
  </w:style>
  <w:style w:type="paragraph" w:customStyle="1" w:styleId="81">
    <w:name w:val="纯文本1"/>
    <w:basedOn w:val="1"/>
    <w:link w:val="80"/>
    <w:qFormat/>
    <w:uiPriority w:val="0"/>
    <w:rPr>
      <w:rFonts w:ascii="宋体" w:hAnsi="Courier New"/>
      <w:kern w:val="0"/>
      <w:sz w:val="20"/>
      <w:szCs w:val="20"/>
    </w:rPr>
  </w:style>
  <w:style w:type="paragraph" w:customStyle="1" w:styleId="82">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83">
    <w:name w:val="正文首行缩进两字符"/>
    <w:basedOn w:val="1"/>
    <w:qFormat/>
    <w:uiPriority w:val="0"/>
    <w:pPr>
      <w:spacing w:line="360" w:lineRule="auto"/>
      <w:ind w:firstLine="200" w:firstLineChars="200"/>
    </w:pPr>
  </w:style>
  <w:style w:type="paragraph" w:customStyle="1" w:styleId="84">
    <w:name w:val="表名称"/>
    <w:basedOn w:val="7"/>
    <w:qFormat/>
    <w:uiPriority w:val="0"/>
    <w:pPr>
      <w:numPr>
        <w:ilvl w:val="0"/>
        <w:numId w:val="1"/>
      </w:numPr>
      <w:ind w:firstLine="0"/>
      <w:jc w:val="center"/>
    </w:pPr>
  </w:style>
  <w:style w:type="paragraph" w:customStyle="1" w:styleId="85">
    <w:name w:val="Char"/>
    <w:basedOn w:val="1"/>
    <w:qFormat/>
    <w:uiPriority w:val="0"/>
    <w:pPr>
      <w:tabs>
        <w:tab w:val="left" w:pos="360"/>
      </w:tabs>
    </w:pPr>
    <w:rPr>
      <w:sz w:val="24"/>
    </w:rPr>
  </w:style>
  <w:style w:type="paragraph" w:customStyle="1" w:styleId="86">
    <w:name w:val="_Style 1"/>
    <w:qFormat/>
    <w:uiPriority w:val="99"/>
    <w:pPr>
      <w:widowControl w:val="0"/>
      <w:ind w:firstLine="200" w:firstLineChars="200"/>
      <w:jc w:val="both"/>
    </w:pPr>
    <w:rPr>
      <w:rFonts w:ascii="Times New Roman" w:hAnsi="Times New Roman" w:eastAsia="仿宋_GB2312" w:cs="Times New Roman"/>
      <w:kern w:val="2"/>
      <w:sz w:val="24"/>
      <w:szCs w:val="22"/>
      <w:lang w:val="en-US" w:eastAsia="zh-CN" w:bidi="ar-SA"/>
    </w:rPr>
  </w:style>
  <w:style w:type="paragraph" w:styleId="87">
    <w:name w:val="List Paragraph"/>
    <w:basedOn w:val="1"/>
    <w:qFormat/>
    <w:uiPriority w:val="34"/>
    <w:pPr>
      <w:ind w:firstLine="420" w:firstLineChars="200"/>
    </w:pPr>
  </w:style>
  <w:style w:type="paragraph" w:customStyle="1" w:styleId="88">
    <w:name w:val="图例"/>
    <w:basedOn w:val="1"/>
    <w:qFormat/>
    <w:uiPriority w:val="0"/>
    <w:pPr>
      <w:spacing w:before="120" w:after="120" w:line="360" w:lineRule="auto"/>
      <w:jc w:val="center"/>
    </w:pPr>
    <w:rPr>
      <w:rFonts w:eastAsia="仿宋_GB2312"/>
      <w:b/>
      <w:sz w:val="24"/>
    </w:rPr>
  </w:style>
  <w:style w:type="paragraph" w:customStyle="1" w:styleId="89">
    <w:name w:val="首行缩进"/>
    <w:basedOn w:val="1"/>
    <w:qFormat/>
    <w:uiPriority w:val="0"/>
    <w:pPr>
      <w:ind w:firstLine="480" w:firstLineChars="200"/>
    </w:pPr>
    <w:rPr>
      <w:lang w:val="zh-CN"/>
    </w:rPr>
  </w:style>
  <w:style w:type="paragraph" w:customStyle="1" w:styleId="90">
    <w:name w:val="标书正文"/>
    <w:basedOn w:val="1"/>
    <w:qFormat/>
    <w:uiPriority w:val="0"/>
    <w:pPr>
      <w:spacing w:line="560" w:lineRule="exact"/>
      <w:ind w:firstLine="723" w:firstLineChars="200"/>
      <w:jc w:val="center"/>
    </w:pPr>
    <w:rPr>
      <w:rFonts w:ascii="仿宋_GB2312" w:eastAsia="仿宋_GB2312"/>
      <w:b/>
      <w:sz w:val="36"/>
    </w:rPr>
  </w:style>
  <w:style w:type="paragraph" w:customStyle="1" w:styleId="91">
    <w:name w:val="Default"/>
    <w:qFormat/>
    <w:uiPriority w:val="0"/>
    <w:pPr>
      <w:widowControl w:val="0"/>
      <w:autoSpaceDE w:val="0"/>
      <w:autoSpaceDN w:val="0"/>
    </w:pPr>
    <w:rPr>
      <w:rFonts w:ascii="宋体" w:hAnsi="Times New Roman" w:eastAsia="宋体" w:cs="宋体"/>
      <w:color w:val="000000"/>
      <w:sz w:val="24"/>
      <w:szCs w:val="24"/>
      <w:lang w:val="en-US" w:eastAsia="zh-CN" w:bidi="ar-SA"/>
    </w:rPr>
  </w:style>
  <w:style w:type="paragraph" w:customStyle="1" w:styleId="92">
    <w:name w:val="列出段落1"/>
    <w:basedOn w:val="1"/>
    <w:qFormat/>
    <w:uiPriority w:val="34"/>
    <w:pPr>
      <w:widowControl/>
      <w:ind w:firstLine="420" w:firstLineChars="200"/>
      <w:jc w:val="left"/>
    </w:pPr>
    <w:rPr>
      <w:kern w:val="0"/>
      <w:sz w:val="24"/>
    </w:rPr>
  </w:style>
  <w:style w:type="paragraph" w:customStyle="1" w:styleId="93">
    <w:name w:val="正文（绿盟科技）"/>
    <w:qFormat/>
    <w:uiPriority w:val="0"/>
    <w:pPr>
      <w:spacing w:line="300" w:lineRule="auto"/>
    </w:pPr>
    <w:rPr>
      <w:rFonts w:ascii="Arial" w:hAnsi="Arial" w:eastAsia="宋体" w:cs="黑体"/>
      <w:sz w:val="21"/>
      <w:szCs w:val="21"/>
      <w:lang w:val="en-US" w:eastAsia="zh-CN" w:bidi="ar-SA"/>
    </w:rPr>
  </w:style>
  <w:style w:type="paragraph" w:customStyle="1" w:styleId="94">
    <w:name w:val="标题 5（有编号）（绿盟科技）"/>
    <w:basedOn w:val="1"/>
    <w:next w:val="93"/>
    <w:qFormat/>
    <w:uiPriority w:val="0"/>
    <w:pPr>
      <w:keepNext/>
      <w:keepLines/>
      <w:numPr>
        <w:ilvl w:val="4"/>
        <w:numId w:val="2"/>
      </w:numPr>
      <w:spacing w:before="280" w:after="156" w:line="377" w:lineRule="auto"/>
      <w:jc w:val="left"/>
      <w:outlineLvl w:val="4"/>
    </w:pPr>
    <w:rPr>
      <w:rFonts w:ascii="Arial" w:hAnsi="Arial" w:eastAsia="黑体"/>
      <w:b/>
      <w:sz w:val="24"/>
      <w:szCs w:val="28"/>
    </w:rPr>
  </w:style>
  <w:style w:type="paragraph" w:customStyle="1" w:styleId="95">
    <w:name w:val="索引 11"/>
    <w:basedOn w:val="1"/>
    <w:next w:val="1"/>
    <w:qFormat/>
    <w:uiPriority w:val="0"/>
    <w:pPr>
      <w:spacing w:line="360" w:lineRule="auto"/>
    </w:pPr>
    <w:rPr>
      <w:rFonts w:ascii="仿宋_GB2312" w:eastAsia="仿宋_GB2312"/>
      <w:sz w:val="24"/>
      <w:szCs w:val="20"/>
    </w:rPr>
  </w:style>
  <w:style w:type="paragraph" w:customStyle="1" w:styleId="96">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sz w:val="24"/>
    </w:rPr>
  </w:style>
  <w:style w:type="paragraph" w:customStyle="1" w:styleId="97">
    <w:name w:val="WPS Plain"/>
    <w:qFormat/>
    <w:uiPriority w:val="0"/>
    <w:rPr>
      <w:rFonts w:ascii="Times New Roman" w:hAnsi="Times New Roman" w:eastAsia="宋体" w:cs="Times New Roman"/>
      <w:lang w:val="en-US" w:eastAsia="zh-CN" w:bidi="ar-SA"/>
    </w:rPr>
  </w:style>
  <w:style w:type="paragraph" w:customStyle="1" w:styleId="98">
    <w:name w:val="列出段落2"/>
    <w:basedOn w:val="1"/>
    <w:qFormat/>
    <w:uiPriority w:val="34"/>
    <w:pPr>
      <w:widowControl/>
      <w:adjustRightInd w:val="0"/>
      <w:snapToGrid w:val="0"/>
      <w:spacing w:after="200"/>
      <w:ind w:firstLine="420" w:firstLineChars="200"/>
      <w:jc w:val="left"/>
    </w:pPr>
    <w:rPr>
      <w:rFonts w:ascii="Tahoma" w:hAnsi="Tahoma" w:eastAsia="微软雅黑" w:cs="黑体"/>
      <w:kern w:val="0"/>
      <w:sz w:val="22"/>
    </w:rPr>
  </w:style>
  <w:style w:type="character" w:customStyle="1" w:styleId="99">
    <w:name w:val="font121"/>
    <w:basedOn w:val="37"/>
    <w:qFormat/>
    <w:uiPriority w:val="0"/>
    <w:rPr>
      <w:rFonts w:ascii="Arial" w:hAnsi="Arial" w:cs="Arial"/>
      <w:color w:val="000000"/>
      <w:sz w:val="24"/>
      <w:szCs w:val="24"/>
      <w:u w:val="none"/>
    </w:rPr>
  </w:style>
  <w:style w:type="character" w:customStyle="1" w:styleId="100">
    <w:name w:val="font81"/>
    <w:basedOn w:val="37"/>
    <w:qFormat/>
    <w:uiPriority w:val="0"/>
    <w:rPr>
      <w:rFonts w:hint="eastAsia" w:ascii="微软雅黑 Light" w:hAnsi="微软雅黑 Light" w:eastAsia="微软雅黑 Light" w:cs="微软雅黑 Light"/>
      <w:b/>
      <w:bCs/>
      <w:color w:val="000000"/>
      <w:sz w:val="24"/>
      <w:szCs w:val="24"/>
      <w:u w:val="none"/>
    </w:rPr>
  </w:style>
  <w:style w:type="character" w:customStyle="1" w:styleId="101">
    <w:name w:val="font111"/>
    <w:basedOn w:val="37"/>
    <w:qFormat/>
    <w:uiPriority w:val="0"/>
    <w:rPr>
      <w:rFonts w:hint="eastAsia" w:ascii="微软雅黑 Light" w:hAnsi="微软雅黑 Light" w:eastAsia="微软雅黑 Light" w:cs="微软雅黑 Light"/>
      <w:b/>
      <w:bCs/>
      <w:color w:val="000000"/>
      <w:sz w:val="24"/>
      <w:szCs w:val="24"/>
      <w:u w:val="none"/>
    </w:rPr>
  </w:style>
  <w:style w:type="character" w:customStyle="1" w:styleId="102">
    <w:name w:val="font112"/>
    <w:basedOn w:val="37"/>
    <w:qFormat/>
    <w:uiPriority w:val="0"/>
    <w:rPr>
      <w:rFonts w:hint="eastAsia" w:ascii="宋体" w:hAnsi="宋体" w:eastAsia="宋体" w:cs="宋体"/>
      <w:color w:val="000000"/>
      <w:sz w:val="20"/>
      <w:szCs w:val="20"/>
      <w:u w:val="none"/>
    </w:rPr>
  </w:style>
  <w:style w:type="table" w:customStyle="1" w:styleId="103">
    <w:name w:val="Table Normal"/>
    <w:unhideWhenUsed/>
    <w:qFormat/>
    <w:uiPriority w:val="0"/>
    <w:tblPr>
      <w:tblCellMar>
        <w:top w:w="0" w:type="dxa"/>
        <w:left w:w="0" w:type="dxa"/>
        <w:bottom w:w="0" w:type="dxa"/>
        <w:right w:w="0" w:type="dxa"/>
      </w:tblCellMar>
    </w:tblPr>
  </w:style>
  <w:style w:type="paragraph" w:customStyle="1" w:styleId="104">
    <w:name w:val="正文格式"/>
    <w:basedOn w:val="1"/>
    <w:qFormat/>
    <w:uiPriority w:val="99"/>
    <w:pPr>
      <w:widowControl/>
      <w:adjustRightInd w:val="0"/>
      <w:snapToGrid w:val="0"/>
      <w:spacing w:line="400" w:lineRule="atLeast"/>
      <w:ind w:firstLine="482"/>
      <w:textAlignment w:val="baseline"/>
    </w:pPr>
  </w:style>
  <w:style w:type="paragraph" w:customStyle="1" w:styleId="105">
    <w:name w:val="无间隔1"/>
    <w:qFormat/>
    <w:uiPriority w:val="0"/>
    <w:pPr>
      <w:spacing w:after="200" w:line="276" w:lineRule="auto"/>
    </w:pPr>
    <w:rPr>
      <w:rFonts w:ascii="Calibri" w:hAnsi="Calibri" w:eastAsia="宋体" w:cs="Times New Roman"/>
      <w:sz w:val="22"/>
      <w:szCs w:val="22"/>
      <w:lang w:val="en-US" w:eastAsia="zh-CN" w:bidi="ar-SA"/>
    </w:rPr>
  </w:style>
  <w:style w:type="paragraph" w:customStyle="1" w:styleId="106">
    <w:name w:val="Normal_0"/>
    <w:qFormat/>
    <w:uiPriority w:val="0"/>
    <w:rPr>
      <w:rFonts w:ascii="黑体" w:hAnsi="黑体" w:eastAsia="黑体" w:cs="Times New Roman"/>
      <w:b/>
      <w:sz w:val="32"/>
      <w:szCs w:val="24"/>
      <w:lang w:val="en-US" w:eastAsia="zh-CN" w:bidi="ar-SA"/>
    </w:rPr>
  </w:style>
  <w:style w:type="paragraph" w:customStyle="1" w:styleId="107">
    <w:name w:val="Table Paragraph"/>
    <w:basedOn w:val="1"/>
    <w:qFormat/>
    <w:uiPriority w:val="1"/>
    <w:pPr>
      <w:autoSpaceDE w:val="0"/>
      <w:autoSpaceDN w:val="0"/>
      <w:jc w:val="left"/>
    </w:pPr>
    <w:rPr>
      <w:rFonts w:ascii="宋体" w:hAnsi="宋体" w:cs="宋体"/>
      <w:kern w:val="0"/>
      <w:sz w:val="22"/>
      <w:szCs w:val="22"/>
      <w:lang w:eastAsia="en-US"/>
    </w:rPr>
  </w:style>
  <w:style w:type="paragraph" w:customStyle="1" w:styleId="108">
    <w:name w:val="Table Text"/>
    <w:basedOn w:val="1"/>
    <w:semiHidden/>
    <w:qFormat/>
    <w:uiPriority w:val="0"/>
    <w:rPr>
      <w:rFonts w:ascii="Arial" w:hAnsi="Arial" w:eastAsia="Arial" w:cs="Arial"/>
      <w:szCs w:val="21"/>
      <w:lang w:eastAsia="en-US"/>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footer" Target="footer11.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9.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header" Target="header6.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68</Pages>
  <Words>20016</Words>
  <Characters>21245</Characters>
  <Lines>373</Lines>
  <Paragraphs>105</Paragraphs>
  <TotalTime>11</TotalTime>
  <ScaleCrop>false</ScaleCrop>
  <LinksUpToDate>false</LinksUpToDate>
  <CharactersWithSpaces>23174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2021-01-08T05:06:00Z</dcterms:created>
  <dc:creator>USER-</dc:creator>
  <cp:lastModifiedBy>妮妮宝贝</cp:lastModifiedBy>
  <cp:lastPrinted>2024-07-11T10:53:00Z</cp:lastPrinted>
  <dcterms:modified xsi:type="dcterms:W3CDTF">2025-04-21T09:24:50Z</dcterms:modified>
  <dc:title>02年杜范本稿</dc:title>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2848679D6996415ABCBA3064DDB55593_13</vt:lpwstr>
  </property>
  <property fmtid="{D5CDD505-2E9C-101B-9397-08002B2CF9AE}" pid="4" name="KSOTemplateDocerSaveRecord">
    <vt:lpwstr>eyJoZGlkIjoiODIyZjgyYjVmNmYxOWQ4NGQzYTM3OTJlZGFlNGM5N2IiLCJ1c2VySWQiOiI3MTk2MzI3MzMifQ==</vt:lpwstr>
  </property>
</Properties>
</file>