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11E50E8">
      <w:pPr>
        <w:rPr>
          <w:rFonts w:hint="eastAsia" w:ascii="黑体" w:hAnsi="黑体" w:eastAsia="黑体"/>
          <w:color w:val="auto"/>
          <w:sz w:val="32"/>
          <w:szCs w:val="32"/>
          <w:highlight w:val="none"/>
          <w:lang w:eastAsia="zh-CN"/>
        </w:rPr>
      </w:pPr>
    </w:p>
    <w:p w14:paraId="7E039B8B">
      <w:pPr>
        <w:jc w:val="center"/>
        <w:rPr>
          <w:rFonts w:hint="eastAsia" w:ascii="黑体" w:hAnsi="黑体" w:eastAsia="黑体"/>
          <w:color w:val="auto"/>
          <w:spacing w:val="5760"/>
          <w:w w:val="100"/>
          <w:kern w:val="0"/>
          <w:sz w:val="36"/>
          <w:szCs w:val="36"/>
          <w:highlight w:val="none"/>
          <w:fitText w:val="6120" w:id="-1002138880"/>
          <w:lang w:val="en-US" w:eastAsia="zh-CN"/>
        </w:rPr>
      </w:pPr>
    </w:p>
    <w:p w14:paraId="09F4BBF5">
      <w:pPr>
        <w:pageBreakBefore w:val="0"/>
        <w:kinsoku/>
        <w:wordWrap/>
        <w:overflowPunct/>
        <w:topLinePunct w:val="0"/>
        <w:bidi w:val="0"/>
        <w:spacing w:line="360" w:lineRule="auto"/>
        <w:rPr>
          <w:rFonts w:hint="eastAsia" w:ascii="宋体" w:hAnsi="宋体" w:eastAsia="宋体" w:cs="宋体"/>
          <w:highlight w:val="none"/>
        </w:rPr>
      </w:pPr>
      <w:bookmarkStart w:id="0" w:name="_Hlk83600134"/>
      <w:bookmarkEnd w:id="0"/>
    </w:p>
    <w:p w14:paraId="36965ED0">
      <w:pPr>
        <w:pageBreakBefore w:val="0"/>
        <w:kinsoku/>
        <w:wordWrap/>
        <w:overflowPunct/>
        <w:topLinePunct w:val="0"/>
        <w:bidi w:val="0"/>
        <w:spacing w:line="360" w:lineRule="auto"/>
        <w:jc w:val="center"/>
        <w:rPr>
          <w:rFonts w:hint="eastAsia" w:ascii="宋体" w:hAnsi="宋体" w:eastAsia="宋体" w:cs="宋体"/>
          <w:b/>
          <w:sz w:val="32"/>
          <w:szCs w:val="32"/>
          <w:highlight w:val="none"/>
        </w:rPr>
      </w:pPr>
      <w:r>
        <w:rPr>
          <w:rFonts w:hint="eastAsia" w:ascii="宋体" w:hAnsi="宋体" w:eastAsia="宋体" w:cs="宋体"/>
          <w:highlight w:val="none"/>
        </w:rPr>
        <w:drawing>
          <wp:anchor distT="0" distB="0" distL="114300" distR="114300" simplePos="0" relativeHeight="251660288" behindDoc="0" locked="0" layoutInCell="1" allowOverlap="1">
            <wp:simplePos x="0" y="0"/>
            <wp:positionH relativeFrom="column">
              <wp:posOffset>2189480</wp:posOffset>
            </wp:positionH>
            <wp:positionV relativeFrom="paragraph">
              <wp:posOffset>359410</wp:posOffset>
            </wp:positionV>
            <wp:extent cx="1350010" cy="1701165"/>
            <wp:effectExtent l="0" t="0" r="8890" b="635"/>
            <wp:wrapNone/>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pic:cNvPicPr>
                  </pic:nvPicPr>
                  <pic:blipFill>
                    <a:blip r:embed="rId15"/>
                    <a:stretch>
                      <a:fillRect/>
                    </a:stretch>
                  </pic:blipFill>
                  <pic:spPr>
                    <a:xfrm>
                      <a:off x="0" y="0"/>
                      <a:ext cx="1350010" cy="1701165"/>
                    </a:xfrm>
                    <a:prstGeom prst="rect">
                      <a:avLst/>
                    </a:prstGeom>
                    <a:noFill/>
                    <a:ln w="12700">
                      <a:noFill/>
                    </a:ln>
                  </pic:spPr>
                </pic:pic>
              </a:graphicData>
            </a:graphic>
          </wp:anchor>
        </w:drawing>
      </w:r>
    </w:p>
    <w:p w14:paraId="77C1F09E">
      <w:pPr>
        <w:pageBreakBefore w:val="0"/>
        <w:tabs>
          <w:tab w:val="left" w:pos="180"/>
        </w:tabs>
        <w:kinsoku/>
        <w:wordWrap/>
        <w:overflowPunct/>
        <w:topLinePunct w:val="0"/>
        <w:bidi w:val="0"/>
        <w:spacing w:line="360" w:lineRule="auto"/>
        <w:ind w:right="-1"/>
        <w:jc w:val="center"/>
        <w:rPr>
          <w:rFonts w:hint="eastAsia" w:ascii="宋体" w:hAnsi="宋体" w:eastAsia="宋体" w:cs="宋体"/>
          <w:b/>
          <w:sz w:val="72"/>
          <w:highlight w:val="none"/>
        </w:rPr>
      </w:pPr>
    </w:p>
    <w:p w14:paraId="7BFB1F5F">
      <w:pPr>
        <w:pageBreakBefore w:val="0"/>
        <w:tabs>
          <w:tab w:val="left" w:pos="180"/>
        </w:tabs>
        <w:kinsoku/>
        <w:wordWrap/>
        <w:overflowPunct/>
        <w:topLinePunct w:val="0"/>
        <w:bidi w:val="0"/>
        <w:spacing w:line="360" w:lineRule="auto"/>
        <w:ind w:right="-1"/>
        <w:jc w:val="center"/>
        <w:rPr>
          <w:rFonts w:hint="eastAsia" w:ascii="宋体" w:hAnsi="宋体" w:eastAsia="宋体" w:cs="宋体"/>
          <w:b/>
          <w:sz w:val="72"/>
          <w:highlight w:val="none"/>
        </w:rPr>
      </w:pPr>
    </w:p>
    <w:p w14:paraId="2CD6A483">
      <w:pPr>
        <w:pageBreakBefore w:val="0"/>
        <w:tabs>
          <w:tab w:val="left" w:pos="180"/>
        </w:tabs>
        <w:kinsoku/>
        <w:wordWrap/>
        <w:overflowPunct/>
        <w:topLinePunct w:val="0"/>
        <w:bidi w:val="0"/>
        <w:spacing w:line="360" w:lineRule="auto"/>
        <w:ind w:right="-1"/>
        <w:jc w:val="center"/>
        <w:rPr>
          <w:rFonts w:hint="eastAsia" w:ascii="宋体" w:hAnsi="宋体" w:eastAsia="宋体" w:cs="宋体"/>
          <w:b/>
          <w:sz w:val="72"/>
          <w:highlight w:val="none"/>
        </w:rPr>
      </w:pPr>
    </w:p>
    <w:p w14:paraId="66AAED57">
      <w:pPr>
        <w:pageBreakBefore w:val="0"/>
        <w:tabs>
          <w:tab w:val="left" w:pos="180"/>
        </w:tabs>
        <w:kinsoku/>
        <w:wordWrap/>
        <w:overflowPunct/>
        <w:topLinePunct w:val="0"/>
        <w:bidi w:val="0"/>
        <w:spacing w:line="360" w:lineRule="auto"/>
        <w:ind w:right="-1"/>
        <w:jc w:val="center"/>
        <w:rPr>
          <w:rFonts w:hint="eastAsia" w:ascii="宋体" w:hAnsi="宋体" w:eastAsia="宋体" w:cs="宋体"/>
          <w:b/>
          <w:sz w:val="72"/>
          <w:highlight w:val="none"/>
        </w:rPr>
      </w:pPr>
      <w:r>
        <w:rPr>
          <w:rFonts w:hint="eastAsia" w:ascii="宋体" w:hAnsi="宋体" w:eastAsia="宋体" w:cs="宋体"/>
          <w:b/>
          <w:sz w:val="72"/>
          <w:highlight w:val="none"/>
          <w:lang w:val="en-US" w:eastAsia="zh-CN"/>
        </w:rPr>
        <w:t>招 标 文 件</w:t>
      </w:r>
      <w:r>
        <w:rPr>
          <w:rFonts w:hint="eastAsia" w:ascii="宋体" w:hAnsi="宋体" w:eastAsia="宋体" w:cs="宋体"/>
          <w:b/>
          <w:sz w:val="72"/>
          <w:highlight w:val="none"/>
        </w:rPr>
        <w:br w:type="textWrapping"/>
      </w:r>
    </w:p>
    <w:p w14:paraId="0FC817B9">
      <w:pPr>
        <w:pStyle w:val="10"/>
        <w:rPr>
          <w:rFonts w:hint="eastAsia"/>
        </w:rPr>
      </w:pPr>
    </w:p>
    <w:p w14:paraId="669A44E3">
      <w:pPr>
        <w:rPr>
          <w:rFonts w:hint="eastAsia"/>
        </w:rPr>
      </w:pPr>
    </w:p>
    <w:p w14:paraId="795120B3">
      <w:pPr>
        <w:widowControl w:val="0"/>
        <w:adjustRightInd w:val="0"/>
        <w:snapToGrid w:val="0"/>
        <w:spacing w:line="480" w:lineRule="auto"/>
        <w:ind w:left="2124" w:leftChars="104" w:right="-413" w:rightChars="-172" w:hanging="1874" w:hangingChars="778"/>
        <w:rPr>
          <w:rFonts w:hint="default" w:ascii="宋体" w:hAnsi="宋体" w:eastAsia="宋体" w:cs="宋体"/>
          <w:b/>
          <w:bCs/>
          <w:sz w:val="24"/>
          <w:highlight w:val="none"/>
          <w:lang w:val="en-US" w:eastAsia="zh-CN"/>
        </w:rPr>
      </w:pPr>
      <w:r>
        <w:rPr>
          <w:rFonts w:hint="eastAsia" w:ascii="宋体" w:hAnsi="宋体" w:eastAsia="宋体" w:cs="宋体"/>
          <w:b/>
          <w:bCs/>
          <w:sz w:val="24"/>
          <w:highlight w:val="none"/>
          <w:lang w:val="en-US" w:eastAsia="zh-CN"/>
        </w:rPr>
        <w:t>项目编号：</w:t>
      </w:r>
      <w:r>
        <w:rPr>
          <w:rFonts w:hint="eastAsia" w:cs="宋体"/>
          <w:b/>
          <w:bCs/>
          <w:sz w:val="24"/>
          <w:highlight w:val="none"/>
          <w:lang w:val="en-US" w:eastAsia="zh-CN"/>
        </w:rPr>
        <w:t>TC259H0BF</w:t>
      </w:r>
    </w:p>
    <w:p w14:paraId="2770544D">
      <w:pPr>
        <w:widowControl w:val="0"/>
        <w:tabs>
          <w:tab w:val="left" w:pos="1200"/>
        </w:tabs>
        <w:adjustRightInd w:val="0"/>
        <w:snapToGrid w:val="0"/>
        <w:spacing w:line="480" w:lineRule="auto"/>
        <w:ind w:left="1447" w:leftChars="100" w:right="-413" w:rightChars="-172" w:hanging="1207" w:hangingChars="501"/>
        <w:rPr>
          <w:rFonts w:hint="default" w:ascii="宋体" w:hAnsi="宋体" w:eastAsia="宋体" w:cs="宋体"/>
          <w:b/>
          <w:bCs/>
          <w:color w:val="000000"/>
          <w:sz w:val="24"/>
          <w:highlight w:val="none"/>
          <w:lang w:val="en-US" w:eastAsia="zh-CN"/>
        </w:rPr>
      </w:pPr>
      <w:r>
        <w:rPr>
          <w:rFonts w:hint="eastAsia" w:ascii="宋体" w:hAnsi="宋体" w:eastAsia="宋体" w:cs="宋体"/>
          <w:b/>
          <w:bCs/>
          <w:sz w:val="24"/>
          <w:highlight w:val="none"/>
        </w:rPr>
        <w:t xml:space="preserve">项目名称: </w:t>
      </w:r>
      <w:r>
        <w:rPr>
          <w:rFonts w:hint="eastAsia" w:cs="宋体"/>
          <w:b/>
          <w:bCs/>
          <w:sz w:val="24"/>
          <w:highlight w:val="none"/>
          <w:lang w:eastAsia="zh-CN"/>
        </w:rPr>
        <w:t>新疆医科大学第一附属医院X线正电子发射断层扫描仪（PET-CT）采购项目</w:t>
      </w:r>
    </w:p>
    <w:p w14:paraId="5C77FE04">
      <w:pPr>
        <w:widowControl w:val="0"/>
        <w:adjustRightInd w:val="0"/>
        <w:snapToGrid w:val="0"/>
        <w:spacing w:line="480" w:lineRule="auto"/>
        <w:ind w:left="2124" w:leftChars="104" w:right="-413" w:rightChars="-172" w:hanging="1874" w:hangingChars="778"/>
        <w:rPr>
          <w:rFonts w:hint="eastAsia" w:ascii="宋体" w:hAnsi="宋体" w:eastAsia="宋体" w:cs="宋体"/>
          <w:b/>
          <w:bCs/>
          <w:sz w:val="24"/>
          <w:highlight w:val="none"/>
        </w:rPr>
      </w:pPr>
      <w:r>
        <w:rPr>
          <w:rFonts w:hint="eastAsia" w:ascii="宋体" w:hAnsi="宋体" w:eastAsia="宋体" w:cs="宋体"/>
          <w:b/>
          <w:bCs/>
          <w:sz w:val="24"/>
          <w:highlight w:val="none"/>
        </w:rPr>
        <w:t>采 购 人（盖章）：新疆医科大学第一附属医院</w:t>
      </w:r>
    </w:p>
    <w:p w14:paraId="7685D833">
      <w:pPr>
        <w:widowControl w:val="0"/>
        <w:adjustRightInd w:val="0"/>
        <w:snapToGrid w:val="0"/>
        <w:spacing w:line="480" w:lineRule="auto"/>
        <w:ind w:left="2124" w:leftChars="104" w:right="-413" w:rightChars="-172" w:hanging="1874" w:hangingChars="778"/>
        <w:rPr>
          <w:rFonts w:hint="eastAsia" w:ascii="宋体" w:hAnsi="宋体" w:eastAsia="宋体" w:cs="宋体"/>
          <w:b/>
          <w:bCs/>
          <w:sz w:val="24"/>
          <w:highlight w:val="none"/>
        </w:rPr>
      </w:pPr>
      <w:r>
        <w:rPr>
          <w:rFonts w:hint="eastAsia" w:ascii="宋体" w:hAnsi="宋体" w:eastAsia="宋体" w:cs="宋体"/>
          <w:b/>
          <w:bCs/>
          <w:sz w:val="24"/>
          <w:highlight w:val="none"/>
        </w:rPr>
        <mc:AlternateContent>
          <mc:Choice Requires="wps">
            <w:drawing>
              <wp:anchor distT="0" distB="0" distL="114300" distR="114300" simplePos="0" relativeHeight="251659264" behindDoc="0" locked="0" layoutInCell="1" allowOverlap="1">
                <wp:simplePos x="0" y="0"/>
                <wp:positionH relativeFrom="column">
                  <wp:posOffset>94615</wp:posOffset>
                </wp:positionH>
                <wp:positionV relativeFrom="paragraph">
                  <wp:posOffset>93345</wp:posOffset>
                </wp:positionV>
                <wp:extent cx="5626735" cy="0"/>
                <wp:effectExtent l="0" t="6350" r="12065" b="6350"/>
                <wp:wrapNone/>
                <wp:docPr id="3" name="直接连接符 3"/>
                <wp:cNvGraphicFramePr/>
                <a:graphic xmlns:a="http://schemas.openxmlformats.org/drawingml/2006/main">
                  <a:graphicData uri="http://schemas.microsoft.com/office/word/2010/wordprocessingShape">
                    <wps:wsp>
                      <wps:cNvCnPr/>
                      <wps:spPr>
                        <a:xfrm>
                          <a:off x="0" y="0"/>
                          <a:ext cx="5626735" cy="0"/>
                        </a:xfrm>
                        <a:prstGeom prst="line">
                          <a:avLst/>
                        </a:prstGeom>
                        <a:ln w="12700" cap="flat" cmpd="sng">
                          <a:solidFill>
                            <a:srgbClr val="000000"/>
                          </a:solidFill>
                          <a:prstDash val="sysDot"/>
                          <a:headEnd type="none" w="med" len="med"/>
                          <a:tailEnd type="none" w="med" len="med"/>
                        </a:ln>
                      </wps:spPr>
                      <wps:bodyPr upright="1"/>
                    </wps:wsp>
                  </a:graphicData>
                </a:graphic>
              </wp:anchor>
            </w:drawing>
          </mc:Choice>
          <mc:Fallback>
            <w:pict>
              <v:line id="_x0000_s1026" o:spid="_x0000_s1026" o:spt="20" style="position:absolute;left:0pt;margin-left:7.45pt;margin-top:7.35pt;height:0pt;width:443.05pt;z-index:251659264;mso-width-relative:page;mso-height-relative:page;" filled="f" stroked="t" coordsize="21600,21600" o:gfxdata="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DiwOvA0wAAAAgBAAAPAAAAAAAAAAEAIAAAACIAAABkcnMvZG93bnJldi54bWxQSwEC&#10;FAAUAAAACACHTuJApBKxovkBAADmAwAADgAAAAAAAAABACAAAAAiAQAAZHJzL2Uyb0RvYy54bWxQ&#10;SwUGAAAAAAYABgBZAQAAjQUAAAAA&#10;">
                <v:fill on="f" focussize="0,0"/>
                <v:stroke weight="1pt" color="#000000" joinstyle="round" dashstyle="1 1"/>
                <v:imagedata o:title=""/>
                <o:lock v:ext="edit" aspectratio="f"/>
              </v:line>
            </w:pict>
          </mc:Fallback>
        </mc:AlternateContent>
      </w:r>
    </w:p>
    <w:p w14:paraId="44A2988D">
      <w:pPr>
        <w:widowControl w:val="0"/>
        <w:adjustRightInd w:val="0"/>
        <w:snapToGrid w:val="0"/>
        <w:spacing w:line="480" w:lineRule="auto"/>
        <w:ind w:left="2124" w:leftChars="104" w:right="-413" w:rightChars="-172" w:hanging="1874" w:hangingChars="778"/>
        <w:rPr>
          <w:rFonts w:hint="eastAsia" w:ascii="宋体" w:hAnsi="宋体" w:eastAsia="宋体" w:cs="宋体"/>
          <w:b/>
          <w:bCs/>
          <w:sz w:val="24"/>
          <w:highlight w:val="none"/>
        </w:rPr>
      </w:pPr>
      <w:r>
        <w:rPr>
          <w:rFonts w:hint="eastAsia" w:ascii="宋体" w:hAnsi="宋体" w:eastAsia="宋体" w:cs="宋体"/>
          <w:b/>
          <w:bCs/>
          <w:sz w:val="24"/>
          <w:highlight w:val="none"/>
        </w:rPr>
        <w:t>采购代理机构（盖章）：</w:t>
      </w:r>
      <w:r>
        <w:rPr>
          <w:rFonts w:hint="eastAsia" w:ascii="宋体" w:hAnsi="宋体" w:eastAsia="宋体" w:cs="宋体"/>
          <w:b/>
          <w:bCs/>
          <w:sz w:val="24"/>
          <w:highlight w:val="none"/>
          <w:lang w:val="en-US" w:eastAsia="zh-CN"/>
        </w:rPr>
        <w:t>中招国际招标有限公司</w:t>
      </w:r>
    </w:p>
    <w:p w14:paraId="5A77C73E">
      <w:pPr>
        <w:widowControl w:val="0"/>
        <w:adjustRightInd w:val="0"/>
        <w:snapToGrid w:val="0"/>
        <w:spacing w:line="480" w:lineRule="auto"/>
        <w:ind w:left="2124" w:leftChars="104" w:right="-413" w:rightChars="-172" w:hanging="1874" w:hangingChars="778"/>
        <w:rPr>
          <w:rFonts w:hint="eastAsia" w:ascii="宋体" w:hAnsi="宋体" w:eastAsia="宋体" w:cs="宋体"/>
          <w:b/>
          <w:bCs/>
          <w:sz w:val="24"/>
          <w:highlight w:val="none"/>
        </w:rPr>
      </w:pPr>
      <w:r>
        <w:rPr>
          <w:rFonts w:hint="eastAsia" w:ascii="宋体" w:hAnsi="宋体" w:eastAsia="宋体" w:cs="宋体"/>
          <w:b/>
          <w:bCs/>
          <w:sz w:val="24"/>
          <w:highlight w:val="none"/>
        </w:rPr>
        <w:t>项目联系人：</w:t>
      </w:r>
      <w:r>
        <w:rPr>
          <w:rFonts w:hint="eastAsia" w:cs="宋体"/>
          <w:b/>
          <w:bCs/>
          <w:sz w:val="24"/>
          <w:highlight w:val="none"/>
          <w:lang w:val="en-US" w:eastAsia="zh-CN"/>
        </w:rPr>
        <w:t>徐中凤、罗燕、陈海云、程建军、师翠婷</w:t>
      </w:r>
    </w:p>
    <w:p w14:paraId="46A6F629">
      <w:pPr>
        <w:widowControl w:val="0"/>
        <w:adjustRightInd w:val="0"/>
        <w:snapToGrid w:val="0"/>
        <w:spacing w:line="480" w:lineRule="auto"/>
        <w:ind w:left="2124" w:leftChars="104" w:right="-413" w:rightChars="-172" w:hanging="1874" w:hangingChars="778"/>
        <w:rPr>
          <w:rFonts w:hint="default" w:cs="宋体"/>
          <w:b/>
          <w:bCs/>
          <w:sz w:val="24"/>
          <w:highlight w:val="none"/>
          <w:lang w:val="en-US" w:eastAsia="zh-CN"/>
        </w:rPr>
      </w:pPr>
      <w:r>
        <w:rPr>
          <w:rFonts w:hint="eastAsia" w:ascii="宋体" w:hAnsi="宋体" w:eastAsia="宋体" w:cs="宋体"/>
          <w:b/>
          <w:bCs/>
          <w:sz w:val="24"/>
          <w:highlight w:val="none"/>
          <w:lang w:val="en-US" w:eastAsia="zh-CN"/>
        </w:rPr>
        <w:t>联系方式：</w:t>
      </w:r>
      <w:r>
        <w:rPr>
          <w:rFonts w:hint="eastAsia" w:cs="宋体"/>
          <w:b/>
          <w:bCs/>
          <w:sz w:val="24"/>
          <w:highlight w:val="none"/>
          <w:lang w:val="en-US" w:eastAsia="zh-CN"/>
        </w:rPr>
        <w:t>18099259977、17716905655</w:t>
      </w:r>
    </w:p>
    <w:p w14:paraId="4CF7A4EF">
      <w:pPr>
        <w:widowControl w:val="0"/>
        <w:adjustRightInd w:val="0"/>
        <w:snapToGrid w:val="0"/>
        <w:spacing w:line="480" w:lineRule="auto"/>
        <w:ind w:left="2124" w:leftChars="104" w:right="-413" w:rightChars="-172" w:hanging="1874" w:hangingChars="778"/>
        <w:rPr>
          <w:rFonts w:hint="eastAsia" w:ascii="宋体" w:hAnsi="宋体" w:eastAsia="宋体" w:cs="宋体"/>
          <w:b/>
          <w:bCs/>
          <w:sz w:val="24"/>
        </w:rPr>
      </w:pPr>
      <w:r>
        <w:rPr>
          <w:rFonts w:hint="eastAsia" w:ascii="宋体" w:hAnsi="宋体" w:eastAsia="宋体" w:cs="宋体"/>
          <w:b/>
          <w:bCs/>
          <w:sz w:val="24"/>
        </w:rPr>
        <w:t>详细地址：乌鲁木齐市水磨沟区南湖北路486号南湖明珠大厦南区8楼</w:t>
      </w:r>
    </w:p>
    <w:p w14:paraId="410967C4">
      <w:pPr>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br w:type="page"/>
      </w:r>
    </w:p>
    <w:p w14:paraId="2E6E0FD2">
      <w:pPr>
        <w:ind w:firstLine="3253" w:firstLineChars="900"/>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 xml:space="preserve">目 </w:t>
      </w:r>
      <w:r>
        <w:rPr>
          <w:rFonts w:hint="eastAsia" w:ascii="宋体" w:hAnsi="宋体" w:eastAsia="宋体" w:cs="宋体"/>
          <w:b/>
          <w:bCs/>
          <w:color w:val="auto"/>
          <w:sz w:val="36"/>
          <w:szCs w:val="36"/>
          <w:highlight w:val="none"/>
          <w:lang w:val="en-US" w:eastAsia="zh-CN"/>
        </w:rPr>
        <w:t xml:space="preserve"> </w:t>
      </w:r>
      <w:r>
        <w:rPr>
          <w:rFonts w:hint="eastAsia" w:ascii="宋体" w:hAnsi="宋体" w:eastAsia="宋体" w:cs="宋体"/>
          <w:b/>
          <w:bCs/>
          <w:color w:val="auto"/>
          <w:sz w:val="36"/>
          <w:szCs w:val="36"/>
          <w:highlight w:val="none"/>
        </w:rPr>
        <w:t>录</w:t>
      </w:r>
    </w:p>
    <w:p w14:paraId="55100918">
      <w:pPr>
        <w:jc w:val="center"/>
        <w:rPr>
          <w:rFonts w:hint="eastAsia" w:ascii="宋体" w:hAnsi="宋体" w:eastAsia="宋体" w:cs="宋体"/>
          <w:b/>
          <w:bCs/>
          <w:color w:val="auto"/>
          <w:sz w:val="36"/>
          <w:szCs w:val="36"/>
          <w:highlight w:val="none"/>
        </w:rPr>
      </w:pPr>
    </w:p>
    <w:p w14:paraId="17EE2807">
      <w:pPr>
        <w:pStyle w:val="21"/>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TOC \o "1-4" \h \z \u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_Toc16718 </w:instrText>
      </w:r>
      <w:r>
        <w:rPr>
          <w:rFonts w:hint="eastAsia" w:ascii="宋体" w:hAnsi="宋体" w:eastAsia="宋体" w:cs="宋体"/>
          <w:sz w:val="24"/>
          <w:szCs w:val="24"/>
          <w:highlight w:val="none"/>
        </w:rPr>
        <w:fldChar w:fldCharType="separate"/>
      </w:r>
      <w:r>
        <w:rPr>
          <w:rFonts w:hint="eastAsia" w:ascii="宋体" w:hAnsi="宋体" w:eastAsia="宋体" w:cs="宋体"/>
          <w:bCs/>
          <w:kern w:val="44"/>
          <w:sz w:val="24"/>
          <w:szCs w:val="24"/>
          <w:highlight w:val="none"/>
          <w:lang w:val="en-US" w:eastAsia="zh-CN" w:bidi="ar-SA"/>
        </w:rPr>
        <w:t xml:space="preserve">第一章 </w:t>
      </w:r>
      <w:r>
        <w:rPr>
          <w:rFonts w:hint="eastAsia" w:ascii="宋体" w:hAnsi="宋体" w:eastAsia="宋体" w:cs="宋体"/>
          <w:sz w:val="24"/>
          <w:szCs w:val="24"/>
          <w:highlight w:val="none"/>
          <w:lang w:val="en-US" w:eastAsia="zh-CN"/>
        </w:rPr>
        <w:t>招标公告</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_Toc16718 \h </w:instrText>
      </w:r>
      <w:r>
        <w:rPr>
          <w:rFonts w:hint="eastAsia" w:ascii="宋体" w:hAnsi="宋体" w:eastAsia="宋体" w:cs="宋体"/>
          <w:sz w:val="24"/>
          <w:szCs w:val="24"/>
        </w:rPr>
        <w:fldChar w:fldCharType="separate"/>
      </w:r>
      <w:r>
        <w:rPr>
          <w:rFonts w:hint="eastAsia" w:ascii="宋体" w:hAnsi="宋体" w:eastAsia="宋体" w:cs="宋体"/>
          <w:sz w:val="24"/>
          <w:szCs w:val="24"/>
        </w:rPr>
        <w:t>- 1 -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40853699">
      <w:pPr>
        <w:pStyle w:val="26"/>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_Toc23169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hr-HR" w:eastAsia="zh-CN" w:bidi="ar-SA"/>
        </w:rPr>
        <w:t>一、</w:t>
      </w:r>
      <w:r>
        <w:rPr>
          <w:rFonts w:hint="eastAsia" w:ascii="宋体" w:hAnsi="宋体" w:eastAsia="宋体" w:cs="宋体"/>
          <w:sz w:val="24"/>
          <w:szCs w:val="24"/>
          <w:highlight w:val="none"/>
          <w:lang w:val="hr-HR"/>
        </w:rPr>
        <w:t>项目基本情况</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_Toc23169 \h </w:instrText>
      </w:r>
      <w:r>
        <w:rPr>
          <w:rFonts w:hint="eastAsia" w:ascii="宋体" w:hAnsi="宋体" w:eastAsia="宋体" w:cs="宋体"/>
          <w:sz w:val="24"/>
          <w:szCs w:val="24"/>
        </w:rPr>
        <w:fldChar w:fldCharType="separate"/>
      </w:r>
      <w:r>
        <w:rPr>
          <w:rFonts w:hint="eastAsia" w:ascii="宋体" w:hAnsi="宋体" w:eastAsia="宋体" w:cs="宋体"/>
          <w:sz w:val="24"/>
          <w:szCs w:val="24"/>
        </w:rPr>
        <w:t>- 1 -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34F00A6D">
      <w:pPr>
        <w:pStyle w:val="26"/>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_Toc16935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二、申请</w:t>
      </w:r>
      <w:r>
        <w:rPr>
          <w:rFonts w:hint="eastAsia" w:ascii="宋体" w:hAnsi="宋体" w:eastAsia="宋体" w:cs="宋体"/>
          <w:bCs/>
          <w:kern w:val="2"/>
          <w:sz w:val="24"/>
          <w:szCs w:val="24"/>
          <w:highlight w:val="none"/>
          <w:lang w:val="hr-HR" w:eastAsia="zh-CN" w:bidi="ar-SA"/>
        </w:rPr>
        <w:t>人</w:t>
      </w:r>
      <w:r>
        <w:rPr>
          <w:rFonts w:hint="eastAsia" w:ascii="宋体" w:hAnsi="宋体" w:eastAsia="宋体" w:cs="宋体"/>
          <w:bCs/>
          <w:kern w:val="2"/>
          <w:sz w:val="24"/>
          <w:szCs w:val="24"/>
          <w:highlight w:val="none"/>
          <w:lang w:val="en-US" w:eastAsia="zh-CN" w:bidi="ar-SA"/>
        </w:rPr>
        <w:t>的</w:t>
      </w:r>
      <w:r>
        <w:rPr>
          <w:rFonts w:hint="eastAsia" w:ascii="宋体" w:hAnsi="宋体" w:eastAsia="宋体" w:cs="宋体"/>
          <w:bCs/>
          <w:kern w:val="2"/>
          <w:sz w:val="24"/>
          <w:szCs w:val="24"/>
          <w:highlight w:val="none"/>
          <w:lang w:val="hr-HR" w:eastAsia="zh-CN" w:bidi="ar-SA"/>
        </w:rPr>
        <w:t>资格要求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_Toc16935 \h </w:instrText>
      </w:r>
      <w:r>
        <w:rPr>
          <w:rFonts w:hint="eastAsia" w:ascii="宋体" w:hAnsi="宋体" w:eastAsia="宋体" w:cs="宋体"/>
          <w:sz w:val="24"/>
          <w:szCs w:val="24"/>
        </w:rPr>
        <w:fldChar w:fldCharType="separate"/>
      </w:r>
      <w:r>
        <w:rPr>
          <w:rFonts w:hint="eastAsia" w:ascii="宋体" w:hAnsi="宋体" w:eastAsia="宋体" w:cs="宋体"/>
          <w:sz w:val="24"/>
          <w:szCs w:val="24"/>
        </w:rPr>
        <w:t>- 1 -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3580BD59">
      <w:pPr>
        <w:pStyle w:val="26"/>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_Toc13557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三、</w:t>
      </w:r>
      <w:r>
        <w:rPr>
          <w:rFonts w:hint="eastAsia" w:ascii="宋体" w:hAnsi="宋体" w:eastAsia="宋体" w:cs="宋体"/>
          <w:bCs/>
          <w:kern w:val="2"/>
          <w:sz w:val="24"/>
          <w:szCs w:val="24"/>
          <w:highlight w:val="none"/>
          <w:lang w:val="hr-HR" w:eastAsia="zh-CN" w:bidi="ar-SA"/>
        </w:rPr>
        <w:t>获取招标文件</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_Toc13557 \h </w:instrText>
      </w:r>
      <w:r>
        <w:rPr>
          <w:rFonts w:hint="eastAsia" w:ascii="宋体" w:hAnsi="宋体" w:eastAsia="宋体" w:cs="宋体"/>
          <w:sz w:val="24"/>
          <w:szCs w:val="24"/>
        </w:rPr>
        <w:fldChar w:fldCharType="separate"/>
      </w:r>
      <w:r>
        <w:rPr>
          <w:rFonts w:hint="eastAsia" w:ascii="宋体" w:hAnsi="宋体" w:eastAsia="宋体" w:cs="宋体"/>
          <w:sz w:val="24"/>
          <w:szCs w:val="24"/>
        </w:rPr>
        <w:t>- 2 -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22E5FFFF">
      <w:pPr>
        <w:pStyle w:val="26"/>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_Toc1017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四、</w:t>
      </w:r>
      <w:r>
        <w:rPr>
          <w:rFonts w:hint="eastAsia" w:ascii="宋体" w:hAnsi="宋体" w:eastAsia="宋体" w:cs="宋体"/>
          <w:bCs/>
          <w:kern w:val="2"/>
          <w:sz w:val="24"/>
          <w:szCs w:val="24"/>
          <w:highlight w:val="none"/>
          <w:lang w:val="hr-HR" w:eastAsia="zh-CN" w:bidi="ar-SA"/>
        </w:rPr>
        <w:t>提交投标文件截止时间</w:t>
      </w:r>
      <w:r>
        <w:rPr>
          <w:rFonts w:hint="eastAsia" w:ascii="宋体" w:hAnsi="宋体" w:eastAsia="宋体" w:cs="宋体"/>
          <w:bCs/>
          <w:kern w:val="2"/>
          <w:sz w:val="24"/>
          <w:szCs w:val="24"/>
          <w:highlight w:val="none"/>
          <w:lang w:val="en-US" w:eastAsia="zh-CN" w:bidi="ar-SA"/>
        </w:rPr>
        <w:t>/</w:t>
      </w:r>
      <w:r>
        <w:rPr>
          <w:rFonts w:hint="eastAsia" w:ascii="宋体" w:hAnsi="宋体" w:eastAsia="宋体" w:cs="宋体"/>
          <w:bCs/>
          <w:kern w:val="2"/>
          <w:sz w:val="24"/>
          <w:szCs w:val="24"/>
          <w:highlight w:val="none"/>
          <w:lang w:val="hr-HR" w:eastAsia="zh-CN" w:bidi="ar-SA"/>
        </w:rPr>
        <w:t>开标时间、递交方式和</w:t>
      </w:r>
      <w:r>
        <w:rPr>
          <w:rFonts w:hint="eastAsia" w:ascii="宋体" w:hAnsi="宋体" w:eastAsia="宋体" w:cs="宋体"/>
          <w:bCs/>
          <w:kern w:val="2"/>
          <w:sz w:val="24"/>
          <w:szCs w:val="24"/>
          <w:highlight w:val="none"/>
          <w:lang w:val="en-US" w:eastAsia="zh-CN" w:bidi="ar-SA"/>
        </w:rPr>
        <w:t>开标</w:t>
      </w:r>
      <w:r>
        <w:rPr>
          <w:rFonts w:hint="eastAsia" w:ascii="宋体" w:hAnsi="宋体" w:eastAsia="宋体" w:cs="宋体"/>
          <w:bCs/>
          <w:kern w:val="2"/>
          <w:sz w:val="24"/>
          <w:szCs w:val="24"/>
          <w:highlight w:val="none"/>
          <w:lang w:val="hr-HR" w:eastAsia="zh-CN" w:bidi="ar-SA"/>
        </w:rPr>
        <w:t>地点</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_Toc1017 \h </w:instrText>
      </w:r>
      <w:r>
        <w:rPr>
          <w:rFonts w:hint="eastAsia" w:ascii="宋体" w:hAnsi="宋体" w:eastAsia="宋体" w:cs="宋体"/>
          <w:sz w:val="24"/>
          <w:szCs w:val="24"/>
        </w:rPr>
        <w:fldChar w:fldCharType="separate"/>
      </w:r>
      <w:r>
        <w:rPr>
          <w:rFonts w:hint="eastAsia" w:ascii="宋体" w:hAnsi="宋体" w:eastAsia="宋体" w:cs="宋体"/>
          <w:sz w:val="24"/>
          <w:szCs w:val="24"/>
        </w:rPr>
        <w:t>- 2 -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6F8DAA9C">
      <w:pPr>
        <w:pStyle w:val="26"/>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_Toc24036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五、</w:t>
      </w:r>
      <w:r>
        <w:rPr>
          <w:rFonts w:hint="eastAsia" w:ascii="宋体" w:hAnsi="宋体" w:eastAsia="宋体" w:cs="宋体"/>
          <w:bCs/>
          <w:kern w:val="2"/>
          <w:sz w:val="24"/>
          <w:szCs w:val="24"/>
          <w:highlight w:val="none"/>
          <w:lang w:val="hr-HR" w:eastAsia="zh-CN" w:bidi="ar-SA"/>
        </w:rPr>
        <w:t>公告期限</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_Toc24036 \h </w:instrText>
      </w:r>
      <w:r>
        <w:rPr>
          <w:rFonts w:hint="eastAsia" w:ascii="宋体" w:hAnsi="宋体" w:eastAsia="宋体" w:cs="宋体"/>
          <w:sz w:val="24"/>
          <w:szCs w:val="24"/>
        </w:rPr>
        <w:fldChar w:fldCharType="separate"/>
      </w:r>
      <w:r>
        <w:rPr>
          <w:rFonts w:hint="eastAsia" w:ascii="宋体" w:hAnsi="宋体" w:eastAsia="宋体" w:cs="宋体"/>
          <w:sz w:val="24"/>
          <w:szCs w:val="24"/>
        </w:rPr>
        <w:t>- 3 -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06BA3529">
      <w:pPr>
        <w:pStyle w:val="26"/>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_Toc22515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六、</w:t>
      </w:r>
      <w:r>
        <w:rPr>
          <w:rFonts w:hint="eastAsia" w:ascii="宋体" w:hAnsi="宋体" w:eastAsia="宋体" w:cs="宋体"/>
          <w:bCs/>
          <w:kern w:val="2"/>
          <w:sz w:val="24"/>
          <w:szCs w:val="24"/>
          <w:highlight w:val="none"/>
          <w:lang w:val="hr-HR" w:eastAsia="zh-CN" w:bidi="ar-SA"/>
        </w:rPr>
        <w:t>其他补充事宜</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_Toc22515 \h </w:instrText>
      </w:r>
      <w:r>
        <w:rPr>
          <w:rFonts w:hint="eastAsia" w:ascii="宋体" w:hAnsi="宋体" w:eastAsia="宋体" w:cs="宋体"/>
          <w:sz w:val="24"/>
          <w:szCs w:val="24"/>
        </w:rPr>
        <w:fldChar w:fldCharType="separate"/>
      </w:r>
      <w:r>
        <w:rPr>
          <w:rFonts w:hint="eastAsia" w:ascii="宋体" w:hAnsi="宋体" w:eastAsia="宋体" w:cs="宋体"/>
          <w:sz w:val="24"/>
          <w:szCs w:val="24"/>
        </w:rPr>
        <w:t>- 3 -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60DD7834">
      <w:pPr>
        <w:pStyle w:val="26"/>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_Toc20894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七、</w:t>
      </w:r>
      <w:r>
        <w:rPr>
          <w:rFonts w:hint="eastAsia" w:ascii="宋体" w:hAnsi="宋体" w:eastAsia="宋体" w:cs="宋体"/>
          <w:bCs/>
          <w:kern w:val="2"/>
          <w:sz w:val="24"/>
          <w:szCs w:val="24"/>
          <w:highlight w:val="none"/>
          <w:lang w:val="hr-HR" w:eastAsia="zh-CN" w:bidi="ar-SA"/>
        </w:rPr>
        <w:t>对本次</w:t>
      </w:r>
      <w:r>
        <w:rPr>
          <w:rFonts w:hint="eastAsia" w:ascii="宋体" w:hAnsi="宋体" w:eastAsia="宋体" w:cs="宋体"/>
          <w:bCs/>
          <w:kern w:val="2"/>
          <w:sz w:val="24"/>
          <w:szCs w:val="24"/>
          <w:highlight w:val="none"/>
          <w:lang w:val="en-US" w:eastAsia="zh-CN" w:bidi="ar-SA"/>
        </w:rPr>
        <w:t>招标</w:t>
      </w:r>
      <w:r>
        <w:rPr>
          <w:rFonts w:hint="eastAsia" w:ascii="宋体" w:hAnsi="宋体" w:eastAsia="宋体" w:cs="宋体"/>
          <w:bCs/>
          <w:kern w:val="2"/>
          <w:sz w:val="24"/>
          <w:szCs w:val="24"/>
          <w:highlight w:val="none"/>
          <w:lang w:val="hr-HR" w:eastAsia="zh-CN" w:bidi="ar-SA"/>
        </w:rPr>
        <w:t>提出询问，请按以下方式联系</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_Toc20894 \h </w:instrText>
      </w:r>
      <w:r>
        <w:rPr>
          <w:rFonts w:hint="eastAsia" w:ascii="宋体" w:hAnsi="宋体" w:eastAsia="宋体" w:cs="宋体"/>
          <w:sz w:val="24"/>
          <w:szCs w:val="24"/>
        </w:rPr>
        <w:fldChar w:fldCharType="separate"/>
      </w:r>
      <w:r>
        <w:rPr>
          <w:rFonts w:hint="eastAsia" w:ascii="宋体" w:hAnsi="宋体" w:eastAsia="宋体" w:cs="宋体"/>
          <w:sz w:val="24"/>
          <w:szCs w:val="24"/>
        </w:rPr>
        <w:t>- 3 -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5A46D4F3">
      <w:pPr>
        <w:pStyle w:val="21"/>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_Toc6667 </w:instrText>
      </w:r>
      <w:r>
        <w:rPr>
          <w:rFonts w:hint="eastAsia" w:ascii="宋体" w:hAnsi="宋体" w:eastAsia="宋体" w:cs="宋体"/>
          <w:sz w:val="24"/>
          <w:szCs w:val="24"/>
          <w:highlight w:val="none"/>
        </w:rPr>
        <w:fldChar w:fldCharType="separate"/>
      </w:r>
      <w:r>
        <w:rPr>
          <w:rFonts w:hint="eastAsia" w:ascii="宋体" w:hAnsi="宋体" w:eastAsia="宋体" w:cs="宋体"/>
          <w:bCs/>
          <w:kern w:val="44"/>
          <w:sz w:val="24"/>
          <w:szCs w:val="24"/>
          <w:highlight w:val="none"/>
          <w:lang w:val="en-US" w:eastAsia="zh-CN" w:bidi="ar-SA"/>
        </w:rPr>
        <w:t>第二章 投标人须知</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_Toc6667 \h </w:instrText>
      </w:r>
      <w:r>
        <w:rPr>
          <w:rFonts w:hint="eastAsia" w:ascii="宋体" w:hAnsi="宋体" w:eastAsia="宋体" w:cs="宋体"/>
          <w:sz w:val="24"/>
          <w:szCs w:val="24"/>
        </w:rPr>
        <w:fldChar w:fldCharType="separate"/>
      </w:r>
      <w:r>
        <w:rPr>
          <w:rFonts w:hint="eastAsia" w:ascii="宋体" w:hAnsi="宋体" w:eastAsia="宋体" w:cs="宋体"/>
          <w:sz w:val="24"/>
          <w:szCs w:val="24"/>
        </w:rPr>
        <w:t>- 4 -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38C63B62">
      <w:pPr>
        <w:pStyle w:val="26"/>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_Toc6574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一、投标人须知前附表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_Toc6574 \h </w:instrText>
      </w:r>
      <w:r>
        <w:rPr>
          <w:rFonts w:hint="eastAsia" w:ascii="宋体" w:hAnsi="宋体" w:eastAsia="宋体" w:cs="宋体"/>
          <w:sz w:val="24"/>
          <w:szCs w:val="24"/>
        </w:rPr>
        <w:fldChar w:fldCharType="separate"/>
      </w:r>
      <w:r>
        <w:rPr>
          <w:rFonts w:hint="eastAsia" w:ascii="宋体" w:hAnsi="宋体" w:eastAsia="宋体" w:cs="宋体"/>
          <w:sz w:val="24"/>
          <w:szCs w:val="24"/>
        </w:rPr>
        <w:t>- 4 -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36E22E46">
      <w:pPr>
        <w:pStyle w:val="26"/>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_Toc25718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二、投标人须知</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_Toc25718 \h </w:instrText>
      </w:r>
      <w:r>
        <w:rPr>
          <w:rFonts w:hint="eastAsia" w:ascii="宋体" w:hAnsi="宋体" w:eastAsia="宋体" w:cs="宋体"/>
          <w:sz w:val="24"/>
          <w:szCs w:val="24"/>
        </w:rPr>
        <w:fldChar w:fldCharType="separate"/>
      </w:r>
      <w:r>
        <w:rPr>
          <w:rFonts w:hint="eastAsia" w:ascii="宋体" w:hAnsi="宋体" w:eastAsia="宋体" w:cs="宋体"/>
          <w:sz w:val="24"/>
          <w:szCs w:val="24"/>
        </w:rPr>
        <w:t>- 9 -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43ADB032">
      <w:pPr>
        <w:pStyle w:val="21"/>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_Toc18413 </w:instrText>
      </w:r>
      <w:r>
        <w:rPr>
          <w:rFonts w:hint="eastAsia" w:ascii="宋体" w:hAnsi="宋体" w:eastAsia="宋体" w:cs="宋体"/>
          <w:sz w:val="24"/>
          <w:szCs w:val="24"/>
          <w:highlight w:val="none"/>
        </w:rPr>
        <w:fldChar w:fldCharType="separate"/>
      </w:r>
      <w:r>
        <w:rPr>
          <w:rFonts w:hint="eastAsia" w:ascii="宋体" w:hAnsi="宋体" w:eastAsia="宋体" w:cs="宋体"/>
          <w:bCs/>
          <w:kern w:val="44"/>
          <w:sz w:val="24"/>
          <w:szCs w:val="24"/>
          <w:highlight w:val="none"/>
          <w:lang w:val="en-US" w:eastAsia="zh-CN" w:bidi="ar-SA"/>
        </w:rPr>
        <w:t>第三章 采购需求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_Toc18413 \h </w:instrText>
      </w:r>
      <w:r>
        <w:rPr>
          <w:rFonts w:hint="eastAsia" w:ascii="宋体" w:hAnsi="宋体" w:eastAsia="宋体" w:cs="宋体"/>
          <w:sz w:val="24"/>
          <w:szCs w:val="24"/>
        </w:rPr>
        <w:fldChar w:fldCharType="separate"/>
      </w:r>
      <w:r>
        <w:rPr>
          <w:rFonts w:hint="eastAsia" w:ascii="宋体" w:hAnsi="宋体" w:eastAsia="宋体" w:cs="宋体"/>
          <w:sz w:val="24"/>
          <w:szCs w:val="24"/>
        </w:rPr>
        <w:t>- 36 -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7BC84537">
      <w:pPr>
        <w:pStyle w:val="26"/>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_Toc2251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lang w:val="en-US" w:eastAsia="zh-CN"/>
        </w:rPr>
        <w:t>一、采购标的</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_Toc2251 \h </w:instrText>
      </w:r>
      <w:r>
        <w:rPr>
          <w:rFonts w:hint="eastAsia" w:ascii="宋体" w:hAnsi="宋体" w:eastAsia="宋体" w:cs="宋体"/>
          <w:sz w:val="24"/>
          <w:szCs w:val="24"/>
        </w:rPr>
        <w:fldChar w:fldCharType="separate"/>
      </w:r>
      <w:r>
        <w:rPr>
          <w:rFonts w:hint="eastAsia" w:ascii="宋体" w:hAnsi="宋体" w:eastAsia="宋体" w:cs="宋体"/>
          <w:sz w:val="24"/>
          <w:szCs w:val="24"/>
        </w:rPr>
        <w:t>- 36 -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4E27FDCB">
      <w:pPr>
        <w:pStyle w:val="26"/>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_Toc17598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lang w:val="en-US" w:eastAsia="zh-CN"/>
        </w:rPr>
        <w:t>二、商务要求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_Toc17598 \h </w:instrText>
      </w:r>
      <w:r>
        <w:rPr>
          <w:rFonts w:hint="eastAsia" w:ascii="宋体" w:hAnsi="宋体" w:eastAsia="宋体" w:cs="宋体"/>
          <w:sz w:val="24"/>
          <w:szCs w:val="24"/>
        </w:rPr>
        <w:fldChar w:fldCharType="separate"/>
      </w:r>
      <w:r>
        <w:rPr>
          <w:rFonts w:hint="eastAsia" w:ascii="宋体" w:hAnsi="宋体" w:eastAsia="宋体" w:cs="宋体"/>
          <w:sz w:val="24"/>
          <w:szCs w:val="24"/>
        </w:rPr>
        <w:t>- 36 -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50A8272E">
      <w:pPr>
        <w:pStyle w:val="26"/>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_Toc14386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lang w:val="en-US" w:eastAsia="zh-CN"/>
        </w:rPr>
        <w:t>三、技术要求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_Toc14386 \h </w:instrText>
      </w:r>
      <w:r>
        <w:rPr>
          <w:rFonts w:hint="eastAsia" w:ascii="宋体" w:hAnsi="宋体" w:eastAsia="宋体" w:cs="宋体"/>
          <w:sz w:val="24"/>
          <w:szCs w:val="24"/>
        </w:rPr>
        <w:fldChar w:fldCharType="separate"/>
      </w:r>
      <w:r>
        <w:rPr>
          <w:rFonts w:hint="eastAsia" w:ascii="宋体" w:hAnsi="宋体" w:eastAsia="宋体" w:cs="宋体"/>
          <w:sz w:val="24"/>
          <w:szCs w:val="24"/>
        </w:rPr>
        <w:t>- 37 -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652A25E7">
      <w:pPr>
        <w:pStyle w:val="21"/>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_Toc16160 </w:instrText>
      </w:r>
      <w:r>
        <w:rPr>
          <w:rFonts w:hint="eastAsia" w:ascii="宋体" w:hAnsi="宋体" w:eastAsia="宋体" w:cs="宋体"/>
          <w:sz w:val="24"/>
          <w:szCs w:val="24"/>
          <w:highlight w:val="none"/>
        </w:rPr>
        <w:fldChar w:fldCharType="separate"/>
      </w:r>
      <w:r>
        <w:rPr>
          <w:rFonts w:hint="eastAsia" w:ascii="宋体" w:hAnsi="宋体" w:eastAsia="宋体" w:cs="宋体"/>
          <w:bCs/>
          <w:kern w:val="44"/>
          <w:sz w:val="24"/>
          <w:szCs w:val="24"/>
          <w:highlight w:val="none"/>
          <w:lang w:val="en-US" w:eastAsia="zh-CN" w:bidi="ar-SA"/>
        </w:rPr>
        <w:t>第四章 资格审查</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_Toc16160 \h </w:instrText>
      </w:r>
      <w:r>
        <w:rPr>
          <w:rFonts w:hint="eastAsia" w:ascii="宋体" w:hAnsi="宋体" w:eastAsia="宋体" w:cs="宋体"/>
          <w:sz w:val="24"/>
          <w:szCs w:val="24"/>
        </w:rPr>
        <w:fldChar w:fldCharType="separate"/>
      </w:r>
      <w:r>
        <w:rPr>
          <w:rFonts w:hint="eastAsia" w:ascii="宋体" w:hAnsi="宋体" w:eastAsia="宋体" w:cs="宋体"/>
          <w:sz w:val="24"/>
          <w:szCs w:val="24"/>
        </w:rPr>
        <w:t>- 49 -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612DF9D4">
      <w:pPr>
        <w:pStyle w:val="26"/>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_Toc16612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val="en-US" w:eastAsia="zh-CN"/>
        </w:rPr>
        <w:t>一、资格审查程序</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_Toc16612 \h </w:instrText>
      </w:r>
      <w:r>
        <w:rPr>
          <w:rFonts w:hint="eastAsia" w:ascii="宋体" w:hAnsi="宋体" w:eastAsia="宋体" w:cs="宋体"/>
          <w:sz w:val="24"/>
          <w:szCs w:val="24"/>
        </w:rPr>
        <w:fldChar w:fldCharType="separate"/>
      </w:r>
      <w:r>
        <w:rPr>
          <w:rFonts w:hint="eastAsia" w:ascii="宋体" w:hAnsi="宋体" w:eastAsia="宋体" w:cs="宋体"/>
          <w:sz w:val="24"/>
          <w:szCs w:val="24"/>
        </w:rPr>
        <w:t>- 49 -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0D741226">
      <w:pPr>
        <w:pStyle w:val="26"/>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_Toc2211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val="en-US" w:eastAsia="zh-CN"/>
        </w:rPr>
        <w:t>二、资格审查要求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_Toc2211 \h </w:instrText>
      </w:r>
      <w:r>
        <w:rPr>
          <w:rFonts w:hint="eastAsia" w:ascii="宋体" w:hAnsi="宋体" w:eastAsia="宋体" w:cs="宋体"/>
          <w:sz w:val="24"/>
          <w:szCs w:val="24"/>
        </w:rPr>
        <w:fldChar w:fldCharType="separate"/>
      </w:r>
      <w:r>
        <w:rPr>
          <w:rFonts w:hint="eastAsia" w:ascii="宋体" w:hAnsi="宋体" w:eastAsia="宋体" w:cs="宋体"/>
          <w:sz w:val="24"/>
          <w:szCs w:val="24"/>
        </w:rPr>
        <w:t>- 49 -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2AF7A218">
      <w:pPr>
        <w:pStyle w:val="21"/>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_Toc22582 </w:instrText>
      </w:r>
      <w:r>
        <w:rPr>
          <w:rFonts w:hint="eastAsia" w:ascii="宋体" w:hAnsi="宋体" w:eastAsia="宋体" w:cs="宋体"/>
          <w:sz w:val="24"/>
          <w:szCs w:val="24"/>
          <w:highlight w:val="none"/>
        </w:rPr>
        <w:fldChar w:fldCharType="separate"/>
      </w:r>
      <w:r>
        <w:rPr>
          <w:rFonts w:hint="eastAsia" w:ascii="宋体" w:hAnsi="宋体" w:eastAsia="宋体" w:cs="宋体"/>
          <w:bCs/>
          <w:kern w:val="44"/>
          <w:sz w:val="24"/>
          <w:szCs w:val="24"/>
          <w:highlight w:val="none"/>
          <w:lang w:val="en-US" w:eastAsia="zh-CN" w:bidi="ar-SA"/>
        </w:rPr>
        <w:t>第五章 评标方法及标准</w:t>
      </w:r>
      <w:r>
        <w:rPr>
          <w:rFonts w:hint="eastAsia" w:ascii="宋体" w:hAnsi="宋体" w:eastAsia="宋体" w:cs="宋体"/>
          <w:sz w:val="24"/>
          <w:szCs w:val="24"/>
          <w:lang w:val="zh-CN" w:eastAsia="zh-CN"/>
        </w:rPr>
        <w:t>【</w:t>
      </w:r>
      <w:r>
        <w:rPr>
          <w:rFonts w:hint="eastAsia" w:ascii="宋体" w:hAnsi="宋体" w:eastAsia="宋体" w:cs="宋体"/>
          <w:bCs/>
          <w:kern w:val="44"/>
          <w:sz w:val="24"/>
          <w:szCs w:val="24"/>
          <w:highlight w:val="none"/>
          <w:lang w:val="en-US" w:eastAsia="zh-CN" w:bidi="ar-SA"/>
        </w:rPr>
        <w:t>综合评分法</w:t>
      </w:r>
      <w:r>
        <w:rPr>
          <w:rFonts w:hint="eastAsia" w:ascii="宋体" w:hAnsi="宋体" w:eastAsia="宋体" w:cs="宋体"/>
          <w:sz w:val="24"/>
          <w:szCs w:val="24"/>
          <w:lang w:val="zh-CN" w:eastAsia="zh-CN"/>
        </w:rPr>
        <w:t>】</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_Toc22582 \h </w:instrText>
      </w:r>
      <w:r>
        <w:rPr>
          <w:rFonts w:hint="eastAsia" w:ascii="宋体" w:hAnsi="宋体" w:eastAsia="宋体" w:cs="宋体"/>
          <w:sz w:val="24"/>
          <w:szCs w:val="24"/>
        </w:rPr>
        <w:fldChar w:fldCharType="separate"/>
      </w:r>
      <w:r>
        <w:rPr>
          <w:rFonts w:hint="eastAsia" w:ascii="宋体" w:hAnsi="宋体" w:eastAsia="宋体" w:cs="宋体"/>
          <w:sz w:val="24"/>
          <w:szCs w:val="24"/>
        </w:rPr>
        <w:t>- 53 -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4D500802">
      <w:pPr>
        <w:pStyle w:val="26"/>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_Toc2878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val="zh-CN" w:eastAsia="zh-CN"/>
        </w:rPr>
        <w:t>一、评标</w:t>
      </w:r>
      <w:r>
        <w:rPr>
          <w:rFonts w:hint="eastAsia" w:ascii="宋体" w:hAnsi="宋体" w:eastAsia="宋体" w:cs="宋体"/>
          <w:sz w:val="24"/>
          <w:szCs w:val="24"/>
          <w:highlight w:val="none"/>
          <w:lang w:val="en-US" w:eastAsia="zh-CN"/>
        </w:rPr>
        <w:t>方</w:t>
      </w:r>
      <w:r>
        <w:rPr>
          <w:rFonts w:hint="eastAsia" w:ascii="宋体" w:hAnsi="宋体" w:eastAsia="宋体" w:cs="宋体"/>
          <w:sz w:val="24"/>
          <w:szCs w:val="24"/>
          <w:highlight w:val="none"/>
          <w:lang w:val="zh-CN" w:eastAsia="zh-CN"/>
        </w:rPr>
        <w:t>法</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_Toc2878 \h </w:instrText>
      </w:r>
      <w:r>
        <w:rPr>
          <w:rFonts w:hint="eastAsia" w:ascii="宋体" w:hAnsi="宋体" w:eastAsia="宋体" w:cs="宋体"/>
          <w:sz w:val="24"/>
          <w:szCs w:val="24"/>
        </w:rPr>
        <w:fldChar w:fldCharType="separate"/>
      </w:r>
      <w:r>
        <w:rPr>
          <w:rFonts w:hint="eastAsia" w:ascii="宋体" w:hAnsi="宋体" w:eastAsia="宋体" w:cs="宋体"/>
          <w:sz w:val="24"/>
          <w:szCs w:val="24"/>
        </w:rPr>
        <w:t>- 53 -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5A458AD6">
      <w:pPr>
        <w:pStyle w:val="26"/>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_Toc2644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val="en-US" w:eastAsia="zh-CN"/>
        </w:rPr>
        <w:t>二</w:t>
      </w:r>
      <w:r>
        <w:rPr>
          <w:rFonts w:hint="eastAsia" w:ascii="宋体" w:hAnsi="宋体" w:eastAsia="宋体" w:cs="宋体"/>
          <w:sz w:val="24"/>
          <w:szCs w:val="24"/>
          <w:highlight w:val="none"/>
          <w:lang w:val="zh-CN" w:eastAsia="zh-CN"/>
        </w:rPr>
        <w:t>、评标程序</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_Toc2644 \h </w:instrText>
      </w:r>
      <w:r>
        <w:rPr>
          <w:rFonts w:hint="eastAsia" w:ascii="宋体" w:hAnsi="宋体" w:eastAsia="宋体" w:cs="宋体"/>
          <w:sz w:val="24"/>
          <w:szCs w:val="24"/>
        </w:rPr>
        <w:fldChar w:fldCharType="separate"/>
      </w:r>
      <w:r>
        <w:rPr>
          <w:rFonts w:hint="eastAsia" w:ascii="宋体" w:hAnsi="宋体" w:eastAsia="宋体" w:cs="宋体"/>
          <w:sz w:val="24"/>
          <w:szCs w:val="24"/>
        </w:rPr>
        <w:t>- 53 -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3DC103B1">
      <w:pPr>
        <w:pStyle w:val="26"/>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_Toc26940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val="zh-CN" w:eastAsia="zh-CN"/>
        </w:rPr>
        <w:t>三、评标</w:t>
      </w:r>
      <w:r>
        <w:rPr>
          <w:rFonts w:hint="eastAsia" w:ascii="宋体" w:hAnsi="宋体" w:eastAsia="宋体" w:cs="宋体"/>
          <w:sz w:val="24"/>
          <w:szCs w:val="24"/>
          <w:highlight w:val="none"/>
          <w:lang w:val="en-US" w:eastAsia="zh-CN"/>
        </w:rPr>
        <w:t>其他要求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_Toc26940 \h </w:instrText>
      </w:r>
      <w:r>
        <w:rPr>
          <w:rFonts w:hint="eastAsia" w:ascii="宋体" w:hAnsi="宋体" w:eastAsia="宋体" w:cs="宋体"/>
          <w:sz w:val="24"/>
          <w:szCs w:val="24"/>
        </w:rPr>
        <w:fldChar w:fldCharType="separate"/>
      </w:r>
      <w:r>
        <w:rPr>
          <w:rFonts w:hint="eastAsia" w:ascii="宋体" w:hAnsi="宋体" w:eastAsia="宋体" w:cs="宋体"/>
          <w:sz w:val="24"/>
          <w:szCs w:val="24"/>
        </w:rPr>
        <w:t>- 59 -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0A853C28">
      <w:pPr>
        <w:pStyle w:val="26"/>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_Toc19817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val="en-US" w:eastAsia="zh-CN"/>
        </w:rPr>
        <w:t>四</w:t>
      </w:r>
      <w:r>
        <w:rPr>
          <w:rFonts w:hint="eastAsia" w:ascii="宋体" w:hAnsi="宋体" w:eastAsia="宋体" w:cs="宋体"/>
          <w:sz w:val="24"/>
          <w:szCs w:val="24"/>
          <w:highlight w:val="none"/>
          <w:lang w:val="zh-CN" w:eastAsia="zh-CN"/>
        </w:rPr>
        <w:t>、评标标准</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_Toc19817 \h </w:instrText>
      </w:r>
      <w:r>
        <w:rPr>
          <w:rFonts w:hint="eastAsia" w:ascii="宋体" w:hAnsi="宋体" w:eastAsia="宋体" w:cs="宋体"/>
          <w:sz w:val="24"/>
          <w:szCs w:val="24"/>
        </w:rPr>
        <w:fldChar w:fldCharType="separate"/>
      </w:r>
      <w:r>
        <w:rPr>
          <w:rFonts w:hint="eastAsia" w:ascii="宋体" w:hAnsi="宋体" w:eastAsia="宋体" w:cs="宋体"/>
          <w:sz w:val="24"/>
          <w:szCs w:val="24"/>
        </w:rPr>
        <w:t>- 60 -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316B7BA6">
      <w:pPr>
        <w:pStyle w:val="21"/>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_Toc24636 </w:instrText>
      </w:r>
      <w:r>
        <w:rPr>
          <w:rFonts w:hint="eastAsia" w:ascii="宋体" w:hAnsi="宋体" w:eastAsia="宋体" w:cs="宋体"/>
          <w:sz w:val="24"/>
          <w:szCs w:val="24"/>
          <w:highlight w:val="none"/>
        </w:rPr>
        <w:fldChar w:fldCharType="separate"/>
      </w:r>
      <w:r>
        <w:rPr>
          <w:rFonts w:hint="eastAsia" w:ascii="宋体" w:hAnsi="宋体" w:eastAsia="宋体" w:cs="宋体"/>
          <w:bCs/>
          <w:kern w:val="44"/>
          <w:sz w:val="24"/>
          <w:szCs w:val="24"/>
          <w:highlight w:val="none"/>
          <w:lang w:val="zh-CN" w:eastAsia="zh-CN" w:bidi="ar-SA"/>
        </w:rPr>
        <w:t>第六章 合同草案</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_Toc24636 \h </w:instrText>
      </w:r>
      <w:r>
        <w:rPr>
          <w:rFonts w:hint="eastAsia" w:ascii="宋体" w:hAnsi="宋体" w:eastAsia="宋体" w:cs="宋体"/>
          <w:sz w:val="24"/>
          <w:szCs w:val="24"/>
        </w:rPr>
        <w:fldChar w:fldCharType="separate"/>
      </w:r>
      <w:r>
        <w:rPr>
          <w:rFonts w:hint="eastAsia" w:ascii="宋体" w:hAnsi="宋体" w:eastAsia="宋体" w:cs="宋体"/>
          <w:sz w:val="24"/>
          <w:szCs w:val="24"/>
        </w:rPr>
        <w:t>- 64 -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09259C59">
      <w:pPr>
        <w:pStyle w:val="21"/>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_Toc5888 </w:instrText>
      </w:r>
      <w:r>
        <w:rPr>
          <w:rFonts w:hint="eastAsia" w:ascii="宋体" w:hAnsi="宋体" w:eastAsia="宋体" w:cs="宋体"/>
          <w:sz w:val="24"/>
          <w:szCs w:val="24"/>
          <w:highlight w:val="none"/>
        </w:rPr>
        <w:fldChar w:fldCharType="separate"/>
      </w:r>
      <w:r>
        <w:rPr>
          <w:rFonts w:hint="eastAsia" w:ascii="宋体" w:hAnsi="宋体" w:eastAsia="宋体" w:cs="宋体"/>
          <w:bCs/>
          <w:kern w:val="44"/>
          <w:sz w:val="24"/>
          <w:szCs w:val="24"/>
          <w:highlight w:val="none"/>
          <w:lang w:val="en-US" w:eastAsia="zh-CN" w:bidi="ar-SA"/>
        </w:rPr>
        <w:t>第七章 投标文件格式</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_Toc5888 \h </w:instrText>
      </w:r>
      <w:r>
        <w:rPr>
          <w:rFonts w:hint="eastAsia" w:ascii="宋体" w:hAnsi="宋体" w:eastAsia="宋体" w:cs="宋体"/>
          <w:sz w:val="24"/>
          <w:szCs w:val="24"/>
        </w:rPr>
        <w:fldChar w:fldCharType="separate"/>
      </w:r>
      <w:r>
        <w:rPr>
          <w:rFonts w:hint="eastAsia" w:ascii="宋体" w:hAnsi="宋体" w:eastAsia="宋体" w:cs="宋体"/>
          <w:sz w:val="24"/>
          <w:szCs w:val="24"/>
        </w:rPr>
        <w:t>- 84 -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7355FB1A">
      <w:pPr>
        <w:pStyle w:val="26"/>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b/>
          <w:bCs/>
          <w:color w:val="auto"/>
          <w:sz w:val="24"/>
          <w:szCs w:val="24"/>
          <w:highlight w:val="none"/>
        </w:rPr>
        <w:fldChar w:fldCharType="begin"/>
      </w:r>
      <w:r>
        <w:rPr>
          <w:rFonts w:hint="eastAsia" w:ascii="宋体" w:hAnsi="宋体" w:eastAsia="宋体" w:cs="宋体"/>
          <w:b/>
          <w:bCs/>
          <w:sz w:val="24"/>
          <w:szCs w:val="24"/>
          <w:highlight w:val="none"/>
        </w:rPr>
        <w:instrText xml:space="preserve"> HYPERLINK \l _Toc7054 </w:instrText>
      </w:r>
      <w:r>
        <w:rPr>
          <w:rFonts w:hint="eastAsia" w:ascii="宋体" w:hAnsi="宋体" w:eastAsia="宋体" w:cs="宋体"/>
          <w:b/>
          <w:bCs/>
          <w:sz w:val="24"/>
          <w:szCs w:val="24"/>
          <w:highlight w:val="none"/>
        </w:rPr>
        <w:fldChar w:fldCharType="separate"/>
      </w:r>
      <w:r>
        <w:rPr>
          <w:rFonts w:hint="eastAsia" w:ascii="宋体" w:hAnsi="宋体" w:eastAsia="宋体" w:cs="宋体"/>
          <w:b/>
          <w:bCs/>
          <w:sz w:val="24"/>
          <w:szCs w:val="24"/>
        </w:rPr>
        <w:t>投标文件</w:t>
      </w:r>
      <w:r>
        <w:rPr>
          <w:rFonts w:hint="eastAsia" w:ascii="宋体" w:hAnsi="宋体" w:eastAsia="宋体" w:cs="宋体"/>
          <w:b/>
          <w:bCs/>
          <w:color w:val="auto"/>
          <w:sz w:val="24"/>
          <w:szCs w:val="24"/>
          <w:highlight w:val="none"/>
        </w:rPr>
        <w:fldChar w:fldCharType="end"/>
      </w:r>
      <w:r>
        <w:rPr>
          <w:rFonts w:hint="eastAsia" w:ascii="宋体" w:hAnsi="宋体" w:eastAsia="宋体" w:cs="宋体"/>
          <w:b/>
          <w:bCs/>
          <w:color w:val="auto"/>
          <w:sz w:val="24"/>
          <w:szCs w:val="24"/>
          <w:highlight w:val="none"/>
        </w:rPr>
        <w:fldChar w:fldCharType="begin"/>
      </w:r>
      <w:r>
        <w:rPr>
          <w:rFonts w:hint="eastAsia" w:ascii="宋体" w:hAnsi="宋体" w:eastAsia="宋体" w:cs="宋体"/>
          <w:b/>
          <w:bCs/>
          <w:sz w:val="24"/>
          <w:szCs w:val="24"/>
          <w:highlight w:val="none"/>
        </w:rPr>
        <w:instrText xml:space="preserve"> HYPERLINK \l _Toc17826 </w:instrText>
      </w:r>
      <w:r>
        <w:rPr>
          <w:rFonts w:hint="eastAsia" w:ascii="宋体" w:hAnsi="宋体" w:eastAsia="宋体" w:cs="宋体"/>
          <w:b/>
          <w:bCs/>
          <w:sz w:val="24"/>
          <w:szCs w:val="24"/>
          <w:highlight w:val="none"/>
        </w:rPr>
        <w:fldChar w:fldCharType="separate"/>
      </w:r>
      <w:r>
        <w:rPr>
          <w:rFonts w:hint="eastAsia" w:ascii="宋体" w:hAnsi="宋体" w:eastAsia="宋体" w:cs="宋体"/>
          <w:b/>
          <w:bCs/>
          <w:sz w:val="24"/>
          <w:szCs w:val="24"/>
        </w:rPr>
        <w:t>资格证明文件</w:t>
      </w:r>
      <w:r>
        <w:rPr>
          <w:rFonts w:hint="eastAsia" w:ascii="宋体" w:hAnsi="宋体" w:eastAsia="宋体" w:cs="宋体"/>
          <w:b/>
          <w:bCs/>
          <w:sz w:val="24"/>
          <w:szCs w:val="24"/>
        </w:rPr>
        <w:tab/>
      </w: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PAGEREF _Toc17826 \h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- 85 -</w:t>
      </w:r>
      <w:r>
        <w:rPr>
          <w:rFonts w:hint="eastAsia" w:ascii="宋体" w:hAnsi="宋体" w:eastAsia="宋体" w:cs="宋体"/>
          <w:b/>
          <w:bCs/>
          <w:sz w:val="24"/>
          <w:szCs w:val="24"/>
        </w:rPr>
        <w:fldChar w:fldCharType="end"/>
      </w:r>
      <w:r>
        <w:rPr>
          <w:rFonts w:hint="eastAsia" w:ascii="宋体" w:hAnsi="宋体" w:eastAsia="宋体" w:cs="宋体"/>
          <w:b/>
          <w:bCs/>
          <w:color w:val="auto"/>
          <w:sz w:val="24"/>
          <w:szCs w:val="24"/>
          <w:highlight w:val="none"/>
        </w:rPr>
        <w:fldChar w:fldCharType="end"/>
      </w:r>
    </w:p>
    <w:p w14:paraId="4613C602">
      <w:pPr>
        <w:pStyle w:val="26"/>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_Toc24224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lang w:val="en-US" w:eastAsia="zh-CN"/>
        </w:rPr>
        <w:t>一、满足《中华人民共和国政府采购法》第二十二条规定</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_Toc24224 \h </w:instrText>
      </w:r>
      <w:r>
        <w:rPr>
          <w:rFonts w:hint="eastAsia" w:ascii="宋体" w:hAnsi="宋体" w:eastAsia="宋体" w:cs="宋体"/>
          <w:sz w:val="24"/>
          <w:szCs w:val="24"/>
        </w:rPr>
        <w:fldChar w:fldCharType="separate"/>
      </w:r>
      <w:r>
        <w:rPr>
          <w:rFonts w:hint="eastAsia" w:ascii="宋体" w:hAnsi="宋体" w:eastAsia="宋体" w:cs="宋体"/>
          <w:sz w:val="24"/>
          <w:szCs w:val="24"/>
        </w:rPr>
        <w:t>- 86 -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1743B00B">
      <w:pPr>
        <w:pStyle w:val="26"/>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_Toc27506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lang w:val="en-US" w:eastAsia="zh-CN"/>
        </w:rPr>
        <w:t>二、</w:t>
      </w:r>
      <w:r>
        <w:rPr>
          <w:rFonts w:hint="eastAsia" w:ascii="宋体" w:hAnsi="宋体" w:eastAsia="宋体" w:cs="宋体"/>
          <w:sz w:val="24"/>
          <w:szCs w:val="24"/>
          <w:lang w:val="zh-CN" w:eastAsia="zh-CN"/>
        </w:rPr>
        <w:t>联合体协议书【如适用】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_Toc27506 \h </w:instrText>
      </w:r>
      <w:r>
        <w:rPr>
          <w:rFonts w:hint="eastAsia" w:ascii="宋体" w:hAnsi="宋体" w:eastAsia="宋体" w:cs="宋体"/>
          <w:sz w:val="24"/>
          <w:szCs w:val="24"/>
        </w:rPr>
        <w:fldChar w:fldCharType="separate"/>
      </w:r>
      <w:r>
        <w:rPr>
          <w:rFonts w:hint="eastAsia" w:ascii="宋体" w:hAnsi="宋体" w:eastAsia="宋体" w:cs="宋体"/>
          <w:sz w:val="24"/>
          <w:szCs w:val="24"/>
        </w:rPr>
        <w:t>- 92 -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2858D9DA">
      <w:pPr>
        <w:pStyle w:val="26"/>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_Toc18444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lang w:val="en-US" w:eastAsia="zh-CN"/>
        </w:rPr>
        <w:t>三、</w:t>
      </w:r>
      <w:r>
        <w:rPr>
          <w:rFonts w:hint="eastAsia" w:ascii="宋体" w:hAnsi="宋体" w:eastAsia="宋体" w:cs="宋体"/>
          <w:sz w:val="24"/>
          <w:szCs w:val="24"/>
          <w:lang w:val="zh-CN" w:eastAsia="zh-CN"/>
        </w:rPr>
        <w:t>分包意向协议书【如适用】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_Toc18444 \h </w:instrText>
      </w:r>
      <w:r>
        <w:rPr>
          <w:rFonts w:hint="eastAsia" w:ascii="宋体" w:hAnsi="宋体" w:eastAsia="宋体" w:cs="宋体"/>
          <w:sz w:val="24"/>
          <w:szCs w:val="24"/>
        </w:rPr>
        <w:fldChar w:fldCharType="separate"/>
      </w:r>
      <w:r>
        <w:rPr>
          <w:rFonts w:hint="eastAsia" w:ascii="宋体" w:hAnsi="宋体" w:eastAsia="宋体" w:cs="宋体"/>
          <w:sz w:val="24"/>
          <w:szCs w:val="24"/>
        </w:rPr>
        <w:t>- 94 -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31BDF432">
      <w:pPr>
        <w:pStyle w:val="26"/>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_Toc18617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lang w:val="en-US" w:eastAsia="zh-CN"/>
        </w:rPr>
        <w:t>四、落实政府采购政策相关证明文件</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_Toc18617 \h </w:instrText>
      </w:r>
      <w:r>
        <w:rPr>
          <w:rFonts w:hint="eastAsia" w:ascii="宋体" w:hAnsi="宋体" w:eastAsia="宋体" w:cs="宋体"/>
          <w:sz w:val="24"/>
          <w:szCs w:val="24"/>
        </w:rPr>
        <w:fldChar w:fldCharType="separate"/>
      </w:r>
      <w:r>
        <w:rPr>
          <w:rFonts w:hint="eastAsia" w:ascii="宋体" w:hAnsi="宋体" w:eastAsia="宋体" w:cs="宋体"/>
          <w:sz w:val="24"/>
          <w:szCs w:val="24"/>
        </w:rPr>
        <w:t>- 96 -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1A1CD41B">
      <w:pPr>
        <w:pStyle w:val="26"/>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_Toc29132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lang w:val="en-US" w:eastAsia="zh-CN"/>
        </w:rPr>
        <w:t>五、不参与围标串标承诺书</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_Toc29132 \h </w:instrText>
      </w:r>
      <w:r>
        <w:rPr>
          <w:rFonts w:hint="eastAsia" w:ascii="宋体" w:hAnsi="宋体" w:eastAsia="宋体" w:cs="宋体"/>
          <w:sz w:val="24"/>
          <w:szCs w:val="24"/>
        </w:rPr>
        <w:fldChar w:fldCharType="separate"/>
      </w:r>
      <w:r>
        <w:rPr>
          <w:rFonts w:hint="eastAsia" w:ascii="宋体" w:hAnsi="宋体" w:eastAsia="宋体" w:cs="宋体"/>
          <w:sz w:val="24"/>
          <w:szCs w:val="24"/>
        </w:rPr>
        <w:t>- 110 -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768F1581">
      <w:pPr>
        <w:pStyle w:val="26"/>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_Toc12419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lang w:val="en-US" w:eastAsia="zh-CN"/>
        </w:rPr>
        <w:t>六、</w:t>
      </w:r>
      <w:r>
        <w:rPr>
          <w:rFonts w:hint="eastAsia" w:ascii="宋体" w:hAnsi="宋体" w:eastAsia="宋体" w:cs="宋体"/>
          <w:sz w:val="24"/>
          <w:szCs w:val="24"/>
          <w:lang w:val="zh-CN" w:eastAsia="zh-CN"/>
        </w:rPr>
        <w:t>其他资格证明文件</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_Toc12419 \h </w:instrText>
      </w:r>
      <w:r>
        <w:rPr>
          <w:rFonts w:hint="eastAsia" w:ascii="宋体" w:hAnsi="宋体" w:eastAsia="宋体" w:cs="宋体"/>
          <w:sz w:val="24"/>
          <w:szCs w:val="24"/>
        </w:rPr>
        <w:fldChar w:fldCharType="separate"/>
      </w:r>
      <w:r>
        <w:rPr>
          <w:rFonts w:hint="eastAsia" w:ascii="宋体" w:hAnsi="宋体" w:eastAsia="宋体" w:cs="宋体"/>
          <w:sz w:val="24"/>
          <w:szCs w:val="24"/>
        </w:rPr>
        <w:t>- 110 -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3DE83DBA">
      <w:pPr>
        <w:pStyle w:val="26"/>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b/>
          <w:bCs/>
          <w:color w:val="auto"/>
          <w:sz w:val="24"/>
          <w:szCs w:val="24"/>
          <w:highlight w:val="none"/>
        </w:rPr>
        <w:fldChar w:fldCharType="begin"/>
      </w:r>
      <w:r>
        <w:rPr>
          <w:rFonts w:hint="eastAsia" w:ascii="宋体" w:hAnsi="宋体" w:eastAsia="宋体" w:cs="宋体"/>
          <w:b/>
          <w:bCs/>
          <w:sz w:val="24"/>
          <w:szCs w:val="24"/>
          <w:highlight w:val="none"/>
        </w:rPr>
        <w:instrText xml:space="preserve"> HYPERLINK \l _Toc25734 </w:instrText>
      </w:r>
      <w:r>
        <w:rPr>
          <w:rFonts w:hint="eastAsia" w:ascii="宋体" w:hAnsi="宋体" w:eastAsia="宋体" w:cs="宋体"/>
          <w:b/>
          <w:bCs/>
          <w:sz w:val="24"/>
          <w:szCs w:val="24"/>
          <w:highlight w:val="none"/>
        </w:rPr>
        <w:fldChar w:fldCharType="separate"/>
      </w:r>
      <w:r>
        <w:rPr>
          <w:rFonts w:hint="eastAsia" w:ascii="宋体" w:hAnsi="宋体" w:eastAsia="宋体" w:cs="宋体"/>
          <w:b/>
          <w:bCs/>
          <w:sz w:val="24"/>
          <w:szCs w:val="24"/>
        </w:rPr>
        <w:t>投标文件</w:t>
      </w:r>
      <w:r>
        <w:rPr>
          <w:rFonts w:hint="eastAsia" w:ascii="宋体" w:hAnsi="宋体" w:eastAsia="宋体" w:cs="宋体"/>
          <w:b/>
          <w:bCs/>
          <w:color w:val="auto"/>
          <w:sz w:val="24"/>
          <w:szCs w:val="24"/>
          <w:highlight w:val="none"/>
        </w:rPr>
        <w:fldChar w:fldCharType="end"/>
      </w:r>
      <w:r>
        <w:rPr>
          <w:rFonts w:hint="eastAsia" w:ascii="宋体" w:hAnsi="宋体" w:eastAsia="宋体" w:cs="宋体"/>
          <w:b/>
          <w:bCs/>
          <w:color w:val="auto"/>
          <w:sz w:val="24"/>
          <w:szCs w:val="24"/>
          <w:highlight w:val="none"/>
        </w:rPr>
        <w:fldChar w:fldCharType="begin"/>
      </w:r>
      <w:r>
        <w:rPr>
          <w:rFonts w:hint="eastAsia" w:ascii="宋体" w:hAnsi="宋体" w:eastAsia="宋体" w:cs="宋体"/>
          <w:b/>
          <w:bCs/>
          <w:sz w:val="24"/>
          <w:szCs w:val="24"/>
          <w:highlight w:val="none"/>
        </w:rPr>
        <w:instrText xml:space="preserve"> HYPERLINK \l _Toc16181 </w:instrText>
      </w:r>
      <w:r>
        <w:rPr>
          <w:rFonts w:hint="eastAsia" w:ascii="宋体" w:hAnsi="宋体" w:eastAsia="宋体" w:cs="宋体"/>
          <w:b/>
          <w:bCs/>
          <w:sz w:val="24"/>
          <w:szCs w:val="24"/>
          <w:highlight w:val="none"/>
        </w:rPr>
        <w:fldChar w:fldCharType="separate"/>
      </w:r>
      <w:r>
        <w:rPr>
          <w:rFonts w:hint="eastAsia" w:ascii="宋体" w:hAnsi="宋体" w:eastAsia="宋体" w:cs="宋体"/>
          <w:b/>
          <w:bCs/>
          <w:sz w:val="24"/>
          <w:szCs w:val="24"/>
          <w:lang w:val="en-US" w:eastAsia="zh-CN"/>
        </w:rPr>
        <w:t>报价文件</w:t>
      </w:r>
      <w:r>
        <w:rPr>
          <w:rFonts w:hint="eastAsia" w:ascii="宋体" w:hAnsi="宋体" w:eastAsia="宋体" w:cs="宋体"/>
          <w:b/>
          <w:bCs/>
          <w:sz w:val="24"/>
          <w:szCs w:val="24"/>
        </w:rPr>
        <w:tab/>
      </w: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PAGEREF _Toc16181 \h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- 113 -</w:t>
      </w:r>
      <w:r>
        <w:rPr>
          <w:rFonts w:hint="eastAsia" w:ascii="宋体" w:hAnsi="宋体" w:eastAsia="宋体" w:cs="宋体"/>
          <w:b/>
          <w:bCs/>
          <w:sz w:val="24"/>
          <w:szCs w:val="24"/>
        </w:rPr>
        <w:fldChar w:fldCharType="end"/>
      </w:r>
      <w:r>
        <w:rPr>
          <w:rFonts w:hint="eastAsia" w:ascii="宋体" w:hAnsi="宋体" w:eastAsia="宋体" w:cs="宋体"/>
          <w:b/>
          <w:bCs/>
          <w:color w:val="auto"/>
          <w:sz w:val="24"/>
          <w:szCs w:val="24"/>
          <w:highlight w:val="none"/>
        </w:rPr>
        <w:fldChar w:fldCharType="end"/>
      </w:r>
    </w:p>
    <w:p w14:paraId="54BCB151">
      <w:pPr>
        <w:pStyle w:val="26"/>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_Toc13682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lang w:val="en-US" w:eastAsia="zh-CN"/>
        </w:rPr>
        <w:t>一、开标一览表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_Toc13682 \h </w:instrText>
      </w:r>
      <w:r>
        <w:rPr>
          <w:rFonts w:hint="eastAsia" w:ascii="宋体" w:hAnsi="宋体" w:eastAsia="宋体" w:cs="宋体"/>
          <w:sz w:val="24"/>
          <w:szCs w:val="24"/>
        </w:rPr>
        <w:fldChar w:fldCharType="separate"/>
      </w:r>
      <w:r>
        <w:rPr>
          <w:rFonts w:hint="eastAsia" w:ascii="宋体" w:hAnsi="宋体" w:eastAsia="宋体" w:cs="宋体"/>
          <w:sz w:val="24"/>
          <w:szCs w:val="24"/>
        </w:rPr>
        <w:t>- 114 -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593A21E1">
      <w:pPr>
        <w:pStyle w:val="26"/>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_Toc16528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lang w:val="en-US" w:eastAsia="zh-CN"/>
        </w:rPr>
        <w:t>二、分项报价表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_Toc16528 \h </w:instrText>
      </w:r>
      <w:r>
        <w:rPr>
          <w:rFonts w:hint="eastAsia" w:ascii="宋体" w:hAnsi="宋体" w:eastAsia="宋体" w:cs="宋体"/>
          <w:sz w:val="24"/>
          <w:szCs w:val="24"/>
        </w:rPr>
        <w:fldChar w:fldCharType="separate"/>
      </w:r>
      <w:r>
        <w:rPr>
          <w:rFonts w:hint="eastAsia" w:ascii="宋体" w:hAnsi="宋体" w:eastAsia="宋体" w:cs="宋体"/>
          <w:sz w:val="24"/>
          <w:szCs w:val="24"/>
        </w:rPr>
        <w:t>- 116 -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1BBF4012">
      <w:pPr>
        <w:pStyle w:val="26"/>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b/>
          <w:bCs/>
          <w:color w:val="auto"/>
          <w:sz w:val="24"/>
          <w:szCs w:val="24"/>
          <w:highlight w:val="none"/>
        </w:rPr>
        <w:fldChar w:fldCharType="begin"/>
      </w:r>
      <w:r>
        <w:rPr>
          <w:rFonts w:hint="eastAsia" w:ascii="宋体" w:hAnsi="宋体" w:eastAsia="宋体" w:cs="宋体"/>
          <w:b/>
          <w:bCs/>
          <w:sz w:val="24"/>
          <w:szCs w:val="24"/>
          <w:highlight w:val="none"/>
        </w:rPr>
        <w:instrText xml:space="preserve"> HYPERLINK \l _Toc5027 </w:instrText>
      </w:r>
      <w:r>
        <w:rPr>
          <w:rFonts w:hint="eastAsia" w:ascii="宋体" w:hAnsi="宋体" w:eastAsia="宋体" w:cs="宋体"/>
          <w:b/>
          <w:bCs/>
          <w:sz w:val="24"/>
          <w:szCs w:val="24"/>
          <w:highlight w:val="none"/>
        </w:rPr>
        <w:fldChar w:fldCharType="separate"/>
      </w:r>
      <w:r>
        <w:rPr>
          <w:rFonts w:hint="eastAsia" w:ascii="宋体" w:hAnsi="宋体" w:eastAsia="宋体" w:cs="宋体"/>
          <w:b/>
          <w:bCs/>
          <w:sz w:val="24"/>
          <w:szCs w:val="24"/>
        </w:rPr>
        <w:t>投标文件</w:t>
      </w:r>
      <w:r>
        <w:rPr>
          <w:rFonts w:hint="eastAsia" w:ascii="宋体" w:hAnsi="宋体" w:eastAsia="宋体" w:cs="宋体"/>
          <w:b/>
          <w:bCs/>
          <w:color w:val="auto"/>
          <w:sz w:val="24"/>
          <w:szCs w:val="24"/>
          <w:highlight w:val="none"/>
        </w:rPr>
        <w:fldChar w:fldCharType="end"/>
      </w:r>
      <w:r>
        <w:rPr>
          <w:rFonts w:hint="eastAsia" w:ascii="宋体" w:hAnsi="宋体" w:eastAsia="宋体" w:cs="宋体"/>
          <w:b/>
          <w:bCs/>
          <w:color w:val="auto"/>
          <w:sz w:val="24"/>
          <w:szCs w:val="24"/>
          <w:highlight w:val="none"/>
        </w:rPr>
        <w:fldChar w:fldCharType="begin"/>
      </w:r>
      <w:r>
        <w:rPr>
          <w:rFonts w:hint="eastAsia" w:ascii="宋体" w:hAnsi="宋体" w:eastAsia="宋体" w:cs="宋体"/>
          <w:b/>
          <w:bCs/>
          <w:sz w:val="24"/>
          <w:szCs w:val="24"/>
          <w:highlight w:val="none"/>
        </w:rPr>
        <w:instrText xml:space="preserve"> HYPERLINK \l _Toc17239 </w:instrText>
      </w:r>
      <w:r>
        <w:rPr>
          <w:rFonts w:hint="eastAsia" w:ascii="宋体" w:hAnsi="宋体" w:eastAsia="宋体" w:cs="宋体"/>
          <w:b/>
          <w:bCs/>
          <w:sz w:val="24"/>
          <w:szCs w:val="24"/>
          <w:highlight w:val="none"/>
        </w:rPr>
        <w:fldChar w:fldCharType="separate"/>
      </w:r>
      <w:r>
        <w:rPr>
          <w:rFonts w:hint="eastAsia" w:ascii="宋体" w:hAnsi="宋体" w:eastAsia="宋体" w:cs="宋体"/>
          <w:b/>
          <w:bCs/>
          <w:sz w:val="24"/>
          <w:szCs w:val="24"/>
          <w:lang w:val="en-US" w:eastAsia="zh-CN"/>
        </w:rPr>
        <w:t>商务技术文件</w:t>
      </w:r>
      <w:r>
        <w:rPr>
          <w:rFonts w:hint="eastAsia" w:ascii="宋体" w:hAnsi="宋体" w:eastAsia="宋体" w:cs="宋体"/>
          <w:b/>
          <w:bCs/>
          <w:sz w:val="24"/>
          <w:szCs w:val="24"/>
        </w:rPr>
        <w:tab/>
      </w: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PAGEREF _Toc17239 \h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- 119 -</w:t>
      </w:r>
      <w:r>
        <w:rPr>
          <w:rFonts w:hint="eastAsia" w:ascii="宋体" w:hAnsi="宋体" w:eastAsia="宋体" w:cs="宋体"/>
          <w:b/>
          <w:bCs/>
          <w:sz w:val="24"/>
          <w:szCs w:val="24"/>
        </w:rPr>
        <w:fldChar w:fldCharType="end"/>
      </w:r>
      <w:r>
        <w:rPr>
          <w:rFonts w:hint="eastAsia" w:ascii="宋体" w:hAnsi="宋体" w:eastAsia="宋体" w:cs="宋体"/>
          <w:b/>
          <w:bCs/>
          <w:color w:val="auto"/>
          <w:sz w:val="24"/>
          <w:szCs w:val="24"/>
          <w:highlight w:val="none"/>
        </w:rPr>
        <w:fldChar w:fldCharType="end"/>
      </w:r>
    </w:p>
    <w:p w14:paraId="62334100">
      <w:pPr>
        <w:pStyle w:val="26"/>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_Toc26340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lang w:val="en-US" w:eastAsia="zh-CN"/>
        </w:rPr>
        <w:t>一、投标函</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_Toc26340 \h </w:instrText>
      </w:r>
      <w:r>
        <w:rPr>
          <w:rFonts w:hint="eastAsia" w:ascii="宋体" w:hAnsi="宋体" w:eastAsia="宋体" w:cs="宋体"/>
          <w:sz w:val="24"/>
          <w:szCs w:val="24"/>
        </w:rPr>
        <w:fldChar w:fldCharType="separate"/>
      </w:r>
      <w:r>
        <w:rPr>
          <w:rFonts w:hint="eastAsia" w:ascii="宋体" w:hAnsi="宋体" w:eastAsia="宋体" w:cs="宋体"/>
          <w:sz w:val="24"/>
          <w:szCs w:val="24"/>
        </w:rPr>
        <w:t>- 120 -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4F7AA561">
      <w:pPr>
        <w:pStyle w:val="26"/>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_Toc7151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lang w:val="en-US" w:eastAsia="zh-CN"/>
        </w:rPr>
        <w:t>二、法定代表人（单位负责人）身份证明</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_Toc7151 \h </w:instrText>
      </w:r>
      <w:r>
        <w:rPr>
          <w:rFonts w:hint="eastAsia" w:ascii="宋体" w:hAnsi="宋体" w:eastAsia="宋体" w:cs="宋体"/>
          <w:sz w:val="24"/>
          <w:szCs w:val="24"/>
        </w:rPr>
        <w:fldChar w:fldCharType="separate"/>
      </w:r>
      <w:r>
        <w:rPr>
          <w:rFonts w:hint="eastAsia" w:ascii="宋体" w:hAnsi="宋体" w:eastAsia="宋体" w:cs="宋体"/>
          <w:sz w:val="24"/>
          <w:szCs w:val="24"/>
        </w:rPr>
        <w:t>- 122 -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636CEABB">
      <w:pPr>
        <w:pStyle w:val="26"/>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_Toc13994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lang w:val="en-US" w:eastAsia="zh-CN"/>
        </w:rPr>
        <w:t>三、授权委托书</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_Toc13994 \h </w:instrText>
      </w:r>
      <w:r>
        <w:rPr>
          <w:rFonts w:hint="eastAsia" w:ascii="宋体" w:hAnsi="宋体" w:eastAsia="宋体" w:cs="宋体"/>
          <w:sz w:val="24"/>
          <w:szCs w:val="24"/>
        </w:rPr>
        <w:fldChar w:fldCharType="separate"/>
      </w:r>
      <w:r>
        <w:rPr>
          <w:rFonts w:hint="eastAsia" w:ascii="宋体" w:hAnsi="宋体" w:eastAsia="宋体" w:cs="宋体"/>
          <w:sz w:val="24"/>
          <w:szCs w:val="24"/>
        </w:rPr>
        <w:t>- 123 -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45289950">
      <w:pPr>
        <w:pStyle w:val="26"/>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_Toc11798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lang w:val="en-US" w:eastAsia="zh-CN"/>
        </w:rPr>
        <w:t>四、</w:t>
      </w:r>
      <w:r>
        <w:rPr>
          <w:rFonts w:hint="eastAsia" w:ascii="宋体" w:hAnsi="宋体" w:eastAsia="宋体" w:cs="宋体"/>
          <w:sz w:val="24"/>
          <w:szCs w:val="24"/>
          <w:lang w:val="zh-CN" w:eastAsia="zh-CN"/>
        </w:rPr>
        <w:t>政府采购</w:t>
      </w:r>
      <w:r>
        <w:rPr>
          <w:rFonts w:hint="eastAsia" w:ascii="宋体" w:hAnsi="宋体" w:eastAsia="宋体" w:cs="宋体"/>
          <w:sz w:val="24"/>
          <w:szCs w:val="24"/>
          <w:lang w:val="en-US" w:eastAsia="zh-CN"/>
        </w:rPr>
        <w:t>投标人</w:t>
      </w:r>
      <w:r>
        <w:rPr>
          <w:rFonts w:hint="eastAsia" w:ascii="宋体" w:hAnsi="宋体" w:eastAsia="宋体" w:cs="宋体"/>
          <w:sz w:val="24"/>
          <w:szCs w:val="24"/>
          <w:lang w:val="zh-CN" w:eastAsia="zh-CN"/>
        </w:rPr>
        <w:t>廉洁自律承诺书</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_Toc11798 \h </w:instrText>
      </w:r>
      <w:r>
        <w:rPr>
          <w:rFonts w:hint="eastAsia" w:ascii="宋体" w:hAnsi="宋体" w:eastAsia="宋体" w:cs="宋体"/>
          <w:sz w:val="24"/>
          <w:szCs w:val="24"/>
        </w:rPr>
        <w:fldChar w:fldCharType="separate"/>
      </w:r>
      <w:r>
        <w:rPr>
          <w:rFonts w:hint="eastAsia" w:ascii="宋体" w:hAnsi="宋体" w:eastAsia="宋体" w:cs="宋体"/>
          <w:sz w:val="24"/>
          <w:szCs w:val="24"/>
        </w:rPr>
        <w:t>- 124 -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79CE508C">
      <w:pPr>
        <w:pStyle w:val="26"/>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_Toc20842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lang w:val="en-US" w:eastAsia="zh-CN"/>
        </w:rPr>
        <w:t>五、</w:t>
      </w:r>
      <w:r>
        <w:rPr>
          <w:rFonts w:hint="eastAsia" w:ascii="宋体" w:hAnsi="宋体" w:eastAsia="宋体" w:cs="宋体"/>
          <w:sz w:val="24"/>
          <w:szCs w:val="24"/>
          <w:lang w:val="zh-CN" w:eastAsia="zh-CN"/>
        </w:rPr>
        <w:t>实质性响应一览表【</w:t>
      </w:r>
      <w:r>
        <w:rPr>
          <w:rFonts w:hint="eastAsia" w:ascii="宋体" w:hAnsi="宋体" w:eastAsia="宋体" w:cs="宋体"/>
          <w:sz w:val="24"/>
          <w:szCs w:val="24"/>
          <w:lang w:val="en-US" w:eastAsia="zh-CN"/>
        </w:rPr>
        <w:t>本表须与第五章的一致】</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_Toc20842 \h </w:instrText>
      </w:r>
      <w:r>
        <w:rPr>
          <w:rFonts w:hint="eastAsia" w:ascii="宋体" w:hAnsi="宋体" w:eastAsia="宋体" w:cs="宋体"/>
          <w:sz w:val="24"/>
          <w:szCs w:val="24"/>
        </w:rPr>
        <w:fldChar w:fldCharType="separate"/>
      </w:r>
      <w:r>
        <w:rPr>
          <w:rFonts w:hint="eastAsia" w:ascii="宋体" w:hAnsi="宋体" w:eastAsia="宋体" w:cs="宋体"/>
          <w:sz w:val="24"/>
          <w:szCs w:val="24"/>
        </w:rPr>
        <w:t>- 125 -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1E43F87A">
      <w:pPr>
        <w:pStyle w:val="26"/>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_Toc26965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lang w:val="en-US" w:eastAsia="zh-CN"/>
        </w:rPr>
        <w:t>六、商务响应偏离表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_Toc26965 \h </w:instrText>
      </w:r>
      <w:r>
        <w:rPr>
          <w:rFonts w:hint="eastAsia" w:ascii="宋体" w:hAnsi="宋体" w:eastAsia="宋体" w:cs="宋体"/>
          <w:sz w:val="24"/>
          <w:szCs w:val="24"/>
        </w:rPr>
        <w:fldChar w:fldCharType="separate"/>
      </w:r>
      <w:r>
        <w:rPr>
          <w:rFonts w:hint="eastAsia" w:ascii="宋体" w:hAnsi="宋体" w:eastAsia="宋体" w:cs="宋体"/>
          <w:sz w:val="24"/>
          <w:szCs w:val="24"/>
        </w:rPr>
        <w:t>- 126 -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49798449">
      <w:pPr>
        <w:pStyle w:val="26"/>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_Toc32716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lang w:val="en-US" w:eastAsia="zh-CN"/>
        </w:rPr>
        <w:t>七、业绩证明文件</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_Toc32716 \h </w:instrText>
      </w:r>
      <w:r>
        <w:rPr>
          <w:rFonts w:hint="eastAsia" w:ascii="宋体" w:hAnsi="宋体" w:eastAsia="宋体" w:cs="宋体"/>
          <w:sz w:val="24"/>
          <w:szCs w:val="24"/>
        </w:rPr>
        <w:fldChar w:fldCharType="separate"/>
      </w:r>
      <w:r>
        <w:rPr>
          <w:rFonts w:hint="eastAsia" w:ascii="宋体" w:hAnsi="宋体" w:eastAsia="宋体" w:cs="宋体"/>
          <w:sz w:val="24"/>
          <w:szCs w:val="24"/>
        </w:rPr>
        <w:t>- 127 -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34A2FD61">
      <w:pPr>
        <w:pStyle w:val="26"/>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_Toc13809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lang w:val="en-US" w:eastAsia="zh-CN"/>
        </w:rPr>
        <w:t>八、拟派项目团队</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_Toc13809 \h </w:instrText>
      </w:r>
      <w:r>
        <w:rPr>
          <w:rFonts w:hint="eastAsia" w:ascii="宋体" w:hAnsi="宋体" w:eastAsia="宋体" w:cs="宋体"/>
          <w:sz w:val="24"/>
          <w:szCs w:val="24"/>
        </w:rPr>
        <w:fldChar w:fldCharType="separate"/>
      </w:r>
      <w:r>
        <w:rPr>
          <w:rFonts w:hint="eastAsia" w:ascii="宋体" w:hAnsi="宋体" w:eastAsia="宋体" w:cs="宋体"/>
          <w:sz w:val="24"/>
          <w:szCs w:val="24"/>
        </w:rPr>
        <w:t>- 128 -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00403FE5">
      <w:pPr>
        <w:pStyle w:val="26"/>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_Toc10837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lang w:val="en-US" w:eastAsia="zh-CN"/>
        </w:rPr>
        <w:t>九、技术响应偏离表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_Toc10837 \h </w:instrText>
      </w:r>
      <w:r>
        <w:rPr>
          <w:rFonts w:hint="eastAsia" w:ascii="宋体" w:hAnsi="宋体" w:eastAsia="宋体" w:cs="宋体"/>
          <w:sz w:val="24"/>
          <w:szCs w:val="24"/>
        </w:rPr>
        <w:fldChar w:fldCharType="separate"/>
      </w:r>
      <w:r>
        <w:rPr>
          <w:rFonts w:hint="eastAsia" w:ascii="宋体" w:hAnsi="宋体" w:eastAsia="宋体" w:cs="宋体"/>
          <w:sz w:val="24"/>
          <w:szCs w:val="24"/>
        </w:rPr>
        <w:t>- 129 -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6983914E">
      <w:pPr>
        <w:pStyle w:val="26"/>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_Toc15970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lang w:val="en-US" w:eastAsia="zh-CN"/>
        </w:rPr>
        <w:t>十、技术方案</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_Toc15970 \h </w:instrText>
      </w:r>
      <w:r>
        <w:rPr>
          <w:rFonts w:hint="eastAsia" w:ascii="宋体" w:hAnsi="宋体" w:eastAsia="宋体" w:cs="宋体"/>
          <w:sz w:val="24"/>
          <w:szCs w:val="24"/>
        </w:rPr>
        <w:fldChar w:fldCharType="separate"/>
      </w:r>
      <w:r>
        <w:rPr>
          <w:rFonts w:hint="eastAsia" w:ascii="宋体" w:hAnsi="宋体" w:eastAsia="宋体" w:cs="宋体"/>
          <w:sz w:val="24"/>
          <w:szCs w:val="24"/>
        </w:rPr>
        <w:t>- 130 -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26945E2F">
      <w:pPr>
        <w:pStyle w:val="26"/>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_Toc19835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lang w:val="en-US" w:eastAsia="zh-CN"/>
        </w:rPr>
        <w:t>十一、其他文件</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_Toc19835 \h </w:instrText>
      </w:r>
      <w:r>
        <w:rPr>
          <w:rFonts w:hint="eastAsia" w:ascii="宋体" w:hAnsi="宋体" w:eastAsia="宋体" w:cs="宋体"/>
          <w:sz w:val="24"/>
          <w:szCs w:val="24"/>
        </w:rPr>
        <w:fldChar w:fldCharType="separate"/>
      </w:r>
      <w:r>
        <w:rPr>
          <w:rFonts w:hint="eastAsia" w:ascii="宋体" w:hAnsi="宋体" w:eastAsia="宋体" w:cs="宋体"/>
          <w:sz w:val="24"/>
          <w:szCs w:val="24"/>
        </w:rPr>
        <w:t>- 131 -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0DD905CE">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fldChar w:fldCharType="end"/>
      </w:r>
    </w:p>
    <w:p w14:paraId="464AFCF2">
      <w:pPr>
        <w:spacing w:line="360" w:lineRule="auto"/>
        <w:jc w:val="center"/>
        <w:outlineLvl w:val="1"/>
        <w:rPr>
          <w:rFonts w:hint="eastAsia" w:ascii="宋体" w:hAnsi="宋体" w:eastAsia="宋体" w:cs="宋体"/>
          <w:b/>
          <w:bCs/>
          <w:color w:val="auto"/>
          <w:sz w:val="24"/>
          <w:szCs w:val="24"/>
          <w:highlight w:val="none"/>
        </w:rPr>
        <w:sectPr>
          <w:headerReference r:id="rId6" w:type="first"/>
          <w:headerReference r:id="rId5" w:type="default"/>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14:paraId="29DD1FCB">
      <w:pPr>
        <w:pStyle w:val="2"/>
        <w:keepNext/>
        <w:keepLines/>
        <w:pageBreakBefore w:val="0"/>
        <w:widowControl w:val="0"/>
        <w:numPr>
          <w:ilvl w:val="0"/>
          <w:numId w:val="0"/>
        </w:numPr>
        <w:kinsoku/>
        <w:wordWrap/>
        <w:overflowPunct/>
        <w:topLinePunct w:val="0"/>
        <w:autoSpaceDE/>
        <w:autoSpaceDN/>
        <w:bidi w:val="0"/>
        <w:adjustRightInd/>
        <w:snapToGrid/>
        <w:spacing w:before="220" w:after="220" w:line="480" w:lineRule="auto"/>
        <w:ind w:left="420" w:leftChars="0" w:hanging="420" w:firstLineChars="0"/>
        <w:textAlignment w:val="auto"/>
        <w:rPr>
          <w:rFonts w:hint="eastAsia" w:ascii="宋体" w:hAnsi="宋体" w:eastAsia="宋体" w:cs="宋体"/>
          <w:color w:val="auto"/>
          <w:sz w:val="36"/>
          <w:szCs w:val="36"/>
          <w:highlight w:val="none"/>
          <w:lang w:val="en-US" w:eastAsia="zh-CN"/>
        </w:rPr>
      </w:pPr>
      <w:bookmarkStart w:id="1" w:name="_Toc155185859"/>
      <w:bookmarkStart w:id="2" w:name="_Toc16718"/>
      <w:r>
        <w:rPr>
          <w:rFonts w:hint="eastAsia" w:ascii="宋体" w:hAnsi="宋体" w:eastAsia="宋体" w:cs="宋体"/>
          <w:b/>
          <w:bCs/>
          <w:color w:val="auto"/>
          <w:kern w:val="44"/>
          <w:sz w:val="36"/>
          <w:szCs w:val="36"/>
          <w:highlight w:val="none"/>
          <w:lang w:val="en-US" w:eastAsia="zh-CN" w:bidi="ar-SA"/>
        </w:rPr>
        <w:t xml:space="preserve">第一章 </w:t>
      </w:r>
      <w:bookmarkEnd w:id="1"/>
      <w:bookmarkStart w:id="3" w:name="_Hlk130458318"/>
      <w:r>
        <w:rPr>
          <w:rFonts w:hint="eastAsia" w:ascii="宋体" w:hAnsi="宋体" w:eastAsia="宋体" w:cs="宋体"/>
          <w:color w:val="auto"/>
          <w:sz w:val="36"/>
          <w:szCs w:val="36"/>
          <w:highlight w:val="none"/>
          <w:lang w:val="en-US" w:eastAsia="zh-CN"/>
        </w:rPr>
        <w:t>招标公告</w:t>
      </w:r>
      <w:bookmarkEnd w:id="2"/>
    </w:p>
    <w:tbl>
      <w:tblPr>
        <w:tblStyle w:val="3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14:paraId="4756E3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tcPr>
          <w:p w14:paraId="24682E00">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textAlignment w:val="auto"/>
              <w:rPr>
                <w:rFonts w:hint="eastAsia"/>
                <w:color w:val="auto"/>
                <w:sz w:val="24"/>
                <w:szCs w:val="24"/>
                <w:highlight w:val="none"/>
                <w:lang w:val="en-US" w:eastAsia="zh-CN"/>
              </w:rPr>
            </w:pPr>
            <w:bookmarkStart w:id="4" w:name="_Toc8264"/>
            <w:bookmarkStart w:id="5" w:name="_Toc23233"/>
            <w:bookmarkStart w:id="6" w:name="_Toc21773"/>
            <w:bookmarkStart w:id="7" w:name="_Toc155185860"/>
            <w:bookmarkStart w:id="8" w:name="_Toc35393798"/>
            <w:bookmarkStart w:id="9" w:name="_Toc109900248"/>
            <w:bookmarkStart w:id="10" w:name="_Toc28359012"/>
            <w:bookmarkStart w:id="11" w:name="_Toc109899829"/>
            <w:bookmarkStart w:id="12" w:name="_Toc44583628"/>
            <w:bookmarkStart w:id="13" w:name="_Toc28359089"/>
            <w:bookmarkStart w:id="14" w:name="_Toc140132745"/>
            <w:bookmarkStart w:id="15" w:name="_Toc109899410"/>
            <w:bookmarkStart w:id="16" w:name="_Toc35393629"/>
            <w:r>
              <w:rPr>
                <w:rFonts w:hint="eastAsia"/>
                <w:color w:val="auto"/>
                <w:sz w:val="24"/>
                <w:szCs w:val="24"/>
                <w:highlight w:val="none"/>
                <w:lang w:val="en-US" w:eastAsia="zh-CN"/>
              </w:rPr>
              <w:t>项目概况：</w:t>
            </w:r>
            <w:bookmarkEnd w:id="4"/>
            <w:bookmarkEnd w:id="5"/>
            <w:bookmarkEnd w:id="6"/>
          </w:p>
          <w:p w14:paraId="2852FE91">
            <w:pPr>
              <w:spacing w:line="360" w:lineRule="auto"/>
              <w:ind w:firstLine="480" w:firstLineChars="200"/>
              <w:rPr>
                <w:rFonts w:hint="default"/>
                <w:color w:val="auto"/>
                <w:highlight w:val="none"/>
                <w:lang w:val="en-US" w:eastAsia="zh-CN"/>
              </w:rPr>
            </w:pPr>
            <w:r>
              <w:rPr>
                <w:rFonts w:hint="eastAsia" w:cstheme="minorBidi"/>
                <w:iCs/>
                <w:color w:val="auto"/>
                <w:kern w:val="2"/>
                <w:sz w:val="24"/>
                <w:szCs w:val="24"/>
                <w:highlight w:val="none"/>
                <w:u w:val="single"/>
                <w:shd w:val="clear" w:color="auto" w:fill="FFFFFF" w:themeFill="background1"/>
                <w:lang w:val="hr-HR" w:eastAsia="zh-CN" w:bidi="ar-SA"/>
              </w:rPr>
              <w:t>新疆医科大学第一附属医院X线正电子发射断层扫描仪（PET-CT）采购项目</w:t>
            </w:r>
            <w:r>
              <w:rPr>
                <w:rFonts w:hint="eastAsia" w:ascii="宋体" w:hAnsi="宋体" w:eastAsia="宋体" w:cstheme="minorBidi"/>
                <w:iCs/>
                <w:color w:val="auto"/>
                <w:kern w:val="2"/>
                <w:sz w:val="24"/>
                <w:szCs w:val="24"/>
                <w:highlight w:val="none"/>
                <w:u w:val="single"/>
                <w:shd w:val="clear" w:color="auto" w:fill="FFFFFF" w:themeFill="background1"/>
                <w:lang w:val="hr-HR" w:eastAsia="zh-CN" w:bidi="ar-SA"/>
              </w:rPr>
              <w:t xml:space="preserve"> </w:t>
            </w:r>
            <w:r>
              <w:rPr>
                <w:rFonts w:hint="eastAsia" w:ascii="宋体" w:hAnsi="宋体" w:eastAsia="宋体" w:cstheme="minorBidi"/>
                <w:iCs/>
                <w:color w:val="auto"/>
                <w:kern w:val="2"/>
                <w:sz w:val="24"/>
                <w:szCs w:val="24"/>
                <w:highlight w:val="none"/>
                <w:shd w:val="clear" w:color="auto" w:fill="FFFFFF" w:themeFill="background1"/>
                <w:lang w:val="hr-HR" w:eastAsia="zh-CN" w:bidi="ar-SA"/>
              </w:rPr>
              <w:t>招标项目的潜在投标人应在</w:t>
            </w:r>
            <w:r>
              <w:rPr>
                <w:rFonts w:hint="eastAsia" w:ascii="宋体" w:hAnsi="宋体" w:eastAsia="宋体" w:cs="宋体"/>
                <w:color w:val="auto"/>
                <w:sz w:val="24"/>
                <w:highlight w:val="none"/>
                <w:lang w:val="hr-HR"/>
              </w:rPr>
              <w:t>政采云平台线上（网址：https://www.zcygov.cn/）</w:t>
            </w:r>
            <w:r>
              <w:rPr>
                <w:rFonts w:hint="eastAsia" w:ascii="宋体" w:hAnsi="宋体" w:eastAsia="宋体" w:cstheme="minorBidi"/>
                <w:iCs/>
                <w:color w:val="auto"/>
                <w:kern w:val="2"/>
                <w:sz w:val="24"/>
                <w:szCs w:val="24"/>
                <w:highlight w:val="none"/>
                <w:shd w:val="clear" w:color="auto" w:fill="FFFFFF" w:themeFill="background1"/>
                <w:lang w:val="hr-HR" w:eastAsia="zh-CN" w:bidi="ar-SA"/>
              </w:rPr>
              <w:t>获取招标文件，并于</w:t>
            </w:r>
            <w:r>
              <w:rPr>
                <w:rFonts w:hint="eastAsia" w:cstheme="minorBidi"/>
                <w:iCs/>
                <w:color w:val="auto"/>
                <w:kern w:val="2"/>
                <w:sz w:val="24"/>
                <w:szCs w:val="24"/>
                <w:highlight w:val="none"/>
                <w:u w:val="single"/>
                <w:shd w:val="clear" w:color="auto" w:fill="FFFFFF" w:themeFill="background1"/>
                <w:lang w:val="en-US" w:eastAsia="zh-CN" w:bidi="ar-SA"/>
              </w:rPr>
              <w:t>2025</w:t>
            </w:r>
            <w:r>
              <w:rPr>
                <w:rFonts w:hint="eastAsia" w:ascii="宋体" w:hAnsi="宋体" w:eastAsia="宋体" w:cstheme="minorBidi"/>
                <w:iCs/>
                <w:color w:val="auto"/>
                <w:kern w:val="2"/>
                <w:sz w:val="24"/>
                <w:szCs w:val="24"/>
                <w:highlight w:val="none"/>
                <w:u w:val="single"/>
                <w:shd w:val="clear" w:color="auto" w:fill="FFFFFF" w:themeFill="background1"/>
                <w:lang w:val="hr-HR" w:eastAsia="zh-CN" w:bidi="ar-SA"/>
              </w:rPr>
              <w:t>年</w:t>
            </w:r>
            <w:r>
              <w:rPr>
                <w:rFonts w:hint="eastAsia" w:cstheme="minorBidi"/>
                <w:iCs/>
                <w:color w:val="auto"/>
                <w:kern w:val="2"/>
                <w:sz w:val="24"/>
                <w:szCs w:val="24"/>
                <w:highlight w:val="none"/>
                <w:u w:val="single"/>
                <w:shd w:val="clear" w:color="auto" w:fill="FFFFFF" w:themeFill="background1"/>
                <w:lang w:val="en-US" w:eastAsia="zh-CN" w:bidi="ar-SA"/>
              </w:rPr>
              <w:t>4</w:t>
            </w:r>
            <w:r>
              <w:rPr>
                <w:rFonts w:hint="eastAsia" w:ascii="宋体" w:hAnsi="宋体" w:eastAsia="宋体" w:cstheme="minorBidi"/>
                <w:iCs/>
                <w:color w:val="auto"/>
                <w:kern w:val="2"/>
                <w:sz w:val="24"/>
                <w:szCs w:val="24"/>
                <w:highlight w:val="none"/>
                <w:u w:val="single"/>
                <w:shd w:val="clear" w:color="auto" w:fill="FFFFFF" w:themeFill="background1"/>
                <w:lang w:val="hr-HR" w:eastAsia="zh-CN" w:bidi="ar-SA"/>
              </w:rPr>
              <w:t>月</w:t>
            </w:r>
            <w:r>
              <w:rPr>
                <w:rFonts w:hint="eastAsia" w:cstheme="minorBidi"/>
                <w:iCs/>
                <w:color w:val="auto"/>
                <w:kern w:val="2"/>
                <w:sz w:val="24"/>
                <w:szCs w:val="24"/>
                <w:highlight w:val="none"/>
                <w:u w:val="single"/>
                <w:shd w:val="clear" w:color="auto" w:fill="FFFFFF" w:themeFill="background1"/>
                <w:lang w:val="en-US" w:eastAsia="zh-CN" w:bidi="ar-SA"/>
              </w:rPr>
              <w:t>11</w:t>
            </w:r>
            <w:r>
              <w:rPr>
                <w:rFonts w:hint="eastAsia" w:ascii="宋体" w:hAnsi="宋体" w:eastAsia="宋体" w:cstheme="minorBidi"/>
                <w:iCs/>
                <w:color w:val="auto"/>
                <w:kern w:val="2"/>
                <w:sz w:val="24"/>
                <w:szCs w:val="24"/>
                <w:highlight w:val="none"/>
                <w:u w:val="single"/>
                <w:shd w:val="clear" w:color="auto" w:fill="FFFFFF" w:themeFill="background1"/>
                <w:lang w:val="hr-HR" w:eastAsia="zh-CN" w:bidi="ar-SA"/>
              </w:rPr>
              <w:t>日</w:t>
            </w:r>
            <w:r>
              <w:rPr>
                <w:rFonts w:hint="eastAsia" w:cstheme="minorBidi"/>
                <w:iCs/>
                <w:color w:val="auto"/>
                <w:kern w:val="2"/>
                <w:sz w:val="24"/>
                <w:szCs w:val="24"/>
                <w:highlight w:val="none"/>
                <w:u w:val="single"/>
                <w:shd w:val="clear" w:color="auto" w:fill="FFFFFF" w:themeFill="background1"/>
                <w:lang w:val="en-US" w:eastAsia="zh-CN" w:bidi="ar-SA"/>
              </w:rPr>
              <w:t xml:space="preserve">11：00 </w:t>
            </w:r>
            <w:r>
              <w:rPr>
                <w:rFonts w:hint="eastAsia" w:ascii="宋体" w:hAnsi="宋体" w:eastAsia="宋体" w:cstheme="minorBidi"/>
                <w:iCs/>
                <w:color w:val="auto"/>
                <w:kern w:val="2"/>
                <w:sz w:val="24"/>
                <w:szCs w:val="24"/>
                <w:highlight w:val="none"/>
                <w:shd w:val="clear" w:color="auto" w:fill="FFFFFF" w:themeFill="background1"/>
                <w:lang w:val="hr-HR" w:eastAsia="zh-CN" w:bidi="ar-SA"/>
              </w:rPr>
              <w:t>（北京时间）前递交投标文件。</w:t>
            </w:r>
          </w:p>
        </w:tc>
      </w:tr>
    </w:tbl>
    <w:p w14:paraId="4072DEF0">
      <w:pPr>
        <w:pStyle w:val="3"/>
        <w:keepNext/>
        <w:keepLines/>
        <w:pageBreakBefore w:val="0"/>
        <w:widowControl w:val="0"/>
        <w:numPr>
          <w:ilvl w:val="0"/>
          <w:numId w:val="0"/>
        </w:numPr>
        <w:kinsoku/>
        <w:wordWrap/>
        <w:overflowPunct/>
        <w:topLinePunct w:val="0"/>
        <w:autoSpaceDE/>
        <w:autoSpaceDN/>
        <w:bidi w:val="0"/>
        <w:adjustRightInd/>
        <w:snapToGrid/>
        <w:spacing w:before="157" w:beforeLines="50" w:after="157" w:afterLines="50" w:line="360" w:lineRule="auto"/>
        <w:ind w:left="420" w:leftChars="0" w:hanging="420" w:firstLineChars="0"/>
        <w:textAlignment w:val="auto"/>
        <w:rPr>
          <w:rFonts w:hint="eastAsia" w:ascii="宋体" w:hAnsi="宋体" w:eastAsia="宋体" w:cs="宋体"/>
          <w:color w:val="auto"/>
          <w:sz w:val="24"/>
          <w:szCs w:val="24"/>
          <w:highlight w:val="none"/>
          <w:lang w:val="hr-HR"/>
        </w:rPr>
      </w:pPr>
      <w:bookmarkStart w:id="17" w:name="_Toc23169"/>
      <w:r>
        <w:rPr>
          <w:rFonts w:hint="eastAsia" w:ascii="宋体" w:hAnsi="宋体" w:eastAsia="宋体" w:cs="宋体"/>
          <w:b/>
          <w:bCs/>
          <w:color w:val="auto"/>
          <w:kern w:val="2"/>
          <w:sz w:val="24"/>
          <w:szCs w:val="24"/>
          <w:highlight w:val="none"/>
          <w:lang w:val="hr-HR" w:eastAsia="zh-CN" w:bidi="ar-SA"/>
        </w:rPr>
        <w:t>一、</w:t>
      </w:r>
      <w:r>
        <w:rPr>
          <w:rFonts w:hint="eastAsia" w:ascii="宋体" w:hAnsi="宋体" w:eastAsia="宋体" w:cs="宋体"/>
          <w:color w:val="auto"/>
          <w:sz w:val="24"/>
          <w:szCs w:val="24"/>
          <w:highlight w:val="none"/>
          <w:lang w:val="hr-HR"/>
        </w:rPr>
        <w:t>项目基本情况</w:t>
      </w:r>
      <w:bookmarkEnd w:id="7"/>
      <w:bookmarkEnd w:id="8"/>
      <w:bookmarkEnd w:id="9"/>
      <w:bookmarkEnd w:id="10"/>
      <w:bookmarkEnd w:id="11"/>
      <w:bookmarkEnd w:id="12"/>
      <w:bookmarkEnd w:id="13"/>
      <w:bookmarkEnd w:id="14"/>
      <w:bookmarkEnd w:id="15"/>
      <w:bookmarkEnd w:id="16"/>
      <w:bookmarkEnd w:id="17"/>
    </w:p>
    <w:p w14:paraId="590E39A6">
      <w:pPr>
        <w:pStyle w:val="40"/>
        <w:pageBreakBefore w:val="0"/>
        <w:widowControl w:val="0"/>
        <w:kinsoku/>
        <w:overflowPunct/>
        <w:topLinePunct w:val="0"/>
        <w:autoSpaceDE/>
        <w:autoSpaceDN/>
        <w:bidi w:val="0"/>
        <w:adjustRightInd/>
        <w:snapToGrid/>
        <w:spacing w:line="360" w:lineRule="auto"/>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hr-HR"/>
        </w:rPr>
        <w:t>1.项目编号：</w:t>
      </w:r>
      <w:r>
        <w:rPr>
          <w:rFonts w:hint="eastAsia" w:cs="宋体"/>
          <w:color w:val="auto"/>
          <w:sz w:val="24"/>
          <w:highlight w:val="none"/>
          <w:lang w:val="hr-HR" w:eastAsia="zh-CN"/>
        </w:rPr>
        <w:t>TC259H0BF</w:t>
      </w:r>
    </w:p>
    <w:p w14:paraId="544AA4B7">
      <w:pPr>
        <w:pStyle w:val="40"/>
        <w:pageBreakBefore w:val="0"/>
        <w:widowControl w:val="0"/>
        <w:kinsoku/>
        <w:overflowPunct/>
        <w:topLinePunct w:val="0"/>
        <w:autoSpaceDE/>
        <w:autoSpaceDN/>
        <w:bidi w:val="0"/>
        <w:adjustRightInd/>
        <w:snapToGrid/>
        <w:spacing w:line="360" w:lineRule="auto"/>
        <w:textAlignment w:val="auto"/>
        <w:rPr>
          <w:rFonts w:hint="eastAsia" w:ascii="宋体" w:hAnsi="宋体" w:eastAsia="宋体" w:cs="宋体"/>
          <w:color w:val="auto"/>
          <w:sz w:val="24"/>
          <w:highlight w:val="none"/>
          <w:lang w:val="hr-HR" w:eastAsia="zh-CN"/>
        </w:rPr>
      </w:pP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lang w:val="hr-HR"/>
        </w:rPr>
        <w:t>.项目名称：</w:t>
      </w:r>
      <w:r>
        <w:rPr>
          <w:rFonts w:hint="eastAsia" w:cs="宋体"/>
          <w:color w:val="auto"/>
          <w:sz w:val="24"/>
          <w:highlight w:val="none"/>
          <w:lang w:val="hr-HR" w:eastAsia="zh-CN"/>
        </w:rPr>
        <w:t>新疆医科大学第一附属医院X线正电子发射断层扫描仪（PET-CT）采购项目</w:t>
      </w:r>
    </w:p>
    <w:p w14:paraId="3CE35A7E">
      <w:pPr>
        <w:pStyle w:val="40"/>
        <w:pageBreakBefore w:val="0"/>
        <w:widowControl w:val="0"/>
        <w:kinsoku/>
        <w:overflowPunct/>
        <w:topLinePunct w:val="0"/>
        <w:autoSpaceDE/>
        <w:autoSpaceDN/>
        <w:bidi w:val="0"/>
        <w:adjustRightInd/>
        <w:snapToGrid/>
        <w:spacing w:line="360" w:lineRule="auto"/>
        <w:textAlignment w:val="auto"/>
        <w:rPr>
          <w:rFonts w:hint="eastAsia" w:ascii="宋体" w:hAnsi="宋体" w:eastAsia="宋体" w:cs="宋体"/>
          <w:color w:val="auto"/>
          <w:sz w:val="24"/>
          <w:highlight w:val="none"/>
          <w:lang w:val="hr-HR"/>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.采购方式：公开招标</w:t>
      </w:r>
    </w:p>
    <w:p w14:paraId="78A90596">
      <w:pPr>
        <w:pStyle w:val="40"/>
        <w:pageBreakBefore w:val="0"/>
        <w:widowControl w:val="0"/>
        <w:kinsoku/>
        <w:overflowPunct/>
        <w:topLinePunct w:val="0"/>
        <w:autoSpaceDE/>
        <w:autoSpaceDN/>
        <w:bidi w:val="0"/>
        <w:adjustRightInd/>
        <w:snapToGrid/>
        <w:spacing w:line="360" w:lineRule="auto"/>
        <w:textAlignment w:val="auto"/>
        <w:rPr>
          <w:rFonts w:hint="eastAsia" w:ascii="宋体" w:hAnsi="宋体" w:eastAsia="宋体" w:cs="宋体"/>
          <w:color w:val="auto"/>
          <w:sz w:val="24"/>
          <w:highlight w:val="none"/>
          <w:u w:val="none"/>
          <w:lang w:val="hr-HR"/>
        </w:rPr>
      </w:pP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lang w:val="hr-HR"/>
        </w:rPr>
        <w:t>.预算金额</w:t>
      </w:r>
      <w:r>
        <w:rPr>
          <w:rFonts w:hint="eastAsia" w:cs="宋体"/>
          <w:color w:val="auto"/>
          <w:sz w:val="24"/>
          <w:highlight w:val="none"/>
          <w:lang w:val="hr-HR" w:eastAsia="zh-CN"/>
        </w:rPr>
        <w:t>（</w:t>
      </w:r>
      <w:r>
        <w:rPr>
          <w:rFonts w:hint="eastAsia" w:cs="宋体"/>
          <w:color w:val="auto"/>
          <w:sz w:val="24"/>
          <w:highlight w:val="none"/>
          <w:lang w:val="en-US" w:eastAsia="zh-CN"/>
        </w:rPr>
        <w:t>元</w:t>
      </w:r>
      <w:r>
        <w:rPr>
          <w:rFonts w:hint="eastAsia" w:cs="宋体"/>
          <w:color w:val="auto"/>
          <w:sz w:val="24"/>
          <w:highlight w:val="none"/>
          <w:lang w:val="hr-HR" w:eastAsia="zh-CN"/>
        </w:rPr>
        <w:t>）</w:t>
      </w:r>
      <w:r>
        <w:rPr>
          <w:rFonts w:hint="eastAsia" w:ascii="宋体" w:hAnsi="宋体" w:eastAsia="宋体" w:cs="宋体"/>
          <w:color w:val="auto"/>
          <w:sz w:val="24"/>
          <w:highlight w:val="none"/>
          <w:lang w:val="hr-HR"/>
        </w:rPr>
        <w:t>：</w:t>
      </w:r>
      <w:r>
        <w:rPr>
          <w:rFonts w:hint="eastAsia" w:cs="宋体"/>
          <w:color w:val="auto"/>
          <w:sz w:val="24"/>
          <w:highlight w:val="none"/>
          <w:u w:val="none"/>
          <w:lang w:val="en-US" w:eastAsia="zh-CN"/>
        </w:rPr>
        <w:t>26000000</w:t>
      </w:r>
    </w:p>
    <w:p w14:paraId="7851BE2C">
      <w:pPr>
        <w:pStyle w:val="40"/>
        <w:pageBreakBefore w:val="0"/>
        <w:widowControl w:val="0"/>
        <w:kinsoku/>
        <w:overflowPunct/>
        <w:topLinePunct w:val="0"/>
        <w:autoSpaceDE/>
        <w:autoSpaceDN/>
        <w:bidi w:val="0"/>
        <w:adjustRightInd/>
        <w:snapToGrid/>
        <w:spacing w:line="360" w:lineRule="auto"/>
        <w:textAlignment w:val="auto"/>
        <w:rPr>
          <w:rFonts w:hint="eastAsia" w:ascii="宋体" w:hAnsi="宋体" w:eastAsia="宋体" w:cs="宋体"/>
          <w:color w:val="auto"/>
          <w:sz w:val="24"/>
          <w:highlight w:val="none"/>
          <w:u w:val="none"/>
          <w:lang w:val="hr-HR"/>
        </w:rPr>
      </w:pP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lang w:val="hr-HR"/>
        </w:rPr>
        <w:t>.</w:t>
      </w:r>
      <w:r>
        <w:rPr>
          <w:rFonts w:hint="eastAsia" w:ascii="宋体" w:hAnsi="宋体" w:eastAsia="宋体" w:cs="宋体"/>
          <w:color w:val="auto"/>
          <w:sz w:val="24"/>
          <w:highlight w:val="none"/>
        </w:rPr>
        <w:t>最高限价</w:t>
      </w:r>
      <w:r>
        <w:rPr>
          <w:rFonts w:hint="eastAsia" w:cs="宋体"/>
          <w:color w:val="auto"/>
          <w:sz w:val="24"/>
          <w:highlight w:val="none"/>
          <w:lang w:val="hr-HR" w:eastAsia="zh-CN"/>
        </w:rPr>
        <w:t>（</w:t>
      </w:r>
      <w:r>
        <w:rPr>
          <w:rFonts w:hint="eastAsia" w:cs="宋体"/>
          <w:color w:val="auto"/>
          <w:sz w:val="24"/>
          <w:highlight w:val="none"/>
          <w:lang w:val="en-US" w:eastAsia="zh-CN"/>
        </w:rPr>
        <w:t>元</w:t>
      </w:r>
      <w:r>
        <w:rPr>
          <w:rFonts w:hint="eastAsia" w:cs="宋体"/>
          <w:color w:val="auto"/>
          <w:sz w:val="24"/>
          <w:highlight w:val="none"/>
          <w:lang w:val="hr-HR" w:eastAsia="zh-CN"/>
        </w:rPr>
        <w:t>）</w:t>
      </w:r>
      <w:r>
        <w:rPr>
          <w:rFonts w:hint="eastAsia" w:ascii="宋体" w:hAnsi="宋体" w:eastAsia="宋体" w:cs="宋体"/>
          <w:color w:val="auto"/>
          <w:sz w:val="24"/>
          <w:highlight w:val="none"/>
          <w:lang w:val="hr-HR"/>
        </w:rPr>
        <w:t>：</w:t>
      </w:r>
      <w:r>
        <w:rPr>
          <w:rFonts w:hint="eastAsia" w:cs="宋体"/>
          <w:color w:val="auto"/>
          <w:sz w:val="24"/>
          <w:highlight w:val="none"/>
          <w:u w:val="none"/>
          <w:lang w:val="en-US" w:eastAsia="zh-CN"/>
        </w:rPr>
        <w:t>26000000</w:t>
      </w:r>
    </w:p>
    <w:p w14:paraId="18C44CF2">
      <w:pPr>
        <w:pStyle w:val="40"/>
        <w:pageBreakBefore w:val="0"/>
        <w:widowControl w:val="0"/>
        <w:kinsoku/>
        <w:overflowPunct/>
        <w:topLinePunct w:val="0"/>
        <w:autoSpaceDE/>
        <w:autoSpaceDN/>
        <w:bidi w:val="0"/>
        <w:adjustRightInd/>
        <w:snapToGrid/>
        <w:spacing w:line="360" w:lineRule="auto"/>
        <w:textAlignment w:val="auto"/>
        <w:rPr>
          <w:rFonts w:hint="eastAsia" w:ascii="宋体" w:hAnsi="宋体" w:eastAsia="宋体" w:cs="宋体"/>
          <w:color w:val="auto"/>
          <w:sz w:val="24"/>
          <w:highlight w:val="none"/>
          <w:lang w:val="hr-HR"/>
        </w:rPr>
      </w:pP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lang w:val="hr-HR"/>
        </w:rPr>
        <w:t>.采购需求：</w:t>
      </w:r>
      <w:bookmarkStart w:id="18" w:name="_Hlk155086750"/>
    </w:p>
    <w:p w14:paraId="65387A8F">
      <w:pPr>
        <w:pStyle w:val="40"/>
        <w:pageBreakBefore w:val="0"/>
        <w:widowControl w:val="0"/>
        <w:kinsoku/>
        <w:overflowPunct/>
        <w:topLinePunct w:val="0"/>
        <w:autoSpaceDE/>
        <w:autoSpaceDN/>
        <w:bidi w:val="0"/>
        <w:adjustRightInd/>
        <w:snapToGrid/>
        <w:spacing w:line="360" w:lineRule="auto"/>
        <w:textAlignment w:val="auto"/>
        <w:rPr>
          <w:rFonts w:hint="eastAsia" w:ascii="宋体" w:hAnsi="宋体" w:eastAsia="宋体" w:cs="宋体"/>
          <w:color w:val="auto"/>
          <w:sz w:val="24"/>
          <w:highlight w:val="none"/>
          <w:lang w:val="hr-HR" w:eastAsia="zh-CN"/>
        </w:rPr>
      </w:pPr>
      <w:r>
        <w:rPr>
          <w:rFonts w:hint="eastAsia" w:ascii="宋体" w:hAnsi="宋体" w:eastAsia="宋体" w:cs="宋体"/>
          <w:color w:val="auto"/>
          <w:sz w:val="24"/>
          <w:highlight w:val="none"/>
          <w:lang w:val="hr-HR"/>
        </w:rPr>
        <w:t xml:space="preserve"> </w:t>
      </w:r>
      <w:r>
        <w:rPr>
          <w:rFonts w:hint="eastAsia" w:cs="宋体"/>
          <w:color w:val="auto"/>
          <w:sz w:val="24"/>
          <w:highlight w:val="none"/>
          <w:lang w:val="en-US" w:eastAsia="zh-CN"/>
        </w:rPr>
        <w:t xml:space="preserve"> </w:t>
      </w:r>
      <w:r>
        <w:rPr>
          <w:rFonts w:hint="eastAsia" w:ascii="宋体" w:hAnsi="宋体" w:eastAsia="宋体" w:cs="宋体"/>
          <w:color w:val="auto"/>
          <w:sz w:val="24"/>
          <w:highlight w:val="none"/>
          <w:lang w:val="hr-HR"/>
        </w:rPr>
        <w:t>标项名称</w:t>
      </w:r>
      <w:r>
        <w:rPr>
          <w:rFonts w:hint="eastAsia" w:cs="宋体"/>
          <w:color w:val="auto"/>
          <w:sz w:val="24"/>
          <w:highlight w:val="none"/>
          <w:lang w:val="hr-HR" w:eastAsia="zh-CN"/>
        </w:rPr>
        <w:t>：新疆医科大学第一附属医院X线正电子发射断层扫描仪（PET-CT）采购项目</w:t>
      </w:r>
    </w:p>
    <w:p w14:paraId="3FF214E1">
      <w:pPr>
        <w:pStyle w:val="40"/>
        <w:pageBreakBefore w:val="0"/>
        <w:widowControl w:val="0"/>
        <w:kinsoku/>
        <w:overflowPunct/>
        <w:topLinePunct w:val="0"/>
        <w:autoSpaceDE/>
        <w:autoSpaceDN/>
        <w:bidi w:val="0"/>
        <w:adjustRightInd/>
        <w:snapToGrid/>
        <w:spacing w:line="360" w:lineRule="auto"/>
        <w:textAlignment w:val="auto"/>
        <w:rPr>
          <w:rFonts w:hint="eastAsia" w:ascii="宋体" w:hAnsi="宋体" w:eastAsia="宋体" w:cs="宋体"/>
          <w:color w:val="auto"/>
          <w:sz w:val="24"/>
          <w:highlight w:val="none"/>
          <w:lang w:val="hr-HR"/>
        </w:rPr>
      </w:pPr>
      <w:r>
        <w:rPr>
          <w:rFonts w:hint="eastAsia" w:ascii="宋体" w:hAnsi="宋体" w:eastAsia="宋体" w:cs="宋体"/>
          <w:color w:val="auto"/>
          <w:sz w:val="24"/>
          <w:highlight w:val="none"/>
          <w:lang w:val="hr-HR"/>
        </w:rPr>
        <w:t xml:space="preserve"> </w:t>
      </w:r>
      <w:r>
        <w:rPr>
          <w:rFonts w:hint="eastAsia" w:cs="宋体"/>
          <w:color w:val="auto"/>
          <w:sz w:val="24"/>
          <w:highlight w:val="none"/>
          <w:lang w:val="en-US" w:eastAsia="zh-CN"/>
        </w:rPr>
        <w:t xml:space="preserve"> </w:t>
      </w:r>
      <w:r>
        <w:rPr>
          <w:rFonts w:hint="eastAsia" w:ascii="宋体" w:hAnsi="宋体" w:eastAsia="宋体" w:cs="宋体"/>
          <w:color w:val="auto"/>
          <w:sz w:val="24"/>
          <w:highlight w:val="none"/>
          <w:lang w:val="hr-HR"/>
        </w:rPr>
        <w:t>数量</w:t>
      </w:r>
      <w:r>
        <w:rPr>
          <w:rFonts w:hint="eastAsia" w:cs="宋体"/>
          <w:color w:val="auto"/>
          <w:sz w:val="24"/>
          <w:highlight w:val="none"/>
          <w:lang w:val="en-US" w:eastAsia="zh-CN"/>
        </w:rPr>
        <w:t>：</w:t>
      </w:r>
      <w:r>
        <w:rPr>
          <w:rFonts w:hint="eastAsia" w:ascii="宋体" w:hAnsi="宋体" w:eastAsia="宋体" w:cs="宋体"/>
          <w:color w:val="auto"/>
          <w:sz w:val="24"/>
          <w:highlight w:val="none"/>
          <w:lang w:val="hr-HR"/>
        </w:rPr>
        <w:t>1</w:t>
      </w:r>
    </w:p>
    <w:p w14:paraId="7D4A2359">
      <w:pPr>
        <w:pStyle w:val="40"/>
        <w:pageBreakBefore w:val="0"/>
        <w:widowControl w:val="0"/>
        <w:kinsoku/>
        <w:overflowPunct/>
        <w:topLinePunct w:val="0"/>
        <w:autoSpaceDE/>
        <w:autoSpaceDN/>
        <w:bidi w:val="0"/>
        <w:adjustRightInd/>
        <w:snapToGrid/>
        <w:spacing w:line="360" w:lineRule="auto"/>
        <w:ind w:firstLine="720" w:firstLineChars="300"/>
        <w:textAlignment w:val="auto"/>
        <w:rPr>
          <w:rFonts w:hint="eastAsia" w:ascii="宋体" w:hAnsi="宋体" w:eastAsia="宋体" w:cs="宋体"/>
          <w:color w:val="auto"/>
          <w:sz w:val="24"/>
          <w:highlight w:val="none"/>
          <w:lang w:val="hr-HR"/>
        </w:rPr>
      </w:pPr>
      <w:r>
        <w:rPr>
          <w:rFonts w:hint="eastAsia" w:ascii="宋体" w:hAnsi="宋体" w:eastAsia="宋体" w:cs="宋体"/>
          <w:color w:val="auto"/>
          <w:sz w:val="24"/>
          <w:highlight w:val="none"/>
          <w:lang w:val="hr-HR"/>
        </w:rPr>
        <w:t>预算金额（元）</w:t>
      </w:r>
      <w:r>
        <w:rPr>
          <w:rFonts w:hint="eastAsia" w:cs="宋体"/>
          <w:color w:val="auto"/>
          <w:sz w:val="24"/>
          <w:highlight w:val="none"/>
          <w:lang w:val="hr-HR" w:eastAsia="zh-CN"/>
        </w:rPr>
        <w:t>：</w:t>
      </w:r>
      <w:r>
        <w:rPr>
          <w:rFonts w:hint="eastAsia" w:ascii="宋体" w:hAnsi="宋体" w:eastAsia="宋体" w:cs="宋体"/>
          <w:color w:val="auto"/>
          <w:sz w:val="24"/>
          <w:highlight w:val="none"/>
          <w:lang w:val="hr-HR"/>
        </w:rPr>
        <w:t>2</w:t>
      </w:r>
      <w:r>
        <w:rPr>
          <w:rFonts w:hint="eastAsia" w:cs="宋体"/>
          <w:color w:val="auto"/>
          <w:sz w:val="24"/>
          <w:highlight w:val="none"/>
          <w:lang w:val="en-US" w:eastAsia="zh-CN"/>
        </w:rPr>
        <w:t>6</w:t>
      </w:r>
      <w:r>
        <w:rPr>
          <w:rFonts w:hint="eastAsia" w:ascii="宋体" w:hAnsi="宋体" w:eastAsia="宋体" w:cs="宋体"/>
          <w:color w:val="auto"/>
          <w:sz w:val="24"/>
          <w:highlight w:val="none"/>
          <w:lang w:val="hr-HR"/>
        </w:rPr>
        <w:t>000000</w:t>
      </w:r>
    </w:p>
    <w:p w14:paraId="34079B00">
      <w:pPr>
        <w:pStyle w:val="40"/>
        <w:pageBreakBefore w:val="0"/>
        <w:widowControl w:val="0"/>
        <w:kinsoku/>
        <w:overflowPunct/>
        <w:topLinePunct w:val="0"/>
        <w:autoSpaceDE/>
        <w:autoSpaceDN/>
        <w:bidi w:val="0"/>
        <w:adjustRightInd/>
        <w:snapToGrid/>
        <w:spacing w:line="360" w:lineRule="auto"/>
        <w:textAlignment w:val="auto"/>
        <w:rPr>
          <w:rFonts w:hint="eastAsia" w:ascii="宋体" w:hAnsi="宋体" w:eastAsia="宋体" w:cs="宋体"/>
          <w:color w:val="auto"/>
          <w:sz w:val="24"/>
          <w:highlight w:val="none"/>
          <w:lang w:val="hr-HR"/>
        </w:rPr>
      </w:pPr>
      <w:r>
        <w:rPr>
          <w:rFonts w:hint="eastAsia" w:ascii="宋体" w:hAnsi="宋体" w:eastAsia="宋体" w:cs="宋体"/>
          <w:color w:val="auto"/>
          <w:sz w:val="24"/>
          <w:highlight w:val="none"/>
          <w:lang w:val="hr-HR"/>
        </w:rPr>
        <w:t xml:space="preserve"> </w:t>
      </w:r>
      <w:r>
        <w:rPr>
          <w:rFonts w:hint="eastAsia" w:cs="宋体"/>
          <w:color w:val="auto"/>
          <w:sz w:val="24"/>
          <w:highlight w:val="none"/>
          <w:lang w:val="en-US" w:eastAsia="zh-CN"/>
        </w:rPr>
        <w:t xml:space="preserve"> </w:t>
      </w:r>
      <w:r>
        <w:rPr>
          <w:rFonts w:hint="eastAsia" w:ascii="宋体" w:hAnsi="宋体" w:eastAsia="宋体" w:cs="宋体"/>
          <w:color w:val="auto"/>
          <w:sz w:val="24"/>
          <w:highlight w:val="none"/>
          <w:lang w:val="hr-HR"/>
        </w:rPr>
        <w:t>单位：</w:t>
      </w:r>
      <w:r>
        <w:rPr>
          <w:rFonts w:hint="eastAsia" w:cs="宋体"/>
          <w:color w:val="auto"/>
          <w:sz w:val="24"/>
          <w:highlight w:val="none"/>
          <w:lang w:val="en-US" w:eastAsia="zh-CN"/>
        </w:rPr>
        <w:t>套</w:t>
      </w:r>
      <w:r>
        <w:rPr>
          <w:rFonts w:hint="eastAsia" w:ascii="宋体" w:hAnsi="宋体" w:eastAsia="宋体" w:cs="宋体"/>
          <w:color w:val="auto"/>
          <w:sz w:val="24"/>
          <w:highlight w:val="none"/>
          <w:lang w:val="hr-HR"/>
        </w:rPr>
        <w:t xml:space="preserve"> </w:t>
      </w:r>
    </w:p>
    <w:p w14:paraId="0823298A">
      <w:pPr>
        <w:pStyle w:val="40"/>
        <w:pageBreakBefore w:val="0"/>
        <w:widowControl w:val="0"/>
        <w:kinsoku/>
        <w:overflowPunct/>
        <w:topLinePunct w:val="0"/>
        <w:autoSpaceDE/>
        <w:autoSpaceDN/>
        <w:bidi w:val="0"/>
        <w:adjustRightInd/>
        <w:snapToGrid/>
        <w:spacing w:line="360" w:lineRule="auto"/>
        <w:textAlignment w:val="auto"/>
        <w:rPr>
          <w:rFonts w:hint="eastAsia" w:ascii="宋体" w:hAnsi="宋体" w:eastAsia="宋体" w:cs="宋体"/>
          <w:color w:val="auto"/>
          <w:sz w:val="24"/>
          <w:highlight w:val="none"/>
          <w:lang w:val="hr-HR"/>
        </w:rPr>
      </w:pPr>
      <w:r>
        <w:rPr>
          <w:rFonts w:hint="eastAsia" w:ascii="宋体" w:hAnsi="宋体" w:eastAsia="宋体" w:cs="宋体"/>
          <w:color w:val="auto"/>
          <w:sz w:val="24"/>
          <w:highlight w:val="none"/>
          <w:lang w:val="hr-HR"/>
        </w:rPr>
        <w:t xml:space="preserve"> </w:t>
      </w:r>
      <w:r>
        <w:rPr>
          <w:rFonts w:hint="eastAsia" w:cs="宋体"/>
          <w:color w:val="auto"/>
          <w:sz w:val="24"/>
          <w:highlight w:val="none"/>
          <w:lang w:val="en-US" w:eastAsia="zh-CN"/>
        </w:rPr>
        <w:t xml:space="preserve"> </w:t>
      </w:r>
      <w:r>
        <w:rPr>
          <w:rFonts w:hint="eastAsia" w:ascii="宋体" w:hAnsi="宋体" w:eastAsia="宋体" w:cs="宋体"/>
          <w:color w:val="auto"/>
          <w:sz w:val="24"/>
          <w:highlight w:val="none"/>
          <w:lang w:val="hr-HR"/>
        </w:rPr>
        <w:t>简要规格描述或项目基本概况介绍、用途：</w:t>
      </w:r>
      <w:r>
        <w:rPr>
          <w:rFonts w:hint="eastAsia" w:cs="宋体"/>
          <w:color w:val="auto"/>
          <w:sz w:val="24"/>
          <w:highlight w:val="none"/>
          <w:lang w:val="hr-HR" w:eastAsia="zh-CN"/>
        </w:rPr>
        <w:t>X线正电子发射断层扫描仪（PET-CT）</w:t>
      </w:r>
      <w:r>
        <w:rPr>
          <w:rFonts w:hint="eastAsia" w:cs="宋体"/>
          <w:color w:val="auto"/>
          <w:sz w:val="24"/>
          <w:highlight w:val="none"/>
          <w:lang w:val="en-US" w:eastAsia="zh-CN"/>
        </w:rPr>
        <w:t>1</w:t>
      </w:r>
      <w:r>
        <w:rPr>
          <w:rFonts w:hint="eastAsia" w:ascii="宋体" w:hAnsi="宋体" w:eastAsia="宋体" w:cs="宋体"/>
          <w:color w:val="auto"/>
          <w:sz w:val="24"/>
          <w:highlight w:val="none"/>
          <w:lang w:val="hr-HR"/>
        </w:rPr>
        <w:t>套</w:t>
      </w:r>
    </w:p>
    <w:p w14:paraId="3DECA34D">
      <w:pPr>
        <w:pStyle w:val="40"/>
        <w:pageBreakBefore w:val="0"/>
        <w:widowControl w:val="0"/>
        <w:kinsoku/>
        <w:overflowPunct/>
        <w:topLinePunct w:val="0"/>
        <w:autoSpaceDE/>
        <w:autoSpaceDN/>
        <w:bidi w:val="0"/>
        <w:adjustRightInd/>
        <w:snapToGrid/>
        <w:spacing w:line="360" w:lineRule="auto"/>
        <w:textAlignment w:val="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hr-HR"/>
        </w:rPr>
        <w:t xml:space="preserve">  备注：具体详见</w:t>
      </w:r>
      <w:r>
        <w:rPr>
          <w:rFonts w:hint="eastAsia" w:cs="宋体"/>
          <w:color w:val="auto"/>
          <w:sz w:val="24"/>
          <w:highlight w:val="none"/>
          <w:lang w:val="en-US" w:eastAsia="zh-CN"/>
        </w:rPr>
        <w:t>采购需求</w:t>
      </w:r>
    </w:p>
    <w:bookmarkEnd w:id="18"/>
    <w:p w14:paraId="56FBF6DA">
      <w:pPr>
        <w:pStyle w:val="40"/>
        <w:keepNext w:val="0"/>
        <w:keepLines w:val="0"/>
        <w:pageBreakBefore w:val="0"/>
        <w:widowControl w:val="0"/>
        <w:kinsoku/>
        <w:wordWrap w:val="0"/>
        <w:overflowPunct/>
        <w:topLinePunct w:val="0"/>
        <w:autoSpaceDE/>
        <w:autoSpaceDN/>
        <w:bidi w:val="0"/>
        <w:adjustRightInd/>
        <w:snapToGrid/>
        <w:spacing w:line="360" w:lineRule="auto"/>
        <w:ind w:firstLine="482"/>
        <w:textAlignment w:val="auto"/>
        <w:rPr>
          <w:rFonts w:hint="eastAsia" w:ascii="宋体" w:hAnsi="宋体" w:eastAsia="宋体" w:cs="宋体"/>
          <w:color w:val="auto"/>
          <w:sz w:val="24"/>
          <w:highlight w:val="green"/>
        </w:rPr>
      </w:pPr>
      <w:r>
        <w:rPr>
          <w:rFonts w:hint="eastAsia" w:ascii="宋体" w:hAnsi="宋体" w:eastAsia="宋体" w:cs="宋体"/>
          <w:color w:val="auto"/>
          <w:sz w:val="24"/>
          <w:highlight w:val="none"/>
          <w:lang w:val="en-US" w:eastAsia="zh-CN"/>
        </w:rPr>
        <w:t>7</w:t>
      </w:r>
      <w:r>
        <w:rPr>
          <w:rFonts w:hint="eastAsia" w:ascii="宋体" w:hAnsi="宋体" w:eastAsia="宋体" w:cs="宋体"/>
          <w:color w:val="auto"/>
          <w:sz w:val="24"/>
          <w:highlight w:val="none"/>
        </w:rPr>
        <w:t>.合同履行期限：</w:t>
      </w:r>
      <w:r>
        <w:rPr>
          <w:rFonts w:hint="eastAsia" w:cs="宋体"/>
          <w:color w:val="auto"/>
          <w:sz w:val="24"/>
          <w:highlight w:val="none"/>
          <w:u w:val="none"/>
          <w:lang w:val="en-US" w:eastAsia="zh-CN"/>
        </w:rPr>
        <w:t>标项1，详见招标文件</w:t>
      </w:r>
    </w:p>
    <w:p w14:paraId="4B098642">
      <w:pPr>
        <w:pStyle w:val="40"/>
        <w:pageBreakBefore w:val="0"/>
        <w:widowControl w:val="0"/>
        <w:kinsoku/>
        <w:overflowPunct/>
        <w:topLinePunct w:val="0"/>
        <w:autoSpaceDE/>
        <w:autoSpaceDN/>
        <w:bidi w:val="0"/>
        <w:adjustRightInd/>
        <w:snapToGrid/>
        <w:spacing w:line="360" w:lineRule="auto"/>
        <w:textAlignment w:val="auto"/>
        <w:rPr>
          <w:rFonts w:hint="eastAsia" w:ascii="宋体" w:hAnsi="宋体" w:eastAsia="宋体" w:cs="宋体"/>
          <w:color w:val="auto"/>
          <w:sz w:val="24"/>
          <w:highlight w:val="none"/>
          <w:lang w:val="en-US" w:eastAsia="zh-CN"/>
        </w:rPr>
      </w:pPr>
      <w:bookmarkStart w:id="19" w:name="_Toc28359013"/>
      <w:bookmarkStart w:id="20" w:name="_Toc35393630"/>
      <w:bookmarkStart w:id="21" w:name="_Toc35393799"/>
      <w:bookmarkStart w:id="22" w:name="_Toc44583629"/>
      <w:bookmarkStart w:id="23" w:name="_Toc28359090"/>
      <w:r>
        <w:rPr>
          <w:rFonts w:hint="eastAsia" w:ascii="宋体" w:hAnsi="宋体" w:eastAsia="宋体" w:cs="宋体"/>
          <w:color w:val="auto"/>
          <w:sz w:val="24"/>
          <w:highlight w:val="none"/>
          <w:lang w:val="en-US" w:eastAsia="zh-CN"/>
        </w:rPr>
        <w:t>8.本项目（否）接受联合体投标</w:t>
      </w:r>
    </w:p>
    <w:p w14:paraId="1EEB1622">
      <w:pPr>
        <w:pStyle w:val="3"/>
        <w:keepNext/>
        <w:keepLines/>
        <w:pageBreakBefore w:val="0"/>
        <w:widowControl w:val="0"/>
        <w:numPr>
          <w:ilvl w:val="0"/>
          <w:numId w:val="0"/>
        </w:numPr>
        <w:kinsoku/>
        <w:wordWrap/>
        <w:overflowPunct/>
        <w:topLinePunct w:val="0"/>
        <w:autoSpaceDE/>
        <w:autoSpaceDN/>
        <w:bidi w:val="0"/>
        <w:adjustRightInd/>
        <w:snapToGrid/>
        <w:spacing w:before="157" w:beforeLines="50" w:after="157" w:afterLines="50" w:line="360" w:lineRule="auto"/>
        <w:ind w:left="420" w:leftChars="0" w:hanging="420" w:firstLineChars="0"/>
        <w:textAlignment w:val="auto"/>
        <w:rPr>
          <w:rFonts w:hint="eastAsia" w:ascii="宋体" w:hAnsi="宋体" w:eastAsia="宋体" w:cs="宋体"/>
          <w:b/>
          <w:bCs/>
          <w:color w:val="auto"/>
          <w:kern w:val="2"/>
          <w:sz w:val="24"/>
          <w:szCs w:val="24"/>
          <w:highlight w:val="none"/>
          <w:lang w:val="hr-HR" w:eastAsia="zh-CN" w:bidi="ar-SA"/>
        </w:rPr>
      </w:pPr>
      <w:bookmarkStart w:id="24" w:name="_Toc109900249"/>
      <w:bookmarkStart w:id="25" w:name="_Toc140132746"/>
      <w:bookmarkStart w:id="26" w:name="_Toc109899830"/>
      <w:bookmarkStart w:id="27" w:name="_Toc155185861"/>
      <w:bookmarkStart w:id="28" w:name="_Toc16935"/>
      <w:bookmarkStart w:id="29" w:name="_Toc109899411"/>
      <w:r>
        <w:rPr>
          <w:rFonts w:hint="eastAsia" w:ascii="宋体" w:hAnsi="宋体" w:eastAsia="宋体" w:cs="宋体"/>
          <w:b/>
          <w:bCs/>
          <w:color w:val="auto"/>
          <w:kern w:val="2"/>
          <w:sz w:val="24"/>
          <w:szCs w:val="24"/>
          <w:highlight w:val="none"/>
          <w:lang w:val="en-US" w:eastAsia="zh-CN" w:bidi="ar-SA"/>
        </w:rPr>
        <w:t>二、申请</w:t>
      </w:r>
      <w:r>
        <w:rPr>
          <w:rFonts w:hint="eastAsia" w:ascii="宋体" w:hAnsi="宋体" w:eastAsia="宋体" w:cs="宋体"/>
          <w:b/>
          <w:bCs/>
          <w:color w:val="auto"/>
          <w:kern w:val="2"/>
          <w:sz w:val="24"/>
          <w:szCs w:val="24"/>
          <w:highlight w:val="none"/>
          <w:lang w:val="hr-HR" w:eastAsia="zh-CN" w:bidi="ar-SA"/>
        </w:rPr>
        <w:t>人</w:t>
      </w:r>
      <w:r>
        <w:rPr>
          <w:rFonts w:hint="eastAsia" w:ascii="宋体" w:hAnsi="宋体" w:eastAsia="宋体" w:cs="宋体"/>
          <w:b/>
          <w:bCs/>
          <w:color w:val="auto"/>
          <w:kern w:val="2"/>
          <w:sz w:val="24"/>
          <w:szCs w:val="24"/>
          <w:highlight w:val="none"/>
          <w:lang w:val="en-US" w:eastAsia="zh-CN" w:bidi="ar-SA"/>
        </w:rPr>
        <w:t>的</w:t>
      </w:r>
      <w:r>
        <w:rPr>
          <w:rFonts w:hint="eastAsia" w:ascii="宋体" w:hAnsi="宋体" w:eastAsia="宋体" w:cs="宋体"/>
          <w:b/>
          <w:bCs/>
          <w:color w:val="auto"/>
          <w:kern w:val="2"/>
          <w:sz w:val="24"/>
          <w:szCs w:val="24"/>
          <w:highlight w:val="none"/>
          <w:lang w:val="hr-HR" w:eastAsia="zh-CN" w:bidi="ar-SA"/>
        </w:rPr>
        <w:t>资格要求</w:t>
      </w:r>
      <w:bookmarkEnd w:id="19"/>
      <w:bookmarkEnd w:id="20"/>
      <w:bookmarkEnd w:id="21"/>
      <w:bookmarkEnd w:id="22"/>
      <w:bookmarkEnd w:id="23"/>
      <w:bookmarkEnd w:id="24"/>
      <w:bookmarkEnd w:id="25"/>
      <w:bookmarkEnd w:id="26"/>
      <w:bookmarkEnd w:id="27"/>
      <w:bookmarkEnd w:id="28"/>
      <w:bookmarkEnd w:id="29"/>
    </w:p>
    <w:p w14:paraId="4033335F">
      <w:pPr>
        <w:pageBreakBefore w:val="0"/>
        <w:widowControl w:val="0"/>
        <w:kinsoku/>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highlight w:val="none"/>
          <w:lang w:val="en-US" w:eastAsia="zh-CN"/>
        </w:rPr>
      </w:pPr>
      <w:bookmarkStart w:id="30" w:name="_Toc44583630"/>
      <w:bookmarkStart w:id="31" w:name="_Toc28359091"/>
      <w:bookmarkStart w:id="32" w:name="_Toc28359014"/>
      <w:bookmarkStart w:id="33" w:name="_Toc35393800"/>
      <w:bookmarkStart w:id="34" w:name="_Toc35393631"/>
      <w:r>
        <w:rPr>
          <w:rFonts w:hint="eastAsia" w:ascii="宋体" w:hAnsi="宋体" w:eastAsia="宋体" w:cs="宋体"/>
          <w:color w:val="auto"/>
          <w:sz w:val="24"/>
          <w:highlight w:val="none"/>
          <w:lang w:val="en-US" w:eastAsia="zh-CN"/>
        </w:rPr>
        <w:t>1.满足《中华人民共和国政府采购法》第二十二条规定；</w:t>
      </w:r>
    </w:p>
    <w:p w14:paraId="1C35AF5F">
      <w:pPr>
        <w:pageBreakBefore w:val="0"/>
        <w:widowControl w:val="0"/>
        <w:kinsoku/>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2.落实政府采购政策需满足的资格要求：标项1：本项目不专门面向中小企业采购，供应商须按照采购文件要求提供《中小企业声明函》。</w:t>
      </w:r>
    </w:p>
    <w:p w14:paraId="349BD375">
      <w:pPr>
        <w:pageBreakBefore w:val="0"/>
        <w:widowControl w:val="0"/>
        <w:kinsoku/>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3.本项目的特定资格要求：</w:t>
      </w:r>
    </w:p>
    <w:p w14:paraId="113AB27F">
      <w:pPr>
        <w:pageBreakBefore w:val="0"/>
        <w:widowControl w:val="0"/>
        <w:kinsoku/>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【标项1】</w:t>
      </w:r>
    </w:p>
    <w:p w14:paraId="019E28B5">
      <w:pPr>
        <w:pageBreakBefore w:val="0"/>
        <w:widowControl w:val="0"/>
        <w:numPr>
          <w:ilvl w:val="0"/>
          <w:numId w:val="4"/>
        </w:numPr>
        <w:kinsoku/>
        <w:overflowPunct/>
        <w:topLinePunct w:val="0"/>
        <w:autoSpaceDE/>
        <w:autoSpaceDN/>
        <w:bidi w:val="0"/>
        <w:adjustRightInd/>
        <w:snapToGrid/>
        <w:spacing w:line="360" w:lineRule="auto"/>
        <w:ind w:firstLine="480" w:firstLineChars="200"/>
        <w:textAlignment w:val="auto"/>
        <w:rPr>
          <w:rFonts w:hint="eastAsia" w:cs="宋体"/>
          <w:color w:val="auto"/>
          <w:sz w:val="24"/>
          <w:highlight w:val="none"/>
          <w:lang w:val="en-US" w:eastAsia="zh-CN"/>
        </w:rPr>
      </w:pPr>
      <w:r>
        <w:rPr>
          <w:rFonts w:hint="eastAsia" w:ascii="宋体" w:hAnsi="宋体" w:eastAsia="宋体" w:cs="宋体"/>
          <w:color w:val="auto"/>
          <w:sz w:val="24"/>
          <w:highlight w:val="none"/>
          <w:lang w:val="en-US" w:eastAsia="zh-CN"/>
        </w:rPr>
        <w:t>属于医疗器械管理的产品需根据《医疗器械监督管理条例》（国务院令第650号）有关内容办理医疗器械产品注册或备案</w:t>
      </w:r>
      <w:r>
        <w:rPr>
          <w:rFonts w:hint="eastAsia" w:cs="宋体"/>
          <w:color w:val="auto"/>
          <w:sz w:val="24"/>
          <w:highlight w:val="none"/>
          <w:lang w:val="en-US" w:eastAsia="zh-CN"/>
        </w:rPr>
        <w:t>。</w:t>
      </w:r>
    </w:p>
    <w:p w14:paraId="73B36D8A">
      <w:pPr>
        <w:pageBreakBefore w:val="0"/>
        <w:widowControl w:val="0"/>
        <w:numPr>
          <w:ilvl w:val="0"/>
          <w:numId w:val="4"/>
        </w:numPr>
        <w:kinsoku/>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highlight w:val="none"/>
          <w:lang w:val="en-US" w:eastAsia="zh-CN"/>
        </w:rPr>
      </w:pPr>
      <w:r>
        <w:rPr>
          <w:rFonts w:hint="eastAsia" w:cs="宋体"/>
          <w:b w:val="0"/>
          <w:bCs w:val="0"/>
          <w:color w:val="auto"/>
          <w:sz w:val="24"/>
          <w:highlight w:val="none"/>
          <w:lang w:val="en-US" w:eastAsia="zh-CN"/>
        </w:rPr>
        <w:t>投标人为生产厂家的需提供《辐射安全许可证》；投标人为经销商的需提供《辐射安全许可证》及所投产品生产厂家的《辐射安全许可证》。</w:t>
      </w:r>
    </w:p>
    <w:p w14:paraId="040E7358">
      <w:pPr>
        <w:pStyle w:val="40"/>
        <w:pageBreakBefore w:val="0"/>
        <w:widowControl w:val="0"/>
        <w:kinsoku/>
        <w:overflowPunct/>
        <w:topLinePunct w:val="0"/>
        <w:autoSpaceDE/>
        <w:autoSpaceDN/>
        <w:bidi w:val="0"/>
        <w:adjustRightInd/>
        <w:snapToGrid/>
        <w:spacing w:line="360" w:lineRule="auto"/>
        <w:textAlignment w:val="auto"/>
        <w:rPr>
          <w:rFonts w:hint="eastAsia" w:ascii="宋体" w:hAnsi="宋体" w:eastAsia="宋体" w:cs="宋体"/>
          <w:color w:val="auto"/>
          <w:sz w:val="24"/>
          <w:highlight w:val="none"/>
          <w:lang w:val="hr-HR" w:eastAsia="zh-CN"/>
        </w:rPr>
      </w:pPr>
      <w:r>
        <w:rPr>
          <w:rFonts w:hint="eastAsia" w:ascii="宋体" w:hAnsi="宋体" w:eastAsia="宋体" w:cs="宋体"/>
          <w:color w:val="auto"/>
          <w:sz w:val="24"/>
          <w:highlight w:val="none"/>
          <w:lang w:val="en-US" w:eastAsia="zh-CN"/>
        </w:rPr>
        <w:t>（</w:t>
      </w:r>
      <w:r>
        <w:rPr>
          <w:rFonts w:hint="eastAsia" w:cs="宋体"/>
          <w:color w:val="auto"/>
          <w:sz w:val="24"/>
          <w:highlight w:val="none"/>
          <w:lang w:val="en-US" w:eastAsia="zh-CN"/>
        </w:rPr>
        <w:t>3</w:t>
      </w:r>
      <w:r>
        <w:rPr>
          <w:rFonts w:hint="eastAsia" w:ascii="宋体" w:hAnsi="宋体" w:eastAsia="宋体" w:cs="宋体"/>
          <w:color w:val="auto"/>
          <w:sz w:val="24"/>
          <w:highlight w:val="none"/>
          <w:lang w:val="en-US" w:eastAsia="zh-CN"/>
        </w:rPr>
        <w:t>）</w:t>
      </w:r>
      <w:r>
        <w:rPr>
          <w:rFonts w:hint="eastAsia" w:ascii="宋体" w:hAnsi="宋体" w:eastAsia="宋体" w:cs="宋体"/>
          <w:color w:val="auto"/>
          <w:sz w:val="24"/>
          <w:highlight w:val="none"/>
          <w:lang w:val="hr-HR"/>
        </w:rPr>
        <w:t>法定代表人或</w:t>
      </w:r>
      <w:r>
        <w:rPr>
          <w:rFonts w:hint="eastAsia" w:ascii="宋体" w:hAnsi="宋体" w:eastAsia="宋体" w:cs="宋体"/>
          <w:color w:val="auto"/>
          <w:sz w:val="24"/>
          <w:highlight w:val="none"/>
          <w:lang w:val="en-US" w:eastAsia="zh-CN"/>
        </w:rPr>
        <w:t>单位</w:t>
      </w:r>
      <w:r>
        <w:rPr>
          <w:rFonts w:hint="eastAsia" w:ascii="宋体" w:hAnsi="宋体" w:eastAsia="宋体" w:cs="宋体"/>
          <w:color w:val="auto"/>
          <w:sz w:val="24"/>
          <w:highlight w:val="none"/>
          <w:lang w:val="hr-HR"/>
        </w:rPr>
        <w:t>负责人为同一人或者存在</w:t>
      </w:r>
      <w:r>
        <w:rPr>
          <w:rFonts w:hint="eastAsia" w:ascii="宋体" w:hAnsi="宋体" w:eastAsia="宋体" w:cs="宋体"/>
          <w:color w:val="auto"/>
          <w:sz w:val="24"/>
          <w:highlight w:val="none"/>
          <w:lang w:val="en-US" w:eastAsia="zh-CN"/>
        </w:rPr>
        <w:t>直接</w:t>
      </w:r>
      <w:r>
        <w:rPr>
          <w:rFonts w:hint="eastAsia" w:ascii="宋体" w:hAnsi="宋体" w:eastAsia="宋体" w:cs="宋体"/>
          <w:color w:val="auto"/>
          <w:sz w:val="24"/>
          <w:highlight w:val="none"/>
          <w:lang w:val="hr-HR"/>
        </w:rPr>
        <w:t>控股、管理关系的</w:t>
      </w:r>
      <w:r>
        <w:rPr>
          <w:rFonts w:hint="eastAsia" w:ascii="宋体" w:hAnsi="宋体" w:eastAsia="宋体" w:cs="宋体"/>
          <w:color w:val="auto"/>
          <w:sz w:val="24"/>
          <w:highlight w:val="none"/>
          <w:lang w:val="en-US" w:eastAsia="zh-CN"/>
        </w:rPr>
        <w:t>不同</w:t>
      </w:r>
      <w:r>
        <w:rPr>
          <w:rFonts w:hint="eastAsia" w:cs="宋体"/>
          <w:color w:val="auto"/>
          <w:sz w:val="24"/>
          <w:highlight w:val="none"/>
          <w:lang w:val="en-US" w:eastAsia="zh-CN"/>
        </w:rPr>
        <w:t>投标人</w:t>
      </w:r>
      <w:r>
        <w:rPr>
          <w:rFonts w:hint="eastAsia" w:ascii="宋体" w:hAnsi="宋体" w:eastAsia="宋体" w:cs="宋体"/>
          <w:color w:val="auto"/>
          <w:sz w:val="24"/>
          <w:highlight w:val="none"/>
          <w:lang w:val="hr-HR"/>
        </w:rPr>
        <w:t>，不得参加同一合同项下的政府采购活动。</w:t>
      </w:r>
    </w:p>
    <w:p w14:paraId="68099EEC">
      <w:pPr>
        <w:pStyle w:val="40"/>
        <w:pageBreakBefore w:val="0"/>
        <w:widowControl w:val="0"/>
        <w:kinsoku/>
        <w:overflowPunct/>
        <w:topLinePunct w:val="0"/>
        <w:autoSpaceDE/>
        <w:autoSpaceDN/>
        <w:bidi w:val="0"/>
        <w:adjustRightInd/>
        <w:snapToGrid/>
        <w:spacing w:line="360" w:lineRule="auto"/>
        <w:textAlignment w:val="auto"/>
        <w:rPr>
          <w:rFonts w:hint="eastAsia" w:ascii="宋体" w:hAnsi="宋体" w:eastAsia="宋体" w:cs="宋体"/>
          <w:color w:val="auto"/>
          <w:sz w:val="24"/>
          <w:highlight w:val="none"/>
          <w:lang w:val="hr-HR" w:eastAsia="zh-CN"/>
        </w:rPr>
      </w:pPr>
      <w:r>
        <w:rPr>
          <w:rFonts w:hint="eastAsia" w:ascii="宋体" w:hAnsi="宋体" w:eastAsia="宋体" w:cs="宋体"/>
          <w:color w:val="auto"/>
          <w:sz w:val="24"/>
          <w:highlight w:val="none"/>
          <w:lang w:val="en-US" w:eastAsia="zh-CN"/>
        </w:rPr>
        <w:t>（</w:t>
      </w:r>
      <w:r>
        <w:rPr>
          <w:rFonts w:hint="eastAsia" w:cs="宋体"/>
          <w:color w:val="auto"/>
          <w:sz w:val="24"/>
          <w:highlight w:val="none"/>
          <w:lang w:val="en-US" w:eastAsia="zh-CN"/>
        </w:rPr>
        <w:t>4</w:t>
      </w:r>
      <w:r>
        <w:rPr>
          <w:rFonts w:hint="eastAsia" w:ascii="宋体" w:hAnsi="宋体" w:eastAsia="宋体" w:cs="宋体"/>
          <w:color w:val="auto"/>
          <w:sz w:val="24"/>
          <w:highlight w:val="none"/>
          <w:lang w:val="en-US" w:eastAsia="zh-CN"/>
        </w:rPr>
        <w:t>）</w:t>
      </w:r>
      <w:r>
        <w:rPr>
          <w:rFonts w:hint="eastAsia" w:ascii="宋体" w:hAnsi="宋体" w:eastAsia="宋体" w:cs="宋体"/>
          <w:color w:val="auto"/>
          <w:sz w:val="24"/>
          <w:highlight w:val="none"/>
          <w:lang w:val="hr-HR"/>
        </w:rPr>
        <w:t>除单一来源采购项目外，为采购项目提供整体设计、规范编制或者项目管理、监理、检测等服务的</w:t>
      </w:r>
      <w:r>
        <w:rPr>
          <w:rFonts w:hint="eastAsia" w:cs="宋体"/>
          <w:color w:val="auto"/>
          <w:sz w:val="24"/>
          <w:highlight w:val="none"/>
          <w:lang w:val="hr-HR" w:eastAsia="zh-CN"/>
        </w:rPr>
        <w:t>投标人</w:t>
      </w:r>
      <w:r>
        <w:rPr>
          <w:rFonts w:hint="eastAsia" w:ascii="宋体" w:hAnsi="宋体" w:eastAsia="宋体" w:cs="宋体"/>
          <w:color w:val="auto"/>
          <w:sz w:val="24"/>
          <w:highlight w:val="none"/>
          <w:lang w:val="hr-HR"/>
        </w:rPr>
        <w:t>，不得再参加该采购项目的其他采购活动。</w:t>
      </w:r>
    </w:p>
    <w:p w14:paraId="49ABF921">
      <w:pPr>
        <w:pStyle w:val="40"/>
        <w:pageBreakBefore w:val="0"/>
        <w:widowControl w:val="0"/>
        <w:kinsoku/>
        <w:overflowPunct/>
        <w:topLinePunct w:val="0"/>
        <w:autoSpaceDE/>
        <w:autoSpaceDN/>
        <w:bidi w:val="0"/>
        <w:adjustRightInd/>
        <w:snapToGrid/>
        <w:spacing w:line="360" w:lineRule="auto"/>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hr-HR" w:eastAsia="zh-CN"/>
        </w:rPr>
        <w:t>（</w:t>
      </w:r>
      <w:r>
        <w:rPr>
          <w:rFonts w:hint="eastAsia" w:cs="宋体"/>
          <w:color w:val="auto"/>
          <w:sz w:val="24"/>
          <w:highlight w:val="none"/>
          <w:lang w:val="en-US" w:eastAsia="zh-CN"/>
        </w:rPr>
        <w:t>5</w:t>
      </w:r>
      <w:r>
        <w:rPr>
          <w:rFonts w:hint="eastAsia" w:ascii="宋体" w:hAnsi="宋体" w:eastAsia="宋体" w:cs="宋体"/>
          <w:color w:val="auto"/>
          <w:sz w:val="24"/>
          <w:highlight w:val="none"/>
          <w:lang w:val="en-US" w:eastAsia="zh-CN"/>
        </w:rPr>
        <w:t>）</w:t>
      </w:r>
      <w:r>
        <w:rPr>
          <w:rFonts w:hint="eastAsia" w:cs="宋体"/>
          <w:color w:val="auto"/>
          <w:sz w:val="24"/>
          <w:highlight w:val="none"/>
          <w:lang w:val="en-US" w:eastAsia="zh-CN"/>
        </w:rPr>
        <w:t>投标人</w:t>
      </w:r>
      <w:r>
        <w:rPr>
          <w:rFonts w:hint="eastAsia" w:ascii="宋体" w:hAnsi="宋体" w:eastAsia="宋体" w:cs="宋体"/>
          <w:color w:val="auto"/>
          <w:sz w:val="24"/>
          <w:highlight w:val="none"/>
          <w:lang w:val="hr-HR"/>
        </w:rPr>
        <w:t>的信用行为</w:t>
      </w:r>
      <w:r>
        <w:rPr>
          <w:rFonts w:hint="eastAsia" w:ascii="宋体" w:hAnsi="宋体" w:eastAsia="宋体" w:cs="宋体"/>
          <w:color w:val="auto"/>
          <w:sz w:val="24"/>
          <w:highlight w:val="none"/>
          <w:lang w:val="hr-HR" w:eastAsia="zh-CN"/>
        </w:rPr>
        <w:t>：</w:t>
      </w:r>
      <w:r>
        <w:rPr>
          <w:rFonts w:hint="eastAsia" w:ascii="宋体" w:hAnsi="宋体" w:eastAsia="宋体" w:cs="宋体"/>
          <w:color w:val="auto"/>
          <w:sz w:val="24"/>
          <w:highlight w:val="none"/>
          <w:lang w:val="hr-HR"/>
        </w:rPr>
        <w:t>在</w:t>
      </w:r>
      <w:r>
        <w:rPr>
          <w:rFonts w:hint="eastAsia" w:ascii="宋体" w:hAnsi="宋体" w:eastAsia="宋体" w:cs="宋体"/>
          <w:color w:val="auto"/>
          <w:sz w:val="24"/>
          <w:highlight w:val="none"/>
          <w:lang w:val="en-US" w:eastAsia="zh-CN"/>
        </w:rPr>
        <w:t>资格审查阶段经查询</w:t>
      </w:r>
      <w:r>
        <w:rPr>
          <w:rFonts w:hint="eastAsia" w:ascii="宋体" w:hAnsi="宋体" w:eastAsia="宋体" w:cs="宋体"/>
          <w:color w:val="auto"/>
          <w:sz w:val="24"/>
          <w:highlight w:val="none"/>
          <w:lang w:val="hr-HR"/>
        </w:rPr>
        <w:t>，</w:t>
      </w:r>
      <w:r>
        <w:rPr>
          <w:rFonts w:hint="eastAsia" w:ascii="宋体" w:hAnsi="宋体" w:eastAsia="宋体" w:cs="宋体"/>
          <w:color w:val="auto"/>
          <w:sz w:val="24"/>
          <w:highlight w:val="none"/>
          <w:lang w:val="en-US" w:eastAsia="zh-CN"/>
        </w:rPr>
        <w:t>未被列入“失信被执行人”、“重大税收违法失信主体”、“政府采购严重违法失信行为记录名单”</w:t>
      </w:r>
      <w:r>
        <w:rPr>
          <w:rFonts w:hint="eastAsia" w:ascii="宋体" w:hAnsi="宋体" w:eastAsia="宋体" w:cs="宋体"/>
          <w:color w:val="auto"/>
          <w:sz w:val="24"/>
          <w:highlight w:val="none"/>
          <w:lang w:val="hr-HR"/>
        </w:rPr>
        <w:t>其中之一。如有以上不良信用记录</w:t>
      </w:r>
      <w:r>
        <w:rPr>
          <w:rFonts w:hint="eastAsia" w:ascii="宋体" w:hAnsi="宋体" w:eastAsia="宋体" w:cs="宋体"/>
          <w:color w:val="auto"/>
          <w:sz w:val="24"/>
          <w:highlight w:val="none"/>
          <w:lang w:val="en-US" w:eastAsia="zh-CN"/>
        </w:rPr>
        <w:t>之一的，</w:t>
      </w:r>
      <w:r>
        <w:rPr>
          <w:rFonts w:hint="eastAsia" w:ascii="宋体" w:hAnsi="宋体" w:eastAsia="宋体" w:cs="宋体"/>
          <w:color w:val="auto"/>
          <w:sz w:val="24"/>
          <w:highlight w:val="none"/>
          <w:lang w:val="hr-HR"/>
        </w:rPr>
        <w:t>其</w:t>
      </w:r>
      <w:r>
        <w:rPr>
          <w:rFonts w:hint="eastAsia" w:ascii="宋体" w:hAnsi="宋体" w:eastAsia="宋体" w:cs="宋体"/>
          <w:b/>
          <w:bCs/>
          <w:color w:val="auto"/>
          <w:sz w:val="24"/>
          <w:highlight w:val="none"/>
          <w:lang w:val="hr-HR"/>
        </w:rPr>
        <w:t>投标</w:t>
      </w:r>
      <w:r>
        <w:rPr>
          <w:rFonts w:hint="eastAsia" w:ascii="宋体" w:hAnsi="宋体" w:eastAsia="宋体" w:cs="宋体"/>
          <w:b/>
          <w:bCs/>
          <w:color w:val="auto"/>
          <w:sz w:val="24"/>
          <w:highlight w:val="none"/>
          <w:lang w:val="en-US" w:eastAsia="zh-CN"/>
        </w:rPr>
        <w:t>无效</w:t>
      </w:r>
      <w:r>
        <w:rPr>
          <w:rFonts w:hint="eastAsia" w:ascii="宋体" w:hAnsi="宋体" w:eastAsia="宋体" w:cs="宋体"/>
          <w:color w:val="auto"/>
          <w:sz w:val="24"/>
          <w:highlight w:val="none"/>
          <w:lang w:val="hr-HR"/>
        </w:rPr>
        <w:t>。</w:t>
      </w:r>
    </w:p>
    <w:p w14:paraId="17F1ED43">
      <w:pPr>
        <w:pStyle w:val="3"/>
        <w:keepNext/>
        <w:keepLines/>
        <w:pageBreakBefore w:val="0"/>
        <w:widowControl w:val="0"/>
        <w:numPr>
          <w:ilvl w:val="0"/>
          <w:numId w:val="0"/>
        </w:numPr>
        <w:kinsoku/>
        <w:wordWrap/>
        <w:overflowPunct/>
        <w:topLinePunct w:val="0"/>
        <w:autoSpaceDE/>
        <w:autoSpaceDN/>
        <w:bidi w:val="0"/>
        <w:adjustRightInd/>
        <w:snapToGrid/>
        <w:spacing w:before="157" w:beforeLines="50" w:after="157" w:afterLines="50" w:line="360" w:lineRule="auto"/>
        <w:ind w:left="420" w:leftChars="0" w:hanging="420" w:firstLineChars="0"/>
        <w:textAlignment w:val="auto"/>
        <w:rPr>
          <w:rFonts w:hint="eastAsia" w:ascii="宋体" w:hAnsi="宋体" w:eastAsia="宋体" w:cs="宋体"/>
          <w:b/>
          <w:bCs/>
          <w:color w:val="auto"/>
          <w:kern w:val="2"/>
          <w:sz w:val="24"/>
          <w:szCs w:val="24"/>
          <w:highlight w:val="none"/>
          <w:lang w:val="hr-HR" w:eastAsia="zh-CN" w:bidi="ar-SA"/>
        </w:rPr>
      </w:pPr>
      <w:bookmarkStart w:id="35" w:name="_Toc109899831"/>
      <w:bookmarkStart w:id="36" w:name="_Toc140132747"/>
      <w:bookmarkStart w:id="37" w:name="_Toc13557"/>
      <w:bookmarkStart w:id="38" w:name="_Toc155185862"/>
      <w:bookmarkStart w:id="39" w:name="_Toc109899412"/>
      <w:bookmarkStart w:id="40" w:name="_Toc109900250"/>
      <w:r>
        <w:rPr>
          <w:rFonts w:hint="eastAsia" w:ascii="宋体" w:hAnsi="宋体" w:eastAsia="宋体" w:cs="宋体"/>
          <w:b/>
          <w:bCs/>
          <w:color w:val="auto"/>
          <w:kern w:val="2"/>
          <w:sz w:val="24"/>
          <w:szCs w:val="24"/>
          <w:highlight w:val="none"/>
          <w:lang w:val="en-US" w:eastAsia="zh-CN" w:bidi="ar-SA"/>
        </w:rPr>
        <w:t>三、</w:t>
      </w:r>
      <w:r>
        <w:rPr>
          <w:rFonts w:hint="eastAsia" w:ascii="宋体" w:hAnsi="宋体" w:eastAsia="宋体" w:cs="宋体"/>
          <w:b/>
          <w:bCs/>
          <w:color w:val="auto"/>
          <w:kern w:val="2"/>
          <w:sz w:val="24"/>
          <w:szCs w:val="24"/>
          <w:highlight w:val="none"/>
          <w:lang w:val="hr-HR" w:eastAsia="zh-CN" w:bidi="ar-SA"/>
        </w:rPr>
        <w:t>获取招标文件</w:t>
      </w:r>
      <w:bookmarkEnd w:id="30"/>
      <w:bookmarkEnd w:id="31"/>
      <w:bookmarkEnd w:id="32"/>
      <w:bookmarkEnd w:id="33"/>
      <w:bookmarkEnd w:id="34"/>
      <w:bookmarkEnd w:id="35"/>
      <w:bookmarkEnd w:id="36"/>
      <w:bookmarkEnd w:id="37"/>
      <w:bookmarkEnd w:id="38"/>
      <w:bookmarkEnd w:id="39"/>
      <w:bookmarkEnd w:id="40"/>
      <w:r>
        <w:rPr>
          <w:rFonts w:hint="eastAsia" w:ascii="宋体" w:hAnsi="宋体" w:eastAsia="宋体" w:cs="宋体"/>
          <w:b/>
          <w:bCs/>
          <w:color w:val="auto"/>
          <w:kern w:val="2"/>
          <w:sz w:val="24"/>
          <w:szCs w:val="24"/>
          <w:highlight w:val="none"/>
          <w:lang w:val="hr-HR" w:eastAsia="zh-CN" w:bidi="ar-SA"/>
        </w:rPr>
        <w:t xml:space="preserve"> </w:t>
      </w:r>
    </w:p>
    <w:p w14:paraId="7F0135DE">
      <w:pPr>
        <w:pStyle w:val="40"/>
        <w:pageBreakBefore w:val="0"/>
        <w:widowControl w:val="0"/>
        <w:kinsoku/>
        <w:overflowPunct/>
        <w:topLinePunct w:val="0"/>
        <w:autoSpaceDE/>
        <w:autoSpaceDN/>
        <w:bidi w:val="0"/>
        <w:adjustRightInd/>
        <w:snapToGrid/>
        <w:spacing w:line="360" w:lineRule="auto"/>
        <w:textAlignment w:val="auto"/>
        <w:rPr>
          <w:rFonts w:hint="eastAsia" w:ascii="宋体" w:hAnsi="宋体" w:eastAsia="宋体" w:cs="宋体"/>
          <w:color w:val="auto"/>
          <w:sz w:val="24"/>
          <w:highlight w:val="none"/>
          <w:lang w:val="hr-HR"/>
        </w:rPr>
      </w:pPr>
      <w:bookmarkStart w:id="41" w:name="_Hlk130457234"/>
      <w:bookmarkStart w:id="42" w:name="_Toc35393632"/>
      <w:bookmarkStart w:id="43" w:name="_Hlk130457261"/>
      <w:bookmarkStart w:id="44" w:name="_Hlk130457327"/>
      <w:bookmarkStart w:id="45" w:name="_Toc28359015"/>
      <w:bookmarkStart w:id="46" w:name="_Toc28359092"/>
      <w:bookmarkStart w:id="47" w:name="_Toc35393801"/>
      <w:r>
        <w:rPr>
          <w:rFonts w:hint="eastAsia" w:ascii="宋体" w:hAnsi="宋体" w:eastAsia="宋体" w:cs="宋体"/>
          <w:color w:val="auto"/>
          <w:sz w:val="24"/>
          <w:highlight w:val="none"/>
          <w:lang w:val="hr-HR"/>
        </w:rPr>
        <w:t>1.时间：2025年</w:t>
      </w:r>
      <w:r>
        <w:rPr>
          <w:rFonts w:hint="eastAsia" w:cs="宋体"/>
          <w:color w:val="auto"/>
          <w:sz w:val="24"/>
          <w:highlight w:val="none"/>
          <w:lang w:val="en-US" w:eastAsia="zh-CN"/>
        </w:rPr>
        <w:t>3</w:t>
      </w:r>
      <w:r>
        <w:rPr>
          <w:rFonts w:hint="eastAsia" w:ascii="宋体" w:hAnsi="宋体" w:eastAsia="宋体" w:cs="宋体"/>
          <w:color w:val="auto"/>
          <w:sz w:val="24"/>
          <w:highlight w:val="none"/>
          <w:lang w:val="hr-HR"/>
        </w:rPr>
        <w:t>月</w:t>
      </w:r>
      <w:r>
        <w:rPr>
          <w:rFonts w:hint="eastAsia" w:cs="宋体"/>
          <w:color w:val="auto"/>
          <w:sz w:val="24"/>
          <w:highlight w:val="none"/>
          <w:lang w:val="en-US" w:eastAsia="zh-CN"/>
        </w:rPr>
        <w:t>22</w:t>
      </w:r>
      <w:r>
        <w:rPr>
          <w:rFonts w:hint="eastAsia" w:ascii="宋体" w:hAnsi="宋体" w:eastAsia="宋体" w:cs="宋体"/>
          <w:color w:val="auto"/>
          <w:sz w:val="24"/>
          <w:highlight w:val="none"/>
          <w:lang w:val="hr-HR"/>
        </w:rPr>
        <w:t>日至</w:t>
      </w:r>
      <w:r>
        <w:rPr>
          <w:rFonts w:hint="eastAsia" w:cs="宋体"/>
          <w:color w:val="auto"/>
          <w:sz w:val="24"/>
          <w:highlight w:val="none"/>
          <w:lang w:val="en-US" w:eastAsia="zh-CN"/>
        </w:rPr>
        <w:t>2025</w:t>
      </w:r>
      <w:r>
        <w:rPr>
          <w:rFonts w:hint="eastAsia" w:ascii="宋体" w:hAnsi="宋体" w:eastAsia="宋体" w:cs="宋体"/>
          <w:color w:val="auto"/>
          <w:sz w:val="24"/>
          <w:highlight w:val="none"/>
          <w:lang w:val="hr-HR"/>
        </w:rPr>
        <w:t>年</w:t>
      </w:r>
      <w:r>
        <w:rPr>
          <w:rFonts w:hint="eastAsia" w:cs="宋体"/>
          <w:color w:val="auto"/>
          <w:sz w:val="24"/>
          <w:highlight w:val="none"/>
          <w:lang w:val="en-US" w:eastAsia="zh-CN"/>
        </w:rPr>
        <w:t>3</w:t>
      </w:r>
      <w:r>
        <w:rPr>
          <w:rFonts w:hint="eastAsia" w:ascii="宋体" w:hAnsi="宋体" w:eastAsia="宋体" w:cs="宋体"/>
          <w:color w:val="auto"/>
          <w:sz w:val="24"/>
          <w:highlight w:val="none"/>
          <w:lang w:val="hr-HR"/>
        </w:rPr>
        <w:t>月</w:t>
      </w:r>
      <w:r>
        <w:rPr>
          <w:rFonts w:hint="eastAsia" w:cs="宋体"/>
          <w:color w:val="auto"/>
          <w:sz w:val="24"/>
          <w:highlight w:val="none"/>
          <w:lang w:val="en-US" w:eastAsia="zh-CN"/>
        </w:rPr>
        <w:t>28</w:t>
      </w:r>
      <w:r>
        <w:rPr>
          <w:rFonts w:hint="eastAsia" w:ascii="宋体" w:hAnsi="宋体" w:eastAsia="宋体" w:cs="宋体"/>
          <w:color w:val="auto"/>
          <w:sz w:val="24"/>
          <w:highlight w:val="none"/>
          <w:lang w:val="hr-HR"/>
        </w:rPr>
        <w:t>日，每天上午00:00 至12:00，下午12:00至23:59（北京时间，法定节假日除外）</w:t>
      </w:r>
      <w:r>
        <w:rPr>
          <w:rFonts w:hint="eastAsia" w:cs="宋体"/>
          <w:color w:val="auto"/>
          <w:sz w:val="24"/>
          <w:highlight w:val="none"/>
          <w:lang w:val="en-US" w:eastAsia="zh-CN"/>
        </w:rPr>
        <w:t xml:space="preserve"> </w:t>
      </w:r>
      <w:r>
        <w:rPr>
          <w:rFonts w:hint="eastAsia" w:ascii="宋体" w:hAnsi="宋体" w:eastAsia="宋体" w:cs="宋体"/>
          <w:color w:val="auto"/>
          <w:sz w:val="24"/>
          <w:highlight w:val="none"/>
          <w:lang w:val="hr-HR"/>
        </w:rPr>
        <w:t>。</w:t>
      </w:r>
    </w:p>
    <w:bookmarkEnd w:id="41"/>
    <w:p w14:paraId="34FD69CE">
      <w:pPr>
        <w:pStyle w:val="40"/>
        <w:pageBreakBefore w:val="0"/>
        <w:widowControl w:val="0"/>
        <w:kinsoku/>
        <w:overflowPunct/>
        <w:topLinePunct w:val="0"/>
        <w:autoSpaceDE/>
        <w:autoSpaceDN/>
        <w:bidi w:val="0"/>
        <w:adjustRightInd/>
        <w:snapToGrid/>
        <w:spacing w:line="360" w:lineRule="auto"/>
        <w:textAlignment w:val="auto"/>
        <w:rPr>
          <w:rFonts w:hint="eastAsia" w:ascii="宋体" w:hAnsi="宋体" w:eastAsia="宋体" w:cs="宋体"/>
          <w:color w:val="auto"/>
          <w:sz w:val="24"/>
          <w:highlight w:val="none"/>
          <w:lang w:val="hr-HR"/>
        </w:rPr>
      </w:pPr>
      <w:r>
        <w:rPr>
          <w:rFonts w:hint="eastAsia" w:ascii="宋体" w:hAnsi="宋体" w:eastAsia="宋体" w:cs="宋体"/>
          <w:color w:val="auto"/>
          <w:sz w:val="24"/>
          <w:highlight w:val="none"/>
          <w:lang w:val="hr-HR"/>
        </w:rPr>
        <w:t>2.</w:t>
      </w:r>
      <w:r>
        <w:rPr>
          <w:rFonts w:hint="eastAsia" w:ascii="宋体" w:hAnsi="宋体" w:eastAsia="宋体" w:cs="宋体"/>
          <w:color w:val="auto"/>
          <w:sz w:val="24"/>
          <w:highlight w:val="none"/>
        </w:rPr>
        <w:t>地点</w:t>
      </w:r>
      <w:r>
        <w:rPr>
          <w:rFonts w:hint="eastAsia" w:ascii="宋体" w:hAnsi="宋体" w:eastAsia="宋体" w:cs="宋体"/>
          <w:color w:val="auto"/>
          <w:sz w:val="24"/>
          <w:highlight w:val="none"/>
          <w:lang w:val="hr-HR"/>
        </w:rPr>
        <w:t>：</w:t>
      </w:r>
      <w:bookmarkStart w:id="48" w:name="_Hlk89807779"/>
      <w:r>
        <w:rPr>
          <w:rFonts w:hint="eastAsia" w:ascii="宋体" w:hAnsi="宋体" w:eastAsia="宋体" w:cs="宋体"/>
          <w:color w:val="auto"/>
          <w:sz w:val="24"/>
          <w:highlight w:val="none"/>
          <w:lang w:val="hr-HR"/>
        </w:rPr>
        <w:t>政采云平台线上（网址：https://www.zcygov.cn/）</w:t>
      </w:r>
      <w:r>
        <w:rPr>
          <w:rFonts w:hint="eastAsia" w:ascii="宋体" w:hAnsi="宋体" w:eastAsia="宋体" w:cs="宋体"/>
          <w:color w:val="auto"/>
          <w:sz w:val="24"/>
          <w:highlight w:val="none"/>
        </w:rPr>
        <w:t>。</w:t>
      </w:r>
      <w:bookmarkEnd w:id="48"/>
    </w:p>
    <w:p w14:paraId="674E7A4D">
      <w:pPr>
        <w:pStyle w:val="40"/>
        <w:pageBreakBefore w:val="0"/>
        <w:widowControl w:val="0"/>
        <w:kinsoku/>
        <w:overflowPunct/>
        <w:topLinePunct w:val="0"/>
        <w:autoSpaceDE/>
        <w:autoSpaceDN/>
        <w:bidi w:val="0"/>
        <w:adjustRightInd/>
        <w:snapToGrid/>
        <w:spacing w:line="360" w:lineRule="auto"/>
        <w:textAlignment w:val="auto"/>
        <w:rPr>
          <w:rFonts w:hint="eastAsia" w:ascii="宋体" w:hAnsi="宋体" w:eastAsia="宋体" w:cs="宋体"/>
          <w:color w:val="auto"/>
          <w:sz w:val="24"/>
          <w:highlight w:val="none"/>
          <w:lang w:val="en-US"/>
        </w:rPr>
      </w:pPr>
      <w:r>
        <w:rPr>
          <w:rFonts w:hint="eastAsia" w:ascii="宋体" w:hAnsi="宋体" w:eastAsia="宋体" w:cs="宋体"/>
          <w:color w:val="auto"/>
          <w:sz w:val="24"/>
          <w:highlight w:val="none"/>
          <w:lang w:val="hr-HR"/>
        </w:rPr>
        <w:t>3.</w:t>
      </w:r>
      <w:r>
        <w:rPr>
          <w:rFonts w:hint="eastAsia" w:ascii="宋体" w:hAnsi="宋体" w:eastAsia="宋体" w:cs="宋体"/>
          <w:color w:val="auto"/>
          <w:sz w:val="24"/>
          <w:highlight w:val="none"/>
        </w:rPr>
        <w:t>方式</w:t>
      </w:r>
      <w:r>
        <w:rPr>
          <w:rFonts w:hint="eastAsia" w:ascii="宋体" w:hAnsi="宋体" w:eastAsia="宋体" w:cs="宋体"/>
          <w:color w:val="auto"/>
          <w:sz w:val="24"/>
          <w:highlight w:val="none"/>
          <w:lang w:val="hr-HR"/>
        </w:rPr>
        <w:t>：</w:t>
      </w:r>
      <w:r>
        <w:rPr>
          <w:rFonts w:hint="eastAsia" w:cs="宋体"/>
          <w:color w:val="auto"/>
          <w:sz w:val="24"/>
          <w:highlight w:val="none"/>
          <w:lang w:val="en-US" w:eastAsia="zh-CN"/>
        </w:rPr>
        <w:t>投标人</w:t>
      </w:r>
      <w:r>
        <w:rPr>
          <w:rFonts w:hint="eastAsia" w:ascii="宋体" w:hAnsi="宋体" w:eastAsia="宋体" w:cs="宋体"/>
          <w:color w:val="auto"/>
          <w:sz w:val="24"/>
          <w:highlight w:val="none"/>
          <w:lang w:val="hr-HR"/>
        </w:rPr>
        <w:t>登录政采云平台https://www.zcygov.cn/在线申请获取采购文件（进入“项目采购”应用，在获取采购文件菜单中选择项目，申请获取采购文件），或者点击采购公告底部潜在</w:t>
      </w:r>
      <w:r>
        <w:rPr>
          <w:rFonts w:hint="eastAsia" w:cs="宋体"/>
          <w:color w:val="auto"/>
          <w:sz w:val="24"/>
          <w:highlight w:val="none"/>
          <w:lang w:val="hr-HR" w:eastAsia="zh-CN"/>
        </w:rPr>
        <w:t>投标人</w:t>
      </w:r>
      <w:r>
        <w:rPr>
          <w:rFonts w:hint="eastAsia" w:ascii="宋体" w:hAnsi="宋体" w:eastAsia="宋体" w:cs="宋体"/>
          <w:color w:val="auto"/>
          <w:sz w:val="24"/>
          <w:highlight w:val="none"/>
          <w:lang w:val="hr-HR"/>
        </w:rPr>
        <w:t>“获取采购文件”，页面跳转后登陆，直接获取采购文件。</w:t>
      </w:r>
    </w:p>
    <w:p w14:paraId="21D74D7F">
      <w:pPr>
        <w:pStyle w:val="40"/>
        <w:pageBreakBefore w:val="0"/>
        <w:widowControl w:val="0"/>
        <w:kinsoku/>
        <w:overflowPunct/>
        <w:topLinePunct w:val="0"/>
        <w:autoSpaceDE/>
        <w:autoSpaceDN/>
        <w:bidi w:val="0"/>
        <w:adjustRightInd/>
        <w:snapToGrid/>
        <w:spacing w:line="360" w:lineRule="auto"/>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4.售价：0元。</w:t>
      </w:r>
    </w:p>
    <w:bookmarkEnd w:id="42"/>
    <w:bookmarkEnd w:id="43"/>
    <w:bookmarkEnd w:id="44"/>
    <w:bookmarkEnd w:id="45"/>
    <w:bookmarkEnd w:id="46"/>
    <w:bookmarkEnd w:id="47"/>
    <w:p w14:paraId="6020FAF9">
      <w:pPr>
        <w:pStyle w:val="3"/>
        <w:keepNext/>
        <w:keepLines/>
        <w:pageBreakBefore w:val="0"/>
        <w:widowControl w:val="0"/>
        <w:numPr>
          <w:ilvl w:val="0"/>
          <w:numId w:val="0"/>
        </w:numPr>
        <w:kinsoku/>
        <w:wordWrap/>
        <w:overflowPunct/>
        <w:topLinePunct w:val="0"/>
        <w:autoSpaceDE/>
        <w:autoSpaceDN/>
        <w:bidi w:val="0"/>
        <w:adjustRightInd/>
        <w:snapToGrid/>
        <w:spacing w:before="157" w:beforeLines="50" w:after="157" w:afterLines="50" w:line="360" w:lineRule="auto"/>
        <w:ind w:left="420" w:leftChars="0" w:hanging="420" w:firstLineChars="0"/>
        <w:textAlignment w:val="auto"/>
        <w:rPr>
          <w:rFonts w:hint="eastAsia" w:ascii="宋体" w:hAnsi="宋体" w:eastAsia="宋体" w:cs="宋体"/>
          <w:b/>
          <w:bCs/>
          <w:color w:val="auto"/>
          <w:kern w:val="2"/>
          <w:sz w:val="24"/>
          <w:szCs w:val="24"/>
          <w:highlight w:val="none"/>
          <w:lang w:val="hr-HR" w:eastAsia="zh-CN" w:bidi="ar-SA"/>
        </w:rPr>
      </w:pPr>
      <w:bookmarkStart w:id="49" w:name="_Toc109899413"/>
      <w:bookmarkStart w:id="50" w:name="_Toc155185863"/>
      <w:bookmarkStart w:id="51" w:name="_Toc109900251"/>
      <w:bookmarkStart w:id="52" w:name="_Toc140132748"/>
      <w:bookmarkStart w:id="53" w:name="_Toc109899832"/>
      <w:bookmarkStart w:id="54" w:name="_Toc1017"/>
      <w:r>
        <w:rPr>
          <w:rFonts w:hint="eastAsia" w:ascii="宋体" w:hAnsi="宋体" w:eastAsia="宋体" w:cs="宋体"/>
          <w:b/>
          <w:bCs/>
          <w:color w:val="auto"/>
          <w:kern w:val="2"/>
          <w:sz w:val="24"/>
          <w:szCs w:val="24"/>
          <w:highlight w:val="none"/>
          <w:lang w:val="en-US" w:eastAsia="zh-CN" w:bidi="ar-SA"/>
        </w:rPr>
        <w:t>四、</w:t>
      </w:r>
      <w:bookmarkEnd w:id="49"/>
      <w:bookmarkEnd w:id="50"/>
      <w:bookmarkEnd w:id="51"/>
      <w:bookmarkEnd w:id="52"/>
      <w:bookmarkEnd w:id="53"/>
      <w:r>
        <w:rPr>
          <w:rFonts w:hint="eastAsia" w:ascii="宋体" w:hAnsi="宋体" w:eastAsia="宋体" w:cs="宋体"/>
          <w:b/>
          <w:bCs/>
          <w:color w:val="auto"/>
          <w:kern w:val="2"/>
          <w:sz w:val="24"/>
          <w:szCs w:val="24"/>
          <w:highlight w:val="none"/>
          <w:lang w:val="hr-HR" w:eastAsia="zh-CN" w:bidi="ar-SA"/>
        </w:rPr>
        <w:t>提交投标文件截止时间</w:t>
      </w:r>
      <w:r>
        <w:rPr>
          <w:rFonts w:hint="eastAsia" w:ascii="宋体" w:hAnsi="宋体" w:cs="宋体"/>
          <w:b/>
          <w:bCs/>
          <w:color w:val="auto"/>
          <w:kern w:val="2"/>
          <w:sz w:val="24"/>
          <w:szCs w:val="24"/>
          <w:highlight w:val="none"/>
          <w:lang w:val="hr-HR" w:eastAsia="zh-CN" w:bidi="ar-SA"/>
        </w:rPr>
        <w:t>、</w:t>
      </w:r>
      <w:r>
        <w:rPr>
          <w:rFonts w:hint="eastAsia" w:ascii="宋体" w:hAnsi="宋体" w:eastAsia="宋体" w:cs="宋体"/>
          <w:b/>
          <w:bCs/>
          <w:color w:val="auto"/>
          <w:kern w:val="2"/>
          <w:sz w:val="24"/>
          <w:szCs w:val="24"/>
          <w:highlight w:val="none"/>
          <w:lang w:val="hr-HR" w:eastAsia="zh-CN" w:bidi="ar-SA"/>
        </w:rPr>
        <w:t>开标时间</w:t>
      </w:r>
      <w:r>
        <w:rPr>
          <w:rFonts w:hint="eastAsia" w:ascii="宋体" w:hAnsi="宋体" w:cs="宋体"/>
          <w:b/>
          <w:bCs/>
          <w:color w:val="auto"/>
          <w:kern w:val="2"/>
          <w:sz w:val="24"/>
          <w:szCs w:val="24"/>
          <w:highlight w:val="none"/>
          <w:lang w:val="en-US" w:eastAsia="zh-CN" w:bidi="ar-SA"/>
        </w:rPr>
        <w:t>和</w:t>
      </w:r>
      <w:r>
        <w:rPr>
          <w:rFonts w:hint="eastAsia" w:ascii="宋体" w:hAnsi="宋体" w:eastAsia="宋体" w:cs="宋体"/>
          <w:b/>
          <w:bCs/>
          <w:color w:val="auto"/>
          <w:kern w:val="2"/>
          <w:sz w:val="24"/>
          <w:szCs w:val="24"/>
          <w:highlight w:val="none"/>
          <w:lang w:val="hr-HR" w:eastAsia="zh-CN" w:bidi="ar-SA"/>
        </w:rPr>
        <w:t>地点</w:t>
      </w:r>
      <w:bookmarkEnd w:id="54"/>
      <w:bookmarkStart w:id="55" w:name="_Hlk130457395"/>
      <w:bookmarkStart w:id="56" w:name="_Toc35393634"/>
      <w:bookmarkStart w:id="57" w:name="_Toc28359094"/>
      <w:bookmarkStart w:id="58" w:name="_Toc44583633"/>
      <w:bookmarkStart w:id="59" w:name="_Toc28359017"/>
      <w:bookmarkStart w:id="60" w:name="_Toc35393803"/>
    </w:p>
    <w:p w14:paraId="2D110B47">
      <w:pPr>
        <w:pStyle w:val="3"/>
        <w:keepNext/>
        <w:keepLines/>
        <w:pageBreakBefore w:val="0"/>
        <w:widowControl w:val="0"/>
        <w:numPr>
          <w:ilvl w:val="0"/>
          <w:numId w:val="0"/>
        </w:numPr>
        <w:kinsoku/>
        <w:wordWrap/>
        <w:overflowPunct/>
        <w:topLinePunct w:val="0"/>
        <w:autoSpaceDE/>
        <w:autoSpaceDN/>
        <w:bidi w:val="0"/>
        <w:adjustRightInd/>
        <w:snapToGrid/>
        <w:spacing w:before="0" w:after="0" w:line="360" w:lineRule="auto"/>
        <w:ind w:firstLine="480" w:firstLineChars="200"/>
        <w:textAlignment w:val="auto"/>
        <w:rPr>
          <w:rFonts w:hint="eastAsia" w:ascii="宋体" w:hAnsi="宋体" w:eastAsia="宋体" w:cs="宋体"/>
          <w:b w:val="0"/>
          <w:bCs w:val="0"/>
          <w:color w:val="auto"/>
          <w:sz w:val="24"/>
          <w:highlight w:val="none"/>
        </w:rPr>
      </w:pPr>
      <w:bookmarkStart w:id="61" w:name="_Toc27649"/>
      <w:bookmarkStart w:id="62" w:name="_Toc29336"/>
      <w:bookmarkStart w:id="63" w:name="_Toc3967"/>
      <w:bookmarkStart w:id="64" w:name="_Toc20025"/>
      <w:r>
        <w:rPr>
          <w:rFonts w:hint="eastAsia" w:ascii="宋体" w:hAnsi="宋体" w:eastAsia="宋体" w:cs="宋体"/>
          <w:b w:val="0"/>
          <w:bCs w:val="0"/>
          <w:color w:val="auto"/>
          <w:sz w:val="24"/>
          <w:highlight w:val="none"/>
        </w:rPr>
        <w:t>1.</w:t>
      </w:r>
      <w:r>
        <w:rPr>
          <w:rFonts w:hint="eastAsia" w:ascii="宋体" w:hAnsi="宋体" w:cs="宋体"/>
          <w:b w:val="0"/>
          <w:bCs w:val="0"/>
          <w:color w:val="auto"/>
          <w:sz w:val="24"/>
          <w:highlight w:val="none"/>
          <w:lang w:val="en-US" w:eastAsia="zh-CN"/>
        </w:rPr>
        <w:t>提交投标文件</w:t>
      </w:r>
      <w:r>
        <w:rPr>
          <w:rFonts w:hint="eastAsia" w:ascii="宋体" w:hAnsi="宋体" w:eastAsia="宋体" w:cs="宋体"/>
          <w:b w:val="0"/>
          <w:bCs w:val="0"/>
          <w:color w:val="auto"/>
          <w:sz w:val="24"/>
          <w:highlight w:val="none"/>
        </w:rPr>
        <w:t>截止时间：</w:t>
      </w:r>
      <w:r>
        <w:rPr>
          <w:rFonts w:hint="eastAsia" w:ascii="宋体" w:hAnsi="宋体" w:eastAsia="宋体" w:cs="宋体"/>
          <w:b w:val="0"/>
          <w:bCs w:val="0"/>
          <w:color w:val="auto"/>
          <w:sz w:val="24"/>
          <w:highlight w:val="none"/>
          <w:u w:val="single"/>
        </w:rPr>
        <w:t xml:space="preserve"> </w:t>
      </w:r>
      <w:r>
        <w:rPr>
          <w:rFonts w:hint="eastAsia" w:ascii="宋体" w:hAnsi="宋体" w:cs="宋体"/>
          <w:b w:val="0"/>
          <w:bCs w:val="0"/>
          <w:color w:val="auto"/>
          <w:sz w:val="24"/>
          <w:highlight w:val="none"/>
          <w:u w:val="single"/>
          <w:lang w:val="en-US" w:eastAsia="zh-CN"/>
        </w:rPr>
        <w:t>2025</w:t>
      </w:r>
      <w:r>
        <w:rPr>
          <w:rFonts w:hint="eastAsia" w:ascii="宋体" w:hAnsi="宋体" w:eastAsia="宋体" w:cs="宋体"/>
          <w:b w:val="0"/>
          <w:bCs w:val="0"/>
          <w:color w:val="auto"/>
          <w:sz w:val="24"/>
          <w:highlight w:val="none"/>
          <w:u w:val="single"/>
        </w:rPr>
        <w:t>年</w:t>
      </w:r>
      <w:r>
        <w:rPr>
          <w:rFonts w:hint="eastAsia" w:ascii="宋体" w:hAnsi="宋体" w:cs="宋体"/>
          <w:b w:val="0"/>
          <w:bCs w:val="0"/>
          <w:color w:val="auto"/>
          <w:sz w:val="24"/>
          <w:highlight w:val="none"/>
          <w:u w:val="single"/>
          <w:lang w:val="en-US" w:eastAsia="zh-CN"/>
        </w:rPr>
        <w:t>4</w:t>
      </w:r>
      <w:r>
        <w:rPr>
          <w:rFonts w:hint="eastAsia" w:ascii="宋体" w:hAnsi="宋体" w:eastAsia="宋体" w:cs="宋体"/>
          <w:b w:val="0"/>
          <w:bCs w:val="0"/>
          <w:color w:val="auto"/>
          <w:sz w:val="24"/>
          <w:highlight w:val="none"/>
          <w:u w:val="single"/>
        </w:rPr>
        <w:t>月</w:t>
      </w:r>
      <w:r>
        <w:rPr>
          <w:rFonts w:hint="eastAsia" w:ascii="宋体" w:hAnsi="宋体" w:cs="宋体"/>
          <w:b w:val="0"/>
          <w:bCs w:val="0"/>
          <w:color w:val="auto"/>
          <w:sz w:val="24"/>
          <w:highlight w:val="none"/>
          <w:u w:val="single"/>
          <w:lang w:val="en-US" w:eastAsia="zh-CN"/>
        </w:rPr>
        <w:t>11</w:t>
      </w:r>
      <w:r>
        <w:rPr>
          <w:rFonts w:hint="eastAsia" w:ascii="宋体" w:hAnsi="宋体" w:eastAsia="宋体" w:cs="宋体"/>
          <w:b w:val="0"/>
          <w:bCs w:val="0"/>
          <w:color w:val="auto"/>
          <w:sz w:val="24"/>
          <w:highlight w:val="none"/>
          <w:u w:val="single"/>
        </w:rPr>
        <w:t>日</w:t>
      </w:r>
      <w:r>
        <w:rPr>
          <w:rFonts w:hint="eastAsia" w:ascii="宋体" w:hAnsi="宋体" w:cs="宋体"/>
          <w:b w:val="0"/>
          <w:bCs w:val="0"/>
          <w:color w:val="auto"/>
          <w:sz w:val="24"/>
          <w:highlight w:val="none"/>
          <w:u w:val="single"/>
          <w:lang w:val="en-US" w:eastAsia="zh-CN"/>
        </w:rPr>
        <w:t>11</w:t>
      </w:r>
      <w:r>
        <w:rPr>
          <w:rFonts w:hint="eastAsia" w:ascii="宋体" w:hAnsi="宋体" w:cs="宋体"/>
          <w:b w:val="0"/>
          <w:bCs w:val="0"/>
          <w:color w:val="auto"/>
          <w:sz w:val="24"/>
          <w:highlight w:val="none"/>
          <w:u w:val="single"/>
          <w:lang w:eastAsia="zh-CN"/>
        </w:rPr>
        <w:t>：</w:t>
      </w:r>
      <w:r>
        <w:rPr>
          <w:rFonts w:hint="eastAsia" w:ascii="宋体" w:hAnsi="宋体" w:cs="宋体"/>
          <w:b w:val="0"/>
          <w:bCs w:val="0"/>
          <w:color w:val="auto"/>
          <w:sz w:val="24"/>
          <w:highlight w:val="none"/>
          <w:u w:val="single"/>
          <w:lang w:val="en-US" w:eastAsia="zh-CN"/>
        </w:rPr>
        <w:t xml:space="preserve">00 </w:t>
      </w:r>
      <w:r>
        <w:rPr>
          <w:rFonts w:hint="eastAsia" w:ascii="宋体" w:hAnsi="宋体" w:eastAsia="宋体" w:cs="宋体"/>
          <w:b w:val="0"/>
          <w:bCs w:val="0"/>
          <w:color w:val="auto"/>
          <w:sz w:val="24"/>
          <w:highlight w:val="none"/>
        </w:rPr>
        <w:t>（北京时间）。</w:t>
      </w:r>
      <w:bookmarkEnd w:id="61"/>
      <w:bookmarkEnd w:id="62"/>
      <w:bookmarkEnd w:id="63"/>
      <w:bookmarkEnd w:id="64"/>
    </w:p>
    <w:p w14:paraId="51B173F3">
      <w:pPr>
        <w:pStyle w:val="40"/>
        <w:pageBreakBefore w:val="0"/>
        <w:widowControl w:val="0"/>
        <w:kinsoku/>
        <w:overflowPunct/>
        <w:topLinePunct w:val="0"/>
        <w:autoSpaceDE/>
        <w:autoSpaceDN/>
        <w:bidi w:val="0"/>
        <w:adjustRightInd/>
        <w:snapToGrid/>
        <w:spacing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cs="宋体"/>
          <w:color w:val="auto"/>
          <w:sz w:val="24"/>
          <w:highlight w:val="none"/>
          <w:lang w:val="en-US" w:eastAsia="zh-CN"/>
        </w:rPr>
        <w:t>投标地点</w:t>
      </w:r>
      <w:r>
        <w:rPr>
          <w:rFonts w:hint="eastAsia" w:ascii="宋体" w:hAnsi="宋体" w:eastAsia="宋体" w:cs="宋体"/>
          <w:color w:val="auto"/>
          <w:sz w:val="24"/>
          <w:highlight w:val="none"/>
        </w:rPr>
        <w:t>：</w:t>
      </w:r>
      <w:bookmarkStart w:id="65" w:name="_Hlk89807823"/>
      <w:r>
        <w:rPr>
          <w:rFonts w:hint="eastAsia" w:ascii="宋体" w:hAnsi="宋体" w:eastAsia="宋体" w:cs="宋体"/>
          <w:color w:val="auto"/>
          <w:sz w:val="24"/>
          <w:highlight w:val="none"/>
        </w:rPr>
        <w:t>请登录政采云投标客户端投标。</w:t>
      </w:r>
      <w:bookmarkEnd w:id="65"/>
    </w:p>
    <w:p w14:paraId="740FCA87">
      <w:pPr>
        <w:pStyle w:val="40"/>
        <w:pageBreakBefore w:val="0"/>
        <w:widowControl w:val="0"/>
        <w:kinsoku/>
        <w:overflowPunct/>
        <w:topLinePunct w:val="0"/>
        <w:autoSpaceDE/>
        <w:autoSpaceDN/>
        <w:bidi w:val="0"/>
        <w:adjustRightInd/>
        <w:snapToGrid/>
        <w:spacing w:line="360" w:lineRule="auto"/>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3.开标</w:t>
      </w:r>
      <w:r>
        <w:rPr>
          <w:rFonts w:hint="eastAsia" w:cs="宋体"/>
          <w:color w:val="auto"/>
          <w:sz w:val="24"/>
          <w:highlight w:val="none"/>
          <w:lang w:val="en-US" w:eastAsia="zh-CN"/>
        </w:rPr>
        <w:t>时间：</w:t>
      </w:r>
      <w:r>
        <w:rPr>
          <w:rFonts w:hint="eastAsia" w:ascii="宋体" w:hAnsi="宋体" w:eastAsia="宋体" w:cs="宋体"/>
          <w:b w:val="0"/>
          <w:bCs w:val="0"/>
          <w:color w:val="auto"/>
          <w:sz w:val="24"/>
          <w:highlight w:val="none"/>
          <w:u w:val="single"/>
        </w:rPr>
        <w:t xml:space="preserve"> </w:t>
      </w:r>
      <w:r>
        <w:rPr>
          <w:rFonts w:hint="eastAsia" w:ascii="宋体" w:hAnsi="宋体" w:cs="宋体"/>
          <w:b w:val="0"/>
          <w:bCs w:val="0"/>
          <w:color w:val="auto"/>
          <w:sz w:val="24"/>
          <w:highlight w:val="none"/>
          <w:u w:val="single"/>
          <w:lang w:val="en-US" w:eastAsia="zh-CN"/>
        </w:rPr>
        <w:t>2025</w:t>
      </w:r>
      <w:r>
        <w:rPr>
          <w:rFonts w:hint="eastAsia" w:ascii="宋体" w:hAnsi="宋体" w:eastAsia="宋体" w:cs="宋体"/>
          <w:b w:val="0"/>
          <w:bCs w:val="0"/>
          <w:color w:val="auto"/>
          <w:sz w:val="24"/>
          <w:highlight w:val="none"/>
          <w:u w:val="single"/>
        </w:rPr>
        <w:t>年</w:t>
      </w:r>
      <w:r>
        <w:rPr>
          <w:rFonts w:hint="eastAsia" w:cs="宋体"/>
          <w:b w:val="0"/>
          <w:bCs w:val="0"/>
          <w:color w:val="auto"/>
          <w:sz w:val="24"/>
          <w:highlight w:val="none"/>
          <w:u w:val="single"/>
          <w:lang w:val="en-US" w:eastAsia="zh-CN"/>
        </w:rPr>
        <w:t>4</w:t>
      </w:r>
      <w:r>
        <w:rPr>
          <w:rFonts w:hint="eastAsia" w:ascii="宋体" w:hAnsi="宋体" w:eastAsia="宋体" w:cs="宋体"/>
          <w:b w:val="0"/>
          <w:bCs w:val="0"/>
          <w:color w:val="auto"/>
          <w:sz w:val="24"/>
          <w:highlight w:val="none"/>
          <w:u w:val="single"/>
        </w:rPr>
        <w:t>月</w:t>
      </w:r>
      <w:r>
        <w:rPr>
          <w:rFonts w:hint="eastAsia" w:cs="宋体"/>
          <w:b w:val="0"/>
          <w:bCs w:val="0"/>
          <w:color w:val="auto"/>
          <w:sz w:val="24"/>
          <w:highlight w:val="none"/>
          <w:u w:val="single"/>
          <w:lang w:val="en-US" w:eastAsia="zh-CN"/>
        </w:rPr>
        <w:t>11</w:t>
      </w:r>
      <w:r>
        <w:rPr>
          <w:rFonts w:hint="eastAsia" w:ascii="宋体" w:hAnsi="宋体" w:eastAsia="宋体" w:cs="宋体"/>
          <w:b w:val="0"/>
          <w:bCs w:val="0"/>
          <w:color w:val="auto"/>
          <w:sz w:val="24"/>
          <w:highlight w:val="none"/>
          <w:u w:val="single"/>
        </w:rPr>
        <w:t>日</w:t>
      </w:r>
      <w:r>
        <w:rPr>
          <w:rFonts w:hint="eastAsia" w:cs="宋体"/>
          <w:b w:val="0"/>
          <w:bCs w:val="0"/>
          <w:color w:val="auto"/>
          <w:sz w:val="24"/>
          <w:highlight w:val="none"/>
          <w:u w:val="single"/>
          <w:lang w:val="en-US" w:eastAsia="zh-CN"/>
        </w:rPr>
        <w:t>11</w:t>
      </w:r>
      <w:r>
        <w:rPr>
          <w:rFonts w:hint="eastAsia" w:ascii="宋体" w:hAnsi="宋体" w:cs="宋体"/>
          <w:b w:val="0"/>
          <w:bCs w:val="0"/>
          <w:color w:val="auto"/>
          <w:sz w:val="24"/>
          <w:highlight w:val="none"/>
          <w:u w:val="single"/>
          <w:lang w:eastAsia="zh-CN"/>
        </w:rPr>
        <w:t>：</w:t>
      </w:r>
      <w:r>
        <w:rPr>
          <w:rFonts w:hint="eastAsia" w:cs="宋体"/>
          <w:b w:val="0"/>
          <w:bCs w:val="0"/>
          <w:color w:val="auto"/>
          <w:sz w:val="24"/>
          <w:highlight w:val="none"/>
          <w:u w:val="single"/>
          <w:lang w:val="en-US" w:eastAsia="zh-CN"/>
        </w:rPr>
        <w:t>00</w:t>
      </w:r>
      <w:r>
        <w:rPr>
          <w:rFonts w:hint="eastAsia" w:ascii="宋体" w:hAnsi="宋体" w:cs="宋体"/>
          <w:b w:val="0"/>
          <w:bCs w:val="0"/>
          <w:color w:val="auto"/>
          <w:sz w:val="24"/>
          <w:highlight w:val="none"/>
          <w:u w:val="single"/>
          <w:lang w:val="en-US" w:eastAsia="zh-CN"/>
        </w:rPr>
        <w:t xml:space="preserve"> </w:t>
      </w:r>
      <w:r>
        <w:rPr>
          <w:rFonts w:hint="eastAsia" w:ascii="宋体" w:hAnsi="宋体" w:eastAsia="宋体" w:cs="宋体"/>
          <w:b w:val="0"/>
          <w:bCs w:val="0"/>
          <w:color w:val="auto"/>
          <w:sz w:val="24"/>
          <w:highlight w:val="none"/>
        </w:rPr>
        <w:t>（北京时间）</w:t>
      </w:r>
    </w:p>
    <w:p w14:paraId="276D3E17">
      <w:pPr>
        <w:pStyle w:val="40"/>
        <w:pageBreakBefore w:val="0"/>
        <w:widowControl w:val="0"/>
        <w:kinsoku/>
        <w:overflowPunct/>
        <w:topLinePunct w:val="0"/>
        <w:autoSpaceDE/>
        <w:autoSpaceDN/>
        <w:bidi w:val="0"/>
        <w:adjustRightInd/>
        <w:snapToGrid/>
        <w:spacing w:line="360" w:lineRule="auto"/>
        <w:textAlignment w:val="auto"/>
        <w:rPr>
          <w:rFonts w:hint="eastAsia" w:ascii="宋体" w:hAnsi="宋体" w:eastAsia="宋体" w:cs="宋体"/>
          <w:color w:val="auto"/>
          <w:sz w:val="24"/>
          <w:highlight w:val="none"/>
        </w:rPr>
      </w:pPr>
      <w:r>
        <w:rPr>
          <w:rFonts w:hint="eastAsia" w:cs="宋体"/>
          <w:color w:val="auto"/>
          <w:sz w:val="24"/>
          <w:highlight w:val="none"/>
          <w:lang w:val="en-US" w:eastAsia="zh-CN"/>
        </w:rPr>
        <w:t>4.开标</w:t>
      </w:r>
      <w:r>
        <w:rPr>
          <w:rFonts w:hint="eastAsia" w:ascii="宋体" w:hAnsi="宋体" w:eastAsia="宋体" w:cs="宋体"/>
          <w:color w:val="auto"/>
          <w:sz w:val="24"/>
          <w:highlight w:val="none"/>
          <w:lang w:val="en-US"/>
        </w:rPr>
        <w:t>地点</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rPr>
        <w:t>投标</w:t>
      </w:r>
      <w:r>
        <w:rPr>
          <w:rFonts w:hint="eastAsia" w:ascii="宋体" w:hAnsi="宋体" w:eastAsia="宋体" w:cs="宋体"/>
          <w:color w:val="auto"/>
          <w:sz w:val="24"/>
          <w:highlight w:val="none"/>
          <w:lang w:val="en-US" w:eastAsia="zh-CN"/>
        </w:rPr>
        <w:t>人</w:t>
      </w:r>
      <w:r>
        <w:rPr>
          <w:rFonts w:hint="eastAsia" w:ascii="宋体" w:hAnsi="宋体" w:eastAsia="宋体" w:cs="宋体"/>
          <w:color w:val="auto"/>
          <w:sz w:val="24"/>
          <w:highlight w:val="none"/>
          <w:lang w:val="en-US"/>
        </w:rPr>
        <w:t>登录政采云平台https</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rPr>
        <w:t>//www.zcygov.cn/，进入项目采购-开</w:t>
      </w:r>
      <w:r>
        <w:rPr>
          <w:rFonts w:hint="eastAsia" w:ascii="宋体" w:hAnsi="宋体" w:eastAsia="宋体" w:cs="宋体"/>
          <w:color w:val="auto"/>
          <w:sz w:val="24"/>
          <w:highlight w:val="none"/>
          <w:lang w:val="en-US" w:eastAsia="zh-CN"/>
        </w:rPr>
        <w:t>标</w:t>
      </w:r>
      <w:r>
        <w:rPr>
          <w:rFonts w:hint="eastAsia" w:ascii="宋体" w:hAnsi="宋体" w:eastAsia="宋体" w:cs="宋体"/>
          <w:color w:val="auto"/>
          <w:sz w:val="24"/>
          <w:highlight w:val="none"/>
          <w:lang w:val="en-US"/>
        </w:rPr>
        <w:t>评标-右边选择对应项目点击“进入项目”进入开标大厅</w:t>
      </w:r>
      <w:r>
        <w:rPr>
          <w:rFonts w:hint="eastAsia" w:ascii="宋体" w:hAnsi="宋体" w:eastAsia="宋体" w:cs="宋体"/>
          <w:color w:val="auto"/>
          <w:sz w:val="24"/>
          <w:highlight w:val="none"/>
        </w:rPr>
        <w:t>。</w:t>
      </w:r>
    </w:p>
    <w:bookmarkEnd w:id="55"/>
    <w:p w14:paraId="679A69E0">
      <w:pPr>
        <w:pStyle w:val="3"/>
        <w:keepNext/>
        <w:keepLines/>
        <w:pageBreakBefore w:val="0"/>
        <w:widowControl w:val="0"/>
        <w:numPr>
          <w:ilvl w:val="0"/>
          <w:numId w:val="0"/>
        </w:numPr>
        <w:kinsoku/>
        <w:wordWrap/>
        <w:overflowPunct/>
        <w:topLinePunct w:val="0"/>
        <w:autoSpaceDE/>
        <w:autoSpaceDN/>
        <w:bidi w:val="0"/>
        <w:adjustRightInd/>
        <w:snapToGrid/>
        <w:spacing w:before="157" w:beforeLines="50" w:after="157" w:afterLines="50" w:line="360" w:lineRule="auto"/>
        <w:ind w:left="420" w:leftChars="0" w:hanging="420" w:firstLineChars="0"/>
        <w:textAlignment w:val="auto"/>
        <w:rPr>
          <w:rFonts w:hint="eastAsia" w:ascii="宋体" w:hAnsi="宋体" w:eastAsia="宋体" w:cs="宋体"/>
          <w:b/>
          <w:bCs/>
          <w:color w:val="auto"/>
          <w:kern w:val="2"/>
          <w:sz w:val="24"/>
          <w:szCs w:val="24"/>
          <w:highlight w:val="none"/>
          <w:lang w:val="hr-HR" w:eastAsia="zh-CN" w:bidi="ar-SA"/>
        </w:rPr>
      </w:pPr>
      <w:bookmarkStart w:id="66" w:name="_Toc24036"/>
      <w:bookmarkStart w:id="67" w:name="_Toc109899414"/>
      <w:bookmarkStart w:id="68" w:name="_Toc109899833"/>
      <w:bookmarkStart w:id="69" w:name="_Toc109900252"/>
      <w:bookmarkStart w:id="70" w:name="_Toc155185864"/>
      <w:bookmarkStart w:id="71" w:name="_Toc140132749"/>
      <w:r>
        <w:rPr>
          <w:rFonts w:hint="eastAsia" w:ascii="宋体" w:hAnsi="宋体" w:eastAsia="宋体" w:cs="宋体"/>
          <w:b/>
          <w:bCs/>
          <w:color w:val="auto"/>
          <w:kern w:val="2"/>
          <w:sz w:val="24"/>
          <w:szCs w:val="24"/>
          <w:highlight w:val="none"/>
          <w:lang w:val="en-US" w:eastAsia="zh-CN" w:bidi="ar-SA"/>
        </w:rPr>
        <w:t>五、</w:t>
      </w:r>
      <w:r>
        <w:rPr>
          <w:rFonts w:hint="eastAsia" w:ascii="宋体" w:hAnsi="宋体" w:eastAsia="宋体" w:cs="宋体"/>
          <w:b/>
          <w:bCs/>
          <w:color w:val="auto"/>
          <w:kern w:val="2"/>
          <w:sz w:val="24"/>
          <w:szCs w:val="24"/>
          <w:highlight w:val="none"/>
          <w:lang w:val="hr-HR" w:eastAsia="zh-CN" w:bidi="ar-SA"/>
        </w:rPr>
        <w:t>公告期限</w:t>
      </w:r>
      <w:bookmarkEnd w:id="56"/>
      <w:bookmarkEnd w:id="57"/>
      <w:bookmarkEnd w:id="58"/>
      <w:bookmarkEnd w:id="59"/>
      <w:bookmarkEnd w:id="60"/>
      <w:bookmarkEnd w:id="66"/>
      <w:bookmarkEnd w:id="67"/>
      <w:bookmarkEnd w:id="68"/>
      <w:bookmarkEnd w:id="69"/>
      <w:bookmarkEnd w:id="70"/>
      <w:bookmarkEnd w:id="71"/>
    </w:p>
    <w:p w14:paraId="32028F42">
      <w:pPr>
        <w:pStyle w:val="40"/>
        <w:pageBreakBefore w:val="0"/>
        <w:widowControl w:val="0"/>
        <w:kinsoku/>
        <w:overflowPunct/>
        <w:topLinePunct w:val="0"/>
        <w:autoSpaceDE/>
        <w:autoSpaceDN/>
        <w:bidi w:val="0"/>
        <w:adjustRightInd/>
        <w:snapToGrid/>
        <w:spacing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自招标公告发布之日起5个工作日。</w:t>
      </w:r>
    </w:p>
    <w:p w14:paraId="20DD1AA0">
      <w:pPr>
        <w:pStyle w:val="3"/>
        <w:keepNext/>
        <w:keepLines/>
        <w:pageBreakBefore w:val="0"/>
        <w:widowControl w:val="0"/>
        <w:numPr>
          <w:ilvl w:val="0"/>
          <w:numId w:val="0"/>
        </w:numPr>
        <w:kinsoku/>
        <w:wordWrap/>
        <w:overflowPunct/>
        <w:topLinePunct w:val="0"/>
        <w:autoSpaceDE/>
        <w:autoSpaceDN/>
        <w:bidi w:val="0"/>
        <w:adjustRightInd/>
        <w:snapToGrid/>
        <w:spacing w:before="157" w:beforeLines="50" w:after="157" w:afterLines="50" w:line="360" w:lineRule="auto"/>
        <w:ind w:left="420" w:leftChars="0" w:hanging="420" w:firstLineChars="0"/>
        <w:textAlignment w:val="auto"/>
        <w:rPr>
          <w:rFonts w:hint="eastAsia" w:ascii="宋体" w:hAnsi="宋体" w:eastAsia="宋体" w:cs="宋体"/>
          <w:b/>
          <w:bCs/>
          <w:color w:val="auto"/>
          <w:kern w:val="2"/>
          <w:sz w:val="24"/>
          <w:szCs w:val="24"/>
          <w:highlight w:val="none"/>
          <w:lang w:val="hr-HR" w:eastAsia="zh-CN" w:bidi="ar-SA"/>
        </w:rPr>
      </w:pPr>
      <w:bookmarkStart w:id="72" w:name="_Toc35393804"/>
      <w:bookmarkStart w:id="73" w:name="_Toc109899834"/>
      <w:bookmarkStart w:id="74" w:name="_Toc140132750"/>
      <w:bookmarkStart w:id="75" w:name="_Toc22515"/>
      <w:bookmarkStart w:id="76" w:name="_Toc109899415"/>
      <w:bookmarkStart w:id="77" w:name="_Toc44583634"/>
      <w:bookmarkStart w:id="78" w:name="_Toc35393635"/>
      <w:bookmarkStart w:id="79" w:name="_Toc109900253"/>
      <w:bookmarkStart w:id="80" w:name="_Toc155185865"/>
      <w:r>
        <w:rPr>
          <w:rFonts w:hint="eastAsia" w:ascii="宋体" w:hAnsi="宋体" w:eastAsia="宋体" w:cs="宋体"/>
          <w:b/>
          <w:bCs/>
          <w:color w:val="auto"/>
          <w:kern w:val="2"/>
          <w:sz w:val="24"/>
          <w:szCs w:val="24"/>
          <w:highlight w:val="none"/>
          <w:lang w:val="en-US" w:eastAsia="zh-CN" w:bidi="ar-SA"/>
        </w:rPr>
        <w:t>六、</w:t>
      </w:r>
      <w:r>
        <w:rPr>
          <w:rFonts w:hint="eastAsia" w:ascii="宋体" w:hAnsi="宋体" w:eastAsia="宋体" w:cs="宋体"/>
          <w:b/>
          <w:bCs/>
          <w:color w:val="auto"/>
          <w:kern w:val="2"/>
          <w:sz w:val="24"/>
          <w:szCs w:val="24"/>
          <w:highlight w:val="none"/>
          <w:lang w:val="hr-HR" w:eastAsia="zh-CN" w:bidi="ar-SA"/>
        </w:rPr>
        <w:t>其他补充事宜</w:t>
      </w:r>
      <w:bookmarkEnd w:id="72"/>
      <w:bookmarkEnd w:id="73"/>
      <w:bookmarkEnd w:id="74"/>
      <w:bookmarkEnd w:id="75"/>
      <w:bookmarkEnd w:id="76"/>
      <w:bookmarkEnd w:id="77"/>
      <w:bookmarkEnd w:id="78"/>
      <w:bookmarkEnd w:id="79"/>
      <w:bookmarkEnd w:id="80"/>
    </w:p>
    <w:p w14:paraId="3A6C69D8">
      <w:pPr>
        <w:keepNext w:val="0"/>
        <w:keepLines w:val="0"/>
        <w:pageBreakBefore w:val="0"/>
        <w:widowControl/>
        <w:shd w:val="clear" w:color="auto" w:fill="FFFFFF"/>
        <w:kinsoku/>
        <w:wordWrap w:val="0"/>
        <w:overflowPunct/>
        <w:topLinePunct w:val="0"/>
        <w:autoSpaceDE/>
        <w:autoSpaceDN/>
        <w:bidi w:val="0"/>
        <w:adjustRightInd/>
        <w:snapToGrid/>
        <w:spacing w:line="480" w:lineRule="exact"/>
        <w:ind w:firstLine="480" w:firstLineChars="200"/>
        <w:textAlignment w:val="auto"/>
        <w:rPr>
          <w:rFonts w:hint="eastAsia" w:ascii="宋体" w:hAnsi="宋体" w:eastAsia="宋体" w:cs="宋体"/>
          <w:bCs/>
          <w:kern w:val="0"/>
          <w:sz w:val="24"/>
          <w:szCs w:val="24"/>
          <w:highlight w:val="none"/>
          <w:lang w:eastAsia="zh-CN"/>
        </w:rPr>
      </w:pPr>
      <w:r>
        <w:rPr>
          <w:rFonts w:hint="eastAsia" w:ascii="宋体" w:hAnsi="宋体" w:eastAsia="宋体" w:cs="宋体"/>
          <w:bCs/>
          <w:kern w:val="0"/>
          <w:sz w:val="24"/>
          <w:szCs w:val="24"/>
          <w:highlight w:val="none"/>
          <w:lang w:eastAsia="zh-CN"/>
        </w:rPr>
        <w:t>1、本项目实行网上投标，采用电子投标文件。</w:t>
      </w:r>
    </w:p>
    <w:p w14:paraId="746AC4B3">
      <w:pPr>
        <w:keepNext w:val="0"/>
        <w:keepLines w:val="0"/>
        <w:pageBreakBefore w:val="0"/>
        <w:widowControl/>
        <w:shd w:val="clear" w:color="auto" w:fill="FFFFFF"/>
        <w:kinsoku/>
        <w:wordWrap w:val="0"/>
        <w:overflowPunct/>
        <w:topLinePunct w:val="0"/>
        <w:autoSpaceDE/>
        <w:autoSpaceDN/>
        <w:bidi w:val="0"/>
        <w:adjustRightInd/>
        <w:snapToGrid/>
        <w:spacing w:line="480" w:lineRule="exact"/>
        <w:ind w:firstLine="480" w:firstLineChars="200"/>
        <w:textAlignment w:val="auto"/>
        <w:rPr>
          <w:rFonts w:hint="eastAsia" w:ascii="宋体" w:hAnsi="宋体" w:eastAsia="宋体" w:cs="宋体"/>
          <w:bCs/>
          <w:kern w:val="0"/>
          <w:sz w:val="24"/>
          <w:szCs w:val="24"/>
          <w:highlight w:val="none"/>
          <w:lang w:eastAsia="zh-CN"/>
        </w:rPr>
      </w:pPr>
      <w:r>
        <w:rPr>
          <w:rFonts w:hint="eastAsia" w:ascii="宋体" w:hAnsi="宋体" w:eastAsia="宋体" w:cs="宋体"/>
          <w:bCs/>
          <w:kern w:val="0"/>
          <w:sz w:val="24"/>
          <w:szCs w:val="24"/>
          <w:highlight w:val="none"/>
          <w:lang w:eastAsia="zh-CN"/>
        </w:rPr>
        <w:t>2、各供应商应在开标前确保成为正式注册入库供应商，并完成CA数字证书(符合国密标准)申领。因未注册入库、未办理CA数字证书等原因造成无法投标或投标失败等后果由供应商自行承担。如需咨询，请联系新疆CA服务热线4000921999；翔晟CA服务热线025-66085508。</w:t>
      </w:r>
    </w:p>
    <w:p w14:paraId="3AC90415">
      <w:pPr>
        <w:keepNext w:val="0"/>
        <w:keepLines w:val="0"/>
        <w:pageBreakBefore w:val="0"/>
        <w:widowControl/>
        <w:shd w:val="clear" w:color="auto" w:fill="FFFFFF"/>
        <w:kinsoku/>
        <w:wordWrap w:val="0"/>
        <w:overflowPunct/>
        <w:topLinePunct w:val="0"/>
        <w:autoSpaceDE/>
        <w:autoSpaceDN/>
        <w:bidi w:val="0"/>
        <w:adjustRightInd/>
        <w:snapToGrid/>
        <w:spacing w:line="480" w:lineRule="exact"/>
        <w:ind w:firstLine="480" w:firstLineChars="200"/>
        <w:textAlignment w:val="auto"/>
        <w:rPr>
          <w:rFonts w:hint="eastAsia" w:ascii="宋体" w:hAnsi="宋体" w:eastAsia="宋体" w:cs="宋体"/>
          <w:bCs/>
          <w:kern w:val="0"/>
          <w:sz w:val="24"/>
          <w:szCs w:val="24"/>
          <w:highlight w:val="none"/>
          <w:lang w:eastAsia="zh-CN"/>
        </w:rPr>
      </w:pPr>
      <w:r>
        <w:rPr>
          <w:rFonts w:hint="eastAsia" w:ascii="宋体" w:hAnsi="宋体" w:eastAsia="宋体" w:cs="宋体"/>
          <w:bCs/>
          <w:kern w:val="0"/>
          <w:sz w:val="24"/>
          <w:szCs w:val="24"/>
          <w:highlight w:val="none"/>
          <w:lang w:eastAsia="zh-CN"/>
        </w:rPr>
        <w:t>3、供应商将政采云电子交易客户端下载、安装完成后，可通过账号密码或CA登录客户端进行投标文件的制作。在使用政采云投标客户端时，建议使用WIN7及以上操作系统。</w:t>
      </w:r>
    </w:p>
    <w:p w14:paraId="0D76BA79">
      <w:pPr>
        <w:keepNext w:val="0"/>
        <w:keepLines w:val="0"/>
        <w:pageBreakBefore w:val="0"/>
        <w:widowControl/>
        <w:shd w:val="clear" w:color="auto" w:fill="FFFFFF"/>
        <w:kinsoku/>
        <w:wordWrap w:val="0"/>
        <w:overflowPunct/>
        <w:topLinePunct w:val="0"/>
        <w:autoSpaceDE/>
        <w:autoSpaceDN/>
        <w:bidi w:val="0"/>
        <w:adjustRightInd/>
        <w:snapToGrid/>
        <w:spacing w:line="480" w:lineRule="exact"/>
        <w:ind w:firstLine="480" w:firstLineChars="200"/>
        <w:textAlignment w:val="auto"/>
        <w:rPr>
          <w:rFonts w:hint="eastAsia" w:ascii="宋体" w:hAnsi="宋体" w:eastAsia="宋体" w:cs="宋体"/>
          <w:bCs/>
          <w:kern w:val="0"/>
          <w:sz w:val="24"/>
          <w:szCs w:val="24"/>
          <w:highlight w:val="none"/>
          <w:lang w:eastAsia="zh-CN"/>
        </w:rPr>
      </w:pPr>
      <w:r>
        <w:rPr>
          <w:rFonts w:hint="eastAsia" w:ascii="宋体" w:hAnsi="宋体" w:eastAsia="宋体" w:cs="宋体"/>
          <w:bCs/>
          <w:kern w:val="0"/>
          <w:sz w:val="24"/>
          <w:szCs w:val="24"/>
          <w:highlight w:val="none"/>
          <w:lang w:eastAsia="zh-CN"/>
        </w:rPr>
        <w:t>4、其他事项：如需咨询，</w:t>
      </w:r>
      <w:r>
        <w:rPr>
          <w:rFonts w:hint="eastAsia" w:cs="宋体"/>
          <w:bCs/>
          <w:kern w:val="0"/>
          <w:sz w:val="24"/>
          <w:szCs w:val="24"/>
          <w:highlight w:val="none"/>
          <w:lang w:val="en-US" w:eastAsia="zh-CN"/>
        </w:rPr>
        <w:t>可</w:t>
      </w:r>
      <w:r>
        <w:rPr>
          <w:rFonts w:hint="eastAsia" w:ascii="宋体" w:hAnsi="宋体" w:eastAsia="宋体" w:cs="宋体"/>
          <w:bCs/>
          <w:kern w:val="0"/>
          <w:sz w:val="24"/>
          <w:szCs w:val="24"/>
          <w:highlight w:val="none"/>
          <w:lang w:eastAsia="zh-CN"/>
        </w:rPr>
        <w:t>联系新疆CA服务热线 0991-2819290</w:t>
      </w:r>
      <w:r>
        <w:rPr>
          <w:rFonts w:hint="eastAsia" w:cs="宋体"/>
          <w:bCs/>
          <w:kern w:val="0"/>
          <w:sz w:val="24"/>
          <w:szCs w:val="24"/>
          <w:highlight w:val="none"/>
          <w:lang w:eastAsia="zh-CN"/>
        </w:rPr>
        <w:t>。</w:t>
      </w:r>
    </w:p>
    <w:p w14:paraId="723251BD">
      <w:pPr>
        <w:pStyle w:val="3"/>
        <w:keepNext/>
        <w:keepLines/>
        <w:pageBreakBefore w:val="0"/>
        <w:widowControl w:val="0"/>
        <w:numPr>
          <w:ilvl w:val="0"/>
          <w:numId w:val="0"/>
        </w:numPr>
        <w:kinsoku/>
        <w:wordWrap/>
        <w:overflowPunct/>
        <w:topLinePunct w:val="0"/>
        <w:autoSpaceDE/>
        <w:autoSpaceDN/>
        <w:bidi w:val="0"/>
        <w:adjustRightInd/>
        <w:snapToGrid/>
        <w:spacing w:before="157" w:beforeLines="50" w:after="157" w:afterLines="50" w:line="360" w:lineRule="auto"/>
        <w:ind w:left="420" w:leftChars="0" w:hanging="420" w:firstLineChars="0"/>
        <w:textAlignment w:val="auto"/>
        <w:rPr>
          <w:rFonts w:hint="eastAsia" w:ascii="宋体" w:hAnsi="宋体" w:eastAsia="宋体" w:cs="宋体"/>
          <w:b/>
          <w:bCs/>
          <w:color w:val="auto"/>
          <w:kern w:val="2"/>
          <w:sz w:val="24"/>
          <w:szCs w:val="24"/>
          <w:highlight w:val="none"/>
          <w:lang w:val="hr-HR" w:eastAsia="zh-CN" w:bidi="ar-SA"/>
        </w:rPr>
      </w:pPr>
      <w:bookmarkStart w:id="81" w:name="_Toc44583635"/>
      <w:bookmarkStart w:id="82" w:name="_Toc109899835"/>
      <w:bookmarkStart w:id="83" w:name="_Toc28359018"/>
      <w:bookmarkStart w:id="84" w:name="_Toc35393805"/>
      <w:bookmarkStart w:id="85" w:name="_Toc140132751"/>
      <w:bookmarkStart w:id="86" w:name="_Toc35393636"/>
      <w:bookmarkStart w:id="87" w:name="_Toc28359095"/>
      <w:bookmarkStart w:id="88" w:name="_Toc155185866"/>
      <w:bookmarkStart w:id="89" w:name="_Toc109900254"/>
      <w:bookmarkStart w:id="90" w:name="_Toc109899416"/>
      <w:bookmarkStart w:id="91" w:name="_Toc20894"/>
      <w:r>
        <w:rPr>
          <w:rFonts w:hint="eastAsia" w:ascii="宋体" w:hAnsi="宋体" w:eastAsia="宋体" w:cs="宋体"/>
          <w:b/>
          <w:bCs/>
          <w:color w:val="auto"/>
          <w:kern w:val="2"/>
          <w:sz w:val="24"/>
          <w:szCs w:val="24"/>
          <w:highlight w:val="none"/>
          <w:lang w:val="en-US" w:eastAsia="zh-CN" w:bidi="ar-SA"/>
        </w:rPr>
        <w:t>七、</w:t>
      </w:r>
      <w:bookmarkEnd w:id="81"/>
      <w:bookmarkEnd w:id="82"/>
      <w:bookmarkEnd w:id="83"/>
      <w:bookmarkEnd w:id="84"/>
      <w:bookmarkEnd w:id="85"/>
      <w:bookmarkEnd w:id="86"/>
      <w:bookmarkEnd w:id="87"/>
      <w:bookmarkEnd w:id="88"/>
      <w:bookmarkEnd w:id="89"/>
      <w:bookmarkEnd w:id="90"/>
      <w:r>
        <w:rPr>
          <w:rFonts w:hint="eastAsia" w:ascii="宋体" w:hAnsi="宋体" w:eastAsia="宋体" w:cs="宋体"/>
          <w:b/>
          <w:bCs/>
          <w:color w:val="auto"/>
          <w:kern w:val="2"/>
          <w:sz w:val="24"/>
          <w:szCs w:val="24"/>
          <w:highlight w:val="none"/>
          <w:lang w:val="hr-HR" w:eastAsia="zh-CN" w:bidi="ar-SA"/>
        </w:rPr>
        <w:t>对本次</w:t>
      </w:r>
      <w:r>
        <w:rPr>
          <w:rFonts w:hint="eastAsia" w:ascii="宋体" w:hAnsi="宋体" w:eastAsia="宋体" w:cs="宋体"/>
          <w:b/>
          <w:bCs/>
          <w:color w:val="auto"/>
          <w:kern w:val="2"/>
          <w:sz w:val="24"/>
          <w:szCs w:val="24"/>
          <w:highlight w:val="none"/>
          <w:lang w:val="en-US" w:eastAsia="zh-CN" w:bidi="ar-SA"/>
        </w:rPr>
        <w:t>招标</w:t>
      </w:r>
      <w:r>
        <w:rPr>
          <w:rFonts w:hint="eastAsia" w:ascii="宋体" w:hAnsi="宋体" w:eastAsia="宋体" w:cs="宋体"/>
          <w:b/>
          <w:bCs/>
          <w:color w:val="auto"/>
          <w:kern w:val="2"/>
          <w:sz w:val="24"/>
          <w:szCs w:val="24"/>
          <w:highlight w:val="none"/>
          <w:lang w:val="hr-HR" w:eastAsia="zh-CN" w:bidi="ar-SA"/>
        </w:rPr>
        <w:t>提出询问，请按以下方式联系</w:t>
      </w:r>
      <w:bookmarkEnd w:id="91"/>
    </w:p>
    <w:p w14:paraId="19018A49">
      <w:pPr>
        <w:pStyle w:val="40"/>
        <w:keepNext w:val="0"/>
        <w:keepLines w:val="0"/>
        <w:pageBreakBefore w:val="0"/>
        <w:widowControl w:val="0"/>
        <w:kinsoku/>
        <w:wordWrap w:val="0"/>
        <w:overflowPunct/>
        <w:topLinePunct w:val="0"/>
        <w:autoSpaceDE/>
        <w:autoSpaceDN/>
        <w:bidi w:val="0"/>
        <w:adjustRightInd/>
        <w:snapToGrid/>
        <w:spacing w:line="360" w:lineRule="auto"/>
        <w:ind w:firstLine="482"/>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1.采购人信息</w:t>
      </w:r>
    </w:p>
    <w:p w14:paraId="09ED3A23">
      <w:pPr>
        <w:pStyle w:val="40"/>
        <w:keepNext w:val="0"/>
        <w:keepLines w:val="0"/>
        <w:pageBreakBefore w:val="0"/>
        <w:widowControl w:val="0"/>
        <w:kinsoku/>
        <w:wordWrap w:val="0"/>
        <w:overflowPunct/>
        <w:topLinePunct w:val="0"/>
        <w:autoSpaceDE/>
        <w:autoSpaceDN/>
        <w:bidi w:val="0"/>
        <w:adjustRightInd/>
        <w:snapToGrid/>
        <w:spacing w:line="360" w:lineRule="auto"/>
        <w:ind w:firstLine="482"/>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名 称：新疆医科大学第一附属医院</w:t>
      </w:r>
    </w:p>
    <w:p w14:paraId="44906E8A">
      <w:pPr>
        <w:pStyle w:val="40"/>
        <w:keepNext w:val="0"/>
        <w:keepLines w:val="0"/>
        <w:pageBreakBefore w:val="0"/>
        <w:widowControl w:val="0"/>
        <w:kinsoku/>
        <w:wordWrap w:val="0"/>
        <w:overflowPunct/>
        <w:topLinePunct w:val="0"/>
        <w:autoSpaceDE/>
        <w:autoSpaceDN/>
        <w:bidi w:val="0"/>
        <w:adjustRightInd/>
        <w:snapToGrid/>
        <w:spacing w:line="360" w:lineRule="auto"/>
        <w:ind w:firstLine="482"/>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地 址：</w:t>
      </w:r>
      <w:r>
        <w:rPr>
          <w:rFonts w:hint="eastAsia" w:cs="宋体"/>
          <w:color w:val="auto"/>
          <w:sz w:val="24"/>
          <w:highlight w:val="none"/>
          <w:lang w:val="en-US" w:eastAsia="zh-CN"/>
        </w:rPr>
        <w:t>乌鲁木齐市新医路393号</w:t>
      </w:r>
    </w:p>
    <w:p w14:paraId="55D8B66E">
      <w:pPr>
        <w:pStyle w:val="40"/>
        <w:keepNext w:val="0"/>
        <w:keepLines w:val="0"/>
        <w:pageBreakBefore w:val="0"/>
        <w:widowControl w:val="0"/>
        <w:kinsoku/>
        <w:wordWrap w:val="0"/>
        <w:overflowPunct/>
        <w:topLinePunct w:val="0"/>
        <w:autoSpaceDE/>
        <w:autoSpaceDN/>
        <w:bidi w:val="0"/>
        <w:adjustRightInd/>
        <w:snapToGrid/>
        <w:spacing w:line="360" w:lineRule="auto"/>
        <w:ind w:firstLine="482"/>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联系方式：0991-4362391</w:t>
      </w:r>
    </w:p>
    <w:p w14:paraId="36963A29">
      <w:pPr>
        <w:pStyle w:val="40"/>
        <w:keepNext w:val="0"/>
        <w:keepLines w:val="0"/>
        <w:pageBreakBefore w:val="0"/>
        <w:widowControl w:val="0"/>
        <w:kinsoku/>
        <w:wordWrap w:val="0"/>
        <w:overflowPunct/>
        <w:topLinePunct w:val="0"/>
        <w:autoSpaceDE/>
        <w:autoSpaceDN/>
        <w:bidi w:val="0"/>
        <w:adjustRightInd/>
        <w:snapToGrid/>
        <w:spacing w:line="360" w:lineRule="auto"/>
        <w:ind w:firstLine="482"/>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2.采购代理机构信息</w:t>
      </w:r>
    </w:p>
    <w:p w14:paraId="7C1CA134">
      <w:pPr>
        <w:pStyle w:val="40"/>
        <w:keepNext w:val="0"/>
        <w:keepLines w:val="0"/>
        <w:pageBreakBefore w:val="0"/>
        <w:widowControl w:val="0"/>
        <w:kinsoku/>
        <w:wordWrap w:val="0"/>
        <w:overflowPunct/>
        <w:topLinePunct w:val="0"/>
        <w:autoSpaceDE/>
        <w:autoSpaceDN/>
        <w:bidi w:val="0"/>
        <w:adjustRightInd/>
        <w:snapToGrid/>
        <w:spacing w:line="360" w:lineRule="auto"/>
        <w:ind w:firstLine="482"/>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名 称：</w:t>
      </w:r>
      <w:r>
        <w:rPr>
          <w:rFonts w:hint="eastAsia" w:cs="宋体"/>
          <w:color w:val="auto"/>
          <w:sz w:val="24"/>
          <w:highlight w:val="none"/>
          <w:lang w:val="en-US" w:eastAsia="zh-CN"/>
        </w:rPr>
        <w:t>中招国际招标</w:t>
      </w:r>
      <w:r>
        <w:rPr>
          <w:rFonts w:hint="eastAsia" w:ascii="宋体" w:hAnsi="宋体" w:eastAsia="宋体" w:cs="宋体"/>
          <w:color w:val="auto"/>
          <w:sz w:val="24"/>
          <w:highlight w:val="none"/>
          <w:lang w:val="en-US" w:eastAsia="zh-CN"/>
        </w:rPr>
        <w:t>有限公司</w:t>
      </w:r>
    </w:p>
    <w:p w14:paraId="29138452">
      <w:pPr>
        <w:pStyle w:val="40"/>
        <w:keepNext w:val="0"/>
        <w:keepLines w:val="0"/>
        <w:pageBreakBefore w:val="0"/>
        <w:widowControl w:val="0"/>
        <w:kinsoku/>
        <w:wordWrap w:val="0"/>
        <w:overflowPunct/>
        <w:topLinePunct w:val="0"/>
        <w:autoSpaceDE/>
        <w:autoSpaceDN/>
        <w:bidi w:val="0"/>
        <w:adjustRightInd/>
        <w:snapToGrid/>
        <w:spacing w:line="360" w:lineRule="auto"/>
        <w:ind w:firstLine="482"/>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地 址：新疆乌鲁木齐市486号南湖明珠二期十四栋商业写字楼8楼</w:t>
      </w:r>
    </w:p>
    <w:p w14:paraId="3EF598D3">
      <w:pPr>
        <w:pStyle w:val="40"/>
        <w:keepNext w:val="0"/>
        <w:keepLines w:val="0"/>
        <w:pageBreakBefore w:val="0"/>
        <w:widowControl w:val="0"/>
        <w:kinsoku/>
        <w:wordWrap w:val="0"/>
        <w:overflowPunct/>
        <w:topLinePunct w:val="0"/>
        <w:autoSpaceDE/>
        <w:autoSpaceDN/>
        <w:bidi w:val="0"/>
        <w:adjustRightInd/>
        <w:snapToGrid/>
        <w:spacing w:line="360" w:lineRule="auto"/>
        <w:ind w:firstLine="482"/>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联系方式：18099259977</w:t>
      </w:r>
      <w:r>
        <w:rPr>
          <w:rFonts w:hint="eastAsia" w:cs="宋体"/>
          <w:color w:val="auto"/>
          <w:sz w:val="24"/>
          <w:highlight w:val="none"/>
          <w:lang w:val="en-US" w:eastAsia="zh-CN"/>
        </w:rPr>
        <w:t>、</w:t>
      </w:r>
      <w:r>
        <w:rPr>
          <w:rFonts w:hint="eastAsia" w:ascii="宋体" w:hAnsi="宋体" w:eastAsia="宋体" w:cs="宋体"/>
          <w:color w:val="auto"/>
          <w:sz w:val="24"/>
          <w:highlight w:val="none"/>
          <w:lang w:val="en-US" w:eastAsia="zh-CN"/>
        </w:rPr>
        <w:t xml:space="preserve">17716905655  </w:t>
      </w:r>
    </w:p>
    <w:p w14:paraId="79612413">
      <w:pPr>
        <w:pStyle w:val="40"/>
        <w:keepNext w:val="0"/>
        <w:keepLines w:val="0"/>
        <w:pageBreakBefore w:val="0"/>
        <w:widowControl w:val="0"/>
        <w:kinsoku/>
        <w:wordWrap w:val="0"/>
        <w:overflowPunct/>
        <w:topLinePunct w:val="0"/>
        <w:autoSpaceDE/>
        <w:autoSpaceDN/>
        <w:bidi w:val="0"/>
        <w:adjustRightInd/>
        <w:snapToGrid/>
        <w:spacing w:line="360" w:lineRule="auto"/>
        <w:ind w:firstLine="482"/>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3.项目联系方式</w:t>
      </w:r>
    </w:p>
    <w:p w14:paraId="43F16554">
      <w:pPr>
        <w:pStyle w:val="40"/>
        <w:keepNext w:val="0"/>
        <w:keepLines w:val="0"/>
        <w:pageBreakBefore w:val="0"/>
        <w:widowControl w:val="0"/>
        <w:kinsoku/>
        <w:wordWrap w:val="0"/>
        <w:overflowPunct/>
        <w:topLinePunct w:val="0"/>
        <w:autoSpaceDE/>
        <w:autoSpaceDN/>
        <w:bidi w:val="0"/>
        <w:adjustRightInd/>
        <w:snapToGrid/>
        <w:spacing w:line="360" w:lineRule="auto"/>
        <w:ind w:firstLine="482"/>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 xml:space="preserve">项目联系人：徐中凤、罗燕、陈海云、程建军、师翠婷 </w:t>
      </w:r>
    </w:p>
    <w:p w14:paraId="0270A755">
      <w:pPr>
        <w:pStyle w:val="40"/>
        <w:keepNext w:val="0"/>
        <w:keepLines w:val="0"/>
        <w:pageBreakBefore w:val="0"/>
        <w:widowControl w:val="0"/>
        <w:kinsoku/>
        <w:wordWrap w:val="0"/>
        <w:overflowPunct/>
        <w:topLinePunct w:val="0"/>
        <w:autoSpaceDE/>
        <w:autoSpaceDN/>
        <w:bidi w:val="0"/>
        <w:adjustRightInd/>
        <w:snapToGrid/>
        <w:spacing w:line="360" w:lineRule="auto"/>
        <w:ind w:firstLine="482"/>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电 话：18099259977</w:t>
      </w:r>
      <w:r>
        <w:rPr>
          <w:rFonts w:hint="eastAsia" w:cs="宋体"/>
          <w:color w:val="auto"/>
          <w:sz w:val="24"/>
          <w:highlight w:val="none"/>
          <w:lang w:val="en-US" w:eastAsia="zh-CN"/>
        </w:rPr>
        <w:t>、</w:t>
      </w:r>
      <w:r>
        <w:rPr>
          <w:rFonts w:hint="eastAsia" w:ascii="宋体" w:hAnsi="宋体" w:eastAsia="宋体" w:cs="宋体"/>
          <w:color w:val="auto"/>
          <w:sz w:val="24"/>
          <w:highlight w:val="none"/>
          <w:lang w:val="en-US" w:eastAsia="zh-CN"/>
        </w:rPr>
        <w:t xml:space="preserve">17716905655 </w:t>
      </w:r>
    </w:p>
    <w:p w14:paraId="3ADF3AE0">
      <w:pPr>
        <w:pageBreakBefore w:val="0"/>
        <w:widowControl w:val="0"/>
        <w:kinsoku/>
        <w:overflowPunct/>
        <w:topLinePunct w:val="0"/>
        <w:autoSpaceDE/>
        <w:autoSpaceDN/>
        <w:bidi w:val="0"/>
        <w:adjustRightInd/>
        <w:snapToGrid/>
        <w:spacing w:line="360" w:lineRule="auto"/>
        <w:textAlignment w:val="auto"/>
        <w:rPr>
          <w:rFonts w:hint="eastAsia" w:ascii="宋体" w:hAnsi="宋体" w:eastAsia="宋体" w:cs="宋体"/>
          <w:color w:val="auto"/>
          <w:sz w:val="24"/>
          <w:highlight w:val="none"/>
        </w:rPr>
      </w:pPr>
    </w:p>
    <w:p w14:paraId="3B793992">
      <w:pPr>
        <w:pageBreakBefore w:val="0"/>
        <w:widowControl w:val="0"/>
        <w:kinsoku/>
        <w:overflowPunct/>
        <w:topLinePunct w:val="0"/>
        <w:autoSpaceDE/>
        <w:autoSpaceDN/>
        <w:bidi w:val="0"/>
        <w:adjustRightInd/>
        <w:snapToGrid/>
        <w:spacing w:line="360" w:lineRule="auto"/>
        <w:textAlignment w:val="auto"/>
        <w:rPr>
          <w:rFonts w:hint="eastAsia" w:ascii="宋体" w:hAnsi="宋体" w:eastAsia="宋体" w:cs="宋体"/>
          <w:color w:val="auto"/>
          <w:sz w:val="24"/>
          <w:highlight w:val="none"/>
        </w:rPr>
      </w:pPr>
    </w:p>
    <w:p w14:paraId="4D23FB4C">
      <w:pPr>
        <w:pStyle w:val="2"/>
        <w:keepNext/>
        <w:keepLines/>
        <w:pageBreakBefore w:val="0"/>
        <w:widowControl w:val="0"/>
        <w:numPr>
          <w:ilvl w:val="0"/>
          <w:numId w:val="0"/>
        </w:numPr>
        <w:kinsoku/>
        <w:wordWrap/>
        <w:overflowPunct/>
        <w:topLinePunct w:val="0"/>
        <w:autoSpaceDE/>
        <w:autoSpaceDN/>
        <w:bidi w:val="0"/>
        <w:adjustRightInd/>
        <w:snapToGrid/>
        <w:spacing w:before="220" w:after="220" w:line="480" w:lineRule="auto"/>
        <w:ind w:left="420" w:leftChars="0" w:hanging="420" w:firstLineChars="0"/>
        <w:textAlignment w:val="auto"/>
        <w:rPr>
          <w:rFonts w:hint="eastAsia" w:ascii="宋体" w:hAnsi="宋体" w:eastAsia="宋体" w:cs="宋体"/>
          <w:b/>
          <w:bCs/>
          <w:color w:val="auto"/>
          <w:kern w:val="44"/>
          <w:sz w:val="36"/>
          <w:szCs w:val="36"/>
          <w:highlight w:val="none"/>
          <w:lang w:val="en-US" w:eastAsia="zh-CN" w:bidi="ar-SA"/>
        </w:rPr>
      </w:pPr>
      <w:bookmarkStart w:id="92" w:name="_Toc155185867"/>
      <w:bookmarkStart w:id="93" w:name="_Toc6667"/>
      <w:r>
        <w:rPr>
          <w:rFonts w:hint="eastAsia" w:ascii="宋体" w:hAnsi="宋体" w:eastAsia="宋体" w:cs="宋体"/>
          <w:b/>
          <w:bCs/>
          <w:color w:val="auto"/>
          <w:kern w:val="44"/>
          <w:sz w:val="36"/>
          <w:szCs w:val="36"/>
          <w:highlight w:val="none"/>
          <w:lang w:val="en-US" w:eastAsia="zh-CN" w:bidi="ar-SA"/>
        </w:rPr>
        <w:t>第二章 投标人须知</w:t>
      </w:r>
      <w:bookmarkEnd w:id="92"/>
      <w:bookmarkEnd w:id="93"/>
    </w:p>
    <w:bookmarkEnd w:id="3"/>
    <w:p w14:paraId="5A1F6903">
      <w:pPr>
        <w:pStyle w:val="3"/>
        <w:keepNext/>
        <w:keepLines/>
        <w:pageBreakBefore w:val="0"/>
        <w:widowControl w:val="0"/>
        <w:numPr>
          <w:ilvl w:val="0"/>
          <w:numId w:val="0"/>
        </w:numPr>
        <w:kinsoku/>
        <w:wordWrap/>
        <w:overflowPunct/>
        <w:topLinePunct w:val="0"/>
        <w:autoSpaceDE/>
        <w:autoSpaceDN/>
        <w:bidi w:val="0"/>
        <w:adjustRightInd/>
        <w:snapToGrid/>
        <w:spacing w:before="80" w:after="80" w:line="360" w:lineRule="auto"/>
        <w:ind w:left="420" w:leftChars="0" w:hanging="420" w:firstLineChars="0"/>
        <w:textAlignment w:val="auto"/>
        <w:rPr>
          <w:rFonts w:hint="eastAsia" w:eastAsia="宋体" w:asciiTheme="majorHAnsi" w:hAnsiTheme="majorHAnsi" w:cstheme="majorBidi"/>
          <w:b/>
          <w:bCs/>
          <w:color w:val="auto"/>
          <w:kern w:val="2"/>
          <w:sz w:val="28"/>
          <w:szCs w:val="28"/>
          <w:highlight w:val="none"/>
          <w:lang w:val="en-US" w:eastAsia="zh-CN" w:bidi="ar-SA"/>
        </w:rPr>
      </w:pPr>
      <w:bookmarkStart w:id="94" w:name="_Toc155185868"/>
      <w:bookmarkStart w:id="95" w:name="_Toc6574"/>
      <w:r>
        <w:rPr>
          <w:rFonts w:hint="eastAsia" w:eastAsia="宋体" w:asciiTheme="majorHAnsi" w:hAnsiTheme="majorHAnsi" w:cstheme="majorBidi"/>
          <w:b/>
          <w:bCs/>
          <w:color w:val="auto"/>
          <w:kern w:val="2"/>
          <w:sz w:val="28"/>
          <w:szCs w:val="28"/>
          <w:highlight w:val="none"/>
          <w:lang w:val="en-US" w:eastAsia="zh-CN" w:bidi="ar-SA"/>
        </w:rPr>
        <w:t>一、投标人须知前附表</w:t>
      </w:r>
      <w:bookmarkEnd w:id="94"/>
      <w:bookmarkEnd w:id="95"/>
    </w:p>
    <w:p w14:paraId="7F3ACB7A">
      <w:pPr>
        <w:pStyle w:val="40"/>
        <w:rPr>
          <w:rFonts w:hint="default" w:eastAsia="宋体"/>
          <w:color w:val="auto"/>
          <w:sz w:val="24"/>
          <w:szCs w:val="24"/>
          <w:highlight w:val="none"/>
          <w:lang w:val="en-US" w:eastAsia="zh-CN"/>
        </w:rPr>
      </w:pPr>
      <w:r>
        <w:rPr>
          <w:rFonts w:hint="eastAsia"/>
          <w:color w:val="auto"/>
          <w:sz w:val="24"/>
          <w:szCs w:val="24"/>
          <w:highlight w:val="none"/>
        </w:rPr>
        <w:t>投标人应仔细阅读本招标文件的第二章“投标人须知”，下面所列资料是对“投标人须知”的具体补充和说明</w:t>
      </w:r>
      <w:r>
        <w:rPr>
          <w:rFonts w:hint="eastAsia"/>
          <w:color w:val="auto"/>
          <w:sz w:val="24"/>
          <w:szCs w:val="24"/>
          <w:highlight w:val="none"/>
          <w:lang w:eastAsia="zh-CN"/>
        </w:rPr>
        <w:t>，</w:t>
      </w:r>
      <w:r>
        <w:rPr>
          <w:rFonts w:hint="eastAsia"/>
          <w:color w:val="auto"/>
          <w:sz w:val="24"/>
          <w:szCs w:val="24"/>
          <w:highlight w:val="none"/>
        </w:rPr>
        <w:t>如有矛盾，应以本表为准。</w:t>
      </w:r>
      <w:r>
        <w:rPr>
          <w:rFonts w:hint="eastAsia"/>
          <w:color w:val="auto"/>
          <w:sz w:val="24"/>
          <w:szCs w:val="24"/>
          <w:highlight w:val="none"/>
          <w:lang w:val="en-US" w:eastAsia="zh-CN"/>
        </w:rPr>
        <w:t>标记“</w:t>
      </w:r>
      <w:r>
        <w:rPr>
          <w:rFonts w:hint="eastAsia" w:ascii="宋体" w:hAnsi="宋体" w:eastAsia="宋体"/>
          <w:color w:val="auto"/>
          <w:sz w:val="24"/>
          <w:szCs w:val="24"/>
          <w:highlight w:val="none"/>
          <w:lang w:val="en-US" w:eastAsia="zh-CN"/>
        </w:rPr>
        <w:t>☑”的选项意为适用于本项目，标记“□”的选项意为不适用于本项目。</w:t>
      </w:r>
    </w:p>
    <w:tbl>
      <w:tblPr>
        <w:tblStyle w:val="31"/>
        <w:tblW w:w="9408" w:type="dxa"/>
        <w:tblInd w:w="-352"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57" w:type="dxa"/>
          <w:left w:w="108" w:type="dxa"/>
          <w:bottom w:w="57" w:type="dxa"/>
          <w:right w:w="108" w:type="dxa"/>
        </w:tblCellMar>
      </w:tblPr>
      <w:tblGrid>
        <w:gridCol w:w="970"/>
        <w:gridCol w:w="1738"/>
        <w:gridCol w:w="6700"/>
      </w:tblGrid>
      <w:tr w14:paraId="1B64B25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373" w:hRule="atLeast"/>
          <w:tblHeader/>
        </w:trPr>
        <w:tc>
          <w:tcPr>
            <w:tcW w:w="970" w:type="dxa"/>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14:paraId="4C4440DB">
            <w:pPr>
              <w:pStyle w:val="52"/>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条款号</w:t>
            </w:r>
          </w:p>
        </w:tc>
        <w:tc>
          <w:tcPr>
            <w:tcW w:w="1738" w:type="dxa"/>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14:paraId="0B9EABEB">
            <w:pPr>
              <w:pStyle w:val="52"/>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条款名称</w:t>
            </w:r>
          </w:p>
        </w:tc>
        <w:tc>
          <w:tcPr>
            <w:tcW w:w="6700" w:type="dxa"/>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14:paraId="5C7B3B70">
            <w:pPr>
              <w:pStyle w:val="52"/>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内  容</w:t>
            </w:r>
          </w:p>
        </w:tc>
      </w:tr>
      <w:tr w14:paraId="46137A4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90" w:hRule="atLeast"/>
        </w:trPr>
        <w:tc>
          <w:tcPr>
            <w:tcW w:w="970" w:type="dxa"/>
            <w:vAlign w:val="center"/>
          </w:tcPr>
          <w:p w14:paraId="60441C76">
            <w:pPr>
              <w:pStyle w:val="52"/>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2.5</w:t>
            </w:r>
          </w:p>
        </w:tc>
        <w:tc>
          <w:tcPr>
            <w:tcW w:w="1738" w:type="dxa"/>
            <w:vAlign w:val="center"/>
          </w:tcPr>
          <w:p w14:paraId="3D9DB5F0">
            <w:pPr>
              <w:pStyle w:val="52"/>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核心产品</w:t>
            </w:r>
          </w:p>
        </w:tc>
        <w:tc>
          <w:tcPr>
            <w:tcW w:w="6700" w:type="dxa"/>
            <w:vAlign w:val="center"/>
          </w:tcPr>
          <w:p w14:paraId="7BB22B3E">
            <w:pPr>
              <w:pStyle w:val="52"/>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□本项目</w:t>
            </w: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第__包</w:t>
            </w: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 xml:space="preserve">不适用。 </w:t>
            </w:r>
          </w:p>
          <w:p w14:paraId="3D32C559">
            <w:pPr>
              <w:pStyle w:val="52"/>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本项目</w:t>
            </w: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第</w:t>
            </w:r>
            <w:r>
              <w:rPr>
                <w:rFonts w:hint="eastAsia"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包</w:t>
            </w: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 xml:space="preserve">为单一产品采购项目。 </w:t>
            </w:r>
          </w:p>
          <w:p w14:paraId="6BCC34C0">
            <w:pPr>
              <w:pStyle w:val="52"/>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□本项目</w:t>
            </w: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第__包</w:t>
            </w: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为非单一产品采购项目，其中核心产品为：</w:t>
            </w:r>
            <w:r>
              <w:rPr>
                <w:rFonts w:hint="eastAsia" w:ascii="宋体" w:hAnsi="宋体" w:eastAsia="宋体" w:cs="宋体"/>
                <w:color w:val="auto"/>
                <w:sz w:val="24"/>
                <w:szCs w:val="24"/>
                <w:highlight w:val="none"/>
                <w:u w:val="single"/>
                <w:lang w:val="en-US" w:eastAsia="zh-CN"/>
              </w:rPr>
              <w:t>__</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lang w:val="en-US" w:eastAsia="zh-CN"/>
              </w:rPr>
              <w:t>__</w:t>
            </w:r>
            <w:r>
              <w:rPr>
                <w:rFonts w:hint="eastAsia" w:ascii="宋体" w:hAnsi="宋体" w:eastAsia="宋体" w:cs="宋体"/>
                <w:color w:val="auto"/>
                <w:sz w:val="24"/>
                <w:szCs w:val="24"/>
                <w:highlight w:val="none"/>
                <w:lang w:val="en-US" w:eastAsia="zh-CN"/>
              </w:rPr>
              <w:t>。</w:t>
            </w:r>
          </w:p>
        </w:tc>
      </w:tr>
      <w:tr w14:paraId="2E76369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961" w:hRule="atLeast"/>
        </w:trPr>
        <w:tc>
          <w:tcPr>
            <w:tcW w:w="970" w:type="dxa"/>
            <w:shd w:val="clear" w:color="auto" w:fill="auto"/>
            <w:vAlign w:val="center"/>
          </w:tcPr>
          <w:p w14:paraId="1BF1D896">
            <w:pPr>
              <w:pStyle w:val="52"/>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2.6</w:t>
            </w:r>
          </w:p>
        </w:tc>
        <w:tc>
          <w:tcPr>
            <w:tcW w:w="1738" w:type="dxa"/>
            <w:shd w:val="clear" w:color="auto" w:fill="auto"/>
            <w:vAlign w:val="center"/>
          </w:tcPr>
          <w:p w14:paraId="700F5EE9">
            <w:pPr>
              <w:keepNext w:val="0"/>
              <w:keepLines w:val="0"/>
              <w:widowControl/>
              <w:suppressLineNumbers w:val="0"/>
              <w:spacing w:line="240" w:lineRule="auto"/>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
              </w:rPr>
              <w:t>科研仪器设备</w:t>
            </w:r>
          </w:p>
        </w:tc>
        <w:tc>
          <w:tcPr>
            <w:tcW w:w="6700" w:type="dxa"/>
            <w:shd w:val="clear" w:color="auto" w:fill="auto"/>
            <w:vAlign w:val="center"/>
          </w:tcPr>
          <w:p w14:paraId="0F6FC5C1">
            <w:pPr>
              <w:keepNext w:val="0"/>
              <w:keepLines w:val="0"/>
              <w:widowControl/>
              <w:suppressLineNumbers w:val="0"/>
              <w:spacing w:line="240" w:lineRule="auto"/>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是否属于科研仪器设备采购项目： </w:t>
            </w:r>
          </w:p>
          <w:p w14:paraId="4A1686C7">
            <w:pPr>
              <w:keepNext w:val="0"/>
              <w:keepLines w:val="0"/>
              <w:widowControl/>
              <w:suppressLineNumbers w:val="0"/>
              <w:spacing w:line="240" w:lineRule="auto"/>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kern w:val="0"/>
                <w:sz w:val="24"/>
                <w:szCs w:val="24"/>
                <w:highlight w:val="none"/>
                <w:lang w:val="en-US" w:eastAsia="zh-CN" w:bidi="ar"/>
              </w:rPr>
              <w:t xml:space="preserve">是 </w:t>
            </w:r>
          </w:p>
          <w:p w14:paraId="7C9332C8">
            <w:pPr>
              <w:keepNext w:val="0"/>
              <w:keepLines w:val="0"/>
              <w:widowControl/>
              <w:suppressLineNumbers w:val="0"/>
              <w:spacing w:line="240" w:lineRule="auto"/>
              <w:jc w:val="left"/>
              <w:rPr>
                <w:rFonts w:hint="eastAsia" w:ascii="宋体" w:hAnsi="宋体" w:eastAsia="宋体" w:cs="宋体"/>
                <w:color w:val="auto"/>
                <w:kern w:val="0"/>
                <w:sz w:val="24"/>
                <w:szCs w:val="24"/>
                <w:highlight w:val="none"/>
                <w:lang w:val="en-US" w:eastAsia="zh-CN" w:bidi="ar"/>
              </w:rPr>
            </w:pPr>
            <w:r>
              <w:rPr>
                <w:rFonts w:hint="eastAsia" w:cs="宋体"/>
                <w:color w:val="auto"/>
                <w:sz w:val="24"/>
                <w:szCs w:val="24"/>
                <w:highlight w:val="none"/>
                <w:lang w:val="en-US" w:eastAsia="zh-CN"/>
              </w:rPr>
              <w:t>☑</w:t>
            </w:r>
            <w:r>
              <w:rPr>
                <w:rFonts w:hint="eastAsia" w:ascii="宋体" w:hAnsi="宋体" w:eastAsia="宋体" w:cs="宋体"/>
                <w:color w:val="auto"/>
                <w:kern w:val="0"/>
                <w:sz w:val="24"/>
                <w:szCs w:val="24"/>
                <w:highlight w:val="none"/>
                <w:lang w:val="en-US" w:eastAsia="zh-CN" w:bidi="ar"/>
              </w:rPr>
              <w:t>否</w:t>
            </w:r>
          </w:p>
        </w:tc>
      </w:tr>
      <w:tr w14:paraId="25C4682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1268" w:hRule="atLeast"/>
        </w:trPr>
        <w:tc>
          <w:tcPr>
            <w:tcW w:w="970" w:type="dxa"/>
            <w:vAlign w:val="center"/>
          </w:tcPr>
          <w:p w14:paraId="3A136892">
            <w:pPr>
              <w:pStyle w:val="52"/>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9.1</w:t>
            </w:r>
          </w:p>
        </w:tc>
        <w:tc>
          <w:tcPr>
            <w:tcW w:w="1738" w:type="dxa"/>
            <w:vAlign w:val="center"/>
          </w:tcPr>
          <w:p w14:paraId="117C18AE">
            <w:pPr>
              <w:pStyle w:val="52"/>
              <w:rPr>
                <w:rFonts w:hint="eastAsia" w:ascii="宋体" w:hAnsi="宋体" w:eastAsia="宋体" w:cs="宋体"/>
                <w:color w:val="auto"/>
                <w:sz w:val="24"/>
                <w:szCs w:val="24"/>
                <w:highlight w:val="none"/>
              </w:rPr>
            </w:pPr>
            <w:bookmarkStart w:id="96" w:name="_Hlk143529175"/>
            <w:r>
              <w:rPr>
                <w:rFonts w:hint="eastAsia" w:ascii="宋体" w:hAnsi="宋体" w:eastAsia="宋体" w:cs="宋体"/>
                <w:color w:val="auto"/>
                <w:sz w:val="24"/>
                <w:szCs w:val="24"/>
                <w:highlight w:val="none"/>
              </w:rPr>
              <w:t>现场考察</w:t>
            </w:r>
            <w:bookmarkEnd w:id="96"/>
          </w:p>
        </w:tc>
        <w:tc>
          <w:tcPr>
            <w:tcW w:w="6700" w:type="dxa"/>
            <w:vAlign w:val="center"/>
          </w:tcPr>
          <w:p w14:paraId="36549596">
            <w:pPr>
              <w:pStyle w:val="52"/>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sym w:font="Wingdings" w:char="00FE"/>
            </w:r>
            <w:r>
              <w:rPr>
                <w:rFonts w:hint="eastAsia" w:ascii="宋体" w:hAnsi="宋体" w:eastAsia="宋体" w:cs="宋体"/>
                <w:color w:val="auto"/>
                <w:sz w:val="24"/>
                <w:szCs w:val="24"/>
                <w:highlight w:val="none"/>
              </w:rPr>
              <w:t>不组织，投标人自行前往</w:t>
            </w:r>
            <w:r>
              <w:rPr>
                <w:rFonts w:hint="eastAsia" w:ascii="宋体" w:hAnsi="宋体" w:eastAsia="宋体" w:cs="宋体"/>
                <w:color w:val="auto"/>
                <w:sz w:val="24"/>
                <w:szCs w:val="24"/>
                <w:highlight w:val="none"/>
                <w:lang w:eastAsia="zh-CN"/>
              </w:rPr>
              <w:t>。</w:t>
            </w:r>
          </w:p>
          <w:p w14:paraId="70F71951">
            <w:pPr>
              <w:pStyle w:val="5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rPr>
              <w:t>组织</w:t>
            </w:r>
          </w:p>
          <w:p w14:paraId="0A578DA1">
            <w:pPr>
              <w:pStyle w:val="52"/>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时间：</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6FE8AF39">
            <w:pPr>
              <w:pStyle w:val="52"/>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地点：</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tc>
      </w:tr>
      <w:tr w14:paraId="31CF27F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1235" w:hRule="atLeast"/>
        </w:trPr>
        <w:tc>
          <w:tcPr>
            <w:tcW w:w="970" w:type="dxa"/>
            <w:vAlign w:val="center"/>
          </w:tcPr>
          <w:p w14:paraId="0D95D099">
            <w:pPr>
              <w:pStyle w:val="52"/>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9.5</w:t>
            </w:r>
          </w:p>
        </w:tc>
        <w:tc>
          <w:tcPr>
            <w:tcW w:w="1738" w:type="dxa"/>
            <w:vAlign w:val="center"/>
          </w:tcPr>
          <w:p w14:paraId="4A5FE036">
            <w:pPr>
              <w:pStyle w:val="5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答疑会</w:t>
            </w:r>
          </w:p>
        </w:tc>
        <w:tc>
          <w:tcPr>
            <w:tcW w:w="6700" w:type="dxa"/>
            <w:vAlign w:val="center"/>
          </w:tcPr>
          <w:p w14:paraId="6B78B750">
            <w:pPr>
              <w:pStyle w:val="52"/>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sym w:font="Wingdings" w:char="00FE"/>
            </w:r>
            <w:r>
              <w:rPr>
                <w:rFonts w:hint="eastAsia" w:ascii="宋体" w:hAnsi="宋体" w:eastAsia="宋体" w:cs="宋体"/>
                <w:color w:val="auto"/>
                <w:sz w:val="24"/>
                <w:szCs w:val="24"/>
                <w:highlight w:val="none"/>
              </w:rPr>
              <w:t>不组织</w:t>
            </w:r>
          </w:p>
          <w:p w14:paraId="3C61F0CD">
            <w:pPr>
              <w:pStyle w:val="5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rPr>
              <w:t>组织</w:t>
            </w:r>
          </w:p>
          <w:p w14:paraId="1279EA7E">
            <w:pPr>
              <w:pStyle w:val="52"/>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时间：</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7368AD2C">
            <w:pPr>
              <w:pStyle w:val="52"/>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地点：</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tc>
      </w:tr>
      <w:tr w14:paraId="58EAFCE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vAlign w:val="center"/>
          </w:tcPr>
          <w:p w14:paraId="09017C90">
            <w:pPr>
              <w:pStyle w:val="52"/>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.1</w:t>
            </w:r>
          </w:p>
        </w:tc>
        <w:tc>
          <w:tcPr>
            <w:tcW w:w="1738" w:type="dxa"/>
            <w:vAlign w:val="center"/>
          </w:tcPr>
          <w:p w14:paraId="14B3667D">
            <w:pPr>
              <w:pStyle w:val="52"/>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rPr>
              <w:t>询问</w:t>
            </w:r>
          </w:p>
        </w:tc>
        <w:tc>
          <w:tcPr>
            <w:tcW w:w="6700" w:type="dxa"/>
            <w:vAlign w:val="center"/>
          </w:tcPr>
          <w:p w14:paraId="161E518F">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rPr>
              <w:t>方式：</w:t>
            </w:r>
          </w:p>
          <w:p w14:paraId="08E577BC">
            <w:pPr>
              <w:pStyle w:val="52"/>
              <w:ind w:firstLine="240" w:firstLineChars="1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在</w:t>
            </w:r>
            <w:r>
              <w:rPr>
                <w:rFonts w:hint="eastAsia" w:cs="宋体"/>
                <w:i w:val="0"/>
                <w:iCs w:val="0"/>
                <w:color w:val="auto"/>
                <w:sz w:val="24"/>
                <w:szCs w:val="24"/>
                <w:highlight w:val="none"/>
                <w:lang w:eastAsia="zh-CN"/>
              </w:rPr>
              <w:t>投标人</w:t>
            </w:r>
            <w:r>
              <w:rPr>
                <w:rFonts w:hint="eastAsia" w:ascii="宋体" w:hAnsi="宋体" w:eastAsia="宋体" w:cs="宋体"/>
                <w:i w:val="0"/>
                <w:iCs w:val="0"/>
                <w:color w:val="auto"/>
                <w:sz w:val="24"/>
                <w:szCs w:val="24"/>
                <w:highlight w:val="none"/>
              </w:rPr>
              <w:t>客户端中按照格式填写询问函，并在生成询问函后加盖电子印章提交</w:t>
            </w:r>
            <w:r>
              <w:rPr>
                <w:rFonts w:hint="eastAsia" w:ascii="宋体" w:hAnsi="宋体" w:eastAsia="宋体"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rPr>
              <w:t>其他询问方式：</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lang w:val="en-US" w:eastAsia="zh-CN"/>
              </w:rPr>
              <w:t>电话</w:t>
            </w:r>
            <w:r>
              <w:rPr>
                <w:rFonts w:hint="eastAsia" w:cs="宋体"/>
                <w:i w:val="0"/>
                <w:iCs w:val="0"/>
                <w:color w:val="auto"/>
                <w:sz w:val="24"/>
                <w:szCs w:val="24"/>
                <w:highlight w:val="none"/>
                <w:u w:val="single"/>
                <w:lang w:val="en-US" w:eastAsia="zh-CN"/>
              </w:rPr>
              <w:t>咨询</w:t>
            </w:r>
            <w:r>
              <w:rPr>
                <w:rFonts w:hint="eastAsia" w:ascii="宋体" w:hAnsi="宋体" w:eastAsia="宋体" w:cs="宋体"/>
                <w:i w:val="0"/>
                <w:iCs w:val="0"/>
                <w:color w:val="auto"/>
                <w:sz w:val="24"/>
                <w:szCs w:val="24"/>
                <w:highlight w:val="none"/>
              </w:rPr>
              <w:t>。</w:t>
            </w:r>
          </w:p>
          <w:p w14:paraId="2C08EEF8">
            <w:pPr>
              <w:pStyle w:val="52"/>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时间</w:t>
            </w:r>
            <w:r>
              <w:rPr>
                <w:rFonts w:hint="eastAsia" w:ascii="宋体" w:hAnsi="宋体" w:eastAsia="宋体" w:cs="宋体"/>
                <w:i w:val="0"/>
                <w:iCs w:val="0"/>
                <w:color w:val="auto"/>
                <w:sz w:val="24"/>
                <w:szCs w:val="24"/>
                <w:highlight w:val="none"/>
                <w:lang w:val="en-US" w:eastAsia="zh-CN"/>
              </w:rPr>
              <w:t>要求</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u w:val="single"/>
              </w:rPr>
              <w:t xml:space="preserve"> 每天上午</w:t>
            </w:r>
            <w:r>
              <w:rPr>
                <w:rFonts w:hint="eastAsia" w:ascii="宋体" w:hAnsi="宋体" w:eastAsia="宋体" w:cs="宋体"/>
                <w:i w:val="0"/>
                <w:iCs w:val="0"/>
                <w:color w:val="auto"/>
                <w:sz w:val="24"/>
                <w:szCs w:val="24"/>
                <w:highlight w:val="none"/>
                <w:u w:val="single"/>
                <w:lang w:val="en-US" w:eastAsia="zh-CN"/>
              </w:rPr>
              <w:t>1</w:t>
            </w:r>
            <w:r>
              <w:rPr>
                <w:rFonts w:hint="eastAsia" w:ascii="宋体" w:hAnsi="宋体" w:eastAsia="宋体" w:cs="宋体"/>
                <w:i w:val="0"/>
                <w:iCs w:val="0"/>
                <w:color w:val="auto"/>
                <w:sz w:val="24"/>
                <w:szCs w:val="24"/>
                <w:highlight w:val="none"/>
                <w:u w:val="single"/>
              </w:rPr>
              <w:t>0:00 至1</w:t>
            </w:r>
            <w:r>
              <w:rPr>
                <w:rFonts w:hint="eastAsia" w:ascii="宋体" w:hAnsi="宋体" w:eastAsia="宋体" w:cs="宋体"/>
                <w:i w:val="0"/>
                <w:iCs w:val="0"/>
                <w:color w:val="auto"/>
                <w:sz w:val="24"/>
                <w:szCs w:val="24"/>
                <w:highlight w:val="none"/>
                <w:u w:val="single"/>
                <w:lang w:val="en-US" w:eastAsia="zh-CN"/>
              </w:rPr>
              <w:t>3</w:t>
            </w:r>
            <w:r>
              <w:rPr>
                <w:rFonts w:hint="eastAsia" w:ascii="宋体" w:hAnsi="宋体" w:eastAsia="宋体" w:cs="宋体"/>
                <w:i w:val="0"/>
                <w:iCs w:val="0"/>
                <w:color w:val="auto"/>
                <w:sz w:val="24"/>
                <w:szCs w:val="24"/>
                <w:highlight w:val="none"/>
                <w:u w:val="single"/>
              </w:rPr>
              <w:t>:</w:t>
            </w:r>
            <w:r>
              <w:rPr>
                <w:rFonts w:hint="eastAsia" w:ascii="宋体" w:hAnsi="宋体" w:eastAsia="宋体" w:cs="宋体"/>
                <w:i w:val="0"/>
                <w:iCs w:val="0"/>
                <w:color w:val="auto"/>
                <w:sz w:val="24"/>
                <w:szCs w:val="24"/>
                <w:highlight w:val="none"/>
                <w:u w:val="single"/>
                <w:lang w:val="en-US" w:eastAsia="zh-CN"/>
              </w:rPr>
              <w:t>3</w:t>
            </w:r>
            <w:r>
              <w:rPr>
                <w:rFonts w:hint="eastAsia" w:ascii="宋体" w:hAnsi="宋体" w:eastAsia="宋体" w:cs="宋体"/>
                <w:i w:val="0"/>
                <w:iCs w:val="0"/>
                <w:color w:val="auto"/>
                <w:sz w:val="24"/>
                <w:szCs w:val="24"/>
                <w:highlight w:val="none"/>
                <w:u w:val="single"/>
              </w:rPr>
              <w:t>0，下午</w:t>
            </w:r>
            <w:r>
              <w:rPr>
                <w:rFonts w:hint="eastAsia" w:ascii="宋体" w:hAnsi="宋体" w:eastAsia="宋体" w:cs="宋体"/>
                <w:i w:val="0"/>
                <w:iCs w:val="0"/>
                <w:color w:val="auto"/>
                <w:sz w:val="24"/>
                <w:szCs w:val="24"/>
                <w:highlight w:val="none"/>
                <w:u w:val="single"/>
                <w:lang w:val="en-US" w:eastAsia="zh-CN"/>
              </w:rPr>
              <w:t>15</w:t>
            </w:r>
            <w:r>
              <w:rPr>
                <w:rFonts w:hint="eastAsia" w:ascii="宋体" w:hAnsi="宋体" w:eastAsia="宋体" w:cs="宋体"/>
                <w:i w:val="0"/>
                <w:iCs w:val="0"/>
                <w:color w:val="auto"/>
                <w:sz w:val="24"/>
                <w:szCs w:val="24"/>
                <w:highlight w:val="none"/>
                <w:u w:val="single"/>
              </w:rPr>
              <w:t>:</w:t>
            </w:r>
            <w:r>
              <w:rPr>
                <w:rFonts w:hint="eastAsia" w:ascii="宋体" w:hAnsi="宋体" w:eastAsia="宋体" w:cs="宋体"/>
                <w:i w:val="0"/>
                <w:iCs w:val="0"/>
                <w:color w:val="auto"/>
                <w:sz w:val="24"/>
                <w:szCs w:val="24"/>
                <w:highlight w:val="none"/>
                <w:u w:val="single"/>
                <w:lang w:val="en-US" w:eastAsia="zh-CN"/>
              </w:rPr>
              <w:t>3</w:t>
            </w:r>
            <w:r>
              <w:rPr>
                <w:rFonts w:hint="eastAsia" w:ascii="宋体" w:hAnsi="宋体" w:eastAsia="宋体" w:cs="宋体"/>
                <w:i w:val="0"/>
                <w:iCs w:val="0"/>
                <w:color w:val="auto"/>
                <w:sz w:val="24"/>
                <w:szCs w:val="24"/>
                <w:highlight w:val="none"/>
                <w:u w:val="single"/>
              </w:rPr>
              <w:t>0至</w:t>
            </w:r>
            <w:r>
              <w:rPr>
                <w:rFonts w:hint="eastAsia" w:ascii="宋体" w:hAnsi="宋体" w:eastAsia="宋体" w:cs="宋体"/>
                <w:i w:val="0"/>
                <w:iCs w:val="0"/>
                <w:color w:val="auto"/>
                <w:sz w:val="24"/>
                <w:szCs w:val="24"/>
                <w:highlight w:val="none"/>
                <w:u w:val="single"/>
                <w:lang w:val="en-US" w:eastAsia="zh-CN"/>
              </w:rPr>
              <w:t>19</w:t>
            </w:r>
            <w:r>
              <w:rPr>
                <w:rFonts w:hint="eastAsia" w:ascii="宋体" w:hAnsi="宋体" w:eastAsia="宋体" w:cs="宋体"/>
                <w:i w:val="0"/>
                <w:iCs w:val="0"/>
                <w:color w:val="auto"/>
                <w:sz w:val="24"/>
                <w:szCs w:val="24"/>
                <w:highlight w:val="none"/>
                <w:u w:val="single"/>
              </w:rPr>
              <w:t>:</w:t>
            </w:r>
            <w:r>
              <w:rPr>
                <w:rFonts w:hint="eastAsia" w:ascii="宋体" w:hAnsi="宋体" w:eastAsia="宋体" w:cs="宋体"/>
                <w:i w:val="0"/>
                <w:iCs w:val="0"/>
                <w:color w:val="auto"/>
                <w:sz w:val="24"/>
                <w:szCs w:val="24"/>
                <w:highlight w:val="none"/>
                <w:u w:val="single"/>
                <w:lang w:val="en-US" w:eastAsia="zh-CN"/>
              </w:rPr>
              <w:t>00</w:t>
            </w:r>
            <w:r>
              <w:rPr>
                <w:rFonts w:hint="eastAsia" w:ascii="宋体" w:hAnsi="宋体" w:eastAsia="宋体" w:cs="宋体"/>
                <w:i w:val="0"/>
                <w:iCs w:val="0"/>
                <w:color w:val="auto"/>
                <w:sz w:val="24"/>
                <w:szCs w:val="24"/>
                <w:highlight w:val="none"/>
                <w:u w:val="single"/>
              </w:rPr>
              <w:t xml:space="preserve">（北京时间，法定节假日除外）  </w:t>
            </w:r>
            <w:r>
              <w:rPr>
                <w:rFonts w:hint="eastAsia" w:ascii="宋体" w:hAnsi="宋体" w:eastAsia="宋体" w:cs="宋体"/>
                <w:i w:val="0"/>
                <w:iCs w:val="0"/>
                <w:color w:val="auto"/>
                <w:sz w:val="24"/>
                <w:szCs w:val="24"/>
                <w:highlight w:val="none"/>
              </w:rPr>
              <w:t>。</w:t>
            </w:r>
          </w:p>
        </w:tc>
      </w:tr>
      <w:tr w14:paraId="7576418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888" w:hRule="atLeast"/>
        </w:trPr>
        <w:tc>
          <w:tcPr>
            <w:tcW w:w="970" w:type="dxa"/>
            <w:vAlign w:val="center"/>
          </w:tcPr>
          <w:p w14:paraId="29FE88B9">
            <w:pPr>
              <w:pStyle w:val="52"/>
              <w:jc w:val="center"/>
              <w:rPr>
                <w:rFonts w:hint="default"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14.6</w:t>
            </w:r>
          </w:p>
        </w:tc>
        <w:tc>
          <w:tcPr>
            <w:tcW w:w="1738" w:type="dxa"/>
            <w:vAlign w:val="center"/>
          </w:tcPr>
          <w:p w14:paraId="291C9779">
            <w:pPr>
              <w:pStyle w:val="52"/>
              <w:rPr>
                <w:rFonts w:hint="default" w:ascii="宋体" w:hAnsi="宋体" w:eastAsia="宋体" w:cs="宋体"/>
                <w:i w:val="0"/>
                <w:iCs w:val="0"/>
                <w:color w:val="auto"/>
                <w:sz w:val="24"/>
                <w:szCs w:val="24"/>
                <w:highlight w:val="none"/>
                <w:lang w:val="en-US" w:eastAsia="zh-CN"/>
              </w:rPr>
            </w:pPr>
            <w:r>
              <w:rPr>
                <w:rFonts w:hint="eastAsia" w:cs="宋体"/>
                <w:i w:val="0"/>
                <w:iCs w:val="0"/>
                <w:color w:val="auto"/>
                <w:sz w:val="24"/>
                <w:szCs w:val="24"/>
                <w:highlight w:val="none"/>
                <w:lang w:val="en-US" w:eastAsia="zh-CN"/>
              </w:rPr>
              <w:t>最高限价</w:t>
            </w:r>
          </w:p>
        </w:tc>
        <w:tc>
          <w:tcPr>
            <w:tcW w:w="6700" w:type="dxa"/>
            <w:vAlign w:val="center"/>
          </w:tcPr>
          <w:p w14:paraId="22E6C253">
            <w:pPr>
              <w:pStyle w:val="52"/>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b/>
                <w:bCs w:val="0"/>
                <w:szCs w:val="28"/>
                <w:lang w:val="en-US" w:eastAsia="zh-CN"/>
              </w:rPr>
              <w:t>本项目</w:t>
            </w:r>
            <w:r>
              <w:rPr>
                <w:rFonts w:hint="eastAsia" w:ascii="宋体" w:hAnsi="宋体" w:eastAsia="宋体" w:cs="宋体"/>
                <w:b/>
                <w:bCs w:val="0"/>
                <w:szCs w:val="28"/>
              </w:rPr>
              <w:t>最高投标限价：</w:t>
            </w:r>
            <w:r>
              <w:rPr>
                <w:rFonts w:hint="eastAsia" w:ascii="宋体" w:hAnsi="宋体" w:eastAsia="宋体" w:cs="宋体"/>
                <w:b/>
                <w:bCs w:val="0"/>
                <w:szCs w:val="28"/>
                <w:lang w:val="en-US" w:eastAsia="zh-CN"/>
              </w:rPr>
              <w:t>2</w:t>
            </w:r>
            <w:r>
              <w:rPr>
                <w:rFonts w:hint="eastAsia" w:cs="宋体"/>
                <w:b/>
                <w:bCs w:val="0"/>
                <w:szCs w:val="28"/>
                <w:lang w:val="en-US" w:eastAsia="zh-CN"/>
              </w:rPr>
              <w:t>6</w:t>
            </w:r>
            <w:r>
              <w:rPr>
                <w:rFonts w:hint="eastAsia" w:ascii="宋体" w:hAnsi="宋体" w:eastAsia="宋体" w:cs="宋体"/>
                <w:b/>
                <w:bCs w:val="0"/>
                <w:szCs w:val="28"/>
                <w:lang w:val="en-US" w:eastAsia="zh-CN"/>
              </w:rPr>
              <w:t>000000.00</w:t>
            </w:r>
            <w:r>
              <w:rPr>
                <w:rFonts w:hint="eastAsia" w:ascii="宋体" w:hAnsi="宋体" w:eastAsia="宋体" w:cs="宋体"/>
                <w:b/>
                <w:bCs w:val="0"/>
                <w:szCs w:val="28"/>
              </w:rPr>
              <w:t>元</w:t>
            </w:r>
            <w:r>
              <w:rPr>
                <w:rFonts w:hint="eastAsia" w:ascii="宋体" w:hAnsi="宋体" w:eastAsia="宋体" w:cs="宋体"/>
                <w:b/>
                <w:bCs w:val="0"/>
                <w:szCs w:val="28"/>
                <w:lang w:val="en-US" w:eastAsia="zh-CN"/>
              </w:rPr>
              <w:t>，各投标人报价不得超过上述限价，</w:t>
            </w:r>
            <w:r>
              <w:rPr>
                <w:rFonts w:hint="eastAsia" w:ascii="宋体" w:hAnsi="宋体" w:eastAsia="宋体" w:cs="宋体"/>
                <w:b/>
                <w:bCs w:val="0"/>
                <w:i w:val="0"/>
                <w:iCs w:val="0"/>
                <w:color w:val="auto"/>
                <w:sz w:val="24"/>
                <w:szCs w:val="24"/>
                <w:highlight w:val="none"/>
                <w:lang w:val="en-US" w:eastAsia="zh-CN"/>
              </w:rPr>
              <w:t>否则评标委员会将对其作无效投标处理。</w:t>
            </w:r>
          </w:p>
        </w:tc>
      </w:tr>
      <w:tr w14:paraId="67C3BC2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vAlign w:val="center"/>
          </w:tcPr>
          <w:p w14:paraId="1A104107">
            <w:pPr>
              <w:pStyle w:val="52"/>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.1</w:t>
            </w:r>
          </w:p>
        </w:tc>
        <w:tc>
          <w:tcPr>
            <w:tcW w:w="1738" w:type="dxa"/>
            <w:vAlign w:val="center"/>
          </w:tcPr>
          <w:p w14:paraId="79A1D807">
            <w:pPr>
              <w:pStyle w:val="5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投标有效期</w:t>
            </w:r>
          </w:p>
        </w:tc>
        <w:tc>
          <w:tcPr>
            <w:tcW w:w="6700" w:type="dxa"/>
            <w:vAlign w:val="center"/>
          </w:tcPr>
          <w:p w14:paraId="41DD7733">
            <w:pPr>
              <w:pStyle w:val="5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投标截止</w:t>
            </w:r>
            <w:r>
              <w:rPr>
                <w:rFonts w:hint="eastAsia" w:ascii="宋体" w:hAnsi="宋体" w:eastAsia="宋体" w:cs="宋体"/>
                <w:color w:val="auto"/>
                <w:sz w:val="24"/>
                <w:szCs w:val="24"/>
                <w:highlight w:val="none"/>
                <w:lang w:val="en-US" w:eastAsia="zh-CN"/>
              </w:rPr>
              <w:t>时间</w:t>
            </w:r>
            <w:r>
              <w:rPr>
                <w:rFonts w:hint="eastAsia" w:ascii="宋体" w:hAnsi="宋体" w:eastAsia="宋体" w:cs="宋体"/>
                <w:color w:val="auto"/>
                <w:sz w:val="24"/>
                <w:szCs w:val="24"/>
                <w:highlight w:val="none"/>
              </w:rPr>
              <w:t>后</w:t>
            </w:r>
            <w:r>
              <w:rPr>
                <w:rFonts w:hint="eastAsia" w:ascii="宋体" w:hAnsi="宋体" w:eastAsia="宋体" w:cs="宋体"/>
                <w:color w:val="auto"/>
                <w:sz w:val="24"/>
                <w:szCs w:val="24"/>
                <w:highlight w:val="none"/>
                <w:u w:val="single"/>
              </w:rPr>
              <w:t>90</w:t>
            </w:r>
            <w:r>
              <w:rPr>
                <w:rFonts w:hint="eastAsia" w:ascii="宋体" w:hAnsi="宋体" w:eastAsia="宋体" w:cs="宋体"/>
                <w:color w:val="auto"/>
                <w:sz w:val="24"/>
                <w:szCs w:val="24"/>
                <w:highlight w:val="none"/>
              </w:rPr>
              <w:t>日历日。</w:t>
            </w:r>
          </w:p>
        </w:tc>
      </w:tr>
      <w:tr w14:paraId="05426BC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2357" w:hRule="atLeast"/>
        </w:trPr>
        <w:tc>
          <w:tcPr>
            <w:tcW w:w="970" w:type="dxa"/>
            <w:vAlign w:val="center"/>
          </w:tcPr>
          <w:p w14:paraId="3DB59B05">
            <w:pPr>
              <w:pStyle w:val="52"/>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17.1</w:t>
            </w:r>
          </w:p>
        </w:tc>
        <w:tc>
          <w:tcPr>
            <w:tcW w:w="1738" w:type="dxa"/>
            <w:vAlign w:val="center"/>
          </w:tcPr>
          <w:p w14:paraId="02D54664">
            <w:pPr>
              <w:pStyle w:val="52"/>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投标保证金</w:t>
            </w:r>
          </w:p>
        </w:tc>
        <w:tc>
          <w:tcPr>
            <w:tcW w:w="6700" w:type="dxa"/>
            <w:vAlign w:val="center"/>
          </w:tcPr>
          <w:p w14:paraId="48C62831">
            <w:pPr>
              <w:pStyle w:val="56"/>
              <w:keepNext w:val="0"/>
              <w:keepLines w:val="0"/>
              <w:pageBreakBefore w:val="0"/>
              <w:widowControl w:val="0"/>
              <w:shd w:val="clear" w:color="auto" w:fill="auto"/>
              <w:kinsoku/>
              <w:wordWrap/>
              <w:overflowPunct/>
              <w:topLinePunct w:val="0"/>
              <w:autoSpaceDE/>
              <w:autoSpaceDN/>
              <w:bidi w:val="0"/>
              <w:adjustRightInd/>
              <w:snapToGrid/>
              <w:spacing w:line="340" w:lineRule="exac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rPr>
              <w:t>金额：</w:t>
            </w:r>
          </w:p>
          <w:p w14:paraId="61D21188">
            <w:pPr>
              <w:pStyle w:val="56"/>
              <w:keepNext w:val="0"/>
              <w:keepLines w:val="0"/>
              <w:pageBreakBefore w:val="0"/>
              <w:widowControl w:val="0"/>
              <w:shd w:val="clear" w:color="auto" w:fill="auto"/>
              <w:kinsoku/>
              <w:wordWrap/>
              <w:overflowPunct/>
              <w:topLinePunct w:val="0"/>
              <w:autoSpaceDE/>
              <w:autoSpaceDN/>
              <w:bidi w:val="0"/>
              <w:adjustRightInd/>
              <w:snapToGrid/>
              <w:spacing w:line="340" w:lineRule="exact"/>
              <w:ind w:firstLine="240" w:firstLineChars="100"/>
              <w:textAlignment w:val="auto"/>
              <w:rPr>
                <w:rFonts w:hint="eastAsia" w:ascii="宋体" w:hAnsi="宋体" w:eastAsia="宋体" w:cs="宋体"/>
                <w:i w:val="0"/>
                <w:iCs w:val="0"/>
                <w:color w:val="auto"/>
                <w:sz w:val="24"/>
                <w:szCs w:val="24"/>
                <w:highlight w:val="none"/>
              </w:rPr>
            </w:pPr>
            <w:r>
              <w:rPr>
                <w:rFonts w:hint="eastAsia" w:ascii="宋体" w:hAnsi="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免收</w:t>
            </w:r>
          </w:p>
          <w:p w14:paraId="09CA854C">
            <w:pPr>
              <w:pStyle w:val="56"/>
              <w:keepNext w:val="0"/>
              <w:keepLines w:val="0"/>
              <w:pageBreakBefore w:val="0"/>
              <w:widowControl w:val="0"/>
              <w:shd w:val="clear" w:color="auto" w:fill="auto"/>
              <w:kinsoku/>
              <w:wordWrap/>
              <w:overflowPunct/>
              <w:topLinePunct w:val="0"/>
              <w:autoSpaceDE/>
              <w:autoSpaceDN/>
              <w:bidi w:val="0"/>
              <w:adjustRightInd/>
              <w:snapToGrid/>
              <w:spacing w:line="340" w:lineRule="exact"/>
              <w:ind w:firstLine="240" w:firstLineChars="100"/>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预算金额</w:t>
            </w:r>
            <w:r>
              <w:rPr>
                <w:rFonts w:hint="eastAsia" w:ascii="宋体" w:hAnsi="宋体" w:eastAsia="宋体" w:cs="宋体"/>
                <w:i w:val="0"/>
                <w:iCs w:val="0"/>
                <w:color w:val="auto"/>
                <w:sz w:val="24"/>
                <w:szCs w:val="24"/>
                <w:highlight w:val="none"/>
              </w:rPr>
              <w:t>的</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lang w:eastAsia="zh-CN"/>
              </w:rPr>
              <w:t>。</w:t>
            </w:r>
          </w:p>
          <w:p w14:paraId="5F1DFB7F">
            <w:pPr>
              <w:pStyle w:val="56"/>
              <w:keepNext w:val="0"/>
              <w:keepLines w:val="0"/>
              <w:pageBreakBefore w:val="0"/>
              <w:widowControl w:val="0"/>
              <w:shd w:val="clear" w:color="auto" w:fill="auto"/>
              <w:kinsoku/>
              <w:wordWrap/>
              <w:overflowPunct/>
              <w:topLinePunct w:val="0"/>
              <w:autoSpaceDE/>
              <w:autoSpaceDN/>
              <w:bidi w:val="0"/>
              <w:adjustRightInd/>
              <w:snapToGrid/>
              <w:spacing w:line="340" w:lineRule="exact"/>
              <w:ind w:firstLine="240" w:firstLineChars="100"/>
              <w:textAlignment w:val="auto"/>
              <w:rPr>
                <w:rFonts w:hint="eastAsia" w:ascii="宋体" w:hAnsi="宋体" w:eastAsia="宋体" w:cs="宋体"/>
                <w:i w:val="0"/>
                <w:iCs w:val="0"/>
                <w:color w:val="auto"/>
                <w:sz w:val="24"/>
                <w:szCs w:val="24"/>
                <w:highlight w:val="yellow"/>
                <w:lang w:eastAsia="zh-CN"/>
              </w:rPr>
            </w:pPr>
            <w:r>
              <w:rPr>
                <w:rFonts w:hint="eastAsia" w:ascii="宋体" w:hAnsi="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定额收取：</w:t>
            </w:r>
            <w:r>
              <w:rPr>
                <w:rFonts w:hint="eastAsia" w:ascii="宋体" w:hAnsi="宋体" w:eastAsia="宋体" w:cs="宋体"/>
                <w:i w:val="0"/>
                <w:iCs w:val="0"/>
                <w:color w:val="auto"/>
                <w:sz w:val="24"/>
                <w:szCs w:val="24"/>
                <w:highlight w:val="none"/>
                <w:u w:val="single"/>
              </w:rPr>
              <w:t>人民币</w:t>
            </w:r>
            <w:r>
              <w:rPr>
                <w:rFonts w:hint="eastAsia" w:ascii="宋体" w:hAnsi="宋体" w:cs="宋体"/>
                <w:i w:val="0"/>
                <w:iCs w:val="0"/>
                <w:color w:val="auto"/>
                <w:sz w:val="24"/>
                <w:szCs w:val="24"/>
                <w:highlight w:val="none"/>
                <w:u w:val="single"/>
                <w:lang w:val="en-US" w:eastAsia="zh-CN"/>
              </w:rPr>
              <w:t>200000</w:t>
            </w:r>
            <w:r>
              <w:rPr>
                <w:rFonts w:hint="eastAsia" w:ascii="宋体" w:hAnsi="宋体" w:eastAsia="宋体" w:cs="宋体"/>
                <w:i w:val="0"/>
                <w:iCs w:val="0"/>
                <w:color w:val="auto"/>
                <w:sz w:val="24"/>
                <w:szCs w:val="24"/>
                <w:highlight w:val="none"/>
                <w:u w:val="single"/>
              </w:rPr>
              <w:t>元</w:t>
            </w:r>
            <w:r>
              <w:rPr>
                <w:rFonts w:hint="eastAsia" w:ascii="宋体" w:hAnsi="宋体" w:cs="宋体"/>
                <w:i w:val="0"/>
                <w:iCs w:val="0"/>
                <w:color w:val="auto"/>
                <w:sz w:val="24"/>
                <w:szCs w:val="24"/>
                <w:highlight w:val="none"/>
                <w:u w:val="single"/>
                <w:lang w:eastAsia="zh-CN"/>
              </w:rPr>
              <w:t>（</w:t>
            </w:r>
            <w:r>
              <w:rPr>
                <w:rFonts w:hint="eastAsia" w:ascii="宋体" w:hAnsi="宋体" w:cs="宋体"/>
                <w:i w:val="0"/>
                <w:iCs w:val="0"/>
                <w:color w:val="auto"/>
                <w:sz w:val="24"/>
                <w:szCs w:val="24"/>
                <w:highlight w:val="none"/>
                <w:u w:val="single"/>
                <w:lang w:val="en-US" w:eastAsia="zh-CN"/>
              </w:rPr>
              <w:t>贰拾万元整</w:t>
            </w:r>
            <w:r>
              <w:rPr>
                <w:rFonts w:hint="eastAsia" w:ascii="宋体" w:hAnsi="宋体" w:cs="宋体"/>
                <w:i w:val="0"/>
                <w:iCs w:val="0"/>
                <w:color w:val="auto"/>
                <w:sz w:val="24"/>
                <w:szCs w:val="24"/>
                <w:highlight w:val="none"/>
                <w:u w:val="single"/>
                <w:lang w:eastAsia="zh-CN"/>
              </w:rPr>
              <w:t>）</w:t>
            </w:r>
            <w:r>
              <w:rPr>
                <w:rFonts w:hint="eastAsia" w:ascii="宋体" w:hAnsi="宋体" w:eastAsia="宋体" w:cs="宋体"/>
                <w:i w:val="0"/>
                <w:iCs w:val="0"/>
                <w:color w:val="auto"/>
                <w:sz w:val="24"/>
                <w:szCs w:val="24"/>
                <w:highlight w:val="none"/>
                <w:lang w:eastAsia="zh-CN"/>
              </w:rPr>
              <w:t>。</w:t>
            </w:r>
          </w:p>
          <w:p w14:paraId="39A30F49">
            <w:pPr>
              <w:pStyle w:val="56"/>
              <w:keepNext w:val="0"/>
              <w:keepLines w:val="0"/>
              <w:pageBreakBefore w:val="0"/>
              <w:widowControl w:val="0"/>
              <w:shd w:val="clear" w:color="auto" w:fill="auto"/>
              <w:kinsoku/>
              <w:wordWrap/>
              <w:overflowPunct/>
              <w:topLinePunct w:val="0"/>
              <w:autoSpaceDE/>
              <w:autoSpaceDN/>
              <w:bidi w:val="0"/>
              <w:adjustRightInd/>
              <w:snapToGrid/>
              <w:spacing w:line="340" w:lineRule="exac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w:t>
            </w:r>
            <w:r>
              <w:rPr>
                <w:rFonts w:hint="eastAsia" w:ascii="宋体" w:hAnsi="宋体" w:eastAsia="宋体"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rPr>
              <w:t>支付方式：</w:t>
            </w:r>
          </w:p>
          <w:p w14:paraId="502AF6CC">
            <w:pPr>
              <w:pStyle w:val="56"/>
              <w:keepNext w:val="0"/>
              <w:keepLines w:val="0"/>
              <w:pageBreakBefore w:val="0"/>
              <w:widowControl w:val="0"/>
              <w:shd w:val="clear" w:color="auto" w:fill="auto"/>
              <w:kinsoku/>
              <w:wordWrap/>
              <w:overflowPunct/>
              <w:topLinePunct w:val="0"/>
              <w:autoSpaceDE/>
              <w:autoSpaceDN/>
              <w:bidi w:val="0"/>
              <w:adjustRightInd/>
              <w:snapToGrid/>
              <w:spacing w:line="340" w:lineRule="exact"/>
              <w:ind w:firstLine="240" w:firstLineChars="100"/>
              <w:textAlignment w:val="auto"/>
              <w:rPr>
                <w:rFonts w:hint="eastAsia" w:ascii="宋体" w:hAnsi="宋体" w:eastAsia="宋体" w:cs="宋体"/>
                <w:i w:val="0"/>
                <w:iCs w:val="0"/>
                <w:color w:val="auto"/>
                <w:sz w:val="24"/>
                <w:szCs w:val="24"/>
                <w:highlight w:val="none"/>
              </w:rPr>
            </w:pPr>
            <w:r>
              <w:rPr>
                <w:rFonts w:hint="eastAsia" w:ascii="宋体" w:hAnsi="宋体" w:cs="宋体"/>
                <w:i w:val="0"/>
                <w:iCs w:val="0"/>
                <w:color w:val="auto"/>
                <w:sz w:val="24"/>
                <w:szCs w:val="24"/>
                <w:highlight w:val="none"/>
                <w:lang w:val="en-US" w:eastAsia="zh-CN"/>
              </w:rPr>
              <w:t>投标人</w:t>
            </w:r>
            <w:r>
              <w:rPr>
                <w:rFonts w:hint="eastAsia" w:ascii="宋体" w:hAnsi="宋体" w:eastAsia="宋体" w:cs="宋体"/>
                <w:i w:val="0"/>
                <w:iCs w:val="0"/>
                <w:color w:val="auto"/>
                <w:sz w:val="24"/>
                <w:szCs w:val="24"/>
                <w:highlight w:val="none"/>
                <w:lang w:val="en-US" w:eastAsia="zh-CN"/>
              </w:rPr>
              <w:t>可自主选择以支票、汇票、本票、电汇、转账、网银、保函等非现金形式缴纳或提交保证金。</w:t>
            </w:r>
          </w:p>
          <w:p w14:paraId="174CE741">
            <w:pPr>
              <w:pStyle w:val="56"/>
              <w:keepNext w:val="0"/>
              <w:keepLines w:val="0"/>
              <w:pageBreakBefore w:val="0"/>
              <w:widowControl w:val="0"/>
              <w:shd w:val="clear" w:color="auto" w:fill="auto"/>
              <w:kinsoku/>
              <w:wordWrap/>
              <w:overflowPunct/>
              <w:topLinePunct w:val="0"/>
              <w:autoSpaceDE/>
              <w:autoSpaceDN/>
              <w:bidi w:val="0"/>
              <w:adjustRightInd/>
              <w:snapToGrid/>
              <w:spacing w:line="340" w:lineRule="exac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rPr>
              <w:t>收取单位：</w:t>
            </w:r>
            <w:r>
              <w:rPr>
                <w:rFonts w:hint="eastAsia" w:ascii="宋体" w:hAnsi="宋体" w:cs="宋体"/>
                <w:kern w:val="0"/>
                <w:sz w:val="24"/>
                <w:szCs w:val="24"/>
              </w:rPr>
              <w:t>中招国际招标有限公司新疆分公司</w:t>
            </w:r>
            <w:r>
              <w:rPr>
                <w:rFonts w:hint="eastAsia" w:ascii="宋体" w:hAnsi="宋体" w:eastAsia="宋体" w:cs="宋体"/>
                <w:i w:val="0"/>
                <w:iCs w:val="0"/>
                <w:color w:val="auto"/>
                <w:sz w:val="24"/>
                <w:szCs w:val="24"/>
                <w:highlight w:val="none"/>
              </w:rPr>
              <w:t xml:space="preserve">                            </w:t>
            </w:r>
          </w:p>
          <w:p w14:paraId="22006A7A">
            <w:pPr>
              <w:pStyle w:val="60"/>
              <w:spacing w:line="360" w:lineRule="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4.收取账号：</w:t>
            </w:r>
          </w:p>
          <w:p w14:paraId="58C6A01C">
            <w:pPr>
              <w:pStyle w:val="60"/>
              <w:spacing w:line="360" w:lineRule="auto"/>
              <w:rPr>
                <w:rFonts w:ascii="宋体" w:hAnsi="宋体" w:cs="宋体"/>
                <w:kern w:val="0"/>
                <w:sz w:val="24"/>
                <w:szCs w:val="24"/>
              </w:rPr>
            </w:pPr>
            <w:r>
              <w:rPr>
                <w:rFonts w:hint="eastAsia" w:ascii="宋体" w:hAnsi="宋体" w:cs="宋体"/>
                <w:kern w:val="0"/>
                <w:sz w:val="24"/>
                <w:szCs w:val="24"/>
              </w:rPr>
              <w:t>中国工商银行股份有限公司南湖北路支行</w:t>
            </w:r>
          </w:p>
          <w:p w14:paraId="073942CF">
            <w:pPr>
              <w:pStyle w:val="60"/>
              <w:spacing w:line="360" w:lineRule="auto"/>
              <w:rPr>
                <w:rFonts w:hint="eastAsia" w:ascii="宋体" w:hAnsi="宋体" w:eastAsia="宋体" w:cs="宋体"/>
                <w:i w:val="0"/>
                <w:iCs w:val="0"/>
                <w:color w:val="auto"/>
                <w:sz w:val="24"/>
                <w:szCs w:val="24"/>
                <w:highlight w:val="none"/>
              </w:rPr>
            </w:pPr>
            <w:r>
              <w:rPr>
                <w:rFonts w:hint="eastAsia" w:ascii="宋体" w:hAnsi="宋体" w:cs="宋体"/>
                <w:kern w:val="0"/>
                <w:sz w:val="24"/>
                <w:szCs w:val="24"/>
              </w:rPr>
              <w:t>账号：3002 0128 1910 0057 504</w:t>
            </w:r>
            <w:r>
              <w:rPr>
                <w:rFonts w:hint="eastAsia" w:ascii="宋体" w:hAnsi="宋体" w:eastAsia="宋体" w:cs="宋体"/>
                <w:i w:val="0"/>
                <w:iCs w:val="0"/>
                <w:color w:val="auto"/>
                <w:sz w:val="24"/>
                <w:szCs w:val="24"/>
                <w:highlight w:val="none"/>
              </w:rPr>
              <w:t xml:space="preserve">              </w:t>
            </w:r>
          </w:p>
          <w:p w14:paraId="58F9FA7E">
            <w:pPr>
              <w:pStyle w:val="56"/>
              <w:spacing w:line="340" w:lineRule="exac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退还时间：</w:t>
            </w:r>
            <w:r>
              <w:rPr>
                <w:rFonts w:hint="eastAsia" w:ascii="宋体" w:hAnsi="宋体" w:cs="宋体"/>
                <w:i w:val="0"/>
                <w:iCs w:val="0"/>
                <w:color w:val="auto"/>
                <w:sz w:val="24"/>
                <w:szCs w:val="24"/>
                <w:highlight w:val="none"/>
                <w:lang w:val="en-US" w:eastAsia="zh-CN"/>
              </w:rPr>
              <w:t>中标结果发布后5个工作日内。</w:t>
            </w:r>
            <w:r>
              <w:rPr>
                <w:rFonts w:hint="eastAsia" w:ascii="宋体" w:hAnsi="宋体" w:eastAsia="宋体" w:cs="宋体"/>
                <w:i w:val="0"/>
                <w:iCs w:val="0"/>
                <w:color w:val="auto"/>
                <w:sz w:val="24"/>
                <w:szCs w:val="24"/>
                <w:highlight w:val="none"/>
              </w:rPr>
              <w:t xml:space="preserve">             </w:t>
            </w:r>
          </w:p>
          <w:p w14:paraId="220A1968">
            <w:pPr>
              <w:pStyle w:val="56"/>
              <w:spacing w:line="340" w:lineRule="exact"/>
              <w:rPr>
                <w:rFonts w:hint="eastAsia" w:ascii="宋体" w:hAnsi="宋体" w:eastAsia="宋体" w:cs="宋体"/>
                <w:i w:val="0"/>
                <w:iCs w:val="0"/>
                <w:color w:val="auto"/>
                <w:sz w:val="24"/>
                <w:szCs w:val="24"/>
                <w:highlight w:val="none"/>
              </w:rPr>
            </w:pPr>
            <w:r>
              <w:rPr>
                <w:rFonts w:hint="eastAsia" w:ascii="宋体" w:hAnsi="宋体" w:eastAsia="宋体" w:cs="宋体"/>
                <w:b/>
                <w:bCs/>
                <w:i w:val="0"/>
                <w:iCs w:val="0"/>
                <w:color w:val="auto"/>
                <w:sz w:val="24"/>
                <w:szCs w:val="24"/>
                <w:highlight w:val="none"/>
              </w:rPr>
              <w:t>注意事项：</w:t>
            </w:r>
          </w:p>
          <w:p w14:paraId="587A00FD">
            <w:pPr>
              <w:pStyle w:val="56"/>
              <w:spacing w:line="340" w:lineRule="exact"/>
              <w:ind w:firstLine="240" w:firstLineChars="1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1.以上各类机构出具的以担保函、保证保险承担责任的方式均须满足无条件见索即付条件。</w:t>
            </w:r>
          </w:p>
          <w:p w14:paraId="0C546C80">
            <w:pPr>
              <w:pStyle w:val="56"/>
              <w:spacing w:line="340" w:lineRule="exact"/>
              <w:ind w:firstLine="240" w:firstLineChars="100"/>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t>2.以担保函、保证保险形式缴纳投标保证金的，受益人和收取单位须为采购人。</w:t>
            </w:r>
            <w:r>
              <w:rPr>
                <w:rFonts w:hint="eastAsia" w:ascii="宋体" w:hAnsi="宋体" w:eastAsia="宋体" w:cs="宋体"/>
                <w:i w:val="0"/>
                <w:iCs w:val="0"/>
                <w:color w:val="auto"/>
                <w:sz w:val="24"/>
                <w:szCs w:val="24"/>
                <w:highlight w:val="none"/>
              </w:rPr>
              <w:br w:type="textWrapping"/>
            </w:r>
            <w:r>
              <w:rPr>
                <w:rFonts w:hint="eastAsia" w:ascii="宋体" w:hAnsi="宋体" w:cs="宋体"/>
                <w:i w:val="0"/>
                <w:iCs w:val="0"/>
                <w:color w:val="auto"/>
                <w:sz w:val="24"/>
                <w:szCs w:val="24"/>
                <w:highlight w:val="none"/>
                <w:lang w:val="en-US" w:eastAsia="zh-CN"/>
              </w:rPr>
              <w:t xml:space="preserve">  </w:t>
            </w:r>
            <w:r>
              <w:rPr>
                <w:rFonts w:hint="eastAsia" w:ascii="宋体" w:hAnsi="宋体" w:cs="宋体"/>
                <w:b/>
                <w:bCs/>
                <w:i w:val="0"/>
                <w:iCs w:val="0"/>
                <w:color w:val="auto"/>
                <w:sz w:val="24"/>
                <w:szCs w:val="24"/>
                <w:highlight w:val="none"/>
                <w:lang w:val="en-US" w:eastAsia="zh-CN"/>
              </w:rPr>
              <w:t>3.投标人</w:t>
            </w:r>
            <w:r>
              <w:rPr>
                <w:rFonts w:hint="eastAsia" w:ascii="宋体" w:hAnsi="宋体" w:eastAsia="宋体" w:cs="宋体"/>
                <w:b/>
                <w:bCs/>
                <w:i w:val="0"/>
                <w:iCs w:val="0"/>
                <w:color w:val="auto"/>
                <w:sz w:val="24"/>
                <w:szCs w:val="24"/>
                <w:highlight w:val="none"/>
              </w:rPr>
              <w:t>以</w:t>
            </w:r>
            <w:r>
              <w:rPr>
                <w:rFonts w:hint="eastAsia" w:ascii="宋体" w:hAnsi="宋体" w:eastAsia="宋体" w:cs="宋体"/>
                <w:b/>
                <w:bCs/>
                <w:i w:val="0"/>
                <w:iCs w:val="0"/>
                <w:color w:val="auto"/>
                <w:sz w:val="24"/>
                <w:szCs w:val="24"/>
                <w:highlight w:val="none"/>
                <w:lang w:val="en-US" w:eastAsia="zh-CN"/>
              </w:rPr>
              <w:t>保证金</w:t>
            </w:r>
            <w:r>
              <w:rPr>
                <w:rFonts w:hint="eastAsia" w:ascii="宋体" w:hAnsi="宋体" w:eastAsia="宋体" w:cs="宋体"/>
                <w:b/>
                <w:bCs/>
                <w:i w:val="0"/>
                <w:iCs w:val="0"/>
                <w:color w:val="auto"/>
                <w:sz w:val="24"/>
                <w:szCs w:val="24"/>
                <w:highlight w:val="none"/>
              </w:rPr>
              <w:t>形式缴纳</w:t>
            </w:r>
            <w:r>
              <w:rPr>
                <w:rFonts w:hint="eastAsia" w:ascii="宋体" w:hAnsi="宋体" w:cs="宋体"/>
                <w:b/>
                <w:bCs/>
                <w:i w:val="0"/>
                <w:iCs w:val="0"/>
                <w:color w:val="auto"/>
                <w:sz w:val="24"/>
                <w:szCs w:val="24"/>
                <w:highlight w:val="none"/>
                <w:lang w:val="en-US" w:eastAsia="zh-CN"/>
              </w:rPr>
              <w:t>投标</w:t>
            </w:r>
            <w:r>
              <w:rPr>
                <w:rFonts w:hint="eastAsia" w:ascii="宋体" w:hAnsi="宋体" w:eastAsia="宋体" w:cs="宋体"/>
                <w:b/>
                <w:bCs/>
                <w:i w:val="0"/>
                <w:iCs w:val="0"/>
                <w:color w:val="auto"/>
                <w:sz w:val="24"/>
                <w:szCs w:val="24"/>
                <w:highlight w:val="none"/>
              </w:rPr>
              <w:t>保证金的</w:t>
            </w:r>
            <w:r>
              <w:rPr>
                <w:rFonts w:hint="eastAsia" w:ascii="宋体" w:hAnsi="宋体" w:cs="宋体"/>
                <w:b/>
                <w:bCs/>
                <w:i w:val="0"/>
                <w:iCs w:val="0"/>
                <w:color w:val="auto"/>
                <w:sz w:val="24"/>
                <w:szCs w:val="24"/>
                <w:highlight w:val="none"/>
                <w:lang w:val="en-US" w:eastAsia="zh-CN"/>
              </w:rPr>
              <w:t>时请在汇款时注明“项目编号”，对因未注明项目简称及汇款事由而造成保证金不能及时到账的，后果由投标人自负。</w:t>
            </w:r>
          </w:p>
        </w:tc>
      </w:tr>
      <w:tr w14:paraId="4501EC8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3603" w:hRule="atLeast"/>
        </w:trPr>
        <w:tc>
          <w:tcPr>
            <w:tcW w:w="970" w:type="dxa"/>
            <w:vAlign w:val="center"/>
          </w:tcPr>
          <w:p w14:paraId="0FAEE6C9">
            <w:pPr>
              <w:pStyle w:val="52"/>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2</w:t>
            </w:r>
          </w:p>
        </w:tc>
        <w:tc>
          <w:tcPr>
            <w:tcW w:w="1738" w:type="dxa"/>
            <w:vAlign w:val="center"/>
          </w:tcPr>
          <w:p w14:paraId="1A5D11C5">
            <w:pPr>
              <w:pStyle w:val="5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实物样品</w:t>
            </w:r>
          </w:p>
        </w:tc>
        <w:tc>
          <w:tcPr>
            <w:tcW w:w="6700" w:type="dxa"/>
            <w:vAlign w:val="center"/>
          </w:tcPr>
          <w:p w14:paraId="29F70D2B">
            <w:pPr>
              <w:pStyle w:val="5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投标样品递交： </w:t>
            </w:r>
          </w:p>
          <w:p w14:paraId="08448385">
            <w:pPr>
              <w:pStyle w:val="52"/>
              <w:rPr>
                <w:rFonts w:hint="eastAsia" w:ascii="宋体" w:hAnsi="宋体" w:eastAsia="宋体" w:cs="宋体"/>
                <w:color w:val="auto"/>
                <w:sz w:val="24"/>
                <w:szCs w:val="24"/>
                <w:highlight w:val="none"/>
              </w:rPr>
            </w:pP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 xml:space="preserve">不需要 </w:t>
            </w:r>
          </w:p>
          <w:p w14:paraId="75ABDCC9">
            <w:pPr>
              <w:pStyle w:val="5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□需要，具体要求如下： </w:t>
            </w:r>
          </w:p>
          <w:p w14:paraId="45E00831">
            <w:pPr>
              <w:pStyle w:val="5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1.样品制作的标准和要求：___</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lang w:val="en-US" w:eastAsia="zh-CN"/>
              </w:rPr>
              <w:t xml:space="preserve">_____； </w:t>
            </w:r>
          </w:p>
          <w:p w14:paraId="636410A9">
            <w:pPr>
              <w:pStyle w:val="5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2.是否需要随样品提交相关检测报告： </w:t>
            </w:r>
          </w:p>
          <w:p w14:paraId="4042F79A">
            <w:pPr>
              <w:pStyle w:val="52"/>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□不需要 </w:t>
            </w:r>
          </w:p>
          <w:p w14:paraId="69ACDCB3">
            <w:pPr>
              <w:pStyle w:val="52"/>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□需要 </w:t>
            </w:r>
          </w:p>
          <w:p w14:paraId="2365C0AF">
            <w:pPr>
              <w:pStyle w:val="52"/>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3.样品递交要求：递交时间：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w:t>
            </w:r>
          </w:p>
          <w:p w14:paraId="0C201764">
            <w:pPr>
              <w:pStyle w:val="5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递交</w:t>
            </w:r>
            <w:r>
              <w:rPr>
                <w:rFonts w:hint="eastAsia" w:ascii="宋体" w:hAnsi="宋体" w:eastAsia="宋体" w:cs="宋体"/>
                <w:color w:val="auto"/>
                <w:sz w:val="24"/>
                <w:szCs w:val="24"/>
                <w:highlight w:val="none"/>
              </w:rPr>
              <w:t>地点：</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，逾期提供的样品将不予接受。</w:t>
            </w:r>
            <w:r>
              <w:rPr>
                <w:rFonts w:hint="eastAsia" w:ascii="宋体" w:hAnsi="宋体" w:eastAsia="宋体" w:cs="宋体"/>
                <w:color w:val="auto"/>
                <w:sz w:val="24"/>
                <w:szCs w:val="24"/>
                <w:highlight w:val="none"/>
                <w:lang w:val="en-US" w:eastAsia="zh-CN"/>
              </w:rPr>
              <w:t xml:space="preserve"> </w:t>
            </w:r>
          </w:p>
          <w:p w14:paraId="20C6A605">
            <w:pPr>
              <w:pStyle w:val="5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4.未中标人样品退还：</w:t>
            </w:r>
            <w:r>
              <w:rPr>
                <w:rFonts w:hint="eastAsia" w:ascii="宋体" w:hAnsi="宋体" w:eastAsia="宋体" w:cs="宋体"/>
                <w:color w:val="auto"/>
                <w:sz w:val="24"/>
                <w:szCs w:val="24"/>
                <w:highlight w:val="none"/>
                <w:u w:val="single"/>
                <w:lang w:val="en-US" w:eastAsia="zh-CN"/>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 xml:space="preserve">； </w:t>
            </w:r>
          </w:p>
          <w:p w14:paraId="2FA55552">
            <w:pPr>
              <w:pStyle w:val="5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5.中标人样品保管、封存及退还：____</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lang w:val="en-US" w:eastAsia="zh-CN"/>
              </w:rPr>
              <w:t xml:space="preserve">_____； </w:t>
            </w:r>
          </w:p>
          <w:p w14:paraId="5F60BBB0">
            <w:pPr>
              <w:pStyle w:val="5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6.其他要求（如有）：___</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lang w:val="en-US" w:eastAsia="zh-CN"/>
              </w:rPr>
              <w:t xml:space="preserve">______。 </w:t>
            </w:r>
          </w:p>
        </w:tc>
      </w:tr>
      <w:tr w14:paraId="1C643F0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vAlign w:val="center"/>
          </w:tcPr>
          <w:p w14:paraId="03DA43E2">
            <w:pPr>
              <w:pStyle w:val="52"/>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.1</w:t>
            </w:r>
          </w:p>
        </w:tc>
        <w:tc>
          <w:tcPr>
            <w:tcW w:w="1738" w:type="dxa"/>
            <w:vAlign w:val="center"/>
          </w:tcPr>
          <w:p w14:paraId="22504622">
            <w:pPr>
              <w:pStyle w:val="5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演示</w:t>
            </w:r>
          </w:p>
        </w:tc>
        <w:tc>
          <w:tcPr>
            <w:tcW w:w="6700" w:type="dxa"/>
            <w:vAlign w:val="center"/>
          </w:tcPr>
          <w:p w14:paraId="7B2FDAC1">
            <w:pPr>
              <w:pStyle w:val="5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sym w:font="Wingdings" w:char="00FE"/>
            </w:r>
            <w:r>
              <w:rPr>
                <w:rFonts w:hint="eastAsia" w:ascii="宋体" w:hAnsi="宋体" w:eastAsia="宋体" w:cs="宋体"/>
                <w:color w:val="auto"/>
                <w:sz w:val="24"/>
                <w:szCs w:val="24"/>
                <w:highlight w:val="none"/>
              </w:rPr>
              <w:t>不进行</w:t>
            </w:r>
          </w:p>
          <w:p w14:paraId="7B0141AF">
            <w:pPr>
              <w:pStyle w:val="5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rPr>
              <w:t>进行，远程线上演示/现场演示</w:t>
            </w:r>
          </w:p>
          <w:p w14:paraId="29D1FB67">
            <w:pPr>
              <w:pStyle w:val="52"/>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1.演示时间不得超过</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分钟；</w:t>
            </w:r>
          </w:p>
          <w:p w14:paraId="0D5B188D">
            <w:pPr>
              <w:pStyle w:val="52"/>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2.进行远程线上演示的，投标人应提前自行准备好演示的软硬配置环境和网络环境，做好演示的各项准备工作。因投标人自身原因无法演示或者演示效果不理想的，导致的后果由投标人自行承担；</w:t>
            </w:r>
          </w:p>
          <w:p w14:paraId="34ED7966">
            <w:pPr>
              <w:pStyle w:val="52"/>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3.进行现场演示的，演示人员不得超过</w:t>
            </w:r>
            <w:r>
              <w:rPr>
                <w:rFonts w:hint="eastAsia" w:ascii="宋体" w:hAnsi="宋体" w:eastAsia="宋体" w:cs="宋体"/>
                <w:color w:val="auto"/>
                <w:sz w:val="24"/>
                <w:szCs w:val="24"/>
                <w:highlight w:val="none"/>
                <w:u w:val="single"/>
                <w:lang w:val="en-US" w:eastAsia="zh-CN"/>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人，演示现场提供</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tc>
      </w:tr>
      <w:tr w14:paraId="0976428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885" w:hRule="atLeast"/>
        </w:trPr>
        <w:tc>
          <w:tcPr>
            <w:tcW w:w="970" w:type="dxa"/>
            <w:vAlign w:val="center"/>
          </w:tcPr>
          <w:p w14:paraId="4CE72DC4">
            <w:pPr>
              <w:pStyle w:val="52"/>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.3</w:t>
            </w:r>
          </w:p>
        </w:tc>
        <w:tc>
          <w:tcPr>
            <w:tcW w:w="1738" w:type="dxa"/>
            <w:vAlign w:val="center"/>
          </w:tcPr>
          <w:p w14:paraId="35FB661A">
            <w:pPr>
              <w:pStyle w:val="5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解密投标文件的时限</w:t>
            </w:r>
          </w:p>
        </w:tc>
        <w:tc>
          <w:tcPr>
            <w:tcW w:w="6700" w:type="dxa"/>
            <w:vAlign w:val="center"/>
          </w:tcPr>
          <w:p w14:paraId="44601FEC">
            <w:pPr>
              <w:pStyle w:val="5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不见面开标默认解密时长：</w:t>
            </w:r>
            <w:r>
              <w:rPr>
                <w:rFonts w:hint="eastAsia" w:ascii="宋体" w:hAnsi="宋体" w:eastAsia="宋体" w:cs="宋体"/>
                <w:color w:val="auto"/>
                <w:sz w:val="24"/>
                <w:szCs w:val="24"/>
                <w:highlight w:val="none"/>
                <w:u w:val="single"/>
                <w:lang w:val="en-US" w:eastAsia="zh-CN"/>
              </w:rPr>
              <w:t xml:space="preserve">  </w:t>
            </w:r>
            <w:r>
              <w:rPr>
                <w:rFonts w:hint="eastAsia" w:cs="宋体"/>
                <w:color w:val="auto"/>
                <w:sz w:val="24"/>
                <w:szCs w:val="24"/>
                <w:highlight w:val="none"/>
                <w:u w:val="single"/>
                <w:lang w:val="en-US" w:eastAsia="zh-CN"/>
              </w:rPr>
              <w:t>30</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分钟。</w:t>
            </w:r>
            <w:r>
              <w:rPr>
                <w:rFonts w:hint="eastAsia" w:ascii="宋体" w:hAnsi="宋体" w:eastAsia="宋体" w:cs="宋体"/>
                <w:color w:val="auto"/>
                <w:sz w:val="24"/>
                <w:szCs w:val="24"/>
                <w:highlight w:val="none"/>
              </w:rPr>
              <w:t xml:space="preserve"> </w:t>
            </w:r>
          </w:p>
          <w:p w14:paraId="01B25268">
            <w:pPr>
              <w:pStyle w:val="5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除因交易平台发生故障导致投标文件无法按时解密外，投标文件未按时解密的，视为未按规定提交投标文件。</w:t>
            </w:r>
          </w:p>
        </w:tc>
      </w:tr>
      <w:tr w14:paraId="79EC872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90" w:hRule="atLeast"/>
        </w:trPr>
        <w:tc>
          <w:tcPr>
            <w:tcW w:w="970" w:type="dxa"/>
            <w:vAlign w:val="center"/>
          </w:tcPr>
          <w:p w14:paraId="23FC94CD">
            <w:pPr>
              <w:pStyle w:val="52"/>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29.1</w:t>
            </w:r>
          </w:p>
        </w:tc>
        <w:tc>
          <w:tcPr>
            <w:tcW w:w="1738" w:type="dxa"/>
            <w:vAlign w:val="center"/>
          </w:tcPr>
          <w:p w14:paraId="5A1E858C">
            <w:pPr>
              <w:pStyle w:val="52"/>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评标方法</w:t>
            </w:r>
          </w:p>
        </w:tc>
        <w:tc>
          <w:tcPr>
            <w:tcW w:w="6700" w:type="dxa"/>
            <w:vAlign w:val="center"/>
          </w:tcPr>
          <w:p w14:paraId="49F2488F">
            <w:pPr>
              <w:pStyle w:val="52"/>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sym w:font="Wingdings" w:char="00FE"/>
            </w:r>
            <w:r>
              <w:rPr>
                <w:rFonts w:hint="eastAsia" w:ascii="宋体" w:hAnsi="宋体" w:eastAsia="宋体" w:cs="宋体"/>
                <w:color w:val="auto"/>
                <w:sz w:val="24"/>
                <w:szCs w:val="24"/>
                <w:highlight w:val="none"/>
                <w:lang w:val="en-US" w:eastAsia="zh-CN"/>
              </w:rPr>
              <w:t>综合评分法</w:t>
            </w:r>
          </w:p>
          <w:p w14:paraId="63A64BEE">
            <w:pPr>
              <w:pStyle w:val="52"/>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val="en-US" w:eastAsia="zh-CN"/>
              </w:rPr>
              <w:t>最低评标价法</w:t>
            </w:r>
          </w:p>
        </w:tc>
      </w:tr>
      <w:tr w14:paraId="5A08727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567" w:hRule="atLeast"/>
        </w:trPr>
        <w:tc>
          <w:tcPr>
            <w:tcW w:w="970" w:type="dxa"/>
            <w:vAlign w:val="center"/>
          </w:tcPr>
          <w:p w14:paraId="42D57B39">
            <w:pPr>
              <w:pStyle w:val="52"/>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29</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p>
        </w:tc>
        <w:tc>
          <w:tcPr>
            <w:tcW w:w="1738" w:type="dxa"/>
            <w:vAlign w:val="center"/>
          </w:tcPr>
          <w:p w14:paraId="109515DE">
            <w:pPr>
              <w:pStyle w:val="5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推荐中标候选人</w:t>
            </w:r>
          </w:p>
        </w:tc>
        <w:tc>
          <w:tcPr>
            <w:tcW w:w="6700" w:type="dxa"/>
            <w:vAlign w:val="center"/>
          </w:tcPr>
          <w:p w14:paraId="0DB0E73E">
            <w:pPr>
              <w:pStyle w:val="5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中标候选人数量</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cs="宋体"/>
                <w:color w:val="auto"/>
                <w:sz w:val="24"/>
                <w:szCs w:val="24"/>
                <w:highlight w:val="none"/>
                <w:u w:val="single"/>
                <w:lang w:val="en-US" w:eastAsia="zh-CN"/>
              </w:rPr>
              <w:t>3</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家</w:t>
            </w:r>
          </w:p>
        </w:tc>
      </w:tr>
      <w:tr w14:paraId="176C1C0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613" w:hRule="atLeast"/>
        </w:trPr>
        <w:tc>
          <w:tcPr>
            <w:tcW w:w="970" w:type="dxa"/>
            <w:vAlign w:val="center"/>
          </w:tcPr>
          <w:p w14:paraId="4EEEE9B4">
            <w:pPr>
              <w:pStyle w:val="52"/>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.1</w:t>
            </w:r>
          </w:p>
        </w:tc>
        <w:tc>
          <w:tcPr>
            <w:tcW w:w="1738" w:type="dxa"/>
            <w:vAlign w:val="center"/>
          </w:tcPr>
          <w:p w14:paraId="266C355B">
            <w:pPr>
              <w:pStyle w:val="5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确定中标人</w:t>
            </w:r>
          </w:p>
        </w:tc>
        <w:tc>
          <w:tcPr>
            <w:tcW w:w="6700" w:type="dxa"/>
            <w:vAlign w:val="center"/>
          </w:tcPr>
          <w:p w14:paraId="3AF868A2">
            <w:pPr>
              <w:pStyle w:val="5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FE"/>
            </w:r>
            <w:r>
              <w:rPr>
                <w:rFonts w:hint="eastAsia" w:ascii="宋体" w:hAnsi="宋体" w:eastAsia="宋体" w:cs="宋体"/>
                <w:color w:val="auto"/>
                <w:sz w:val="24"/>
                <w:szCs w:val="24"/>
                <w:highlight w:val="none"/>
              </w:rPr>
              <w:t>采购人按评</w:t>
            </w:r>
            <w:r>
              <w:rPr>
                <w:rFonts w:hint="eastAsia" w:cs="宋体"/>
                <w:color w:val="auto"/>
                <w:sz w:val="24"/>
                <w:szCs w:val="24"/>
                <w:highlight w:val="none"/>
                <w:lang w:val="en-US" w:eastAsia="zh-CN"/>
              </w:rPr>
              <w:t>标</w:t>
            </w:r>
            <w:r>
              <w:rPr>
                <w:rFonts w:hint="eastAsia" w:ascii="宋体" w:hAnsi="宋体" w:eastAsia="宋体" w:cs="宋体"/>
                <w:color w:val="auto"/>
                <w:sz w:val="24"/>
                <w:szCs w:val="24"/>
                <w:highlight w:val="none"/>
              </w:rPr>
              <w:t>报告中推荐的中标候选人排序确定中标人。</w:t>
            </w:r>
          </w:p>
          <w:p w14:paraId="0911185A">
            <w:pPr>
              <w:pStyle w:val="5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rPr>
              <w:t>采购人委托评标委员会直接确定中标人。</w:t>
            </w:r>
          </w:p>
        </w:tc>
      </w:tr>
      <w:tr w14:paraId="6F937C3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1201" w:hRule="atLeast"/>
        </w:trPr>
        <w:tc>
          <w:tcPr>
            <w:tcW w:w="970" w:type="dxa"/>
            <w:vAlign w:val="center"/>
          </w:tcPr>
          <w:p w14:paraId="7325020F">
            <w:pPr>
              <w:pStyle w:val="52"/>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30.2</w:t>
            </w:r>
          </w:p>
          <w:p w14:paraId="55F094A5">
            <w:pPr>
              <w:pStyle w:val="52"/>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30.3</w:t>
            </w:r>
          </w:p>
        </w:tc>
        <w:tc>
          <w:tcPr>
            <w:tcW w:w="1738" w:type="dxa"/>
            <w:vAlign w:val="center"/>
          </w:tcPr>
          <w:p w14:paraId="1B13E6FA">
            <w:pPr>
              <w:pStyle w:val="52"/>
              <w:rPr>
                <w:rFonts w:hint="eastAsia" w:ascii="宋体" w:hAnsi="宋体" w:eastAsia="宋体" w:cs="宋体"/>
                <w:color w:val="auto"/>
                <w:sz w:val="24"/>
                <w:szCs w:val="24"/>
                <w:highlight w:val="none"/>
                <w:lang w:val="en-US"/>
              </w:rPr>
            </w:pPr>
            <w:r>
              <w:rPr>
                <w:rFonts w:hint="eastAsia" w:ascii="宋体" w:hAnsi="宋体" w:eastAsia="宋体" w:cs="宋体"/>
                <w:color w:val="auto"/>
                <w:kern w:val="0"/>
                <w:sz w:val="24"/>
                <w:szCs w:val="24"/>
                <w:highlight w:val="none"/>
                <w:lang w:val="en-US" w:eastAsia="zh-CN" w:bidi="ar"/>
              </w:rPr>
              <w:t>提供相同品牌产品的不同投标人确定中标候选人的规定</w:t>
            </w:r>
          </w:p>
        </w:tc>
        <w:tc>
          <w:tcPr>
            <w:tcW w:w="6700" w:type="dxa"/>
            <w:vAlign w:val="center"/>
          </w:tcPr>
          <w:p w14:paraId="1B566793">
            <w:pPr>
              <w:pStyle w:val="52"/>
              <w:ind w:firstLine="480" w:firstLineChars="200"/>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z w:val="24"/>
                <w:szCs w:val="24"/>
                <w:highlight w:val="none"/>
              </w:rPr>
              <w:sym w:font="Wingdings" w:char="00FE"/>
            </w:r>
            <w:r>
              <w:rPr>
                <w:rFonts w:hint="eastAsia" w:ascii="宋体" w:hAnsi="宋体" w:eastAsia="宋体" w:cs="宋体"/>
                <w:color w:val="auto"/>
                <w:kern w:val="0"/>
                <w:sz w:val="24"/>
                <w:szCs w:val="24"/>
                <w:highlight w:val="none"/>
                <w:lang w:val="en-US" w:eastAsia="zh-CN" w:bidi="ar"/>
              </w:rPr>
              <w:t>综合评分法的采购项目，提供相同品牌产品且通过资格审查、符合性审查的不同投标人参加同一合同项下投标的，按一家投标人计算，评审后得分相同的，按照按照</w:t>
            </w:r>
            <w:r>
              <w:rPr>
                <w:rFonts w:hint="eastAsia" w:ascii="宋体" w:hAnsi="宋体" w:eastAsia="宋体" w:cs="宋体"/>
                <w:color w:val="auto"/>
                <w:kern w:val="0"/>
                <w:sz w:val="24"/>
                <w:szCs w:val="24"/>
                <w:highlight w:val="none"/>
                <w:u w:val="single"/>
                <w:lang w:val="en-US" w:eastAsia="zh-CN" w:bidi="ar"/>
              </w:rPr>
              <w:t xml:space="preserve"> 投标报价由低到高</w:t>
            </w:r>
            <w:r>
              <w:rPr>
                <w:rFonts w:hint="eastAsia" w:cs="宋体"/>
                <w:color w:val="auto"/>
                <w:kern w:val="0"/>
                <w:sz w:val="24"/>
                <w:szCs w:val="24"/>
                <w:highlight w:val="none"/>
                <w:u w:val="single"/>
                <w:lang w:val="en-US" w:eastAsia="zh-CN" w:bidi="ar"/>
              </w:rPr>
              <w:t>进行排序，若投标报价相同的按</w:t>
            </w:r>
            <w:r>
              <w:rPr>
                <w:rFonts w:hint="eastAsia" w:ascii="宋体" w:hAnsi="宋体" w:eastAsia="宋体" w:cs="宋体"/>
                <w:color w:val="auto"/>
                <w:kern w:val="0"/>
                <w:sz w:val="24"/>
                <w:szCs w:val="24"/>
                <w:highlight w:val="none"/>
                <w:u w:val="single"/>
                <w:lang w:val="en-US" w:eastAsia="zh-CN" w:bidi="ar"/>
              </w:rPr>
              <w:t>技术指标优劣</w:t>
            </w:r>
            <w:r>
              <w:rPr>
                <w:rFonts w:hint="eastAsia" w:cs="宋体"/>
                <w:color w:val="auto"/>
                <w:kern w:val="0"/>
                <w:sz w:val="24"/>
                <w:szCs w:val="24"/>
                <w:highlight w:val="none"/>
                <w:u w:val="single"/>
                <w:lang w:val="en-US" w:eastAsia="zh-CN" w:bidi="ar"/>
              </w:rPr>
              <w:t>进行</w:t>
            </w:r>
            <w:r>
              <w:rPr>
                <w:rFonts w:hint="eastAsia" w:ascii="宋体" w:hAnsi="宋体" w:eastAsia="宋体" w:cs="宋体"/>
                <w:color w:val="auto"/>
                <w:kern w:val="0"/>
                <w:sz w:val="24"/>
                <w:szCs w:val="24"/>
                <w:highlight w:val="none"/>
                <w:u w:val="single"/>
                <w:lang w:val="en-US" w:eastAsia="zh-CN" w:bidi="ar"/>
              </w:rPr>
              <w:t>排序；仍无法确定的，由评标委员会随机抽签确定</w:t>
            </w:r>
            <w:r>
              <w:rPr>
                <w:rFonts w:hint="eastAsia" w:cs="宋体"/>
                <w:color w:val="auto"/>
                <w:kern w:val="0"/>
                <w:sz w:val="24"/>
                <w:szCs w:val="24"/>
                <w:highlight w:val="none"/>
                <w:u w:val="single"/>
                <w:lang w:val="en-US" w:eastAsia="zh-CN" w:bidi="ar"/>
              </w:rPr>
              <w:t>的</w:t>
            </w:r>
            <w:r>
              <w:rPr>
                <w:rFonts w:hint="eastAsia" w:ascii="宋体" w:hAnsi="宋体" w:eastAsia="宋体" w:cs="宋体"/>
                <w:color w:val="auto"/>
                <w:kern w:val="0"/>
                <w:sz w:val="24"/>
                <w:szCs w:val="24"/>
                <w:highlight w:val="none"/>
                <w:u w:val="single"/>
                <w:lang w:val="en-US" w:eastAsia="zh-CN" w:bidi="ar"/>
              </w:rPr>
              <w:t xml:space="preserve"> </w:t>
            </w:r>
            <w:r>
              <w:rPr>
                <w:rFonts w:hint="eastAsia" w:ascii="宋体" w:hAnsi="宋体" w:eastAsia="宋体" w:cs="宋体"/>
                <w:color w:val="auto"/>
                <w:kern w:val="0"/>
                <w:sz w:val="24"/>
                <w:szCs w:val="24"/>
                <w:highlight w:val="none"/>
                <w:lang w:val="en-US" w:eastAsia="zh-CN" w:bidi="ar"/>
              </w:rPr>
              <w:t>方式确定一个投标人获得中标人推荐资格，其他同品牌投标人不作为中标候选人。</w:t>
            </w:r>
          </w:p>
          <w:p w14:paraId="0F6B6850">
            <w:pPr>
              <w:pStyle w:val="52"/>
              <w:ind w:firstLine="480" w:firstLineChars="200"/>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kern w:val="0"/>
                <w:sz w:val="24"/>
                <w:szCs w:val="24"/>
                <w:highlight w:val="none"/>
                <w:lang w:val="en-US" w:eastAsia="zh-CN" w:bidi="ar"/>
              </w:rPr>
              <w:t>最低评标价法的采购项目，提供相同品牌产品的不同投标人参加同一合同项下投标的，以其中通过资格审查、符合性审查且报价最低的参加评标；报价相同的，按照</w:t>
            </w:r>
            <w:r>
              <w:rPr>
                <w:rFonts w:hint="eastAsia" w:ascii="宋体" w:hAnsi="宋体" w:eastAsia="宋体" w:cs="宋体"/>
                <w:color w:val="auto"/>
                <w:kern w:val="0"/>
                <w:sz w:val="24"/>
                <w:szCs w:val="24"/>
                <w:highlight w:val="none"/>
                <w:u w:val="single"/>
                <w:lang w:val="en-US" w:eastAsia="zh-CN" w:bidi="ar"/>
              </w:rPr>
              <w:t xml:space="preserve">     </w:t>
            </w:r>
            <w:r>
              <w:rPr>
                <w:rFonts w:hint="eastAsia" w:ascii="宋体" w:hAnsi="宋体" w:eastAsia="宋体" w:cs="宋体"/>
                <w:color w:val="auto"/>
                <w:kern w:val="0"/>
                <w:sz w:val="24"/>
                <w:szCs w:val="24"/>
                <w:highlight w:val="none"/>
                <w:lang w:val="en-US" w:eastAsia="zh-CN" w:bidi="ar"/>
              </w:rPr>
              <w:t>方式确定一个参加评标的投标人，其他投标无效。</w:t>
            </w:r>
          </w:p>
        </w:tc>
      </w:tr>
      <w:tr w14:paraId="35A01A7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641" w:hRule="atLeast"/>
        </w:trPr>
        <w:tc>
          <w:tcPr>
            <w:tcW w:w="970" w:type="dxa"/>
            <w:vAlign w:val="center"/>
          </w:tcPr>
          <w:p w14:paraId="1D722A96">
            <w:pPr>
              <w:pStyle w:val="52"/>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.1</w:t>
            </w:r>
          </w:p>
        </w:tc>
        <w:tc>
          <w:tcPr>
            <w:tcW w:w="1738" w:type="dxa"/>
            <w:vAlign w:val="center"/>
          </w:tcPr>
          <w:p w14:paraId="0A6B190B">
            <w:pPr>
              <w:pStyle w:val="5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履约保证金</w:t>
            </w:r>
          </w:p>
        </w:tc>
        <w:tc>
          <w:tcPr>
            <w:tcW w:w="6700" w:type="dxa"/>
            <w:vAlign w:val="center"/>
          </w:tcPr>
          <w:p w14:paraId="52B73BFF">
            <w:pPr>
              <w:pStyle w:val="5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金额：</w:t>
            </w:r>
          </w:p>
          <w:p w14:paraId="2D4AA05F">
            <w:pPr>
              <w:pStyle w:val="52"/>
              <w:ind w:firstLine="480" w:firstLineChars="200"/>
              <w:rPr>
                <w:rFonts w:hint="eastAsia" w:ascii="宋体" w:hAnsi="宋体" w:eastAsia="宋体" w:cs="宋体"/>
                <w:color w:val="auto"/>
                <w:sz w:val="24"/>
                <w:szCs w:val="24"/>
                <w:highlight w:val="none"/>
              </w:rPr>
            </w:pPr>
            <w:r>
              <w:rPr>
                <w:rFonts w:hint="eastAsia" w:cs="宋体"/>
                <w:color w:val="auto"/>
                <w:sz w:val="24"/>
                <w:szCs w:val="24"/>
                <w:highlight w:val="none"/>
                <w:lang w:eastAsia="zh-CN"/>
              </w:rPr>
              <w:t>☑</w:t>
            </w:r>
            <w:r>
              <w:rPr>
                <w:rFonts w:hint="eastAsia" w:ascii="宋体" w:hAnsi="宋体" w:eastAsia="宋体" w:cs="宋体"/>
                <w:color w:val="auto"/>
                <w:sz w:val="24"/>
                <w:szCs w:val="24"/>
                <w:highlight w:val="none"/>
              </w:rPr>
              <w:t>免收</w:t>
            </w:r>
          </w:p>
          <w:p w14:paraId="185FFD88">
            <w:pPr>
              <w:pStyle w:val="52"/>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□合同价的   %</w:t>
            </w:r>
          </w:p>
          <w:p w14:paraId="7DCA35D2">
            <w:pPr>
              <w:pStyle w:val="52"/>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□定额收取：人民币   元</w:t>
            </w:r>
          </w:p>
          <w:p w14:paraId="78911AAD">
            <w:pPr>
              <w:pStyle w:val="5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支付方式：</w:t>
            </w:r>
          </w:p>
          <w:p w14:paraId="12B7F8B1">
            <w:pPr>
              <w:pStyle w:val="56"/>
              <w:keepNext w:val="0"/>
              <w:keepLines w:val="0"/>
              <w:pageBreakBefore w:val="0"/>
              <w:widowControl w:val="0"/>
              <w:shd w:val="clear" w:color="auto" w:fill="auto"/>
              <w:kinsoku/>
              <w:wordWrap/>
              <w:overflowPunct/>
              <w:topLinePunct w:val="0"/>
              <w:autoSpaceDE/>
              <w:autoSpaceDN/>
              <w:bidi w:val="0"/>
              <w:adjustRightInd/>
              <w:snapToGrid/>
              <w:spacing w:line="34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2"/>
                <w:sz w:val="24"/>
                <w:szCs w:val="24"/>
                <w:highlight w:val="none"/>
                <w:lang w:val="en-US" w:eastAsia="zh-CN" w:bidi="ar-SA"/>
              </w:rPr>
              <w:t>投标人可自主选择以支票、汇票、本票、电汇、转账、网银、保函等非现金形式缴纳或提交保证金。</w:t>
            </w:r>
          </w:p>
          <w:p w14:paraId="20AB6ECE">
            <w:pPr>
              <w:pStyle w:val="5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3.</w:t>
            </w:r>
            <w:r>
              <w:rPr>
                <w:rFonts w:hint="eastAsia" w:ascii="宋体" w:hAnsi="宋体" w:eastAsia="宋体" w:cs="宋体"/>
                <w:color w:val="auto"/>
                <w:sz w:val="24"/>
                <w:szCs w:val="24"/>
                <w:highlight w:val="none"/>
              </w:rPr>
              <w:t xml:space="preserve">收取单位：                            </w:t>
            </w:r>
          </w:p>
          <w:p w14:paraId="4D83FA75">
            <w:pPr>
              <w:pStyle w:val="5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4.收取账号：</w:t>
            </w:r>
            <w:r>
              <w:rPr>
                <w:rFonts w:hint="eastAsia" w:ascii="宋体" w:hAnsi="宋体" w:eastAsia="宋体" w:cs="宋体"/>
                <w:color w:val="auto"/>
                <w:sz w:val="24"/>
                <w:szCs w:val="24"/>
                <w:highlight w:val="none"/>
              </w:rPr>
              <w:t xml:space="preserve">              </w:t>
            </w:r>
          </w:p>
          <w:p w14:paraId="2CF8CC08">
            <w:pPr>
              <w:pStyle w:val="5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5.</w:t>
            </w:r>
            <w:r>
              <w:rPr>
                <w:rFonts w:hint="eastAsia" w:ascii="宋体" w:hAnsi="宋体" w:eastAsia="宋体" w:cs="宋体"/>
                <w:color w:val="auto"/>
                <w:sz w:val="24"/>
                <w:szCs w:val="24"/>
                <w:highlight w:val="none"/>
              </w:rPr>
              <w:t xml:space="preserve">退还时间：              </w:t>
            </w:r>
          </w:p>
          <w:p w14:paraId="5BA146AB">
            <w:pPr>
              <w:pStyle w:val="52"/>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注意事项：</w:t>
            </w:r>
          </w:p>
          <w:p w14:paraId="43FE4EC8">
            <w:pPr>
              <w:pStyle w:val="5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以上各类机构出具的以担保函、保证保险承担责任的方式均须满足无条件见索即付条件。</w:t>
            </w:r>
          </w:p>
          <w:p w14:paraId="191E3959">
            <w:pPr>
              <w:pStyle w:val="5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以担保函、保证保险形式缴纳履约保证金的，受益人和收取单位须为采购人。</w:t>
            </w:r>
          </w:p>
        </w:tc>
      </w:tr>
      <w:tr w14:paraId="6B1F02A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1923" w:hRule="atLeast"/>
        </w:trPr>
        <w:tc>
          <w:tcPr>
            <w:tcW w:w="970" w:type="dxa"/>
            <w:vAlign w:val="center"/>
          </w:tcPr>
          <w:p w14:paraId="600814BC">
            <w:pPr>
              <w:pStyle w:val="52"/>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34.5</w:t>
            </w:r>
          </w:p>
        </w:tc>
        <w:tc>
          <w:tcPr>
            <w:tcW w:w="1738" w:type="dxa"/>
            <w:vAlign w:val="center"/>
          </w:tcPr>
          <w:p w14:paraId="74D19386">
            <w:pPr>
              <w:pStyle w:val="52"/>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中标后分包</w:t>
            </w:r>
          </w:p>
        </w:tc>
        <w:tc>
          <w:tcPr>
            <w:tcW w:w="6700" w:type="dxa"/>
            <w:vAlign w:val="center"/>
          </w:tcPr>
          <w:p w14:paraId="4344EC45">
            <w:pPr>
              <w:pStyle w:val="52"/>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本项目的非主体、非关键性工作是否允许分包： </w:t>
            </w:r>
          </w:p>
          <w:p w14:paraId="3D901FC0">
            <w:pPr>
              <w:pStyle w:val="52"/>
              <w:ind w:firstLine="480" w:firstLineChars="200"/>
              <w:rPr>
                <w:rFonts w:hint="eastAsia" w:ascii="宋体" w:hAnsi="宋体" w:eastAsia="宋体" w:cs="宋体"/>
                <w:color w:val="auto"/>
                <w:kern w:val="2"/>
                <w:sz w:val="24"/>
                <w:szCs w:val="24"/>
                <w:highlight w:val="none"/>
                <w:lang w:val="en-US" w:eastAsia="zh-CN" w:bidi="ar-SA"/>
              </w:rPr>
            </w:pPr>
            <w:r>
              <w:rPr>
                <w:rFonts w:hint="eastAsia" w:cs="宋体"/>
                <w:color w:val="auto"/>
                <w:kern w:val="2"/>
                <w:sz w:val="24"/>
                <w:szCs w:val="24"/>
                <w:highlight w:val="none"/>
                <w:lang w:val="en-US" w:eastAsia="zh-CN" w:bidi="ar-SA"/>
              </w:rPr>
              <w:t>☑</w:t>
            </w:r>
            <w:r>
              <w:rPr>
                <w:rFonts w:hint="eastAsia" w:ascii="宋体" w:hAnsi="宋体" w:eastAsia="宋体" w:cs="宋体"/>
                <w:color w:val="auto"/>
                <w:kern w:val="2"/>
                <w:sz w:val="24"/>
                <w:szCs w:val="24"/>
                <w:highlight w:val="none"/>
                <w:lang w:val="en-US" w:eastAsia="zh-CN" w:bidi="ar-SA"/>
              </w:rPr>
              <w:t xml:space="preserve">不允许 </w:t>
            </w:r>
          </w:p>
          <w:p w14:paraId="56DFA0F7">
            <w:pPr>
              <w:pStyle w:val="52"/>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□允许，具体要求： </w:t>
            </w:r>
          </w:p>
          <w:p w14:paraId="6C445FF2">
            <w:pPr>
              <w:pStyle w:val="52"/>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     1.可以分包履行的具体内容：</w:t>
            </w:r>
            <w:r>
              <w:rPr>
                <w:rFonts w:hint="eastAsia" w:ascii="宋体" w:hAnsi="宋体" w:cs="宋体"/>
                <w:i w:val="0"/>
                <w:iCs w:val="0"/>
                <w:color w:val="auto"/>
                <w:sz w:val="24"/>
                <w:szCs w:val="24"/>
                <w:highlight w:val="none"/>
                <w:u w:val="single"/>
                <w:lang w:val="en-US" w:eastAsia="zh-CN"/>
              </w:rPr>
              <w:t xml:space="preserve">  /  </w:t>
            </w:r>
            <w:r>
              <w:rPr>
                <w:rFonts w:hint="eastAsia" w:ascii="宋体" w:hAnsi="宋体" w:eastAsia="宋体" w:cs="宋体"/>
                <w:color w:val="auto"/>
                <w:kern w:val="2"/>
                <w:sz w:val="24"/>
                <w:szCs w:val="24"/>
                <w:highlight w:val="none"/>
                <w:lang w:val="en-US" w:eastAsia="zh-CN" w:bidi="ar-SA"/>
              </w:rPr>
              <w:t xml:space="preserve">； </w:t>
            </w:r>
          </w:p>
          <w:p w14:paraId="71BE067E">
            <w:pPr>
              <w:pStyle w:val="52"/>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     2.允许分包的金额或者比例：</w:t>
            </w:r>
            <w:r>
              <w:rPr>
                <w:rFonts w:hint="eastAsia" w:ascii="宋体" w:hAnsi="宋体" w:cs="宋体"/>
                <w:i w:val="0"/>
                <w:iCs w:val="0"/>
                <w:color w:val="auto"/>
                <w:sz w:val="24"/>
                <w:szCs w:val="24"/>
                <w:highlight w:val="none"/>
                <w:u w:val="single"/>
                <w:lang w:val="en-US" w:eastAsia="zh-CN"/>
              </w:rPr>
              <w:t xml:space="preserve">  /  </w:t>
            </w:r>
            <w:r>
              <w:rPr>
                <w:rFonts w:hint="eastAsia" w:ascii="宋体" w:hAnsi="宋体" w:eastAsia="宋体" w:cs="宋体"/>
                <w:color w:val="auto"/>
                <w:kern w:val="2"/>
                <w:sz w:val="24"/>
                <w:szCs w:val="24"/>
                <w:highlight w:val="none"/>
                <w:lang w:val="en-US" w:eastAsia="zh-CN" w:bidi="ar-SA"/>
              </w:rPr>
              <w:t xml:space="preserve">； </w:t>
            </w:r>
          </w:p>
          <w:p w14:paraId="2F04DF99">
            <w:pPr>
              <w:pStyle w:val="52"/>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     3.其他要求：</w:t>
            </w:r>
            <w:r>
              <w:rPr>
                <w:rFonts w:hint="eastAsia" w:ascii="宋体" w:hAnsi="宋体" w:cs="宋体"/>
                <w:i w:val="0"/>
                <w:iCs w:val="0"/>
                <w:color w:val="auto"/>
                <w:sz w:val="24"/>
                <w:szCs w:val="24"/>
                <w:highlight w:val="none"/>
                <w:u w:val="single"/>
                <w:lang w:val="en-US" w:eastAsia="zh-CN"/>
              </w:rPr>
              <w:t xml:space="preserve">  /  </w:t>
            </w:r>
            <w:r>
              <w:rPr>
                <w:rFonts w:hint="eastAsia" w:ascii="宋体" w:hAnsi="宋体" w:eastAsia="宋体" w:cs="宋体"/>
                <w:color w:val="auto"/>
                <w:kern w:val="2"/>
                <w:sz w:val="24"/>
                <w:szCs w:val="24"/>
                <w:highlight w:val="none"/>
                <w:lang w:val="en-US" w:eastAsia="zh-CN" w:bidi="ar-SA"/>
              </w:rPr>
              <w:t xml:space="preserve">。 </w:t>
            </w:r>
          </w:p>
        </w:tc>
      </w:tr>
      <w:tr w14:paraId="19B129A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vAlign w:val="center"/>
          </w:tcPr>
          <w:p w14:paraId="5BFFADC2">
            <w:pPr>
              <w:pStyle w:val="52"/>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35.1</w:t>
            </w:r>
          </w:p>
        </w:tc>
        <w:tc>
          <w:tcPr>
            <w:tcW w:w="1738" w:type="dxa"/>
            <w:vAlign w:val="center"/>
          </w:tcPr>
          <w:p w14:paraId="6B25F509">
            <w:pPr>
              <w:pStyle w:val="52"/>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lang w:val="en-US" w:eastAsia="zh-CN"/>
              </w:rPr>
              <w:t>质疑</w:t>
            </w:r>
          </w:p>
        </w:tc>
        <w:tc>
          <w:tcPr>
            <w:tcW w:w="6700" w:type="dxa"/>
            <w:vAlign w:val="center"/>
          </w:tcPr>
          <w:p w14:paraId="55907C61">
            <w:pPr>
              <w:pStyle w:val="60"/>
              <w:keepNext w:val="0"/>
              <w:keepLines w:val="0"/>
              <w:pageBreakBefore w:val="0"/>
              <w:widowControl w:val="0"/>
              <w:kinsoku/>
              <w:wordWrap/>
              <w:overflowPunct/>
              <w:topLinePunct w:val="0"/>
              <w:autoSpaceDE w:val="0"/>
              <w:autoSpaceDN w:val="0"/>
              <w:bidi w:val="0"/>
              <w:adjustRightInd w:val="0"/>
              <w:snapToGrid/>
              <w:spacing w:line="240" w:lineRule="auto"/>
              <w:textAlignment w:val="auto"/>
              <w:rPr>
                <w:rFonts w:hint="eastAsia" w:ascii="宋体" w:hAnsi="宋体" w:eastAsia="宋体" w:cs="宋体"/>
                <w:i w:val="0"/>
                <w:iCs w:val="0"/>
                <w:color w:val="auto"/>
                <w:kern w:val="2"/>
                <w:sz w:val="24"/>
                <w:szCs w:val="24"/>
                <w:highlight w:val="none"/>
                <w:lang w:val="zh-CN" w:eastAsia="zh-CN" w:bidi="ar-SA"/>
              </w:rPr>
            </w:pPr>
            <w:r>
              <w:rPr>
                <w:rFonts w:hint="eastAsia" w:ascii="宋体" w:hAnsi="宋体" w:eastAsia="宋体" w:cs="宋体"/>
                <w:i w:val="0"/>
                <w:iCs w:val="0"/>
                <w:color w:val="auto"/>
                <w:kern w:val="2"/>
                <w:sz w:val="24"/>
                <w:szCs w:val="24"/>
                <w:highlight w:val="none"/>
                <w:lang w:val="zh-CN" w:eastAsia="zh-CN" w:bidi="ar-SA"/>
              </w:rPr>
              <w:t>递交方式：</w:t>
            </w:r>
            <w:r>
              <w:rPr>
                <w:rFonts w:hint="eastAsia" w:ascii="宋体" w:eastAsia="宋体" w:cs="宋体"/>
                <w:sz w:val="24"/>
                <w:highlight w:val="none"/>
              </w:rPr>
              <w:t>纸质版盖章</w:t>
            </w:r>
            <w:r>
              <w:rPr>
                <w:rFonts w:hint="eastAsia" w:ascii="宋体" w:eastAsia="宋体" w:cs="宋体"/>
                <w:sz w:val="24"/>
                <w:highlight w:val="none"/>
                <w:lang w:val="en-US" w:eastAsia="zh-CN"/>
              </w:rPr>
              <w:t>质疑</w:t>
            </w:r>
            <w:r>
              <w:rPr>
                <w:rFonts w:hint="eastAsia" w:ascii="宋体" w:eastAsia="宋体" w:cs="宋体"/>
                <w:sz w:val="24"/>
                <w:highlight w:val="none"/>
              </w:rPr>
              <w:t>函</w:t>
            </w:r>
            <w:r>
              <w:rPr>
                <w:rFonts w:hint="eastAsia" w:ascii="宋体" w:eastAsia="宋体" w:cs="宋体"/>
                <w:sz w:val="24"/>
                <w:highlight w:val="none"/>
                <w:lang w:val="en-US" w:eastAsia="zh-CN"/>
              </w:rPr>
              <w:t>原件</w:t>
            </w:r>
            <w:r>
              <w:rPr>
                <w:rFonts w:hint="eastAsia" w:ascii="宋体" w:eastAsia="宋体" w:cs="宋体"/>
                <w:sz w:val="24"/>
                <w:highlight w:val="none"/>
              </w:rPr>
              <w:t>递交至采购代理公司</w:t>
            </w:r>
            <w:r>
              <w:rPr>
                <w:rFonts w:hint="eastAsia" w:ascii="宋体" w:hAnsi="宋体" w:eastAsia="宋体" w:cs="宋体"/>
                <w:i w:val="0"/>
                <w:iCs w:val="0"/>
                <w:color w:val="auto"/>
                <w:kern w:val="2"/>
                <w:sz w:val="24"/>
                <w:szCs w:val="24"/>
                <w:highlight w:val="none"/>
                <w:lang w:val="zh-CN" w:eastAsia="zh-CN" w:bidi="ar-SA"/>
              </w:rPr>
              <w:t xml:space="preserve">              </w:t>
            </w:r>
          </w:p>
          <w:p w14:paraId="50418CFD">
            <w:pPr>
              <w:pStyle w:val="60"/>
              <w:keepNext w:val="0"/>
              <w:keepLines w:val="0"/>
              <w:pageBreakBefore w:val="0"/>
              <w:widowControl w:val="0"/>
              <w:kinsoku/>
              <w:wordWrap/>
              <w:overflowPunct/>
              <w:topLinePunct w:val="0"/>
              <w:autoSpaceDE w:val="0"/>
              <w:autoSpaceDN w:val="0"/>
              <w:bidi w:val="0"/>
              <w:adjustRightInd w:val="0"/>
              <w:snapToGrid/>
              <w:spacing w:line="240" w:lineRule="auto"/>
              <w:textAlignment w:val="auto"/>
              <w:rPr>
                <w:rFonts w:hint="eastAsia" w:ascii="宋体" w:hAnsi="宋体" w:eastAsia="宋体" w:cs="宋体"/>
                <w:i w:val="0"/>
                <w:iCs w:val="0"/>
                <w:color w:val="auto"/>
                <w:kern w:val="2"/>
                <w:sz w:val="24"/>
                <w:szCs w:val="24"/>
                <w:highlight w:val="none"/>
                <w:lang w:val="zh-CN" w:eastAsia="zh-CN" w:bidi="ar-SA"/>
              </w:rPr>
            </w:pPr>
            <w:r>
              <w:rPr>
                <w:rFonts w:hint="eastAsia" w:ascii="宋体" w:hAnsi="宋体" w:eastAsia="宋体" w:cs="宋体"/>
                <w:i w:val="0"/>
                <w:iCs w:val="0"/>
                <w:color w:val="auto"/>
                <w:kern w:val="2"/>
                <w:sz w:val="24"/>
                <w:szCs w:val="24"/>
                <w:highlight w:val="none"/>
                <w:lang w:val="zh-CN" w:eastAsia="zh-CN" w:bidi="ar-SA"/>
              </w:rPr>
              <w:t>接收部门：</w:t>
            </w:r>
            <w:r>
              <w:rPr>
                <w:rFonts w:hint="eastAsia" w:ascii="宋体" w:hAnsi="宋体" w:cs="宋体"/>
                <w:i w:val="0"/>
                <w:iCs w:val="0"/>
                <w:color w:val="auto"/>
                <w:sz w:val="24"/>
                <w:szCs w:val="24"/>
                <w:highlight w:val="none"/>
                <w:u w:val="single"/>
                <w:lang w:val="en-US" w:eastAsia="zh-CN"/>
              </w:rPr>
              <w:t>招标二部</w:t>
            </w:r>
            <w:r>
              <w:rPr>
                <w:rFonts w:hint="eastAsia" w:ascii="宋体" w:hAnsi="宋体" w:eastAsia="宋体" w:cs="宋体"/>
                <w:i w:val="0"/>
                <w:iCs w:val="0"/>
                <w:color w:val="auto"/>
                <w:kern w:val="2"/>
                <w:sz w:val="24"/>
                <w:szCs w:val="24"/>
                <w:highlight w:val="none"/>
                <w:lang w:val="zh-CN" w:eastAsia="zh-CN" w:bidi="ar-SA"/>
              </w:rPr>
              <w:t xml:space="preserve">              </w:t>
            </w:r>
          </w:p>
          <w:p w14:paraId="0B58048D">
            <w:pPr>
              <w:pStyle w:val="60"/>
              <w:keepNext w:val="0"/>
              <w:keepLines w:val="0"/>
              <w:pageBreakBefore w:val="0"/>
              <w:widowControl w:val="0"/>
              <w:kinsoku/>
              <w:wordWrap/>
              <w:overflowPunct/>
              <w:topLinePunct w:val="0"/>
              <w:autoSpaceDE w:val="0"/>
              <w:autoSpaceDN w:val="0"/>
              <w:bidi w:val="0"/>
              <w:adjustRightInd w:val="0"/>
              <w:snapToGrid/>
              <w:spacing w:line="240" w:lineRule="auto"/>
              <w:textAlignment w:val="auto"/>
              <w:rPr>
                <w:rFonts w:hint="eastAsia" w:ascii="宋体" w:hAnsi="宋体" w:eastAsia="宋体" w:cs="宋体"/>
                <w:i w:val="0"/>
                <w:iCs w:val="0"/>
                <w:color w:val="auto"/>
                <w:kern w:val="2"/>
                <w:sz w:val="24"/>
                <w:szCs w:val="24"/>
                <w:highlight w:val="none"/>
                <w:lang w:val="zh-CN" w:eastAsia="zh-CN" w:bidi="ar-SA"/>
              </w:rPr>
            </w:pPr>
            <w:r>
              <w:rPr>
                <w:rFonts w:hint="eastAsia" w:ascii="宋体" w:hAnsi="宋体" w:eastAsia="宋体" w:cs="宋体"/>
                <w:i w:val="0"/>
                <w:iCs w:val="0"/>
                <w:color w:val="auto"/>
                <w:kern w:val="2"/>
                <w:sz w:val="24"/>
                <w:szCs w:val="24"/>
                <w:highlight w:val="none"/>
                <w:lang w:val="zh-CN" w:eastAsia="zh-CN" w:bidi="ar-SA"/>
              </w:rPr>
              <w:t>联系电话：</w:t>
            </w:r>
            <w:r>
              <w:rPr>
                <w:rFonts w:hint="eastAsia" w:ascii="宋体" w:hAnsi="宋体" w:cs="宋体"/>
                <w:i w:val="0"/>
                <w:iCs w:val="0"/>
                <w:color w:val="auto"/>
                <w:kern w:val="2"/>
                <w:sz w:val="24"/>
                <w:szCs w:val="24"/>
                <w:highlight w:val="none"/>
                <w:lang w:val="en-US" w:eastAsia="zh-CN" w:bidi="ar-SA"/>
              </w:rPr>
              <w:t>18099259977、17716905655</w:t>
            </w:r>
            <w:r>
              <w:rPr>
                <w:rFonts w:hint="eastAsia" w:ascii="宋体" w:hAnsi="宋体" w:eastAsia="宋体" w:cs="宋体"/>
                <w:i w:val="0"/>
                <w:iCs w:val="0"/>
                <w:color w:val="auto"/>
                <w:kern w:val="2"/>
                <w:sz w:val="24"/>
                <w:szCs w:val="24"/>
                <w:highlight w:val="none"/>
                <w:lang w:val="zh-CN" w:eastAsia="zh-CN" w:bidi="ar-SA"/>
              </w:rPr>
              <w:t xml:space="preserve">              </w:t>
            </w:r>
          </w:p>
          <w:p w14:paraId="29DABF61">
            <w:pPr>
              <w:pStyle w:val="60"/>
              <w:keepNext w:val="0"/>
              <w:keepLines w:val="0"/>
              <w:pageBreakBefore w:val="0"/>
              <w:widowControl w:val="0"/>
              <w:kinsoku/>
              <w:wordWrap/>
              <w:overflowPunct/>
              <w:topLinePunct w:val="0"/>
              <w:autoSpaceDE w:val="0"/>
              <w:autoSpaceDN w:val="0"/>
              <w:bidi w:val="0"/>
              <w:adjustRightInd w:val="0"/>
              <w:snapToGrid/>
              <w:spacing w:line="240" w:lineRule="auto"/>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i w:val="0"/>
                <w:iCs w:val="0"/>
                <w:color w:val="auto"/>
                <w:kern w:val="2"/>
                <w:sz w:val="24"/>
                <w:szCs w:val="24"/>
                <w:highlight w:val="none"/>
                <w:lang w:val="zh-CN" w:eastAsia="zh-CN" w:bidi="ar-SA"/>
              </w:rPr>
              <w:t>通讯地址：</w:t>
            </w:r>
            <w:r>
              <w:rPr>
                <w:rFonts w:ascii="宋体" w:hAnsi="宋体" w:eastAsia="宋体" w:cs="宋体"/>
                <w:kern w:val="0"/>
                <w:sz w:val="24"/>
                <w:szCs w:val="24"/>
                <w:highlight w:val="none"/>
              </w:rPr>
              <w:t>新疆乌鲁木齐市486号南湖明珠二期十四栋商业写字楼8楼</w:t>
            </w:r>
            <w:r>
              <w:rPr>
                <w:rFonts w:hint="eastAsia" w:ascii="宋体" w:hAnsi="宋体" w:eastAsia="宋体" w:cs="宋体"/>
                <w:i w:val="0"/>
                <w:iCs w:val="0"/>
                <w:color w:val="auto"/>
                <w:kern w:val="2"/>
                <w:sz w:val="24"/>
                <w:szCs w:val="24"/>
                <w:highlight w:val="none"/>
                <w:lang w:val="zh-CN" w:eastAsia="zh-CN" w:bidi="ar-SA"/>
              </w:rPr>
              <w:t xml:space="preserve"> </w:t>
            </w:r>
          </w:p>
        </w:tc>
      </w:tr>
      <w:tr w14:paraId="3C8ED12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1204" w:hRule="atLeast"/>
        </w:trPr>
        <w:tc>
          <w:tcPr>
            <w:tcW w:w="970" w:type="dxa"/>
            <w:vAlign w:val="center"/>
          </w:tcPr>
          <w:p w14:paraId="422A3CDD">
            <w:pPr>
              <w:pStyle w:val="52"/>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.1</w:t>
            </w:r>
          </w:p>
        </w:tc>
        <w:tc>
          <w:tcPr>
            <w:tcW w:w="1738" w:type="dxa"/>
            <w:vAlign w:val="center"/>
          </w:tcPr>
          <w:p w14:paraId="1782DE51">
            <w:pPr>
              <w:pStyle w:val="5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采购代理服务费</w:t>
            </w:r>
          </w:p>
        </w:tc>
        <w:tc>
          <w:tcPr>
            <w:tcW w:w="6700" w:type="dxa"/>
            <w:vAlign w:val="center"/>
          </w:tcPr>
          <w:p w14:paraId="572A09AD">
            <w:pPr>
              <w:pStyle w:val="5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eastAsia="宋体" w:cs="宋体"/>
                <w:color w:val="000000" w:themeColor="text1"/>
                <w:sz w:val="24"/>
                <w:szCs w:val="24"/>
                <w:highlight w:val="none"/>
                <w:lang w:val="en-US" w:eastAsia="zh-CN"/>
                <w14:textFill>
                  <w14:solidFill>
                    <w14:schemeClr w14:val="tx1"/>
                  </w14:solidFill>
                </w14:textFill>
              </w:rPr>
              <w:t>收</w:t>
            </w:r>
            <w:r>
              <w:rPr>
                <w:rFonts w:hint="eastAsia" w:ascii="宋体" w:hAnsi="宋体" w:eastAsia="宋体" w:cs="宋体"/>
                <w:color w:val="000000" w:themeColor="text1"/>
                <w:sz w:val="24"/>
                <w:szCs w:val="24"/>
                <w:highlight w:val="none"/>
                <w14:textFill>
                  <w14:solidFill>
                    <w14:schemeClr w14:val="tx1"/>
                  </w14:solidFill>
                </w14:textFill>
              </w:rPr>
              <w:t>费</w:t>
            </w:r>
            <w:r>
              <w:rPr>
                <w:rFonts w:hint="eastAsia" w:ascii="宋体" w:hAnsi="宋体" w:eastAsia="宋体" w:cs="宋体"/>
                <w:color w:val="000000" w:themeColor="text1"/>
                <w:sz w:val="24"/>
                <w:szCs w:val="24"/>
                <w:highlight w:val="none"/>
                <w:lang w:val="en-US" w:eastAsia="zh-CN"/>
                <w14:textFill>
                  <w14:solidFill>
                    <w14:schemeClr w14:val="tx1"/>
                  </w14:solidFill>
                </w14:textFill>
              </w:rPr>
              <w:t>对象</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sym w:font="Wingdings" w:char="00A8"/>
            </w:r>
            <w:r>
              <w:rPr>
                <w:rFonts w:hint="eastAsia" w:ascii="宋体" w:hAnsi="宋体" w:eastAsia="宋体" w:cs="宋体"/>
                <w:color w:val="000000" w:themeColor="text1"/>
                <w:sz w:val="24"/>
                <w:szCs w:val="24"/>
                <w:highlight w:val="none"/>
                <w14:textFill>
                  <w14:solidFill>
                    <w14:schemeClr w14:val="tx1"/>
                  </w14:solidFill>
                </w14:textFill>
              </w:rPr>
              <w:t xml:space="preserve">采购人支付 </w:t>
            </w:r>
            <w:r>
              <w:rPr>
                <w:rFonts w:hint="eastAsia" w:ascii="宋体" w:hAnsi="宋体" w:eastAsia="宋体" w:cs="宋体"/>
                <w:color w:val="000000" w:themeColor="text1"/>
                <w:sz w:val="24"/>
                <w:szCs w:val="24"/>
                <w:highlight w:val="none"/>
                <w14:textFill>
                  <w14:solidFill>
                    <w14:schemeClr w14:val="tx1"/>
                  </w14:solidFill>
                </w14:textFill>
              </w:rPr>
              <w:sym w:font="Wingdings" w:char="00FE"/>
            </w:r>
            <w:r>
              <w:rPr>
                <w:rFonts w:hint="eastAsia" w:ascii="宋体" w:hAnsi="宋体" w:eastAsia="宋体" w:cs="宋体"/>
                <w:color w:val="000000" w:themeColor="text1"/>
                <w:sz w:val="24"/>
                <w:szCs w:val="24"/>
                <w:highlight w:val="none"/>
                <w14:textFill>
                  <w14:solidFill>
                    <w14:schemeClr w14:val="tx1"/>
                  </w14:solidFill>
                </w14:textFill>
              </w:rPr>
              <w:t xml:space="preserve">中标人支付 </w:t>
            </w:r>
          </w:p>
          <w:p w14:paraId="75684927">
            <w:pPr>
              <w:pStyle w:val="5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收费</w:t>
            </w:r>
            <w:r>
              <w:rPr>
                <w:rFonts w:hint="eastAsia" w:ascii="宋体" w:hAnsi="宋体" w:eastAsia="宋体" w:cs="宋体"/>
                <w:color w:val="000000" w:themeColor="text1"/>
                <w:sz w:val="24"/>
                <w:szCs w:val="24"/>
                <w:highlight w:val="none"/>
                <w14:textFill>
                  <w14:solidFill>
                    <w14:schemeClr w14:val="tx1"/>
                  </w14:solidFill>
                </w14:textFill>
              </w:rPr>
              <w:t>标准：</w:t>
            </w:r>
            <w:r>
              <w:rPr>
                <w:rFonts w:hint="eastAsia" w:ascii="宋体" w:hAnsi="宋体" w:eastAsia="宋体" w:cs="宋体"/>
                <w:color w:val="000000" w:themeColor="text1"/>
                <w:sz w:val="24"/>
                <w:szCs w:val="24"/>
                <w:highlight w:val="none"/>
                <w:u w:val="single"/>
                <w14:textFill>
                  <w14:solidFill>
                    <w14:schemeClr w14:val="tx1"/>
                  </w14:solidFill>
                </w14:textFill>
              </w:rPr>
              <w:t xml:space="preserve"> 按发改价格[2011]534号及计价格[2002]1980号文件计算的招标代理服务收费标准下浮40%计取。 </w:t>
            </w:r>
          </w:p>
          <w:p w14:paraId="1368AF2C">
            <w:pPr>
              <w:pStyle w:val="5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收取</w:t>
            </w:r>
            <w:r>
              <w:rPr>
                <w:rFonts w:hint="eastAsia" w:ascii="宋体" w:hAnsi="宋体" w:eastAsia="宋体" w:cs="宋体"/>
                <w:color w:val="000000" w:themeColor="text1"/>
                <w:sz w:val="24"/>
                <w:szCs w:val="24"/>
                <w:highlight w:val="none"/>
                <w14:textFill>
                  <w14:solidFill>
                    <w14:schemeClr w14:val="tx1"/>
                  </w14:solidFill>
                </w14:textFill>
              </w:rPr>
              <w:t>时间：</w:t>
            </w:r>
            <w:r>
              <w:rPr>
                <w:rFonts w:hint="eastAsia" w:ascii="宋体" w:hAnsi="宋体" w:eastAsia="宋体" w:cs="宋体"/>
                <w:color w:val="000000" w:themeColor="text1"/>
                <w:szCs w:val="28"/>
                <w:highlight w:val="none"/>
                <w:u w:val="single"/>
                <w:lang w:val="en-US" w:eastAsia="zh-CN"/>
                <w14:textFill>
                  <w14:solidFill>
                    <w14:schemeClr w14:val="tx1"/>
                  </w14:solidFill>
                </w14:textFill>
              </w:rPr>
              <w:t>中标人</w:t>
            </w:r>
            <w:r>
              <w:rPr>
                <w:rFonts w:hint="eastAsia" w:ascii="宋体" w:hAnsi="宋体" w:eastAsia="宋体" w:cs="宋体"/>
                <w:color w:val="000000" w:themeColor="text1"/>
                <w:szCs w:val="28"/>
                <w:highlight w:val="none"/>
                <w:u w:val="single"/>
                <w14:textFill>
                  <w14:solidFill>
                    <w14:schemeClr w14:val="tx1"/>
                  </w14:solidFill>
                </w14:textFill>
              </w:rPr>
              <w:t>应按本招标文件的规定，在《</w:t>
            </w:r>
            <w:r>
              <w:rPr>
                <w:rFonts w:hint="eastAsia" w:cs="宋体"/>
                <w:color w:val="000000" w:themeColor="text1"/>
                <w:szCs w:val="28"/>
                <w:highlight w:val="none"/>
                <w:u w:val="single"/>
                <w:lang w:val="en-US" w:eastAsia="zh-CN"/>
                <w14:textFill>
                  <w14:solidFill>
                    <w14:schemeClr w14:val="tx1"/>
                  </w14:solidFill>
                </w14:textFill>
              </w:rPr>
              <w:t>中标</w:t>
            </w:r>
            <w:r>
              <w:rPr>
                <w:rFonts w:hint="eastAsia" w:ascii="宋体" w:hAnsi="宋体" w:eastAsia="宋体" w:cs="宋体"/>
                <w:color w:val="000000" w:themeColor="text1"/>
                <w:szCs w:val="28"/>
                <w:highlight w:val="none"/>
                <w:u w:val="single"/>
                <w14:textFill>
                  <w14:solidFill>
                    <w14:schemeClr w14:val="tx1"/>
                  </w14:solidFill>
                </w14:textFill>
              </w:rPr>
              <w:t>通知书》核发时至核发后3天内，向采购代理机构支付服务费</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76384588">
            <w:pPr>
              <w:pStyle w:val="52"/>
              <w:rPr>
                <w:rFonts w:hint="eastAsia" w:ascii="宋体" w:hAnsi="宋体" w:eastAsia="宋体" w:cs="宋体"/>
                <w:color w:val="auto"/>
                <w:sz w:val="24"/>
                <w:szCs w:val="24"/>
                <w:highlight w:val="none"/>
              </w:rPr>
            </w:pPr>
            <w:r>
              <w:rPr>
                <w:rFonts w:hint="eastAsia" w:ascii="宋体" w:hAnsi="宋体" w:eastAsia="宋体" w:cs="宋体"/>
                <w:color w:val="000000" w:themeColor="text1"/>
                <w:sz w:val="24"/>
                <w:szCs w:val="24"/>
                <w:highlight w:val="none"/>
                <w14:textFill>
                  <w14:solidFill>
                    <w14:schemeClr w14:val="tx1"/>
                  </w14:solidFill>
                </w14:textFill>
              </w:rPr>
              <w:t>4.</w:t>
            </w:r>
            <w:r>
              <w:rPr>
                <w:rFonts w:hint="eastAsia" w:ascii="宋体" w:hAnsi="宋体" w:eastAsia="宋体" w:cs="宋体"/>
                <w:color w:val="000000" w:themeColor="text1"/>
                <w:sz w:val="24"/>
                <w:szCs w:val="24"/>
                <w:highlight w:val="none"/>
                <w:lang w:val="en-US" w:eastAsia="zh-CN"/>
                <w14:textFill>
                  <w14:solidFill>
                    <w14:schemeClr w14:val="tx1"/>
                  </w14:solidFill>
                </w14:textFill>
              </w:rPr>
              <w:t>收取</w:t>
            </w:r>
            <w:r>
              <w:rPr>
                <w:rFonts w:hint="eastAsia" w:ascii="宋体" w:hAnsi="宋体" w:eastAsia="宋体" w:cs="宋体"/>
                <w:color w:val="000000" w:themeColor="text1"/>
                <w:sz w:val="24"/>
                <w:szCs w:val="24"/>
                <w:highlight w:val="none"/>
                <w14:textFill>
                  <w14:solidFill>
                    <w14:schemeClr w14:val="tx1"/>
                  </w14:solidFill>
                </w14:textFill>
              </w:rPr>
              <w:t>方式：</w:t>
            </w:r>
            <w:r>
              <w:rPr>
                <w:rFonts w:hint="eastAsia" w:ascii="宋体" w:hAnsi="宋体" w:eastAsia="宋体" w:cs="宋体"/>
                <w:color w:val="000000" w:themeColor="text1"/>
                <w:sz w:val="24"/>
                <w:szCs w:val="24"/>
                <w:highlight w:val="none"/>
                <w:u w:val="single"/>
                <w14:textFill>
                  <w14:solidFill>
                    <w14:schemeClr w14:val="tx1"/>
                  </w14:solidFill>
                </w14:textFill>
              </w:rPr>
              <w:t>电汇，由</w:t>
            </w:r>
            <w:r>
              <w:rPr>
                <w:rFonts w:hint="eastAsia" w:cs="宋体"/>
                <w:color w:val="000000" w:themeColor="text1"/>
                <w:sz w:val="24"/>
                <w:szCs w:val="24"/>
                <w:highlight w:val="none"/>
                <w:u w:val="single"/>
                <w:lang w:val="en-US" w:eastAsia="zh-CN"/>
                <w14:textFill>
                  <w14:solidFill>
                    <w14:schemeClr w14:val="tx1"/>
                  </w14:solidFill>
                </w14:textFill>
              </w:rPr>
              <w:t>中标人</w:t>
            </w:r>
            <w:r>
              <w:rPr>
                <w:rFonts w:hint="eastAsia" w:ascii="宋体" w:hAnsi="宋体" w:eastAsia="宋体" w:cs="宋体"/>
                <w:color w:val="000000" w:themeColor="text1"/>
                <w:sz w:val="24"/>
                <w:szCs w:val="24"/>
                <w:highlight w:val="none"/>
                <w:u w:val="single"/>
                <w14:textFill>
                  <w14:solidFill>
                    <w14:schemeClr w14:val="tx1"/>
                  </w14:solidFill>
                </w14:textFill>
              </w:rPr>
              <w:t>一次性支付</w:t>
            </w:r>
          </w:p>
        </w:tc>
      </w:tr>
      <w:tr w14:paraId="30DE59A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742" w:hRule="atLeast"/>
        </w:trPr>
        <w:tc>
          <w:tcPr>
            <w:tcW w:w="970" w:type="dxa"/>
            <w:vAlign w:val="center"/>
          </w:tcPr>
          <w:p w14:paraId="6F1BF374">
            <w:pPr>
              <w:pStyle w:val="52"/>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.1</w:t>
            </w:r>
          </w:p>
        </w:tc>
        <w:tc>
          <w:tcPr>
            <w:tcW w:w="1738" w:type="dxa"/>
            <w:vAlign w:val="center"/>
          </w:tcPr>
          <w:p w14:paraId="5D860FC6">
            <w:pPr>
              <w:pStyle w:val="5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是否接受进口产品</w:t>
            </w:r>
          </w:p>
        </w:tc>
        <w:tc>
          <w:tcPr>
            <w:tcW w:w="6700" w:type="dxa"/>
            <w:vAlign w:val="center"/>
          </w:tcPr>
          <w:p w14:paraId="438B47DA">
            <w:pPr>
              <w:pStyle w:val="5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FE"/>
            </w:r>
            <w:r>
              <w:rPr>
                <w:rFonts w:hint="eastAsia" w:ascii="宋体" w:hAnsi="宋体" w:eastAsia="宋体" w:cs="宋体"/>
                <w:color w:val="auto"/>
                <w:sz w:val="24"/>
                <w:szCs w:val="24"/>
                <w:highlight w:val="none"/>
              </w:rPr>
              <w:t>不接受</w:t>
            </w:r>
          </w:p>
          <w:p w14:paraId="1481386A">
            <w:pPr>
              <w:pStyle w:val="5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val="zh-CN"/>
              </w:rPr>
              <w:t>接受</w:t>
            </w:r>
          </w:p>
        </w:tc>
      </w:tr>
      <w:tr w14:paraId="2539FC1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1829" w:hRule="atLeast"/>
        </w:trPr>
        <w:tc>
          <w:tcPr>
            <w:tcW w:w="970" w:type="dxa"/>
            <w:vAlign w:val="center"/>
          </w:tcPr>
          <w:p w14:paraId="06648806">
            <w:pPr>
              <w:pStyle w:val="52"/>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2</w:t>
            </w:r>
          </w:p>
        </w:tc>
        <w:tc>
          <w:tcPr>
            <w:tcW w:w="1738" w:type="dxa"/>
            <w:vAlign w:val="center"/>
          </w:tcPr>
          <w:p w14:paraId="34AA4482">
            <w:pPr>
              <w:pStyle w:val="5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支持中小企业政策</w:t>
            </w:r>
            <w:r>
              <w:rPr>
                <w:rStyle w:val="34"/>
                <w:rFonts w:hint="eastAsia" w:ascii="宋体" w:hAnsi="宋体" w:eastAsia="宋体" w:cs="宋体"/>
                <w:b w:val="0"/>
                <w:color w:val="auto"/>
                <w:sz w:val="24"/>
                <w:szCs w:val="24"/>
                <w:highlight w:val="none"/>
                <w:lang w:val="en-US" w:eastAsia="zh-CN"/>
              </w:rPr>
              <w:t>（非专门面向中小企业采购项目适用）</w:t>
            </w:r>
          </w:p>
        </w:tc>
        <w:tc>
          <w:tcPr>
            <w:tcW w:w="6700" w:type="dxa"/>
            <w:vAlign w:val="center"/>
          </w:tcPr>
          <w:p w14:paraId="736B9D94">
            <w:pPr>
              <w:pStyle w:val="73"/>
              <w:widowControl w:val="0"/>
              <w:spacing w:before="0" w:beforeAutospacing="0" w:after="0" w:afterAutospacing="0" w:line="240" w:lineRule="auto"/>
              <w:jc w:val="both"/>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lang w:val="en-US" w:eastAsia="zh-CN"/>
              </w:rPr>
              <w:t xml:space="preserve"> </w:t>
            </w:r>
            <w:r>
              <w:rPr>
                <w:rFonts w:hint="eastAsia" w:ascii="宋体" w:hAnsi="宋体" w:eastAsia="宋体" w:cs="宋体"/>
                <w:b w:val="0"/>
                <w:color w:val="auto"/>
                <w:sz w:val="24"/>
                <w:szCs w:val="24"/>
                <w:highlight w:val="none"/>
              </w:rPr>
              <w:t>1</w:t>
            </w:r>
            <w:r>
              <w:rPr>
                <w:rFonts w:hint="eastAsia" w:ascii="宋体" w:hAnsi="宋体" w:eastAsia="宋体" w:cs="宋体"/>
                <w:b w:val="0"/>
                <w:color w:val="auto"/>
                <w:sz w:val="24"/>
                <w:szCs w:val="24"/>
                <w:highlight w:val="none"/>
                <w:lang w:val="en-US" w:eastAsia="zh-CN"/>
              </w:rPr>
              <w:t>.</w:t>
            </w:r>
            <w:r>
              <w:rPr>
                <w:rFonts w:hint="eastAsia" w:ascii="宋体" w:hAnsi="宋体" w:eastAsia="宋体" w:cs="宋体"/>
                <w:b w:val="0"/>
                <w:color w:val="auto"/>
                <w:sz w:val="24"/>
                <w:szCs w:val="24"/>
                <w:highlight w:val="none"/>
              </w:rPr>
              <w:t>小型和微型企业价格扣除：</w:t>
            </w:r>
            <w:r>
              <w:rPr>
                <w:rFonts w:hint="eastAsia" w:ascii="宋体" w:hAnsi="宋体" w:eastAsia="宋体" w:cs="宋体"/>
                <w:b w:val="0"/>
                <w:color w:val="auto"/>
                <w:sz w:val="24"/>
                <w:szCs w:val="24"/>
                <w:highlight w:val="none"/>
                <w:u w:val="single"/>
                <w:lang w:val="en-US" w:eastAsia="zh-CN"/>
              </w:rPr>
              <w:t xml:space="preserve"> </w:t>
            </w:r>
            <w:r>
              <w:rPr>
                <w:rFonts w:hint="eastAsia" w:cs="宋体"/>
                <w:b w:val="0"/>
                <w:color w:val="auto"/>
                <w:sz w:val="24"/>
                <w:szCs w:val="24"/>
                <w:highlight w:val="none"/>
                <w:u w:val="single"/>
                <w:lang w:val="en-US" w:eastAsia="zh-CN"/>
              </w:rPr>
              <w:t>10%</w:t>
            </w:r>
            <w:r>
              <w:rPr>
                <w:rFonts w:hint="eastAsia" w:ascii="宋体" w:hAnsi="宋体" w:eastAsia="宋体" w:cs="宋体"/>
                <w:b w:val="0"/>
                <w:color w:val="auto"/>
                <w:sz w:val="24"/>
                <w:szCs w:val="24"/>
                <w:highlight w:val="none"/>
                <w:u w:val="single"/>
                <w:lang w:val="en-US" w:eastAsia="zh-CN"/>
              </w:rPr>
              <w:t xml:space="preserve">  </w:t>
            </w:r>
            <w:r>
              <w:rPr>
                <w:rFonts w:hint="eastAsia" w:ascii="宋体" w:hAnsi="宋体" w:eastAsia="宋体" w:cs="宋体"/>
                <w:b w:val="0"/>
                <w:color w:val="auto"/>
                <w:sz w:val="24"/>
                <w:szCs w:val="24"/>
                <w:highlight w:val="none"/>
              </w:rPr>
              <w:t>。</w:t>
            </w:r>
          </w:p>
          <w:p w14:paraId="3A14D5AD">
            <w:pPr>
              <w:pStyle w:val="73"/>
              <w:widowControl w:val="0"/>
              <w:spacing w:before="0" w:beforeAutospacing="0" w:after="0" w:afterAutospacing="0" w:line="240" w:lineRule="auto"/>
              <w:jc w:val="both"/>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lang w:val="en-US" w:eastAsia="zh-CN"/>
              </w:rPr>
              <w:t xml:space="preserve"> </w:t>
            </w:r>
            <w:r>
              <w:rPr>
                <w:rFonts w:hint="eastAsia" w:ascii="宋体" w:hAnsi="宋体" w:eastAsia="宋体" w:cs="宋体"/>
                <w:b w:val="0"/>
                <w:color w:val="auto"/>
                <w:sz w:val="24"/>
                <w:szCs w:val="24"/>
                <w:highlight w:val="none"/>
              </w:rPr>
              <w:t>2</w:t>
            </w:r>
            <w:r>
              <w:rPr>
                <w:rFonts w:hint="eastAsia" w:ascii="宋体" w:hAnsi="宋体" w:eastAsia="宋体" w:cs="宋体"/>
                <w:b w:val="0"/>
                <w:color w:val="auto"/>
                <w:sz w:val="24"/>
                <w:szCs w:val="24"/>
                <w:highlight w:val="none"/>
                <w:lang w:val="en-US" w:eastAsia="zh-CN"/>
              </w:rPr>
              <w:t>.</w:t>
            </w:r>
            <w:r>
              <w:rPr>
                <w:rFonts w:hint="eastAsia" w:ascii="宋体" w:hAnsi="宋体" w:eastAsia="宋体" w:cs="宋体"/>
                <w:b w:val="0"/>
                <w:color w:val="auto"/>
                <w:sz w:val="24"/>
                <w:szCs w:val="24"/>
                <w:highlight w:val="none"/>
              </w:rPr>
              <w:t>监狱企业价格扣除：</w:t>
            </w:r>
            <w:r>
              <w:rPr>
                <w:rFonts w:hint="eastAsia" w:ascii="宋体" w:hAnsi="宋体" w:eastAsia="宋体" w:cs="宋体"/>
                <w:b w:val="0"/>
                <w:color w:val="auto"/>
                <w:sz w:val="24"/>
                <w:szCs w:val="24"/>
                <w:highlight w:val="none"/>
                <w:u w:val="none"/>
              </w:rPr>
              <w:t>同小型和微型企业</w:t>
            </w:r>
            <w:r>
              <w:rPr>
                <w:rFonts w:hint="eastAsia" w:ascii="宋体" w:hAnsi="宋体" w:eastAsia="宋体" w:cs="宋体"/>
                <w:b w:val="0"/>
                <w:color w:val="auto"/>
                <w:sz w:val="24"/>
                <w:szCs w:val="24"/>
                <w:highlight w:val="none"/>
              </w:rPr>
              <w:t>。</w:t>
            </w:r>
          </w:p>
          <w:p w14:paraId="5CF7AA8F">
            <w:pPr>
              <w:pStyle w:val="73"/>
              <w:widowControl w:val="0"/>
              <w:spacing w:before="0" w:beforeAutospacing="0" w:after="0" w:afterAutospacing="0" w:line="240" w:lineRule="auto"/>
              <w:jc w:val="both"/>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lang w:val="en-US" w:eastAsia="zh-CN"/>
              </w:rPr>
              <w:t xml:space="preserve"> </w:t>
            </w:r>
            <w:r>
              <w:rPr>
                <w:rFonts w:hint="eastAsia" w:ascii="宋体" w:hAnsi="宋体" w:eastAsia="宋体" w:cs="宋体"/>
                <w:b w:val="0"/>
                <w:color w:val="auto"/>
                <w:sz w:val="24"/>
                <w:szCs w:val="24"/>
                <w:highlight w:val="none"/>
              </w:rPr>
              <w:t>3</w:t>
            </w:r>
            <w:r>
              <w:rPr>
                <w:rFonts w:hint="eastAsia" w:ascii="宋体" w:hAnsi="宋体" w:eastAsia="宋体" w:cs="宋体"/>
                <w:b w:val="0"/>
                <w:color w:val="auto"/>
                <w:sz w:val="24"/>
                <w:szCs w:val="24"/>
                <w:highlight w:val="none"/>
                <w:lang w:val="en-US" w:eastAsia="zh-CN"/>
              </w:rPr>
              <w:t>.</w:t>
            </w:r>
            <w:r>
              <w:rPr>
                <w:rFonts w:hint="eastAsia" w:ascii="宋体" w:hAnsi="宋体" w:eastAsia="宋体" w:cs="宋体"/>
                <w:b w:val="0"/>
                <w:color w:val="auto"/>
                <w:sz w:val="24"/>
                <w:szCs w:val="24"/>
                <w:highlight w:val="none"/>
              </w:rPr>
              <w:t>残疾人福利性单位价格扣除：</w:t>
            </w:r>
            <w:r>
              <w:rPr>
                <w:rFonts w:hint="eastAsia" w:ascii="宋体" w:hAnsi="宋体" w:eastAsia="宋体" w:cs="宋体"/>
                <w:b w:val="0"/>
                <w:color w:val="auto"/>
                <w:sz w:val="24"/>
                <w:szCs w:val="24"/>
                <w:highlight w:val="none"/>
                <w:u w:val="none"/>
              </w:rPr>
              <w:t>同小型和微型企业</w:t>
            </w:r>
            <w:r>
              <w:rPr>
                <w:rFonts w:hint="eastAsia" w:ascii="宋体" w:hAnsi="宋体" w:eastAsia="宋体" w:cs="宋体"/>
                <w:b w:val="0"/>
                <w:color w:val="auto"/>
                <w:sz w:val="24"/>
                <w:szCs w:val="24"/>
                <w:highlight w:val="none"/>
              </w:rPr>
              <w:t>。</w:t>
            </w:r>
          </w:p>
          <w:p w14:paraId="529022C4">
            <w:pPr>
              <w:pStyle w:val="73"/>
              <w:widowControl w:val="0"/>
              <w:spacing w:before="0" w:beforeAutospacing="0" w:after="0" w:afterAutospacing="0" w:line="240" w:lineRule="auto"/>
              <w:jc w:val="both"/>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lang w:val="en-US" w:eastAsia="zh-CN"/>
              </w:rPr>
              <w:t xml:space="preserve"> </w:t>
            </w:r>
            <w:r>
              <w:rPr>
                <w:rFonts w:hint="eastAsia" w:ascii="宋体" w:hAnsi="宋体" w:eastAsia="宋体" w:cs="宋体"/>
                <w:b w:val="0"/>
                <w:color w:val="auto"/>
                <w:sz w:val="24"/>
                <w:szCs w:val="24"/>
                <w:highlight w:val="none"/>
              </w:rPr>
              <w:t>4</w:t>
            </w:r>
            <w:r>
              <w:rPr>
                <w:rFonts w:hint="eastAsia" w:ascii="宋体" w:hAnsi="宋体" w:eastAsia="宋体" w:cs="宋体"/>
                <w:b w:val="0"/>
                <w:color w:val="auto"/>
                <w:sz w:val="24"/>
                <w:szCs w:val="24"/>
                <w:highlight w:val="none"/>
                <w:lang w:val="en-US" w:eastAsia="zh-CN"/>
              </w:rPr>
              <w:t>.</w:t>
            </w:r>
            <w:r>
              <w:rPr>
                <w:rFonts w:hint="eastAsia" w:ascii="宋体" w:hAnsi="宋体" w:eastAsia="宋体" w:cs="宋体"/>
                <w:b w:val="0"/>
                <w:color w:val="auto"/>
                <w:sz w:val="24"/>
                <w:szCs w:val="24"/>
                <w:highlight w:val="none"/>
              </w:rPr>
              <w:t>符合条件的联合体价格扣除：</w:t>
            </w:r>
            <w:r>
              <w:rPr>
                <w:rFonts w:hint="eastAsia" w:ascii="宋体" w:hAnsi="宋体" w:eastAsia="宋体" w:cs="宋体"/>
                <w:b w:val="0"/>
                <w:color w:val="auto"/>
                <w:sz w:val="24"/>
                <w:szCs w:val="24"/>
                <w:highlight w:val="none"/>
                <w:u w:val="single"/>
                <w:lang w:val="en-US" w:eastAsia="zh-CN"/>
              </w:rPr>
              <w:t xml:space="preserve">   </w:t>
            </w:r>
            <w:r>
              <w:rPr>
                <w:rFonts w:hint="eastAsia" w:cs="宋体"/>
                <w:b w:val="0"/>
                <w:color w:val="auto"/>
                <w:sz w:val="24"/>
                <w:szCs w:val="24"/>
                <w:highlight w:val="none"/>
                <w:u w:val="single"/>
                <w:lang w:val="en-US" w:eastAsia="zh-CN"/>
              </w:rPr>
              <w:t>/</w:t>
            </w:r>
            <w:r>
              <w:rPr>
                <w:rFonts w:hint="eastAsia" w:ascii="宋体" w:hAnsi="宋体" w:eastAsia="宋体" w:cs="宋体"/>
                <w:b w:val="0"/>
                <w:color w:val="auto"/>
                <w:sz w:val="24"/>
                <w:szCs w:val="24"/>
                <w:highlight w:val="none"/>
                <w:u w:val="single"/>
                <w:lang w:val="en-US" w:eastAsia="zh-CN"/>
              </w:rPr>
              <w:t xml:space="preserve">  </w:t>
            </w:r>
            <w:r>
              <w:rPr>
                <w:rFonts w:hint="eastAsia" w:ascii="宋体" w:hAnsi="宋体" w:eastAsia="宋体" w:cs="宋体"/>
                <w:b w:val="0"/>
                <w:color w:val="auto"/>
                <w:sz w:val="24"/>
                <w:szCs w:val="24"/>
                <w:highlight w:val="none"/>
              </w:rPr>
              <w:t>。</w:t>
            </w:r>
          </w:p>
          <w:p w14:paraId="1B996B16">
            <w:pPr>
              <w:pStyle w:val="73"/>
              <w:widowControl w:val="0"/>
              <w:spacing w:before="0" w:beforeAutospacing="0" w:after="0" w:afterAutospacing="0" w:line="240" w:lineRule="auto"/>
              <w:jc w:val="both"/>
              <w:rPr>
                <w:rFonts w:hint="eastAsia" w:ascii="宋体" w:hAnsi="宋体" w:eastAsia="宋体" w:cs="宋体"/>
                <w:b w:val="0"/>
                <w:bCs/>
                <w:color w:val="auto"/>
                <w:kern w:val="0"/>
                <w:sz w:val="24"/>
                <w:szCs w:val="24"/>
                <w:highlight w:val="none"/>
                <w:lang w:val="en-US" w:eastAsia="zh-CN" w:bidi="ar-SA"/>
              </w:rPr>
            </w:pPr>
            <w:r>
              <w:rPr>
                <w:rFonts w:hint="eastAsia" w:ascii="宋体" w:hAnsi="宋体" w:eastAsia="宋体" w:cs="宋体"/>
                <w:b w:val="0"/>
                <w:color w:val="auto"/>
                <w:sz w:val="24"/>
                <w:szCs w:val="24"/>
                <w:highlight w:val="none"/>
                <w:lang w:val="en-US" w:eastAsia="zh-CN"/>
              </w:rPr>
              <w:t xml:space="preserve"> </w:t>
            </w:r>
            <w:r>
              <w:rPr>
                <w:rFonts w:hint="eastAsia" w:ascii="宋体" w:hAnsi="宋体" w:eastAsia="宋体" w:cs="宋体"/>
                <w:b w:val="0"/>
                <w:color w:val="auto"/>
                <w:sz w:val="24"/>
                <w:szCs w:val="24"/>
                <w:highlight w:val="none"/>
              </w:rPr>
              <w:t>5</w:t>
            </w:r>
            <w:r>
              <w:rPr>
                <w:rFonts w:hint="eastAsia" w:ascii="宋体" w:hAnsi="宋体" w:eastAsia="宋体" w:cs="宋体"/>
                <w:b w:val="0"/>
                <w:color w:val="auto"/>
                <w:sz w:val="24"/>
                <w:szCs w:val="24"/>
                <w:highlight w:val="none"/>
                <w:lang w:val="en-US" w:eastAsia="zh-CN"/>
              </w:rPr>
              <w:t>.</w:t>
            </w:r>
            <w:r>
              <w:rPr>
                <w:rFonts w:hint="eastAsia" w:ascii="宋体" w:hAnsi="宋体" w:eastAsia="宋体" w:cs="宋体"/>
                <w:b w:val="0"/>
                <w:color w:val="auto"/>
                <w:sz w:val="24"/>
                <w:szCs w:val="24"/>
                <w:highlight w:val="none"/>
              </w:rPr>
              <w:t>符合条件的向小微企业分包的大中型企业价格扣除：</w:t>
            </w:r>
            <w:r>
              <w:rPr>
                <w:rFonts w:hint="eastAsia" w:ascii="宋体" w:hAnsi="宋体" w:eastAsia="宋体" w:cs="宋体"/>
                <w:b w:val="0"/>
                <w:color w:val="auto"/>
                <w:sz w:val="24"/>
                <w:szCs w:val="24"/>
                <w:highlight w:val="none"/>
                <w:u w:val="single"/>
                <w:lang w:val="en-US" w:eastAsia="zh-CN"/>
              </w:rPr>
              <w:t xml:space="preserve">      </w:t>
            </w:r>
            <w:r>
              <w:rPr>
                <w:rFonts w:hint="eastAsia" w:cs="宋体"/>
                <w:b w:val="0"/>
                <w:color w:val="auto"/>
                <w:sz w:val="24"/>
                <w:szCs w:val="24"/>
                <w:highlight w:val="none"/>
                <w:u w:val="single"/>
                <w:lang w:val="en-US" w:eastAsia="zh-CN"/>
              </w:rPr>
              <w:t>/</w:t>
            </w:r>
            <w:r>
              <w:rPr>
                <w:rFonts w:hint="eastAsia" w:ascii="宋体" w:hAnsi="宋体" w:eastAsia="宋体" w:cs="宋体"/>
                <w:b w:val="0"/>
                <w:color w:val="auto"/>
                <w:sz w:val="24"/>
                <w:szCs w:val="24"/>
                <w:highlight w:val="none"/>
                <w:u w:val="single"/>
                <w:lang w:val="en-US" w:eastAsia="zh-CN"/>
              </w:rPr>
              <w:t xml:space="preserve">  </w:t>
            </w:r>
            <w:r>
              <w:rPr>
                <w:rFonts w:hint="eastAsia" w:ascii="宋体" w:hAnsi="宋体" w:eastAsia="宋体" w:cs="宋体"/>
                <w:b w:val="0"/>
                <w:color w:val="auto"/>
                <w:sz w:val="24"/>
                <w:szCs w:val="24"/>
                <w:highlight w:val="none"/>
              </w:rPr>
              <w:t>。</w:t>
            </w:r>
            <w:r>
              <w:rPr>
                <w:rFonts w:hint="eastAsia" w:ascii="宋体" w:hAnsi="宋体" w:eastAsia="宋体" w:cs="宋体"/>
                <w:b w:val="0"/>
                <w:i w:val="0"/>
                <w:iCs/>
                <w:color w:val="auto"/>
                <w:sz w:val="24"/>
                <w:szCs w:val="24"/>
                <w:highlight w:val="none"/>
              </w:rPr>
              <w:t>（允许大中型企业向小微企业分包的项目适用）</w:t>
            </w:r>
          </w:p>
        </w:tc>
      </w:tr>
      <w:tr w14:paraId="707AAB8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90" w:hRule="atLeast"/>
        </w:trPr>
        <w:tc>
          <w:tcPr>
            <w:tcW w:w="970" w:type="dxa"/>
            <w:vAlign w:val="center"/>
          </w:tcPr>
          <w:p w14:paraId="3AAFC5B3">
            <w:pPr>
              <w:pStyle w:val="52"/>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42.5</w:t>
            </w:r>
          </w:p>
        </w:tc>
        <w:tc>
          <w:tcPr>
            <w:tcW w:w="1738" w:type="dxa"/>
            <w:vAlign w:val="center"/>
          </w:tcPr>
          <w:p w14:paraId="59931474">
            <w:pPr>
              <w:pStyle w:val="52"/>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标的所属行业</w:t>
            </w:r>
          </w:p>
          <w:p w14:paraId="27995733">
            <w:pPr>
              <w:pStyle w:val="52"/>
              <w:rPr>
                <w:rFonts w:hint="eastAsia" w:ascii="宋体" w:hAnsi="宋体" w:eastAsia="宋体" w:cs="宋体"/>
                <w:color w:val="auto"/>
                <w:sz w:val="24"/>
                <w:szCs w:val="24"/>
                <w:highlight w:val="none"/>
                <w:lang w:val="en-US" w:eastAsia="zh-CN"/>
              </w:rPr>
            </w:pPr>
            <w:r>
              <w:rPr>
                <w:rStyle w:val="34"/>
                <w:rFonts w:hint="eastAsia" w:ascii="宋体" w:hAnsi="宋体" w:eastAsia="宋体" w:cs="宋体"/>
                <w:b w:val="0"/>
                <w:color w:val="auto"/>
                <w:sz w:val="24"/>
                <w:szCs w:val="24"/>
                <w:highlight w:val="none"/>
                <w:lang w:val="en-US" w:eastAsia="zh-CN"/>
              </w:rPr>
              <w:t>参照后附</w:t>
            </w:r>
            <w:r>
              <w:rPr>
                <w:rStyle w:val="34"/>
                <w:rFonts w:hint="eastAsia" w:ascii="宋体" w:hAnsi="宋体" w:eastAsia="宋体" w:cs="宋体"/>
                <w:b w:val="0"/>
                <w:color w:val="auto"/>
                <w:sz w:val="24"/>
                <w:szCs w:val="24"/>
                <w:highlight w:val="none"/>
                <w:lang w:eastAsia="zh-CN"/>
              </w:rPr>
              <w:t>《</w:t>
            </w:r>
            <w:r>
              <w:rPr>
                <w:rStyle w:val="34"/>
                <w:rFonts w:hint="eastAsia" w:ascii="宋体" w:hAnsi="宋体" w:eastAsia="宋体" w:cs="宋体"/>
                <w:b w:val="0"/>
                <w:color w:val="auto"/>
                <w:sz w:val="24"/>
                <w:szCs w:val="24"/>
                <w:highlight w:val="none"/>
              </w:rPr>
              <w:t>工信部联企业〔2011〕300号</w:t>
            </w:r>
            <w:r>
              <w:rPr>
                <w:rStyle w:val="34"/>
                <w:rFonts w:hint="eastAsia" w:ascii="宋体" w:hAnsi="宋体" w:eastAsia="宋体" w:cs="宋体"/>
                <w:b w:val="0"/>
                <w:color w:val="auto"/>
                <w:sz w:val="24"/>
                <w:szCs w:val="24"/>
                <w:highlight w:val="none"/>
                <w:lang w:eastAsia="zh-CN"/>
              </w:rPr>
              <w:t>》</w:t>
            </w:r>
          </w:p>
        </w:tc>
        <w:tc>
          <w:tcPr>
            <w:tcW w:w="6700" w:type="dxa"/>
            <w:vAlign w:val="center"/>
          </w:tcPr>
          <w:p w14:paraId="6804F69E">
            <w:pPr>
              <w:keepNext w:val="0"/>
              <w:keepLines w:val="0"/>
              <w:widowControl/>
              <w:suppressLineNumbers w:val="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 xml:space="preserve">本项目采购标的对应的中小企业划分标准所属行业： </w:t>
            </w:r>
          </w:p>
          <w:tbl>
            <w:tblPr>
              <w:tblStyle w:val="32"/>
              <w:tblW w:w="63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76"/>
              <w:gridCol w:w="3209"/>
            </w:tblGrid>
            <w:tr w14:paraId="1CAADA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76" w:type="dxa"/>
                  <w:vAlign w:val="center"/>
                </w:tcPr>
                <w:p w14:paraId="334359A5">
                  <w:pPr>
                    <w:keepNext w:val="0"/>
                    <w:keepLines w:val="0"/>
                    <w:widowControl/>
                    <w:suppressLineNumbers w:val="0"/>
                    <w:jc w:val="center"/>
                    <w:rPr>
                      <w:rFonts w:hint="eastAsia" w:ascii="宋体" w:hAnsi="宋体" w:eastAsia="宋体" w:cs="宋体"/>
                      <w:color w:val="auto"/>
                      <w:kern w:val="0"/>
                      <w:sz w:val="24"/>
                      <w:szCs w:val="24"/>
                      <w:highlight w:val="none"/>
                      <w:vertAlign w:val="baseline"/>
                      <w:lang w:val="en-US" w:eastAsia="zh-CN" w:bidi="ar"/>
                    </w:rPr>
                  </w:pPr>
                  <w:r>
                    <w:rPr>
                      <w:rFonts w:hint="eastAsia" w:ascii="宋体" w:hAnsi="宋体" w:eastAsia="宋体" w:cs="宋体"/>
                      <w:color w:val="auto"/>
                      <w:kern w:val="0"/>
                      <w:sz w:val="24"/>
                      <w:szCs w:val="24"/>
                      <w:highlight w:val="none"/>
                      <w:lang w:val="en-US" w:eastAsia="zh-CN" w:bidi="ar"/>
                    </w:rPr>
                    <w:t>标的名称</w:t>
                  </w:r>
                </w:p>
              </w:tc>
              <w:tc>
                <w:tcPr>
                  <w:tcW w:w="3209" w:type="dxa"/>
                  <w:vAlign w:val="center"/>
                </w:tcPr>
                <w:p w14:paraId="6E9115BA">
                  <w:pPr>
                    <w:keepNext w:val="0"/>
                    <w:keepLines w:val="0"/>
                    <w:widowControl/>
                    <w:suppressLineNumbers w:val="0"/>
                    <w:jc w:val="center"/>
                    <w:rPr>
                      <w:rFonts w:hint="eastAsia" w:ascii="宋体" w:hAnsi="宋体" w:eastAsia="宋体" w:cs="宋体"/>
                      <w:color w:val="auto"/>
                      <w:kern w:val="0"/>
                      <w:sz w:val="24"/>
                      <w:szCs w:val="24"/>
                      <w:highlight w:val="none"/>
                      <w:vertAlign w:val="baseline"/>
                      <w:lang w:val="en-US" w:eastAsia="zh-CN" w:bidi="ar"/>
                    </w:rPr>
                  </w:pPr>
                  <w:r>
                    <w:rPr>
                      <w:rFonts w:hint="eastAsia" w:ascii="宋体" w:hAnsi="宋体" w:eastAsia="宋体" w:cs="宋体"/>
                      <w:color w:val="auto"/>
                      <w:kern w:val="0"/>
                      <w:sz w:val="24"/>
                      <w:szCs w:val="24"/>
                      <w:highlight w:val="none"/>
                      <w:lang w:val="en-US" w:eastAsia="zh-CN" w:bidi="ar"/>
                    </w:rPr>
                    <w:t>中小企业划分标准所属行业</w:t>
                  </w:r>
                </w:p>
              </w:tc>
            </w:tr>
            <w:tr w14:paraId="585F91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176" w:type="dxa"/>
                  <w:vAlign w:val="center"/>
                </w:tcPr>
                <w:p w14:paraId="402B250B">
                  <w:pPr>
                    <w:keepNext w:val="0"/>
                    <w:keepLines w:val="0"/>
                    <w:widowControl/>
                    <w:suppressLineNumbers w:val="0"/>
                    <w:jc w:val="center"/>
                    <w:rPr>
                      <w:rFonts w:hint="default" w:ascii="宋体" w:hAnsi="宋体" w:eastAsia="宋体" w:cs="宋体"/>
                      <w:b/>
                      <w:bCs/>
                      <w:color w:val="auto"/>
                      <w:kern w:val="0"/>
                      <w:sz w:val="24"/>
                      <w:szCs w:val="24"/>
                      <w:highlight w:val="none"/>
                      <w:vertAlign w:val="baseline"/>
                      <w:lang w:val="en-US" w:eastAsia="zh-CN" w:bidi="ar"/>
                    </w:rPr>
                  </w:pPr>
                  <w:r>
                    <w:rPr>
                      <w:rFonts w:hint="default" w:ascii="宋体" w:hAnsi="宋体" w:eastAsia="宋体" w:cs="宋体"/>
                      <w:b/>
                      <w:bCs/>
                      <w:color w:val="auto"/>
                      <w:kern w:val="0"/>
                      <w:sz w:val="24"/>
                      <w:szCs w:val="24"/>
                      <w:highlight w:val="none"/>
                      <w:vertAlign w:val="baseline"/>
                      <w:lang w:val="en-US" w:eastAsia="zh-CN" w:bidi="ar"/>
                    </w:rPr>
                    <w:t>X线正电子发射断层扫描仪（PET-CT）</w:t>
                  </w:r>
                </w:p>
              </w:tc>
              <w:tc>
                <w:tcPr>
                  <w:tcW w:w="3209" w:type="dxa"/>
                  <w:vAlign w:val="center"/>
                </w:tcPr>
                <w:p w14:paraId="6A9C8731">
                  <w:pPr>
                    <w:keepNext w:val="0"/>
                    <w:keepLines w:val="0"/>
                    <w:widowControl/>
                    <w:suppressLineNumbers w:val="0"/>
                    <w:jc w:val="center"/>
                    <w:rPr>
                      <w:rFonts w:hint="default" w:ascii="宋体" w:hAnsi="宋体" w:eastAsia="宋体" w:cs="宋体"/>
                      <w:b/>
                      <w:bCs/>
                      <w:color w:val="auto"/>
                      <w:kern w:val="0"/>
                      <w:sz w:val="24"/>
                      <w:szCs w:val="24"/>
                      <w:highlight w:val="none"/>
                      <w:vertAlign w:val="baseline"/>
                      <w:lang w:val="en-US" w:eastAsia="zh-CN" w:bidi="ar"/>
                    </w:rPr>
                  </w:pPr>
                  <w:r>
                    <w:rPr>
                      <w:rFonts w:hint="eastAsia" w:cs="宋体"/>
                      <w:b/>
                      <w:bCs/>
                      <w:color w:val="auto"/>
                      <w:kern w:val="0"/>
                      <w:sz w:val="24"/>
                      <w:szCs w:val="24"/>
                      <w:highlight w:val="none"/>
                      <w:vertAlign w:val="baseline"/>
                      <w:lang w:val="en-US" w:eastAsia="zh-CN" w:bidi="ar"/>
                    </w:rPr>
                    <w:t>工业</w:t>
                  </w:r>
                </w:p>
              </w:tc>
            </w:tr>
          </w:tbl>
          <w:p w14:paraId="56AC7DD6">
            <w:pPr>
              <w:pStyle w:val="52"/>
              <w:rPr>
                <w:rFonts w:hint="eastAsia" w:ascii="宋体" w:hAnsi="宋体" w:eastAsia="宋体" w:cs="宋体"/>
                <w:color w:val="auto"/>
                <w:sz w:val="24"/>
                <w:szCs w:val="24"/>
                <w:highlight w:val="none"/>
              </w:rPr>
            </w:pPr>
          </w:p>
        </w:tc>
      </w:tr>
      <w:tr w14:paraId="545B049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1141" w:hRule="atLeast"/>
        </w:trPr>
        <w:tc>
          <w:tcPr>
            <w:tcW w:w="970" w:type="dxa"/>
            <w:shd w:val="clear" w:color="auto" w:fill="auto"/>
            <w:vAlign w:val="center"/>
          </w:tcPr>
          <w:p w14:paraId="18792692">
            <w:pPr>
              <w:pStyle w:val="52"/>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43.5</w:t>
            </w:r>
          </w:p>
        </w:tc>
        <w:tc>
          <w:tcPr>
            <w:tcW w:w="1738" w:type="dxa"/>
            <w:shd w:val="clear" w:color="auto" w:fill="auto"/>
            <w:vAlign w:val="center"/>
          </w:tcPr>
          <w:p w14:paraId="69CF29E9">
            <w:pPr>
              <w:pStyle w:val="52"/>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优先采购创新节能环保产品</w:t>
            </w:r>
          </w:p>
        </w:tc>
        <w:tc>
          <w:tcPr>
            <w:tcW w:w="6700" w:type="dxa"/>
            <w:shd w:val="clear" w:color="auto" w:fill="auto"/>
            <w:vAlign w:val="center"/>
          </w:tcPr>
          <w:p w14:paraId="299F639F">
            <w:pPr>
              <w:pStyle w:val="52"/>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所投产品纳入创新产品应用示范推荐目录内企业、所投产品获得节能产品或环境标志产品认证证书的企业报价给予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的价格扣除。</w:t>
            </w:r>
            <w:r>
              <w:rPr>
                <w:rFonts w:hint="eastAsia" w:cs="宋体"/>
                <w:color w:val="auto"/>
                <w:sz w:val="24"/>
                <w:szCs w:val="24"/>
                <w:highlight w:val="none"/>
                <w:lang w:val="en-US" w:eastAsia="zh-CN"/>
              </w:rPr>
              <w:t>(不适用)</w:t>
            </w:r>
          </w:p>
        </w:tc>
      </w:tr>
      <w:tr w14:paraId="140D505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3379" w:hRule="atLeast"/>
        </w:trPr>
        <w:tc>
          <w:tcPr>
            <w:tcW w:w="970" w:type="dxa"/>
            <w:tcBorders>
              <w:right w:val="single" w:color="auto" w:sz="4" w:space="0"/>
            </w:tcBorders>
            <w:vAlign w:val="center"/>
          </w:tcPr>
          <w:p w14:paraId="08D3F63A">
            <w:pPr>
              <w:pStyle w:val="52"/>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.1</w:t>
            </w:r>
          </w:p>
        </w:tc>
        <w:tc>
          <w:tcPr>
            <w:tcW w:w="1738" w:type="dxa"/>
            <w:tcBorders>
              <w:left w:val="single" w:color="auto" w:sz="4" w:space="0"/>
              <w:right w:val="single" w:color="auto" w:sz="4" w:space="0"/>
            </w:tcBorders>
            <w:vAlign w:val="center"/>
          </w:tcPr>
          <w:p w14:paraId="761CC99B">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政府采购</w:t>
            </w:r>
          </w:p>
          <w:p w14:paraId="63F2C783">
            <w:pPr>
              <w:pStyle w:val="52"/>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t>合同融资政策</w:t>
            </w:r>
          </w:p>
        </w:tc>
        <w:tc>
          <w:tcPr>
            <w:tcW w:w="6700" w:type="dxa"/>
            <w:tcBorders>
              <w:left w:val="single" w:color="auto" w:sz="4" w:space="0"/>
            </w:tcBorders>
            <w:vAlign w:val="center"/>
          </w:tcPr>
          <w:p w14:paraId="1E675E88">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 xml:space="preserve">  1.</w:t>
            </w:r>
            <w:r>
              <w:rPr>
                <w:rFonts w:hint="eastAsia" w:ascii="宋体" w:hAnsi="宋体" w:eastAsia="宋体" w:cs="宋体"/>
                <w:i w:val="0"/>
                <w:iCs w:val="0"/>
                <w:color w:val="auto"/>
                <w:sz w:val="24"/>
                <w:szCs w:val="24"/>
                <w:highlight w:val="none"/>
              </w:rPr>
              <w:t>有融资需求的</w:t>
            </w:r>
            <w:r>
              <w:rPr>
                <w:rFonts w:hint="eastAsia" w:ascii="宋体" w:hAnsi="宋体" w:eastAsia="宋体" w:cs="宋体"/>
                <w:i w:val="0"/>
                <w:iCs w:val="0"/>
                <w:color w:val="auto"/>
                <w:sz w:val="24"/>
                <w:szCs w:val="24"/>
                <w:highlight w:val="none"/>
                <w:lang w:val="en-US" w:eastAsia="zh-CN"/>
              </w:rPr>
              <w:t>成交</w:t>
            </w:r>
            <w:r>
              <w:rPr>
                <w:rFonts w:hint="eastAsia" w:ascii="宋体" w:hAnsi="宋体" w:eastAsia="宋体" w:cs="宋体"/>
                <w:i w:val="0"/>
                <w:iCs w:val="0"/>
                <w:color w:val="auto"/>
                <w:sz w:val="24"/>
                <w:szCs w:val="24"/>
                <w:highlight w:val="none"/>
              </w:rPr>
              <w:t>人在获得政府采购</w:t>
            </w:r>
            <w:r>
              <w:rPr>
                <w:rFonts w:hint="eastAsia" w:ascii="宋体" w:hAnsi="宋体" w:eastAsia="宋体" w:cs="宋体"/>
                <w:i w:val="0"/>
                <w:iCs w:val="0"/>
                <w:color w:val="auto"/>
                <w:sz w:val="24"/>
                <w:szCs w:val="24"/>
                <w:highlight w:val="none"/>
                <w:lang w:val="en-US" w:eastAsia="zh-CN"/>
              </w:rPr>
              <w:t>成交</w:t>
            </w:r>
            <w:r>
              <w:rPr>
                <w:rFonts w:hint="eastAsia" w:ascii="宋体" w:hAnsi="宋体" w:eastAsia="宋体" w:cs="宋体"/>
                <w:i w:val="0"/>
                <w:iCs w:val="0"/>
                <w:color w:val="auto"/>
                <w:sz w:val="24"/>
                <w:szCs w:val="24"/>
                <w:highlight w:val="none"/>
              </w:rPr>
              <w:t>通知书后，即可向开展“政采贷”业务的金融机构提出申请，金融机构依据政府采购</w:t>
            </w:r>
            <w:r>
              <w:rPr>
                <w:rFonts w:hint="eastAsia" w:ascii="宋体" w:hAnsi="宋体" w:eastAsia="宋体" w:cs="宋体"/>
                <w:i w:val="0"/>
                <w:iCs w:val="0"/>
                <w:color w:val="auto"/>
                <w:sz w:val="24"/>
                <w:szCs w:val="24"/>
                <w:highlight w:val="none"/>
                <w:lang w:val="en-US" w:eastAsia="zh-CN"/>
              </w:rPr>
              <w:t>成交</w:t>
            </w:r>
            <w:r>
              <w:rPr>
                <w:rFonts w:hint="eastAsia" w:ascii="宋体" w:hAnsi="宋体" w:eastAsia="宋体" w:cs="宋体"/>
                <w:i w:val="0"/>
                <w:iCs w:val="0"/>
                <w:color w:val="auto"/>
                <w:sz w:val="24"/>
                <w:szCs w:val="24"/>
                <w:highlight w:val="none"/>
              </w:rPr>
              <w:t>通知书和政府采购合同，为中小微企业提供融资服务。</w:t>
            </w:r>
          </w:p>
          <w:p w14:paraId="61838333">
            <w:pPr>
              <w:pStyle w:val="52"/>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渠道和方式：</w:t>
            </w:r>
            <w:r>
              <w:rPr>
                <w:rFonts w:hint="eastAsia" w:ascii="宋体" w:hAnsi="宋体" w:eastAsia="宋体" w:cs="宋体"/>
                <w:i w:val="0"/>
                <w:iCs w:val="0"/>
                <w:color w:val="auto"/>
                <w:sz w:val="24"/>
                <w:szCs w:val="24"/>
                <w:highlight w:val="none"/>
                <w:lang w:val="en-US" w:eastAsia="zh-CN"/>
              </w:rPr>
              <w:t>详见新疆政府采购网</w:t>
            </w:r>
            <w:r>
              <w:rPr>
                <w:rFonts w:hint="eastAsia" w:ascii="宋体" w:hAnsi="宋体" w:eastAsia="宋体" w:cs="宋体"/>
                <w:i w:val="0"/>
                <w:iCs w:val="0"/>
                <w:color w:val="auto"/>
                <w:sz w:val="24"/>
                <w:szCs w:val="24"/>
                <w:highlight w:val="none"/>
              </w:rPr>
              <w:t>。</w:t>
            </w:r>
          </w:p>
          <w:p w14:paraId="175D9C4F">
            <w:pPr>
              <w:pStyle w:val="52"/>
              <w:ind w:firstLine="240" w:firstLineChars="100"/>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为支持和促进中小企业发展，进一步发挥政府采购政策功能，本采购项目适用于政府采购融资优惠、政采贷、电子保函相关政策，鼓励</w:t>
            </w:r>
            <w:r>
              <w:rPr>
                <w:rFonts w:hint="eastAsia" w:cs="宋体"/>
                <w:i w:val="0"/>
                <w:iCs w:val="0"/>
                <w:color w:val="auto"/>
                <w:sz w:val="24"/>
                <w:szCs w:val="24"/>
                <w:highlight w:val="none"/>
                <w:lang w:eastAsia="zh-CN"/>
              </w:rPr>
              <w:t>投标人</w:t>
            </w:r>
            <w:r>
              <w:rPr>
                <w:rFonts w:hint="eastAsia" w:ascii="宋体" w:hAnsi="宋体" w:eastAsia="宋体" w:cs="宋体"/>
                <w:i w:val="0"/>
                <w:iCs w:val="0"/>
                <w:color w:val="auto"/>
                <w:sz w:val="24"/>
                <w:szCs w:val="24"/>
                <w:highlight w:val="none"/>
              </w:rPr>
              <w:t>使用电子保函代替现金缴纳各类保证金，在线完成保函的申请、审核、开票、出函等环节，投标企业注意区分办理保函类型，并确认投标有效期，</w:t>
            </w:r>
            <w:r>
              <w:rPr>
                <w:rFonts w:hint="eastAsia" w:cs="宋体"/>
                <w:i w:val="0"/>
                <w:iCs w:val="0"/>
                <w:color w:val="auto"/>
                <w:sz w:val="24"/>
                <w:szCs w:val="24"/>
                <w:highlight w:val="none"/>
                <w:lang w:eastAsia="zh-CN"/>
              </w:rPr>
              <w:t>投标人</w:t>
            </w:r>
            <w:r>
              <w:rPr>
                <w:rFonts w:hint="eastAsia" w:ascii="宋体" w:hAnsi="宋体" w:eastAsia="宋体" w:cs="宋体"/>
                <w:i w:val="0"/>
                <w:iCs w:val="0"/>
                <w:color w:val="auto"/>
                <w:sz w:val="24"/>
                <w:szCs w:val="24"/>
                <w:highlight w:val="none"/>
              </w:rPr>
              <w:t>若想了解或使用相关金融服务，可登录【政府采购网】-顶部通栏【信用融资】、【办事指南】模块查看</w:t>
            </w:r>
            <w:r>
              <w:rPr>
                <w:rFonts w:hint="eastAsia" w:ascii="宋体" w:hAnsi="宋体" w:eastAsia="宋体" w:cs="宋体"/>
                <w:i w:val="0"/>
                <w:iCs w:val="0"/>
                <w:color w:val="auto"/>
                <w:sz w:val="24"/>
                <w:szCs w:val="24"/>
                <w:highlight w:val="none"/>
                <w:lang w:eastAsia="zh-CN"/>
              </w:rPr>
              <w:t>。</w:t>
            </w:r>
          </w:p>
        </w:tc>
      </w:tr>
      <w:tr w14:paraId="48C9FD1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6123" w:hRule="atLeast"/>
        </w:trPr>
        <w:tc>
          <w:tcPr>
            <w:tcW w:w="970" w:type="dxa"/>
            <w:tcBorders>
              <w:right w:val="single" w:color="auto" w:sz="4" w:space="0"/>
            </w:tcBorders>
            <w:vAlign w:val="center"/>
          </w:tcPr>
          <w:p w14:paraId="59449E7E">
            <w:pPr>
              <w:pStyle w:val="52"/>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.1</w:t>
            </w:r>
          </w:p>
        </w:tc>
        <w:tc>
          <w:tcPr>
            <w:tcW w:w="1738" w:type="dxa"/>
            <w:tcBorders>
              <w:right w:val="single" w:color="auto" w:sz="4" w:space="0"/>
            </w:tcBorders>
            <w:vAlign w:val="center"/>
          </w:tcPr>
          <w:p w14:paraId="7068A1E1">
            <w:pPr>
              <w:pStyle w:val="5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需要补充的其他内容</w:t>
            </w:r>
          </w:p>
        </w:tc>
        <w:tc>
          <w:tcPr>
            <w:tcW w:w="6700" w:type="dxa"/>
            <w:tcBorders>
              <w:left w:val="single" w:color="auto" w:sz="4" w:space="0"/>
            </w:tcBorders>
            <w:vAlign w:val="center"/>
          </w:tcPr>
          <w:p w14:paraId="67ACB8C4">
            <w:pPr>
              <w:pStyle w:val="85"/>
              <w:spacing w:line="240" w:lineRule="auto"/>
              <w:jc w:val="both"/>
              <w:rPr>
                <w:rFonts w:hint="eastAsia" w:ascii="宋体" w:hAnsi="宋体" w:cs="宋体"/>
                <w:b/>
                <w:bCs/>
                <w:sz w:val="24"/>
                <w:szCs w:val="24"/>
                <w:highlight w:val="none"/>
              </w:rPr>
            </w:pPr>
            <w:r>
              <w:rPr>
                <w:rFonts w:hint="eastAsia" w:ascii="宋体" w:hAnsi="宋体" w:cs="宋体"/>
                <w:b/>
                <w:bCs/>
                <w:sz w:val="24"/>
                <w:szCs w:val="24"/>
                <w:highlight w:val="none"/>
              </w:rPr>
              <w:t>注意事项：</w:t>
            </w:r>
          </w:p>
          <w:p w14:paraId="68391649">
            <w:pPr>
              <w:pStyle w:val="85"/>
              <w:numPr>
                <w:ilvl w:val="0"/>
                <w:numId w:val="5"/>
              </w:numPr>
              <w:spacing w:line="240" w:lineRule="auto"/>
              <w:jc w:val="both"/>
              <w:rPr>
                <w:rFonts w:hint="eastAsia" w:ascii="宋体" w:hAnsi="宋体" w:cs="宋体"/>
                <w:b/>
                <w:kern w:val="1"/>
                <w:sz w:val="24"/>
                <w:szCs w:val="24"/>
                <w:highlight w:val="none"/>
              </w:rPr>
            </w:pPr>
            <w:r>
              <w:rPr>
                <w:rFonts w:hint="eastAsia" w:ascii="宋体" w:hAnsi="宋体" w:cs="宋体"/>
                <w:b/>
                <w:kern w:val="1"/>
                <w:sz w:val="24"/>
                <w:szCs w:val="24"/>
                <w:highlight w:val="none"/>
              </w:rPr>
              <w:t>电子标书加盖印章的两种方式:一种为电子章；另一种为纸质版盖章后扫描，两种方式的任意一种在评审时均予认可。</w:t>
            </w:r>
          </w:p>
          <w:p w14:paraId="48509A24">
            <w:pPr>
              <w:pStyle w:val="52"/>
              <w:numPr>
                <w:ilvl w:val="0"/>
                <w:numId w:val="5"/>
              </w:numPr>
              <w:spacing w:line="240" w:lineRule="auto"/>
              <w:ind w:left="0" w:leftChars="0" w:firstLine="0" w:firstLineChars="0"/>
              <w:rPr>
                <w:rFonts w:hint="eastAsia" w:ascii="宋体" w:hAnsi="宋体" w:cs="宋体"/>
                <w:b/>
                <w:bCs/>
                <w:kern w:val="2"/>
                <w:sz w:val="24"/>
                <w:szCs w:val="24"/>
                <w:highlight w:val="none"/>
              </w:rPr>
            </w:pPr>
            <w:r>
              <w:rPr>
                <w:rFonts w:hint="eastAsia" w:ascii="宋体" w:hAnsi="宋体" w:cs="宋体"/>
                <w:b/>
                <w:bCs/>
                <w:kern w:val="2"/>
                <w:sz w:val="24"/>
                <w:szCs w:val="24"/>
                <w:highlight w:val="none"/>
              </w:rPr>
              <w:t>供应商在上传电子响应文件时，需在“商务技术响应文件”中按响应文件格式要求上传完整的响应文件（从封面开始至最后一页）。</w:t>
            </w:r>
          </w:p>
          <w:p w14:paraId="3390769F">
            <w:pPr>
              <w:pStyle w:val="52"/>
              <w:widowControl w:val="0"/>
              <w:numPr>
                <w:ilvl w:val="0"/>
                <w:numId w:val="0"/>
              </w:numPr>
              <w:spacing w:line="240" w:lineRule="auto"/>
              <w:rPr>
                <w:rFonts w:hint="eastAsia" w:cs="宋体"/>
                <w:b/>
                <w:bCs/>
                <w:kern w:val="2"/>
                <w:sz w:val="24"/>
                <w:szCs w:val="24"/>
                <w:highlight w:val="yellow"/>
                <w:lang w:val="en-US" w:eastAsia="zh-CN"/>
              </w:rPr>
            </w:pPr>
            <w:r>
              <w:rPr>
                <w:rFonts w:hint="eastAsia" w:cs="宋体"/>
                <w:b/>
                <w:bCs/>
                <w:kern w:val="2"/>
                <w:sz w:val="24"/>
                <w:szCs w:val="24"/>
                <w:highlight w:val="none"/>
                <w:lang w:val="en-US" w:eastAsia="zh-CN"/>
              </w:rPr>
              <w:t>3、原厂保修服务：自验收合格之日起计保修期，提供整机（包含球管、探测器、晶体等所有到货安装设备）原厂保修服务≥6年，承担保修期内设备任何故障产生的费用。</w:t>
            </w:r>
          </w:p>
          <w:p w14:paraId="22EEAC7B">
            <w:pPr>
              <w:pStyle w:val="52"/>
              <w:widowControl w:val="0"/>
              <w:numPr>
                <w:ilvl w:val="0"/>
                <w:numId w:val="0"/>
              </w:numPr>
              <w:spacing w:line="240" w:lineRule="auto"/>
              <w:rPr>
                <w:rFonts w:hint="eastAsia" w:cs="宋体"/>
                <w:b/>
                <w:bCs/>
                <w:kern w:val="2"/>
                <w:sz w:val="24"/>
                <w:szCs w:val="24"/>
                <w:highlight w:val="none"/>
                <w:lang w:val="en-US" w:eastAsia="zh-CN"/>
              </w:rPr>
            </w:pPr>
            <w:r>
              <w:rPr>
                <w:rFonts w:hint="eastAsia" w:cs="宋体"/>
                <w:b/>
                <w:bCs/>
                <w:kern w:val="2"/>
                <w:sz w:val="24"/>
                <w:szCs w:val="24"/>
                <w:highlight w:val="none"/>
                <w:lang w:val="en-US" w:eastAsia="zh-CN"/>
              </w:rPr>
              <w:t>4、质量保函：1）中标供应商须出具具有担保资质的公司出具的书面质量保函；2）须保证标的物质量符合合同约定的技术标准和质量要求；3）在约定的售后服务期（保修服务期）内未按要求提供相应技术支持时，不予退还质量保函。具体内容详见合同内质量保函描述。具体以实际签订合同为准，响应采购人要求。</w:t>
            </w:r>
          </w:p>
          <w:p w14:paraId="3ABD7B6F">
            <w:pPr>
              <w:pStyle w:val="52"/>
              <w:widowControl w:val="0"/>
              <w:numPr>
                <w:ilvl w:val="0"/>
                <w:numId w:val="0"/>
              </w:numPr>
              <w:spacing w:line="240" w:lineRule="auto"/>
              <w:rPr>
                <w:rFonts w:hint="default" w:cs="宋体"/>
                <w:b/>
                <w:bCs/>
                <w:kern w:val="2"/>
                <w:sz w:val="24"/>
                <w:szCs w:val="24"/>
                <w:highlight w:val="none"/>
                <w:lang w:val="en-US" w:eastAsia="zh-CN"/>
              </w:rPr>
            </w:pPr>
            <w:r>
              <w:rPr>
                <w:rFonts w:hint="eastAsia" w:cs="宋体"/>
                <w:b/>
                <w:bCs/>
                <w:kern w:val="2"/>
                <w:sz w:val="24"/>
                <w:szCs w:val="24"/>
                <w:highlight w:val="none"/>
                <w:lang w:val="en-US" w:eastAsia="zh-CN"/>
              </w:rPr>
              <w:t>5、所投产品须为当年生产出厂产品。</w:t>
            </w:r>
          </w:p>
          <w:p w14:paraId="331C2470">
            <w:pPr>
              <w:pStyle w:val="52"/>
              <w:widowControl w:val="0"/>
              <w:numPr>
                <w:ilvl w:val="0"/>
                <w:numId w:val="0"/>
              </w:numPr>
              <w:spacing w:line="240" w:lineRule="auto"/>
              <w:rPr>
                <w:rFonts w:hint="default" w:ascii="宋体" w:hAnsi="宋体" w:cs="宋体"/>
                <w:b/>
                <w:bCs/>
                <w:kern w:val="2"/>
                <w:sz w:val="21"/>
                <w:szCs w:val="21"/>
                <w:highlight w:val="none"/>
                <w:lang w:val="en-US" w:eastAsia="zh-CN"/>
              </w:rPr>
            </w:pPr>
            <w:r>
              <w:rPr>
                <w:rFonts w:hint="eastAsia" w:cs="宋体"/>
                <w:b/>
                <w:bCs/>
                <w:kern w:val="2"/>
                <w:sz w:val="24"/>
                <w:szCs w:val="24"/>
                <w:highlight w:val="none"/>
                <w:lang w:val="en-US" w:eastAsia="zh-CN"/>
              </w:rPr>
              <w:t>6、本标针对每种货物只接受一个报价，不接受备选方案，但不拒绝优惠声明，优惠声明需在《开标一览表》备注中填写。</w:t>
            </w:r>
          </w:p>
        </w:tc>
      </w:tr>
      <w:tr w14:paraId="0C22694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408" w:type="dxa"/>
            <w:gridSpan w:val="3"/>
            <w:vAlign w:val="center"/>
          </w:tcPr>
          <w:p w14:paraId="16CF3F9F">
            <w:pPr>
              <w:pStyle w:val="52"/>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备注:</w:t>
            </w:r>
          </w:p>
          <w:p w14:paraId="1ECD6A03">
            <w:pPr>
              <w:pStyle w:val="52"/>
              <w:rPr>
                <w:rFonts w:hint="eastAsia" w:ascii="宋体" w:hAnsi="宋体" w:eastAsia="宋体" w:cs="宋体"/>
                <w:color w:val="auto"/>
                <w:sz w:val="24"/>
                <w:szCs w:val="24"/>
                <w:highlight w:val="yellow"/>
              </w:rPr>
            </w:pPr>
            <w:r>
              <w:rPr>
                <w:rFonts w:hint="eastAsia" w:ascii="宋体" w:hAnsi="宋体" w:eastAsia="宋体" w:cs="宋体"/>
                <w:color w:val="auto"/>
                <w:sz w:val="24"/>
                <w:szCs w:val="24"/>
                <w:highlight w:val="none"/>
              </w:rPr>
              <w:t>1. 除本招标文件另有规定外，招标文件中出现的类似于“近三年”或“前三年”、“近五年”或“前五年”均指递交投标文件</w:t>
            </w:r>
            <w:r>
              <w:rPr>
                <w:rFonts w:hint="eastAsia" w:ascii="宋体" w:hAnsi="宋体" w:eastAsia="宋体" w:cs="宋体"/>
                <w:color w:val="auto"/>
                <w:sz w:val="24"/>
                <w:szCs w:val="24"/>
                <w:highlight w:val="none"/>
                <w:lang w:val="en-US" w:eastAsia="zh-CN"/>
              </w:rPr>
              <w:t>截止</w:t>
            </w:r>
            <w:r>
              <w:rPr>
                <w:rFonts w:hint="eastAsia" w:ascii="宋体" w:hAnsi="宋体" w:eastAsia="宋体" w:cs="宋体"/>
                <w:color w:val="auto"/>
                <w:sz w:val="24"/>
                <w:szCs w:val="24"/>
                <w:highlight w:val="none"/>
              </w:rPr>
              <w:t>时间</w:t>
            </w:r>
            <w:r>
              <w:rPr>
                <w:rFonts w:hint="eastAsia" w:ascii="宋体" w:hAnsi="宋体" w:eastAsia="宋体" w:cs="宋体"/>
                <w:color w:val="auto"/>
                <w:sz w:val="24"/>
                <w:szCs w:val="24"/>
                <w:highlight w:val="none"/>
                <w:lang w:val="en-US" w:eastAsia="zh-CN"/>
              </w:rPr>
              <w:t>之</w:t>
            </w:r>
            <w:r>
              <w:rPr>
                <w:rFonts w:hint="eastAsia" w:ascii="宋体" w:hAnsi="宋体" w:eastAsia="宋体" w:cs="宋体"/>
                <w:color w:val="auto"/>
                <w:sz w:val="24"/>
                <w:szCs w:val="24"/>
                <w:highlight w:val="none"/>
              </w:rPr>
              <w:t>前三年或前五年，以此类推。如：递交投标文件时间为</w:t>
            </w:r>
            <w:r>
              <w:rPr>
                <w:rFonts w:hint="eastAsia" w:cs="宋体"/>
                <w:color w:val="auto"/>
                <w:sz w:val="24"/>
                <w:szCs w:val="24"/>
                <w:highlight w:val="none"/>
                <w:lang w:val="en-US" w:eastAsia="zh-CN"/>
              </w:rPr>
              <w:t>2025</w:t>
            </w:r>
            <w:r>
              <w:rPr>
                <w:rFonts w:hint="eastAsia" w:ascii="宋体" w:hAnsi="宋体" w:eastAsia="宋体" w:cs="宋体"/>
                <w:color w:val="auto"/>
                <w:sz w:val="24"/>
                <w:szCs w:val="24"/>
                <w:highlight w:val="none"/>
              </w:rPr>
              <w:t>年</w:t>
            </w:r>
            <w:r>
              <w:rPr>
                <w:rFonts w:hint="eastAsia" w:cs="宋体"/>
                <w:color w:val="auto"/>
                <w:sz w:val="24"/>
                <w:szCs w:val="24"/>
                <w:highlight w:val="none"/>
                <w:lang w:val="en-US" w:eastAsia="zh-CN"/>
              </w:rPr>
              <w:t>4</w:t>
            </w:r>
            <w:r>
              <w:rPr>
                <w:rFonts w:hint="eastAsia" w:ascii="宋体" w:hAnsi="宋体" w:eastAsia="宋体" w:cs="宋体"/>
                <w:color w:val="auto"/>
                <w:sz w:val="24"/>
                <w:szCs w:val="24"/>
                <w:highlight w:val="none"/>
              </w:rPr>
              <w:t>月</w:t>
            </w:r>
            <w:r>
              <w:rPr>
                <w:rFonts w:hint="eastAsia" w:cs="宋体"/>
                <w:color w:val="auto"/>
                <w:sz w:val="24"/>
                <w:szCs w:val="24"/>
                <w:highlight w:val="none"/>
                <w:lang w:val="en-US" w:eastAsia="zh-CN"/>
              </w:rPr>
              <w:t>1</w:t>
            </w:r>
            <w:r>
              <w:rPr>
                <w:rFonts w:hint="eastAsia" w:ascii="宋体" w:hAnsi="宋体" w:eastAsia="宋体" w:cs="宋体"/>
                <w:color w:val="auto"/>
                <w:sz w:val="24"/>
                <w:szCs w:val="24"/>
                <w:highlight w:val="none"/>
              </w:rPr>
              <w:t>日，则“近三年”是指</w:t>
            </w:r>
            <w:r>
              <w:rPr>
                <w:rFonts w:hint="eastAsia" w:cs="宋体"/>
                <w:color w:val="auto"/>
                <w:sz w:val="24"/>
                <w:szCs w:val="24"/>
                <w:highlight w:val="none"/>
                <w:lang w:val="en-US" w:eastAsia="zh-CN"/>
              </w:rPr>
              <w:t>2022</w:t>
            </w:r>
            <w:r>
              <w:rPr>
                <w:rFonts w:hint="eastAsia" w:ascii="宋体" w:hAnsi="宋体" w:eastAsia="宋体" w:cs="宋体"/>
                <w:color w:val="auto"/>
                <w:sz w:val="24"/>
                <w:szCs w:val="24"/>
                <w:highlight w:val="none"/>
              </w:rPr>
              <w:t>年</w:t>
            </w:r>
            <w:r>
              <w:rPr>
                <w:rFonts w:hint="eastAsia" w:cs="宋体"/>
                <w:color w:val="auto"/>
                <w:sz w:val="24"/>
                <w:szCs w:val="24"/>
                <w:highlight w:val="none"/>
                <w:lang w:val="en-US" w:eastAsia="zh-CN"/>
              </w:rPr>
              <w:t>4</w:t>
            </w:r>
            <w:r>
              <w:rPr>
                <w:rFonts w:hint="eastAsia" w:ascii="宋体" w:hAnsi="宋体" w:eastAsia="宋体" w:cs="宋体"/>
                <w:color w:val="auto"/>
                <w:sz w:val="24"/>
                <w:szCs w:val="24"/>
                <w:highlight w:val="none"/>
              </w:rPr>
              <w:t>月</w:t>
            </w:r>
            <w:r>
              <w:rPr>
                <w:rFonts w:hint="eastAsia" w:cs="宋体"/>
                <w:color w:val="auto"/>
                <w:sz w:val="24"/>
                <w:szCs w:val="24"/>
                <w:highlight w:val="none"/>
                <w:lang w:val="en-US" w:eastAsia="zh-CN"/>
              </w:rPr>
              <w:t>1</w:t>
            </w:r>
            <w:r>
              <w:rPr>
                <w:rFonts w:hint="eastAsia" w:ascii="宋体" w:hAnsi="宋体" w:eastAsia="宋体" w:cs="宋体"/>
                <w:color w:val="auto"/>
                <w:sz w:val="24"/>
                <w:szCs w:val="24"/>
                <w:highlight w:val="none"/>
              </w:rPr>
              <w:t>日至</w:t>
            </w:r>
            <w:r>
              <w:rPr>
                <w:rFonts w:hint="eastAsia" w:cs="宋体"/>
                <w:color w:val="auto"/>
                <w:sz w:val="24"/>
                <w:szCs w:val="24"/>
                <w:highlight w:val="none"/>
                <w:lang w:val="en-US" w:eastAsia="zh-CN"/>
              </w:rPr>
              <w:t>2025</w:t>
            </w:r>
            <w:r>
              <w:rPr>
                <w:rFonts w:hint="eastAsia" w:ascii="宋体" w:hAnsi="宋体" w:eastAsia="宋体" w:cs="宋体"/>
                <w:color w:val="auto"/>
                <w:sz w:val="24"/>
                <w:szCs w:val="24"/>
                <w:highlight w:val="none"/>
              </w:rPr>
              <w:t>年</w:t>
            </w:r>
            <w:r>
              <w:rPr>
                <w:rFonts w:hint="eastAsia" w:cs="宋体"/>
                <w:color w:val="auto"/>
                <w:sz w:val="24"/>
                <w:szCs w:val="24"/>
                <w:highlight w:val="none"/>
                <w:lang w:val="en-US" w:eastAsia="zh-CN"/>
              </w:rPr>
              <w:t>4</w:t>
            </w:r>
            <w:r>
              <w:rPr>
                <w:rFonts w:hint="eastAsia" w:ascii="宋体" w:hAnsi="宋体" w:eastAsia="宋体" w:cs="宋体"/>
                <w:color w:val="auto"/>
                <w:sz w:val="24"/>
                <w:szCs w:val="24"/>
                <w:highlight w:val="none"/>
              </w:rPr>
              <w:t xml:space="preserve">月  </w:t>
            </w:r>
            <w:r>
              <w:rPr>
                <w:rFonts w:hint="eastAsia" w:cs="宋体"/>
                <w:color w:val="auto"/>
                <w:sz w:val="24"/>
                <w:szCs w:val="24"/>
                <w:highlight w:val="none"/>
                <w:lang w:val="en-US" w:eastAsia="zh-CN"/>
              </w:rPr>
              <w:t>1</w:t>
            </w:r>
            <w:r>
              <w:rPr>
                <w:rFonts w:hint="eastAsia" w:ascii="宋体" w:hAnsi="宋体" w:eastAsia="宋体" w:cs="宋体"/>
                <w:color w:val="auto"/>
                <w:sz w:val="24"/>
                <w:szCs w:val="24"/>
                <w:highlight w:val="none"/>
              </w:rPr>
              <w:t>日。</w:t>
            </w:r>
          </w:p>
          <w:p w14:paraId="6F66C892">
            <w:pPr>
              <w:pStyle w:val="5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 本招标文件所称的“以上”、“以下”、“内”、“以内”，包括本数；所称的“不足”，不包括本数。</w:t>
            </w:r>
          </w:p>
        </w:tc>
      </w:tr>
    </w:tbl>
    <w:p w14:paraId="452C548F">
      <w:pPr>
        <w:rPr>
          <w:color w:val="auto"/>
          <w:highlight w:val="none"/>
        </w:rPr>
      </w:pPr>
      <w:r>
        <w:rPr>
          <w:color w:val="auto"/>
          <w:highlight w:val="none"/>
        </w:rPr>
        <w:br w:type="page"/>
      </w:r>
    </w:p>
    <w:p w14:paraId="410914FC">
      <w:pPr>
        <w:pStyle w:val="3"/>
        <w:keepNext/>
        <w:keepLines/>
        <w:pageBreakBefore w:val="0"/>
        <w:widowControl w:val="0"/>
        <w:numPr>
          <w:ilvl w:val="0"/>
          <w:numId w:val="0"/>
        </w:numPr>
        <w:kinsoku/>
        <w:wordWrap/>
        <w:overflowPunct/>
        <w:topLinePunct w:val="0"/>
        <w:autoSpaceDE/>
        <w:autoSpaceDN/>
        <w:bidi w:val="0"/>
        <w:adjustRightInd/>
        <w:snapToGrid/>
        <w:spacing w:before="80" w:after="80" w:line="360" w:lineRule="auto"/>
        <w:ind w:left="420" w:leftChars="0" w:hanging="420" w:firstLineChars="0"/>
        <w:textAlignment w:val="auto"/>
        <w:rPr>
          <w:rFonts w:hint="eastAsia" w:eastAsia="宋体" w:asciiTheme="majorHAnsi" w:hAnsiTheme="majorHAnsi" w:cstheme="majorBidi"/>
          <w:b/>
          <w:bCs/>
          <w:color w:val="auto"/>
          <w:kern w:val="2"/>
          <w:sz w:val="28"/>
          <w:szCs w:val="28"/>
          <w:highlight w:val="none"/>
          <w:lang w:val="en-US" w:eastAsia="zh-CN" w:bidi="ar-SA"/>
        </w:rPr>
      </w:pPr>
      <w:bookmarkStart w:id="97" w:name="_Toc25718"/>
      <w:bookmarkStart w:id="98" w:name="_Toc155185869"/>
      <w:r>
        <w:rPr>
          <w:rFonts w:hint="eastAsia" w:eastAsia="宋体" w:asciiTheme="majorHAnsi" w:hAnsiTheme="majorHAnsi" w:cstheme="majorBidi"/>
          <w:b/>
          <w:bCs/>
          <w:color w:val="auto"/>
          <w:kern w:val="2"/>
          <w:sz w:val="28"/>
          <w:szCs w:val="28"/>
          <w:highlight w:val="none"/>
          <w:lang w:val="en-US" w:eastAsia="zh-CN" w:bidi="ar-SA"/>
        </w:rPr>
        <w:t>二、投标人须知</w:t>
      </w:r>
      <w:bookmarkEnd w:id="97"/>
      <w:bookmarkEnd w:id="98"/>
    </w:p>
    <w:p w14:paraId="604D77A9">
      <w:pPr>
        <w:pStyle w:val="4"/>
        <w:keepNext w:val="0"/>
        <w:keepLines w:val="0"/>
        <w:pageBreakBefore w:val="0"/>
        <w:widowControl w:val="0"/>
        <w:numPr>
          <w:ilvl w:val="0"/>
          <w:numId w:val="0"/>
        </w:numPr>
        <w:kinsoku/>
        <w:wordWrap/>
        <w:overflowPunct/>
        <w:topLinePunct w:val="0"/>
        <w:autoSpaceDE/>
        <w:autoSpaceDN/>
        <w:bidi w:val="0"/>
        <w:adjustRightInd/>
        <w:snapToGrid/>
        <w:spacing w:before="100" w:after="100" w:line="240" w:lineRule="auto"/>
        <w:ind w:left="420" w:leftChars="0" w:hanging="420" w:firstLineChars="0"/>
        <w:textAlignment w:val="auto"/>
        <w:rPr>
          <w:rFonts w:hint="eastAsia" w:ascii="宋体" w:hAnsi="宋体" w:eastAsia="宋体" w:cs="宋体"/>
          <w:color w:val="auto"/>
          <w:sz w:val="24"/>
          <w:highlight w:val="none"/>
        </w:rPr>
      </w:pPr>
      <w:bookmarkStart w:id="99" w:name="_Toc23355"/>
      <w:bookmarkStart w:id="100" w:name="_Toc27686"/>
      <w:bookmarkStart w:id="101" w:name="_Toc163492822"/>
      <w:bookmarkStart w:id="102" w:name="_Toc27067"/>
      <w:bookmarkStart w:id="103" w:name="_Toc155185870"/>
      <w:bookmarkStart w:id="104" w:name="_Toc26511"/>
      <w:r>
        <w:rPr>
          <w:rFonts w:hint="eastAsia" w:ascii="宋体" w:hAnsi="宋体" w:eastAsia="宋体" w:cs="宋体"/>
          <w:b/>
          <w:bCs/>
          <w:color w:val="auto"/>
          <w:kern w:val="2"/>
          <w:sz w:val="24"/>
          <w:szCs w:val="32"/>
          <w:highlight w:val="none"/>
          <w:lang w:val="en-US" w:eastAsia="zh-CN" w:bidi="ar-SA"/>
        </w:rPr>
        <w:t>（一）</w:t>
      </w:r>
      <w:r>
        <w:rPr>
          <w:rFonts w:hint="eastAsia" w:ascii="宋体" w:hAnsi="宋体" w:eastAsia="宋体" w:cs="宋体"/>
          <w:color w:val="auto"/>
          <w:sz w:val="24"/>
          <w:highlight w:val="none"/>
        </w:rPr>
        <w:t>总则</w:t>
      </w:r>
      <w:bookmarkEnd w:id="99"/>
      <w:bookmarkEnd w:id="100"/>
      <w:bookmarkEnd w:id="101"/>
      <w:bookmarkEnd w:id="102"/>
      <w:bookmarkEnd w:id="103"/>
      <w:bookmarkEnd w:id="104"/>
    </w:p>
    <w:p w14:paraId="788765C9">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color w:val="auto"/>
          <w:sz w:val="24"/>
          <w:highlight w:val="none"/>
        </w:rPr>
      </w:pPr>
      <w:bookmarkStart w:id="105" w:name="_Toc109897532"/>
      <w:bookmarkStart w:id="106" w:name="_Toc109900050"/>
      <w:bookmarkStart w:id="107" w:name="_Toc29103"/>
      <w:bookmarkStart w:id="108" w:name="_Toc109899631"/>
      <w:bookmarkStart w:id="109" w:name="_Toc9584"/>
      <w:bookmarkStart w:id="110" w:name="_Toc26566"/>
      <w:bookmarkStart w:id="111" w:name="_Toc163492823"/>
      <w:bookmarkStart w:id="112" w:name="_Toc8451"/>
      <w:bookmarkStart w:id="113" w:name="_Toc109900469"/>
      <w:bookmarkStart w:id="114" w:name="_Toc31233"/>
      <w:bookmarkStart w:id="115" w:name="_Toc155095689"/>
      <w:r>
        <w:rPr>
          <w:rFonts w:hint="eastAsia" w:ascii="宋体" w:hAnsi="宋体" w:eastAsia="宋体" w:cs="宋体"/>
          <w:b/>
          <w:bCs/>
          <w:color w:val="auto"/>
          <w:kern w:val="2"/>
          <w:sz w:val="24"/>
          <w:szCs w:val="28"/>
          <w:highlight w:val="none"/>
          <w:lang w:val="en-US" w:eastAsia="zh-CN" w:bidi="ar-SA"/>
        </w:rPr>
        <w:t>1.</w:t>
      </w:r>
      <w:r>
        <w:rPr>
          <w:rFonts w:hint="eastAsia" w:ascii="宋体" w:hAnsi="宋体" w:eastAsia="宋体" w:cs="宋体"/>
          <w:color w:val="auto"/>
          <w:sz w:val="24"/>
          <w:highlight w:val="none"/>
        </w:rPr>
        <w:t>适用范围</w:t>
      </w:r>
      <w:bookmarkEnd w:id="105"/>
      <w:bookmarkEnd w:id="106"/>
      <w:bookmarkEnd w:id="107"/>
      <w:bookmarkEnd w:id="108"/>
      <w:bookmarkEnd w:id="109"/>
      <w:bookmarkEnd w:id="110"/>
      <w:bookmarkEnd w:id="111"/>
      <w:bookmarkEnd w:id="112"/>
      <w:bookmarkEnd w:id="113"/>
      <w:bookmarkEnd w:id="114"/>
      <w:bookmarkEnd w:id="115"/>
    </w:p>
    <w:p w14:paraId="38963635">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snapToGrid w:val="0"/>
          <w:color w:val="auto"/>
          <w:sz w:val="24"/>
          <w:highlight w:val="none"/>
        </w:rPr>
      </w:pPr>
      <w:r>
        <w:rPr>
          <w:rFonts w:hint="eastAsia" w:ascii="宋体" w:hAnsi="宋体" w:eastAsia="宋体" w:cs="宋体"/>
          <w:snapToGrid w:val="0"/>
          <w:color w:val="auto"/>
          <w:sz w:val="24"/>
          <w:highlight w:val="none"/>
        </w:rPr>
        <w:t>1.1本招标文件仅适用于本项目的采购活动。</w:t>
      </w:r>
    </w:p>
    <w:p w14:paraId="34F08411">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color w:val="auto"/>
          <w:kern w:val="2"/>
          <w:sz w:val="24"/>
          <w:szCs w:val="28"/>
          <w:highlight w:val="none"/>
          <w:lang w:val="en-US" w:eastAsia="zh-CN" w:bidi="ar-SA"/>
        </w:rPr>
      </w:pPr>
      <w:bookmarkStart w:id="116" w:name="_Toc26282"/>
      <w:bookmarkStart w:id="117" w:name="_Toc163492824"/>
      <w:bookmarkStart w:id="118" w:name="_Toc11923"/>
      <w:bookmarkStart w:id="119" w:name="_Toc20400"/>
      <w:bookmarkStart w:id="120" w:name="_Toc32274"/>
      <w:r>
        <w:rPr>
          <w:rFonts w:hint="eastAsia" w:ascii="宋体" w:hAnsi="宋体" w:eastAsia="宋体" w:cs="宋体"/>
          <w:b/>
          <w:bCs/>
          <w:color w:val="auto"/>
          <w:kern w:val="2"/>
          <w:sz w:val="24"/>
          <w:szCs w:val="28"/>
          <w:highlight w:val="none"/>
          <w:lang w:val="en-US" w:eastAsia="zh-CN" w:bidi="ar-SA"/>
        </w:rPr>
        <w:t>2.基本定义</w:t>
      </w:r>
      <w:bookmarkEnd w:id="116"/>
      <w:bookmarkEnd w:id="117"/>
      <w:bookmarkEnd w:id="118"/>
      <w:bookmarkEnd w:id="119"/>
      <w:bookmarkEnd w:id="120"/>
    </w:p>
    <w:p w14:paraId="768D70C2">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2.1根据《中华人民共和国政府采购法》及其实施条例等有关法律、法规和规章的规定，制定本招标文件。</w:t>
      </w:r>
    </w:p>
    <w:p w14:paraId="342EC44E">
      <w:pPr>
        <w:keepNext w:val="0"/>
        <w:keepLines w:val="0"/>
        <w:pageBreakBefore w:val="0"/>
        <w:widowControl w:val="0"/>
        <w:suppressLineNumbers w:val="0"/>
        <w:kinsoku/>
        <w:overflowPunct/>
        <w:topLinePunct w:val="0"/>
        <w:autoSpaceDE/>
        <w:autoSpaceDN/>
        <w:bidi w:val="0"/>
        <w:adjustRightInd/>
        <w:ind w:firstLine="480" w:firstLineChars="200"/>
        <w:jc w:val="left"/>
        <w:textAlignment w:val="auto"/>
        <w:rPr>
          <w:rFonts w:hint="eastAsia" w:eastAsia="宋体"/>
          <w:color w:val="auto"/>
          <w:sz w:val="24"/>
          <w:highlight w:val="none"/>
        </w:rPr>
      </w:pPr>
      <w:r>
        <w:rPr>
          <w:rFonts w:hint="eastAsia" w:eastAsia="宋体"/>
          <w:color w:val="auto"/>
          <w:sz w:val="24"/>
          <w:highlight w:val="none"/>
        </w:rPr>
        <w:t>2.2采购人：</w:t>
      </w:r>
      <w:r>
        <w:rPr>
          <w:rFonts w:hint="eastAsia" w:ascii="宋体" w:hAnsi="宋体" w:eastAsia="宋体" w:cs="宋体"/>
          <w:color w:val="auto"/>
          <w:kern w:val="0"/>
          <w:sz w:val="24"/>
          <w:szCs w:val="24"/>
          <w:highlight w:val="none"/>
          <w:lang w:val="en-US" w:eastAsia="zh-CN" w:bidi="ar"/>
        </w:rPr>
        <w:t>指依法进行政府采购的国家机关、事业单位、团体组织</w:t>
      </w:r>
      <w:r>
        <w:rPr>
          <w:rFonts w:hint="eastAsia" w:eastAsia="宋体"/>
          <w:color w:val="auto"/>
          <w:sz w:val="24"/>
          <w:highlight w:val="none"/>
        </w:rPr>
        <w:t>。</w:t>
      </w:r>
    </w:p>
    <w:p w14:paraId="429A3EF6">
      <w:pPr>
        <w:keepNext w:val="0"/>
        <w:keepLines w:val="0"/>
        <w:pageBreakBefore w:val="0"/>
        <w:widowControl w:val="0"/>
        <w:suppressLineNumbers w:val="0"/>
        <w:kinsoku/>
        <w:overflowPunct/>
        <w:topLinePunct w:val="0"/>
        <w:autoSpaceDE/>
        <w:autoSpaceDN/>
        <w:bidi w:val="0"/>
        <w:adjustRightInd/>
        <w:ind w:firstLine="480" w:firstLineChars="200"/>
        <w:jc w:val="left"/>
        <w:textAlignment w:val="auto"/>
        <w:rPr>
          <w:rFonts w:eastAsia="宋体"/>
          <w:color w:val="auto"/>
          <w:sz w:val="24"/>
          <w:highlight w:val="none"/>
        </w:rPr>
      </w:pPr>
      <w:r>
        <w:rPr>
          <w:rFonts w:hint="eastAsia" w:eastAsia="宋体"/>
          <w:color w:val="auto"/>
          <w:sz w:val="24"/>
          <w:highlight w:val="none"/>
        </w:rPr>
        <w:t>2.3采购代理机构：</w:t>
      </w:r>
      <w:r>
        <w:rPr>
          <w:rFonts w:hint="eastAsia" w:ascii="宋体" w:hAnsi="宋体" w:eastAsia="宋体" w:cs="宋体"/>
          <w:color w:val="auto"/>
          <w:kern w:val="0"/>
          <w:sz w:val="24"/>
          <w:szCs w:val="24"/>
          <w:highlight w:val="none"/>
          <w:lang w:val="en-US" w:eastAsia="zh-CN" w:bidi="ar"/>
        </w:rPr>
        <w:t>指依法进行政府采购的国家机关、事业单位、团体组织</w:t>
      </w:r>
      <w:r>
        <w:rPr>
          <w:rFonts w:hint="eastAsia" w:eastAsia="宋体"/>
          <w:color w:val="auto"/>
          <w:sz w:val="24"/>
          <w:highlight w:val="none"/>
          <w:lang w:val="en-US" w:eastAsia="zh-CN"/>
        </w:rPr>
        <w:t>委托的采购代理机构</w:t>
      </w:r>
      <w:r>
        <w:rPr>
          <w:rFonts w:hint="eastAsia" w:eastAsia="宋体"/>
          <w:color w:val="auto"/>
          <w:sz w:val="24"/>
          <w:highlight w:val="none"/>
        </w:rPr>
        <w:t>。</w:t>
      </w:r>
    </w:p>
    <w:p w14:paraId="26D50742">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rPr>
      </w:pPr>
      <w:r>
        <w:rPr>
          <w:rFonts w:hint="eastAsia" w:eastAsia="宋体"/>
          <w:color w:val="auto"/>
          <w:sz w:val="24"/>
          <w:highlight w:val="none"/>
        </w:rPr>
        <w:t>2.4政府采购监督管理部门：各级人民政府财政部门是负责政府采购监督管理的部门，依法履行对政府采购活动的监督管理职责。各级人民政府其他有关部门依法履行与政府采购活动有关的监督管理职责。</w:t>
      </w:r>
    </w:p>
    <w:p w14:paraId="18E21DAA">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lang w:val="en-US" w:eastAsia="zh-CN"/>
        </w:rPr>
      </w:pPr>
      <w:r>
        <w:rPr>
          <w:rFonts w:hint="eastAsia" w:eastAsia="宋体"/>
          <w:color w:val="auto"/>
          <w:sz w:val="24"/>
          <w:highlight w:val="none"/>
          <w:lang w:val="en-US" w:eastAsia="zh-CN"/>
        </w:rPr>
        <w:t>2.5 核心产品见</w:t>
      </w:r>
      <w:r>
        <w:rPr>
          <w:rFonts w:hint="eastAsia" w:eastAsia="宋体"/>
          <w:color w:val="auto"/>
          <w:sz w:val="24"/>
          <w:highlight w:val="none"/>
        </w:rPr>
        <w:t>“投标人须知前附表”</w:t>
      </w:r>
      <w:r>
        <w:rPr>
          <w:rFonts w:hint="eastAsia" w:eastAsia="宋体"/>
          <w:color w:val="auto"/>
          <w:sz w:val="24"/>
          <w:highlight w:val="none"/>
          <w:lang w:val="en-US" w:eastAsia="zh-CN"/>
        </w:rPr>
        <w:t>。</w:t>
      </w:r>
    </w:p>
    <w:p w14:paraId="6557BF30">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lang w:val="en-US" w:eastAsia="zh-CN"/>
        </w:rPr>
      </w:pPr>
      <w:r>
        <w:rPr>
          <w:rFonts w:hint="eastAsia" w:eastAsia="宋体"/>
          <w:color w:val="auto"/>
          <w:sz w:val="24"/>
          <w:highlight w:val="none"/>
          <w:lang w:val="en-US" w:eastAsia="zh-CN"/>
        </w:rPr>
        <w:t>2.6是否属于</w:t>
      </w:r>
      <w:r>
        <w:rPr>
          <w:rFonts w:ascii="FZShuSong-Z01" w:hAnsi="FZShuSong-Z01" w:eastAsia="宋体" w:cs="FZShuSong-Z01"/>
          <w:color w:val="auto"/>
          <w:kern w:val="0"/>
          <w:sz w:val="24"/>
          <w:szCs w:val="24"/>
          <w:highlight w:val="none"/>
          <w:lang w:val="en-US" w:eastAsia="zh-CN" w:bidi="ar"/>
        </w:rPr>
        <w:t>科研仪器设备</w:t>
      </w:r>
      <w:r>
        <w:rPr>
          <w:rFonts w:hint="eastAsia" w:ascii="FZShuSong-Z01" w:hAnsi="FZShuSong-Z01" w:eastAsia="宋体" w:cs="FZShuSong-Z01"/>
          <w:color w:val="auto"/>
          <w:kern w:val="0"/>
          <w:sz w:val="24"/>
          <w:szCs w:val="24"/>
          <w:highlight w:val="none"/>
          <w:lang w:val="en-US" w:eastAsia="zh-CN" w:bidi="ar"/>
        </w:rPr>
        <w:t>采购</w:t>
      </w:r>
      <w:r>
        <w:rPr>
          <w:rFonts w:hint="eastAsia" w:eastAsia="宋体"/>
          <w:color w:val="auto"/>
          <w:sz w:val="24"/>
          <w:highlight w:val="none"/>
          <w:lang w:val="en-US" w:eastAsia="zh-CN"/>
        </w:rPr>
        <w:t>见</w:t>
      </w:r>
      <w:r>
        <w:rPr>
          <w:rFonts w:hint="eastAsia" w:eastAsia="宋体"/>
          <w:color w:val="auto"/>
          <w:sz w:val="24"/>
          <w:highlight w:val="none"/>
        </w:rPr>
        <w:t>“</w:t>
      </w:r>
      <w:r>
        <w:rPr>
          <w:rFonts w:hint="eastAsia" w:eastAsia="宋体"/>
          <w:color w:val="auto"/>
          <w:sz w:val="24"/>
          <w:highlight w:val="none"/>
          <w:lang w:val="en-US" w:eastAsia="zh-CN"/>
        </w:rPr>
        <w:t>投标人</w:t>
      </w:r>
      <w:r>
        <w:rPr>
          <w:rFonts w:hint="eastAsia" w:eastAsia="宋体"/>
          <w:color w:val="auto"/>
          <w:sz w:val="24"/>
          <w:highlight w:val="none"/>
        </w:rPr>
        <w:t>须知前附表”</w:t>
      </w:r>
      <w:r>
        <w:rPr>
          <w:rFonts w:hint="eastAsia" w:eastAsia="宋体"/>
          <w:color w:val="auto"/>
          <w:sz w:val="24"/>
          <w:highlight w:val="none"/>
          <w:lang w:val="en-US" w:eastAsia="zh-CN"/>
        </w:rPr>
        <w:t>。</w:t>
      </w:r>
    </w:p>
    <w:p w14:paraId="214DD75F">
      <w:pPr>
        <w:ind w:firstLine="480" w:firstLineChars="200"/>
        <w:rPr>
          <w:rFonts w:eastAsia="宋体"/>
          <w:color w:val="auto"/>
          <w:sz w:val="24"/>
          <w:highlight w:val="none"/>
        </w:rPr>
      </w:pPr>
      <w:r>
        <w:rPr>
          <w:rFonts w:hint="eastAsia" w:eastAsia="宋体"/>
          <w:iCs/>
          <w:color w:val="auto"/>
          <w:sz w:val="24"/>
          <w:highlight w:val="none"/>
          <w:shd w:val="clear" w:color="auto" w:fill="FFFFFF" w:themeFill="background1"/>
        </w:rPr>
        <w:t>2.</w:t>
      </w:r>
      <w:r>
        <w:rPr>
          <w:rFonts w:hint="eastAsia" w:eastAsia="宋体"/>
          <w:iCs/>
          <w:color w:val="auto"/>
          <w:sz w:val="24"/>
          <w:highlight w:val="none"/>
          <w:shd w:val="clear" w:color="auto" w:fill="FFFFFF" w:themeFill="background1"/>
          <w:lang w:val="en-US" w:eastAsia="zh-CN"/>
        </w:rPr>
        <w:t>7</w:t>
      </w:r>
      <w:r>
        <w:rPr>
          <w:rFonts w:hint="eastAsia" w:eastAsia="宋体"/>
          <w:iCs/>
          <w:color w:val="auto"/>
          <w:sz w:val="24"/>
          <w:highlight w:val="none"/>
          <w:shd w:val="clear" w:color="auto" w:fill="FFFFFF" w:themeFill="background1"/>
        </w:rPr>
        <w:t>投标人（也称“供应商”、“申请人”）：指向采购人提供货物、工程或者服务的法人、其他组织或者自然人。</w:t>
      </w:r>
      <w:r>
        <w:rPr>
          <w:rFonts w:hint="eastAsia" w:eastAsia="宋体"/>
          <w:color w:val="auto"/>
          <w:sz w:val="24"/>
          <w:highlight w:val="none"/>
        </w:rPr>
        <w:t>分支机构不得参加政府采购活动，但银行、保险、石油石化、电力、电信等</w:t>
      </w:r>
      <w:r>
        <w:rPr>
          <w:rFonts w:hint="eastAsia" w:eastAsia="宋体"/>
          <w:color w:val="auto"/>
          <w:sz w:val="24"/>
          <w:highlight w:val="none"/>
          <w:lang w:val="en-US" w:eastAsia="zh-CN"/>
        </w:rPr>
        <w:t>有</w:t>
      </w:r>
      <w:r>
        <w:rPr>
          <w:rFonts w:hint="eastAsia" w:eastAsia="宋体"/>
          <w:color w:val="auto"/>
          <w:sz w:val="24"/>
          <w:highlight w:val="none"/>
        </w:rPr>
        <w:t>行业特殊</w:t>
      </w:r>
      <w:r>
        <w:rPr>
          <w:rFonts w:hint="eastAsia" w:eastAsia="宋体"/>
          <w:color w:val="auto"/>
          <w:sz w:val="24"/>
          <w:highlight w:val="none"/>
          <w:lang w:val="en-US" w:eastAsia="zh-CN"/>
        </w:rPr>
        <w:t>情况的</w:t>
      </w:r>
      <w:r>
        <w:rPr>
          <w:rFonts w:hint="eastAsia" w:eastAsia="宋体"/>
          <w:color w:val="auto"/>
          <w:sz w:val="24"/>
          <w:highlight w:val="none"/>
        </w:rPr>
        <w:t>除外。</w:t>
      </w:r>
      <w:r>
        <w:rPr>
          <w:rFonts w:eastAsia="宋体"/>
          <w:color w:val="auto"/>
          <w:sz w:val="24"/>
          <w:highlight w:val="none"/>
        </w:rPr>
        <w:t>本项目的投标人须满足以下条件：</w:t>
      </w:r>
    </w:p>
    <w:p w14:paraId="2518C535">
      <w:pPr>
        <w:ind w:firstLine="480" w:firstLineChars="200"/>
        <w:rPr>
          <w:rFonts w:eastAsia="宋体"/>
          <w:color w:val="auto"/>
          <w:sz w:val="24"/>
          <w:highlight w:val="none"/>
        </w:rPr>
      </w:pPr>
      <w:r>
        <w:rPr>
          <w:rFonts w:hint="eastAsia" w:eastAsia="宋体"/>
          <w:color w:val="auto"/>
          <w:sz w:val="24"/>
          <w:highlight w:val="none"/>
        </w:rPr>
        <w:t>2.</w:t>
      </w:r>
      <w:r>
        <w:rPr>
          <w:rFonts w:hint="eastAsia" w:eastAsia="宋体"/>
          <w:color w:val="auto"/>
          <w:sz w:val="24"/>
          <w:highlight w:val="none"/>
          <w:lang w:val="en-US" w:eastAsia="zh-CN"/>
        </w:rPr>
        <w:t>7</w:t>
      </w:r>
      <w:r>
        <w:rPr>
          <w:rFonts w:eastAsia="宋体"/>
          <w:color w:val="auto"/>
          <w:sz w:val="24"/>
          <w:highlight w:val="none"/>
        </w:rPr>
        <w:t>.</w:t>
      </w:r>
      <w:r>
        <w:rPr>
          <w:rFonts w:hint="eastAsia" w:eastAsia="宋体"/>
          <w:color w:val="auto"/>
          <w:sz w:val="24"/>
          <w:highlight w:val="none"/>
        </w:rPr>
        <w:t>1</w:t>
      </w:r>
      <w:r>
        <w:rPr>
          <w:rFonts w:eastAsia="宋体"/>
          <w:color w:val="auto"/>
          <w:sz w:val="24"/>
          <w:highlight w:val="none"/>
        </w:rPr>
        <w:t>具备《中华人民共和国政府采购法》第二十二条规定的</w:t>
      </w:r>
      <w:r>
        <w:rPr>
          <w:rFonts w:hint="eastAsia" w:eastAsia="宋体"/>
          <w:color w:val="auto"/>
          <w:sz w:val="24"/>
          <w:highlight w:val="none"/>
        </w:rPr>
        <w:t>条件</w:t>
      </w:r>
      <w:r>
        <w:rPr>
          <w:rFonts w:eastAsia="宋体"/>
          <w:color w:val="auto"/>
          <w:sz w:val="24"/>
          <w:highlight w:val="none"/>
        </w:rPr>
        <w:t>，遵守本项目采购人本级和上级财政部门政府采购的有关规定。</w:t>
      </w:r>
    </w:p>
    <w:p w14:paraId="76745163">
      <w:pPr>
        <w:ind w:firstLine="480" w:firstLineChars="200"/>
        <w:rPr>
          <w:rFonts w:hint="eastAsia" w:eastAsia="宋体"/>
          <w:color w:val="auto"/>
          <w:sz w:val="24"/>
          <w:highlight w:val="none"/>
        </w:rPr>
      </w:pPr>
      <w:r>
        <w:rPr>
          <w:rFonts w:hint="eastAsia" w:eastAsia="宋体"/>
          <w:color w:val="auto"/>
          <w:sz w:val="24"/>
          <w:highlight w:val="none"/>
        </w:rPr>
        <w:t>2.</w:t>
      </w:r>
      <w:r>
        <w:rPr>
          <w:rFonts w:hint="eastAsia" w:eastAsia="宋体"/>
          <w:color w:val="auto"/>
          <w:sz w:val="24"/>
          <w:highlight w:val="none"/>
          <w:lang w:val="en-US" w:eastAsia="zh-CN"/>
        </w:rPr>
        <w:t>7</w:t>
      </w:r>
      <w:r>
        <w:rPr>
          <w:rFonts w:hint="eastAsia" w:eastAsia="宋体"/>
          <w:color w:val="auto"/>
          <w:sz w:val="24"/>
          <w:highlight w:val="none"/>
        </w:rPr>
        <w:t>.2以招标公告中发布的方式依法获得了本项目的招标文件。</w:t>
      </w:r>
    </w:p>
    <w:p w14:paraId="0DE24F0D">
      <w:pPr>
        <w:ind w:firstLine="480" w:firstLineChars="200"/>
        <w:rPr>
          <w:rFonts w:hint="eastAsia" w:eastAsia="宋体"/>
          <w:color w:val="auto"/>
          <w:sz w:val="24"/>
          <w:highlight w:val="none"/>
          <w:lang w:val="en-US" w:eastAsia="zh-CN"/>
        </w:rPr>
      </w:pPr>
      <w:r>
        <w:rPr>
          <w:rFonts w:hint="eastAsia" w:eastAsia="宋体"/>
          <w:color w:val="auto"/>
          <w:sz w:val="24"/>
          <w:highlight w:val="none"/>
          <w:lang w:val="en-US" w:eastAsia="zh-CN"/>
        </w:rPr>
        <w:t>2.7.3符合本招标文件规定并参加投标的供应商。</w:t>
      </w:r>
    </w:p>
    <w:p w14:paraId="5FC27D1B">
      <w:pPr>
        <w:spacing w:line="360" w:lineRule="auto"/>
        <w:ind w:firstLine="480" w:firstLineChars="200"/>
        <w:rPr>
          <w:rFonts w:hint="default" w:eastAsia="宋体"/>
          <w:color w:val="auto"/>
          <w:sz w:val="24"/>
          <w:highlight w:val="none"/>
          <w:lang w:val="en-US" w:eastAsia="zh-CN"/>
        </w:rPr>
      </w:pPr>
      <w:r>
        <w:rPr>
          <w:rFonts w:hint="eastAsia" w:eastAsia="宋体"/>
          <w:color w:val="auto"/>
          <w:sz w:val="24"/>
          <w:highlight w:val="none"/>
          <w:lang w:val="en-US" w:eastAsia="zh-CN"/>
        </w:rPr>
        <w:t>2.8</w:t>
      </w:r>
      <w:r>
        <w:rPr>
          <w:rFonts w:hint="eastAsia" w:eastAsia="宋体"/>
          <w:iCs/>
          <w:color w:val="auto"/>
          <w:sz w:val="24"/>
          <w:highlight w:val="none"/>
          <w:shd w:val="clear" w:color="auto" w:fill="FFFFFF" w:themeFill="background1"/>
        </w:rPr>
        <w:t>潜在投标人、潜在供应商</w:t>
      </w:r>
      <w:r>
        <w:rPr>
          <w:rFonts w:hint="eastAsia" w:eastAsia="宋体"/>
          <w:iCs/>
          <w:color w:val="auto"/>
          <w:sz w:val="24"/>
          <w:highlight w:val="none"/>
          <w:shd w:val="clear" w:color="auto" w:fill="FFFFFF" w:themeFill="background1"/>
          <w:lang w:eastAsia="zh-CN"/>
        </w:rPr>
        <w:t>：</w:t>
      </w:r>
      <w:r>
        <w:rPr>
          <w:rFonts w:hint="eastAsia" w:eastAsia="宋体"/>
          <w:iCs/>
          <w:color w:val="auto"/>
          <w:sz w:val="24"/>
          <w:highlight w:val="none"/>
          <w:shd w:val="clear" w:color="auto" w:fill="FFFFFF" w:themeFill="background1"/>
          <w:lang w:val="en-US" w:eastAsia="zh-CN"/>
        </w:rPr>
        <w:t>指</w:t>
      </w:r>
      <w:r>
        <w:rPr>
          <w:rFonts w:hint="eastAsia" w:eastAsia="宋体"/>
          <w:color w:val="auto"/>
          <w:sz w:val="24"/>
          <w:highlight w:val="none"/>
          <w:lang w:val="en-US" w:eastAsia="zh-CN"/>
        </w:rPr>
        <w:t>符合本招标文件规定的供应商。</w:t>
      </w:r>
    </w:p>
    <w:p w14:paraId="7BECD896">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color w:val="auto"/>
          <w:kern w:val="2"/>
          <w:sz w:val="24"/>
          <w:szCs w:val="28"/>
          <w:highlight w:val="none"/>
          <w:lang w:val="en-US" w:eastAsia="zh-CN" w:bidi="ar-SA"/>
        </w:rPr>
      </w:pPr>
      <w:bookmarkStart w:id="121" w:name="_Toc140132758"/>
      <w:bookmarkStart w:id="122" w:name="_Toc28067"/>
      <w:bookmarkStart w:id="123" w:name="_Toc9283"/>
      <w:bookmarkStart w:id="124" w:name="_Toc16195"/>
      <w:bookmarkStart w:id="125" w:name="_Toc5535"/>
      <w:bookmarkStart w:id="126" w:name="_Toc163492825"/>
      <w:r>
        <w:rPr>
          <w:rFonts w:hint="eastAsia" w:ascii="宋体" w:hAnsi="宋体" w:eastAsia="宋体" w:cs="宋体"/>
          <w:b/>
          <w:bCs/>
          <w:color w:val="auto"/>
          <w:kern w:val="2"/>
          <w:sz w:val="24"/>
          <w:szCs w:val="28"/>
          <w:highlight w:val="none"/>
          <w:lang w:val="en-US" w:eastAsia="zh-CN" w:bidi="ar-SA"/>
        </w:rPr>
        <w:t>3.资金来源</w:t>
      </w:r>
      <w:bookmarkEnd w:id="121"/>
      <w:bookmarkEnd w:id="122"/>
      <w:bookmarkEnd w:id="123"/>
      <w:bookmarkEnd w:id="124"/>
      <w:bookmarkEnd w:id="125"/>
      <w:bookmarkEnd w:id="126"/>
    </w:p>
    <w:p w14:paraId="76E8C14F">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rPr>
      </w:pPr>
      <w:r>
        <w:rPr>
          <w:rFonts w:hint="eastAsia" w:eastAsia="宋体"/>
          <w:color w:val="auto"/>
          <w:sz w:val="24"/>
          <w:highlight w:val="none"/>
        </w:rPr>
        <w:t>3.1资金来源：</w:t>
      </w:r>
      <w:r>
        <w:rPr>
          <w:rFonts w:hint="eastAsia" w:eastAsia="宋体"/>
          <w:color w:val="auto"/>
          <w:sz w:val="24"/>
          <w:highlight w:val="none"/>
          <w:lang w:val="en-US" w:eastAsia="zh-CN"/>
        </w:rPr>
        <w:t>为财政性资金即</w:t>
      </w:r>
      <w:r>
        <w:rPr>
          <w:rFonts w:hint="eastAsia" w:eastAsia="宋体"/>
          <w:color w:val="auto"/>
          <w:sz w:val="24"/>
          <w:highlight w:val="none"/>
        </w:rPr>
        <w:t>纳入预算管理的资金</w:t>
      </w:r>
      <w:r>
        <w:rPr>
          <w:rFonts w:hint="eastAsia" w:eastAsia="宋体"/>
          <w:color w:val="auto"/>
          <w:sz w:val="24"/>
          <w:highlight w:val="none"/>
          <w:lang w:eastAsia="zh-CN"/>
        </w:rPr>
        <w:t>。</w:t>
      </w:r>
      <w:r>
        <w:rPr>
          <w:rFonts w:hint="eastAsia" w:eastAsia="宋体"/>
          <w:color w:val="auto"/>
          <w:sz w:val="24"/>
          <w:highlight w:val="none"/>
        </w:rPr>
        <w:t>以财政性资金作为还款来源的借贷资金，视同财政性资金。财政性资金与非财政性资金无法分割采购的，统一适用《中华人民共和国政府采购法》及其实施条例。</w:t>
      </w:r>
    </w:p>
    <w:p w14:paraId="17722C40">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color w:val="auto"/>
          <w:kern w:val="2"/>
          <w:sz w:val="24"/>
          <w:szCs w:val="28"/>
          <w:highlight w:val="none"/>
          <w:lang w:val="en-US" w:eastAsia="zh-CN" w:bidi="ar-SA"/>
        </w:rPr>
      </w:pPr>
      <w:bookmarkStart w:id="127" w:name="_Toc14888"/>
      <w:bookmarkStart w:id="128" w:name="_Toc23672"/>
      <w:bookmarkStart w:id="129" w:name="_Toc163492826"/>
      <w:bookmarkStart w:id="130" w:name="_Toc17305"/>
      <w:bookmarkStart w:id="131" w:name="_Toc140132760"/>
      <w:bookmarkStart w:id="132" w:name="_Toc4999"/>
      <w:r>
        <w:rPr>
          <w:rFonts w:hint="eastAsia" w:ascii="宋体" w:hAnsi="宋体" w:eastAsia="宋体" w:cs="宋体"/>
          <w:b/>
          <w:bCs/>
          <w:color w:val="auto"/>
          <w:kern w:val="2"/>
          <w:sz w:val="24"/>
          <w:szCs w:val="28"/>
          <w:highlight w:val="none"/>
          <w:lang w:val="en-US" w:eastAsia="zh-CN" w:bidi="ar-SA"/>
        </w:rPr>
        <w:t>4.投标人资格要求</w:t>
      </w:r>
      <w:bookmarkEnd w:id="127"/>
      <w:bookmarkEnd w:id="128"/>
      <w:bookmarkEnd w:id="129"/>
      <w:bookmarkEnd w:id="130"/>
      <w:bookmarkEnd w:id="131"/>
      <w:bookmarkEnd w:id="132"/>
    </w:p>
    <w:p w14:paraId="522AD9C1">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rPr>
      </w:pPr>
      <w:r>
        <w:rPr>
          <w:rFonts w:hint="eastAsia" w:eastAsia="宋体"/>
          <w:color w:val="auto"/>
          <w:sz w:val="24"/>
          <w:highlight w:val="none"/>
        </w:rPr>
        <w:t>4.1投标人资格要求：见“</w:t>
      </w:r>
      <w:r>
        <w:rPr>
          <w:rFonts w:hint="eastAsia" w:eastAsia="宋体"/>
          <w:color w:val="auto"/>
          <w:sz w:val="24"/>
          <w:highlight w:val="none"/>
          <w:lang w:val="en-US" w:eastAsia="zh-CN"/>
        </w:rPr>
        <w:t>第一章 招标公告</w:t>
      </w:r>
      <w:r>
        <w:rPr>
          <w:rFonts w:hint="eastAsia" w:eastAsia="宋体"/>
          <w:color w:val="auto"/>
          <w:sz w:val="24"/>
          <w:highlight w:val="none"/>
        </w:rPr>
        <w:t>”；</w:t>
      </w:r>
    </w:p>
    <w:p w14:paraId="3B57853B">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lang w:val="zh-CN" w:eastAsia="zh-CN"/>
        </w:rPr>
      </w:pPr>
      <w:r>
        <w:rPr>
          <w:rFonts w:hint="eastAsia" w:eastAsia="宋体"/>
          <w:color w:val="auto"/>
          <w:sz w:val="24"/>
          <w:highlight w:val="none"/>
          <w:lang w:val="en-US" w:eastAsia="zh-CN"/>
        </w:rPr>
        <w:t>4</w:t>
      </w:r>
      <w:r>
        <w:rPr>
          <w:rFonts w:hint="eastAsia" w:eastAsia="宋体"/>
          <w:color w:val="auto"/>
          <w:sz w:val="24"/>
          <w:highlight w:val="none"/>
          <w:lang w:val="zh-CN" w:eastAsia="zh-CN"/>
        </w:rPr>
        <w:t>.</w:t>
      </w:r>
      <w:r>
        <w:rPr>
          <w:rFonts w:hint="eastAsia" w:eastAsia="宋体"/>
          <w:color w:val="auto"/>
          <w:sz w:val="24"/>
          <w:highlight w:val="none"/>
          <w:lang w:val="en-US" w:eastAsia="zh-CN"/>
        </w:rPr>
        <w:t>2</w:t>
      </w:r>
      <w:r>
        <w:rPr>
          <w:rFonts w:hint="eastAsia" w:eastAsia="宋体"/>
          <w:color w:val="auto"/>
          <w:sz w:val="24"/>
          <w:highlight w:val="none"/>
          <w:lang w:val="zh-CN" w:eastAsia="zh-CN"/>
        </w:rPr>
        <w:t>“</w:t>
      </w:r>
      <w:r>
        <w:rPr>
          <w:rFonts w:hint="eastAsia" w:eastAsia="宋体"/>
          <w:color w:val="auto"/>
          <w:sz w:val="24"/>
          <w:highlight w:val="none"/>
          <w:lang w:val="en-US" w:eastAsia="zh-CN"/>
        </w:rPr>
        <w:t>第一章 招标公告</w:t>
      </w:r>
      <w:r>
        <w:rPr>
          <w:rFonts w:hint="eastAsia" w:eastAsia="宋体"/>
          <w:color w:val="auto"/>
          <w:sz w:val="24"/>
          <w:highlight w:val="none"/>
          <w:lang w:val="zh-CN" w:eastAsia="zh-CN"/>
        </w:rPr>
        <w:t>”规定接受联合体投标的，还应遵守以下规定：</w:t>
      </w:r>
    </w:p>
    <w:p w14:paraId="512308FF">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theme="minorBidi"/>
          <w:iCs/>
          <w:color w:val="auto"/>
          <w:kern w:val="2"/>
          <w:sz w:val="24"/>
          <w:szCs w:val="22"/>
          <w:highlight w:val="none"/>
          <w:shd w:val="clear" w:color="auto" w:fill="FFFFFF" w:themeFill="background1"/>
          <w:lang w:val="zh-CN" w:eastAsia="zh-CN" w:bidi="ar-SA"/>
        </w:rPr>
      </w:pPr>
      <w:r>
        <w:rPr>
          <w:rFonts w:hint="eastAsia" w:eastAsia="宋体"/>
          <w:color w:val="auto"/>
          <w:sz w:val="24"/>
          <w:highlight w:val="none"/>
          <w:lang w:val="en-US" w:eastAsia="zh-CN"/>
        </w:rPr>
        <w:t>4</w:t>
      </w:r>
      <w:r>
        <w:rPr>
          <w:rFonts w:hint="eastAsia" w:eastAsia="宋体"/>
          <w:color w:val="auto"/>
          <w:sz w:val="24"/>
          <w:highlight w:val="none"/>
          <w:lang w:val="zh-CN" w:eastAsia="zh-CN"/>
        </w:rPr>
        <w:t>.</w:t>
      </w:r>
      <w:r>
        <w:rPr>
          <w:rFonts w:hint="eastAsia" w:eastAsia="宋体"/>
          <w:color w:val="auto"/>
          <w:sz w:val="24"/>
          <w:highlight w:val="none"/>
          <w:lang w:val="en-US" w:eastAsia="zh-CN"/>
        </w:rPr>
        <w:t>2.</w:t>
      </w:r>
      <w:r>
        <w:rPr>
          <w:rFonts w:hint="eastAsia" w:eastAsia="宋体"/>
          <w:color w:val="auto"/>
          <w:sz w:val="24"/>
          <w:highlight w:val="none"/>
          <w:lang w:val="zh-CN" w:eastAsia="zh-CN"/>
        </w:rPr>
        <w:t>1两个以上的自然人、法人或者其他组织可以组成一个联合体，以一个</w:t>
      </w:r>
      <w:r>
        <w:rPr>
          <w:rFonts w:hint="eastAsia" w:eastAsia="宋体"/>
          <w:color w:val="auto"/>
          <w:sz w:val="24"/>
          <w:highlight w:val="none"/>
          <w:lang w:val="en-US" w:eastAsia="zh-CN"/>
        </w:rPr>
        <w:t>投标人</w:t>
      </w:r>
      <w:r>
        <w:rPr>
          <w:rFonts w:hint="eastAsia" w:eastAsia="宋体"/>
          <w:color w:val="auto"/>
          <w:sz w:val="24"/>
          <w:highlight w:val="none"/>
          <w:lang w:val="zh-CN" w:eastAsia="zh-CN"/>
        </w:rPr>
        <w:t>的身份共同参加政府采购。</w:t>
      </w:r>
      <w:r>
        <w:rPr>
          <w:rFonts w:hint="eastAsia" w:ascii="宋体" w:hAnsi="宋体" w:eastAsia="宋体" w:cstheme="minorBidi"/>
          <w:iCs/>
          <w:color w:val="auto"/>
          <w:kern w:val="2"/>
          <w:sz w:val="24"/>
          <w:szCs w:val="22"/>
          <w:highlight w:val="none"/>
          <w:shd w:val="clear" w:color="auto" w:fill="FFFFFF" w:themeFill="background1"/>
          <w:lang w:val="zh-CN" w:eastAsia="zh-CN" w:bidi="ar-SA"/>
        </w:rPr>
        <w:t>以联合体形式进行政府采购的，参加联合体的供应商均应当具备《</w:t>
      </w:r>
      <w:r>
        <w:rPr>
          <w:rFonts w:hint="eastAsia" w:eastAsia="宋体"/>
          <w:color w:val="auto"/>
          <w:sz w:val="24"/>
          <w:highlight w:val="none"/>
        </w:rPr>
        <w:t>中华人民共和国政府采购法</w:t>
      </w:r>
      <w:r>
        <w:rPr>
          <w:rFonts w:hint="eastAsia" w:ascii="宋体" w:hAnsi="宋体" w:eastAsia="宋体" w:cstheme="minorBidi"/>
          <w:iCs/>
          <w:color w:val="auto"/>
          <w:kern w:val="2"/>
          <w:sz w:val="24"/>
          <w:szCs w:val="22"/>
          <w:highlight w:val="none"/>
          <w:shd w:val="clear" w:color="auto" w:fill="FFFFFF" w:themeFill="background1"/>
          <w:lang w:val="zh-CN" w:eastAsia="zh-CN" w:bidi="ar-SA"/>
        </w:rPr>
        <w:t>》第二十二条规定的条件。</w:t>
      </w:r>
    </w:p>
    <w:p w14:paraId="7EFB49B3">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theme="minorBidi"/>
          <w:iCs/>
          <w:color w:val="auto"/>
          <w:kern w:val="2"/>
          <w:sz w:val="24"/>
          <w:szCs w:val="22"/>
          <w:highlight w:val="none"/>
          <w:shd w:val="clear" w:color="auto" w:fill="FFFFFF" w:themeFill="background1"/>
          <w:lang w:val="zh-CN" w:eastAsia="zh-CN" w:bidi="ar-SA"/>
        </w:rPr>
      </w:pPr>
      <w:r>
        <w:rPr>
          <w:rFonts w:hint="eastAsia" w:ascii="宋体" w:hAnsi="宋体" w:eastAsia="宋体" w:cstheme="minorBidi"/>
          <w:iCs/>
          <w:color w:val="auto"/>
          <w:kern w:val="2"/>
          <w:sz w:val="24"/>
          <w:szCs w:val="22"/>
          <w:highlight w:val="none"/>
          <w:shd w:val="clear" w:color="auto" w:fill="FFFFFF" w:themeFill="background1"/>
          <w:lang w:val="en-US" w:eastAsia="zh-CN" w:bidi="ar-SA"/>
        </w:rPr>
        <w:t>4</w:t>
      </w:r>
      <w:r>
        <w:rPr>
          <w:rFonts w:hint="eastAsia" w:ascii="宋体" w:hAnsi="宋体" w:eastAsia="宋体" w:cstheme="minorBidi"/>
          <w:iCs/>
          <w:color w:val="auto"/>
          <w:kern w:val="2"/>
          <w:sz w:val="24"/>
          <w:szCs w:val="22"/>
          <w:highlight w:val="none"/>
          <w:shd w:val="clear" w:color="auto" w:fill="FFFFFF" w:themeFill="background1"/>
          <w:lang w:val="zh-CN" w:eastAsia="zh-CN" w:bidi="ar-SA"/>
        </w:rPr>
        <w:t>.</w:t>
      </w:r>
      <w:r>
        <w:rPr>
          <w:rFonts w:hint="eastAsia" w:ascii="宋体" w:hAnsi="宋体" w:eastAsia="宋体" w:cstheme="minorBidi"/>
          <w:iCs/>
          <w:color w:val="auto"/>
          <w:kern w:val="2"/>
          <w:sz w:val="24"/>
          <w:szCs w:val="22"/>
          <w:highlight w:val="none"/>
          <w:shd w:val="clear" w:color="auto" w:fill="FFFFFF" w:themeFill="background1"/>
          <w:lang w:val="en-US" w:eastAsia="zh-CN" w:bidi="ar-SA"/>
        </w:rPr>
        <w:t>2.</w:t>
      </w:r>
      <w:r>
        <w:rPr>
          <w:rFonts w:hint="eastAsia" w:eastAsia="宋体" w:cstheme="minorBidi"/>
          <w:iCs/>
          <w:color w:val="auto"/>
          <w:kern w:val="2"/>
          <w:sz w:val="24"/>
          <w:szCs w:val="22"/>
          <w:highlight w:val="none"/>
          <w:shd w:val="clear" w:color="auto" w:fill="FFFFFF" w:themeFill="background1"/>
          <w:lang w:val="en-US" w:eastAsia="zh-CN" w:bidi="ar-SA"/>
        </w:rPr>
        <w:t>2</w:t>
      </w:r>
      <w:r>
        <w:rPr>
          <w:rFonts w:hint="eastAsia" w:ascii="宋体" w:hAnsi="宋体" w:eastAsia="宋体" w:cstheme="minorBidi"/>
          <w:iCs/>
          <w:color w:val="auto"/>
          <w:kern w:val="2"/>
          <w:sz w:val="24"/>
          <w:szCs w:val="22"/>
          <w:highlight w:val="none"/>
          <w:shd w:val="clear" w:color="auto" w:fill="FFFFFF" w:themeFill="background1"/>
          <w:lang w:val="zh-CN" w:eastAsia="zh-CN" w:bidi="ar-SA"/>
        </w:rPr>
        <w:t>联合体各方应按招标文件提供的格式签订联合</w:t>
      </w:r>
      <w:r>
        <w:rPr>
          <w:rFonts w:hint="eastAsia" w:ascii="宋体" w:hAnsi="宋体" w:eastAsia="宋体" w:cstheme="minorBidi"/>
          <w:iCs/>
          <w:color w:val="auto"/>
          <w:kern w:val="2"/>
          <w:sz w:val="24"/>
          <w:szCs w:val="22"/>
          <w:highlight w:val="none"/>
          <w:shd w:val="clear" w:color="auto" w:fill="FFFFFF" w:themeFill="background1"/>
          <w:lang w:val="en-US" w:eastAsia="zh-CN" w:bidi="ar-SA"/>
        </w:rPr>
        <w:t>体</w:t>
      </w:r>
      <w:r>
        <w:rPr>
          <w:rFonts w:hint="eastAsia" w:ascii="宋体" w:hAnsi="宋体" w:eastAsia="宋体" w:cstheme="minorBidi"/>
          <w:iCs/>
          <w:color w:val="auto"/>
          <w:kern w:val="2"/>
          <w:sz w:val="24"/>
          <w:szCs w:val="22"/>
          <w:highlight w:val="none"/>
          <w:shd w:val="clear" w:color="auto" w:fill="FFFFFF" w:themeFill="background1"/>
          <w:lang w:val="zh-CN" w:eastAsia="zh-CN" w:bidi="ar-SA"/>
        </w:rPr>
        <w:t>协议</w:t>
      </w:r>
      <w:r>
        <w:rPr>
          <w:rFonts w:hint="eastAsia" w:ascii="宋体" w:hAnsi="宋体" w:eastAsia="宋体" w:cstheme="minorBidi"/>
          <w:iCs/>
          <w:color w:val="auto"/>
          <w:kern w:val="2"/>
          <w:sz w:val="24"/>
          <w:szCs w:val="22"/>
          <w:highlight w:val="none"/>
          <w:shd w:val="clear" w:color="auto" w:fill="FFFFFF" w:themeFill="background1"/>
          <w:lang w:val="en-US" w:eastAsia="zh-CN" w:bidi="ar-SA"/>
        </w:rPr>
        <w:t>书</w:t>
      </w:r>
      <w:r>
        <w:rPr>
          <w:rFonts w:hint="eastAsia" w:ascii="宋体" w:hAnsi="宋体" w:eastAsia="宋体" w:cstheme="minorBidi"/>
          <w:iCs/>
          <w:color w:val="auto"/>
          <w:kern w:val="2"/>
          <w:sz w:val="24"/>
          <w:szCs w:val="22"/>
          <w:highlight w:val="none"/>
          <w:shd w:val="clear" w:color="auto" w:fill="FFFFFF" w:themeFill="background1"/>
          <w:lang w:val="zh-CN" w:eastAsia="zh-CN" w:bidi="ar-SA"/>
        </w:rPr>
        <w:t>，明确约定联合体各方承担的工作和相应的责任，并将联合</w:t>
      </w:r>
      <w:r>
        <w:rPr>
          <w:rFonts w:hint="eastAsia" w:ascii="宋体" w:hAnsi="宋体" w:eastAsia="宋体" w:cstheme="minorBidi"/>
          <w:iCs/>
          <w:color w:val="auto"/>
          <w:kern w:val="2"/>
          <w:sz w:val="24"/>
          <w:szCs w:val="22"/>
          <w:highlight w:val="none"/>
          <w:shd w:val="clear" w:color="auto" w:fill="FFFFFF" w:themeFill="background1"/>
          <w:lang w:val="en-US" w:eastAsia="zh-CN" w:bidi="ar-SA"/>
        </w:rPr>
        <w:t>体</w:t>
      </w:r>
      <w:r>
        <w:rPr>
          <w:rFonts w:hint="eastAsia" w:ascii="宋体" w:hAnsi="宋体" w:eastAsia="宋体" w:cstheme="minorBidi"/>
          <w:iCs/>
          <w:color w:val="auto"/>
          <w:kern w:val="2"/>
          <w:sz w:val="24"/>
          <w:szCs w:val="22"/>
          <w:highlight w:val="none"/>
          <w:shd w:val="clear" w:color="auto" w:fill="FFFFFF" w:themeFill="background1"/>
          <w:lang w:val="zh-CN" w:eastAsia="zh-CN" w:bidi="ar-SA"/>
        </w:rPr>
        <w:t>协议</w:t>
      </w:r>
      <w:r>
        <w:rPr>
          <w:rFonts w:hint="eastAsia" w:ascii="宋体" w:hAnsi="宋体" w:eastAsia="宋体" w:cstheme="minorBidi"/>
          <w:iCs/>
          <w:color w:val="auto"/>
          <w:kern w:val="2"/>
          <w:sz w:val="24"/>
          <w:szCs w:val="22"/>
          <w:highlight w:val="none"/>
          <w:shd w:val="clear" w:color="auto" w:fill="FFFFFF" w:themeFill="background1"/>
          <w:lang w:val="en-US" w:eastAsia="zh-CN" w:bidi="ar-SA"/>
        </w:rPr>
        <w:t>书</w:t>
      </w:r>
      <w:r>
        <w:rPr>
          <w:rFonts w:hint="eastAsia" w:ascii="宋体" w:hAnsi="宋体" w:eastAsia="宋体" w:cstheme="minorBidi"/>
          <w:iCs/>
          <w:color w:val="auto"/>
          <w:kern w:val="2"/>
          <w:sz w:val="24"/>
          <w:szCs w:val="22"/>
          <w:highlight w:val="none"/>
          <w:shd w:val="clear" w:color="auto" w:fill="FFFFFF" w:themeFill="background1"/>
          <w:lang w:val="zh-CN" w:eastAsia="zh-CN" w:bidi="ar-SA"/>
        </w:rPr>
        <w:t>作为投标文件的一部分提交，该协议书对联合</w:t>
      </w:r>
      <w:r>
        <w:rPr>
          <w:rFonts w:hint="eastAsia" w:ascii="宋体" w:hAnsi="宋体" w:eastAsia="宋体" w:cstheme="minorBidi"/>
          <w:iCs/>
          <w:color w:val="auto"/>
          <w:kern w:val="2"/>
          <w:sz w:val="24"/>
          <w:szCs w:val="22"/>
          <w:highlight w:val="none"/>
          <w:shd w:val="clear" w:color="auto" w:fill="FFFFFF" w:themeFill="background1"/>
          <w:lang w:val="en-US" w:eastAsia="zh-CN" w:bidi="ar-SA"/>
        </w:rPr>
        <w:t>体所有成员</w:t>
      </w:r>
      <w:r>
        <w:rPr>
          <w:rFonts w:hint="eastAsia" w:ascii="宋体" w:hAnsi="宋体" w:eastAsia="宋体" w:cstheme="minorBidi"/>
          <w:iCs/>
          <w:color w:val="auto"/>
          <w:kern w:val="2"/>
          <w:sz w:val="24"/>
          <w:szCs w:val="22"/>
          <w:highlight w:val="none"/>
          <w:shd w:val="clear" w:color="auto" w:fill="FFFFFF" w:themeFill="background1"/>
          <w:lang w:val="zh-CN" w:eastAsia="zh-CN" w:bidi="ar-SA"/>
        </w:rPr>
        <w:t>均具有法律约束力。</w:t>
      </w:r>
    </w:p>
    <w:p w14:paraId="5343E5B5">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theme="minorBidi"/>
          <w:iCs/>
          <w:color w:val="auto"/>
          <w:kern w:val="2"/>
          <w:sz w:val="24"/>
          <w:szCs w:val="22"/>
          <w:highlight w:val="none"/>
          <w:shd w:val="clear" w:color="auto" w:fill="FFFFFF" w:themeFill="background1"/>
          <w:lang w:val="zh-CN" w:eastAsia="zh-CN" w:bidi="ar-SA"/>
        </w:rPr>
      </w:pPr>
      <w:r>
        <w:rPr>
          <w:rFonts w:hint="eastAsia" w:ascii="宋体" w:hAnsi="宋体" w:eastAsia="宋体" w:cstheme="minorBidi"/>
          <w:iCs/>
          <w:color w:val="auto"/>
          <w:kern w:val="2"/>
          <w:sz w:val="24"/>
          <w:szCs w:val="22"/>
          <w:highlight w:val="none"/>
          <w:shd w:val="clear" w:color="auto" w:fill="FFFFFF" w:themeFill="background1"/>
          <w:lang w:val="en-US" w:eastAsia="zh-CN" w:bidi="ar-SA"/>
        </w:rPr>
        <w:t>4.2.</w:t>
      </w:r>
      <w:r>
        <w:rPr>
          <w:rFonts w:hint="eastAsia" w:eastAsia="宋体" w:cstheme="minorBidi"/>
          <w:iCs/>
          <w:color w:val="auto"/>
          <w:kern w:val="2"/>
          <w:sz w:val="24"/>
          <w:szCs w:val="22"/>
          <w:highlight w:val="none"/>
          <w:shd w:val="clear" w:color="auto" w:fill="FFFFFF" w:themeFill="background1"/>
          <w:lang w:val="en-US" w:eastAsia="zh-CN" w:bidi="ar-SA"/>
        </w:rPr>
        <w:t>3</w:t>
      </w:r>
      <w:r>
        <w:rPr>
          <w:rFonts w:hint="eastAsia" w:ascii="宋体" w:hAnsi="宋体" w:eastAsia="宋体" w:cstheme="minorBidi"/>
          <w:iCs/>
          <w:color w:val="auto"/>
          <w:kern w:val="2"/>
          <w:sz w:val="24"/>
          <w:szCs w:val="22"/>
          <w:highlight w:val="none"/>
          <w:shd w:val="clear" w:color="auto" w:fill="FFFFFF" w:themeFill="background1"/>
          <w:lang w:val="zh-CN" w:eastAsia="zh-CN" w:bidi="ar-SA"/>
        </w:rPr>
        <w:t>联合体中有同类资质的供应商按照联合体分工承担相同工作的，应当按照资质等级较低的供应商确定资质等级。</w:t>
      </w:r>
    </w:p>
    <w:p w14:paraId="21D444C4">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theme="minorBidi"/>
          <w:iCs/>
          <w:color w:val="auto"/>
          <w:kern w:val="2"/>
          <w:sz w:val="24"/>
          <w:szCs w:val="22"/>
          <w:highlight w:val="none"/>
          <w:shd w:val="clear" w:color="auto" w:fill="FFFFFF" w:themeFill="background1"/>
          <w:lang w:val="zh-CN" w:eastAsia="zh-CN" w:bidi="ar-SA"/>
        </w:rPr>
      </w:pPr>
      <w:r>
        <w:rPr>
          <w:rFonts w:hint="eastAsia" w:ascii="宋体" w:hAnsi="宋体" w:eastAsia="宋体" w:cstheme="minorBidi"/>
          <w:iCs/>
          <w:color w:val="auto"/>
          <w:kern w:val="2"/>
          <w:sz w:val="24"/>
          <w:szCs w:val="22"/>
          <w:highlight w:val="none"/>
          <w:shd w:val="clear" w:color="auto" w:fill="FFFFFF" w:themeFill="background1"/>
          <w:lang w:val="en-US" w:eastAsia="zh-CN" w:bidi="ar-SA"/>
        </w:rPr>
        <w:t>4.2</w:t>
      </w:r>
      <w:r>
        <w:rPr>
          <w:rFonts w:hint="eastAsia" w:ascii="宋体" w:hAnsi="宋体" w:eastAsia="宋体" w:cstheme="minorBidi"/>
          <w:iCs/>
          <w:color w:val="auto"/>
          <w:kern w:val="2"/>
          <w:sz w:val="24"/>
          <w:szCs w:val="22"/>
          <w:highlight w:val="none"/>
          <w:shd w:val="clear" w:color="auto" w:fill="FFFFFF" w:themeFill="background1"/>
          <w:lang w:val="zh-CN" w:eastAsia="zh-CN" w:bidi="ar-SA"/>
        </w:rPr>
        <w:t>.</w:t>
      </w:r>
      <w:r>
        <w:rPr>
          <w:rFonts w:hint="eastAsia" w:eastAsia="宋体" w:cstheme="minorBidi"/>
          <w:iCs/>
          <w:color w:val="auto"/>
          <w:kern w:val="2"/>
          <w:sz w:val="24"/>
          <w:szCs w:val="22"/>
          <w:highlight w:val="none"/>
          <w:shd w:val="clear" w:color="auto" w:fill="FFFFFF" w:themeFill="background1"/>
          <w:lang w:val="en-US" w:eastAsia="zh-CN" w:bidi="ar-SA"/>
        </w:rPr>
        <w:t>4</w:t>
      </w:r>
      <w:r>
        <w:rPr>
          <w:rFonts w:hint="eastAsia" w:ascii="宋体" w:hAnsi="宋体" w:eastAsia="宋体" w:cstheme="minorBidi"/>
          <w:iCs/>
          <w:color w:val="auto"/>
          <w:kern w:val="2"/>
          <w:sz w:val="24"/>
          <w:szCs w:val="22"/>
          <w:highlight w:val="none"/>
          <w:shd w:val="clear" w:color="auto" w:fill="FFFFFF" w:themeFill="background1"/>
          <w:lang w:val="zh-CN" w:eastAsia="zh-CN" w:bidi="ar-SA"/>
        </w:rPr>
        <w:t>以联合体形式参加政府采购活动的，联合体各方不得再单独参加或者与其他供应商另外组成联合体参加</w:t>
      </w:r>
      <w:r>
        <w:rPr>
          <w:rFonts w:hint="eastAsia" w:ascii="宋体" w:hAnsi="宋体" w:eastAsia="宋体" w:cstheme="minorBidi"/>
          <w:iCs/>
          <w:color w:val="auto"/>
          <w:kern w:val="2"/>
          <w:sz w:val="24"/>
          <w:szCs w:val="22"/>
          <w:highlight w:val="none"/>
          <w:shd w:val="clear" w:color="auto" w:fill="FFFFFF" w:themeFill="background1"/>
          <w:lang w:val="en-US" w:eastAsia="zh-CN" w:bidi="ar-SA"/>
        </w:rPr>
        <w:t>同一合同项下的</w:t>
      </w:r>
      <w:r>
        <w:rPr>
          <w:rFonts w:hint="eastAsia" w:ascii="宋体" w:hAnsi="宋体" w:eastAsia="宋体" w:cstheme="minorBidi"/>
          <w:iCs/>
          <w:color w:val="auto"/>
          <w:kern w:val="2"/>
          <w:sz w:val="24"/>
          <w:szCs w:val="22"/>
          <w:highlight w:val="none"/>
          <w:shd w:val="clear" w:color="auto" w:fill="FFFFFF" w:themeFill="background1"/>
          <w:lang w:val="zh-CN" w:eastAsia="zh-CN" w:bidi="ar-SA"/>
        </w:rPr>
        <w:t>投标，否则相关投标将被认定为</w:t>
      </w:r>
      <w:r>
        <w:rPr>
          <w:rFonts w:hint="eastAsia" w:ascii="宋体" w:hAnsi="宋体" w:eastAsia="宋体" w:cstheme="minorBidi"/>
          <w:b/>
          <w:bCs/>
          <w:iCs/>
          <w:color w:val="auto"/>
          <w:kern w:val="2"/>
          <w:sz w:val="24"/>
          <w:szCs w:val="22"/>
          <w:highlight w:val="none"/>
          <w:shd w:val="clear" w:color="auto" w:fill="FFFFFF" w:themeFill="background1"/>
          <w:lang w:val="zh-CN" w:eastAsia="zh-CN" w:bidi="ar-SA"/>
        </w:rPr>
        <w:t>投标无效</w:t>
      </w:r>
      <w:r>
        <w:rPr>
          <w:rFonts w:hint="eastAsia" w:ascii="宋体" w:hAnsi="宋体" w:eastAsia="宋体" w:cstheme="minorBidi"/>
          <w:iCs/>
          <w:color w:val="auto"/>
          <w:kern w:val="2"/>
          <w:sz w:val="24"/>
          <w:szCs w:val="22"/>
          <w:highlight w:val="none"/>
          <w:shd w:val="clear" w:color="auto" w:fill="FFFFFF" w:themeFill="background1"/>
          <w:lang w:val="zh-CN" w:eastAsia="zh-CN" w:bidi="ar-SA"/>
        </w:rPr>
        <w:t>。</w:t>
      </w:r>
    </w:p>
    <w:p w14:paraId="2E60D00D">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theme="minorBidi"/>
          <w:iCs/>
          <w:color w:val="auto"/>
          <w:kern w:val="2"/>
          <w:sz w:val="24"/>
          <w:szCs w:val="22"/>
          <w:highlight w:val="none"/>
          <w:shd w:val="clear" w:color="auto" w:fill="FFFFFF" w:themeFill="background1"/>
          <w:lang w:val="zh-CN" w:eastAsia="zh-CN" w:bidi="ar-SA"/>
        </w:rPr>
      </w:pPr>
      <w:r>
        <w:rPr>
          <w:rFonts w:hint="eastAsia" w:ascii="宋体" w:hAnsi="宋体" w:eastAsia="宋体" w:cstheme="minorBidi"/>
          <w:iCs/>
          <w:color w:val="auto"/>
          <w:kern w:val="2"/>
          <w:sz w:val="24"/>
          <w:szCs w:val="22"/>
          <w:highlight w:val="none"/>
          <w:shd w:val="clear" w:color="auto" w:fill="FFFFFF" w:themeFill="background1"/>
          <w:lang w:val="en-US" w:eastAsia="zh-CN" w:bidi="ar-SA"/>
        </w:rPr>
        <w:t>4.2</w:t>
      </w:r>
      <w:r>
        <w:rPr>
          <w:rFonts w:hint="eastAsia" w:ascii="宋体" w:hAnsi="宋体" w:eastAsia="宋体" w:cstheme="minorBidi"/>
          <w:iCs/>
          <w:color w:val="auto"/>
          <w:kern w:val="2"/>
          <w:sz w:val="24"/>
          <w:szCs w:val="22"/>
          <w:highlight w:val="none"/>
          <w:shd w:val="clear" w:color="auto" w:fill="FFFFFF" w:themeFill="background1"/>
          <w:lang w:val="zh-CN" w:eastAsia="zh-CN" w:bidi="ar-SA"/>
        </w:rPr>
        <w:t>.5大中型企业、其他自然人、法人或者非法人组织与小型、微型企业组成联合体共同参加投标</w:t>
      </w:r>
      <w:r>
        <w:rPr>
          <w:rFonts w:hint="eastAsia" w:ascii="宋体" w:hAnsi="宋体" w:eastAsia="宋体" w:cstheme="minorBidi"/>
          <w:iCs/>
          <w:color w:val="auto"/>
          <w:kern w:val="2"/>
          <w:sz w:val="24"/>
          <w:szCs w:val="22"/>
          <w:highlight w:val="none"/>
          <w:shd w:val="clear" w:color="auto" w:fill="FFFFFF" w:themeFill="background1"/>
          <w:lang w:val="en-US" w:eastAsia="zh-CN" w:bidi="ar-SA"/>
        </w:rPr>
        <w:t>的</w:t>
      </w:r>
      <w:r>
        <w:rPr>
          <w:rFonts w:hint="eastAsia" w:ascii="宋体" w:hAnsi="宋体" w:eastAsia="宋体" w:cstheme="minorBidi"/>
          <w:iCs/>
          <w:color w:val="auto"/>
          <w:kern w:val="2"/>
          <w:sz w:val="24"/>
          <w:szCs w:val="22"/>
          <w:highlight w:val="none"/>
          <w:shd w:val="clear" w:color="auto" w:fill="FFFFFF" w:themeFill="background1"/>
          <w:lang w:val="zh-CN" w:eastAsia="zh-CN" w:bidi="ar-SA"/>
        </w:rPr>
        <w:t>，联合</w:t>
      </w:r>
      <w:r>
        <w:rPr>
          <w:rFonts w:hint="eastAsia" w:ascii="宋体" w:hAnsi="宋体" w:eastAsia="宋体" w:cstheme="minorBidi"/>
          <w:iCs/>
          <w:color w:val="auto"/>
          <w:kern w:val="2"/>
          <w:sz w:val="24"/>
          <w:szCs w:val="22"/>
          <w:highlight w:val="none"/>
          <w:shd w:val="clear" w:color="auto" w:fill="FFFFFF" w:themeFill="background1"/>
          <w:lang w:val="en-US" w:eastAsia="zh-CN" w:bidi="ar-SA"/>
        </w:rPr>
        <w:t>体</w:t>
      </w:r>
      <w:r>
        <w:rPr>
          <w:rFonts w:hint="eastAsia" w:ascii="宋体" w:hAnsi="宋体" w:eastAsia="宋体" w:cstheme="minorBidi"/>
          <w:iCs/>
          <w:color w:val="auto"/>
          <w:kern w:val="2"/>
          <w:sz w:val="24"/>
          <w:szCs w:val="22"/>
          <w:highlight w:val="none"/>
          <w:shd w:val="clear" w:color="auto" w:fill="FFFFFF" w:themeFill="background1"/>
          <w:lang w:val="zh-CN" w:eastAsia="zh-CN" w:bidi="ar-SA"/>
        </w:rPr>
        <w:t>协议</w:t>
      </w:r>
      <w:r>
        <w:rPr>
          <w:rFonts w:hint="eastAsia" w:ascii="宋体" w:hAnsi="宋体" w:eastAsia="宋体" w:cstheme="minorBidi"/>
          <w:iCs/>
          <w:color w:val="auto"/>
          <w:kern w:val="2"/>
          <w:sz w:val="24"/>
          <w:szCs w:val="22"/>
          <w:highlight w:val="none"/>
          <w:shd w:val="clear" w:color="auto" w:fill="FFFFFF" w:themeFill="background1"/>
          <w:lang w:val="en-US" w:eastAsia="zh-CN" w:bidi="ar-SA"/>
        </w:rPr>
        <w:t>书</w:t>
      </w:r>
      <w:r>
        <w:rPr>
          <w:rFonts w:hint="eastAsia" w:ascii="宋体" w:hAnsi="宋体" w:eastAsia="宋体" w:cstheme="minorBidi"/>
          <w:iCs/>
          <w:color w:val="auto"/>
          <w:kern w:val="2"/>
          <w:sz w:val="24"/>
          <w:szCs w:val="22"/>
          <w:highlight w:val="none"/>
          <w:shd w:val="clear" w:color="auto" w:fill="FFFFFF" w:themeFill="background1"/>
          <w:lang w:val="zh-CN" w:eastAsia="zh-CN" w:bidi="ar-SA"/>
        </w:rPr>
        <w:t>中应写明小型、微型企业的合同金额占到联合</w:t>
      </w:r>
      <w:r>
        <w:rPr>
          <w:rFonts w:hint="eastAsia" w:ascii="宋体" w:hAnsi="宋体" w:eastAsia="宋体" w:cstheme="minorBidi"/>
          <w:iCs/>
          <w:color w:val="auto"/>
          <w:kern w:val="2"/>
          <w:sz w:val="24"/>
          <w:szCs w:val="22"/>
          <w:highlight w:val="none"/>
          <w:shd w:val="clear" w:color="auto" w:fill="FFFFFF" w:themeFill="background1"/>
          <w:lang w:val="en-US" w:eastAsia="zh-CN" w:bidi="ar-SA"/>
        </w:rPr>
        <w:t>体</w:t>
      </w:r>
      <w:r>
        <w:rPr>
          <w:rFonts w:hint="eastAsia" w:ascii="宋体" w:hAnsi="宋体" w:eastAsia="宋体" w:cstheme="minorBidi"/>
          <w:iCs/>
          <w:color w:val="auto"/>
          <w:kern w:val="2"/>
          <w:sz w:val="24"/>
          <w:szCs w:val="22"/>
          <w:highlight w:val="none"/>
          <w:shd w:val="clear" w:color="auto" w:fill="FFFFFF" w:themeFill="background1"/>
          <w:lang w:val="zh-CN" w:eastAsia="zh-CN" w:bidi="ar-SA"/>
        </w:rPr>
        <w:t>投标</w:t>
      </w:r>
      <w:r>
        <w:rPr>
          <w:rFonts w:hint="eastAsia" w:ascii="宋体" w:hAnsi="宋体" w:eastAsia="宋体" w:cstheme="minorBidi"/>
          <w:iCs/>
          <w:color w:val="auto"/>
          <w:kern w:val="2"/>
          <w:sz w:val="24"/>
          <w:szCs w:val="22"/>
          <w:highlight w:val="none"/>
          <w:shd w:val="clear" w:color="auto" w:fill="FFFFFF" w:themeFill="background1"/>
          <w:lang w:val="en-US" w:eastAsia="zh-CN" w:bidi="ar-SA"/>
        </w:rPr>
        <w:t>合同</w:t>
      </w:r>
      <w:r>
        <w:rPr>
          <w:rFonts w:hint="eastAsia" w:ascii="宋体" w:hAnsi="宋体" w:eastAsia="宋体" w:cstheme="minorBidi"/>
          <w:iCs/>
          <w:color w:val="auto"/>
          <w:kern w:val="2"/>
          <w:sz w:val="24"/>
          <w:szCs w:val="22"/>
          <w:highlight w:val="none"/>
          <w:shd w:val="clear" w:color="auto" w:fill="FFFFFF" w:themeFill="background1"/>
          <w:lang w:val="zh-CN" w:eastAsia="zh-CN" w:bidi="ar-SA"/>
        </w:rPr>
        <w:t>总金额的比例。</w:t>
      </w:r>
    </w:p>
    <w:p w14:paraId="7127D169">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theme="minorBidi"/>
          <w:iCs/>
          <w:color w:val="auto"/>
          <w:kern w:val="2"/>
          <w:sz w:val="24"/>
          <w:szCs w:val="22"/>
          <w:highlight w:val="none"/>
          <w:shd w:val="clear" w:color="auto" w:fill="FFFFFF" w:themeFill="background1"/>
          <w:lang w:val="zh-CN" w:eastAsia="zh-CN" w:bidi="ar-SA"/>
        </w:rPr>
      </w:pPr>
      <w:r>
        <w:rPr>
          <w:rFonts w:hint="eastAsia" w:ascii="宋体" w:hAnsi="宋体" w:eastAsia="宋体" w:cstheme="minorBidi"/>
          <w:iCs/>
          <w:color w:val="auto"/>
          <w:kern w:val="2"/>
          <w:sz w:val="24"/>
          <w:szCs w:val="22"/>
          <w:highlight w:val="none"/>
          <w:shd w:val="clear" w:color="auto" w:fill="FFFFFF" w:themeFill="background1"/>
          <w:lang w:val="zh-CN" w:eastAsia="zh-CN" w:bidi="ar-SA"/>
        </w:rPr>
        <w:t>4.2</w:t>
      </w:r>
      <w:r>
        <w:rPr>
          <w:rFonts w:hint="eastAsia" w:ascii="宋体" w:hAnsi="宋体" w:eastAsia="宋体" w:cstheme="minorBidi"/>
          <w:iCs/>
          <w:color w:val="auto"/>
          <w:kern w:val="2"/>
          <w:sz w:val="24"/>
          <w:szCs w:val="22"/>
          <w:highlight w:val="none"/>
          <w:shd w:val="clear" w:color="auto" w:fill="FFFFFF" w:themeFill="background1"/>
          <w:lang w:val="en-US" w:eastAsia="zh-CN" w:bidi="ar-SA"/>
        </w:rPr>
        <w:t>.</w:t>
      </w:r>
      <w:r>
        <w:rPr>
          <w:rFonts w:hint="eastAsia" w:eastAsia="宋体" w:cstheme="minorBidi"/>
          <w:iCs/>
          <w:color w:val="auto"/>
          <w:kern w:val="2"/>
          <w:sz w:val="24"/>
          <w:szCs w:val="22"/>
          <w:highlight w:val="none"/>
          <w:shd w:val="clear" w:color="auto" w:fill="FFFFFF" w:themeFill="background1"/>
          <w:lang w:val="en-US" w:eastAsia="zh-CN" w:bidi="ar-SA"/>
        </w:rPr>
        <w:t>6</w:t>
      </w:r>
      <w:r>
        <w:rPr>
          <w:rFonts w:hint="eastAsia" w:ascii="宋体" w:hAnsi="宋体" w:eastAsia="宋体" w:cstheme="minorBidi"/>
          <w:iCs/>
          <w:color w:val="auto"/>
          <w:kern w:val="2"/>
          <w:sz w:val="24"/>
          <w:szCs w:val="22"/>
          <w:highlight w:val="none"/>
          <w:shd w:val="clear" w:color="auto" w:fill="FFFFFF" w:themeFill="background1"/>
          <w:lang w:val="zh-CN" w:eastAsia="zh-CN" w:bidi="ar-SA"/>
        </w:rPr>
        <w:t>联合体中标</w:t>
      </w:r>
      <w:r>
        <w:rPr>
          <w:rFonts w:hint="eastAsia" w:eastAsia="宋体" w:cstheme="minorBidi"/>
          <w:iCs/>
          <w:color w:val="auto"/>
          <w:kern w:val="2"/>
          <w:sz w:val="24"/>
          <w:szCs w:val="22"/>
          <w:highlight w:val="none"/>
          <w:shd w:val="clear" w:color="auto" w:fill="FFFFFF" w:themeFill="background1"/>
          <w:lang w:val="en-US" w:eastAsia="zh-CN" w:bidi="ar-SA"/>
        </w:rPr>
        <w:t>的</w:t>
      </w:r>
      <w:r>
        <w:rPr>
          <w:rFonts w:hint="eastAsia" w:ascii="宋体" w:hAnsi="宋体" w:eastAsia="宋体" w:cstheme="minorBidi"/>
          <w:iCs/>
          <w:color w:val="auto"/>
          <w:kern w:val="2"/>
          <w:sz w:val="24"/>
          <w:szCs w:val="22"/>
          <w:highlight w:val="none"/>
          <w:shd w:val="clear" w:color="auto" w:fill="FFFFFF" w:themeFill="background1"/>
          <w:lang w:val="zh-CN" w:eastAsia="zh-CN" w:bidi="ar-SA"/>
        </w:rPr>
        <w:t>，</w:t>
      </w:r>
      <w:r>
        <w:rPr>
          <w:rFonts w:hint="eastAsia" w:ascii="宋体" w:hAnsi="宋体" w:eastAsia="宋体" w:cstheme="minorBidi"/>
          <w:iCs/>
          <w:color w:val="auto"/>
          <w:kern w:val="2"/>
          <w:sz w:val="24"/>
          <w:szCs w:val="22"/>
          <w:highlight w:val="none"/>
          <w:shd w:val="clear" w:color="auto" w:fill="FFFFFF" w:themeFill="background1"/>
          <w:lang w:val="en-US" w:eastAsia="zh-CN" w:bidi="ar-SA"/>
        </w:rPr>
        <w:t>采购</w:t>
      </w:r>
      <w:r>
        <w:rPr>
          <w:rFonts w:hint="eastAsia" w:ascii="宋体" w:hAnsi="宋体" w:eastAsia="宋体" w:cstheme="minorBidi"/>
          <w:iCs/>
          <w:color w:val="auto"/>
          <w:kern w:val="2"/>
          <w:sz w:val="24"/>
          <w:szCs w:val="22"/>
          <w:highlight w:val="none"/>
          <w:shd w:val="clear" w:color="auto" w:fill="FFFFFF" w:themeFill="background1"/>
          <w:lang w:val="zh-CN" w:eastAsia="zh-CN" w:bidi="ar-SA"/>
        </w:rPr>
        <w:t>合同应由</w:t>
      </w:r>
      <w:r>
        <w:rPr>
          <w:rFonts w:hint="eastAsia" w:ascii="宋体" w:hAnsi="宋体" w:eastAsia="宋体" w:cstheme="minorBidi"/>
          <w:iCs/>
          <w:color w:val="auto"/>
          <w:kern w:val="2"/>
          <w:sz w:val="24"/>
          <w:szCs w:val="22"/>
          <w:highlight w:val="none"/>
          <w:shd w:val="clear" w:color="auto" w:fill="FFFFFF" w:themeFill="background1"/>
          <w:lang w:val="en-US" w:eastAsia="zh-CN" w:bidi="ar-SA"/>
        </w:rPr>
        <w:t>联合体</w:t>
      </w:r>
      <w:r>
        <w:rPr>
          <w:rFonts w:hint="eastAsia" w:ascii="宋体" w:hAnsi="宋体" w:eastAsia="宋体" w:cstheme="minorBidi"/>
          <w:iCs/>
          <w:color w:val="auto"/>
          <w:kern w:val="2"/>
          <w:sz w:val="24"/>
          <w:szCs w:val="22"/>
          <w:highlight w:val="none"/>
          <w:shd w:val="clear" w:color="auto" w:fill="FFFFFF" w:themeFill="background1"/>
          <w:lang w:val="zh-CN" w:eastAsia="zh-CN" w:bidi="ar-SA"/>
        </w:rPr>
        <w:t>各成员的合法授权代表签字</w:t>
      </w:r>
      <w:r>
        <w:rPr>
          <w:rFonts w:hint="eastAsia" w:eastAsia="宋体" w:cstheme="minorBidi"/>
          <w:iCs/>
          <w:color w:val="auto"/>
          <w:kern w:val="2"/>
          <w:sz w:val="24"/>
          <w:szCs w:val="22"/>
          <w:highlight w:val="none"/>
          <w:shd w:val="clear" w:color="auto" w:fill="FFFFFF" w:themeFill="background1"/>
          <w:lang w:val="en-US" w:eastAsia="zh-CN" w:bidi="ar-SA"/>
        </w:rPr>
        <w:t>及</w:t>
      </w:r>
      <w:r>
        <w:rPr>
          <w:rFonts w:hint="eastAsia" w:ascii="宋体" w:hAnsi="宋体" w:eastAsia="宋体" w:cstheme="minorBidi"/>
          <w:iCs/>
          <w:color w:val="auto"/>
          <w:kern w:val="2"/>
          <w:sz w:val="24"/>
          <w:szCs w:val="22"/>
          <w:highlight w:val="none"/>
          <w:shd w:val="clear" w:color="auto" w:fill="FFFFFF" w:themeFill="background1"/>
          <w:lang w:val="zh-CN" w:eastAsia="zh-CN" w:bidi="ar-SA"/>
        </w:rPr>
        <w:t>加盖</w:t>
      </w:r>
      <w:r>
        <w:rPr>
          <w:rFonts w:hint="eastAsia" w:ascii="宋体" w:hAnsi="宋体" w:eastAsia="宋体" w:cstheme="minorBidi"/>
          <w:iCs/>
          <w:color w:val="auto"/>
          <w:kern w:val="2"/>
          <w:sz w:val="24"/>
          <w:szCs w:val="22"/>
          <w:highlight w:val="none"/>
          <w:shd w:val="clear" w:color="auto" w:fill="FFFFFF" w:themeFill="background1"/>
          <w:lang w:val="en-US" w:eastAsia="zh-CN" w:bidi="ar-SA"/>
        </w:rPr>
        <w:t>联合体</w:t>
      </w:r>
      <w:r>
        <w:rPr>
          <w:rFonts w:hint="eastAsia" w:ascii="宋体" w:hAnsi="宋体" w:eastAsia="宋体" w:cstheme="minorBidi"/>
          <w:iCs/>
          <w:color w:val="auto"/>
          <w:kern w:val="2"/>
          <w:sz w:val="24"/>
          <w:szCs w:val="22"/>
          <w:highlight w:val="none"/>
          <w:shd w:val="clear" w:color="auto" w:fill="FFFFFF" w:themeFill="background1"/>
          <w:lang w:val="zh-CN" w:eastAsia="zh-CN" w:bidi="ar-SA"/>
        </w:rPr>
        <w:t>各成员公章，</w:t>
      </w:r>
      <w:r>
        <w:rPr>
          <w:rFonts w:hint="eastAsia" w:eastAsia="宋体" w:cstheme="minorBidi"/>
          <w:iCs/>
          <w:color w:val="auto"/>
          <w:kern w:val="2"/>
          <w:sz w:val="24"/>
          <w:szCs w:val="22"/>
          <w:highlight w:val="none"/>
          <w:shd w:val="clear" w:color="auto" w:fill="FFFFFF" w:themeFill="background1"/>
          <w:lang w:val="en-US" w:eastAsia="zh-CN" w:bidi="ar-SA"/>
        </w:rPr>
        <w:t>并</w:t>
      </w:r>
      <w:r>
        <w:rPr>
          <w:rFonts w:hint="eastAsia" w:ascii="宋体" w:hAnsi="宋体" w:eastAsia="宋体" w:cstheme="minorBidi"/>
          <w:iCs/>
          <w:color w:val="auto"/>
          <w:kern w:val="2"/>
          <w:sz w:val="24"/>
          <w:szCs w:val="22"/>
          <w:highlight w:val="none"/>
          <w:shd w:val="clear" w:color="auto" w:fill="FFFFFF" w:themeFill="background1"/>
          <w:lang w:val="zh-CN" w:eastAsia="zh-CN" w:bidi="ar-SA"/>
        </w:rPr>
        <w:t>对联合体成员作为整体和他们各自作为独立体均具有法律约束力，但若该签字或公章不齐全或缺乏，该联合体的牵头人的签署或类似的意思表示人具有代表该联合体的签署或意思表示的法律效力，并且据此各成员为履行合同应向采购人与采购代理机构承担连带责任。</w:t>
      </w:r>
    </w:p>
    <w:p w14:paraId="72C3CFE0">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theme="minorBidi"/>
          <w:iCs/>
          <w:color w:val="auto"/>
          <w:kern w:val="2"/>
          <w:sz w:val="24"/>
          <w:szCs w:val="22"/>
          <w:highlight w:val="none"/>
          <w:shd w:val="clear" w:color="auto" w:fill="FFFFFF" w:themeFill="background1"/>
          <w:lang w:val="zh-CN" w:eastAsia="zh-CN" w:bidi="ar-SA"/>
        </w:rPr>
      </w:pPr>
      <w:r>
        <w:rPr>
          <w:rFonts w:hint="eastAsia" w:ascii="宋体" w:hAnsi="宋体" w:eastAsia="宋体" w:cstheme="minorBidi"/>
          <w:iCs/>
          <w:color w:val="auto"/>
          <w:kern w:val="2"/>
          <w:sz w:val="24"/>
          <w:szCs w:val="22"/>
          <w:highlight w:val="none"/>
          <w:shd w:val="clear" w:color="auto" w:fill="FFFFFF" w:themeFill="background1"/>
          <w:lang w:val="zh-CN" w:eastAsia="zh-CN" w:bidi="ar-SA"/>
        </w:rPr>
        <w:t>4.2</w:t>
      </w:r>
      <w:r>
        <w:rPr>
          <w:rFonts w:hint="eastAsia" w:ascii="宋体" w:hAnsi="宋体" w:eastAsia="宋体" w:cstheme="minorBidi"/>
          <w:iCs/>
          <w:color w:val="auto"/>
          <w:kern w:val="2"/>
          <w:sz w:val="24"/>
          <w:szCs w:val="22"/>
          <w:highlight w:val="none"/>
          <w:shd w:val="clear" w:color="auto" w:fill="FFFFFF" w:themeFill="background1"/>
          <w:lang w:val="en-US" w:eastAsia="zh-CN" w:bidi="ar-SA"/>
        </w:rPr>
        <w:t>.</w:t>
      </w:r>
      <w:r>
        <w:rPr>
          <w:rFonts w:hint="eastAsia" w:eastAsia="宋体" w:cstheme="minorBidi"/>
          <w:iCs/>
          <w:color w:val="auto"/>
          <w:kern w:val="2"/>
          <w:sz w:val="24"/>
          <w:szCs w:val="22"/>
          <w:highlight w:val="none"/>
          <w:shd w:val="clear" w:color="auto" w:fill="FFFFFF" w:themeFill="background1"/>
          <w:lang w:val="en-US" w:eastAsia="zh-CN" w:bidi="ar-SA"/>
        </w:rPr>
        <w:t>7</w:t>
      </w:r>
      <w:r>
        <w:rPr>
          <w:rFonts w:hint="eastAsia" w:ascii="宋体" w:hAnsi="宋体" w:eastAsia="宋体" w:cstheme="minorBidi"/>
          <w:iCs/>
          <w:color w:val="auto"/>
          <w:kern w:val="2"/>
          <w:sz w:val="24"/>
          <w:szCs w:val="22"/>
          <w:highlight w:val="none"/>
          <w:shd w:val="clear" w:color="auto" w:fill="FFFFFF" w:themeFill="background1"/>
          <w:lang w:val="zh-CN" w:eastAsia="zh-CN" w:bidi="ar-SA"/>
        </w:rPr>
        <w:t>联合体或其成员不得将其在合同项下的权利或义务全部或部分转让给第三人，有关分包事项须事先取得采购</w:t>
      </w:r>
      <w:r>
        <w:rPr>
          <w:rFonts w:hint="eastAsia" w:ascii="宋体" w:hAnsi="宋体" w:eastAsia="宋体" w:cstheme="minorBidi"/>
          <w:iCs/>
          <w:color w:val="auto"/>
          <w:kern w:val="2"/>
          <w:sz w:val="24"/>
          <w:szCs w:val="22"/>
          <w:highlight w:val="none"/>
          <w:shd w:val="clear" w:color="auto" w:fill="FFFFFF" w:themeFill="background1"/>
          <w:lang w:val="en-US" w:eastAsia="zh-CN" w:bidi="ar-SA"/>
        </w:rPr>
        <w:t>人</w:t>
      </w:r>
      <w:r>
        <w:rPr>
          <w:rFonts w:hint="eastAsia" w:ascii="宋体" w:hAnsi="宋体" w:eastAsia="宋体" w:cstheme="minorBidi"/>
          <w:iCs/>
          <w:color w:val="auto"/>
          <w:kern w:val="2"/>
          <w:sz w:val="24"/>
          <w:szCs w:val="22"/>
          <w:highlight w:val="none"/>
          <w:shd w:val="clear" w:color="auto" w:fill="FFFFFF" w:themeFill="background1"/>
          <w:lang w:val="zh-CN" w:eastAsia="zh-CN" w:bidi="ar-SA"/>
        </w:rPr>
        <w:t>书面同意并且须遵守相关法律、法规、本次招标的全部相关规定。</w:t>
      </w:r>
    </w:p>
    <w:p w14:paraId="7D2803AB">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stheme="minorBidi"/>
          <w:iCs/>
          <w:color w:val="auto"/>
          <w:kern w:val="2"/>
          <w:sz w:val="24"/>
          <w:szCs w:val="22"/>
          <w:highlight w:val="none"/>
          <w:shd w:val="clear" w:color="auto" w:fill="FFFFFF" w:themeFill="background1"/>
          <w:lang w:val="zh-CN" w:eastAsia="zh-CN" w:bidi="ar-SA"/>
        </w:rPr>
      </w:pPr>
      <w:r>
        <w:rPr>
          <w:rFonts w:hint="eastAsia" w:ascii="宋体" w:hAnsi="宋体" w:eastAsia="宋体" w:cstheme="minorBidi"/>
          <w:iCs/>
          <w:color w:val="auto"/>
          <w:kern w:val="2"/>
          <w:sz w:val="24"/>
          <w:szCs w:val="22"/>
          <w:highlight w:val="none"/>
          <w:shd w:val="clear" w:color="auto" w:fill="FFFFFF" w:themeFill="background1"/>
          <w:lang w:val="en-US" w:eastAsia="zh-CN" w:bidi="ar-SA"/>
        </w:rPr>
        <w:t>4.2</w:t>
      </w:r>
      <w:r>
        <w:rPr>
          <w:rFonts w:hint="eastAsia" w:ascii="宋体" w:hAnsi="宋体" w:eastAsia="宋体" w:cstheme="minorBidi"/>
          <w:iCs/>
          <w:color w:val="auto"/>
          <w:kern w:val="2"/>
          <w:sz w:val="24"/>
          <w:szCs w:val="22"/>
          <w:highlight w:val="none"/>
          <w:shd w:val="clear" w:color="auto" w:fill="FFFFFF" w:themeFill="background1"/>
          <w:lang w:val="zh-CN" w:eastAsia="zh-CN" w:bidi="ar-SA"/>
        </w:rPr>
        <w:t>.</w:t>
      </w:r>
      <w:r>
        <w:rPr>
          <w:rFonts w:hint="eastAsia" w:eastAsia="宋体" w:cstheme="minorBidi"/>
          <w:iCs/>
          <w:color w:val="auto"/>
          <w:kern w:val="2"/>
          <w:sz w:val="24"/>
          <w:szCs w:val="22"/>
          <w:highlight w:val="none"/>
          <w:shd w:val="clear" w:color="auto" w:fill="FFFFFF" w:themeFill="background1"/>
          <w:lang w:val="en-US" w:eastAsia="zh-CN" w:bidi="ar-SA"/>
        </w:rPr>
        <w:t>8</w:t>
      </w:r>
      <w:r>
        <w:rPr>
          <w:rFonts w:hint="eastAsia" w:ascii="宋体" w:hAnsi="宋体" w:eastAsia="宋体" w:cstheme="minorBidi"/>
          <w:iCs/>
          <w:color w:val="auto"/>
          <w:kern w:val="2"/>
          <w:sz w:val="24"/>
          <w:szCs w:val="22"/>
          <w:highlight w:val="none"/>
          <w:shd w:val="clear" w:color="auto" w:fill="FFFFFF" w:themeFill="background1"/>
          <w:lang w:val="zh-CN" w:eastAsia="zh-CN" w:bidi="ar-SA"/>
        </w:rPr>
        <w:t>对联合体投标的其他资格要求见</w:t>
      </w:r>
      <w:r>
        <w:rPr>
          <w:rFonts w:hint="eastAsia" w:eastAsia="宋体"/>
          <w:color w:val="auto"/>
          <w:sz w:val="24"/>
          <w:highlight w:val="none"/>
        </w:rPr>
        <w:t>“</w:t>
      </w:r>
      <w:r>
        <w:rPr>
          <w:rFonts w:hint="eastAsia" w:eastAsia="宋体"/>
          <w:color w:val="auto"/>
          <w:sz w:val="24"/>
          <w:highlight w:val="none"/>
          <w:lang w:val="en-US" w:eastAsia="zh-CN"/>
        </w:rPr>
        <w:t>第一章 招标公告</w:t>
      </w:r>
      <w:r>
        <w:rPr>
          <w:rFonts w:hint="eastAsia" w:eastAsia="宋体"/>
          <w:color w:val="auto"/>
          <w:sz w:val="24"/>
          <w:highlight w:val="none"/>
        </w:rPr>
        <w:t>”</w:t>
      </w:r>
      <w:r>
        <w:rPr>
          <w:rFonts w:hint="eastAsia" w:eastAsia="宋体"/>
          <w:color w:val="auto"/>
          <w:sz w:val="24"/>
          <w:highlight w:val="none"/>
          <w:lang w:val="en-US" w:eastAsia="zh-CN"/>
        </w:rPr>
        <w:t>中的“二、</w:t>
      </w:r>
      <w:r>
        <w:rPr>
          <w:rFonts w:hint="eastAsia" w:ascii="宋体" w:hAnsi="宋体" w:eastAsia="宋体" w:cstheme="minorBidi"/>
          <w:iCs/>
          <w:color w:val="auto"/>
          <w:kern w:val="2"/>
          <w:sz w:val="24"/>
          <w:szCs w:val="22"/>
          <w:highlight w:val="none"/>
          <w:shd w:val="clear" w:color="auto" w:fill="FFFFFF" w:themeFill="background1"/>
          <w:lang w:val="en-US" w:eastAsia="zh-CN" w:bidi="ar-SA"/>
        </w:rPr>
        <w:t>申请人的</w:t>
      </w:r>
      <w:r>
        <w:rPr>
          <w:rFonts w:hint="eastAsia" w:ascii="宋体" w:hAnsi="宋体" w:eastAsia="宋体" w:cstheme="minorBidi"/>
          <w:iCs/>
          <w:color w:val="auto"/>
          <w:kern w:val="2"/>
          <w:sz w:val="24"/>
          <w:szCs w:val="22"/>
          <w:highlight w:val="none"/>
          <w:shd w:val="clear" w:color="auto" w:fill="FFFFFF" w:themeFill="background1"/>
          <w:lang w:val="zh-CN" w:eastAsia="zh-CN" w:bidi="ar-SA"/>
        </w:rPr>
        <w:t>资格</w:t>
      </w:r>
      <w:r>
        <w:rPr>
          <w:rFonts w:hint="eastAsia" w:ascii="宋体" w:hAnsi="宋体" w:eastAsia="宋体" w:cstheme="minorBidi"/>
          <w:iCs/>
          <w:color w:val="auto"/>
          <w:kern w:val="2"/>
          <w:sz w:val="24"/>
          <w:szCs w:val="22"/>
          <w:highlight w:val="none"/>
          <w:shd w:val="clear" w:color="auto" w:fill="FFFFFF" w:themeFill="background1"/>
          <w:lang w:val="en-US" w:eastAsia="zh-CN" w:bidi="ar-SA"/>
        </w:rPr>
        <w:t>要求</w:t>
      </w:r>
      <w:r>
        <w:rPr>
          <w:rFonts w:hint="eastAsia" w:eastAsia="宋体" w:cstheme="minorBidi"/>
          <w:iCs/>
          <w:color w:val="auto"/>
          <w:kern w:val="2"/>
          <w:sz w:val="24"/>
          <w:szCs w:val="22"/>
          <w:highlight w:val="none"/>
          <w:shd w:val="clear" w:color="auto" w:fill="FFFFFF" w:themeFill="background1"/>
          <w:lang w:val="en-US" w:eastAsia="zh-CN" w:bidi="ar-SA"/>
        </w:rPr>
        <w:t>”</w:t>
      </w:r>
      <w:r>
        <w:rPr>
          <w:rFonts w:hint="eastAsia" w:ascii="宋体" w:hAnsi="宋体" w:eastAsia="宋体" w:cstheme="minorBidi"/>
          <w:iCs/>
          <w:color w:val="auto"/>
          <w:kern w:val="2"/>
          <w:sz w:val="24"/>
          <w:szCs w:val="22"/>
          <w:highlight w:val="none"/>
          <w:shd w:val="clear" w:color="auto" w:fill="FFFFFF" w:themeFill="background1"/>
          <w:lang w:val="zh-CN" w:eastAsia="zh-CN" w:bidi="ar-SA"/>
        </w:rPr>
        <w:t>。</w:t>
      </w:r>
    </w:p>
    <w:p w14:paraId="4DE6446D">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color w:val="auto"/>
          <w:kern w:val="2"/>
          <w:sz w:val="24"/>
          <w:szCs w:val="28"/>
          <w:highlight w:val="none"/>
          <w:lang w:val="en-US" w:eastAsia="zh-CN" w:bidi="ar-SA"/>
        </w:rPr>
      </w:pPr>
      <w:bookmarkStart w:id="133" w:name="_Toc163492827"/>
      <w:bookmarkStart w:id="134" w:name="_Toc21085"/>
      <w:bookmarkStart w:id="135" w:name="_Toc14011"/>
      <w:bookmarkStart w:id="136" w:name="_Toc2393"/>
      <w:bookmarkStart w:id="137" w:name="_Toc8952"/>
      <w:r>
        <w:rPr>
          <w:rFonts w:hint="eastAsia" w:ascii="宋体" w:hAnsi="宋体" w:eastAsia="宋体" w:cs="宋体"/>
          <w:b/>
          <w:bCs/>
          <w:color w:val="auto"/>
          <w:kern w:val="2"/>
          <w:sz w:val="24"/>
          <w:szCs w:val="28"/>
          <w:highlight w:val="none"/>
          <w:lang w:val="en-US" w:eastAsia="zh-CN" w:bidi="ar-SA"/>
        </w:rPr>
        <w:t>5.费用承担</w:t>
      </w:r>
      <w:bookmarkEnd w:id="133"/>
      <w:bookmarkEnd w:id="134"/>
      <w:bookmarkEnd w:id="135"/>
      <w:bookmarkEnd w:id="136"/>
      <w:bookmarkEnd w:id="137"/>
    </w:p>
    <w:p w14:paraId="3C6741ED">
      <w:pPr>
        <w:pStyle w:val="40"/>
        <w:keepNext w:val="0"/>
        <w:keepLines w:val="0"/>
        <w:pageBreakBefore w:val="0"/>
        <w:widowControl w:val="0"/>
        <w:kinsoku/>
        <w:overflowPunct/>
        <w:topLinePunct w:val="0"/>
        <w:autoSpaceDE/>
        <w:autoSpaceDN/>
        <w:bidi w:val="0"/>
        <w:adjustRightInd/>
        <w:snapToGrid/>
        <w:textAlignment w:val="auto"/>
        <w:rPr>
          <w:rFonts w:hint="eastAsia" w:eastAsia="宋体"/>
          <w:color w:val="auto"/>
          <w:sz w:val="24"/>
          <w:highlight w:val="none"/>
        </w:rPr>
      </w:pPr>
      <w:r>
        <w:rPr>
          <w:rFonts w:hint="eastAsia" w:eastAsia="宋体"/>
          <w:color w:val="auto"/>
          <w:sz w:val="24"/>
          <w:highlight w:val="none"/>
        </w:rPr>
        <w:t>5.1</w:t>
      </w:r>
      <w:r>
        <w:rPr>
          <w:rFonts w:hint="eastAsia" w:eastAsia="宋体"/>
          <w:color w:val="auto"/>
          <w:sz w:val="24"/>
          <w:highlight w:val="none"/>
          <w:lang w:val="en-US" w:eastAsia="zh-CN"/>
        </w:rPr>
        <w:t>不论投标的结果如何，投标人应承担所有与准备和参加投标有关的费用。</w:t>
      </w:r>
    </w:p>
    <w:p w14:paraId="0CE9ACA3">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color w:val="auto"/>
          <w:kern w:val="2"/>
          <w:sz w:val="24"/>
          <w:szCs w:val="28"/>
          <w:highlight w:val="none"/>
          <w:lang w:val="en-US" w:eastAsia="zh-CN" w:bidi="ar-SA"/>
        </w:rPr>
      </w:pPr>
      <w:bookmarkStart w:id="138" w:name="_Toc12379"/>
      <w:bookmarkStart w:id="139" w:name="_Toc30861"/>
      <w:bookmarkStart w:id="140" w:name="_Toc140132761"/>
      <w:bookmarkStart w:id="141" w:name="_Toc163492828"/>
      <w:bookmarkStart w:id="142" w:name="_Toc7681"/>
      <w:bookmarkStart w:id="143" w:name="_Toc18248"/>
      <w:r>
        <w:rPr>
          <w:rFonts w:hint="eastAsia" w:ascii="宋体" w:hAnsi="宋体" w:eastAsia="宋体" w:cs="宋体"/>
          <w:b/>
          <w:bCs/>
          <w:color w:val="auto"/>
          <w:kern w:val="2"/>
          <w:sz w:val="24"/>
          <w:szCs w:val="28"/>
          <w:highlight w:val="none"/>
          <w:lang w:val="en-US" w:eastAsia="zh-CN" w:bidi="ar-SA"/>
        </w:rPr>
        <w:t>6.保密</w:t>
      </w:r>
      <w:bookmarkEnd w:id="138"/>
      <w:bookmarkEnd w:id="139"/>
      <w:bookmarkEnd w:id="140"/>
      <w:bookmarkEnd w:id="141"/>
      <w:bookmarkEnd w:id="142"/>
      <w:bookmarkEnd w:id="143"/>
    </w:p>
    <w:p w14:paraId="7CBA93F7">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rPr>
      </w:pPr>
      <w:r>
        <w:rPr>
          <w:rFonts w:hint="eastAsia" w:eastAsia="宋体"/>
          <w:color w:val="auto"/>
          <w:sz w:val="24"/>
          <w:highlight w:val="none"/>
        </w:rPr>
        <w:t>6.1</w:t>
      </w:r>
      <w:r>
        <w:rPr>
          <w:rFonts w:hint="eastAsia" w:eastAsia="宋体"/>
          <w:color w:val="auto"/>
          <w:sz w:val="24"/>
          <w:highlight w:val="none"/>
          <w:lang w:val="en-US" w:eastAsia="zh-CN"/>
        </w:rPr>
        <w:t xml:space="preserve"> </w:t>
      </w:r>
      <w:r>
        <w:rPr>
          <w:rFonts w:hint="eastAsia" w:eastAsia="宋体"/>
          <w:color w:val="auto"/>
          <w:sz w:val="24"/>
          <w:highlight w:val="none"/>
        </w:rPr>
        <w:t>参与招标投标活动的各方应对招标文件和投标文件中的商业和技术等秘密保密，否则应承担相应的法律责任。</w:t>
      </w:r>
    </w:p>
    <w:p w14:paraId="2947ABFF">
      <w:pPr>
        <w:pStyle w:val="57"/>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color w:val="auto"/>
          <w:kern w:val="2"/>
          <w:sz w:val="24"/>
          <w:szCs w:val="22"/>
          <w:highlight w:val="none"/>
        </w:rPr>
      </w:pPr>
      <w:r>
        <w:rPr>
          <w:rFonts w:hint="eastAsia" w:ascii="宋体" w:hAnsi="宋体" w:eastAsia="宋体" w:cs="宋体"/>
          <w:color w:val="auto"/>
          <w:kern w:val="2"/>
          <w:sz w:val="24"/>
          <w:szCs w:val="22"/>
          <w:highlight w:val="none"/>
          <w:lang w:val="en-US" w:eastAsia="zh-CN"/>
        </w:rPr>
        <w:t>6</w:t>
      </w:r>
      <w:r>
        <w:rPr>
          <w:rFonts w:hint="eastAsia" w:ascii="宋体" w:hAnsi="宋体" w:eastAsia="宋体" w:cs="宋体"/>
          <w:color w:val="auto"/>
          <w:kern w:val="2"/>
          <w:sz w:val="24"/>
          <w:szCs w:val="22"/>
          <w:highlight w:val="none"/>
        </w:rPr>
        <w:t>.</w:t>
      </w:r>
      <w:r>
        <w:rPr>
          <w:rFonts w:hint="eastAsia" w:ascii="宋体" w:hAnsi="宋体" w:eastAsia="宋体" w:cs="宋体"/>
          <w:color w:val="auto"/>
          <w:kern w:val="2"/>
          <w:sz w:val="24"/>
          <w:szCs w:val="22"/>
          <w:highlight w:val="none"/>
          <w:lang w:val="en-US" w:eastAsia="zh-CN"/>
        </w:rPr>
        <w:t xml:space="preserve">2 </w:t>
      </w:r>
      <w:r>
        <w:rPr>
          <w:rFonts w:hint="eastAsia" w:ascii="宋体" w:hAnsi="宋体" w:eastAsia="宋体" w:cs="宋体"/>
          <w:color w:val="auto"/>
          <w:kern w:val="2"/>
          <w:sz w:val="24"/>
          <w:szCs w:val="22"/>
          <w:highlight w:val="none"/>
        </w:rPr>
        <w:t>投标人自领取招标文件之日起，须承担本招标项目保密义务，不得将因本次招标获得的信息向第三人外传。由采购人向投标人提供的图纸、详细资料、样品、模型、模件和所有其它资料，被视为保密资料，仅被用于它所规定的用途。除非得到采购人的同意，不能向任何第三方透露。开标结束后，应采购人要求，投标人应归还所有从采购人处获得的保密资料。</w:t>
      </w:r>
    </w:p>
    <w:p w14:paraId="38BD9605">
      <w:pPr>
        <w:pStyle w:val="57"/>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color w:val="auto"/>
          <w:kern w:val="2"/>
          <w:sz w:val="24"/>
          <w:szCs w:val="22"/>
          <w:highlight w:val="none"/>
        </w:rPr>
      </w:pPr>
      <w:r>
        <w:rPr>
          <w:rFonts w:hint="eastAsia" w:ascii="宋体" w:hAnsi="宋体" w:eastAsia="宋体" w:cs="宋体"/>
          <w:color w:val="auto"/>
          <w:kern w:val="2"/>
          <w:sz w:val="24"/>
          <w:szCs w:val="22"/>
          <w:highlight w:val="none"/>
          <w:lang w:val="en-US" w:eastAsia="zh-CN"/>
        </w:rPr>
        <w:t>6</w:t>
      </w:r>
      <w:r>
        <w:rPr>
          <w:rFonts w:hint="eastAsia" w:ascii="宋体" w:hAnsi="宋体" w:eastAsia="宋体" w:cs="宋体"/>
          <w:color w:val="auto"/>
          <w:kern w:val="2"/>
          <w:sz w:val="24"/>
          <w:szCs w:val="22"/>
          <w:highlight w:val="none"/>
        </w:rPr>
        <w:t>.</w:t>
      </w:r>
      <w:r>
        <w:rPr>
          <w:rFonts w:hint="eastAsia" w:ascii="宋体" w:hAnsi="宋体" w:eastAsia="宋体" w:cs="宋体"/>
          <w:color w:val="auto"/>
          <w:kern w:val="2"/>
          <w:sz w:val="24"/>
          <w:szCs w:val="22"/>
          <w:highlight w:val="none"/>
          <w:lang w:val="en-US" w:eastAsia="zh-CN"/>
        </w:rPr>
        <w:t xml:space="preserve">3 </w:t>
      </w:r>
      <w:r>
        <w:rPr>
          <w:rFonts w:hint="eastAsia" w:ascii="宋体" w:hAnsi="宋体" w:eastAsia="宋体" w:cs="宋体"/>
          <w:color w:val="auto"/>
          <w:kern w:val="2"/>
          <w:sz w:val="24"/>
          <w:szCs w:val="22"/>
          <w:highlight w:val="none"/>
        </w:rPr>
        <w:t>采购代理机构有权将投标人提供的所有资料向有关政府部门或评审</w:t>
      </w:r>
      <w:r>
        <w:rPr>
          <w:rFonts w:hint="eastAsia" w:ascii="宋体" w:hAnsi="宋体" w:eastAsia="宋体" w:cs="宋体"/>
          <w:color w:val="auto"/>
          <w:kern w:val="2"/>
          <w:sz w:val="24"/>
          <w:szCs w:val="22"/>
          <w:highlight w:val="none"/>
          <w:lang w:val="en-US" w:eastAsia="zh-CN"/>
        </w:rPr>
        <w:t>投标文件</w:t>
      </w:r>
      <w:r>
        <w:rPr>
          <w:rFonts w:hint="eastAsia" w:ascii="宋体" w:hAnsi="宋体" w:eastAsia="宋体" w:cs="宋体"/>
          <w:color w:val="auto"/>
          <w:kern w:val="2"/>
          <w:sz w:val="24"/>
          <w:szCs w:val="22"/>
          <w:highlight w:val="none"/>
        </w:rPr>
        <w:t>的有关人员披露。</w:t>
      </w:r>
    </w:p>
    <w:p w14:paraId="7D9AB2DE">
      <w:pPr>
        <w:pStyle w:val="57"/>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color w:val="auto"/>
          <w:kern w:val="2"/>
          <w:sz w:val="24"/>
          <w:szCs w:val="22"/>
          <w:highlight w:val="none"/>
          <w:lang w:val="en-US" w:eastAsia="zh-CN"/>
        </w:rPr>
      </w:pPr>
      <w:r>
        <w:rPr>
          <w:rFonts w:hint="eastAsia" w:ascii="宋体" w:hAnsi="宋体" w:eastAsia="宋体" w:cs="宋体"/>
          <w:color w:val="auto"/>
          <w:kern w:val="2"/>
          <w:sz w:val="24"/>
          <w:szCs w:val="22"/>
          <w:highlight w:val="none"/>
          <w:lang w:val="en-US" w:eastAsia="zh-CN"/>
        </w:rPr>
        <w:t>6</w:t>
      </w:r>
      <w:r>
        <w:rPr>
          <w:rFonts w:hint="eastAsia" w:ascii="宋体" w:hAnsi="宋体" w:eastAsia="宋体" w:cs="宋体"/>
          <w:color w:val="auto"/>
          <w:kern w:val="2"/>
          <w:sz w:val="24"/>
          <w:szCs w:val="22"/>
          <w:highlight w:val="none"/>
        </w:rPr>
        <w:t>.</w:t>
      </w:r>
      <w:r>
        <w:rPr>
          <w:rFonts w:hint="eastAsia" w:ascii="宋体" w:hAnsi="宋体" w:eastAsia="宋体" w:cs="宋体"/>
          <w:color w:val="auto"/>
          <w:kern w:val="2"/>
          <w:sz w:val="24"/>
          <w:szCs w:val="22"/>
          <w:highlight w:val="none"/>
          <w:lang w:val="en-US" w:eastAsia="zh-CN"/>
        </w:rPr>
        <w:t>4 各级人民政府财政部门对政府采购活动进行监督检查，有权查阅、复制有关文件、资料，相关单位和人员应当予以配合。</w:t>
      </w:r>
    </w:p>
    <w:p w14:paraId="284B114B">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color w:val="auto"/>
          <w:kern w:val="2"/>
          <w:sz w:val="24"/>
          <w:szCs w:val="28"/>
          <w:highlight w:val="none"/>
          <w:lang w:val="en-US" w:eastAsia="zh-CN" w:bidi="ar-SA"/>
        </w:rPr>
      </w:pPr>
      <w:bookmarkStart w:id="144" w:name="_Toc31425"/>
      <w:bookmarkStart w:id="145" w:name="_Toc30926"/>
      <w:bookmarkStart w:id="146" w:name="_Toc29628"/>
      <w:bookmarkStart w:id="147" w:name="_Toc163492829"/>
      <w:bookmarkStart w:id="148" w:name="_Toc140132762"/>
      <w:bookmarkStart w:id="149" w:name="_Toc15553"/>
      <w:r>
        <w:rPr>
          <w:rFonts w:hint="eastAsia" w:ascii="宋体" w:hAnsi="宋体" w:eastAsia="宋体" w:cs="宋体"/>
          <w:b/>
          <w:bCs/>
          <w:color w:val="auto"/>
          <w:kern w:val="2"/>
          <w:sz w:val="24"/>
          <w:szCs w:val="28"/>
          <w:highlight w:val="none"/>
          <w:lang w:val="en-US" w:eastAsia="zh-CN" w:bidi="ar-SA"/>
        </w:rPr>
        <w:t>7.语言文字</w:t>
      </w:r>
      <w:bookmarkEnd w:id="144"/>
      <w:bookmarkEnd w:id="145"/>
      <w:bookmarkEnd w:id="146"/>
      <w:bookmarkEnd w:id="147"/>
      <w:bookmarkEnd w:id="148"/>
      <w:bookmarkEnd w:id="149"/>
    </w:p>
    <w:p w14:paraId="25140936">
      <w:pPr>
        <w:pStyle w:val="40"/>
        <w:keepNext w:val="0"/>
        <w:keepLines w:val="0"/>
        <w:pageBreakBefore w:val="0"/>
        <w:widowControl w:val="0"/>
        <w:kinsoku/>
        <w:overflowPunct/>
        <w:topLinePunct w:val="0"/>
        <w:autoSpaceDE/>
        <w:autoSpaceDN/>
        <w:bidi w:val="0"/>
        <w:adjustRightInd/>
        <w:textAlignment w:val="auto"/>
        <w:rPr>
          <w:rFonts w:eastAsia="宋体"/>
          <w:color w:val="auto"/>
          <w:sz w:val="24"/>
          <w:highlight w:val="none"/>
        </w:rPr>
      </w:pPr>
      <w:r>
        <w:rPr>
          <w:rFonts w:hint="eastAsia" w:eastAsia="宋体"/>
          <w:color w:val="auto"/>
          <w:sz w:val="24"/>
          <w:highlight w:val="none"/>
        </w:rPr>
        <w:t>7.1招标投标</w:t>
      </w:r>
      <w:r>
        <w:rPr>
          <w:rFonts w:hint="eastAsia" w:eastAsia="宋体"/>
          <w:color w:val="auto"/>
          <w:sz w:val="24"/>
          <w:highlight w:val="none"/>
          <w:lang w:val="en-US" w:eastAsia="zh-CN"/>
        </w:rPr>
        <w:t>过程</w:t>
      </w:r>
      <w:r>
        <w:rPr>
          <w:rFonts w:hint="eastAsia" w:eastAsia="宋体"/>
          <w:color w:val="auto"/>
          <w:sz w:val="24"/>
          <w:highlight w:val="none"/>
        </w:rPr>
        <w:t>文件使用的语言文字为中文。专用术语使用外文的，应附有中文注释。</w:t>
      </w:r>
      <w:r>
        <w:rPr>
          <w:rFonts w:hint="eastAsia" w:eastAsia="宋体"/>
          <w:color w:val="auto"/>
          <w:sz w:val="24"/>
          <w:highlight w:val="none"/>
          <w:lang w:val="en-US" w:eastAsia="zh-CN"/>
        </w:rPr>
        <w:t>投标人提交的支持资料和已印制的文献可以用外文，但相应内容应附有中文翻译本，在解释投标文件时以中文翻译本为准。未附中文翻译本或翻译本中文内容明显与外文内容不一致的，其不利后果由投标人自行承担。</w:t>
      </w:r>
    </w:p>
    <w:p w14:paraId="2F336166">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color w:val="auto"/>
          <w:kern w:val="2"/>
          <w:sz w:val="24"/>
          <w:szCs w:val="28"/>
          <w:highlight w:val="none"/>
          <w:lang w:val="en-US" w:eastAsia="zh-CN" w:bidi="ar-SA"/>
        </w:rPr>
      </w:pPr>
      <w:bookmarkStart w:id="150" w:name="_Toc16458"/>
      <w:bookmarkStart w:id="151" w:name="_Toc31019"/>
      <w:bookmarkStart w:id="152" w:name="_Toc19184"/>
      <w:bookmarkStart w:id="153" w:name="_Toc140132763"/>
      <w:bookmarkStart w:id="154" w:name="_Toc163492830"/>
      <w:bookmarkStart w:id="155" w:name="_Toc28427"/>
      <w:r>
        <w:rPr>
          <w:rFonts w:hint="eastAsia" w:ascii="宋体" w:hAnsi="宋体" w:eastAsia="宋体" w:cs="宋体"/>
          <w:b/>
          <w:bCs/>
          <w:color w:val="auto"/>
          <w:kern w:val="2"/>
          <w:sz w:val="24"/>
          <w:szCs w:val="28"/>
          <w:highlight w:val="none"/>
          <w:lang w:val="en-US" w:eastAsia="zh-CN" w:bidi="ar-SA"/>
        </w:rPr>
        <w:t>8.计量单位</w:t>
      </w:r>
      <w:bookmarkEnd w:id="150"/>
      <w:bookmarkEnd w:id="151"/>
      <w:bookmarkEnd w:id="152"/>
      <w:bookmarkEnd w:id="153"/>
      <w:bookmarkEnd w:id="154"/>
      <w:bookmarkEnd w:id="155"/>
    </w:p>
    <w:p w14:paraId="45A7AE57">
      <w:pPr>
        <w:pStyle w:val="40"/>
        <w:keepNext w:val="0"/>
        <w:keepLines w:val="0"/>
        <w:pageBreakBefore w:val="0"/>
        <w:widowControl w:val="0"/>
        <w:kinsoku/>
        <w:overflowPunct/>
        <w:topLinePunct w:val="0"/>
        <w:autoSpaceDE/>
        <w:autoSpaceDN/>
        <w:bidi w:val="0"/>
        <w:adjustRightInd/>
        <w:textAlignment w:val="auto"/>
        <w:rPr>
          <w:rFonts w:eastAsia="宋体"/>
          <w:color w:val="auto"/>
          <w:sz w:val="24"/>
          <w:highlight w:val="none"/>
        </w:rPr>
      </w:pPr>
      <w:r>
        <w:rPr>
          <w:rFonts w:hint="eastAsia" w:eastAsia="宋体"/>
          <w:color w:val="auto"/>
          <w:sz w:val="24"/>
          <w:highlight w:val="none"/>
        </w:rPr>
        <w:t>8.1所有计量均采用中华人民共和国法定计量单位。</w:t>
      </w:r>
    </w:p>
    <w:p w14:paraId="099F3EF6">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color w:val="auto"/>
          <w:kern w:val="2"/>
          <w:sz w:val="24"/>
          <w:szCs w:val="28"/>
          <w:highlight w:val="none"/>
          <w:lang w:val="en-US" w:eastAsia="zh-CN" w:bidi="ar-SA"/>
        </w:rPr>
      </w:pPr>
      <w:bookmarkStart w:id="156" w:name="_Toc28428"/>
      <w:bookmarkStart w:id="157" w:name="_Toc30434"/>
      <w:bookmarkStart w:id="158" w:name="_Toc30077"/>
      <w:bookmarkStart w:id="159" w:name="_Toc140132764"/>
      <w:bookmarkStart w:id="160" w:name="_Toc8827"/>
      <w:bookmarkStart w:id="161" w:name="_Toc163492831"/>
      <w:r>
        <w:rPr>
          <w:rFonts w:hint="eastAsia" w:ascii="宋体" w:hAnsi="宋体" w:eastAsia="宋体" w:cs="宋体"/>
          <w:b/>
          <w:bCs/>
          <w:color w:val="auto"/>
          <w:kern w:val="2"/>
          <w:sz w:val="24"/>
          <w:szCs w:val="28"/>
          <w:highlight w:val="none"/>
          <w:lang w:val="en-US" w:eastAsia="zh-CN" w:bidi="ar-SA"/>
        </w:rPr>
        <w:t>9.现场考察和答疑会</w:t>
      </w:r>
      <w:bookmarkEnd w:id="156"/>
      <w:bookmarkEnd w:id="157"/>
      <w:bookmarkEnd w:id="158"/>
      <w:bookmarkEnd w:id="159"/>
      <w:bookmarkEnd w:id="160"/>
      <w:bookmarkEnd w:id="161"/>
    </w:p>
    <w:p w14:paraId="5A8B8C45">
      <w:pPr>
        <w:pStyle w:val="40"/>
        <w:keepNext w:val="0"/>
        <w:keepLines w:val="0"/>
        <w:pageBreakBefore w:val="0"/>
        <w:widowControl w:val="0"/>
        <w:kinsoku/>
        <w:overflowPunct/>
        <w:topLinePunct w:val="0"/>
        <w:autoSpaceDE/>
        <w:autoSpaceDN/>
        <w:bidi w:val="0"/>
        <w:adjustRightInd/>
        <w:textAlignment w:val="auto"/>
        <w:rPr>
          <w:rFonts w:eastAsia="宋体"/>
          <w:color w:val="auto"/>
          <w:sz w:val="24"/>
          <w:highlight w:val="none"/>
        </w:rPr>
      </w:pPr>
      <w:bookmarkStart w:id="162" w:name="_Hlk143529198"/>
      <w:r>
        <w:rPr>
          <w:rFonts w:hint="eastAsia" w:eastAsia="宋体"/>
          <w:color w:val="auto"/>
          <w:sz w:val="24"/>
          <w:highlight w:val="none"/>
        </w:rPr>
        <w:t xml:space="preserve">9.1 “投标人须知前附表”规定组织现场考察的，采购代理机构按“投标人须知前附表”规定的时间、地点组织投标人项目现场考察。 </w:t>
      </w:r>
    </w:p>
    <w:p w14:paraId="5F8A235F">
      <w:pPr>
        <w:pStyle w:val="40"/>
        <w:keepNext w:val="0"/>
        <w:keepLines w:val="0"/>
        <w:pageBreakBefore w:val="0"/>
        <w:widowControl w:val="0"/>
        <w:kinsoku/>
        <w:overflowPunct/>
        <w:topLinePunct w:val="0"/>
        <w:autoSpaceDE/>
        <w:autoSpaceDN/>
        <w:bidi w:val="0"/>
        <w:adjustRightInd/>
        <w:textAlignment w:val="auto"/>
        <w:rPr>
          <w:rFonts w:eastAsia="宋体"/>
          <w:color w:val="auto"/>
          <w:sz w:val="24"/>
          <w:highlight w:val="none"/>
        </w:rPr>
      </w:pPr>
      <w:r>
        <w:rPr>
          <w:rFonts w:hint="eastAsia" w:eastAsia="宋体"/>
          <w:color w:val="auto"/>
          <w:sz w:val="24"/>
          <w:highlight w:val="none"/>
        </w:rPr>
        <w:t>9.2 投标人现场考察发生的费用自理。</w:t>
      </w:r>
    </w:p>
    <w:p w14:paraId="199A48B2">
      <w:pPr>
        <w:pStyle w:val="40"/>
        <w:keepNext w:val="0"/>
        <w:keepLines w:val="0"/>
        <w:pageBreakBefore w:val="0"/>
        <w:widowControl w:val="0"/>
        <w:kinsoku/>
        <w:overflowPunct/>
        <w:topLinePunct w:val="0"/>
        <w:autoSpaceDE/>
        <w:autoSpaceDN/>
        <w:bidi w:val="0"/>
        <w:adjustRightInd/>
        <w:textAlignment w:val="auto"/>
        <w:rPr>
          <w:rFonts w:eastAsia="宋体"/>
          <w:color w:val="auto"/>
          <w:sz w:val="24"/>
          <w:highlight w:val="none"/>
        </w:rPr>
      </w:pPr>
      <w:r>
        <w:rPr>
          <w:rFonts w:hint="eastAsia" w:eastAsia="宋体"/>
          <w:color w:val="auto"/>
          <w:sz w:val="24"/>
          <w:highlight w:val="none"/>
        </w:rPr>
        <w:t>9.3 在现场考察中，因投标人自身原因发生的人员伤亡和财产损失，由投标人自行负责。</w:t>
      </w:r>
    </w:p>
    <w:p w14:paraId="6F1F6A2D">
      <w:pPr>
        <w:pStyle w:val="40"/>
        <w:keepNext w:val="0"/>
        <w:keepLines w:val="0"/>
        <w:pageBreakBefore w:val="0"/>
        <w:widowControl w:val="0"/>
        <w:kinsoku/>
        <w:overflowPunct/>
        <w:topLinePunct w:val="0"/>
        <w:autoSpaceDE/>
        <w:autoSpaceDN/>
        <w:bidi w:val="0"/>
        <w:adjustRightInd/>
        <w:textAlignment w:val="auto"/>
        <w:rPr>
          <w:rFonts w:eastAsia="宋体"/>
          <w:color w:val="auto"/>
          <w:sz w:val="24"/>
          <w:highlight w:val="none"/>
        </w:rPr>
      </w:pPr>
      <w:r>
        <w:rPr>
          <w:rFonts w:hint="eastAsia" w:eastAsia="宋体"/>
          <w:color w:val="auto"/>
          <w:sz w:val="24"/>
          <w:highlight w:val="none"/>
        </w:rPr>
        <w:t>9.4 采购人在现场考察中介绍的项目场地和相关的周边环境情况，仅供投标人在编制投标文件时参考，采购人和采购代理机构不对投标人据此作出的判断和决策负责。</w:t>
      </w:r>
    </w:p>
    <w:p w14:paraId="0E249AE3">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rPr>
      </w:pPr>
      <w:r>
        <w:rPr>
          <w:rFonts w:hint="eastAsia" w:eastAsia="宋体"/>
          <w:color w:val="auto"/>
          <w:sz w:val="24"/>
          <w:highlight w:val="none"/>
        </w:rPr>
        <w:t>9.5 “投标人须知前附表”规定召开答疑会的，采购代理机构按“投标人须知前附表”规定的时间和地点召开答疑会，澄清投标人提出的问题。</w:t>
      </w:r>
    </w:p>
    <w:p w14:paraId="00943847">
      <w:pPr>
        <w:pStyle w:val="40"/>
        <w:keepNext w:val="0"/>
        <w:keepLines w:val="0"/>
        <w:pageBreakBefore w:val="0"/>
        <w:widowControl w:val="0"/>
        <w:kinsoku/>
        <w:overflowPunct/>
        <w:topLinePunct w:val="0"/>
        <w:autoSpaceDE/>
        <w:autoSpaceDN/>
        <w:bidi w:val="0"/>
        <w:adjustRightInd/>
        <w:textAlignment w:val="auto"/>
        <w:rPr>
          <w:rFonts w:hint="default" w:eastAsia="宋体"/>
          <w:color w:val="auto"/>
          <w:sz w:val="24"/>
          <w:highlight w:val="none"/>
          <w:lang w:val="en-US" w:eastAsia="zh-CN"/>
        </w:rPr>
      </w:pPr>
      <w:r>
        <w:rPr>
          <w:rFonts w:hint="eastAsia" w:eastAsia="宋体"/>
          <w:color w:val="auto"/>
          <w:sz w:val="24"/>
          <w:highlight w:val="none"/>
          <w:lang w:val="en-US" w:eastAsia="zh-CN"/>
        </w:rPr>
        <w:t>9.6 由于未参加现场考察或未参加标前答疑会而导致对项目实际情况不了解，影响投标文件编制、投标报价准确性、综合因素响应不全面等问题的，由投标人自行承担不利评审后果。</w:t>
      </w:r>
    </w:p>
    <w:bookmarkEnd w:id="162"/>
    <w:p w14:paraId="015C1ED3">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default" w:ascii="宋体" w:hAnsi="宋体" w:eastAsia="宋体" w:cs="宋体"/>
          <w:b/>
          <w:bCs/>
          <w:color w:val="auto"/>
          <w:kern w:val="2"/>
          <w:sz w:val="24"/>
          <w:szCs w:val="28"/>
          <w:highlight w:val="none"/>
          <w:lang w:val="en-US" w:eastAsia="zh-CN" w:bidi="ar-SA"/>
        </w:rPr>
      </w:pPr>
      <w:bookmarkStart w:id="163" w:name="_Toc163492833"/>
      <w:bookmarkStart w:id="164" w:name="_Toc26824"/>
      <w:bookmarkStart w:id="165" w:name="_Toc155185858"/>
      <w:bookmarkStart w:id="166" w:name="_Toc31066"/>
      <w:bookmarkStart w:id="167" w:name="_Toc2189"/>
      <w:bookmarkStart w:id="168" w:name="_Toc1905"/>
      <w:bookmarkStart w:id="169" w:name="_Toc155185871"/>
      <w:r>
        <w:rPr>
          <w:rFonts w:hint="eastAsia" w:ascii="宋体" w:hAnsi="宋体" w:eastAsia="宋体" w:cs="宋体"/>
          <w:b/>
          <w:bCs/>
          <w:color w:val="auto"/>
          <w:kern w:val="2"/>
          <w:sz w:val="24"/>
          <w:szCs w:val="28"/>
          <w:highlight w:val="none"/>
          <w:lang w:val="en-US" w:eastAsia="zh-CN" w:bidi="ar-SA"/>
        </w:rPr>
        <w:t>10.电子投标说明</w:t>
      </w:r>
      <w:bookmarkEnd w:id="163"/>
      <w:bookmarkEnd w:id="164"/>
      <w:bookmarkEnd w:id="165"/>
      <w:bookmarkEnd w:id="166"/>
      <w:bookmarkEnd w:id="167"/>
      <w:bookmarkEnd w:id="168"/>
      <w:r>
        <w:rPr>
          <w:rFonts w:hint="eastAsia" w:ascii="宋体" w:hAnsi="宋体" w:eastAsia="宋体" w:cs="宋体"/>
          <w:b/>
          <w:bCs/>
          <w:color w:val="auto"/>
          <w:kern w:val="2"/>
          <w:sz w:val="24"/>
          <w:szCs w:val="28"/>
          <w:highlight w:val="none"/>
          <w:lang w:val="en-US" w:eastAsia="zh-CN" w:bidi="ar-SA"/>
        </w:rPr>
        <w:t xml:space="preserve">   </w:t>
      </w:r>
    </w:p>
    <w:p w14:paraId="111A1565">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olor w:val="auto"/>
          <w:sz w:val="24"/>
          <w:highlight w:val="none"/>
          <w:lang w:val="en-US" w:eastAsia="zh-CN"/>
        </w:rPr>
      </w:pPr>
      <w:r>
        <w:rPr>
          <w:rFonts w:hint="eastAsia" w:ascii="宋体" w:hAnsi="宋体" w:eastAsia="宋体"/>
          <w:color w:val="auto"/>
          <w:sz w:val="24"/>
          <w:highlight w:val="none"/>
          <w:lang w:val="en-US" w:eastAsia="zh-CN"/>
        </w:rPr>
        <w:t>1</w:t>
      </w:r>
      <w:r>
        <w:rPr>
          <w:rFonts w:hint="eastAsia" w:eastAsia="宋体"/>
          <w:color w:val="auto"/>
          <w:sz w:val="24"/>
          <w:highlight w:val="none"/>
          <w:lang w:val="en-US" w:eastAsia="zh-CN"/>
        </w:rPr>
        <w:t>0</w:t>
      </w:r>
      <w:r>
        <w:rPr>
          <w:rFonts w:hint="eastAsia" w:ascii="宋体" w:hAnsi="宋体" w:eastAsia="宋体"/>
          <w:color w:val="auto"/>
          <w:sz w:val="24"/>
          <w:highlight w:val="none"/>
          <w:lang w:val="en-US" w:eastAsia="zh-CN"/>
        </w:rPr>
        <w:t xml:space="preserve">.1 </w:t>
      </w:r>
      <w:r>
        <w:rPr>
          <w:rFonts w:hint="eastAsia" w:ascii="宋体" w:hAnsi="宋体" w:eastAsia="宋体"/>
          <w:color w:val="auto"/>
          <w:sz w:val="24"/>
          <w:highlight w:val="none"/>
        </w:rPr>
        <w:t>本次采购采用电子交易方式，电子交易平台为</w:t>
      </w:r>
      <w:r>
        <w:rPr>
          <w:rFonts w:hint="eastAsia"/>
          <w:color w:val="auto"/>
          <w:sz w:val="24"/>
          <w:highlight w:val="none"/>
          <w:lang w:val="en-US" w:eastAsia="zh-CN"/>
        </w:rPr>
        <w:t>新疆</w:t>
      </w:r>
      <w:r>
        <w:rPr>
          <w:rFonts w:hint="eastAsia" w:ascii="宋体" w:hAnsi="宋体" w:eastAsia="宋体"/>
          <w:color w:val="auto"/>
          <w:sz w:val="24"/>
          <w:highlight w:val="none"/>
        </w:rPr>
        <w:t>政府采购</w:t>
      </w:r>
      <w:r>
        <w:rPr>
          <w:rFonts w:hint="eastAsia" w:ascii="宋体" w:hAnsi="宋体" w:eastAsia="宋体"/>
          <w:color w:val="auto"/>
          <w:sz w:val="24"/>
          <w:highlight w:val="none"/>
          <w:lang w:val="en-US"/>
        </w:rPr>
        <w:t>电子交易云</w:t>
      </w:r>
      <w:r>
        <w:rPr>
          <w:rFonts w:hint="eastAsia" w:ascii="宋体" w:hAnsi="宋体" w:eastAsia="宋体"/>
          <w:color w:val="auto"/>
          <w:sz w:val="24"/>
          <w:highlight w:val="none"/>
        </w:rPr>
        <w:t>平台</w:t>
      </w:r>
      <w:r>
        <w:rPr>
          <w:rFonts w:hint="eastAsia" w:ascii="宋体" w:hAnsi="宋体" w:eastAsia="宋体"/>
          <w:color w:val="auto"/>
          <w:sz w:val="24"/>
          <w:highlight w:val="none"/>
          <w:lang w:val="hr-HR"/>
        </w:rPr>
        <w:t>（</w:t>
      </w:r>
      <w:r>
        <w:rPr>
          <w:rFonts w:hint="eastAsia" w:ascii="宋体" w:hAnsi="宋体" w:eastAsia="宋体"/>
          <w:color w:val="auto"/>
          <w:sz w:val="24"/>
          <w:highlight w:val="none"/>
        </w:rPr>
        <w:t>网址</w:t>
      </w:r>
      <w:r>
        <w:rPr>
          <w:rFonts w:hint="eastAsia" w:ascii="宋体" w:hAnsi="宋体" w:eastAsia="宋体"/>
          <w:color w:val="auto"/>
          <w:sz w:val="24"/>
          <w:highlight w:val="none"/>
          <w:lang w:val="hr-HR"/>
        </w:rPr>
        <w:t>：https://www.zcygov.cn/）</w:t>
      </w:r>
      <w:r>
        <w:rPr>
          <w:rFonts w:hint="eastAsia" w:ascii="宋体" w:hAnsi="宋体" w:eastAsia="宋体"/>
          <w:color w:val="auto"/>
          <w:sz w:val="24"/>
          <w:highlight w:val="none"/>
        </w:rPr>
        <w:t>。投标人参与本项目电子交易活动前，应</w:t>
      </w:r>
      <w:r>
        <w:rPr>
          <w:rFonts w:hint="eastAsia" w:eastAsia="宋体"/>
          <w:color w:val="auto"/>
          <w:sz w:val="24"/>
          <w:highlight w:val="none"/>
          <w:lang w:val="en-US" w:eastAsia="zh-CN"/>
        </w:rPr>
        <w:t>在</w:t>
      </w:r>
      <w:r>
        <w:rPr>
          <w:rFonts w:hint="eastAsia" w:ascii="宋体" w:hAnsi="宋体" w:eastAsia="宋体"/>
          <w:color w:val="auto"/>
          <w:sz w:val="24"/>
          <w:highlight w:val="none"/>
        </w:rPr>
        <w:t>政</w:t>
      </w:r>
      <w:r>
        <w:rPr>
          <w:rFonts w:hint="eastAsia" w:eastAsia="宋体"/>
          <w:color w:val="auto"/>
          <w:sz w:val="24"/>
          <w:highlight w:val="none"/>
          <w:lang w:val="en-US" w:eastAsia="zh-CN"/>
        </w:rPr>
        <w:t>采</w:t>
      </w:r>
      <w:r>
        <w:rPr>
          <w:rFonts w:hint="eastAsia" w:ascii="宋体" w:hAnsi="宋体" w:eastAsia="宋体"/>
          <w:color w:val="auto"/>
          <w:sz w:val="24"/>
          <w:highlight w:val="none"/>
          <w:lang w:val="en-US"/>
        </w:rPr>
        <w:t>云</w:t>
      </w:r>
      <w:r>
        <w:rPr>
          <w:rFonts w:hint="eastAsia" w:ascii="宋体" w:hAnsi="宋体" w:eastAsia="宋体"/>
          <w:color w:val="auto"/>
          <w:sz w:val="24"/>
          <w:highlight w:val="none"/>
        </w:rPr>
        <w:t>平台</w:t>
      </w:r>
      <w:r>
        <w:rPr>
          <w:rFonts w:hint="eastAsia" w:eastAsia="宋体"/>
          <w:color w:val="auto"/>
          <w:sz w:val="24"/>
          <w:highlight w:val="none"/>
          <w:lang w:val="en-US" w:eastAsia="zh-CN"/>
        </w:rPr>
        <w:t>上</w:t>
      </w:r>
      <w:r>
        <w:rPr>
          <w:rFonts w:hint="eastAsia" w:ascii="宋体" w:hAnsi="宋体" w:eastAsia="宋体"/>
          <w:color w:val="auto"/>
          <w:sz w:val="24"/>
          <w:highlight w:val="none"/>
        </w:rPr>
        <w:t>注册</w:t>
      </w:r>
      <w:r>
        <w:rPr>
          <w:rFonts w:hint="eastAsia" w:eastAsia="宋体"/>
          <w:color w:val="auto"/>
          <w:sz w:val="24"/>
          <w:highlight w:val="none"/>
          <w:lang w:val="en-US" w:eastAsia="zh-CN"/>
        </w:rPr>
        <w:t>供应商账号</w:t>
      </w:r>
      <w:r>
        <w:rPr>
          <w:rFonts w:hint="eastAsia" w:ascii="宋体" w:hAnsi="宋体" w:eastAsia="宋体"/>
          <w:color w:val="auto"/>
          <w:sz w:val="24"/>
          <w:highlight w:val="none"/>
        </w:rPr>
        <w:t>。编制电子</w:t>
      </w:r>
      <w:r>
        <w:rPr>
          <w:rFonts w:hint="eastAsia" w:ascii="宋体" w:hAnsi="宋体" w:eastAsia="宋体"/>
          <w:color w:val="auto"/>
          <w:sz w:val="24"/>
          <w:highlight w:val="none"/>
          <w:lang w:val="en-US" w:eastAsia="zh-CN"/>
        </w:rPr>
        <w:t>投标</w:t>
      </w:r>
      <w:r>
        <w:rPr>
          <w:rFonts w:hint="eastAsia" w:ascii="宋体" w:hAnsi="宋体" w:eastAsia="宋体"/>
          <w:color w:val="auto"/>
          <w:sz w:val="24"/>
          <w:highlight w:val="none"/>
        </w:rPr>
        <w:t>文件前还需</w:t>
      </w:r>
      <w:r>
        <w:rPr>
          <w:rFonts w:hint="eastAsia" w:ascii="宋体" w:hAnsi="宋体" w:eastAsia="宋体"/>
          <w:color w:val="auto"/>
          <w:sz w:val="24"/>
          <w:highlight w:val="none"/>
          <w:lang w:val="en-US" w:eastAsia="zh-CN"/>
        </w:rPr>
        <w:t>申领CA证书并绑定帐号。投标人应充分考虑完成平台注册、申领CA证书等所需的时间。</w:t>
      </w:r>
      <w:r>
        <w:rPr>
          <w:rFonts w:hint="eastAsia" w:ascii="宋体" w:hAnsi="宋体" w:eastAsia="宋体"/>
          <w:color w:val="auto"/>
          <w:sz w:val="24"/>
          <w:highlight w:val="none"/>
          <w:lang w:val="zh-CN" w:eastAsia="zh-CN"/>
        </w:rPr>
        <w:t>潜在投标人领取文件须提前完成注册、CA证书和电子签章申领和绑定、下载投标客户端。因未办理CA数字证书、CA证书故障、操作不当等原因造成无法投标或投标失败等后果由投标人自行承担。</w:t>
      </w:r>
      <w:r>
        <w:rPr>
          <w:rFonts w:hint="eastAsia" w:eastAsia="宋体"/>
          <w:color w:val="auto"/>
          <w:sz w:val="24"/>
          <w:highlight w:val="none"/>
          <w:lang w:val="en-US" w:eastAsia="zh-CN"/>
        </w:rPr>
        <w:t>投标人</w:t>
      </w:r>
      <w:r>
        <w:rPr>
          <w:rFonts w:hint="eastAsia" w:ascii="宋体" w:hAnsi="宋体" w:eastAsia="宋体" w:cs="宋体"/>
          <w:i w:val="0"/>
          <w:iCs w:val="0"/>
          <w:color w:val="auto"/>
          <w:sz w:val="24"/>
          <w:szCs w:val="24"/>
          <w:highlight w:val="none"/>
          <w:lang w:val="en-US" w:eastAsia="zh-CN"/>
        </w:rPr>
        <w:t>登录</w:t>
      </w:r>
      <w:r>
        <w:rPr>
          <w:rFonts w:hint="eastAsia" w:cs="宋体"/>
          <w:i w:val="0"/>
          <w:iCs w:val="0"/>
          <w:color w:val="auto"/>
          <w:sz w:val="24"/>
          <w:szCs w:val="24"/>
          <w:highlight w:val="none"/>
          <w:lang w:val="en-US" w:eastAsia="zh-CN"/>
        </w:rPr>
        <w:t>新疆</w:t>
      </w:r>
      <w:r>
        <w:rPr>
          <w:rFonts w:hint="eastAsia" w:ascii="宋体" w:hAnsi="宋体" w:eastAsia="宋体" w:cs="宋体"/>
          <w:i w:val="0"/>
          <w:iCs w:val="0"/>
          <w:color w:val="auto"/>
          <w:sz w:val="24"/>
          <w:szCs w:val="24"/>
          <w:highlight w:val="none"/>
          <w:lang w:val="en-US" w:eastAsia="zh-CN"/>
        </w:rPr>
        <w:t>政府采购网“供应商</w:t>
      </w:r>
      <w:r>
        <w:rPr>
          <w:rFonts w:hint="eastAsia" w:cs="宋体"/>
          <w:i w:val="0"/>
          <w:iCs w:val="0"/>
          <w:color w:val="auto"/>
          <w:sz w:val="24"/>
          <w:szCs w:val="24"/>
          <w:highlight w:val="none"/>
          <w:lang w:val="en-US" w:eastAsia="zh-CN"/>
        </w:rPr>
        <w:t>免费</w:t>
      </w:r>
      <w:r>
        <w:rPr>
          <w:rFonts w:hint="eastAsia" w:ascii="宋体" w:hAnsi="宋体" w:eastAsia="宋体" w:cs="宋体"/>
          <w:i w:val="0"/>
          <w:iCs w:val="0"/>
          <w:color w:val="auto"/>
          <w:sz w:val="24"/>
          <w:szCs w:val="24"/>
          <w:highlight w:val="none"/>
          <w:lang w:val="en-US" w:eastAsia="zh-CN"/>
        </w:rPr>
        <w:t>注册”—“</w:t>
      </w:r>
      <w:r>
        <w:rPr>
          <w:rFonts w:hint="eastAsia" w:cs="宋体"/>
          <w:i w:val="0"/>
          <w:iCs w:val="0"/>
          <w:color w:val="auto"/>
          <w:sz w:val="24"/>
          <w:szCs w:val="24"/>
          <w:highlight w:val="none"/>
          <w:lang w:val="en-US" w:eastAsia="zh-CN"/>
        </w:rPr>
        <w:t>新疆维吾尔自治区</w:t>
      </w:r>
      <w:r>
        <w:rPr>
          <w:rFonts w:hint="eastAsia" w:ascii="宋体" w:hAnsi="宋体" w:eastAsia="宋体" w:cs="宋体"/>
          <w:i w:val="0"/>
          <w:iCs w:val="0"/>
          <w:color w:val="auto"/>
          <w:sz w:val="24"/>
          <w:szCs w:val="24"/>
          <w:highlight w:val="none"/>
          <w:lang w:val="en-US" w:eastAsia="zh-CN"/>
        </w:rPr>
        <w:t>供应商入驻登记”—“立即登记”进行自助注册绑定</w:t>
      </w:r>
      <w:r>
        <w:rPr>
          <w:rFonts w:hint="eastAsia" w:ascii="宋体" w:hAnsi="宋体" w:eastAsia="宋体"/>
          <w:color w:val="auto"/>
          <w:sz w:val="24"/>
          <w:highlight w:val="none"/>
          <w:lang w:val="zh-CN" w:eastAsia="zh-CN"/>
        </w:rPr>
        <w:t>。</w:t>
      </w:r>
    </w:p>
    <w:p w14:paraId="18ECC266">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olor w:val="auto"/>
          <w:sz w:val="24"/>
          <w:highlight w:val="none"/>
        </w:rPr>
      </w:pPr>
      <w:r>
        <w:rPr>
          <w:rFonts w:hint="eastAsia" w:ascii="宋体" w:hAnsi="宋体" w:eastAsia="宋体"/>
          <w:color w:val="auto"/>
          <w:sz w:val="24"/>
          <w:highlight w:val="none"/>
          <w:lang w:val="en-US" w:eastAsia="zh-CN"/>
        </w:rPr>
        <w:t>1</w:t>
      </w:r>
      <w:r>
        <w:rPr>
          <w:rFonts w:hint="eastAsia" w:eastAsia="宋体"/>
          <w:color w:val="auto"/>
          <w:sz w:val="24"/>
          <w:highlight w:val="none"/>
          <w:lang w:val="en-US" w:eastAsia="zh-CN"/>
        </w:rPr>
        <w:t>0</w:t>
      </w:r>
      <w:r>
        <w:rPr>
          <w:rFonts w:hint="eastAsia" w:ascii="宋体" w:hAnsi="宋体" w:eastAsia="宋体"/>
          <w:color w:val="auto"/>
          <w:sz w:val="24"/>
          <w:highlight w:val="none"/>
          <w:lang w:val="en-US" w:eastAsia="zh-CN"/>
        </w:rPr>
        <w:t>.</w:t>
      </w:r>
      <w:r>
        <w:rPr>
          <w:rFonts w:hint="eastAsia" w:ascii="宋体" w:hAnsi="宋体" w:eastAsia="宋体"/>
          <w:color w:val="auto"/>
          <w:sz w:val="24"/>
          <w:highlight w:val="none"/>
        </w:rPr>
        <w:t>2</w:t>
      </w:r>
      <w:r>
        <w:rPr>
          <w:rFonts w:hint="eastAsia" w:ascii="宋体" w:hAnsi="宋体" w:eastAsia="宋体"/>
          <w:color w:val="auto"/>
          <w:sz w:val="24"/>
          <w:highlight w:val="none"/>
          <w:lang w:val="en-US" w:eastAsia="zh-CN"/>
        </w:rPr>
        <w:t xml:space="preserve"> </w:t>
      </w:r>
      <w:r>
        <w:rPr>
          <w:rFonts w:hint="eastAsia" w:ascii="宋体" w:hAnsi="宋体" w:eastAsia="宋体"/>
          <w:color w:val="auto"/>
          <w:sz w:val="24"/>
          <w:highlight w:val="none"/>
        </w:rPr>
        <w:t>投标人将</w:t>
      </w:r>
      <w:r>
        <w:rPr>
          <w:rFonts w:hint="eastAsia"/>
          <w:color w:val="auto"/>
          <w:sz w:val="24"/>
          <w:highlight w:val="none"/>
          <w:lang w:val="en-US" w:eastAsia="zh-CN"/>
        </w:rPr>
        <w:t>新疆</w:t>
      </w:r>
      <w:r>
        <w:rPr>
          <w:rFonts w:hint="eastAsia" w:ascii="宋体" w:hAnsi="宋体" w:eastAsia="宋体"/>
          <w:color w:val="auto"/>
          <w:sz w:val="24"/>
          <w:highlight w:val="none"/>
        </w:rPr>
        <w:t>政府采购</w:t>
      </w:r>
      <w:r>
        <w:rPr>
          <w:rFonts w:hint="eastAsia" w:ascii="宋体" w:hAnsi="宋体" w:eastAsia="宋体"/>
          <w:color w:val="auto"/>
          <w:sz w:val="24"/>
          <w:highlight w:val="none"/>
          <w:lang w:val="en-US"/>
        </w:rPr>
        <w:t>电子交易云</w:t>
      </w:r>
      <w:r>
        <w:rPr>
          <w:rFonts w:hint="eastAsia" w:ascii="宋体" w:hAnsi="宋体" w:eastAsia="宋体"/>
          <w:color w:val="auto"/>
          <w:sz w:val="24"/>
          <w:highlight w:val="none"/>
        </w:rPr>
        <w:t>平台电子交易客户端下载、安装完成后，可通过账号密码或CA登录客户端进行</w:t>
      </w:r>
      <w:r>
        <w:rPr>
          <w:rFonts w:hint="eastAsia" w:ascii="宋体" w:hAnsi="宋体" w:eastAsia="宋体"/>
          <w:color w:val="auto"/>
          <w:sz w:val="24"/>
          <w:highlight w:val="none"/>
          <w:lang w:eastAsia="zh-CN"/>
        </w:rPr>
        <w:t>投标文件</w:t>
      </w:r>
      <w:r>
        <w:rPr>
          <w:rFonts w:hint="eastAsia" w:ascii="宋体" w:hAnsi="宋体" w:eastAsia="宋体"/>
          <w:color w:val="auto"/>
          <w:sz w:val="24"/>
          <w:highlight w:val="none"/>
        </w:rPr>
        <w:t>制作。在使用政采云投标客户端时，建议使用WIN7及以上操作系统。</w:t>
      </w:r>
      <w:r>
        <w:rPr>
          <w:rFonts w:hint="eastAsia" w:eastAsia="宋体"/>
          <w:color w:val="auto"/>
          <w:sz w:val="24"/>
          <w:highlight w:val="none"/>
          <w:lang w:val="en-US" w:eastAsia="zh-CN"/>
        </w:rPr>
        <w:t>投标人</w:t>
      </w:r>
      <w:r>
        <w:rPr>
          <w:rFonts w:hint="eastAsia" w:ascii="宋体" w:hAnsi="宋体" w:eastAsia="宋体"/>
          <w:color w:val="auto"/>
          <w:sz w:val="24"/>
          <w:highlight w:val="none"/>
        </w:rPr>
        <w:t>登录</w:t>
      </w:r>
      <w:r>
        <w:rPr>
          <w:rFonts w:hint="eastAsia"/>
          <w:color w:val="auto"/>
          <w:sz w:val="24"/>
          <w:highlight w:val="none"/>
          <w:lang w:val="en-US" w:eastAsia="zh-CN"/>
        </w:rPr>
        <w:t>新疆</w:t>
      </w:r>
      <w:r>
        <w:rPr>
          <w:rFonts w:hint="eastAsia" w:ascii="宋体" w:hAnsi="宋体" w:eastAsia="宋体"/>
          <w:color w:val="auto"/>
          <w:sz w:val="24"/>
          <w:highlight w:val="none"/>
        </w:rPr>
        <w:t>政府采购网“下载专区”—“电子招投标客户端下载”下载相关客户端，如有问题可拨打政采云客户服务热线95763进行咨询。</w:t>
      </w:r>
    </w:p>
    <w:p w14:paraId="1E16A3EF">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olor w:val="auto"/>
          <w:sz w:val="24"/>
          <w:highlight w:val="none"/>
        </w:rPr>
      </w:pPr>
      <w:r>
        <w:rPr>
          <w:rFonts w:hint="eastAsia" w:ascii="宋体" w:hAnsi="宋体" w:eastAsia="宋体"/>
          <w:color w:val="auto"/>
          <w:sz w:val="24"/>
          <w:highlight w:val="none"/>
          <w:lang w:val="en-US" w:eastAsia="zh-CN"/>
        </w:rPr>
        <w:t>1</w:t>
      </w:r>
      <w:r>
        <w:rPr>
          <w:rFonts w:hint="eastAsia" w:eastAsia="宋体"/>
          <w:color w:val="auto"/>
          <w:sz w:val="24"/>
          <w:highlight w:val="none"/>
          <w:lang w:val="en-US" w:eastAsia="zh-CN"/>
        </w:rPr>
        <w:t>0</w:t>
      </w:r>
      <w:r>
        <w:rPr>
          <w:rFonts w:hint="eastAsia" w:ascii="宋体" w:hAnsi="宋体" w:eastAsia="宋体"/>
          <w:color w:val="auto"/>
          <w:sz w:val="24"/>
          <w:highlight w:val="none"/>
          <w:lang w:val="en-US" w:eastAsia="zh-CN"/>
        </w:rPr>
        <w:t>.</w:t>
      </w:r>
      <w:r>
        <w:rPr>
          <w:rFonts w:hint="eastAsia" w:ascii="宋体" w:hAnsi="宋体" w:eastAsia="宋体"/>
          <w:color w:val="auto"/>
          <w:sz w:val="24"/>
          <w:highlight w:val="none"/>
        </w:rPr>
        <w:t>3</w:t>
      </w:r>
      <w:r>
        <w:rPr>
          <w:rFonts w:hint="eastAsia" w:ascii="宋体" w:hAnsi="宋体" w:eastAsia="宋体"/>
          <w:color w:val="auto"/>
          <w:sz w:val="24"/>
          <w:highlight w:val="none"/>
          <w:lang w:val="en-US" w:eastAsia="zh-CN"/>
        </w:rPr>
        <w:t xml:space="preserve"> </w:t>
      </w:r>
      <w:r>
        <w:rPr>
          <w:rFonts w:hint="eastAsia" w:ascii="宋体" w:hAnsi="宋体" w:eastAsia="宋体"/>
          <w:color w:val="auto"/>
          <w:sz w:val="24"/>
          <w:highlight w:val="none"/>
        </w:rPr>
        <w:t>加密的电子</w:t>
      </w:r>
      <w:r>
        <w:rPr>
          <w:rFonts w:hint="eastAsia" w:ascii="宋体" w:hAnsi="宋体" w:eastAsia="宋体"/>
          <w:color w:val="auto"/>
          <w:sz w:val="24"/>
          <w:highlight w:val="none"/>
          <w:lang w:eastAsia="zh-CN"/>
        </w:rPr>
        <w:t>投标文件</w:t>
      </w:r>
      <w:r>
        <w:rPr>
          <w:rFonts w:hint="eastAsia" w:ascii="宋体" w:hAnsi="宋体" w:eastAsia="宋体"/>
          <w:color w:val="auto"/>
          <w:sz w:val="24"/>
          <w:highlight w:val="none"/>
        </w:rPr>
        <w:t>应在</w:t>
      </w:r>
      <w:r>
        <w:rPr>
          <w:rFonts w:hint="eastAsia" w:ascii="宋体" w:hAnsi="宋体" w:eastAsia="宋体"/>
          <w:color w:val="auto"/>
          <w:sz w:val="24"/>
          <w:highlight w:val="none"/>
          <w:lang w:eastAsia="zh-CN"/>
        </w:rPr>
        <w:t>投标文件</w:t>
      </w:r>
      <w:r>
        <w:rPr>
          <w:rFonts w:hint="eastAsia" w:ascii="宋体" w:hAnsi="宋体" w:eastAsia="宋体"/>
          <w:color w:val="auto"/>
          <w:sz w:val="24"/>
          <w:highlight w:val="none"/>
        </w:rPr>
        <w:t>递交截止时间前通过政采云平台上传完成。逾期上传或者未上传指定地点的</w:t>
      </w:r>
      <w:r>
        <w:rPr>
          <w:rFonts w:hint="eastAsia" w:ascii="宋体" w:hAnsi="宋体" w:eastAsia="宋体"/>
          <w:color w:val="auto"/>
          <w:sz w:val="24"/>
          <w:highlight w:val="none"/>
          <w:lang w:eastAsia="zh-CN"/>
        </w:rPr>
        <w:t>投标文件</w:t>
      </w:r>
      <w:r>
        <w:rPr>
          <w:rFonts w:hint="eastAsia" w:ascii="宋体" w:hAnsi="宋体" w:eastAsia="宋体"/>
          <w:color w:val="auto"/>
          <w:sz w:val="24"/>
          <w:highlight w:val="none"/>
        </w:rPr>
        <w:t>，不予受理。</w:t>
      </w:r>
    </w:p>
    <w:p w14:paraId="53B28965">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olor w:val="auto"/>
          <w:sz w:val="24"/>
          <w:highlight w:val="none"/>
        </w:rPr>
      </w:pPr>
      <w:r>
        <w:rPr>
          <w:rFonts w:hint="eastAsia" w:ascii="宋体" w:hAnsi="宋体" w:eastAsia="宋体"/>
          <w:color w:val="auto"/>
          <w:sz w:val="24"/>
          <w:highlight w:val="none"/>
          <w:lang w:val="en-US" w:eastAsia="zh-CN"/>
        </w:rPr>
        <w:t>1</w:t>
      </w:r>
      <w:r>
        <w:rPr>
          <w:rFonts w:hint="eastAsia" w:eastAsia="宋体"/>
          <w:color w:val="auto"/>
          <w:sz w:val="24"/>
          <w:highlight w:val="none"/>
          <w:lang w:val="en-US" w:eastAsia="zh-CN"/>
        </w:rPr>
        <w:t>0</w:t>
      </w:r>
      <w:r>
        <w:rPr>
          <w:rFonts w:hint="eastAsia" w:ascii="宋体" w:hAnsi="宋体" w:eastAsia="宋体"/>
          <w:color w:val="auto"/>
          <w:sz w:val="24"/>
          <w:highlight w:val="none"/>
          <w:lang w:val="en-US" w:eastAsia="zh-CN"/>
        </w:rPr>
        <w:t>.</w:t>
      </w:r>
      <w:r>
        <w:rPr>
          <w:rFonts w:hint="eastAsia" w:ascii="宋体" w:hAnsi="宋体" w:eastAsia="宋体"/>
          <w:color w:val="auto"/>
          <w:sz w:val="24"/>
          <w:highlight w:val="none"/>
        </w:rPr>
        <w:t>4</w:t>
      </w:r>
      <w:r>
        <w:rPr>
          <w:rFonts w:hint="eastAsia" w:ascii="宋体" w:hAnsi="宋体" w:eastAsia="宋体"/>
          <w:color w:val="auto"/>
          <w:sz w:val="24"/>
          <w:highlight w:val="none"/>
          <w:lang w:val="en-US" w:eastAsia="zh-CN"/>
        </w:rPr>
        <w:t xml:space="preserve"> </w:t>
      </w:r>
      <w:r>
        <w:rPr>
          <w:rFonts w:hint="eastAsia" w:ascii="宋体" w:hAnsi="宋体" w:eastAsia="宋体"/>
          <w:color w:val="auto"/>
          <w:sz w:val="24"/>
          <w:highlight w:val="none"/>
        </w:rPr>
        <w:t>投标人在开标前须提前配置好电脑</w:t>
      </w:r>
      <w:r>
        <w:rPr>
          <w:rFonts w:hint="eastAsia" w:eastAsia="宋体"/>
          <w:color w:val="auto"/>
          <w:sz w:val="24"/>
          <w:highlight w:val="none"/>
          <w:lang w:val="en-US" w:eastAsia="zh-CN"/>
        </w:rPr>
        <w:t>及</w:t>
      </w:r>
      <w:r>
        <w:rPr>
          <w:rFonts w:hint="eastAsia" w:ascii="宋体" w:hAnsi="宋体" w:eastAsia="宋体"/>
          <w:color w:val="auto"/>
          <w:sz w:val="24"/>
          <w:highlight w:val="none"/>
        </w:rPr>
        <w:t>浏览器，开标时请使用制作加密电子</w:t>
      </w:r>
      <w:r>
        <w:rPr>
          <w:rFonts w:hint="eastAsia" w:ascii="宋体" w:hAnsi="宋体" w:eastAsia="宋体"/>
          <w:color w:val="auto"/>
          <w:sz w:val="24"/>
          <w:highlight w:val="none"/>
          <w:lang w:eastAsia="zh-CN"/>
        </w:rPr>
        <w:t>投标文件</w:t>
      </w:r>
      <w:r>
        <w:rPr>
          <w:rFonts w:hint="eastAsia" w:ascii="宋体" w:hAnsi="宋体" w:eastAsia="宋体"/>
          <w:color w:val="auto"/>
          <w:sz w:val="24"/>
          <w:highlight w:val="none"/>
        </w:rPr>
        <w:t>的CA锁进行解密及报价确认。本项目</w:t>
      </w:r>
      <w:r>
        <w:rPr>
          <w:rFonts w:hint="eastAsia" w:ascii="宋体" w:hAnsi="宋体" w:eastAsia="宋体"/>
          <w:color w:val="auto"/>
          <w:sz w:val="24"/>
          <w:highlight w:val="none"/>
          <w:lang w:eastAsia="zh-CN"/>
        </w:rPr>
        <w:t>投标文件</w:t>
      </w:r>
      <w:r>
        <w:rPr>
          <w:rFonts w:hint="eastAsia" w:ascii="宋体" w:hAnsi="宋体" w:eastAsia="宋体"/>
          <w:color w:val="auto"/>
          <w:sz w:val="24"/>
          <w:highlight w:val="none"/>
        </w:rPr>
        <w:t>解密时间</w:t>
      </w:r>
      <w:r>
        <w:rPr>
          <w:rFonts w:hint="eastAsia" w:eastAsia="宋体"/>
          <w:color w:val="auto"/>
          <w:sz w:val="24"/>
          <w:highlight w:val="none"/>
          <w:lang w:val="en-US" w:eastAsia="zh-CN"/>
        </w:rPr>
        <w:t>详见“投标人须知前附表”</w:t>
      </w:r>
      <w:r>
        <w:rPr>
          <w:rFonts w:hint="eastAsia" w:ascii="宋体" w:hAnsi="宋体" w:eastAsia="宋体"/>
          <w:color w:val="auto"/>
          <w:sz w:val="24"/>
          <w:highlight w:val="none"/>
        </w:rPr>
        <w:t>，如因自身原因导致无法正常解密，后果由投标人自行承担。</w:t>
      </w:r>
    </w:p>
    <w:p w14:paraId="469768F0">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olor w:val="auto"/>
          <w:sz w:val="24"/>
          <w:highlight w:val="none"/>
        </w:rPr>
      </w:pPr>
      <w:r>
        <w:rPr>
          <w:rFonts w:hint="eastAsia" w:ascii="宋体" w:hAnsi="宋体" w:eastAsia="宋体"/>
          <w:color w:val="auto"/>
          <w:sz w:val="24"/>
          <w:highlight w:val="none"/>
          <w:lang w:val="en-US" w:eastAsia="zh-CN"/>
        </w:rPr>
        <w:t>1</w:t>
      </w:r>
      <w:r>
        <w:rPr>
          <w:rFonts w:hint="eastAsia" w:eastAsia="宋体"/>
          <w:color w:val="auto"/>
          <w:sz w:val="24"/>
          <w:highlight w:val="none"/>
          <w:lang w:val="en-US" w:eastAsia="zh-CN"/>
        </w:rPr>
        <w:t>0</w:t>
      </w:r>
      <w:r>
        <w:rPr>
          <w:rFonts w:hint="eastAsia" w:ascii="宋体" w:hAnsi="宋体" w:eastAsia="宋体"/>
          <w:color w:val="auto"/>
          <w:sz w:val="24"/>
          <w:highlight w:val="none"/>
          <w:lang w:val="en-US" w:eastAsia="zh-CN"/>
        </w:rPr>
        <w:t>.</w:t>
      </w:r>
      <w:r>
        <w:rPr>
          <w:rFonts w:hint="eastAsia" w:ascii="宋体" w:hAnsi="宋体" w:eastAsia="宋体"/>
          <w:color w:val="auto"/>
          <w:sz w:val="24"/>
          <w:highlight w:val="none"/>
        </w:rPr>
        <w:t>5</w:t>
      </w:r>
      <w:r>
        <w:rPr>
          <w:rFonts w:hint="eastAsia" w:ascii="宋体" w:hAnsi="宋体" w:eastAsia="宋体"/>
          <w:color w:val="auto"/>
          <w:sz w:val="24"/>
          <w:highlight w:val="none"/>
          <w:lang w:val="en-US" w:eastAsia="zh-CN"/>
        </w:rPr>
        <w:t xml:space="preserve"> </w:t>
      </w:r>
      <w:r>
        <w:rPr>
          <w:rFonts w:hint="eastAsia" w:ascii="宋体" w:hAnsi="宋体" w:eastAsia="宋体"/>
          <w:color w:val="auto"/>
          <w:sz w:val="24"/>
          <w:highlight w:val="none"/>
        </w:rPr>
        <w:t>如遇“</w:t>
      </w:r>
      <w:r>
        <w:rPr>
          <w:rFonts w:hint="eastAsia"/>
          <w:color w:val="auto"/>
          <w:sz w:val="24"/>
          <w:highlight w:val="none"/>
          <w:lang w:val="en-US" w:eastAsia="zh-CN"/>
        </w:rPr>
        <w:t>新疆</w:t>
      </w:r>
      <w:r>
        <w:rPr>
          <w:rFonts w:hint="eastAsia" w:ascii="宋体" w:hAnsi="宋体" w:eastAsia="宋体"/>
          <w:color w:val="auto"/>
          <w:sz w:val="24"/>
          <w:highlight w:val="none"/>
        </w:rPr>
        <w:t>政府采购</w:t>
      </w:r>
      <w:r>
        <w:rPr>
          <w:rFonts w:hint="eastAsia" w:ascii="宋体" w:hAnsi="宋体" w:eastAsia="宋体"/>
          <w:color w:val="auto"/>
          <w:sz w:val="24"/>
          <w:highlight w:val="none"/>
          <w:lang w:val="en-US"/>
        </w:rPr>
        <w:t>电子交易云</w:t>
      </w:r>
      <w:r>
        <w:rPr>
          <w:rFonts w:hint="eastAsia" w:ascii="宋体" w:hAnsi="宋体" w:eastAsia="宋体"/>
          <w:color w:val="auto"/>
          <w:sz w:val="24"/>
          <w:highlight w:val="none"/>
        </w:rPr>
        <w:t>平台</w:t>
      </w:r>
      <w:r>
        <w:rPr>
          <w:rFonts w:hint="eastAsia" w:ascii="宋体" w:hAnsi="宋体" w:eastAsia="宋体"/>
          <w:color w:val="auto"/>
          <w:sz w:val="24"/>
          <w:highlight w:val="none"/>
          <w:lang w:val="hr-HR"/>
        </w:rPr>
        <w:t>（</w:t>
      </w:r>
      <w:r>
        <w:rPr>
          <w:rFonts w:hint="eastAsia" w:ascii="宋体" w:hAnsi="宋体" w:eastAsia="宋体"/>
          <w:color w:val="auto"/>
          <w:sz w:val="24"/>
          <w:highlight w:val="none"/>
        </w:rPr>
        <w:t>网址</w:t>
      </w:r>
      <w:r>
        <w:rPr>
          <w:rFonts w:hint="eastAsia" w:ascii="宋体" w:hAnsi="宋体" w:eastAsia="宋体"/>
          <w:color w:val="auto"/>
          <w:sz w:val="24"/>
          <w:highlight w:val="none"/>
          <w:lang w:val="hr-HR"/>
        </w:rPr>
        <w:t>：https://www.zcygov.cn/）</w:t>
      </w:r>
      <w:r>
        <w:rPr>
          <w:rFonts w:hint="eastAsia" w:ascii="宋体" w:hAnsi="宋体" w:eastAsia="宋体"/>
          <w:color w:val="auto"/>
          <w:sz w:val="24"/>
          <w:highlight w:val="none"/>
        </w:rPr>
        <w:t>”电子交易规则调整，以最新要求为准。</w:t>
      </w:r>
    </w:p>
    <w:p w14:paraId="08AA0ABB">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olor w:val="auto"/>
          <w:sz w:val="24"/>
          <w:highlight w:val="none"/>
          <w:lang w:val="en-US" w:eastAsia="zh-CN"/>
        </w:rPr>
      </w:pPr>
      <w:r>
        <w:rPr>
          <w:rFonts w:hint="eastAsia" w:ascii="宋体" w:hAnsi="宋体" w:eastAsia="宋体"/>
          <w:color w:val="auto"/>
          <w:sz w:val="24"/>
          <w:highlight w:val="none"/>
          <w:lang w:val="en-US" w:eastAsia="zh-CN"/>
        </w:rPr>
        <w:t>1</w:t>
      </w:r>
      <w:r>
        <w:rPr>
          <w:rFonts w:hint="eastAsia" w:eastAsia="宋体"/>
          <w:color w:val="auto"/>
          <w:sz w:val="24"/>
          <w:highlight w:val="none"/>
          <w:lang w:val="en-US" w:eastAsia="zh-CN"/>
        </w:rPr>
        <w:t>0</w:t>
      </w:r>
      <w:r>
        <w:rPr>
          <w:rFonts w:hint="eastAsia" w:ascii="宋体" w:hAnsi="宋体" w:eastAsia="宋体"/>
          <w:color w:val="auto"/>
          <w:sz w:val="24"/>
          <w:highlight w:val="none"/>
          <w:lang w:val="en-US" w:eastAsia="zh-CN"/>
        </w:rPr>
        <w:t>.6 电子交易系统咨询：投标人应当充分考虑到电子投标可能会发生的各种问题和风险，特别是投标文件签署、提交等问题，</w:t>
      </w:r>
      <w:r>
        <w:rPr>
          <w:rFonts w:hint="eastAsia" w:eastAsia="宋体"/>
          <w:color w:val="auto"/>
          <w:sz w:val="24"/>
          <w:highlight w:val="none"/>
          <w:lang w:val="en-US" w:eastAsia="zh-CN"/>
        </w:rPr>
        <w:t>可</w:t>
      </w:r>
      <w:r>
        <w:rPr>
          <w:rFonts w:hint="eastAsia" w:ascii="宋体" w:hAnsi="宋体" w:eastAsia="宋体"/>
          <w:color w:val="auto"/>
          <w:sz w:val="24"/>
          <w:highlight w:val="none"/>
          <w:lang w:val="en-US" w:eastAsia="zh-CN"/>
        </w:rPr>
        <w:t>按照“</w:t>
      </w:r>
      <w:r>
        <w:rPr>
          <w:rFonts w:hint="eastAsia" w:eastAsia="宋体"/>
          <w:color w:val="auto"/>
          <w:sz w:val="24"/>
          <w:highlight w:val="none"/>
          <w:lang w:val="en-US" w:eastAsia="zh-CN"/>
        </w:rPr>
        <w:t>第一章 招标公告</w:t>
      </w:r>
      <w:r>
        <w:rPr>
          <w:rFonts w:hint="eastAsia" w:ascii="宋体" w:hAnsi="宋体" w:eastAsia="宋体"/>
          <w:color w:val="auto"/>
          <w:sz w:val="24"/>
          <w:highlight w:val="none"/>
          <w:lang w:val="en-US" w:eastAsia="zh-CN"/>
        </w:rPr>
        <w:t>”的</w:t>
      </w:r>
      <w:r>
        <w:rPr>
          <w:rFonts w:hint="eastAsia" w:eastAsia="宋体"/>
          <w:color w:val="auto"/>
          <w:sz w:val="24"/>
          <w:highlight w:val="none"/>
          <w:lang w:val="en-US" w:eastAsia="zh-CN"/>
        </w:rPr>
        <w:t>联系方式咨询相关人员</w:t>
      </w:r>
      <w:r>
        <w:rPr>
          <w:rFonts w:hint="eastAsia" w:ascii="宋体" w:hAnsi="宋体" w:eastAsia="宋体"/>
          <w:color w:val="auto"/>
          <w:sz w:val="24"/>
          <w:highlight w:val="none"/>
          <w:lang w:val="en-US" w:eastAsia="zh-CN"/>
        </w:rPr>
        <w:t>。</w:t>
      </w:r>
    </w:p>
    <w:p w14:paraId="39CA1037">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olor w:val="auto"/>
          <w:sz w:val="24"/>
          <w:highlight w:val="none"/>
          <w:lang w:val="en-US" w:eastAsia="zh-CN"/>
        </w:rPr>
      </w:pPr>
      <w:r>
        <w:rPr>
          <w:rFonts w:hint="eastAsia" w:ascii="宋体" w:hAnsi="宋体" w:eastAsia="宋体"/>
          <w:color w:val="auto"/>
          <w:sz w:val="24"/>
          <w:highlight w:val="none"/>
          <w:lang w:val="en-US" w:eastAsia="zh-CN"/>
        </w:rPr>
        <w:t>1</w:t>
      </w:r>
      <w:r>
        <w:rPr>
          <w:rFonts w:hint="eastAsia" w:eastAsia="宋体"/>
          <w:color w:val="auto"/>
          <w:sz w:val="24"/>
          <w:highlight w:val="none"/>
          <w:lang w:val="en-US" w:eastAsia="zh-CN"/>
        </w:rPr>
        <w:t>0</w:t>
      </w:r>
      <w:r>
        <w:rPr>
          <w:rFonts w:hint="eastAsia" w:ascii="宋体" w:hAnsi="宋体" w:eastAsia="宋体"/>
          <w:color w:val="auto"/>
          <w:sz w:val="24"/>
          <w:highlight w:val="none"/>
          <w:lang w:val="en-US" w:eastAsia="zh-CN"/>
        </w:rPr>
        <w:t>.7 由于本项目采用电子招标方式，潜在投标人的名单将在</w:t>
      </w:r>
      <w:r>
        <w:rPr>
          <w:rFonts w:hint="eastAsia" w:eastAsia="宋体"/>
          <w:color w:val="auto"/>
          <w:sz w:val="24"/>
          <w:highlight w:val="none"/>
          <w:lang w:val="en-US" w:eastAsia="zh-CN"/>
        </w:rPr>
        <w:t>提交</w:t>
      </w:r>
      <w:r>
        <w:rPr>
          <w:rFonts w:hint="eastAsia" w:ascii="宋体" w:hAnsi="宋体" w:eastAsia="宋体"/>
          <w:color w:val="auto"/>
          <w:sz w:val="24"/>
          <w:highlight w:val="none"/>
          <w:lang w:val="en-US" w:eastAsia="zh-CN"/>
        </w:rPr>
        <w:t>投标</w:t>
      </w:r>
      <w:r>
        <w:rPr>
          <w:rFonts w:hint="eastAsia" w:eastAsia="宋体"/>
          <w:color w:val="auto"/>
          <w:sz w:val="24"/>
          <w:highlight w:val="none"/>
          <w:lang w:val="en-US" w:eastAsia="zh-CN"/>
        </w:rPr>
        <w:t>文件</w:t>
      </w:r>
      <w:r>
        <w:rPr>
          <w:rFonts w:hint="eastAsia" w:ascii="宋体" w:hAnsi="宋体" w:eastAsia="宋体"/>
          <w:color w:val="auto"/>
          <w:sz w:val="24"/>
          <w:highlight w:val="none"/>
          <w:lang w:val="en-US" w:eastAsia="zh-CN"/>
        </w:rPr>
        <w:t>截止时间后才会解密。因此，采购人或采购代理机构无法通过传统的传真或邮件方式，将招标文件的澄清或修改内容逐一通知到每位已获取招标文件的潜在投标人。为确保信息的及时性和准确性，澄清或修改的内容将仅在政采云平台以更正公告的形式发布。潜在投标人需密切关注该网站，及时查看并下载相关更正公告。若因潜在投标人未能及时查看或下载相关更正公告，而导致的一切后果，将由潜在投标人自行承担。</w:t>
      </w:r>
    </w:p>
    <w:p w14:paraId="7A306C00">
      <w:pPr>
        <w:pStyle w:val="4"/>
        <w:keepNext w:val="0"/>
        <w:keepLines w:val="0"/>
        <w:pageBreakBefore w:val="0"/>
        <w:widowControl w:val="0"/>
        <w:numPr>
          <w:ilvl w:val="0"/>
          <w:numId w:val="0"/>
        </w:numPr>
        <w:kinsoku/>
        <w:wordWrap/>
        <w:overflowPunct/>
        <w:topLinePunct w:val="0"/>
        <w:autoSpaceDE/>
        <w:autoSpaceDN/>
        <w:bidi w:val="0"/>
        <w:adjustRightInd/>
        <w:snapToGrid/>
        <w:spacing w:before="100" w:after="100" w:line="240" w:lineRule="auto"/>
        <w:ind w:left="420" w:leftChars="0" w:hanging="420" w:firstLineChars="0"/>
        <w:textAlignment w:val="auto"/>
        <w:rPr>
          <w:rFonts w:hint="eastAsia" w:ascii="宋体" w:hAnsi="宋体" w:eastAsia="宋体" w:cstheme="minorBidi"/>
          <w:b/>
          <w:bCs/>
          <w:color w:val="auto"/>
          <w:kern w:val="2"/>
          <w:sz w:val="24"/>
          <w:szCs w:val="32"/>
          <w:highlight w:val="none"/>
          <w:lang w:val="en-US" w:eastAsia="zh-CN" w:bidi="ar-SA"/>
        </w:rPr>
      </w:pPr>
      <w:bookmarkStart w:id="170" w:name="_Toc27586"/>
      <w:bookmarkStart w:id="171" w:name="_Toc2058"/>
      <w:bookmarkStart w:id="172" w:name="_Toc163492834"/>
      <w:bookmarkStart w:id="173" w:name="_Toc2606"/>
      <w:bookmarkStart w:id="174" w:name="_Toc25633"/>
      <w:r>
        <w:rPr>
          <w:rFonts w:hint="eastAsia" w:ascii="宋体" w:hAnsi="宋体" w:eastAsia="宋体" w:cstheme="minorBidi"/>
          <w:b/>
          <w:bCs/>
          <w:color w:val="auto"/>
          <w:kern w:val="2"/>
          <w:sz w:val="24"/>
          <w:szCs w:val="32"/>
          <w:highlight w:val="none"/>
          <w:lang w:val="en-US" w:eastAsia="zh-CN" w:bidi="ar-SA"/>
        </w:rPr>
        <w:t>（二）招标文件</w:t>
      </w:r>
      <w:bookmarkEnd w:id="169"/>
      <w:bookmarkEnd w:id="170"/>
      <w:bookmarkEnd w:id="171"/>
      <w:bookmarkEnd w:id="172"/>
      <w:bookmarkEnd w:id="173"/>
      <w:bookmarkEnd w:id="174"/>
    </w:p>
    <w:p w14:paraId="08A2C6A4">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color w:val="auto"/>
          <w:kern w:val="2"/>
          <w:sz w:val="24"/>
          <w:szCs w:val="28"/>
          <w:highlight w:val="none"/>
          <w:lang w:val="en-US" w:eastAsia="zh-CN" w:bidi="ar-SA"/>
        </w:rPr>
      </w:pPr>
      <w:bookmarkStart w:id="175" w:name="_Toc24167"/>
      <w:bookmarkStart w:id="176" w:name="_Toc7878"/>
      <w:bookmarkStart w:id="177" w:name="_Toc140132768"/>
      <w:bookmarkStart w:id="178" w:name="_Toc163492835"/>
      <w:bookmarkStart w:id="179" w:name="_Toc27444"/>
      <w:bookmarkStart w:id="180" w:name="_Toc11591"/>
      <w:r>
        <w:rPr>
          <w:rFonts w:hint="eastAsia" w:ascii="宋体" w:hAnsi="宋体" w:eastAsia="宋体" w:cs="宋体"/>
          <w:b/>
          <w:bCs/>
          <w:color w:val="auto"/>
          <w:kern w:val="2"/>
          <w:sz w:val="24"/>
          <w:szCs w:val="28"/>
          <w:highlight w:val="none"/>
          <w:lang w:val="en-US" w:eastAsia="zh-CN" w:bidi="ar-SA"/>
        </w:rPr>
        <w:t>11.招标文件的组成</w:t>
      </w:r>
      <w:bookmarkEnd w:id="175"/>
      <w:bookmarkEnd w:id="176"/>
      <w:bookmarkEnd w:id="177"/>
      <w:bookmarkEnd w:id="178"/>
      <w:bookmarkEnd w:id="179"/>
      <w:bookmarkEnd w:id="180"/>
    </w:p>
    <w:p w14:paraId="0FCCC628">
      <w:pPr>
        <w:keepNext w:val="0"/>
        <w:keepLines w:val="0"/>
        <w:pageBreakBefore w:val="0"/>
        <w:widowControl w:val="0"/>
        <w:kinsoku/>
        <w:overflowPunct/>
        <w:topLinePunct w:val="0"/>
        <w:autoSpaceDE/>
        <w:autoSpaceDN/>
        <w:bidi w:val="0"/>
        <w:adjustRightInd/>
        <w:ind w:firstLine="480" w:firstLineChars="200"/>
        <w:textAlignment w:val="auto"/>
        <w:rPr>
          <w:rFonts w:eastAsia="宋体" w:cs="仿宋_GB2312"/>
          <w:color w:val="auto"/>
          <w:sz w:val="24"/>
          <w:szCs w:val="24"/>
          <w:highlight w:val="none"/>
        </w:rPr>
      </w:pPr>
      <w:r>
        <w:rPr>
          <w:rFonts w:eastAsia="宋体" w:cs="仿宋_GB2312"/>
          <w:color w:val="auto"/>
          <w:sz w:val="24"/>
          <w:szCs w:val="24"/>
          <w:highlight w:val="none"/>
        </w:rPr>
        <w:t>1</w:t>
      </w:r>
      <w:r>
        <w:rPr>
          <w:rFonts w:hint="eastAsia" w:eastAsia="宋体" w:cs="仿宋_GB2312"/>
          <w:color w:val="auto"/>
          <w:sz w:val="24"/>
          <w:szCs w:val="24"/>
          <w:highlight w:val="none"/>
          <w:lang w:val="en-US" w:eastAsia="zh-CN"/>
        </w:rPr>
        <w:t>1</w:t>
      </w:r>
      <w:r>
        <w:rPr>
          <w:rFonts w:hint="eastAsia" w:eastAsia="宋体" w:cs="仿宋_GB2312"/>
          <w:color w:val="auto"/>
          <w:sz w:val="24"/>
          <w:szCs w:val="24"/>
          <w:highlight w:val="none"/>
        </w:rPr>
        <w:t>.1本招标文件包括下列文件及根据本章第9款、第</w:t>
      </w:r>
      <w:r>
        <w:rPr>
          <w:rFonts w:eastAsia="宋体" w:cs="仿宋_GB2312"/>
          <w:color w:val="auto"/>
          <w:sz w:val="24"/>
          <w:szCs w:val="24"/>
          <w:highlight w:val="none"/>
        </w:rPr>
        <w:t>1</w:t>
      </w:r>
      <w:r>
        <w:rPr>
          <w:rFonts w:hint="eastAsia" w:eastAsia="宋体" w:cs="仿宋_GB2312"/>
          <w:color w:val="auto"/>
          <w:sz w:val="24"/>
          <w:szCs w:val="24"/>
          <w:highlight w:val="none"/>
          <w:lang w:val="en-US" w:eastAsia="zh-CN"/>
        </w:rPr>
        <w:t>2</w:t>
      </w:r>
      <w:r>
        <w:rPr>
          <w:rFonts w:hint="eastAsia" w:eastAsia="宋体" w:cs="仿宋_GB2312"/>
          <w:color w:val="auto"/>
          <w:sz w:val="24"/>
          <w:szCs w:val="24"/>
          <w:highlight w:val="none"/>
        </w:rPr>
        <w:t>款对招标文件所作的澄清或者修改。</w:t>
      </w:r>
    </w:p>
    <w:p w14:paraId="5876B8A3">
      <w:pPr>
        <w:keepNext w:val="0"/>
        <w:keepLines w:val="0"/>
        <w:pageBreakBefore w:val="0"/>
        <w:widowControl w:val="0"/>
        <w:kinsoku/>
        <w:overflowPunct/>
        <w:topLinePunct w:val="0"/>
        <w:autoSpaceDE/>
        <w:autoSpaceDN/>
        <w:bidi w:val="0"/>
        <w:adjustRightInd/>
        <w:ind w:firstLine="480" w:firstLineChars="200"/>
        <w:textAlignment w:val="auto"/>
        <w:rPr>
          <w:rFonts w:eastAsia="宋体" w:cs="仿宋_GB2312"/>
          <w:color w:val="auto"/>
          <w:sz w:val="24"/>
          <w:szCs w:val="24"/>
          <w:highlight w:val="none"/>
        </w:rPr>
      </w:pPr>
      <w:r>
        <w:rPr>
          <w:rFonts w:hint="eastAsia" w:eastAsia="宋体" w:cs="仿宋_GB2312"/>
          <w:color w:val="auto"/>
          <w:sz w:val="24"/>
          <w:szCs w:val="24"/>
          <w:highlight w:val="none"/>
        </w:rPr>
        <w:t xml:space="preserve">第一章 </w:t>
      </w:r>
      <w:r>
        <w:rPr>
          <w:rFonts w:hint="eastAsia" w:eastAsia="宋体"/>
          <w:color w:val="auto"/>
          <w:sz w:val="24"/>
          <w:highlight w:val="none"/>
          <w:lang w:val="en-US" w:eastAsia="zh-CN"/>
        </w:rPr>
        <w:t>招标公告</w:t>
      </w:r>
    </w:p>
    <w:p w14:paraId="626801D6">
      <w:pPr>
        <w:keepNext w:val="0"/>
        <w:keepLines w:val="0"/>
        <w:pageBreakBefore w:val="0"/>
        <w:widowControl w:val="0"/>
        <w:kinsoku/>
        <w:overflowPunct/>
        <w:topLinePunct w:val="0"/>
        <w:autoSpaceDE/>
        <w:autoSpaceDN/>
        <w:bidi w:val="0"/>
        <w:adjustRightInd/>
        <w:ind w:firstLine="480" w:firstLineChars="200"/>
        <w:textAlignment w:val="auto"/>
        <w:rPr>
          <w:rFonts w:eastAsia="宋体" w:cs="仿宋_GB2312"/>
          <w:color w:val="auto"/>
          <w:sz w:val="24"/>
          <w:szCs w:val="24"/>
          <w:highlight w:val="none"/>
        </w:rPr>
      </w:pPr>
      <w:r>
        <w:rPr>
          <w:rFonts w:hint="eastAsia" w:eastAsia="宋体" w:cs="仿宋_GB2312"/>
          <w:color w:val="auto"/>
          <w:sz w:val="24"/>
          <w:szCs w:val="24"/>
          <w:highlight w:val="none"/>
        </w:rPr>
        <w:t>第二章 投标人须知</w:t>
      </w:r>
    </w:p>
    <w:p w14:paraId="5E339F13">
      <w:pPr>
        <w:keepNext w:val="0"/>
        <w:keepLines w:val="0"/>
        <w:pageBreakBefore w:val="0"/>
        <w:widowControl w:val="0"/>
        <w:kinsoku/>
        <w:overflowPunct/>
        <w:topLinePunct w:val="0"/>
        <w:autoSpaceDE/>
        <w:autoSpaceDN/>
        <w:bidi w:val="0"/>
        <w:adjustRightInd/>
        <w:ind w:firstLine="480" w:firstLineChars="200"/>
        <w:textAlignment w:val="auto"/>
        <w:rPr>
          <w:rFonts w:eastAsia="宋体" w:cs="仿宋_GB2312"/>
          <w:color w:val="auto"/>
          <w:sz w:val="24"/>
          <w:szCs w:val="24"/>
          <w:highlight w:val="none"/>
        </w:rPr>
      </w:pPr>
      <w:r>
        <w:rPr>
          <w:rFonts w:hint="eastAsia" w:eastAsia="宋体" w:cs="仿宋_GB2312"/>
          <w:color w:val="auto"/>
          <w:sz w:val="24"/>
          <w:szCs w:val="24"/>
          <w:highlight w:val="none"/>
        </w:rPr>
        <w:t>第三章 采购需求</w:t>
      </w:r>
    </w:p>
    <w:p w14:paraId="750A6D4C">
      <w:pPr>
        <w:keepNext w:val="0"/>
        <w:keepLines w:val="0"/>
        <w:pageBreakBefore w:val="0"/>
        <w:widowControl w:val="0"/>
        <w:kinsoku/>
        <w:overflowPunct/>
        <w:topLinePunct w:val="0"/>
        <w:autoSpaceDE/>
        <w:autoSpaceDN/>
        <w:bidi w:val="0"/>
        <w:adjustRightInd/>
        <w:ind w:firstLine="480" w:firstLineChars="200"/>
        <w:textAlignment w:val="auto"/>
        <w:rPr>
          <w:rFonts w:eastAsia="宋体" w:cs="仿宋_GB2312"/>
          <w:color w:val="auto"/>
          <w:sz w:val="24"/>
          <w:szCs w:val="24"/>
          <w:highlight w:val="none"/>
        </w:rPr>
      </w:pPr>
      <w:r>
        <w:rPr>
          <w:rFonts w:hint="eastAsia" w:eastAsia="宋体" w:cs="仿宋_GB2312"/>
          <w:color w:val="auto"/>
          <w:sz w:val="24"/>
          <w:szCs w:val="24"/>
          <w:highlight w:val="none"/>
        </w:rPr>
        <w:t>第四章 资格审查</w:t>
      </w:r>
    </w:p>
    <w:p w14:paraId="08BF9358">
      <w:pPr>
        <w:keepNext w:val="0"/>
        <w:keepLines w:val="0"/>
        <w:pageBreakBefore w:val="0"/>
        <w:widowControl w:val="0"/>
        <w:kinsoku/>
        <w:overflowPunct/>
        <w:topLinePunct w:val="0"/>
        <w:autoSpaceDE/>
        <w:autoSpaceDN/>
        <w:bidi w:val="0"/>
        <w:adjustRightInd/>
        <w:ind w:firstLine="480" w:firstLineChars="200"/>
        <w:textAlignment w:val="auto"/>
        <w:rPr>
          <w:rFonts w:eastAsia="宋体" w:cs="仿宋_GB2312"/>
          <w:color w:val="auto"/>
          <w:sz w:val="24"/>
          <w:szCs w:val="24"/>
          <w:highlight w:val="none"/>
        </w:rPr>
      </w:pPr>
      <w:r>
        <w:rPr>
          <w:rFonts w:hint="eastAsia" w:eastAsia="宋体" w:cs="仿宋_GB2312"/>
          <w:color w:val="auto"/>
          <w:sz w:val="24"/>
          <w:szCs w:val="24"/>
          <w:highlight w:val="none"/>
        </w:rPr>
        <w:t>第五章 评标</w:t>
      </w:r>
      <w:r>
        <w:rPr>
          <w:rFonts w:hint="eastAsia" w:eastAsia="宋体" w:cs="仿宋_GB2312"/>
          <w:color w:val="auto"/>
          <w:sz w:val="24"/>
          <w:szCs w:val="24"/>
          <w:highlight w:val="none"/>
          <w:lang w:val="en-US" w:eastAsia="zh-CN"/>
        </w:rPr>
        <w:t>方</w:t>
      </w:r>
      <w:r>
        <w:rPr>
          <w:rFonts w:hint="eastAsia" w:eastAsia="宋体" w:cs="仿宋_GB2312"/>
          <w:color w:val="auto"/>
          <w:sz w:val="24"/>
          <w:szCs w:val="24"/>
          <w:highlight w:val="none"/>
        </w:rPr>
        <w:t>法及标准</w:t>
      </w:r>
    </w:p>
    <w:p w14:paraId="3F57501F">
      <w:pPr>
        <w:keepNext w:val="0"/>
        <w:keepLines w:val="0"/>
        <w:pageBreakBefore w:val="0"/>
        <w:widowControl w:val="0"/>
        <w:kinsoku/>
        <w:overflowPunct/>
        <w:topLinePunct w:val="0"/>
        <w:autoSpaceDE/>
        <w:autoSpaceDN/>
        <w:bidi w:val="0"/>
        <w:adjustRightInd/>
        <w:ind w:firstLine="480" w:firstLineChars="200"/>
        <w:textAlignment w:val="auto"/>
        <w:rPr>
          <w:rFonts w:eastAsia="宋体" w:cs="仿宋_GB2312"/>
          <w:color w:val="auto"/>
          <w:sz w:val="24"/>
          <w:szCs w:val="24"/>
          <w:highlight w:val="none"/>
        </w:rPr>
      </w:pPr>
      <w:r>
        <w:rPr>
          <w:rFonts w:hint="eastAsia" w:eastAsia="宋体" w:cs="仿宋_GB2312"/>
          <w:color w:val="auto"/>
          <w:sz w:val="24"/>
          <w:szCs w:val="24"/>
          <w:highlight w:val="none"/>
        </w:rPr>
        <w:t>第六章 合同草案</w:t>
      </w:r>
    </w:p>
    <w:p w14:paraId="5855AFA7">
      <w:pPr>
        <w:keepNext w:val="0"/>
        <w:keepLines w:val="0"/>
        <w:pageBreakBefore w:val="0"/>
        <w:widowControl w:val="0"/>
        <w:kinsoku/>
        <w:overflowPunct/>
        <w:topLinePunct w:val="0"/>
        <w:autoSpaceDE/>
        <w:autoSpaceDN/>
        <w:bidi w:val="0"/>
        <w:adjustRightInd/>
        <w:ind w:firstLine="480" w:firstLineChars="200"/>
        <w:textAlignment w:val="auto"/>
        <w:rPr>
          <w:rFonts w:eastAsia="宋体" w:cs="仿宋_GB2312"/>
          <w:color w:val="auto"/>
          <w:sz w:val="24"/>
          <w:szCs w:val="24"/>
          <w:highlight w:val="none"/>
        </w:rPr>
      </w:pPr>
      <w:r>
        <w:rPr>
          <w:rFonts w:hint="eastAsia" w:eastAsia="宋体" w:cs="仿宋_GB2312"/>
          <w:color w:val="auto"/>
          <w:sz w:val="24"/>
          <w:szCs w:val="24"/>
          <w:highlight w:val="none"/>
        </w:rPr>
        <w:t>第七章 投标文件的格式</w:t>
      </w:r>
    </w:p>
    <w:p w14:paraId="78CADEE1">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color w:val="auto"/>
          <w:kern w:val="2"/>
          <w:sz w:val="24"/>
          <w:szCs w:val="28"/>
          <w:highlight w:val="none"/>
          <w:lang w:val="en-US" w:eastAsia="zh-CN" w:bidi="ar-SA"/>
        </w:rPr>
      </w:pPr>
      <w:bookmarkStart w:id="181" w:name="_Toc14064"/>
      <w:bookmarkStart w:id="182" w:name="_Toc30904"/>
      <w:bookmarkStart w:id="183" w:name="_Toc140132769"/>
      <w:bookmarkStart w:id="184" w:name="_Toc20196"/>
      <w:bookmarkStart w:id="185" w:name="_Toc13699"/>
      <w:bookmarkStart w:id="186" w:name="_Toc163492836"/>
      <w:r>
        <w:rPr>
          <w:rFonts w:hint="eastAsia" w:ascii="宋体" w:hAnsi="宋体" w:eastAsia="宋体" w:cs="宋体"/>
          <w:b/>
          <w:bCs/>
          <w:color w:val="auto"/>
          <w:kern w:val="2"/>
          <w:sz w:val="24"/>
          <w:szCs w:val="28"/>
          <w:highlight w:val="none"/>
          <w:lang w:val="en-US" w:eastAsia="zh-CN" w:bidi="ar-SA"/>
        </w:rPr>
        <w:t>12.招标文件的询问、澄清或者修改</w:t>
      </w:r>
      <w:bookmarkEnd w:id="181"/>
      <w:bookmarkEnd w:id="182"/>
      <w:bookmarkEnd w:id="183"/>
      <w:bookmarkEnd w:id="184"/>
      <w:bookmarkEnd w:id="185"/>
      <w:bookmarkEnd w:id="186"/>
    </w:p>
    <w:p w14:paraId="3A36B8C0">
      <w:pPr>
        <w:keepNext w:val="0"/>
        <w:keepLines w:val="0"/>
        <w:pageBreakBefore w:val="0"/>
        <w:widowControl w:val="0"/>
        <w:kinsoku/>
        <w:overflowPunct/>
        <w:topLinePunct w:val="0"/>
        <w:autoSpaceDE/>
        <w:autoSpaceDN/>
        <w:bidi w:val="0"/>
        <w:adjustRightInd/>
        <w:ind w:firstLine="480" w:firstLineChars="200"/>
        <w:textAlignment w:val="auto"/>
        <w:rPr>
          <w:rFonts w:hint="eastAsia" w:eastAsia="宋体" w:cs="仿宋_GB2312"/>
          <w:color w:val="auto"/>
          <w:sz w:val="24"/>
          <w:szCs w:val="24"/>
          <w:highlight w:val="none"/>
        </w:rPr>
      </w:pPr>
      <w:r>
        <w:rPr>
          <w:rFonts w:eastAsia="宋体" w:cs="仿宋_GB2312"/>
          <w:color w:val="auto"/>
          <w:sz w:val="24"/>
          <w:szCs w:val="24"/>
          <w:highlight w:val="none"/>
        </w:rPr>
        <w:t>1</w:t>
      </w:r>
      <w:r>
        <w:rPr>
          <w:rFonts w:hint="eastAsia" w:eastAsia="宋体" w:cs="仿宋_GB2312"/>
          <w:color w:val="auto"/>
          <w:sz w:val="24"/>
          <w:szCs w:val="24"/>
          <w:highlight w:val="none"/>
          <w:lang w:val="en-US" w:eastAsia="zh-CN"/>
        </w:rPr>
        <w:t>2</w:t>
      </w:r>
      <w:r>
        <w:rPr>
          <w:rFonts w:hint="eastAsia" w:eastAsia="宋体" w:cs="仿宋_GB2312"/>
          <w:color w:val="auto"/>
          <w:sz w:val="24"/>
          <w:szCs w:val="24"/>
          <w:highlight w:val="none"/>
        </w:rPr>
        <w:t>.</w:t>
      </w:r>
      <w:r>
        <w:rPr>
          <w:rFonts w:eastAsia="宋体" w:cs="仿宋_GB2312"/>
          <w:color w:val="auto"/>
          <w:sz w:val="24"/>
          <w:szCs w:val="24"/>
          <w:highlight w:val="none"/>
        </w:rPr>
        <w:t>1</w:t>
      </w:r>
      <w:r>
        <w:rPr>
          <w:rFonts w:hint="eastAsia" w:eastAsia="宋体" w:cs="仿宋_GB2312"/>
          <w:color w:val="auto"/>
          <w:sz w:val="24"/>
          <w:szCs w:val="24"/>
          <w:highlight w:val="none"/>
        </w:rPr>
        <w:t xml:space="preserve"> 投标人对采购项目有疑问的，可以按照“投标人须知前附表”中的规定提出询问。提出后，请投标人及时通过交易平台“答疑文件下载”栏目查看答疑文件或澄清文件。必要时，采购代理机构将组织相关专家召开答疑会，如召开，答疑会安排另行通知。采购人或采购代理机构将在收到询问后依法予以答复。对招标文件询问的答复，在必要时将以澄清形式推送给每个获取招标文件的潜在投标人(答复中不包括问题的来源)。</w:t>
      </w:r>
    </w:p>
    <w:p w14:paraId="56F4138C">
      <w:pPr>
        <w:keepNext w:val="0"/>
        <w:keepLines w:val="0"/>
        <w:pageBreakBefore w:val="0"/>
        <w:widowControl w:val="0"/>
        <w:kinsoku/>
        <w:overflowPunct/>
        <w:topLinePunct w:val="0"/>
        <w:autoSpaceDE/>
        <w:autoSpaceDN/>
        <w:bidi w:val="0"/>
        <w:adjustRightInd/>
        <w:ind w:firstLine="480" w:firstLineChars="200"/>
        <w:textAlignment w:val="auto"/>
        <w:rPr>
          <w:rFonts w:eastAsia="宋体" w:cs="仿宋_GB2312"/>
          <w:color w:val="auto"/>
          <w:sz w:val="24"/>
          <w:szCs w:val="24"/>
          <w:highlight w:val="none"/>
        </w:rPr>
      </w:pPr>
      <w:r>
        <w:rPr>
          <w:rFonts w:hint="eastAsia" w:eastAsia="宋体" w:cs="仿宋_GB2312"/>
          <w:color w:val="auto"/>
          <w:sz w:val="24"/>
          <w:szCs w:val="24"/>
          <w:highlight w:val="none"/>
        </w:rPr>
        <w:t>投标人在规定的时间内未对招标文件提出疑问或要求澄清的，采购代理机构将视其为同意，对在“投标人须知前附表”中“</w:t>
      </w:r>
      <w:r>
        <w:rPr>
          <w:rFonts w:hint="eastAsia" w:eastAsia="宋体" w:cs="仿宋_GB2312"/>
          <w:color w:val="auto"/>
          <w:sz w:val="24"/>
          <w:szCs w:val="24"/>
          <w:highlight w:val="none"/>
          <w:lang w:val="en-US" w:eastAsia="zh-CN"/>
        </w:rPr>
        <w:t>提出询问的</w:t>
      </w:r>
      <w:r>
        <w:rPr>
          <w:rFonts w:hint="eastAsia" w:eastAsia="宋体" w:cs="仿宋_GB2312"/>
          <w:color w:val="auto"/>
          <w:sz w:val="24"/>
          <w:szCs w:val="24"/>
          <w:highlight w:val="none"/>
        </w:rPr>
        <w:t>时间</w:t>
      </w:r>
      <w:r>
        <w:rPr>
          <w:rFonts w:hint="eastAsia" w:eastAsia="宋体" w:cs="仿宋_GB2312"/>
          <w:color w:val="auto"/>
          <w:sz w:val="24"/>
          <w:szCs w:val="24"/>
          <w:highlight w:val="none"/>
          <w:lang w:val="en-US" w:eastAsia="zh-CN"/>
        </w:rPr>
        <w:t>要求</w:t>
      </w:r>
      <w:r>
        <w:rPr>
          <w:rFonts w:hint="eastAsia" w:eastAsia="宋体" w:cs="仿宋_GB2312"/>
          <w:color w:val="auto"/>
          <w:sz w:val="24"/>
          <w:szCs w:val="24"/>
          <w:highlight w:val="none"/>
        </w:rPr>
        <w:t>”</w:t>
      </w:r>
      <w:r>
        <w:rPr>
          <w:rFonts w:hint="eastAsia" w:eastAsia="宋体" w:cs="仿宋_GB2312"/>
          <w:color w:val="auto"/>
          <w:sz w:val="24"/>
          <w:szCs w:val="24"/>
          <w:highlight w:val="none"/>
          <w:lang w:val="en-US" w:eastAsia="zh-CN"/>
        </w:rPr>
        <w:t>之</w:t>
      </w:r>
      <w:r>
        <w:rPr>
          <w:rFonts w:hint="eastAsia" w:eastAsia="宋体" w:cs="仿宋_GB2312"/>
          <w:color w:val="auto"/>
          <w:sz w:val="24"/>
          <w:szCs w:val="24"/>
          <w:highlight w:val="none"/>
        </w:rPr>
        <w:t>后就招标文件内容提出的疑问及澄清要求将不予受理。</w:t>
      </w:r>
    </w:p>
    <w:p w14:paraId="4A5FAB87">
      <w:pPr>
        <w:keepNext w:val="0"/>
        <w:keepLines w:val="0"/>
        <w:pageBreakBefore w:val="0"/>
        <w:widowControl w:val="0"/>
        <w:kinsoku/>
        <w:overflowPunct/>
        <w:topLinePunct w:val="0"/>
        <w:autoSpaceDE/>
        <w:autoSpaceDN/>
        <w:bidi w:val="0"/>
        <w:adjustRightInd/>
        <w:ind w:firstLine="480" w:firstLineChars="200"/>
        <w:textAlignment w:val="auto"/>
        <w:rPr>
          <w:rFonts w:eastAsia="宋体" w:cs="仿宋_GB2312"/>
          <w:color w:val="auto"/>
          <w:sz w:val="24"/>
          <w:szCs w:val="24"/>
          <w:highlight w:val="none"/>
        </w:rPr>
      </w:pPr>
      <w:r>
        <w:rPr>
          <w:rFonts w:eastAsia="宋体" w:cs="仿宋_GB2312"/>
          <w:color w:val="auto"/>
          <w:sz w:val="24"/>
          <w:szCs w:val="24"/>
          <w:highlight w:val="none"/>
        </w:rPr>
        <w:t>1</w:t>
      </w:r>
      <w:r>
        <w:rPr>
          <w:rFonts w:hint="eastAsia" w:eastAsia="宋体" w:cs="仿宋_GB2312"/>
          <w:color w:val="auto"/>
          <w:sz w:val="24"/>
          <w:szCs w:val="24"/>
          <w:highlight w:val="none"/>
          <w:lang w:val="en-US" w:eastAsia="zh-CN"/>
        </w:rPr>
        <w:t>2</w:t>
      </w:r>
      <w:r>
        <w:rPr>
          <w:rFonts w:hint="eastAsia" w:eastAsia="宋体" w:cs="仿宋_GB2312"/>
          <w:color w:val="auto"/>
          <w:sz w:val="24"/>
          <w:szCs w:val="24"/>
          <w:highlight w:val="none"/>
        </w:rPr>
        <w:t>.2 采购人或者采购代理机构可以对已发出的招标文件进行必要的澄清或者修改。</w:t>
      </w:r>
      <w:r>
        <w:rPr>
          <w:rFonts w:hint="eastAsia" w:eastAsia="宋体"/>
          <w:color w:val="auto"/>
          <w:sz w:val="24"/>
          <w:highlight w:val="none"/>
        </w:rPr>
        <w:t>澄清或修改的内容为招标文件的组成部分，并对所有获取招标文件的潜在投标人具有约束力。</w:t>
      </w:r>
    </w:p>
    <w:p w14:paraId="1EB83C80">
      <w:pPr>
        <w:keepNext w:val="0"/>
        <w:keepLines w:val="0"/>
        <w:pageBreakBefore w:val="0"/>
        <w:widowControl w:val="0"/>
        <w:kinsoku/>
        <w:overflowPunct/>
        <w:topLinePunct w:val="0"/>
        <w:autoSpaceDE/>
        <w:autoSpaceDN/>
        <w:bidi w:val="0"/>
        <w:adjustRightInd/>
        <w:ind w:firstLine="480" w:firstLineChars="200"/>
        <w:textAlignment w:val="auto"/>
        <w:rPr>
          <w:rFonts w:hint="eastAsia" w:eastAsia="宋体" w:cs="仿宋_GB2312"/>
          <w:color w:val="auto"/>
          <w:sz w:val="24"/>
          <w:szCs w:val="24"/>
          <w:highlight w:val="none"/>
        </w:rPr>
      </w:pPr>
      <w:r>
        <w:rPr>
          <w:rFonts w:eastAsia="宋体" w:cs="仿宋_GB2312"/>
          <w:color w:val="auto"/>
          <w:sz w:val="24"/>
          <w:szCs w:val="24"/>
          <w:highlight w:val="none"/>
        </w:rPr>
        <w:t>1</w:t>
      </w:r>
      <w:r>
        <w:rPr>
          <w:rFonts w:hint="eastAsia" w:eastAsia="宋体" w:cs="仿宋_GB2312"/>
          <w:color w:val="auto"/>
          <w:sz w:val="24"/>
          <w:szCs w:val="24"/>
          <w:highlight w:val="none"/>
          <w:lang w:val="en-US" w:eastAsia="zh-CN"/>
        </w:rPr>
        <w:t>2</w:t>
      </w:r>
      <w:r>
        <w:rPr>
          <w:rFonts w:hint="eastAsia" w:eastAsia="宋体" w:cs="仿宋_GB2312"/>
          <w:color w:val="auto"/>
          <w:sz w:val="24"/>
          <w:szCs w:val="24"/>
          <w:highlight w:val="none"/>
        </w:rPr>
        <w:t>.3 招标文件的澄清或者修改以当面交接、邮寄、传真或电子邮件、网站披露等其中至少一种方式，发给所有领取招标文件的</w:t>
      </w:r>
      <w:r>
        <w:rPr>
          <w:rFonts w:hint="eastAsia" w:eastAsia="宋体" w:cs="仿宋_GB2312"/>
          <w:color w:val="auto"/>
          <w:sz w:val="24"/>
          <w:szCs w:val="24"/>
          <w:highlight w:val="none"/>
          <w:lang w:val="en-US" w:eastAsia="zh-CN"/>
        </w:rPr>
        <w:t>潜在</w:t>
      </w:r>
      <w:r>
        <w:rPr>
          <w:rFonts w:hint="eastAsia" w:eastAsia="宋体" w:cs="仿宋_GB2312"/>
          <w:color w:val="auto"/>
          <w:sz w:val="24"/>
          <w:szCs w:val="24"/>
          <w:highlight w:val="none"/>
        </w:rPr>
        <w:t>投标人，但不包括问题的来源。澄清或者修改的内容可能影响投标文件编制的，采购人或者采购代理机构应当在投标截止时间至少15日前，以书面形式通知所有获取招标文件的潜在投标人；不足15日的，采购人或者采购代理机构应当顺延提交投标文件的截止时间。</w:t>
      </w:r>
    </w:p>
    <w:p w14:paraId="6F274E6E">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rPr>
      </w:pPr>
      <w:r>
        <w:rPr>
          <w:rFonts w:eastAsia="宋体"/>
          <w:color w:val="auto"/>
          <w:sz w:val="24"/>
          <w:highlight w:val="none"/>
        </w:rPr>
        <w:t>1</w:t>
      </w:r>
      <w:r>
        <w:rPr>
          <w:rFonts w:hint="eastAsia" w:eastAsia="宋体"/>
          <w:color w:val="auto"/>
          <w:sz w:val="24"/>
          <w:highlight w:val="none"/>
          <w:lang w:val="en-US" w:eastAsia="zh-CN"/>
        </w:rPr>
        <w:t>2</w:t>
      </w:r>
      <w:r>
        <w:rPr>
          <w:rFonts w:eastAsia="宋体"/>
          <w:color w:val="auto"/>
          <w:sz w:val="24"/>
          <w:highlight w:val="none"/>
        </w:rPr>
        <w:t>.</w:t>
      </w:r>
      <w:r>
        <w:rPr>
          <w:rFonts w:hint="eastAsia" w:eastAsia="宋体"/>
          <w:color w:val="auto"/>
          <w:sz w:val="24"/>
          <w:highlight w:val="none"/>
        </w:rPr>
        <w:t xml:space="preserve">4 </w:t>
      </w:r>
      <w:r>
        <w:rPr>
          <w:rFonts w:hint="eastAsia" w:eastAsia="宋体" w:cs="仿宋_GB2312"/>
          <w:color w:val="auto"/>
          <w:sz w:val="24"/>
          <w:szCs w:val="24"/>
          <w:highlight w:val="none"/>
          <w:lang w:val="en-US" w:eastAsia="zh-CN"/>
        </w:rPr>
        <w:t>“</w:t>
      </w:r>
      <w:r>
        <w:rPr>
          <w:rFonts w:hint="eastAsia" w:eastAsia="宋体" w:cs="仿宋_GB2312"/>
          <w:color w:val="auto"/>
          <w:sz w:val="24"/>
          <w:szCs w:val="24"/>
          <w:highlight w:val="none"/>
        </w:rPr>
        <w:t>投标人须知”所称“</w:t>
      </w:r>
      <w:r>
        <w:rPr>
          <w:rFonts w:hint="eastAsia" w:eastAsia="宋体"/>
          <w:color w:val="auto"/>
          <w:sz w:val="24"/>
          <w:highlight w:val="none"/>
        </w:rPr>
        <w:t>书面形式</w:t>
      </w:r>
      <w:r>
        <w:rPr>
          <w:rFonts w:hint="eastAsia" w:eastAsia="宋体" w:cs="仿宋_GB2312"/>
          <w:color w:val="auto"/>
          <w:sz w:val="24"/>
          <w:szCs w:val="24"/>
          <w:highlight w:val="none"/>
        </w:rPr>
        <w:t>”</w:t>
      </w:r>
      <w:r>
        <w:rPr>
          <w:rFonts w:hint="eastAsia" w:eastAsia="宋体"/>
          <w:color w:val="auto"/>
          <w:sz w:val="24"/>
          <w:highlight w:val="none"/>
        </w:rPr>
        <w:t>包括系统消息、政府采购</w:t>
      </w:r>
      <w:r>
        <w:rPr>
          <w:rFonts w:hint="eastAsia" w:eastAsia="宋体"/>
          <w:color w:val="auto"/>
          <w:sz w:val="24"/>
          <w:highlight w:val="none"/>
          <w:lang w:val="en-US" w:eastAsia="zh-CN"/>
        </w:rPr>
        <w:t>云平台</w:t>
      </w:r>
      <w:r>
        <w:rPr>
          <w:rFonts w:hint="eastAsia" w:eastAsia="宋体"/>
          <w:color w:val="auto"/>
          <w:sz w:val="24"/>
          <w:highlight w:val="none"/>
        </w:rPr>
        <w:t>发布的公告。</w:t>
      </w:r>
    </w:p>
    <w:p w14:paraId="1E6D774C">
      <w:pPr>
        <w:pStyle w:val="57"/>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color w:val="auto"/>
          <w:kern w:val="2"/>
          <w:sz w:val="24"/>
          <w:szCs w:val="22"/>
          <w:highlight w:val="none"/>
        </w:rPr>
      </w:pPr>
      <w:r>
        <w:rPr>
          <w:rFonts w:hint="eastAsia" w:ascii="宋体" w:hAnsi="宋体" w:eastAsia="宋体" w:cs="宋体"/>
          <w:color w:val="auto"/>
          <w:kern w:val="2"/>
          <w:sz w:val="24"/>
          <w:szCs w:val="22"/>
          <w:highlight w:val="none"/>
        </w:rPr>
        <w:t>1</w:t>
      </w:r>
      <w:r>
        <w:rPr>
          <w:rFonts w:hint="eastAsia" w:ascii="宋体" w:hAnsi="宋体" w:eastAsia="宋体" w:cs="宋体"/>
          <w:color w:val="auto"/>
          <w:kern w:val="2"/>
          <w:sz w:val="24"/>
          <w:szCs w:val="22"/>
          <w:highlight w:val="none"/>
          <w:lang w:val="en-US" w:eastAsia="zh-CN"/>
        </w:rPr>
        <w:t>2</w:t>
      </w:r>
      <w:r>
        <w:rPr>
          <w:rFonts w:hint="eastAsia" w:ascii="宋体" w:hAnsi="宋体" w:eastAsia="宋体" w:cs="宋体"/>
          <w:color w:val="auto"/>
          <w:kern w:val="2"/>
          <w:sz w:val="24"/>
          <w:szCs w:val="22"/>
          <w:highlight w:val="none"/>
        </w:rPr>
        <w:t>.</w:t>
      </w:r>
      <w:r>
        <w:rPr>
          <w:rFonts w:hint="eastAsia" w:ascii="宋体" w:hAnsi="宋体" w:eastAsia="宋体" w:cs="宋体"/>
          <w:color w:val="auto"/>
          <w:kern w:val="2"/>
          <w:sz w:val="24"/>
          <w:szCs w:val="22"/>
          <w:highlight w:val="none"/>
          <w:lang w:val="en-US" w:eastAsia="zh-CN"/>
        </w:rPr>
        <w:t>5</w:t>
      </w:r>
      <w:r>
        <w:rPr>
          <w:rFonts w:hint="eastAsia" w:ascii="宋体" w:hAnsi="宋体" w:eastAsia="宋体" w:cs="宋体"/>
          <w:color w:val="auto"/>
          <w:kern w:val="2"/>
          <w:sz w:val="24"/>
          <w:szCs w:val="22"/>
          <w:highlight w:val="none"/>
        </w:rPr>
        <w:t>采购代理机构一旦对招标文件作出了澄清、修改，即刻发生效力，采购代理机构有关的澄清、修改文件，将作为招标文件的组成部分，对所有现实的或潜在的投标人均具有约束力，而无论是否已经实际收到上述文件。同时，采购代理机构和投标人的权利及义务将受到新的截止期的约束。</w:t>
      </w:r>
    </w:p>
    <w:p w14:paraId="39FCE417">
      <w:pPr>
        <w:pStyle w:val="57"/>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color w:val="auto"/>
          <w:kern w:val="2"/>
          <w:sz w:val="24"/>
          <w:szCs w:val="22"/>
          <w:highlight w:val="none"/>
        </w:rPr>
      </w:pPr>
      <w:r>
        <w:rPr>
          <w:rFonts w:hint="eastAsia" w:ascii="宋体" w:hAnsi="宋体" w:eastAsia="宋体" w:cs="宋体"/>
          <w:color w:val="auto"/>
          <w:kern w:val="2"/>
          <w:sz w:val="24"/>
          <w:szCs w:val="22"/>
          <w:highlight w:val="none"/>
        </w:rPr>
        <w:t>1</w:t>
      </w:r>
      <w:r>
        <w:rPr>
          <w:rFonts w:hint="eastAsia" w:ascii="宋体" w:hAnsi="宋体" w:eastAsia="宋体" w:cs="宋体"/>
          <w:color w:val="auto"/>
          <w:kern w:val="2"/>
          <w:sz w:val="24"/>
          <w:szCs w:val="22"/>
          <w:highlight w:val="none"/>
          <w:lang w:val="en-US" w:eastAsia="zh-CN"/>
        </w:rPr>
        <w:t>2</w:t>
      </w:r>
      <w:r>
        <w:rPr>
          <w:rFonts w:hint="eastAsia" w:ascii="宋体" w:hAnsi="宋体" w:eastAsia="宋体" w:cs="宋体"/>
          <w:color w:val="auto"/>
          <w:kern w:val="2"/>
          <w:sz w:val="24"/>
          <w:szCs w:val="22"/>
          <w:highlight w:val="none"/>
        </w:rPr>
        <w:t>.</w:t>
      </w:r>
      <w:r>
        <w:rPr>
          <w:rFonts w:hint="eastAsia" w:ascii="宋体" w:hAnsi="宋体" w:eastAsia="宋体" w:cs="宋体"/>
          <w:color w:val="auto"/>
          <w:kern w:val="2"/>
          <w:sz w:val="24"/>
          <w:szCs w:val="22"/>
          <w:highlight w:val="none"/>
          <w:lang w:val="en-US" w:eastAsia="zh-CN"/>
        </w:rPr>
        <w:t>6</w:t>
      </w:r>
      <w:r>
        <w:rPr>
          <w:rFonts w:hint="eastAsia" w:ascii="宋体" w:hAnsi="宋体" w:eastAsia="宋体" w:cs="宋体"/>
          <w:color w:val="auto"/>
          <w:kern w:val="2"/>
          <w:sz w:val="24"/>
          <w:szCs w:val="22"/>
          <w:highlight w:val="none"/>
        </w:rPr>
        <w:t>采购代理机构对招标文件作出的澄清、修改在平台内进行披露，请投标人及时关注并获取相关资料。因登记有误、线路故障或其它任何意外情形，导致投标人未及时获取的，采购代理机构不因此承担任何责任，且有关的招标活动继续有效地进行。当招标文件的澄清、修改及进行其他答复等就同一内容的表述不一致时，以最后发布的内容为准。</w:t>
      </w:r>
    </w:p>
    <w:p w14:paraId="578320B0">
      <w:pPr>
        <w:pStyle w:val="4"/>
        <w:keepNext w:val="0"/>
        <w:keepLines w:val="0"/>
        <w:pageBreakBefore w:val="0"/>
        <w:widowControl w:val="0"/>
        <w:numPr>
          <w:ilvl w:val="0"/>
          <w:numId w:val="0"/>
        </w:numPr>
        <w:kinsoku/>
        <w:wordWrap/>
        <w:overflowPunct/>
        <w:topLinePunct w:val="0"/>
        <w:autoSpaceDE/>
        <w:autoSpaceDN/>
        <w:bidi w:val="0"/>
        <w:adjustRightInd/>
        <w:snapToGrid/>
        <w:spacing w:before="100" w:after="100" w:line="240" w:lineRule="auto"/>
        <w:ind w:left="420" w:leftChars="0" w:hanging="420" w:firstLineChars="0"/>
        <w:textAlignment w:val="auto"/>
        <w:rPr>
          <w:rFonts w:hint="eastAsia" w:ascii="宋体" w:hAnsi="宋体" w:eastAsia="宋体" w:cstheme="minorBidi"/>
          <w:b/>
          <w:bCs/>
          <w:color w:val="auto"/>
          <w:kern w:val="2"/>
          <w:sz w:val="24"/>
          <w:szCs w:val="32"/>
          <w:highlight w:val="none"/>
          <w:lang w:val="en-US" w:eastAsia="zh-CN" w:bidi="ar-SA"/>
        </w:rPr>
      </w:pPr>
      <w:bookmarkStart w:id="187" w:name="_Toc9097"/>
      <w:bookmarkStart w:id="188" w:name="_Toc163492837"/>
      <w:bookmarkStart w:id="189" w:name="_Toc3060"/>
      <w:bookmarkStart w:id="190" w:name="_Toc195"/>
      <w:bookmarkStart w:id="191" w:name="_Toc13035"/>
      <w:bookmarkStart w:id="192" w:name="_Toc155185872"/>
      <w:r>
        <w:rPr>
          <w:rFonts w:hint="eastAsia" w:ascii="宋体" w:hAnsi="宋体" w:eastAsia="宋体" w:cstheme="minorBidi"/>
          <w:b/>
          <w:bCs/>
          <w:color w:val="auto"/>
          <w:kern w:val="2"/>
          <w:sz w:val="24"/>
          <w:szCs w:val="32"/>
          <w:highlight w:val="none"/>
          <w:lang w:val="en-US" w:eastAsia="zh-CN" w:bidi="ar-SA"/>
        </w:rPr>
        <w:t>（三）投标文件</w:t>
      </w:r>
      <w:bookmarkEnd w:id="187"/>
      <w:bookmarkEnd w:id="188"/>
      <w:bookmarkEnd w:id="189"/>
      <w:bookmarkEnd w:id="190"/>
      <w:bookmarkEnd w:id="191"/>
      <w:bookmarkEnd w:id="192"/>
    </w:p>
    <w:p w14:paraId="67D7EC68">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default" w:ascii="宋体" w:hAnsi="宋体" w:eastAsia="宋体" w:cs="宋体"/>
          <w:b/>
          <w:bCs/>
          <w:color w:val="auto"/>
          <w:kern w:val="2"/>
          <w:sz w:val="24"/>
          <w:szCs w:val="28"/>
          <w:highlight w:val="none"/>
          <w:lang w:val="en-US" w:eastAsia="zh-CN" w:bidi="ar-SA"/>
        </w:rPr>
      </w:pPr>
      <w:bookmarkStart w:id="193" w:name="_Toc24818"/>
      <w:bookmarkStart w:id="194" w:name="_Toc1776"/>
      <w:bookmarkStart w:id="195" w:name="_Toc163492838"/>
      <w:bookmarkStart w:id="196" w:name="_Toc13879"/>
      <w:bookmarkStart w:id="197" w:name="_Toc30794"/>
      <w:r>
        <w:rPr>
          <w:rFonts w:hint="eastAsia" w:ascii="宋体" w:hAnsi="宋体" w:eastAsia="宋体" w:cs="宋体"/>
          <w:b/>
          <w:bCs/>
          <w:color w:val="auto"/>
          <w:kern w:val="2"/>
          <w:sz w:val="24"/>
          <w:szCs w:val="28"/>
          <w:highlight w:val="none"/>
          <w:lang w:val="en-US" w:eastAsia="zh-CN" w:bidi="ar-SA"/>
        </w:rPr>
        <w:t>13.投标文件的组成</w:t>
      </w:r>
      <w:bookmarkEnd w:id="193"/>
      <w:bookmarkEnd w:id="194"/>
      <w:bookmarkEnd w:id="195"/>
      <w:bookmarkEnd w:id="196"/>
      <w:bookmarkEnd w:id="197"/>
    </w:p>
    <w:p w14:paraId="174A0A3D">
      <w:pPr>
        <w:pStyle w:val="57"/>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color w:val="auto"/>
          <w:kern w:val="2"/>
          <w:sz w:val="24"/>
          <w:szCs w:val="22"/>
          <w:highlight w:val="none"/>
        </w:rPr>
      </w:pPr>
      <w:bookmarkStart w:id="198" w:name="_Toc140132772"/>
      <w:bookmarkStart w:id="199" w:name="_Toc163492839"/>
      <w:r>
        <w:rPr>
          <w:rFonts w:hint="eastAsia" w:ascii="宋体" w:hAnsi="宋体" w:eastAsia="宋体" w:cs="宋体"/>
          <w:color w:val="auto"/>
          <w:kern w:val="2"/>
          <w:sz w:val="24"/>
          <w:szCs w:val="22"/>
          <w:highlight w:val="none"/>
          <w:lang w:val="en-US" w:eastAsia="zh-CN"/>
        </w:rPr>
        <w:t>13</w:t>
      </w:r>
      <w:r>
        <w:rPr>
          <w:rFonts w:hint="eastAsia" w:ascii="宋体" w:hAnsi="宋体" w:eastAsia="宋体" w:cs="宋体"/>
          <w:color w:val="auto"/>
          <w:kern w:val="2"/>
          <w:sz w:val="24"/>
          <w:szCs w:val="22"/>
          <w:highlight w:val="none"/>
        </w:rPr>
        <w:t>.1投标人应完整地按招标文件提供的投标文件格式及要求编写投标文件，具体内容详见</w:t>
      </w:r>
      <w:r>
        <w:rPr>
          <w:rFonts w:hint="eastAsia" w:ascii="宋体" w:hAnsi="宋体" w:eastAsia="宋体" w:cs="宋体"/>
          <w:color w:val="auto"/>
          <w:kern w:val="2"/>
          <w:sz w:val="24"/>
          <w:szCs w:val="22"/>
          <w:highlight w:val="none"/>
          <w:lang w:eastAsia="zh-CN"/>
        </w:rPr>
        <w:t>“</w:t>
      </w:r>
      <w:r>
        <w:rPr>
          <w:rFonts w:hint="eastAsia" w:ascii="宋体" w:hAnsi="宋体" w:eastAsia="宋体" w:cs="宋体"/>
          <w:color w:val="auto"/>
          <w:kern w:val="2"/>
          <w:sz w:val="24"/>
          <w:szCs w:val="22"/>
          <w:highlight w:val="none"/>
          <w:lang w:val="en-US" w:eastAsia="zh-CN"/>
        </w:rPr>
        <w:t xml:space="preserve">第七章 </w:t>
      </w:r>
      <w:r>
        <w:rPr>
          <w:rFonts w:hint="eastAsia" w:ascii="宋体" w:hAnsi="宋体" w:eastAsia="宋体" w:cs="宋体"/>
          <w:color w:val="auto"/>
          <w:kern w:val="2"/>
          <w:sz w:val="24"/>
          <w:szCs w:val="22"/>
          <w:highlight w:val="none"/>
        </w:rPr>
        <w:t>投标文件格式</w:t>
      </w:r>
      <w:r>
        <w:rPr>
          <w:rFonts w:hint="eastAsia" w:ascii="宋体" w:hAnsi="宋体" w:eastAsia="宋体" w:cs="宋体"/>
          <w:color w:val="auto"/>
          <w:kern w:val="2"/>
          <w:sz w:val="24"/>
          <w:szCs w:val="22"/>
          <w:highlight w:val="none"/>
          <w:lang w:eastAsia="zh-CN"/>
        </w:rPr>
        <w:t>”</w:t>
      </w:r>
      <w:r>
        <w:rPr>
          <w:rFonts w:hint="eastAsia" w:ascii="宋体" w:hAnsi="宋体" w:eastAsia="宋体" w:cs="宋体"/>
          <w:color w:val="auto"/>
          <w:kern w:val="2"/>
          <w:sz w:val="24"/>
          <w:szCs w:val="22"/>
          <w:highlight w:val="none"/>
        </w:rPr>
        <w:t>的相关内容。</w:t>
      </w:r>
    </w:p>
    <w:p w14:paraId="3BB3A0B7">
      <w:pPr>
        <w:pStyle w:val="57"/>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color w:val="auto"/>
          <w:kern w:val="2"/>
          <w:sz w:val="24"/>
          <w:szCs w:val="22"/>
          <w:highlight w:val="none"/>
          <w:lang w:val="en-US" w:eastAsia="zh-CN"/>
        </w:rPr>
      </w:pPr>
      <w:r>
        <w:rPr>
          <w:rFonts w:hint="eastAsia" w:ascii="宋体" w:hAnsi="宋体" w:eastAsia="宋体" w:cs="宋体"/>
          <w:color w:val="auto"/>
          <w:kern w:val="2"/>
          <w:sz w:val="24"/>
          <w:szCs w:val="22"/>
          <w:highlight w:val="none"/>
          <w:lang w:val="en-US" w:eastAsia="zh-CN"/>
        </w:rPr>
        <w:t>13.2</w:t>
      </w:r>
      <w:r>
        <w:rPr>
          <w:rFonts w:hint="eastAsia" w:ascii="宋体" w:hAnsi="宋体" w:eastAsia="宋体" w:cs="宋体"/>
          <w:color w:val="auto"/>
          <w:kern w:val="2"/>
          <w:sz w:val="24"/>
          <w:szCs w:val="22"/>
          <w:highlight w:val="none"/>
        </w:rPr>
        <w:t>投标人应提交招标文件要求的证明文件，证明其投标内容符合招标文件规定</w:t>
      </w:r>
      <w:r>
        <w:rPr>
          <w:rFonts w:hint="eastAsia" w:ascii="宋体" w:hAnsi="宋体" w:eastAsia="宋体" w:cs="宋体"/>
          <w:color w:val="auto"/>
          <w:kern w:val="2"/>
          <w:sz w:val="24"/>
          <w:szCs w:val="22"/>
          <w:highlight w:val="none"/>
          <w:lang w:eastAsia="zh-CN"/>
        </w:rPr>
        <w:t>，</w:t>
      </w:r>
      <w:r>
        <w:rPr>
          <w:rFonts w:hint="eastAsia" w:ascii="宋体" w:hAnsi="宋体" w:eastAsia="宋体" w:cs="宋体"/>
          <w:color w:val="auto"/>
          <w:kern w:val="2"/>
          <w:sz w:val="24"/>
          <w:szCs w:val="22"/>
          <w:highlight w:val="none"/>
        </w:rPr>
        <w:t>该证明文件是投标文件的一部分</w:t>
      </w:r>
      <w:r>
        <w:rPr>
          <w:rFonts w:hint="eastAsia" w:ascii="宋体" w:hAnsi="宋体" w:eastAsia="宋体" w:cs="宋体"/>
          <w:color w:val="auto"/>
          <w:kern w:val="2"/>
          <w:sz w:val="24"/>
          <w:szCs w:val="22"/>
          <w:highlight w:val="none"/>
          <w:lang w:eastAsia="zh-CN"/>
        </w:rPr>
        <w:t>。</w:t>
      </w:r>
      <w:r>
        <w:rPr>
          <w:rFonts w:hint="eastAsia" w:ascii="宋体" w:hAnsi="宋体" w:eastAsia="宋体" w:cs="宋体"/>
          <w:color w:val="auto"/>
          <w:kern w:val="2"/>
          <w:sz w:val="24"/>
          <w:szCs w:val="22"/>
          <w:highlight w:val="none"/>
        </w:rPr>
        <w:t>证明文件</w:t>
      </w:r>
      <w:r>
        <w:rPr>
          <w:rFonts w:hint="eastAsia" w:ascii="宋体" w:hAnsi="宋体" w:eastAsia="宋体" w:cs="宋体"/>
          <w:color w:val="auto"/>
          <w:kern w:val="2"/>
          <w:sz w:val="24"/>
          <w:szCs w:val="22"/>
          <w:highlight w:val="none"/>
          <w:lang w:val="en-US" w:eastAsia="zh-CN"/>
        </w:rPr>
        <w:t>形式</w:t>
      </w:r>
      <w:r>
        <w:rPr>
          <w:rFonts w:hint="eastAsia" w:ascii="宋体" w:hAnsi="宋体" w:eastAsia="宋体" w:cs="宋体"/>
          <w:color w:val="auto"/>
          <w:kern w:val="2"/>
          <w:sz w:val="24"/>
          <w:szCs w:val="22"/>
          <w:highlight w:val="none"/>
        </w:rPr>
        <w:t>可以是文字资料、图纸和数据</w:t>
      </w:r>
      <w:bookmarkStart w:id="200" w:name="_Hlk11703583"/>
      <w:r>
        <w:rPr>
          <w:rFonts w:hint="eastAsia" w:ascii="宋体" w:hAnsi="宋体" w:eastAsia="宋体" w:cs="宋体"/>
          <w:color w:val="auto"/>
          <w:kern w:val="2"/>
          <w:sz w:val="24"/>
          <w:szCs w:val="22"/>
          <w:highlight w:val="none"/>
          <w:lang w:val="en-US" w:eastAsia="zh-CN"/>
        </w:rPr>
        <w:t>等。</w:t>
      </w:r>
    </w:p>
    <w:bookmarkEnd w:id="200"/>
    <w:p w14:paraId="781BBAEB">
      <w:pPr>
        <w:pStyle w:val="57"/>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color w:val="auto"/>
          <w:kern w:val="2"/>
          <w:sz w:val="24"/>
          <w:szCs w:val="22"/>
          <w:highlight w:val="none"/>
          <w:lang w:val="en-US" w:eastAsia="zh-CN"/>
        </w:rPr>
      </w:pPr>
      <w:r>
        <w:rPr>
          <w:rFonts w:hint="eastAsia" w:ascii="宋体" w:hAnsi="宋体" w:eastAsia="宋体" w:cs="宋体"/>
          <w:color w:val="auto"/>
          <w:kern w:val="2"/>
          <w:sz w:val="24"/>
          <w:szCs w:val="22"/>
          <w:highlight w:val="none"/>
          <w:lang w:val="en-US" w:eastAsia="zh-CN"/>
        </w:rPr>
        <w:t>13.3</w:t>
      </w:r>
      <w:r>
        <w:rPr>
          <w:rFonts w:hint="eastAsia" w:ascii="宋体" w:hAnsi="宋体" w:eastAsia="宋体" w:cs="宋体"/>
          <w:color w:val="auto"/>
          <w:kern w:val="2"/>
          <w:sz w:val="24"/>
          <w:szCs w:val="22"/>
          <w:highlight w:val="none"/>
        </w:rPr>
        <w:t>为保证公平公正，除非</w:t>
      </w:r>
      <w:r>
        <w:rPr>
          <w:rFonts w:hint="eastAsia" w:ascii="宋体" w:hAnsi="宋体" w:eastAsia="宋体" w:cs="宋体"/>
          <w:color w:val="auto"/>
          <w:kern w:val="2"/>
          <w:sz w:val="24"/>
          <w:szCs w:val="22"/>
          <w:highlight w:val="none"/>
          <w:lang w:val="en-US" w:eastAsia="zh-CN"/>
        </w:rPr>
        <w:t>本招标文件</w:t>
      </w:r>
      <w:r>
        <w:rPr>
          <w:rFonts w:hint="eastAsia" w:ascii="宋体" w:hAnsi="宋体" w:eastAsia="宋体" w:cs="宋体"/>
          <w:color w:val="auto"/>
          <w:kern w:val="2"/>
          <w:sz w:val="24"/>
          <w:szCs w:val="22"/>
          <w:highlight w:val="none"/>
        </w:rPr>
        <w:t>另有规定或说明，投标人对同一项目投标时，不得同时提供备选投标方案。</w:t>
      </w:r>
    </w:p>
    <w:p w14:paraId="2DB5A9E4">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color w:val="auto"/>
          <w:kern w:val="2"/>
          <w:sz w:val="24"/>
          <w:szCs w:val="28"/>
          <w:highlight w:val="none"/>
          <w:lang w:val="en-US" w:eastAsia="zh-CN" w:bidi="ar-SA"/>
        </w:rPr>
      </w:pPr>
      <w:bookmarkStart w:id="201" w:name="_Toc893"/>
      <w:bookmarkStart w:id="202" w:name="_Toc10265"/>
      <w:bookmarkStart w:id="203" w:name="_Toc16697"/>
      <w:bookmarkStart w:id="204" w:name="_Toc12233"/>
      <w:r>
        <w:rPr>
          <w:rFonts w:hint="eastAsia" w:ascii="宋体" w:hAnsi="宋体" w:eastAsia="宋体" w:cs="宋体"/>
          <w:b/>
          <w:bCs/>
          <w:color w:val="auto"/>
          <w:kern w:val="2"/>
          <w:sz w:val="24"/>
          <w:szCs w:val="28"/>
          <w:highlight w:val="none"/>
          <w:lang w:val="en-US" w:eastAsia="zh-CN" w:bidi="ar-SA"/>
        </w:rPr>
        <w:t>14.投标报价</w:t>
      </w:r>
      <w:bookmarkEnd w:id="198"/>
      <w:bookmarkEnd w:id="199"/>
      <w:bookmarkEnd w:id="201"/>
      <w:bookmarkEnd w:id="202"/>
      <w:bookmarkEnd w:id="203"/>
      <w:bookmarkEnd w:id="204"/>
    </w:p>
    <w:p w14:paraId="3BD2CDC3">
      <w:pPr>
        <w:keepNext w:val="0"/>
        <w:keepLines w:val="0"/>
        <w:pageBreakBefore w:val="0"/>
        <w:widowControl w:val="0"/>
        <w:kinsoku/>
        <w:overflowPunct/>
        <w:topLinePunct w:val="0"/>
        <w:autoSpaceDE/>
        <w:autoSpaceDN/>
        <w:bidi w:val="0"/>
        <w:adjustRightInd/>
        <w:ind w:firstLine="480" w:firstLineChars="200"/>
        <w:textAlignment w:val="auto"/>
        <w:rPr>
          <w:rFonts w:eastAsia="宋体" w:cs="宋体"/>
          <w:snapToGrid w:val="0"/>
          <w:color w:val="auto"/>
          <w:sz w:val="24"/>
          <w:szCs w:val="24"/>
          <w:highlight w:val="none"/>
          <w:lang w:val="zh-CN"/>
        </w:rPr>
      </w:pPr>
      <w:r>
        <w:rPr>
          <w:rFonts w:eastAsia="宋体" w:cs="宋体"/>
          <w:snapToGrid w:val="0"/>
          <w:color w:val="auto"/>
          <w:sz w:val="24"/>
          <w:szCs w:val="24"/>
          <w:highlight w:val="none"/>
        </w:rPr>
        <w:t>1</w:t>
      </w:r>
      <w:r>
        <w:rPr>
          <w:rFonts w:hint="eastAsia" w:eastAsia="宋体" w:cs="宋体"/>
          <w:snapToGrid w:val="0"/>
          <w:color w:val="auto"/>
          <w:sz w:val="24"/>
          <w:szCs w:val="24"/>
          <w:highlight w:val="none"/>
          <w:lang w:val="en-US" w:eastAsia="zh-CN"/>
        </w:rPr>
        <w:t>4</w:t>
      </w:r>
      <w:r>
        <w:rPr>
          <w:rFonts w:hint="eastAsia" w:eastAsia="宋体" w:cs="宋体"/>
          <w:snapToGrid w:val="0"/>
          <w:color w:val="auto"/>
          <w:sz w:val="24"/>
          <w:szCs w:val="24"/>
          <w:highlight w:val="none"/>
        </w:rPr>
        <w:t xml:space="preserve">.1 </w:t>
      </w:r>
      <w:r>
        <w:rPr>
          <w:rFonts w:hint="eastAsia" w:eastAsia="宋体" w:cs="宋体"/>
          <w:snapToGrid w:val="0"/>
          <w:color w:val="auto"/>
          <w:sz w:val="24"/>
          <w:szCs w:val="24"/>
          <w:highlight w:val="none"/>
          <w:lang w:val="zh-CN"/>
        </w:rPr>
        <w:t>投标人的报价均应以人民币进行报价。</w:t>
      </w:r>
    </w:p>
    <w:p w14:paraId="6CC00543">
      <w:pPr>
        <w:keepNext w:val="0"/>
        <w:keepLines w:val="0"/>
        <w:pageBreakBefore w:val="0"/>
        <w:widowControl w:val="0"/>
        <w:kinsoku/>
        <w:overflowPunct/>
        <w:topLinePunct w:val="0"/>
        <w:autoSpaceDE/>
        <w:autoSpaceDN/>
        <w:bidi w:val="0"/>
        <w:adjustRightInd/>
        <w:ind w:firstLine="480" w:firstLineChars="200"/>
        <w:textAlignment w:val="auto"/>
        <w:rPr>
          <w:rFonts w:hint="eastAsia" w:eastAsia="宋体" w:cs="宋体"/>
          <w:snapToGrid w:val="0"/>
          <w:color w:val="auto"/>
          <w:sz w:val="24"/>
          <w:szCs w:val="24"/>
          <w:highlight w:val="none"/>
        </w:rPr>
      </w:pPr>
      <w:r>
        <w:rPr>
          <w:rFonts w:eastAsia="宋体" w:cs="宋体"/>
          <w:snapToGrid w:val="0"/>
          <w:color w:val="auto"/>
          <w:sz w:val="24"/>
          <w:szCs w:val="24"/>
          <w:highlight w:val="none"/>
        </w:rPr>
        <w:t>1</w:t>
      </w:r>
      <w:r>
        <w:rPr>
          <w:rFonts w:hint="eastAsia" w:eastAsia="宋体" w:cs="宋体"/>
          <w:snapToGrid w:val="0"/>
          <w:color w:val="auto"/>
          <w:sz w:val="24"/>
          <w:szCs w:val="24"/>
          <w:highlight w:val="none"/>
          <w:lang w:val="en-US" w:eastAsia="zh-CN"/>
        </w:rPr>
        <w:t>4</w:t>
      </w:r>
      <w:r>
        <w:rPr>
          <w:rFonts w:hint="eastAsia" w:eastAsia="宋体" w:cs="宋体"/>
          <w:snapToGrid w:val="0"/>
          <w:color w:val="auto"/>
          <w:sz w:val="24"/>
          <w:szCs w:val="24"/>
          <w:highlight w:val="none"/>
        </w:rPr>
        <w:t>.2 投标人应按照本招标文件规定的报价方式进行报价，投标报价中不得包含招标文件要求以外的内容，否则，在评标时不予核减。投标报价中也不得</w:t>
      </w:r>
      <w:r>
        <w:rPr>
          <w:rFonts w:hint="eastAsia" w:eastAsia="宋体" w:cs="宋体"/>
          <w:snapToGrid w:val="0"/>
          <w:color w:val="auto"/>
          <w:sz w:val="24"/>
          <w:szCs w:val="24"/>
          <w:highlight w:val="none"/>
          <w:lang w:val="en-US" w:eastAsia="zh-CN"/>
        </w:rPr>
        <w:t>缺</w:t>
      </w:r>
      <w:r>
        <w:rPr>
          <w:rFonts w:hint="eastAsia" w:eastAsia="宋体" w:cs="宋体"/>
          <w:snapToGrid w:val="0"/>
          <w:color w:val="auto"/>
          <w:sz w:val="24"/>
          <w:szCs w:val="24"/>
          <w:highlight w:val="none"/>
        </w:rPr>
        <w:t>漏招标文件所要求的内容，否则，其</w:t>
      </w:r>
      <w:r>
        <w:rPr>
          <w:rFonts w:hint="eastAsia" w:eastAsia="宋体" w:cs="宋体"/>
          <w:b/>
          <w:bCs/>
          <w:snapToGrid w:val="0"/>
          <w:color w:val="auto"/>
          <w:sz w:val="24"/>
          <w:szCs w:val="24"/>
          <w:highlight w:val="none"/>
        </w:rPr>
        <w:t>投标无效</w:t>
      </w:r>
      <w:r>
        <w:rPr>
          <w:rFonts w:hint="eastAsia" w:eastAsia="宋体" w:cs="宋体"/>
          <w:snapToGrid w:val="0"/>
          <w:color w:val="auto"/>
          <w:sz w:val="24"/>
          <w:szCs w:val="24"/>
          <w:highlight w:val="none"/>
        </w:rPr>
        <w:t>。</w:t>
      </w:r>
    </w:p>
    <w:p w14:paraId="1197AD09">
      <w:pPr>
        <w:keepNext w:val="0"/>
        <w:keepLines w:val="0"/>
        <w:pageBreakBefore w:val="0"/>
        <w:widowControl w:val="0"/>
        <w:kinsoku/>
        <w:overflowPunct/>
        <w:topLinePunct w:val="0"/>
        <w:autoSpaceDE/>
        <w:autoSpaceDN/>
        <w:bidi w:val="0"/>
        <w:adjustRightInd/>
        <w:ind w:firstLine="480" w:firstLineChars="200"/>
        <w:textAlignment w:val="auto"/>
        <w:rPr>
          <w:rFonts w:hint="eastAsia" w:ascii="宋体" w:hAnsi="宋体" w:eastAsia="宋体" w:cs="宋体"/>
          <w:color w:val="auto"/>
          <w:kern w:val="2"/>
          <w:sz w:val="24"/>
          <w:szCs w:val="22"/>
          <w:highlight w:val="none"/>
        </w:rPr>
      </w:pPr>
      <w:r>
        <w:rPr>
          <w:rFonts w:hint="eastAsia" w:eastAsia="宋体" w:cs="宋体"/>
          <w:color w:val="auto"/>
          <w:kern w:val="2"/>
          <w:sz w:val="24"/>
          <w:szCs w:val="22"/>
          <w:highlight w:val="none"/>
          <w:lang w:val="en-US" w:eastAsia="zh-CN"/>
        </w:rPr>
        <w:t>投标人的报价应包括为完成本项目所发生的一切费用和税费，采购人将不再支付报价以外的任何费用。</w:t>
      </w:r>
      <w:r>
        <w:rPr>
          <w:rFonts w:hint="eastAsia" w:ascii="宋体" w:hAnsi="宋体" w:eastAsia="宋体" w:cs="宋体"/>
          <w:color w:val="auto"/>
          <w:kern w:val="2"/>
          <w:sz w:val="24"/>
          <w:szCs w:val="22"/>
          <w:highlight w:val="none"/>
        </w:rPr>
        <w:t>只要投报了一个确定数额的总价，无论分项价格是否全部填报了相应的金额或免费字样，报价应被视为已经包含了但并不限于各项购买货物及其运送、安装、调试、验收、保险和相关服务等的费用和所需缴纳的所有价格、税、费。在其他情况下，由于分项报价填报不完整、不清楚或存在其他任何失误，所导致的任何不利后果均应当由投标人自行承担。</w:t>
      </w:r>
    </w:p>
    <w:p w14:paraId="41BDFD38">
      <w:pPr>
        <w:pStyle w:val="10"/>
        <w:keepNext w:val="0"/>
        <w:keepLines w:val="0"/>
        <w:pageBreakBefore w:val="0"/>
        <w:widowControl w:val="0"/>
        <w:kinsoku/>
        <w:overflowPunct/>
        <w:topLinePunct w:val="0"/>
        <w:autoSpaceDE/>
        <w:autoSpaceDN/>
        <w:bidi w:val="0"/>
        <w:adjustRightInd/>
        <w:textAlignment w:val="auto"/>
        <w:rPr>
          <w:rFonts w:hint="eastAsia" w:eastAsia="宋体" w:cs="宋体"/>
          <w:color w:val="auto"/>
          <w:kern w:val="2"/>
          <w:sz w:val="24"/>
          <w:szCs w:val="22"/>
          <w:highlight w:val="none"/>
          <w:lang w:val="en-US" w:eastAsia="zh-CN"/>
        </w:rPr>
      </w:pPr>
      <w:r>
        <w:rPr>
          <w:rFonts w:hint="eastAsia" w:eastAsia="宋体" w:cs="宋体"/>
          <w:color w:val="auto"/>
          <w:kern w:val="2"/>
          <w:sz w:val="24"/>
          <w:szCs w:val="22"/>
          <w:highlight w:val="none"/>
          <w:lang w:val="en-US" w:eastAsia="zh-CN"/>
        </w:rPr>
        <w:t xml:space="preserve">投标人的报价应包括但不限于下列内容： </w:t>
      </w:r>
    </w:p>
    <w:p w14:paraId="4342C0DA">
      <w:pPr>
        <w:pStyle w:val="10"/>
        <w:keepNext w:val="0"/>
        <w:keepLines w:val="0"/>
        <w:pageBreakBefore w:val="0"/>
        <w:widowControl w:val="0"/>
        <w:kinsoku/>
        <w:overflowPunct/>
        <w:topLinePunct w:val="0"/>
        <w:autoSpaceDE/>
        <w:autoSpaceDN/>
        <w:bidi w:val="0"/>
        <w:adjustRightInd/>
        <w:textAlignment w:val="auto"/>
        <w:rPr>
          <w:rFonts w:hint="eastAsia" w:eastAsia="宋体" w:cs="宋体"/>
          <w:color w:val="auto"/>
          <w:kern w:val="2"/>
          <w:sz w:val="24"/>
          <w:szCs w:val="22"/>
          <w:highlight w:val="none"/>
          <w:lang w:val="en-US" w:eastAsia="zh-CN"/>
        </w:rPr>
      </w:pPr>
      <w:r>
        <w:rPr>
          <w:rFonts w:hint="eastAsia" w:ascii="宋体" w:hAnsi="宋体" w:eastAsia="宋体" w:cs="宋体"/>
          <w:snapToGrid w:val="0"/>
          <w:color w:val="auto"/>
          <w:kern w:val="2"/>
          <w:sz w:val="24"/>
          <w:szCs w:val="24"/>
          <w:highlight w:val="none"/>
          <w:lang w:val="en-US" w:eastAsia="zh-CN" w:bidi="ar-SA"/>
        </w:rPr>
        <w:t>14.2.1 投标货物及标准附件、备品备件、专用工具等的出厂价（包括已在中</w:t>
      </w:r>
      <w:r>
        <w:rPr>
          <w:rFonts w:hint="eastAsia" w:eastAsia="宋体" w:cs="宋体"/>
          <w:color w:val="auto"/>
          <w:kern w:val="2"/>
          <w:sz w:val="24"/>
          <w:szCs w:val="22"/>
          <w:highlight w:val="none"/>
          <w:lang w:val="en-US" w:eastAsia="zh-CN"/>
        </w:rPr>
        <w:t xml:space="preserve">国国内的进口货物完税后的仓库交货价、展室交货价或货架交货价）和运至最终目的地的运输费和保险费，安装调试、检验、技术服务、培训、质量保证、售后服务、税费等； </w:t>
      </w:r>
    </w:p>
    <w:p w14:paraId="412F0384">
      <w:pPr>
        <w:pStyle w:val="1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snapToGrid w:val="0"/>
          <w:color w:val="auto"/>
          <w:kern w:val="2"/>
          <w:sz w:val="24"/>
          <w:szCs w:val="24"/>
          <w:highlight w:val="none"/>
          <w:lang w:val="en-US" w:eastAsia="zh-CN" w:bidi="ar-SA"/>
        </w:rPr>
      </w:pPr>
      <w:r>
        <w:rPr>
          <w:rFonts w:hint="eastAsia" w:ascii="宋体" w:hAnsi="宋体" w:eastAsia="宋体" w:cs="宋体"/>
          <w:snapToGrid w:val="0"/>
          <w:color w:val="auto"/>
          <w:kern w:val="2"/>
          <w:sz w:val="24"/>
          <w:szCs w:val="24"/>
          <w:highlight w:val="none"/>
          <w:lang w:val="en-US" w:eastAsia="zh-CN" w:bidi="ar-SA"/>
        </w:rPr>
        <w:t>14.2.2 按照招标文件要求完成本项目的全部相关费用。</w:t>
      </w:r>
    </w:p>
    <w:p w14:paraId="3EFD841C">
      <w:pPr>
        <w:keepNext w:val="0"/>
        <w:keepLines w:val="0"/>
        <w:pageBreakBefore w:val="0"/>
        <w:widowControl w:val="0"/>
        <w:kinsoku/>
        <w:overflowPunct/>
        <w:topLinePunct w:val="0"/>
        <w:autoSpaceDE/>
        <w:autoSpaceDN/>
        <w:bidi w:val="0"/>
        <w:adjustRightInd/>
        <w:ind w:firstLine="480" w:firstLineChars="200"/>
        <w:textAlignment w:val="auto"/>
        <w:rPr>
          <w:rFonts w:eastAsia="宋体" w:cs="宋体"/>
          <w:snapToGrid w:val="0"/>
          <w:color w:val="auto"/>
          <w:sz w:val="24"/>
          <w:szCs w:val="24"/>
          <w:highlight w:val="none"/>
          <w:lang w:val="zh-CN"/>
        </w:rPr>
      </w:pPr>
      <w:r>
        <w:rPr>
          <w:rFonts w:eastAsia="宋体" w:cs="宋体"/>
          <w:snapToGrid w:val="0"/>
          <w:color w:val="auto"/>
          <w:sz w:val="24"/>
          <w:szCs w:val="24"/>
          <w:highlight w:val="none"/>
        </w:rPr>
        <w:t>1</w:t>
      </w:r>
      <w:r>
        <w:rPr>
          <w:rFonts w:hint="eastAsia" w:eastAsia="宋体" w:cs="宋体"/>
          <w:snapToGrid w:val="0"/>
          <w:color w:val="auto"/>
          <w:sz w:val="24"/>
          <w:szCs w:val="24"/>
          <w:highlight w:val="none"/>
          <w:lang w:val="en-US" w:eastAsia="zh-CN"/>
        </w:rPr>
        <w:t>4</w:t>
      </w:r>
      <w:r>
        <w:rPr>
          <w:rFonts w:hint="eastAsia" w:eastAsia="宋体" w:cs="宋体"/>
          <w:snapToGrid w:val="0"/>
          <w:color w:val="auto"/>
          <w:sz w:val="24"/>
          <w:szCs w:val="24"/>
          <w:highlight w:val="none"/>
        </w:rPr>
        <w:t xml:space="preserve">.3 </w:t>
      </w:r>
      <w:r>
        <w:rPr>
          <w:rFonts w:hint="eastAsia" w:ascii="宋体" w:hAnsi="宋体" w:eastAsia="宋体" w:cs="宋体"/>
          <w:color w:val="auto"/>
          <w:kern w:val="2"/>
          <w:sz w:val="24"/>
          <w:szCs w:val="22"/>
          <w:highlight w:val="none"/>
        </w:rPr>
        <w:t>投标人须严格按照</w:t>
      </w:r>
      <w:r>
        <w:rPr>
          <w:rFonts w:hint="eastAsia" w:eastAsia="宋体" w:cs="宋体"/>
          <w:color w:val="auto"/>
          <w:kern w:val="2"/>
          <w:sz w:val="24"/>
          <w:szCs w:val="22"/>
          <w:highlight w:val="none"/>
          <w:lang w:val="en-US" w:eastAsia="zh-CN"/>
        </w:rPr>
        <w:t>分项</w:t>
      </w:r>
      <w:r>
        <w:rPr>
          <w:rFonts w:hint="eastAsia" w:ascii="宋体" w:hAnsi="宋体" w:eastAsia="宋体" w:cs="宋体"/>
          <w:color w:val="auto"/>
          <w:kern w:val="2"/>
          <w:sz w:val="24"/>
          <w:szCs w:val="22"/>
          <w:highlight w:val="none"/>
        </w:rPr>
        <w:t>报价表规定的内容填写货物单价以及其他事项。</w:t>
      </w:r>
      <w:r>
        <w:rPr>
          <w:rFonts w:hint="eastAsia" w:eastAsia="宋体" w:cs="宋体"/>
          <w:snapToGrid w:val="0"/>
          <w:color w:val="auto"/>
          <w:sz w:val="24"/>
          <w:szCs w:val="24"/>
          <w:highlight w:val="none"/>
          <w:lang w:val="zh-CN"/>
        </w:rPr>
        <w:t>投标人应根据本招标文件的规定和要求、市场价格水平及其走势、投标人的管理水平、投标人的方案和由这些因素决定的投标人之于本项目的成本水平等提出自己的报价。报价应合理，并包含完成本招标文件采购需求全部内容的所有费用，所有根据本招标文件或其它原因应由投标人支付的税款和其他应</w:t>
      </w:r>
      <w:r>
        <w:rPr>
          <w:rFonts w:hint="eastAsia" w:eastAsia="宋体" w:cs="宋体"/>
          <w:snapToGrid w:val="0"/>
          <w:color w:val="auto"/>
          <w:sz w:val="24"/>
          <w:szCs w:val="24"/>
          <w:highlight w:val="none"/>
          <w:lang w:val="en-US" w:eastAsia="zh-CN"/>
        </w:rPr>
        <w:t>缴</w:t>
      </w:r>
      <w:r>
        <w:rPr>
          <w:rFonts w:hint="eastAsia" w:eastAsia="宋体" w:cs="宋体"/>
          <w:snapToGrid w:val="0"/>
          <w:color w:val="auto"/>
          <w:sz w:val="24"/>
          <w:szCs w:val="24"/>
          <w:highlight w:val="none"/>
          <w:lang w:val="zh-CN"/>
        </w:rPr>
        <w:t>纳的费用都应包括在投标人提交的投标报价中。</w:t>
      </w:r>
    </w:p>
    <w:p w14:paraId="5E3B6519">
      <w:pPr>
        <w:keepNext w:val="0"/>
        <w:keepLines w:val="0"/>
        <w:pageBreakBefore w:val="0"/>
        <w:widowControl w:val="0"/>
        <w:kinsoku/>
        <w:overflowPunct/>
        <w:topLinePunct w:val="0"/>
        <w:autoSpaceDE/>
        <w:autoSpaceDN/>
        <w:bidi w:val="0"/>
        <w:adjustRightInd/>
        <w:ind w:firstLine="480" w:firstLineChars="200"/>
        <w:textAlignment w:val="auto"/>
        <w:rPr>
          <w:rFonts w:eastAsia="宋体" w:cs="宋体"/>
          <w:snapToGrid w:val="0"/>
          <w:color w:val="auto"/>
          <w:sz w:val="24"/>
          <w:szCs w:val="24"/>
          <w:highlight w:val="none"/>
        </w:rPr>
      </w:pPr>
      <w:r>
        <w:rPr>
          <w:rFonts w:eastAsia="宋体" w:cs="宋体"/>
          <w:snapToGrid w:val="0"/>
          <w:color w:val="auto"/>
          <w:sz w:val="24"/>
          <w:szCs w:val="24"/>
          <w:highlight w:val="none"/>
        </w:rPr>
        <w:t>1</w:t>
      </w:r>
      <w:r>
        <w:rPr>
          <w:rFonts w:hint="eastAsia" w:eastAsia="宋体" w:cs="宋体"/>
          <w:snapToGrid w:val="0"/>
          <w:color w:val="auto"/>
          <w:sz w:val="24"/>
          <w:szCs w:val="24"/>
          <w:highlight w:val="none"/>
          <w:lang w:val="en-US" w:eastAsia="zh-CN"/>
        </w:rPr>
        <w:t>4</w:t>
      </w:r>
      <w:r>
        <w:rPr>
          <w:rFonts w:hint="eastAsia" w:eastAsia="宋体" w:cs="宋体"/>
          <w:snapToGrid w:val="0"/>
          <w:color w:val="auto"/>
          <w:sz w:val="24"/>
          <w:szCs w:val="24"/>
          <w:highlight w:val="none"/>
        </w:rPr>
        <w:t>.4 投标人在投标文件中注明免费的项目将视为包含在投标报价中。</w:t>
      </w:r>
    </w:p>
    <w:p w14:paraId="78B9FFCD">
      <w:pPr>
        <w:pStyle w:val="10"/>
        <w:keepNext w:val="0"/>
        <w:keepLines w:val="0"/>
        <w:pageBreakBefore w:val="0"/>
        <w:widowControl w:val="0"/>
        <w:kinsoku/>
        <w:overflowPunct/>
        <w:topLinePunct w:val="0"/>
        <w:autoSpaceDE/>
        <w:autoSpaceDN/>
        <w:bidi w:val="0"/>
        <w:adjustRightInd/>
        <w:textAlignment w:val="auto"/>
        <w:rPr>
          <w:rFonts w:eastAsia="宋体"/>
          <w:color w:val="auto"/>
          <w:sz w:val="24"/>
          <w:highlight w:val="none"/>
        </w:rPr>
      </w:pPr>
      <w:r>
        <w:rPr>
          <w:rFonts w:ascii="宋体" w:hAnsi="宋体" w:eastAsia="宋体" w:cs="宋体"/>
          <w:snapToGrid w:val="0"/>
          <w:color w:val="auto"/>
          <w:kern w:val="2"/>
          <w:sz w:val="24"/>
          <w:szCs w:val="24"/>
          <w:highlight w:val="none"/>
          <w:lang w:val="en-US" w:eastAsia="zh-CN" w:bidi="ar-SA"/>
        </w:rPr>
        <w:t>1</w:t>
      </w:r>
      <w:r>
        <w:rPr>
          <w:rFonts w:hint="eastAsia" w:ascii="宋体" w:hAnsi="宋体" w:eastAsia="宋体" w:cs="宋体"/>
          <w:snapToGrid w:val="0"/>
          <w:color w:val="auto"/>
          <w:kern w:val="2"/>
          <w:sz w:val="24"/>
          <w:szCs w:val="24"/>
          <w:highlight w:val="none"/>
          <w:lang w:val="en-US" w:eastAsia="zh-CN" w:bidi="ar-SA"/>
        </w:rPr>
        <w:t>4.5 每一</w:t>
      </w:r>
      <w:r>
        <w:rPr>
          <w:rFonts w:hint="eastAsia" w:eastAsia="宋体" w:cs="宋体"/>
          <w:snapToGrid w:val="0"/>
          <w:color w:val="auto"/>
          <w:sz w:val="24"/>
          <w:szCs w:val="24"/>
          <w:highlight w:val="none"/>
        </w:rPr>
        <w:t>种采购内容只允许有一个报价，否则其</w:t>
      </w:r>
      <w:r>
        <w:rPr>
          <w:rFonts w:hint="eastAsia" w:eastAsia="宋体" w:cs="宋体"/>
          <w:b/>
          <w:bCs/>
          <w:snapToGrid w:val="0"/>
          <w:color w:val="auto"/>
          <w:sz w:val="24"/>
          <w:szCs w:val="24"/>
          <w:highlight w:val="none"/>
        </w:rPr>
        <w:t>投标无效</w:t>
      </w:r>
      <w:r>
        <w:rPr>
          <w:rFonts w:hint="eastAsia" w:eastAsia="宋体" w:cs="宋体"/>
          <w:snapToGrid w:val="0"/>
          <w:color w:val="auto"/>
          <w:sz w:val="24"/>
          <w:szCs w:val="24"/>
          <w:highlight w:val="none"/>
        </w:rPr>
        <w:t>。</w:t>
      </w:r>
      <w:r>
        <w:rPr>
          <w:rFonts w:hint="eastAsia" w:ascii="宋体" w:hAnsi="宋体" w:eastAsia="宋体" w:cs="宋体"/>
          <w:color w:val="auto"/>
          <w:kern w:val="2"/>
          <w:sz w:val="24"/>
          <w:szCs w:val="22"/>
          <w:highlight w:val="none"/>
        </w:rPr>
        <w:t>除非招标文件另有规定，不接受可选择或可调整的投标方案和报价，任何有选择的或可调整的投标方案和报价将被视为非</w:t>
      </w:r>
      <w:r>
        <w:rPr>
          <w:rFonts w:hint="eastAsia" w:ascii="宋体" w:hAnsi="宋体" w:eastAsia="宋体" w:cs="宋体"/>
          <w:color w:val="auto"/>
          <w:kern w:val="2"/>
          <w:sz w:val="24"/>
          <w:szCs w:val="22"/>
          <w:highlight w:val="none"/>
          <w:lang w:val="en-US" w:eastAsia="zh-CN"/>
        </w:rPr>
        <w:t>实质性</w:t>
      </w:r>
      <w:r>
        <w:rPr>
          <w:rFonts w:hint="eastAsia" w:ascii="宋体" w:hAnsi="宋体" w:eastAsia="宋体" w:cs="宋体"/>
          <w:color w:val="auto"/>
          <w:kern w:val="2"/>
          <w:sz w:val="24"/>
          <w:szCs w:val="22"/>
          <w:highlight w:val="none"/>
        </w:rPr>
        <w:t>响应</w:t>
      </w:r>
      <w:r>
        <w:rPr>
          <w:rFonts w:hint="eastAsia" w:ascii="宋体" w:hAnsi="宋体" w:eastAsia="宋体" w:cs="宋体"/>
          <w:color w:val="auto"/>
          <w:kern w:val="2"/>
          <w:sz w:val="24"/>
          <w:szCs w:val="22"/>
          <w:highlight w:val="none"/>
          <w:lang w:val="en-US" w:eastAsia="zh-CN"/>
        </w:rPr>
        <w:t>招标文件,其</w:t>
      </w:r>
      <w:r>
        <w:rPr>
          <w:rFonts w:hint="eastAsia" w:eastAsia="宋体" w:cs="宋体"/>
          <w:b/>
          <w:bCs/>
          <w:snapToGrid w:val="0"/>
          <w:color w:val="auto"/>
          <w:sz w:val="24"/>
          <w:szCs w:val="24"/>
          <w:highlight w:val="none"/>
          <w:lang w:eastAsia="zh-CN"/>
        </w:rPr>
        <w:t>投标无效</w:t>
      </w:r>
      <w:r>
        <w:rPr>
          <w:rFonts w:hint="eastAsia" w:ascii="宋体" w:hAnsi="宋体" w:eastAsia="宋体" w:cs="宋体"/>
          <w:color w:val="auto"/>
          <w:kern w:val="2"/>
          <w:sz w:val="24"/>
          <w:szCs w:val="22"/>
          <w:highlight w:val="none"/>
        </w:rPr>
        <w:t>。</w:t>
      </w:r>
    </w:p>
    <w:p w14:paraId="234C15F2">
      <w:pPr>
        <w:keepNext w:val="0"/>
        <w:keepLines w:val="0"/>
        <w:pageBreakBefore w:val="0"/>
        <w:widowControl w:val="0"/>
        <w:kinsoku/>
        <w:overflowPunct/>
        <w:topLinePunct w:val="0"/>
        <w:autoSpaceDE/>
        <w:autoSpaceDN/>
        <w:bidi w:val="0"/>
        <w:adjustRightInd/>
        <w:ind w:firstLine="480" w:firstLineChars="200"/>
        <w:textAlignment w:val="auto"/>
        <w:rPr>
          <w:rFonts w:eastAsia="宋体" w:cs="仿宋_GB2312"/>
          <w:color w:val="auto"/>
          <w:sz w:val="24"/>
          <w:szCs w:val="24"/>
          <w:highlight w:val="none"/>
        </w:rPr>
      </w:pPr>
      <w:r>
        <w:rPr>
          <w:rFonts w:eastAsia="宋体" w:cs="仿宋_GB2312"/>
          <w:color w:val="auto"/>
          <w:sz w:val="24"/>
          <w:szCs w:val="24"/>
          <w:highlight w:val="none"/>
        </w:rPr>
        <w:t>1</w:t>
      </w:r>
      <w:r>
        <w:rPr>
          <w:rFonts w:hint="eastAsia" w:eastAsia="宋体" w:cs="仿宋_GB2312"/>
          <w:color w:val="auto"/>
          <w:sz w:val="24"/>
          <w:szCs w:val="24"/>
          <w:highlight w:val="none"/>
          <w:lang w:val="en-US" w:eastAsia="zh-CN"/>
        </w:rPr>
        <w:t>4</w:t>
      </w:r>
      <w:r>
        <w:rPr>
          <w:rFonts w:eastAsia="宋体" w:cs="仿宋_GB2312"/>
          <w:color w:val="auto"/>
          <w:sz w:val="24"/>
          <w:szCs w:val="24"/>
          <w:highlight w:val="none"/>
        </w:rPr>
        <w:t>.</w:t>
      </w:r>
      <w:r>
        <w:rPr>
          <w:rFonts w:hint="eastAsia" w:eastAsia="宋体" w:cs="仿宋_GB2312"/>
          <w:color w:val="auto"/>
          <w:sz w:val="24"/>
          <w:szCs w:val="24"/>
          <w:highlight w:val="none"/>
          <w:lang w:val="en-US" w:eastAsia="zh-CN"/>
        </w:rPr>
        <w:t xml:space="preserve">6 </w:t>
      </w:r>
      <w:r>
        <w:rPr>
          <w:rFonts w:hint="eastAsia" w:eastAsia="宋体" w:cs="仿宋_GB2312"/>
          <w:color w:val="auto"/>
          <w:sz w:val="24"/>
          <w:szCs w:val="24"/>
          <w:highlight w:val="none"/>
        </w:rPr>
        <w:t>投标报价不得超过“</w:t>
      </w:r>
      <w:r>
        <w:rPr>
          <w:rFonts w:hint="eastAsia" w:eastAsia="宋体"/>
          <w:color w:val="auto"/>
          <w:sz w:val="24"/>
          <w:highlight w:val="none"/>
          <w:lang w:val="en-US" w:eastAsia="zh-CN"/>
        </w:rPr>
        <w:t>第一章 招标公告</w:t>
      </w:r>
      <w:r>
        <w:rPr>
          <w:rFonts w:hint="eastAsia" w:eastAsia="宋体" w:cs="仿宋_GB2312"/>
          <w:color w:val="auto"/>
          <w:sz w:val="24"/>
          <w:szCs w:val="24"/>
          <w:highlight w:val="none"/>
        </w:rPr>
        <w:t>”中规定的最高投标限价</w:t>
      </w:r>
      <w:r>
        <w:rPr>
          <w:rFonts w:hint="eastAsia" w:ascii="宋体" w:hAnsi="宋体" w:eastAsia="宋体"/>
          <w:color w:val="auto"/>
          <w:sz w:val="24"/>
          <w:highlight w:val="none"/>
          <w:lang w:val="en-US" w:eastAsia="zh-CN"/>
        </w:rPr>
        <w:t>或者预算金额</w:t>
      </w:r>
      <w:r>
        <w:rPr>
          <w:rFonts w:hint="eastAsia" w:eastAsia="宋体" w:cs="仿宋_GB2312"/>
          <w:color w:val="auto"/>
          <w:sz w:val="24"/>
          <w:szCs w:val="24"/>
          <w:highlight w:val="none"/>
        </w:rPr>
        <w:t>，否则</w:t>
      </w:r>
      <w:r>
        <w:rPr>
          <w:rFonts w:eastAsia="宋体" w:cs="仿宋_GB2312"/>
          <w:color w:val="auto"/>
          <w:sz w:val="24"/>
          <w:szCs w:val="24"/>
          <w:highlight w:val="none"/>
        </w:rPr>
        <w:t>评标委员会将</w:t>
      </w:r>
      <w:r>
        <w:rPr>
          <w:rFonts w:hint="eastAsia" w:eastAsia="宋体" w:cs="仿宋_GB2312"/>
          <w:b w:val="0"/>
          <w:bCs w:val="0"/>
          <w:color w:val="auto"/>
          <w:sz w:val="24"/>
          <w:szCs w:val="24"/>
          <w:highlight w:val="none"/>
          <w:lang w:val="en-US" w:eastAsia="zh-CN"/>
        </w:rPr>
        <w:t>对</w:t>
      </w:r>
      <w:r>
        <w:rPr>
          <w:rFonts w:eastAsia="宋体" w:cs="仿宋_GB2312"/>
          <w:b w:val="0"/>
          <w:bCs w:val="0"/>
          <w:color w:val="auto"/>
          <w:sz w:val="24"/>
          <w:szCs w:val="24"/>
          <w:highlight w:val="none"/>
        </w:rPr>
        <w:t>其</w:t>
      </w:r>
      <w:r>
        <w:rPr>
          <w:rFonts w:hint="eastAsia" w:eastAsia="宋体" w:cs="仿宋_GB2312"/>
          <w:b w:val="0"/>
          <w:bCs w:val="0"/>
          <w:color w:val="auto"/>
          <w:sz w:val="24"/>
          <w:szCs w:val="24"/>
          <w:highlight w:val="none"/>
          <w:lang w:val="en-US" w:eastAsia="zh-CN"/>
        </w:rPr>
        <w:t>作</w:t>
      </w:r>
      <w:r>
        <w:rPr>
          <w:rFonts w:hint="eastAsia" w:eastAsia="宋体" w:cs="仿宋_GB2312"/>
          <w:b/>
          <w:bCs/>
          <w:color w:val="auto"/>
          <w:sz w:val="24"/>
          <w:szCs w:val="24"/>
          <w:highlight w:val="none"/>
          <w:lang w:val="en-US" w:eastAsia="zh-CN"/>
        </w:rPr>
        <w:t>无效</w:t>
      </w:r>
      <w:r>
        <w:rPr>
          <w:rFonts w:eastAsia="宋体" w:cs="仿宋_GB2312"/>
          <w:b/>
          <w:bCs/>
          <w:color w:val="auto"/>
          <w:sz w:val="24"/>
          <w:szCs w:val="24"/>
          <w:highlight w:val="none"/>
        </w:rPr>
        <w:t>投标</w:t>
      </w:r>
      <w:r>
        <w:rPr>
          <w:rFonts w:hint="eastAsia" w:eastAsia="宋体" w:cs="仿宋_GB2312"/>
          <w:b/>
          <w:bCs/>
          <w:color w:val="auto"/>
          <w:sz w:val="24"/>
          <w:szCs w:val="24"/>
          <w:highlight w:val="none"/>
          <w:lang w:val="en-US" w:eastAsia="zh-CN"/>
        </w:rPr>
        <w:t>处理</w:t>
      </w:r>
      <w:r>
        <w:rPr>
          <w:rFonts w:eastAsia="宋体" w:cs="仿宋_GB2312"/>
          <w:color w:val="auto"/>
          <w:sz w:val="24"/>
          <w:szCs w:val="24"/>
          <w:highlight w:val="none"/>
        </w:rPr>
        <w:t>。</w:t>
      </w:r>
    </w:p>
    <w:p w14:paraId="313FA63F">
      <w:pPr>
        <w:pStyle w:val="57"/>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color w:val="auto"/>
          <w:kern w:val="2"/>
          <w:sz w:val="24"/>
          <w:szCs w:val="22"/>
          <w:highlight w:val="none"/>
        </w:rPr>
      </w:pPr>
      <w:r>
        <w:rPr>
          <w:rFonts w:hint="eastAsia" w:ascii="宋体" w:hAnsi="宋体" w:eastAsia="宋体" w:cs="宋体"/>
          <w:color w:val="auto"/>
          <w:kern w:val="2"/>
          <w:sz w:val="24"/>
          <w:szCs w:val="22"/>
          <w:highlight w:val="none"/>
        </w:rPr>
        <w:t>1</w:t>
      </w:r>
      <w:r>
        <w:rPr>
          <w:rFonts w:hint="eastAsia" w:ascii="宋体" w:hAnsi="宋体" w:eastAsia="宋体" w:cs="宋体"/>
          <w:color w:val="auto"/>
          <w:kern w:val="2"/>
          <w:sz w:val="24"/>
          <w:szCs w:val="22"/>
          <w:highlight w:val="none"/>
          <w:lang w:val="en-US" w:eastAsia="zh-CN"/>
        </w:rPr>
        <w:t>4</w:t>
      </w:r>
      <w:r>
        <w:rPr>
          <w:rFonts w:hint="eastAsia" w:ascii="宋体" w:hAnsi="宋体" w:eastAsia="宋体" w:cs="宋体"/>
          <w:color w:val="auto"/>
          <w:kern w:val="2"/>
          <w:sz w:val="24"/>
          <w:szCs w:val="22"/>
          <w:highlight w:val="none"/>
        </w:rPr>
        <w:t>.</w:t>
      </w:r>
      <w:r>
        <w:rPr>
          <w:rFonts w:hint="eastAsia" w:ascii="宋体" w:hAnsi="宋体" w:eastAsia="宋体" w:cs="宋体"/>
          <w:color w:val="auto"/>
          <w:kern w:val="2"/>
          <w:sz w:val="24"/>
          <w:szCs w:val="22"/>
          <w:highlight w:val="none"/>
          <w:lang w:val="en-US" w:eastAsia="zh-CN"/>
        </w:rPr>
        <w:t xml:space="preserve">7 </w:t>
      </w:r>
      <w:r>
        <w:rPr>
          <w:rFonts w:hint="eastAsia" w:ascii="宋体" w:hAnsi="宋体" w:eastAsia="宋体" w:cs="宋体"/>
          <w:color w:val="auto"/>
          <w:kern w:val="2"/>
          <w:sz w:val="24"/>
          <w:szCs w:val="22"/>
          <w:highlight w:val="none"/>
        </w:rPr>
        <w:t>投标人对投标报价若有说明应在投标文件中显著处注明。</w:t>
      </w:r>
    </w:p>
    <w:p w14:paraId="2DE4CF29">
      <w:pPr>
        <w:pStyle w:val="57"/>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color w:val="auto"/>
          <w:kern w:val="2"/>
          <w:sz w:val="24"/>
          <w:szCs w:val="22"/>
          <w:highlight w:val="none"/>
        </w:rPr>
      </w:pPr>
      <w:r>
        <w:rPr>
          <w:rFonts w:hint="eastAsia" w:ascii="宋体" w:hAnsi="宋体" w:eastAsia="宋体" w:cs="宋体"/>
          <w:color w:val="auto"/>
          <w:kern w:val="2"/>
          <w:sz w:val="24"/>
          <w:szCs w:val="22"/>
          <w:highlight w:val="none"/>
        </w:rPr>
        <w:t>除政策性文件规定以外，投标人所报价格在合同实施期间不因市场变化因素而变动。</w:t>
      </w:r>
    </w:p>
    <w:p w14:paraId="2C302D73">
      <w:pPr>
        <w:pStyle w:val="57"/>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color w:val="auto"/>
          <w:kern w:val="2"/>
          <w:sz w:val="24"/>
          <w:szCs w:val="22"/>
          <w:highlight w:val="none"/>
        </w:rPr>
      </w:pPr>
      <w:r>
        <w:rPr>
          <w:rFonts w:hint="eastAsia" w:ascii="宋体" w:hAnsi="宋体" w:eastAsia="宋体" w:cs="宋体"/>
          <w:color w:val="auto"/>
          <w:kern w:val="2"/>
          <w:sz w:val="24"/>
          <w:szCs w:val="22"/>
          <w:highlight w:val="none"/>
        </w:rPr>
        <w:t>1</w:t>
      </w:r>
      <w:r>
        <w:rPr>
          <w:rFonts w:hint="eastAsia" w:ascii="宋体" w:hAnsi="宋体" w:eastAsia="宋体" w:cs="宋体"/>
          <w:color w:val="auto"/>
          <w:kern w:val="2"/>
          <w:sz w:val="24"/>
          <w:szCs w:val="22"/>
          <w:highlight w:val="none"/>
          <w:lang w:val="en-US" w:eastAsia="zh-CN"/>
        </w:rPr>
        <w:t>4</w:t>
      </w:r>
      <w:r>
        <w:rPr>
          <w:rFonts w:hint="eastAsia" w:ascii="宋体" w:hAnsi="宋体" w:eastAsia="宋体" w:cs="宋体"/>
          <w:color w:val="auto"/>
          <w:kern w:val="2"/>
          <w:sz w:val="24"/>
          <w:szCs w:val="22"/>
          <w:highlight w:val="none"/>
        </w:rPr>
        <w:t>.</w:t>
      </w:r>
      <w:r>
        <w:rPr>
          <w:rFonts w:hint="eastAsia" w:ascii="宋体" w:hAnsi="宋体" w:eastAsia="宋体" w:cs="宋体"/>
          <w:color w:val="auto"/>
          <w:kern w:val="2"/>
          <w:sz w:val="24"/>
          <w:szCs w:val="22"/>
          <w:highlight w:val="none"/>
          <w:lang w:val="en-US" w:eastAsia="zh-CN"/>
        </w:rPr>
        <w:t xml:space="preserve">8 </w:t>
      </w:r>
      <w:r>
        <w:rPr>
          <w:rFonts w:hint="eastAsia" w:ascii="宋体" w:hAnsi="宋体" w:eastAsia="宋体" w:cs="宋体"/>
          <w:color w:val="auto"/>
          <w:kern w:val="2"/>
          <w:sz w:val="24"/>
          <w:szCs w:val="22"/>
          <w:highlight w:val="none"/>
        </w:rPr>
        <w:t>对于有配件、耗材、选件、备件和特殊工具的货物，还应填报投标货物配件、耗材、选件表和备件及特殊工具清单，注明品牌、型号、产地、功能、单价、批量折扣等内容，该表格格式由投标人自行设计。投标人按照上述要求分类报价，其目的是便于评标，但在任何情况下并不限制采购人以其他条款签订合同的权利。</w:t>
      </w:r>
    </w:p>
    <w:p w14:paraId="7CD424F2">
      <w:pPr>
        <w:pStyle w:val="57"/>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color w:val="auto"/>
          <w:kern w:val="2"/>
          <w:sz w:val="24"/>
          <w:szCs w:val="22"/>
          <w:highlight w:val="none"/>
        </w:rPr>
      </w:pPr>
      <w:r>
        <w:rPr>
          <w:rFonts w:hint="eastAsia" w:ascii="宋体" w:hAnsi="宋体" w:eastAsia="宋体" w:cs="宋体"/>
          <w:color w:val="auto"/>
          <w:kern w:val="2"/>
          <w:sz w:val="24"/>
          <w:szCs w:val="22"/>
          <w:highlight w:val="none"/>
        </w:rPr>
        <w:t>1</w:t>
      </w:r>
      <w:r>
        <w:rPr>
          <w:rFonts w:hint="eastAsia" w:ascii="宋体" w:hAnsi="宋体" w:eastAsia="宋体" w:cs="宋体"/>
          <w:color w:val="auto"/>
          <w:kern w:val="2"/>
          <w:sz w:val="24"/>
          <w:szCs w:val="22"/>
          <w:highlight w:val="none"/>
          <w:lang w:val="en-US" w:eastAsia="zh-CN"/>
        </w:rPr>
        <w:t>4</w:t>
      </w:r>
      <w:r>
        <w:rPr>
          <w:rFonts w:hint="eastAsia" w:ascii="宋体" w:hAnsi="宋体" w:eastAsia="宋体" w:cs="宋体"/>
          <w:color w:val="auto"/>
          <w:kern w:val="2"/>
          <w:sz w:val="24"/>
          <w:szCs w:val="22"/>
          <w:highlight w:val="none"/>
        </w:rPr>
        <w:t>.</w:t>
      </w:r>
      <w:r>
        <w:rPr>
          <w:rFonts w:hint="eastAsia" w:ascii="宋体" w:hAnsi="宋体" w:eastAsia="宋体" w:cs="宋体"/>
          <w:color w:val="auto"/>
          <w:kern w:val="2"/>
          <w:sz w:val="24"/>
          <w:szCs w:val="22"/>
          <w:highlight w:val="none"/>
          <w:lang w:val="en-US" w:eastAsia="zh-CN"/>
        </w:rPr>
        <w:t xml:space="preserve">9 </w:t>
      </w:r>
      <w:r>
        <w:rPr>
          <w:rFonts w:hint="eastAsia" w:ascii="宋体" w:hAnsi="宋体" w:eastAsia="宋体" w:cs="宋体"/>
          <w:color w:val="auto"/>
          <w:kern w:val="2"/>
          <w:sz w:val="24"/>
          <w:szCs w:val="22"/>
          <w:highlight w:val="none"/>
        </w:rPr>
        <w:t>最低报价不能作为中标的保证。</w:t>
      </w:r>
    </w:p>
    <w:p w14:paraId="2C6B9037">
      <w:pPr>
        <w:keepNext w:val="0"/>
        <w:keepLines w:val="0"/>
        <w:pageBreakBefore w:val="0"/>
        <w:widowControl w:val="0"/>
        <w:suppressLineNumbers w:val="0"/>
        <w:kinsoku/>
        <w:overflowPunct/>
        <w:topLinePunct w:val="0"/>
        <w:autoSpaceDE/>
        <w:autoSpaceDN/>
        <w:bidi w:val="0"/>
        <w:adjustRightInd/>
        <w:ind w:firstLine="480" w:firstLineChars="200"/>
        <w:jc w:val="left"/>
        <w:textAlignment w:val="auto"/>
        <w:rPr>
          <w:rFonts w:hint="default" w:ascii="宋体" w:hAnsi="宋体" w:eastAsia="宋体" w:cs="宋体"/>
          <w:color w:val="auto"/>
          <w:kern w:val="2"/>
          <w:sz w:val="24"/>
          <w:szCs w:val="22"/>
          <w:highlight w:val="none"/>
          <w:lang w:val="en-US" w:eastAsia="zh-CN"/>
        </w:rPr>
      </w:pPr>
      <w:r>
        <w:rPr>
          <w:rFonts w:hint="eastAsia" w:ascii="宋体" w:hAnsi="宋体" w:eastAsia="宋体" w:cs="宋体"/>
          <w:color w:val="auto"/>
          <w:kern w:val="2"/>
          <w:sz w:val="24"/>
          <w:szCs w:val="22"/>
          <w:highlight w:val="none"/>
          <w:lang w:val="en-US" w:eastAsia="zh-CN"/>
        </w:rPr>
        <w:t>1</w:t>
      </w:r>
      <w:r>
        <w:rPr>
          <w:rFonts w:hint="eastAsia" w:eastAsia="宋体" w:cs="宋体"/>
          <w:color w:val="auto"/>
          <w:kern w:val="2"/>
          <w:sz w:val="24"/>
          <w:szCs w:val="22"/>
          <w:highlight w:val="none"/>
          <w:lang w:val="en-US" w:eastAsia="zh-CN"/>
        </w:rPr>
        <w:t>4</w:t>
      </w:r>
      <w:r>
        <w:rPr>
          <w:rFonts w:hint="eastAsia" w:ascii="宋体" w:hAnsi="宋体" w:eastAsia="宋体" w:cs="宋体"/>
          <w:color w:val="auto"/>
          <w:kern w:val="2"/>
          <w:sz w:val="24"/>
          <w:szCs w:val="22"/>
          <w:highlight w:val="none"/>
          <w:lang w:val="en-US" w:eastAsia="zh-CN"/>
        </w:rPr>
        <w:t>.10</w:t>
      </w:r>
      <w:r>
        <w:rPr>
          <w:rFonts w:hint="eastAsia" w:ascii="宋体" w:hAnsi="宋体" w:eastAsia="宋体" w:cs="宋体"/>
          <w:color w:val="auto"/>
          <w:kern w:val="0"/>
          <w:sz w:val="24"/>
          <w:szCs w:val="24"/>
          <w:highlight w:val="none"/>
          <w:lang w:val="en-US" w:eastAsia="zh-CN" w:bidi="ar"/>
        </w:rPr>
        <w:t>采购人不得向</w:t>
      </w:r>
      <w:r>
        <w:rPr>
          <w:rFonts w:hint="eastAsia" w:eastAsia="宋体" w:cs="宋体"/>
          <w:color w:val="auto"/>
          <w:kern w:val="0"/>
          <w:sz w:val="24"/>
          <w:szCs w:val="24"/>
          <w:highlight w:val="none"/>
          <w:lang w:val="en-US" w:eastAsia="zh-CN" w:bidi="ar"/>
        </w:rPr>
        <w:t>投标人</w:t>
      </w:r>
      <w:r>
        <w:rPr>
          <w:rFonts w:hint="eastAsia" w:ascii="宋体" w:hAnsi="宋体" w:eastAsia="宋体" w:cs="宋体"/>
          <w:color w:val="auto"/>
          <w:kern w:val="0"/>
          <w:sz w:val="24"/>
          <w:szCs w:val="24"/>
          <w:highlight w:val="none"/>
          <w:lang w:val="en-US" w:eastAsia="zh-CN" w:bidi="ar"/>
        </w:rPr>
        <w:t>索要或者接受其给予的赠品、回扣或者与采购无关的其他商品、服务。</w:t>
      </w:r>
    </w:p>
    <w:p w14:paraId="691BBD09">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color w:val="auto"/>
          <w:kern w:val="2"/>
          <w:sz w:val="24"/>
          <w:szCs w:val="28"/>
          <w:highlight w:val="none"/>
          <w:lang w:val="en-US" w:eastAsia="zh-CN" w:bidi="ar-SA"/>
        </w:rPr>
      </w:pPr>
      <w:bookmarkStart w:id="205" w:name="_Toc163492840"/>
      <w:bookmarkStart w:id="206" w:name="_Toc4011"/>
      <w:bookmarkStart w:id="207" w:name="_Toc2907"/>
      <w:bookmarkStart w:id="208" w:name="_Toc140132773"/>
      <w:bookmarkStart w:id="209" w:name="_Toc15358"/>
      <w:bookmarkStart w:id="210" w:name="_Toc11990"/>
      <w:r>
        <w:rPr>
          <w:rFonts w:hint="eastAsia" w:ascii="宋体" w:hAnsi="宋体" w:eastAsia="宋体" w:cs="宋体"/>
          <w:b/>
          <w:bCs/>
          <w:color w:val="auto"/>
          <w:kern w:val="2"/>
          <w:sz w:val="24"/>
          <w:szCs w:val="28"/>
          <w:highlight w:val="none"/>
          <w:lang w:val="en-US" w:eastAsia="zh-CN" w:bidi="ar-SA"/>
        </w:rPr>
        <w:t>15.投标有效期</w:t>
      </w:r>
      <w:bookmarkEnd w:id="205"/>
      <w:bookmarkEnd w:id="206"/>
      <w:bookmarkEnd w:id="207"/>
      <w:bookmarkEnd w:id="208"/>
      <w:bookmarkEnd w:id="209"/>
      <w:bookmarkEnd w:id="210"/>
    </w:p>
    <w:p w14:paraId="13B2B164">
      <w:pPr>
        <w:keepNext w:val="0"/>
        <w:keepLines w:val="0"/>
        <w:pageBreakBefore w:val="0"/>
        <w:widowControl w:val="0"/>
        <w:kinsoku/>
        <w:overflowPunct/>
        <w:topLinePunct w:val="0"/>
        <w:autoSpaceDE/>
        <w:autoSpaceDN/>
        <w:bidi w:val="0"/>
        <w:adjustRightInd/>
        <w:ind w:firstLine="480" w:firstLineChars="200"/>
        <w:textAlignment w:val="auto"/>
        <w:rPr>
          <w:rFonts w:hint="eastAsia" w:eastAsia="宋体" w:cs="仿宋_GB2312"/>
          <w:color w:val="auto"/>
          <w:sz w:val="24"/>
          <w:szCs w:val="24"/>
          <w:highlight w:val="none"/>
        </w:rPr>
      </w:pPr>
      <w:r>
        <w:rPr>
          <w:rFonts w:eastAsia="宋体" w:cs="仿宋_GB2312"/>
          <w:color w:val="auto"/>
          <w:sz w:val="24"/>
          <w:szCs w:val="24"/>
          <w:highlight w:val="none"/>
        </w:rPr>
        <w:t>1</w:t>
      </w:r>
      <w:r>
        <w:rPr>
          <w:rFonts w:hint="eastAsia" w:eastAsia="宋体" w:cs="仿宋_GB2312"/>
          <w:color w:val="auto"/>
          <w:sz w:val="24"/>
          <w:szCs w:val="24"/>
          <w:highlight w:val="none"/>
          <w:lang w:val="en-US" w:eastAsia="zh-CN"/>
        </w:rPr>
        <w:t>5</w:t>
      </w:r>
      <w:r>
        <w:rPr>
          <w:rFonts w:hint="eastAsia" w:eastAsia="宋体" w:cs="仿宋_GB2312"/>
          <w:color w:val="auto"/>
          <w:sz w:val="24"/>
          <w:szCs w:val="24"/>
          <w:highlight w:val="none"/>
        </w:rPr>
        <w:t xml:space="preserve">.1 </w:t>
      </w:r>
      <w:r>
        <w:rPr>
          <w:rFonts w:ascii="Arial" w:hAnsi="Arial" w:eastAsia="宋体" w:cs="Arial"/>
          <w:color w:val="auto"/>
          <w:kern w:val="0"/>
          <w:sz w:val="24"/>
          <w:szCs w:val="21"/>
          <w:highlight w:val="none"/>
          <w:lang w:val="en"/>
        </w:rPr>
        <w:t>投标有效期</w:t>
      </w:r>
      <w:r>
        <w:rPr>
          <w:rFonts w:hint="eastAsia" w:eastAsia="宋体" w:cs="仿宋_GB2312"/>
          <w:color w:val="auto"/>
          <w:sz w:val="24"/>
          <w:szCs w:val="24"/>
          <w:highlight w:val="none"/>
        </w:rPr>
        <w:t>见“</w:t>
      </w:r>
      <w:r>
        <w:rPr>
          <w:rFonts w:hint="eastAsia" w:eastAsia="宋体" w:cs="仿宋_GB2312"/>
          <w:color w:val="auto"/>
          <w:sz w:val="24"/>
          <w:szCs w:val="24"/>
          <w:highlight w:val="none"/>
          <w:lang w:val="en-US" w:eastAsia="zh-CN"/>
        </w:rPr>
        <w:t xml:space="preserve">第二章 </w:t>
      </w:r>
      <w:r>
        <w:rPr>
          <w:rFonts w:eastAsia="宋体" w:cs="仿宋_GB2312"/>
          <w:color w:val="auto"/>
          <w:sz w:val="24"/>
          <w:szCs w:val="24"/>
          <w:highlight w:val="none"/>
        </w:rPr>
        <w:t>投标人须知前附表</w:t>
      </w:r>
      <w:r>
        <w:rPr>
          <w:rFonts w:hint="eastAsia" w:eastAsia="宋体" w:cs="仿宋_GB2312"/>
          <w:color w:val="auto"/>
          <w:sz w:val="24"/>
          <w:szCs w:val="24"/>
          <w:highlight w:val="none"/>
        </w:rPr>
        <w:t>”，投标人承诺的投标有效期</w:t>
      </w:r>
      <w:r>
        <w:rPr>
          <w:rFonts w:hint="eastAsia" w:eastAsia="宋体"/>
          <w:snapToGrid w:val="0"/>
          <w:color w:val="auto"/>
          <w:sz w:val="24"/>
          <w:highlight w:val="none"/>
          <w:lang w:val="zh-CN" w:eastAsia="zh-CN"/>
        </w:rPr>
        <w:t>少于</w:t>
      </w:r>
      <w:r>
        <w:rPr>
          <w:rFonts w:hint="eastAsia" w:eastAsia="宋体"/>
          <w:snapToGrid w:val="0"/>
          <w:color w:val="auto"/>
          <w:sz w:val="24"/>
          <w:highlight w:val="none"/>
          <w:lang w:val="en-US" w:eastAsia="zh-CN"/>
        </w:rPr>
        <w:t>招标</w:t>
      </w:r>
      <w:r>
        <w:rPr>
          <w:rFonts w:hint="eastAsia" w:eastAsia="宋体"/>
          <w:snapToGrid w:val="0"/>
          <w:color w:val="auto"/>
          <w:sz w:val="24"/>
          <w:highlight w:val="none"/>
          <w:lang w:val="zh-CN" w:eastAsia="zh-CN"/>
        </w:rPr>
        <w:t>文件规定期限的，其</w:t>
      </w:r>
      <w:r>
        <w:rPr>
          <w:rFonts w:hint="eastAsia" w:eastAsia="宋体"/>
          <w:b/>
          <w:bCs/>
          <w:snapToGrid w:val="0"/>
          <w:color w:val="auto"/>
          <w:sz w:val="24"/>
          <w:highlight w:val="none"/>
          <w:lang w:val="en-US" w:eastAsia="zh-CN"/>
        </w:rPr>
        <w:t>投标</w:t>
      </w:r>
      <w:r>
        <w:rPr>
          <w:rFonts w:hint="eastAsia" w:eastAsia="宋体"/>
          <w:b/>
          <w:bCs/>
          <w:snapToGrid w:val="0"/>
          <w:color w:val="auto"/>
          <w:sz w:val="24"/>
          <w:highlight w:val="none"/>
          <w:lang w:val="zh-CN" w:eastAsia="zh-CN"/>
        </w:rPr>
        <w:t>无效</w:t>
      </w:r>
      <w:r>
        <w:rPr>
          <w:rFonts w:hint="eastAsia" w:eastAsia="宋体"/>
          <w:snapToGrid w:val="0"/>
          <w:color w:val="auto"/>
          <w:sz w:val="24"/>
          <w:highlight w:val="none"/>
          <w:lang w:val="zh-CN" w:eastAsia="zh-CN"/>
        </w:rPr>
        <w:t>。</w:t>
      </w:r>
    </w:p>
    <w:p w14:paraId="6D112F8D">
      <w:pPr>
        <w:keepNext w:val="0"/>
        <w:keepLines w:val="0"/>
        <w:pageBreakBefore w:val="0"/>
        <w:widowControl w:val="0"/>
        <w:kinsoku/>
        <w:overflowPunct/>
        <w:topLinePunct w:val="0"/>
        <w:autoSpaceDE/>
        <w:autoSpaceDN/>
        <w:bidi w:val="0"/>
        <w:adjustRightInd/>
        <w:ind w:firstLine="480" w:firstLineChars="200"/>
        <w:textAlignment w:val="auto"/>
        <w:rPr>
          <w:rFonts w:hint="default" w:eastAsia="宋体" w:cs="仿宋_GB2312"/>
          <w:color w:val="auto"/>
          <w:sz w:val="24"/>
          <w:szCs w:val="24"/>
          <w:highlight w:val="none"/>
          <w:lang w:val="en-US" w:eastAsia="zh-CN"/>
        </w:rPr>
      </w:pPr>
      <w:r>
        <w:rPr>
          <w:rFonts w:hint="eastAsia" w:eastAsia="宋体" w:cs="仿宋_GB2312"/>
          <w:color w:val="auto"/>
          <w:sz w:val="24"/>
          <w:szCs w:val="24"/>
          <w:highlight w:val="none"/>
          <w:lang w:val="en-US" w:eastAsia="zh-CN"/>
        </w:rPr>
        <w:t>15.2 投标有效期从提交投标文件的截止之日起算。投标文件中承诺的投标有效期应当不少于招标文件中载明的投标有效期。投标有效期内投标人撤销投标文件的，采购人或者采购代理机构可以不退还投标保证金。</w:t>
      </w:r>
    </w:p>
    <w:p w14:paraId="4457FE8E">
      <w:pPr>
        <w:keepNext w:val="0"/>
        <w:keepLines w:val="0"/>
        <w:pageBreakBefore w:val="0"/>
        <w:widowControl w:val="0"/>
        <w:kinsoku/>
        <w:overflowPunct/>
        <w:topLinePunct w:val="0"/>
        <w:autoSpaceDE/>
        <w:autoSpaceDN/>
        <w:bidi w:val="0"/>
        <w:adjustRightInd/>
        <w:ind w:firstLine="480" w:firstLineChars="200"/>
        <w:textAlignment w:val="auto"/>
        <w:rPr>
          <w:rFonts w:eastAsia="宋体" w:cs="仿宋_GB2312"/>
          <w:color w:val="auto"/>
          <w:sz w:val="24"/>
          <w:szCs w:val="24"/>
          <w:highlight w:val="none"/>
        </w:rPr>
      </w:pPr>
      <w:r>
        <w:rPr>
          <w:rFonts w:eastAsia="宋体" w:cs="仿宋_GB2312"/>
          <w:color w:val="auto"/>
          <w:sz w:val="24"/>
          <w:szCs w:val="24"/>
          <w:highlight w:val="none"/>
        </w:rPr>
        <w:t>1</w:t>
      </w:r>
      <w:r>
        <w:rPr>
          <w:rFonts w:hint="eastAsia" w:eastAsia="宋体" w:cs="仿宋_GB2312"/>
          <w:color w:val="auto"/>
          <w:sz w:val="24"/>
          <w:szCs w:val="24"/>
          <w:highlight w:val="none"/>
          <w:lang w:val="en-US" w:eastAsia="zh-CN"/>
        </w:rPr>
        <w:t>5</w:t>
      </w:r>
      <w:r>
        <w:rPr>
          <w:rFonts w:eastAsia="宋体" w:cs="仿宋_GB2312"/>
          <w:color w:val="auto"/>
          <w:sz w:val="24"/>
          <w:szCs w:val="24"/>
          <w:highlight w:val="none"/>
        </w:rPr>
        <w:t>.</w:t>
      </w:r>
      <w:r>
        <w:rPr>
          <w:rFonts w:hint="eastAsia" w:eastAsia="宋体" w:cs="仿宋_GB2312"/>
          <w:color w:val="auto"/>
          <w:sz w:val="24"/>
          <w:szCs w:val="24"/>
          <w:highlight w:val="none"/>
          <w:lang w:val="en-US" w:eastAsia="zh-CN"/>
        </w:rPr>
        <w:t>3</w:t>
      </w:r>
      <w:r>
        <w:rPr>
          <w:rFonts w:eastAsia="宋体" w:cs="仿宋_GB2312"/>
          <w:color w:val="auto"/>
          <w:sz w:val="24"/>
          <w:szCs w:val="24"/>
          <w:highlight w:val="none"/>
        </w:rPr>
        <w:t>特殊情况下，在原</w:t>
      </w:r>
      <w:r>
        <w:rPr>
          <w:rFonts w:hint="eastAsia" w:eastAsia="宋体" w:cs="仿宋_GB2312"/>
          <w:color w:val="auto"/>
          <w:sz w:val="24"/>
          <w:szCs w:val="24"/>
          <w:highlight w:val="none"/>
        </w:rPr>
        <w:t>投标文件</w:t>
      </w:r>
      <w:r>
        <w:rPr>
          <w:rFonts w:eastAsia="宋体" w:cs="仿宋_GB2312"/>
          <w:color w:val="auto"/>
          <w:sz w:val="24"/>
          <w:szCs w:val="24"/>
          <w:highlight w:val="none"/>
        </w:rPr>
        <w:t>有效期截止之前，采购代理机构或采购人可要求</w:t>
      </w:r>
      <w:r>
        <w:rPr>
          <w:rFonts w:hint="eastAsia" w:eastAsia="宋体" w:cs="仿宋_GB2312"/>
          <w:color w:val="auto"/>
          <w:sz w:val="24"/>
          <w:szCs w:val="24"/>
          <w:highlight w:val="none"/>
        </w:rPr>
        <w:t>投标人</w:t>
      </w:r>
      <w:r>
        <w:rPr>
          <w:rFonts w:eastAsia="宋体" w:cs="仿宋_GB2312"/>
          <w:color w:val="auto"/>
          <w:sz w:val="24"/>
          <w:szCs w:val="24"/>
          <w:highlight w:val="none"/>
        </w:rPr>
        <w:t>延长</w:t>
      </w:r>
      <w:r>
        <w:rPr>
          <w:rFonts w:hint="eastAsia" w:eastAsia="宋体" w:cs="仿宋_GB2312"/>
          <w:color w:val="auto"/>
          <w:sz w:val="24"/>
          <w:szCs w:val="24"/>
          <w:highlight w:val="none"/>
        </w:rPr>
        <w:t>投标</w:t>
      </w:r>
      <w:r>
        <w:rPr>
          <w:rFonts w:eastAsia="宋体" w:cs="仿宋_GB2312"/>
          <w:color w:val="auto"/>
          <w:sz w:val="24"/>
          <w:szCs w:val="24"/>
          <w:highlight w:val="none"/>
        </w:rPr>
        <w:t>有效期。需要延长</w:t>
      </w:r>
      <w:r>
        <w:rPr>
          <w:rFonts w:hint="eastAsia" w:eastAsia="宋体" w:cs="仿宋_GB2312"/>
          <w:color w:val="auto"/>
          <w:sz w:val="24"/>
          <w:szCs w:val="24"/>
          <w:highlight w:val="none"/>
        </w:rPr>
        <w:t>投标</w:t>
      </w:r>
      <w:r>
        <w:rPr>
          <w:rFonts w:eastAsia="宋体" w:cs="仿宋_GB2312"/>
          <w:color w:val="auto"/>
          <w:sz w:val="24"/>
          <w:szCs w:val="24"/>
          <w:highlight w:val="none"/>
        </w:rPr>
        <w:t>有效期时，采购代理机构或采购人将以书面形式通知所有</w:t>
      </w:r>
      <w:r>
        <w:rPr>
          <w:rFonts w:hint="eastAsia" w:eastAsia="宋体" w:cs="仿宋_GB2312"/>
          <w:color w:val="auto"/>
          <w:sz w:val="24"/>
          <w:szCs w:val="24"/>
          <w:highlight w:val="none"/>
        </w:rPr>
        <w:t>投标人</w:t>
      </w:r>
      <w:r>
        <w:rPr>
          <w:rFonts w:eastAsia="宋体" w:cs="仿宋_GB2312"/>
          <w:color w:val="auto"/>
          <w:sz w:val="24"/>
          <w:szCs w:val="24"/>
          <w:highlight w:val="none"/>
        </w:rPr>
        <w:t>，</w:t>
      </w:r>
      <w:r>
        <w:rPr>
          <w:rFonts w:hint="eastAsia" w:eastAsia="宋体" w:cs="仿宋_GB2312"/>
          <w:color w:val="auto"/>
          <w:sz w:val="24"/>
          <w:szCs w:val="24"/>
          <w:highlight w:val="none"/>
        </w:rPr>
        <w:t>投标人</w:t>
      </w:r>
      <w:r>
        <w:rPr>
          <w:rFonts w:eastAsia="宋体" w:cs="仿宋_GB2312"/>
          <w:color w:val="auto"/>
          <w:sz w:val="24"/>
          <w:szCs w:val="24"/>
          <w:highlight w:val="none"/>
        </w:rPr>
        <w:t>应以书面形式答复是否同意延长</w:t>
      </w:r>
      <w:r>
        <w:rPr>
          <w:rFonts w:hint="eastAsia" w:eastAsia="宋体" w:cs="仿宋_GB2312"/>
          <w:color w:val="auto"/>
          <w:sz w:val="24"/>
          <w:szCs w:val="24"/>
          <w:highlight w:val="none"/>
        </w:rPr>
        <w:t>投标</w:t>
      </w:r>
      <w:r>
        <w:rPr>
          <w:rFonts w:eastAsia="宋体" w:cs="仿宋_GB2312"/>
          <w:color w:val="auto"/>
          <w:sz w:val="24"/>
          <w:szCs w:val="24"/>
          <w:highlight w:val="none"/>
        </w:rPr>
        <w:t>有效期。</w:t>
      </w:r>
    </w:p>
    <w:p w14:paraId="2EF7720C">
      <w:pPr>
        <w:keepNext w:val="0"/>
        <w:keepLines w:val="0"/>
        <w:pageBreakBefore w:val="0"/>
        <w:widowControl w:val="0"/>
        <w:kinsoku/>
        <w:overflowPunct/>
        <w:topLinePunct w:val="0"/>
        <w:autoSpaceDE/>
        <w:autoSpaceDN/>
        <w:bidi w:val="0"/>
        <w:adjustRightInd/>
        <w:ind w:firstLine="480" w:firstLineChars="200"/>
        <w:textAlignment w:val="auto"/>
        <w:rPr>
          <w:rFonts w:eastAsia="宋体" w:cs="仿宋_GB2312"/>
          <w:color w:val="auto"/>
          <w:sz w:val="24"/>
          <w:szCs w:val="24"/>
          <w:highlight w:val="none"/>
        </w:rPr>
      </w:pPr>
      <w:r>
        <w:rPr>
          <w:rFonts w:eastAsia="宋体" w:cs="仿宋_GB2312"/>
          <w:color w:val="auto"/>
          <w:sz w:val="24"/>
          <w:szCs w:val="24"/>
          <w:highlight w:val="none"/>
        </w:rPr>
        <w:t>1</w:t>
      </w:r>
      <w:r>
        <w:rPr>
          <w:rFonts w:hint="eastAsia" w:eastAsia="宋体" w:cs="仿宋_GB2312"/>
          <w:color w:val="auto"/>
          <w:sz w:val="24"/>
          <w:szCs w:val="24"/>
          <w:highlight w:val="none"/>
          <w:lang w:val="en-US" w:eastAsia="zh-CN"/>
        </w:rPr>
        <w:t>5</w:t>
      </w:r>
      <w:r>
        <w:rPr>
          <w:rFonts w:eastAsia="宋体" w:cs="仿宋_GB2312"/>
          <w:color w:val="auto"/>
          <w:sz w:val="24"/>
          <w:szCs w:val="24"/>
          <w:highlight w:val="none"/>
        </w:rPr>
        <w:t>.</w:t>
      </w:r>
      <w:r>
        <w:rPr>
          <w:rFonts w:hint="eastAsia" w:eastAsia="宋体" w:cs="仿宋_GB2312"/>
          <w:color w:val="auto"/>
          <w:sz w:val="24"/>
          <w:szCs w:val="24"/>
          <w:highlight w:val="none"/>
          <w:lang w:val="en-US" w:eastAsia="zh-CN"/>
        </w:rPr>
        <w:t>4</w:t>
      </w:r>
      <w:r>
        <w:rPr>
          <w:rFonts w:hint="eastAsia" w:eastAsia="宋体" w:cs="仿宋_GB2312"/>
          <w:color w:val="auto"/>
          <w:sz w:val="24"/>
          <w:szCs w:val="24"/>
          <w:highlight w:val="none"/>
        </w:rPr>
        <w:t>投标人</w:t>
      </w:r>
      <w:r>
        <w:rPr>
          <w:rFonts w:eastAsia="宋体" w:cs="仿宋_GB2312"/>
          <w:color w:val="auto"/>
          <w:sz w:val="24"/>
          <w:szCs w:val="24"/>
          <w:highlight w:val="none"/>
        </w:rPr>
        <w:t>同意延长的，</w:t>
      </w:r>
      <w:r>
        <w:rPr>
          <w:rFonts w:hint="eastAsia" w:eastAsia="宋体" w:cs="宋体"/>
          <w:color w:val="auto"/>
          <w:kern w:val="2"/>
          <w:sz w:val="24"/>
          <w:szCs w:val="22"/>
          <w:highlight w:val="none"/>
          <w:lang w:val="en-US" w:eastAsia="zh-CN"/>
        </w:rPr>
        <w:t>其</w:t>
      </w:r>
      <w:r>
        <w:rPr>
          <w:rFonts w:hint="eastAsia" w:ascii="宋体" w:hAnsi="宋体" w:eastAsia="宋体" w:cs="宋体"/>
          <w:color w:val="auto"/>
          <w:kern w:val="2"/>
          <w:sz w:val="24"/>
          <w:szCs w:val="22"/>
          <w:highlight w:val="none"/>
        </w:rPr>
        <w:t>投标保证金的有效期也相应延长</w:t>
      </w:r>
      <w:r>
        <w:rPr>
          <w:rFonts w:hint="eastAsia" w:eastAsia="宋体" w:cs="宋体"/>
          <w:color w:val="auto"/>
          <w:kern w:val="2"/>
          <w:sz w:val="24"/>
          <w:szCs w:val="22"/>
          <w:highlight w:val="none"/>
          <w:lang w:eastAsia="zh-CN"/>
        </w:rPr>
        <w:t>，</w:t>
      </w:r>
      <w:r>
        <w:rPr>
          <w:rFonts w:hint="eastAsia" w:eastAsia="宋体" w:cs="宋体"/>
          <w:color w:val="auto"/>
          <w:kern w:val="2"/>
          <w:sz w:val="24"/>
          <w:szCs w:val="22"/>
          <w:highlight w:val="none"/>
          <w:lang w:val="en-US" w:eastAsia="zh-CN"/>
        </w:rPr>
        <w:t>但</w:t>
      </w:r>
      <w:r>
        <w:rPr>
          <w:rFonts w:eastAsia="宋体" w:cs="仿宋_GB2312"/>
          <w:color w:val="auto"/>
          <w:sz w:val="24"/>
          <w:szCs w:val="24"/>
          <w:highlight w:val="none"/>
        </w:rPr>
        <w:t>不得要求或被允许修改或撤销其</w:t>
      </w:r>
      <w:r>
        <w:rPr>
          <w:rFonts w:hint="eastAsia" w:eastAsia="宋体" w:cs="仿宋_GB2312"/>
          <w:color w:val="auto"/>
          <w:sz w:val="24"/>
          <w:szCs w:val="24"/>
          <w:highlight w:val="none"/>
        </w:rPr>
        <w:t>投标文件</w:t>
      </w:r>
      <w:r>
        <w:rPr>
          <w:rFonts w:eastAsia="宋体" w:cs="仿宋_GB2312"/>
          <w:color w:val="auto"/>
          <w:sz w:val="24"/>
          <w:szCs w:val="24"/>
          <w:highlight w:val="none"/>
        </w:rPr>
        <w:t>；</w:t>
      </w:r>
      <w:r>
        <w:rPr>
          <w:rFonts w:hint="eastAsia" w:eastAsia="宋体" w:cs="仿宋_GB2312"/>
          <w:color w:val="auto"/>
          <w:sz w:val="24"/>
          <w:szCs w:val="24"/>
          <w:highlight w:val="none"/>
          <w:lang w:val="en-US" w:eastAsia="zh-CN"/>
        </w:rPr>
        <w:t>投标人</w:t>
      </w:r>
      <w:r>
        <w:rPr>
          <w:rFonts w:eastAsia="宋体" w:cs="仿宋_GB2312"/>
          <w:color w:val="auto"/>
          <w:sz w:val="24"/>
          <w:szCs w:val="24"/>
          <w:highlight w:val="none"/>
        </w:rPr>
        <w:t>拒绝延长的，其</w:t>
      </w:r>
      <w:r>
        <w:rPr>
          <w:rFonts w:hint="eastAsia" w:eastAsia="宋体" w:cs="仿宋_GB2312"/>
          <w:color w:val="auto"/>
          <w:sz w:val="24"/>
          <w:szCs w:val="24"/>
          <w:highlight w:val="none"/>
        </w:rPr>
        <w:t>投标文件</w:t>
      </w:r>
      <w:r>
        <w:rPr>
          <w:rFonts w:eastAsia="宋体" w:cs="仿宋_GB2312"/>
          <w:color w:val="auto"/>
          <w:sz w:val="24"/>
          <w:szCs w:val="24"/>
          <w:highlight w:val="none"/>
        </w:rPr>
        <w:t>在原</w:t>
      </w:r>
      <w:r>
        <w:rPr>
          <w:rFonts w:hint="eastAsia" w:eastAsia="宋体" w:cs="仿宋_GB2312"/>
          <w:color w:val="auto"/>
          <w:sz w:val="24"/>
          <w:szCs w:val="24"/>
          <w:highlight w:val="none"/>
        </w:rPr>
        <w:t>投标</w:t>
      </w:r>
      <w:r>
        <w:rPr>
          <w:rFonts w:eastAsia="宋体" w:cs="仿宋_GB2312"/>
          <w:color w:val="auto"/>
          <w:sz w:val="24"/>
          <w:szCs w:val="24"/>
          <w:highlight w:val="none"/>
        </w:rPr>
        <w:t>有效期满后将不再有效</w:t>
      </w:r>
      <w:r>
        <w:rPr>
          <w:rFonts w:hint="eastAsia" w:eastAsia="宋体" w:cs="仿宋_GB2312"/>
          <w:color w:val="auto"/>
          <w:sz w:val="24"/>
          <w:szCs w:val="24"/>
          <w:highlight w:val="none"/>
          <w:lang w:eastAsia="zh-CN"/>
        </w:rPr>
        <w:t>，</w:t>
      </w:r>
      <w:r>
        <w:rPr>
          <w:rFonts w:hint="eastAsia" w:eastAsia="宋体" w:cs="仿宋_GB2312"/>
          <w:color w:val="auto"/>
          <w:sz w:val="24"/>
          <w:szCs w:val="24"/>
          <w:highlight w:val="none"/>
          <w:lang w:val="en-US" w:eastAsia="zh-CN"/>
        </w:rPr>
        <w:t>但其提交的投标保证金可予以退还</w:t>
      </w:r>
      <w:r>
        <w:rPr>
          <w:rFonts w:eastAsia="宋体" w:cs="仿宋_GB2312"/>
          <w:color w:val="auto"/>
          <w:sz w:val="24"/>
          <w:szCs w:val="24"/>
          <w:highlight w:val="none"/>
        </w:rPr>
        <w:t>。</w:t>
      </w:r>
    </w:p>
    <w:p w14:paraId="51F7C8DB">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color w:val="auto"/>
          <w:kern w:val="2"/>
          <w:sz w:val="24"/>
          <w:szCs w:val="28"/>
          <w:highlight w:val="none"/>
          <w:lang w:val="en-US" w:eastAsia="zh-CN" w:bidi="ar-SA"/>
        </w:rPr>
      </w:pPr>
      <w:bookmarkStart w:id="211" w:name="_Toc17233"/>
      <w:bookmarkStart w:id="212" w:name="_Toc22098"/>
      <w:bookmarkStart w:id="213" w:name="_Toc18088"/>
      <w:bookmarkStart w:id="214" w:name="_Toc140132774"/>
      <w:bookmarkStart w:id="215" w:name="_Toc25519"/>
      <w:bookmarkStart w:id="216" w:name="_Toc163492841"/>
      <w:r>
        <w:rPr>
          <w:rFonts w:hint="eastAsia" w:ascii="宋体" w:hAnsi="宋体" w:eastAsia="宋体" w:cs="宋体"/>
          <w:b/>
          <w:bCs/>
          <w:color w:val="auto"/>
          <w:kern w:val="2"/>
          <w:sz w:val="24"/>
          <w:szCs w:val="28"/>
          <w:highlight w:val="none"/>
          <w:lang w:val="en-US" w:eastAsia="zh-CN" w:bidi="ar-SA"/>
        </w:rPr>
        <w:t>16.投标文件的编制</w:t>
      </w:r>
      <w:bookmarkEnd w:id="211"/>
      <w:bookmarkEnd w:id="212"/>
      <w:bookmarkEnd w:id="213"/>
      <w:bookmarkEnd w:id="214"/>
      <w:bookmarkEnd w:id="215"/>
      <w:bookmarkEnd w:id="216"/>
    </w:p>
    <w:p w14:paraId="523C51E8">
      <w:pPr>
        <w:keepNext w:val="0"/>
        <w:keepLines w:val="0"/>
        <w:pageBreakBefore w:val="0"/>
        <w:widowControl w:val="0"/>
        <w:kinsoku/>
        <w:overflowPunct/>
        <w:topLinePunct w:val="0"/>
        <w:autoSpaceDE/>
        <w:autoSpaceDN/>
        <w:bidi w:val="0"/>
        <w:adjustRightInd/>
        <w:ind w:firstLine="480" w:firstLineChars="200"/>
        <w:textAlignment w:val="auto"/>
        <w:rPr>
          <w:rFonts w:eastAsia="宋体" w:cs="仿宋_GB2312"/>
          <w:color w:val="auto"/>
          <w:sz w:val="24"/>
          <w:szCs w:val="24"/>
          <w:highlight w:val="none"/>
        </w:rPr>
      </w:pPr>
      <w:r>
        <w:rPr>
          <w:rFonts w:eastAsia="宋体" w:cs="仿宋_GB2312"/>
          <w:color w:val="auto"/>
          <w:sz w:val="24"/>
          <w:szCs w:val="24"/>
          <w:highlight w:val="none"/>
        </w:rPr>
        <w:t>1</w:t>
      </w:r>
      <w:r>
        <w:rPr>
          <w:rFonts w:hint="eastAsia" w:eastAsia="宋体" w:cs="仿宋_GB2312"/>
          <w:color w:val="auto"/>
          <w:sz w:val="24"/>
          <w:szCs w:val="24"/>
          <w:highlight w:val="none"/>
          <w:lang w:val="en-US" w:eastAsia="zh-CN"/>
        </w:rPr>
        <w:t>6</w:t>
      </w:r>
      <w:r>
        <w:rPr>
          <w:rFonts w:hint="eastAsia" w:eastAsia="宋体" w:cs="仿宋_GB2312"/>
          <w:color w:val="auto"/>
          <w:sz w:val="24"/>
          <w:szCs w:val="24"/>
          <w:highlight w:val="none"/>
        </w:rPr>
        <w:t>.1投标文件应在供应商客户端中进行编制，在投标文件中要求加盖印章的，除有特殊说明之外，</w:t>
      </w:r>
      <w:r>
        <w:rPr>
          <w:rFonts w:hint="eastAsia" w:eastAsia="宋体" w:cs="仿宋_GB2312"/>
          <w:color w:val="auto"/>
          <w:sz w:val="24"/>
          <w:szCs w:val="24"/>
          <w:highlight w:val="none"/>
          <w:lang w:val="en-US" w:eastAsia="zh-CN"/>
        </w:rPr>
        <w:t>可</w:t>
      </w:r>
      <w:r>
        <w:rPr>
          <w:rFonts w:hint="eastAsia" w:eastAsia="宋体" w:cs="仿宋_GB2312"/>
          <w:color w:val="auto"/>
          <w:sz w:val="24"/>
          <w:szCs w:val="24"/>
          <w:highlight w:val="none"/>
        </w:rPr>
        <w:t>使用电子签章签署。</w:t>
      </w:r>
    </w:p>
    <w:p w14:paraId="540601F4">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rPr>
      </w:pPr>
      <w:r>
        <w:rPr>
          <w:rFonts w:eastAsia="宋体"/>
          <w:color w:val="auto"/>
          <w:sz w:val="24"/>
          <w:highlight w:val="none"/>
        </w:rPr>
        <w:t>1</w:t>
      </w:r>
      <w:r>
        <w:rPr>
          <w:rFonts w:hint="eastAsia" w:eastAsia="宋体"/>
          <w:color w:val="auto"/>
          <w:sz w:val="24"/>
          <w:highlight w:val="none"/>
          <w:lang w:val="en-US" w:eastAsia="zh-CN"/>
        </w:rPr>
        <w:t>6</w:t>
      </w:r>
      <w:r>
        <w:rPr>
          <w:rFonts w:hint="eastAsia" w:eastAsia="宋体"/>
          <w:color w:val="auto"/>
          <w:sz w:val="24"/>
          <w:highlight w:val="none"/>
        </w:rPr>
        <w:t>.</w:t>
      </w:r>
      <w:bookmarkStart w:id="217" w:name="_Hlk143528557"/>
      <w:r>
        <w:rPr>
          <w:rFonts w:eastAsia="宋体"/>
          <w:color w:val="auto"/>
          <w:sz w:val="24"/>
          <w:highlight w:val="none"/>
        </w:rPr>
        <w:t>2</w:t>
      </w:r>
      <w:r>
        <w:rPr>
          <w:rFonts w:hint="eastAsia" w:eastAsia="宋体"/>
          <w:color w:val="auto"/>
          <w:sz w:val="24"/>
          <w:highlight w:val="none"/>
        </w:rPr>
        <w:t>投标人在供应商客户端中按照供应商客户端中的格式要求填写响应内容后，生成投标文件。投标人须按照招标文件的要求使用电子签章对要求加盖印章的部分逐一进行签章。</w:t>
      </w:r>
      <w:bookmarkEnd w:id="217"/>
    </w:p>
    <w:p w14:paraId="1A7BD123">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olor w:val="auto"/>
          <w:sz w:val="24"/>
          <w:highlight w:val="none"/>
        </w:rPr>
      </w:pPr>
      <w:r>
        <w:rPr>
          <w:rFonts w:hint="eastAsia" w:ascii="宋体" w:hAnsi="宋体" w:eastAsia="宋体"/>
          <w:color w:val="auto"/>
          <w:sz w:val="24"/>
          <w:highlight w:val="none"/>
        </w:rPr>
        <w:t>1</w:t>
      </w:r>
      <w:r>
        <w:rPr>
          <w:rFonts w:hint="eastAsia" w:ascii="宋体" w:hAnsi="宋体" w:eastAsia="宋体"/>
          <w:color w:val="auto"/>
          <w:sz w:val="24"/>
          <w:highlight w:val="none"/>
          <w:lang w:val="en-US" w:eastAsia="zh-CN"/>
        </w:rPr>
        <w:t>6</w:t>
      </w:r>
      <w:r>
        <w:rPr>
          <w:rFonts w:hint="eastAsia" w:ascii="宋体" w:hAnsi="宋体" w:eastAsia="宋体"/>
          <w:color w:val="auto"/>
          <w:sz w:val="24"/>
          <w:highlight w:val="none"/>
        </w:rPr>
        <w:t>.</w:t>
      </w:r>
      <w:r>
        <w:rPr>
          <w:rFonts w:hint="eastAsia" w:ascii="宋体" w:hAnsi="宋体" w:eastAsia="宋体"/>
          <w:color w:val="auto"/>
          <w:sz w:val="24"/>
          <w:highlight w:val="none"/>
          <w:lang w:val="en-US" w:eastAsia="zh-CN"/>
        </w:rPr>
        <w:t>3</w:t>
      </w:r>
      <w:r>
        <w:rPr>
          <w:rFonts w:hint="eastAsia" w:ascii="宋体" w:hAnsi="宋体" w:eastAsia="宋体"/>
          <w:color w:val="auto"/>
          <w:sz w:val="24"/>
          <w:highlight w:val="none"/>
        </w:rPr>
        <w:t>投标人应详细阅读招标文件的全部内容。投标文件须对招标文件中的内容作出实质性和完整的响应，如果投标文件填报的内容不详，或没有提供招标文件中所要求的全部资料及数据，将可能</w:t>
      </w:r>
      <w:r>
        <w:rPr>
          <w:rFonts w:hint="eastAsia" w:ascii="宋体" w:hAnsi="宋体" w:eastAsia="宋体"/>
          <w:b/>
          <w:bCs/>
          <w:color w:val="auto"/>
          <w:sz w:val="24"/>
          <w:highlight w:val="none"/>
        </w:rPr>
        <w:t>导致</w:t>
      </w:r>
      <w:r>
        <w:rPr>
          <w:rFonts w:hint="eastAsia" w:eastAsia="宋体"/>
          <w:b/>
          <w:bCs/>
          <w:color w:val="auto"/>
          <w:sz w:val="24"/>
          <w:highlight w:val="none"/>
          <w:lang w:val="en-US" w:eastAsia="zh-CN"/>
        </w:rPr>
        <w:t>其</w:t>
      </w:r>
      <w:r>
        <w:rPr>
          <w:rFonts w:hint="eastAsia" w:ascii="宋体" w:hAnsi="宋体" w:eastAsia="宋体"/>
          <w:b/>
          <w:bCs/>
          <w:color w:val="auto"/>
          <w:sz w:val="24"/>
          <w:highlight w:val="none"/>
        </w:rPr>
        <w:t>投标</w:t>
      </w:r>
      <w:r>
        <w:rPr>
          <w:rFonts w:hint="eastAsia" w:eastAsia="宋体"/>
          <w:b/>
          <w:bCs/>
          <w:color w:val="auto"/>
          <w:sz w:val="24"/>
          <w:highlight w:val="none"/>
          <w:lang w:val="en-US" w:eastAsia="zh-CN"/>
        </w:rPr>
        <w:t>无效</w:t>
      </w:r>
      <w:r>
        <w:rPr>
          <w:rFonts w:hint="eastAsia" w:ascii="宋体" w:hAnsi="宋体" w:eastAsia="宋体"/>
          <w:color w:val="auto"/>
          <w:sz w:val="24"/>
          <w:highlight w:val="none"/>
        </w:rPr>
        <w:t>。</w:t>
      </w:r>
    </w:p>
    <w:p w14:paraId="7A6BB4B7">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olor w:val="auto"/>
          <w:sz w:val="24"/>
          <w:highlight w:val="none"/>
        </w:rPr>
      </w:pPr>
      <w:r>
        <w:rPr>
          <w:rFonts w:hint="eastAsia" w:ascii="宋体" w:hAnsi="宋体" w:eastAsia="宋体"/>
          <w:color w:val="auto"/>
          <w:sz w:val="24"/>
          <w:highlight w:val="none"/>
        </w:rPr>
        <w:t>1</w:t>
      </w:r>
      <w:r>
        <w:rPr>
          <w:rFonts w:hint="eastAsia" w:ascii="宋体" w:hAnsi="宋体" w:eastAsia="宋体"/>
          <w:color w:val="auto"/>
          <w:sz w:val="24"/>
          <w:highlight w:val="none"/>
          <w:lang w:val="en-US" w:eastAsia="zh-CN"/>
        </w:rPr>
        <w:t>6</w:t>
      </w:r>
      <w:r>
        <w:rPr>
          <w:rFonts w:hint="eastAsia" w:ascii="宋体" w:hAnsi="宋体" w:eastAsia="宋体"/>
          <w:color w:val="auto"/>
          <w:sz w:val="24"/>
          <w:highlight w:val="none"/>
        </w:rPr>
        <w:t>.</w:t>
      </w:r>
      <w:r>
        <w:rPr>
          <w:rFonts w:hint="eastAsia" w:ascii="宋体" w:hAnsi="宋体" w:eastAsia="宋体"/>
          <w:color w:val="auto"/>
          <w:sz w:val="24"/>
          <w:highlight w:val="none"/>
          <w:lang w:val="en-US" w:eastAsia="zh-CN"/>
        </w:rPr>
        <w:t>4</w:t>
      </w:r>
      <w:r>
        <w:rPr>
          <w:rFonts w:hint="eastAsia" w:ascii="宋体" w:hAnsi="宋体" w:eastAsia="宋体"/>
          <w:color w:val="auto"/>
          <w:sz w:val="24"/>
          <w:highlight w:val="none"/>
        </w:rPr>
        <w:t>投标文件须严格按照</w:t>
      </w:r>
      <w:r>
        <w:rPr>
          <w:rFonts w:hint="eastAsia" w:ascii="宋体" w:hAnsi="宋体" w:eastAsia="宋体"/>
          <w:color w:val="auto"/>
          <w:sz w:val="24"/>
          <w:highlight w:val="none"/>
          <w:lang w:val="en-US" w:eastAsia="zh-CN"/>
        </w:rPr>
        <w:t>本</w:t>
      </w:r>
      <w:r>
        <w:rPr>
          <w:rFonts w:hint="eastAsia" w:ascii="宋体" w:hAnsi="宋体" w:eastAsia="宋体"/>
          <w:color w:val="auto"/>
          <w:sz w:val="24"/>
          <w:highlight w:val="none"/>
        </w:rPr>
        <w:t>招标文件第</w:t>
      </w:r>
      <w:r>
        <w:rPr>
          <w:rFonts w:hint="eastAsia" w:ascii="宋体" w:hAnsi="宋体" w:eastAsia="宋体"/>
          <w:color w:val="auto"/>
          <w:sz w:val="24"/>
          <w:highlight w:val="none"/>
          <w:lang w:val="en-US" w:eastAsia="zh-CN"/>
        </w:rPr>
        <w:t>七章</w:t>
      </w:r>
      <w:r>
        <w:rPr>
          <w:rFonts w:hint="eastAsia" w:ascii="宋体" w:hAnsi="宋体" w:eastAsia="宋体"/>
          <w:color w:val="auto"/>
          <w:sz w:val="24"/>
          <w:highlight w:val="none"/>
        </w:rPr>
        <w:t>规定的格式提交，并按规定的统一格式逐项填写，不准有空项；无相应内容可填的项，应填写“无”、“未测试”、“没有相应指标”等明确的回答文字。由于编排混乱导致投标文件被误读或查找不到，其责任由投标人承担。</w:t>
      </w:r>
    </w:p>
    <w:p w14:paraId="10A9DC8A">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olor w:val="auto"/>
          <w:sz w:val="24"/>
          <w:highlight w:val="none"/>
        </w:rPr>
      </w:pPr>
      <w:r>
        <w:rPr>
          <w:rFonts w:hint="eastAsia" w:eastAsia="宋体"/>
          <w:color w:val="auto"/>
          <w:sz w:val="24"/>
          <w:highlight w:val="none"/>
          <w:lang w:val="en-US" w:eastAsia="zh-CN"/>
        </w:rPr>
        <w:t>16.5货物的</w:t>
      </w:r>
      <w:r>
        <w:rPr>
          <w:rFonts w:hint="eastAsia" w:ascii="宋体" w:hAnsi="宋体" w:eastAsia="宋体"/>
          <w:color w:val="auto"/>
          <w:sz w:val="24"/>
          <w:highlight w:val="none"/>
          <w:lang w:val="en-US" w:eastAsia="zh-CN"/>
        </w:rPr>
        <w:t>技术参数有具体数值要求的，</w:t>
      </w:r>
      <w:r>
        <w:rPr>
          <w:rFonts w:hint="eastAsia" w:eastAsia="宋体"/>
          <w:color w:val="auto"/>
          <w:sz w:val="24"/>
          <w:highlight w:val="none"/>
          <w:lang w:val="en-US" w:eastAsia="zh-CN"/>
        </w:rPr>
        <w:t>且招标</w:t>
      </w:r>
      <w:r>
        <w:rPr>
          <w:rFonts w:hint="eastAsia" w:ascii="宋体" w:hAnsi="宋体" w:eastAsia="宋体"/>
          <w:color w:val="auto"/>
          <w:sz w:val="24"/>
          <w:highlight w:val="none"/>
          <w:lang w:val="en-US" w:eastAsia="zh-CN"/>
        </w:rPr>
        <w:t>文件要求</w:t>
      </w:r>
      <w:r>
        <w:rPr>
          <w:rFonts w:hint="eastAsia" w:eastAsia="宋体"/>
          <w:color w:val="auto"/>
          <w:sz w:val="24"/>
          <w:highlight w:val="none"/>
          <w:lang w:val="en-US" w:eastAsia="zh-CN"/>
        </w:rPr>
        <w:t>投标人</w:t>
      </w:r>
      <w:r>
        <w:rPr>
          <w:rFonts w:hint="eastAsia" w:ascii="宋体" w:hAnsi="宋体" w:eastAsia="宋体"/>
          <w:color w:val="auto"/>
          <w:sz w:val="24"/>
          <w:highlight w:val="none"/>
          <w:lang w:val="en-US" w:eastAsia="zh-CN"/>
        </w:rPr>
        <w:t>提供响应产品彩页、检验检测报告、厂家使用说明书等证明材料，</w:t>
      </w:r>
      <w:r>
        <w:rPr>
          <w:rFonts w:hint="eastAsia" w:eastAsia="宋体"/>
          <w:color w:val="auto"/>
          <w:sz w:val="24"/>
          <w:highlight w:val="none"/>
          <w:lang w:val="en-US" w:eastAsia="zh-CN"/>
        </w:rPr>
        <w:t>则投标人</w:t>
      </w:r>
      <w:r>
        <w:rPr>
          <w:rFonts w:hint="eastAsia" w:ascii="宋体" w:hAnsi="宋体" w:eastAsia="宋体"/>
          <w:color w:val="auto"/>
          <w:sz w:val="24"/>
          <w:highlight w:val="none"/>
          <w:lang w:val="en-US" w:eastAsia="zh-CN"/>
        </w:rPr>
        <w:t>在技术参数响应表中</w:t>
      </w:r>
      <w:r>
        <w:rPr>
          <w:rFonts w:hint="eastAsia" w:eastAsia="宋体"/>
          <w:color w:val="auto"/>
          <w:sz w:val="24"/>
          <w:highlight w:val="none"/>
          <w:lang w:val="en-US" w:eastAsia="zh-CN"/>
        </w:rPr>
        <w:t>须</w:t>
      </w:r>
      <w:r>
        <w:rPr>
          <w:rFonts w:hint="eastAsia" w:ascii="宋体" w:hAnsi="宋体" w:eastAsia="宋体"/>
          <w:color w:val="auto"/>
          <w:sz w:val="24"/>
          <w:highlight w:val="none"/>
          <w:lang w:val="en-US" w:eastAsia="zh-CN"/>
        </w:rPr>
        <w:t>标注产品实际参数数值，照搬照抄</w:t>
      </w:r>
      <w:r>
        <w:rPr>
          <w:rFonts w:hint="eastAsia" w:eastAsia="宋体"/>
          <w:color w:val="auto"/>
          <w:sz w:val="24"/>
          <w:highlight w:val="none"/>
          <w:lang w:val="en-US" w:eastAsia="zh-CN"/>
        </w:rPr>
        <w:t>招标</w:t>
      </w:r>
      <w:r>
        <w:rPr>
          <w:rFonts w:hint="eastAsia" w:ascii="宋体" w:hAnsi="宋体" w:eastAsia="宋体"/>
          <w:color w:val="auto"/>
          <w:sz w:val="24"/>
          <w:highlight w:val="none"/>
          <w:lang w:val="en-US" w:eastAsia="zh-CN"/>
        </w:rPr>
        <w:t>文件参数、不注明实际数值者</w:t>
      </w:r>
      <w:r>
        <w:rPr>
          <w:rFonts w:hint="eastAsia" w:ascii="宋体" w:hAnsi="宋体" w:eastAsia="宋体"/>
          <w:b/>
          <w:bCs/>
          <w:color w:val="auto"/>
          <w:sz w:val="24"/>
          <w:highlight w:val="none"/>
          <w:lang w:val="en-US" w:eastAsia="zh-CN"/>
        </w:rPr>
        <w:t>视为未响应</w:t>
      </w:r>
      <w:r>
        <w:rPr>
          <w:rFonts w:hint="eastAsia" w:ascii="宋体" w:hAnsi="宋体" w:eastAsia="宋体"/>
          <w:color w:val="auto"/>
          <w:sz w:val="24"/>
          <w:highlight w:val="none"/>
          <w:lang w:val="en-US" w:eastAsia="zh-CN"/>
        </w:rPr>
        <w:t>。</w:t>
      </w:r>
    </w:p>
    <w:p w14:paraId="4B72F25A">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olor w:val="auto"/>
          <w:sz w:val="24"/>
          <w:highlight w:val="none"/>
        </w:rPr>
      </w:pPr>
      <w:r>
        <w:rPr>
          <w:rFonts w:hint="eastAsia" w:ascii="宋体" w:hAnsi="宋体" w:eastAsia="宋体"/>
          <w:color w:val="auto"/>
          <w:sz w:val="24"/>
          <w:highlight w:val="none"/>
        </w:rPr>
        <w:t>1</w:t>
      </w:r>
      <w:r>
        <w:rPr>
          <w:rFonts w:hint="eastAsia" w:ascii="宋体" w:hAnsi="宋体" w:eastAsia="宋体"/>
          <w:color w:val="auto"/>
          <w:sz w:val="24"/>
          <w:highlight w:val="none"/>
          <w:lang w:val="en-US" w:eastAsia="zh-CN"/>
        </w:rPr>
        <w:t>6</w:t>
      </w:r>
      <w:r>
        <w:rPr>
          <w:rFonts w:hint="eastAsia" w:ascii="宋体" w:hAnsi="宋体" w:eastAsia="宋体"/>
          <w:color w:val="auto"/>
          <w:sz w:val="24"/>
          <w:highlight w:val="none"/>
        </w:rPr>
        <w:t>.</w:t>
      </w:r>
      <w:r>
        <w:rPr>
          <w:rFonts w:hint="eastAsia" w:eastAsia="宋体"/>
          <w:color w:val="auto"/>
          <w:sz w:val="24"/>
          <w:highlight w:val="none"/>
          <w:lang w:val="en-US" w:eastAsia="zh-CN"/>
        </w:rPr>
        <w:t>6</w:t>
      </w:r>
      <w:r>
        <w:rPr>
          <w:rFonts w:hint="eastAsia" w:ascii="宋体" w:hAnsi="宋体" w:eastAsia="宋体"/>
          <w:color w:val="auto"/>
          <w:sz w:val="24"/>
          <w:highlight w:val="none"/>
        </w:rPr>
        <w:t>开标一览表为在开标</w:t>
      </w:r>
      <w:r>
        <w:rPr>
          <w:rFonts w:hint="eastAsia" w:eastAsia="宋体"/>
          <w:color w:val="auto"/>
          <w:sz w:val="24"/>
          <w:highlight w:val="none"/>
          <w:lang w:val="en-US" w:eastAsia="zh-CN"/>
        </w:rPr>
        <w:t>时</w:t>
      </w:r>
      <w:r>
        <w:rPr>
          <w:rFonts w:hint="eastAsia" w:ascii="宋体" w:hAnsi="宋体" w:eastAsia="宋体"/>
          <w:color w:val="auto"/>
          <w:sz w:val="24"/>
          <w:highlight w:val="none"/>
        </w:rPr>
        <w:t>唱标的内容，要求按格式统一填写，不得自行增减内容。</w:t>
      </w:r>
    </w:p>
    <w:p w14:paraId="499D7059">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olor w:val="auto"/>
          <w:sz w:val="24"/>
          <w:highlight w:val="none"/>
        </w:rPr>
      </w:pPr>
      <w:r>
        <w:rPr>
          <w:rFonts w:hint="eastAsia" w:ascii="宋体" w:hAnsi="宋体" w:eastAsia="宋体"/>
          <w:color w:val="auto"/>
          <w:sz w:val="24"/>
          <w:highlight w:val="none"/>
        </w:rPr>
        <w:t>1</w:t>
      </w:r>
      <w:r>
        <w:rPr>
          <w:rFonts w:hint="eastAsia" w:ascii="宋体" w:hAnsi="宋体" w:eastAsia="宋体"/>
          <w:color w:val="auto"/>
          <w:sz w:val="24"/>
          <w:highlight w:val="none"/>
          <w:lang w:val="en-US" w:eastAsia="zh-CN"/>
        </w:rPr>
        <w:t>6</w:t>
      </w:r>
      <w:r>
        <w:rPr>
          <w:rFonts w:hint="eastAsia" w:ascii="宋体" w:hAnsi="宋体" w:eastAsia="宋体"/>
          <w:color w:val="auto"/>
          <w:sz w:val="24"/>
          <w:highlight w:val="none"/>
        </w:rPr>
        <w:t>.</w:t>
      </w:r>
      <w:r>
        <w:rPr>
          <w:rFonts w:hint="eastAsia" w:eastAsia="宋体"/>
          <w:color w:val="auto"/>
          <w:sz w:val="24"/>
          <w:highlight w:val="none"/>
          <w:lang w:val="en-US" w:eastAsia="zh-CN"/>
        </w:rPr>
        <w:t>7</w:t>
      </w:r>
      <w:r>
        <w:rPr>
          <w:rFonts w:hint="eastAsia" w:ascii="宋体" w:hAnsi="宋体" w:eastAsia="宋体"/>
          <w:color w:val="auto"/>
          <w:sz w:val="24"/>
          <w:highlight w:val="none"/>
        </w:rPr>
        <w:t>投标人须注意：为合理节约政府采购评审成本，提倡诚实信用的投标行为，特别要求投标人应本着诚信精神，在本次投标文件的偏离表中，均以审慎的态度明确、清楚地披露各项偏离。若投标人对某一事项是否存在或是否属于偏离不能确定，亦必须在偏离表中清楚地表明该偏离事项，并可以注明不能确定的字样。任何情况下，对于投标人没有在偏离表中明确、清楚地披露的事项，包括可能属于被投标人在偏离表中遗漏披露的事项，一旦在评审中被发现存在偏离或被认定为属于偏离，则评标委员会有权视具体情形评审时</w:t>
      </w:r>
      <w:r>
        <w:rPr>
          <w:rFonts w:hint="eastAsia" w:eastAsia="宋体"/>
          <w:color w:val="auto"/>
          <w:sz w:val="24"/>
          <w:highlight w:val="none"/>
          <w:lang w:val="en-US" w:eastAsia="zh-CN"/>
        </w:rPr>
        <w:t>按</w:t>
      </w:r>
      <w:r>
        <w:rPr>
          <w:rFonts w:hint="eastAsia" w:eastAsia="宋体"/>
          <w:b/>
          <w:bCs/>
          <w:color w:val="auto"/>
          <w:sz w:val="24"/>
          <w:highlight w:val="none"/>
          <w:lang w:val="en-US" w:eastAsia="zh-CN"/>
        </w:rPr>
        <w:t>无效投标</w:t>
      </w:r>
      <w:r>
        <w:rPr>
          <w:rFonts w:hint="eastAsia" w:ascii="宋体" w:hAnsi="宋体" w:eastAsia="宋体"/>
          <w:color w:val="auto"/>
          <w:sz w:val="24"/>
          <w:highlight w:val="none"/>
        </w:rPr>
        <w:t>处理。</w:t>
      </w:r>
    </w:p>
    <w:p w14:paraId="7DBECB06">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olor w:val="auto"/>
          <w:sz w:val="24"/>
          <w:highlight w:val="none"/>
        </w:rPr>
      </w:pPr>
      <w:r>
        <w:rPr>
          <w:rFonts w:hint="eastAsia" w:ascii="宋体" w:hAnsi="宋体" w:eastAsia="宋体"/>
          <w:color w:val="auto"/>
          <w:sz w:val="24"/>
          <w:highlight w:val="none"/>
        </w:rPr>
        <w:t>1</w:t>
      </w:r>
      <w:r>
        <w:rPr>
          <w:rFonts w:hint="eastAsia" w:ascii="宋体" w:hAnsi="宋体" w:eastAsia="宋体"/>
          <w:color w:val="auto"/>
          <w:sz w:val="24"/>
          <w:highlight w:val="none"/>
          <w:lang w:val="en-US" w:eastAsia="zh-CN"/>
        </w:rPr>
        <w:t>6</w:t>
      </w:r>
      <w:r>
        <w:rPr>
          <w:rFonts w:hint="eastAsia" w:ascii="宋体" w:hAnsi="宋体" w:eastAsia="宋体"/>
          <w:color w:val="auto"/>
          <w:sz w:val="24"/>
          <w:highlight w:val="none"/>
        </w:rPr>
        <w:t>.</w:t>
      </w:r>
      <w:r>
        <w:rPr>
          <w:rFonts w:hint="eastAsia" w:eastAsia="宋体"/>
          <w:color w:val="auto"/>
          <w:sz w:val="24"/>
          <w:highlight w:val="none"/>
          <w:lang w:val="en-US" w:eastAsia="zh-CN"/>
        </w:rPr>
        <w:t>8</w:t>
      </w:r>
      <w:r>
        <w:rPr>
          <w:rFonts w:hint="eastAsia" w:ascii="宋体" w:hAnsi="宋体" w:eastAsia="宋体"/>
          <w:color w:val="auto"/>
          <w:sz w:val="24"/>
          <w:highlight w:val="none"/>
        </w:rPr>
        <w:t>投标人必须保证投标文件所提供的全部资料真实可靠，并接受采购</w:t>
      </w:r>
      <w:r>
        <w:rPr>
          <w:rFonts w:hint="eastAsia" w:ascii="宋体" w:hAnsi="宋体" w:eastAsia="宋体"/>
          <w:color w:val="auto"/>
          <w:sz w:val="24"/>
          <w:highlight w:val="none"/>
          <w:lang w:val="en-US" w:eastAsia="zh-CN"/>
        </w:rPr>
        <w:t>人、采购</w:t>
      </w:r>
      <w:r>
        <w:rPr>
          <w:rFonts w:hint="eastAsia" w:ascii="宋体" w:hAnsi="宋体" w:eastAsia="宋体"/>
          <w:color w:val="auto"/>
          <w:sz w:val="24"/>
          <w:highlight w:val="none"/>
        </w:rPr>
        <w:t>代理机构或评标委员会对其中任何资料进一步审查的要求。</w:t>
      </w:r>
    </w:p>
    <w:p w14:paraId="7AE3718F">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olor w:val="auto"/>
          <w:sz w:val="24"/>
          <w:highlight w:val="none"/>
        </w:rPr>
      </w:pPr>
      <w:r>
        <w:rPr>
          <w:rFonts w:hint="eastAsia" w:ascii="宋体" w:hAnsi="宋体" w:eastAsia="宋体"/>
          <w:color w:val="auto"/>
          <w:sz w:val="24"/>
          <w:highlight w:val="none"/>
        </w:rPr>
        <w:t>1</w:t>
      </w:r>
      <w:r>
        <w:rPr>
          <w:rFonts w:hint="eastAsia" w:ascii="宋体" w:hAnsi="宋体" w:eastAsia="宋体"/>
          <w:color w:val="auto"/>
          <w:sz w:val="24"/>
          <w:highlight w:val="none"/>
          <w:lang w:val="en-US" w:eastAsia="zh-CN"/>
        </w:rPr>
        <w:t>6</w:t>
      </w:r>
      <w:r>
        <w:rPr>
          <w:rFonts w:hint="eastAsia" w:ascii="宋体" w:hAnsi="宋体" w:eastAsia="宋体"/>
          <w:color w:val="auto"/>
          <w:sz w:val="24"/>
          <w:highlight w:val="none"/>
        </w:rPr>
        <w:t>.</w:t>
      </w:r>
      <w:r>
        <w:rPr>
          <w:rFonts w:hint="eastAsia" w:eastAsia="宋体"/>
          <w:color w:val="auto"/>
          <w:sz w:val="24"/>
          <w:highlight w:val="none"/>
          <w:lang w:val="en-US" w:eastAsia="zh-CN"/>
        </w:rPr>
        <w:t>9</w:t>
      </w:r>
      <w:r>
        <w:rPr>
          <w:rFonts w:hint="eastAsia" w:ascii="宋体" w:hAnsi="宋体" w:eastAsia="宋体"/>
          <w:color w:val="auto"/>
          <w:sz w:val="24"/>
          <w:highlight w:val="none"/>
        </w:rPr>
        <w:t>投标人在投标文件及相关文件的签订、履行、通知等事项的文件中的单位盖章、印章、公章等处均指与当事人全称相一致的标准公章，不得使用其他形式（如带有“专用章”等字样的印章）。不符合本条规定的按</w:t>
      </w:r>
      <w:r>
        <w:rPr>
          <w:rFonts w:hint="eastAsia" w:ascii="宋体" w:hAnsi="宋体" w:eastAsia="宋体"/>
          <w:b/>
          <w:bCs/>
          <w:color w:val="auto"/>
          <w:sz w:val="24"/>
          <w:highlight w:val="none"/>
        </w:rPr>
        <w:t>无效投标</w:t>
      </w:r>
      <w:r>
        <w:rPr>
          <w:rFonts w:hint="eastAsia" w:ascii="宋体" w:hAnsi="宋体" w:eastAsia="宋体"/>
          <w:color w:val="auto"/>
          <w:sz w:val="24"/>
          <w:highlight w:val="none"/>
        </w:rPr>
        <w:t>处理。</w:t>
      </w:r>
    </w:p>
    <w:p w14:paraId="323B93DE">
      <w:pPr>
        <w:pStyle w:val="57"/>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theme="minorBidi"/>
          <w:iCs/>
          <w:color w:val="auto"/>
          <w:kern w:val="2"/>
          <w:sz w:val="24"/>
          <w:szCs w:val="22"/>
          <w:highlight w:val="none"/>
          <w:shd w:val="clear" w:color="auto" w:fill="FFFFFF" w:themeFill="background1"/>
          <w:lang w:val="en-US" w:eastAsia="zh-CN" w:bidi="ar-SA"/>
        </w:rPr>
      </w:pPr>
      <w:r>
        <w:rPr>
          <w:rFonts w:hint="eastAsia" w:ascii="宋体" w:hAnsi="宋体" w:eastAsia="宋体" w:cstheme="minorBidi"/>
          <w:iCs/>
          <w:color w:val="auto"/>
          <w:kern w:val="2"/>
          <w:sz w:val="24"/>
          <w:szCs w:val="22"/>
          <w:highlight w:val="none"/>
          <w:shd w:val="clear" w:color="auto" w:fill="FFFFFF" w:themeFill="background1"/>
          <w:lang w:val="en-US" w:eastAsia="zh-CN" w:bidi="ar-SA"/>
        </w:rPr>
        <w:t>16.10电子投标文件的编制</w:t>
      </w:r>
    </w:p>
    <w:p w14:paraId="072DFFA4">
      <w:pPr>
        <w:pStyle w:val="57"/>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theme="minorBidi"/>
          <w:iCs/>
          <w:color w:val="auto"/>
          <w:kern w:val="2"/>
          <w:sz w:val="24"/>
          <w:szCs w:val="22"/>
          <w:highlight w:val="none"/>
          <w:shd w:val="clear" w:color="auto" w:fill="FFFFFF" w:themeFill="background1"/>
          <w:lang w:val="en-US" w:eastAsia="zh-CN" w:bidi="ar-SA"/>
        </w:rPr>
      </w:pPr>
      <w:r>
        <w:rPr>
          <w:rFonts w:hint="eastAsia" w:ascii="宋体" w:hAnsi="宋体" w:eastAsia="宋体" w:cstheme="minorBidi"/>
          <w:iCs/>
          <w:color w:val="auto"/>
          <w:kern w:val="2"/>
          <w:sz w:val="24"/>
          <w:szCs w:val="22"/>
          <w:highlight w:val="none"/>
          <w:shd w:val="clear" w:color="auto" w:fill="FFFFFF" w:themeFill="background1"/>
          <w:lang w:val="en-US" w:eastAsia="zh-CN" w:bidi="ar-SA"/>
        </w:rPr>
        <w:t xml:space="preserve">16.10.1电子投标文件需按招标文件要求进行制作编制。投标文件制作时，不同内容按标签提示制作导入，按照招标文件中明确的投标文件目录和格式进行编制，保证目录清晰、内容完整；           </w:t>
      </w:r>
    </w:p>
    <w:p w14:paraId="51F1928B">
      <w:pPr>
        <w:pStyle w:val="57"/>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theme="minorBidi"/>
          <w:iCs/>
          <w:color w:val="auto"/>
          <w:kern w:val="2"/>
          <w:sz w:val="24"/>
          <w:szCs w:val="22"/>
          <w:highlight w:val="none"/>
          <w:shd w:val="clear" w:color="auto" w:fill="FFFFFF" w:themeFill="background1"/>
          <w:lang w:val="en-US" w:eastAsia="zh-CN" w:bidi="ar-SA"/>
        </w:rPr>
      </w:pPr>
      <w:r>
        <w:rPr>
          <w:rFonts w:hint="eastAsia" w:ascii="宋体" w:hAnsi="宋体" w:eastAsia="宋体" w:cstheme="minorBidi"/>
          <w:iCs/>
          <w:color w:val="auto"/>
          <w:kern w:val="2"/>
          <w:sz w:val="24"/>
          <w:szCs w:val="22"/>
          <w:highlight w:val="none"/>
          <w:shd w:val="clear" w:color="auto" w:fill="FFFFFF" w:themeFill="background1"/>
          <w:lang w:val="en-US" w:eastAsia="zh-CN" w:bidi="ar-SA"/>
        </w:rPr>
        <w:t>16.10.2电子招投标文件具有法律效力，与其他形式的招投标文件在内容和格式上等同，若投标文件与招标文件要求不一致，其内容影响中标结果时，责任由投标人自行承担。投标人递交的电子投标文件因投标人自身原因而导致无法导入电子辅助评标系统，该投标文件视为无效投标文件，</w:t>
      </w:r>
      <w:r>
        <w:rPr>
          <w:rFonts w:hint="eastAsia" w:ascii="宋体" w:hAnsi="宋体" w:eastAsia="宋体" w:cstheme="minorBidi"/>
          <w:b/>
          <w:bCs/>
          <w:iCs/>
          <w:color w:val="auto"/>
          <w:kern w:val="2"/>
          <w:sz w:val="24"/>
          <w:szCs w:val="22"/>
          <w:highlight w:val="none"/>
          <w:shd w:val="clear" w:color="auto" w:fill="FFFFFF" w:themeFill="background1"/>
          <w:lang w:val="en-US" w:eastAsia="zh-CN" w:bidi="ar-SA"/>
        </w:rPr>
        <w:t>其投标无效</w:t>
      </w:r>
      <w:r>
        <w:rPr>
          <w:rFonts w:hint="eastAsia" w:ascii="宋体" w:hAnsi="宋体" w:eastAsia="宋体" w:cstheme="minorBidi"/>
          <w:iCs/>
          <w:color w:val="auto"/>
          <w:kern w:val="2"/>
          <w:sz w:val="24"/>
          <w:szCs w:val="22"/>
          <w:highlight w:val="none"/>
          <w:shd w:val="clear" w:color="auto" w:fill="FFFFFF" w:themeFill="background1"/>
          <w:lang w:val="en-US" w:eastAsia="zh-CN" w:bidi="ar-SA"/>
        </w:rPr>
        <w:t xml:space="preserve">。 </w:t>
      </w:r>
    </w:p>
    <w:p w14:paraId="6B2E6D6A">
      <w:pPr>
        <w:pStyle w:val="4"/>
        <w:keepNext w:val="0"/>
        <w:keepLines w:val="0"/>
        <w:pageBreakBefore w:val="0"/>
        <w:widowControl w:val="0"/>
        <w:numPr>
          <w:ilvl w:val="0"/>
          <w:numId w:val="0"/>
        </w:numPr>
        <w:kinsoku/>
        <w:wordWrap/>
        <w:overflowPunct/>
        <w:topLinePunct w:val="0"/>
        <w:autoSpaceDE/>
        <w:autoSpaceDN/>
        <w:bidi w:val="0"/>
        <w:adjustRightInd/>
        <w:snapToGrid/>
        <w:spacing w:before="100" w:after="100" w:line="240" w:lineRule="auto"/>
        <w:ind w:left="420" w:leftChars="0" w:hanging="420" w:firstLineChars="0"/>
        <w:textAlignment w:val="auto"/>
        <w:rPr>
          <w:rFonts w:hint="eastAsia" w:ascii="宋体" w:hAnsi="宋体" w:eastAsia="宋体" w:cstheme="minorBidi"/>
          <w:b/>
          <w:bCs/>
          <w:color w:val="auto"/>
          <w:kern w:val="2"/>
          <w:sz w:val="24"/>
          <w:szCs w:val="32"/>
          <w:highlight w:val="none"/>
          <w:lang w:val="en-US" w:eastAsia="zh-CN" w:bidi="ar-SA"/>
        </w:rPr>
      </w:pPr>
      <w:bookmarkStart w:id="218" w:name="_Toc29237"/>
      <w:bookmarkStart w:id="219" w:name="_Toc4470"/>
      <w:bookmarkStart w:id="220" w:name="_Toc3198"/>
      <w:bookmarkStart w:id="221" w:name="_Toc155185873"/>
      <w:bookmarkStart w:id="222" w:name="_Toc17210"/>
      <w:bookmarkStart w:id="223" w:name="_Toc163492842"/>
      <w:r>
        <w:rPr>
          <w:rFonts w:hint="eastAsia" w:ascii="宋体" w:hAnsi="宋体" w:eastAsia="宋体" w:cstheme="minorBidi"/>
          <w:b/>
          <w:bCs/>
          <w:color w:val="auto"/>
          <w:kern w:val="2"/>
          <w:sz w:val="24"/>
          <w:szCs w:val="32"/>
          <w:highlight w:val="none"/>
          <w:lang w:val="en-US" w:eastAsia="zh-CN" w:bidi="ar-SA"/>
        </w:rPr>
        <w:t>（四）投标</w:t>
      </w:r>
      <w:bookmarkEnd w:id="218"/>
      <w:bookmarkEnd w:id="219"/>
      <w:bookmarkEnd w:id="220"/>
      <w:bookmarkEnd w:id="221"/>
      <w:bookmarkEnd w:id="222"/>
      <w:bookmarkEnd w:id="223"/>
    </w:p>
    <w:p w14:paraId="386CC8EA">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color w:val="auto"/>
          <w:kern w:val="2"/>
          <w:sz w:val="24"/>
          <w:szCs w:val="28"/>
          <w:highlight w:val="none"/>
          <w:lang w:val="en-US" w:eastAsia="zh-CN" w:bidi="ar-SA"/>
        </w:rPr>
      </w:pPr>
      <w:bookmarkStart w:id="224" w:name="_Toc28270"/>
      <w:bookmarkStart w:id="225" w:name="_Toc18595"/>
      <w:bookmarkStart w:id="226" w:name="_Toc4876"/>
      <w:bookmarkStart w:id="227" w:name="_Toc22324"/>
      <w:bookmarkStart w:id="228" w:name="_Toc163492843"/>
      <w:r>
        <w:rPr>
          <w:rFonts w:hint="eastAsia" w:ascii="宋体" w:hAnsi="宋体" w:eastAsia="宋体" w:cs="宋体"/>
          <w:b/>
          <w:bCs/>
          <w:color w:val="auto"/>
          <w:kern w:val="2"/>
          <w:sz w:val="24"/>
          <w:szCs w:val="28"/>
          <w:highlight w:val="none"/>
          <w:lang w:val="en-US" w:eastAsia="zh-CN" w:bidi="ar-SA"/>
        </w:rPr>
        <w:t>17.投标保证金</w:t>
      </w:r>
      <w:bookmarkEnd w:id="224"/>
      <w:bookmarkEnd w:id="225"/>
      <w:bookmarkEnd w:id="226"/>
      <w:bookmarkEnd w:id="227"/>
    </w:p>
    <w:p w14:paraId="1182B9BB">
      <w:pPr>
        <w:pStyle w:val="57"/>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theme="minorBidi"/>
          <w:iCs/>
          <w:color w:val="auto"/>
          <w:kern w:val="2"/>
          <w:sz w:val="24"/>
          <w:szCs w:val="22"/>
          <w:highlight w:val="none"/>
          <w:shd w:val="clear" w:color="auto" w:fill="FFFFFF" w:themeFill="background1"/>
          <w:lang w:val="en-US" w:eastAsia="zh-CN" w:bidi="ar-SA"/>
        </w:rPr>
      </w:pPr>
      <w:r>
        <w:rPr>
          <w:rFonts w:hint="eastAsia" w:ascii="宋体" w:hAnsi="宋体" w:eastAsia="宋体" w:cstheme="minorBidi"/>
          <w:iCs/>
          <w:color w:val="auto"/>
          <w:kern w:val="2"/>
          <w:sz w:val="24"/>
          <w:szCs w:val="22"/>
          <w:highlight w:val="none"/>
          <w:shd w:val="clear" w:color="auto" w:fill="FFFFFF" w:themeFill="background1"/>
          <w:lang w:val="en-US" w:eastAsia="zh-CN" w:bidi="ar-SA"/>
        </w:rPr>
        <w:t>17.1投标人应按照招标文件“第二章 投标人须知前附表”规定的金额及要求提交投标保证金。投标人自愿超额缴纳投标保证金的，投标文件不做无效处理。</w:t>
      </w:r>
    </w:p>
    <w:p w14:paraId="370C7C1E">
      <w:pPr>
        <w:keepNext w:val="0"/>
        <w:keepLines w:val="0"/>
        <w:pageBreakBefore w:val="0"/>
        <w:widowControl w:val="0"/>
        <w:suppressLineNumbers w:val="0"/>
        <w:kinsoku/>
        <w:overflowPunct/>
        <w:topLinePunct w:val="0"/>
        <w:autoSpaceDE/>
        <w:autoSpaceDN/>
        <w:bidi w:val="0"/>
        <w:adjustRightInd/>
        <w:ind w:firstLine="480" w:firstLineChars="200"/>
        <w:jc w:val="left"/>
        <w:textAlignment w:val="auto"/>
        <w:rPr>
          <w:rFonts w:hint="eastAsia" w:ascii="宋体" w:hAnsi="宋体" w:eastAsia="宋体" w:cs="宋体"/>
          <w:color w:val="auto"/>
          <w:kern w:val="2"/>
          <w:sz w:val="24"/>
          <w:szCs w:val="22"/>
          <w:highlight w:val="none"/>
          <w:lang w:val="en-US" w:eastAsia="zh-CN" w:bidi="ar-SA"/>
        </w:rPr>
      </w:pPr>
      <w:r>
        <w:rPr>
          <w:rFonts w:hint="eastAsia" w:ascii="宋体" w:hAnsi="宋体" w:eastAsia="宋体" w:cstheme="minorBidi"/>
          <w:iCs/>
          <w:color w:val="auto"/>
          <w:kern w:val="2"/>
          <w:sz w:val="24"/>
          <w:szCs w:val="22"/>
          <w:highlight w:val="none"/>
          <w:shd w:val="clear" w:color="auto" w:fill="FFFFFF" w:themeFill="background1"/>
          <w:lang w:val="en-US" w:eastAsia="zh-CN" w:bidi="ar-SA"/>
        </w:rPr>
        <w:t>1</w:t>
      </w:r>
      <w:r>
        <w:rPr>
          <w:rFonts w:hint="eastAsia" w:eastAsia="宋体" w:cstheme="minorBidi"/>
          <w:iCs/>
          <w:color w:val="auto"/>
          <w:kern w:val="2"/>
          <w:sz w:val="24"/>
          <w:szCs w:val="22"/>
          <w:highlight w:val="none"/>
          <w:shd w:val="clear" w:color="auto" w:fill="FFFFFF" w:themeFill="background1"/>
          <w:lang w:val="en-US" w:eastAsia="zh-CN" w:bidi="ar-SA"/>
        </w:rPr>
        <w:t>7</w:t>
      </w:r>
      <w:r>
        <w:rPr>
          <w:rFonts w:hint="eastAsia" w:ascii="宋体" w:hAnsi="宋体" w:eastAsia="宋体" w:cstheme="minorBidi"/>
          <w:iCs/>
          <w:color w:val="auto"/>
          <w:kern w:val="2"/>
          <w:sz w:val="24"/>
          <w:szCs w:val="22"/>
          <w:highlight w:val="none"/>
          <w:shd w:val="clear" w:color="auto" w:fill="FFFFFF" w:themeFill="background1"/>
          <w:lang w:val="en-US" w:eastAsia="zh-CN" w:bidi="ar-SA"/>
        </w:rPr>
        <w:t>.2</w:t>
      </w:r>
      <w:r>
        <w:rPr>
          <w:rFonts w:hint="eastAsia" w:eastAsia="宋体" w:cstheme="minorBidi"/>
          <w:iCs/>
          <w:color w:val="auto"/>
          <w:kern w:val="2"/>
          <w:sz w:val="24"/>
          <w:szCs w:val="22"/>
          <w:highlight w:val="none"/>
          <w:shd w:val="clear" w:color="auto" w:fill="FFFFFF" w:themeFill="background1"/>
          <w:lang w:val="en-US" w:eastAsia="zh-CN" w:bidi="ar-SA"/>
        </w:rPr>
        <w:t>提交</w:t>
      </w:r>
      <w:r>
        <w:rPr>
          <w:rFonts w:hint="eastAsia" w:ascii="宋体" w:hAnsi="宋体" w:eastAsia="宋体" w:cstheme="minorBidi"/>
          <w:iCs/>
          <w:color w:val="auto"/>
          <w:kern w:val="2"/>
          <w:sz w:val="24"/>
          <w:szCs w:val="22"/>
          <w:highlight w:val="none"/>
          <w:shd w:val="clear" w:color="auto" w:fill="FFFFFF" w:themeFill="background1"/>
          <w:lang w:val="en-US" w:eastAsia="zh-CN" w:bidi="ar-SA"/>
        </w:rPr>
        <w:t>投标保证金可采用的形式：政府采购法律法规接受的支票、汇票、本票、网上银行支付或者金融机构、担保机构出具的保函等非现金形式。</w:t>
      </w:r>
      <w:r>
        <w:rPr>
          <w:rFonts w:hint="eastAsia" w:ascii="宋体" w:hAnsi="宋体" w:eastAsia="宋体" w:cs="宋体"/>
          <w:color w:val="auto"/>
          <w:kern w:val="2"/>
          <w:sz w:val="24"/>
          <w:szCs w:val="22"/>
          <w:highlight w:val="none"/>
          <w:lang w:val="en-US" w:eastAsia="zh-CN" w:bidi="ar-SA"/>
        </w:rPr>
        <w:t>投标人未按照招标文件要求提交投标保证金的，</w:t>
      </w:r>
      <w:r>
        <w:rPr>
          <w:rFonts w:hint="eastAsia" w:eastAsia="宋体" w:cs="宋体"/>
          <w:color w:val="auto"/>
          <w:kern w:val="2"/>
          <w:sz w:val="24"/>
          <w:szCs w:val="22"/>
          <w:highlight w:val="none"/>
          <w:lang w:val="en-US" w:eastAsia="zh-CN" w:bidi="ar-SA"/>
        </w:rPr>
        <w:t>其</w:t>
      </w:r>
      <w:r>
        <w:rPr>
          <w:rFonts w:hint="eastAsia" w:ascii="宋体" w:hAnsi="宋体" w:eastAsia="宋体" w:cs="宋体"/>
          <w:b/>
          <w:bCs/>
          <w:color w:val="auto"/>
          <w:kern w:val="2"/>
          <w:sz w:val="24"/>
          <w:szCs w:val="22"/>
          <w:highlight w:val="none"/>
          <w:lang w:val="en-US" w:eastAsia="zh-CN" w:bidi="ar-SA"/>
        </w:rPr>
        <w:t>投标无效</w:t>
      </w:r>
      <w:r>
        <w:rPr>
          <w:rFonts w:hint="eastAsia" w:ascii="宋体" w:hAnsi="宋体" w:eastAsia="宋体" w:cs="宋体"/>
          <w:color w:val="auto"/>
          <w:kern w:val="2"/>
          <w:sz w:val="24"/>
          <w:szCs w:val="22"/>
          <w:highlight w:val="none"/>
          <w:lang w:val="en-US" w:eastAsia="zh-CN" w:bidi="ar-SA"/>
        </w:rPr>
        <w:t>。</w:t>
      </w:r>
      <w:r>
        <w:rPr>
          <w:rFonts w:hint="eastAsia" w:eastAsia="宋体"/>
          <w:color w:val="auto"/>
          <w:sz w:val="24"/>
          <w:highlight w:val="none"/>
          <w:lang w:val="en-US" w:eastAsia="zh-CN"/>
        </w:rPr>
        <w:t>投标保证金有效期同投标有效期。</w:t>
      </w:r>
    </w:p>
    <w:p w14:paraId="54BD0912">
      <w:pPr>
        <w:pStyle w:val="10"/>
        <w:keepNext w:val="0"/>
        <w:keepLines w:val="0"/>
        <w:pageBreakBefore w:val="0"/>
        <w:widowControl w:val="0"/>
        <w:kinsoku/>
        <w:overflowPunct/>
        <w:topLinePunct w:val="0"/>
        <w:autoSpaceDE/>
        <w:autoSpaceDN/>
        <w:bidi w:val="0"/>
        <w:adjustRightInd/>
        <w:textAlignment w:val="auto"/>
        <w:rPr>
          <w:rFonts w:hint="eastAsia" w:ascii="宋体" w:hAnsi="宋体" w:eastAsia="宋体" w:cs="宋体"/>
          <w:color w:val="auto"/>
          <w:kern w:val="2"/>
          <w:sz w:val="24"/>
          <w:szCs w:val="22"/>
          <w:highlight w:val="none"/>
          <w:lang w:val="en-US" w:eastAsia="zh-CN"/>
        </w:rPr>
      </w:pPr>
      <w:r>
        <w:rPr>
          <w:rFonts w:hint="eastAsia" w:ascii="宋体" w:hAnsi="宋体" w:eastAsia="宋体" w:cs="宋体"/>
          <w:color w:val="auto"/>
          <w:kern w:val="2"/>
          <w:sz w:val="24"/>
          <w:szCs w:val="22"/>
          <w:highlight w:val="none"/>
          <w:lang w:val="en-US" w:eastAsia="zh-CN"/>
        </w:rPr>
        <w:t>17.3投标保证金到账（保函提交）截止时间同投标截止时间。以支票、汇票、本票、网上银行支付等形式提交投标保证金的，应在投标截止时间前到账；以金融机构、担保机构出具的保函等形式提交投标保证金的，应在投标截止时间前将投标保证金支付原件扫描后作为投标文件的组成部分与投标文件一起上传。由于到账时间晚于投标截止时间，或者票据错误、印鉴不清等原因导致不能到账的，其</w:t>
      </w:r>
      <w:r>
        <w:rPr>
          <w:rFonts w:hint="eastAsia" w:ascii="宋体" w:hAnsi="宋体" w:eastAsia="宋体" w:cs="宋体"/>
          <w:b/>
          <w:bCs/>
          <w:color w:val="auto"/>
          <w:kern w:val="2"/>
          <w:sz w:val="24"/>
          <w:szCs w:val="22"/>
          <w:highlight w:val="none"/>
          <w:lang w:val="en-US" w:eastAsia="zh-CN"/>
        </w:rPr>
        <w:t>投标无效</w:t>
      </w:r>
      <w:r>
        <w:rPr>
          <w:rFonts w:hint="eastAsia" w:ascii="宋体" w:hAnsi="宋体" w:eastAsia="宋体" w:cs="宋体"/>
          <w:color w:val="auto"/>
          <w:kern w:val="2"/>
          <w:sz w:val="24"/>
          <w:szCs w:val="22"/>
          <w:highlight w:val="none"/>
          <w:lang w:val="en-US" w:eastAsia="zh-CN"/>
        </w:rPr>
        <w:t>。</w:t>
      </w:r>
    </w:p>
    <w:p w14:paraId="3BAA958D">
      <w:pPr>
        <w:pStyle w:val="57"/>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default" w:ascii="宋体" w:hAnsi="宋体" w:eastAsia="宋体" w:cstheme="minorBidi"/>
          <w:iCs/>
          <w:color w:val="auto"/>
          <w:kern w:val="2"/>
          <w:sz w:val="24"/>
          <w:szCs w:val="22"/>
          <w:highlight w:val="none"/>
          <w:shd w:val="clear" w:color="auto" w:fill="FFFFFF" w:themeFill="background1"/>
          <w:lang w:val="en-US" w:eastAsia="zh-CN" w:bidi="ar-SA"/>
        </w:rPr>
      </w:pPr>
      <w:r>
        <w:rPr>
          <w:rFonts w:hint="default" w:ascii="宋体" w:hAnsi="宋体" w:eastAsia="宋体" w:cstheme="minorBidi"/>
          <w:iCs/>
          <w:color w:val="auto"/>
          <w:kern w:val="2"/>
          <w:sz w:val="24"/>
          <w:szCs w:val="22"/>
          <w:highlight w:val="none"/>
          <w:shd w:val="clear" w:color="auto" w:fill="FFFFFF" w:themeFill="background1"/>
          <w:lang w:val="en-US" w:eastAsia="zh-CN" w:bidi="ar-SA"/>
        </w:rPr>
        <w:t>1</w:t>
      </w:r>
      <w:r>
        <w:rPr>
          <w:rFonts w:hint="eastAsia" w:ascii="宋体" w:hAnsi="宋体" w:eastAsia="宋体" w:cstheme="minorBidi"/>
          <w:iCs/>
          <w:color w:val="auto"/>
          <w:kern w:val="2"/>
          <w:sz w:val="24"/>
          <w:szCs w:val="22"/>
          <w:highlight w:val="none"/>
          <w:shd w:val="clear" w:color="auto" w:fill="FFFFFF" w:themeFill="background1"/>
          <w:lang w:val="en-US" w:eastAsia="zh-CN" w:bidi="ar-SA"/>
        </w:rPr>
        <w:t>7</w:t>
      </w:r>
      <w:r>
        <w:rPr>
          <w:rFonts w:hint="default" w:ascii="宋体" w:hAnsi="宋体" w:eastAsia="宋体" w:cstheme="minorBidi"/>
          <w:iCs/>
          <w:color w:val="auto"/>
          <w:kern w:val="2"/>
          <w:sz w:val="24"/>
          <w:szCs w:val="22"/>
          <w:highlight w:val="none"/>
          <w:shd w:val="clear" w:color="auto" w:fill="FFFFFF" w:themeFill="background1"/>
          <w:lang w:val="en-US" w:eastAsia="zh-CN" w:bidi="ar-SA"/>
        </w:rPr>
        <w:t>.</w:t>
      </w:r>
      <w:r>
        <w:rPr>
          <w:rFonts w:hint="eastAsia" w:ascii="宋体" w:hAnsi="宋体" w:eastAsia="宋体" w:cstheme="minorBidi"/>
          <w:iCs/>
          <w:color w:val="auto"/>
          <w:kern w:val="2"/>
          <w:sz w:val="24"/>
          <w:szCs w:val="22"/>
          <w:highlight w:val="none"/>
          <w:shd w:val="clear" w:color="auto" w:fill="FFFFFF" w:themeFill="background1"/>
          <w:lang w:val="en-US" w:eastAsia="zh-CN" w:bidi="ar-SA"/>
        </w:rPr>
        <w:t>4</w:t>
      </w:r>
      <w:r>
        <w:rPr>
          <w:rFonts w:hint="default" w:ascii="宋体" w:hAnsi="宋体" w:eastAsia="宋体" w:cstheme="minorBidi"/>
          <w:iCs/>
          <w:color w:val="auto"/>
          <w:kern w:val="2"/>
          <w:sz w:val="24"/>
          <w:szCs w:val="22"/>
          <w:highlight w:val="none"/>
          <w:shd w:val="clear" w:color="auto" w:fill="FFFFFF" w:themeFill="background1"/>
          <w:lang w:val="en-US" w:eastAsia="zh-CN" w:bidi="ar-SA"/>
        </w:rPr>
        <w:t xml:space="preserve"> 投标人为联合体的，可以由联合体中的一方或者多方共同</w:t>
      </w:r>
      <w:r>
        <w:rPr>
          <w:rFonts w:hint="eastAsia" w:ascii="宋体" w:hAnsi="宋体" w:eastAsia="宋体" w:cstheme="minorBidi"/>
          <w:iCs/>
          <w:color w:val="auto"/>
          <w:kern w:val="2"/>
          <w:sz w:val="24"/>
          <w:szCs w:val="22"/>
          <w:highlight w:val="none"/>
          <w:shd w:val="clear" w:color="auto" w:fill="FFFFFF" w:themeFill="background1"/>
          <w:lang w:val="en-US" w:eastAsia="zh-CN" w:bidi="ar-SA"/>
        </w:rPr>
        <w:t>提交</w:t>
      </w:r>
      <w:r>
        <w:rPr>
          <w:rFonts w:hint="default" w:ascii="宋体" w:hAnsi="宋体" w:eastAsia="宋体" w:cstheme="minorBidi"/>
          <w:iCs/>
          <w:color w:val="auto"/>
          <w:kern w:val="2"/>
          <w:sz w:val="24"/>
          <w:szCs w:val="22"/>
          <w:highlight w:val="none"/>
          <w:shd w:val="clear" w:color="auto" w:fill="FFFFFF" w:themeFill="background1"/>
          <w:lang w:val="en-US" w:eastAsia="zh-CN" w:bidi="ar-SA"/>
        </w:rPr>
        <w:t>投标保证金，其</w:t>
      </w:r>
      <w:r>
        <w:rPr>
          <w:rFonts w:hint="eastAsia" w:ascii="宋体" w:hAnsi="宋体" w:eastAsia="宋体" w:cstheme="minorBidi"/>
          <w:iCs/>
          <w:color w:val="auto"/>
          <w:kern w:val="2"/>
          <w:sz w:val="24"/>
          <w:szCs w:val="22"/>
          <w:highlight w:val="none"/>
          <w:shd w:val="clear" w:color="auto" w:fill="FFFFFF" w:themeFill="background1"/>
          <w:lang w:val="en-US" w:eastAsia="zh-CN" w:bidi="ar-SA"/>
        </w:rPr>
        <w:t>提交</w:t>
      </w:r>
      <w:r>
        <w:rPr>
          <w:rFonts w:hint="default" w:ascii="宋体" w:hAnsi="宋体" w:eastAsia="宋体" w:cstheme="minorBidi"/>
          <w:iCs/>
          <w:color w:val="auto"/>
          <w:kern w:val="2"/>
          <w:sz w:val="24"/>
          <w:szCs w:val="22"/>
          <w:highlight w:val="none"/>
          <w:shd w:val="clear" w:color="auto" w:fill="FFFFFF" w:themeFill="background1"/>
          <w:lang w:val="en-US" w:eastAsia="zh-CN" w:bidi="ar-SA"/>
        </w:rPr>
        <w:t>的投标保证金对联合体各方均具有约束力。</w:t>
      </w:r>
    </w:p>
    <w:p w14:paraId="27BA1101">
      <w:pPr>
        <w:pStyle w:val="57"/>
        <w:keepNext w:val="0"/>
        <w:keepLines w:val="0"/>
        <w:pageBreakBefore w:val="0"/>
        <w:widowControl w:val="0"/>
        <w:shd w:val="clear" w:color="auto" w:fill="auto"/>
        <w:kinsoku/>
        <w:wordWrap/>
        <w:overflowPunct/>
        <w:topLinePunct w:val="0"/>
        <w:autoSpaceDE/>
        <w:autoSpaceDN/>
        <w:bidi w:val="0"/>
        <w:adjustRightInd/>
        <w:spacing w:line="360" w:lineRule="auto"/>
        <w:textAlignment w:val="auto"/>
        <w:rPr>
          <w:rFonts w:hint="default" w:ascii="宋体" w:hAnsi="宋体" w:eastAsia="宋体" w:cstheme="minorBidi"/>
          <w:iCs/>
          <w:color w:val="auto"/>
          <w:kern w:val="2"/>
          <w:sz w:val="24"/>
          <w:szCs w:val="22"/>
          <w:highlight w:val="none"/>
          <w:shd w:val="clear" w:color="auto" w:fill="FFFFFF" w:themeFill="background1"/>
          <w:lang w:val="en-US" w:eastAsia="zh-CN" w:bidi="ar-SA"/>
        </w:rPr>
      </w:pPr>
      <w:r>
        <w:rPr>
          <w:rFonts w:hint="eastAsia" w:ascii="宋体" w:hAnsi="宋体" w:eastAsia="宋体" w:cstheme="minorBidi"/>
          <w:iCs/>
          <w:color w:val="auto"/>
          <w:kern w:val="2"/>
          <w:sz w:val="24"/>
          <w:szCs w:val="22"/>
          <w:highlight w:val="none"/>
          <w:shd w:val="clear" w:color="auto" w:fill="FFFFFF" w:themeFill="background1"/>
          <w:lang w:val="en-US" w:eastAsia="zh-CN" w:bidi="ar-SA"/>
        </w:rPr>
        <w:t xml:space="preserve">    17.5</w:t>
      </w:r>
      <w:r>
        <w:rPr>
          <w:rFonts w:hint="default" w:ascii="宋体" w:hAnsi="宋体" w:eastAsia="宋体" w:cstheme="minorBidi"/>
          <w:iCs/>
          <w:color w:val="auto"/>
          <w:kern w:val="2"/>
          <w:sz w:val="24"/>
          <w:szCs w:val="22"/>
          <w:highlight w:val="none"/>
          <w:shd w:val="clear" w:color="auto" w:fill="FFFFFF" w:themeFill="background1"/>
          <w:lang w:val="en-US" w:eastAsia="zh-CN" w:bidi="ar-SA"/>
        </w:rPr>
        <w:t>采购人或者采购代理机构应当在采购活动结束后及时退还</w:t>
      </w:r>
      <w:r>
        <w:rPr>
          <w:rFonts w:hint="eastAsia" w:ascii="宋体" w:hAnsi="宋体" w:eastAsia="宋体" w:cstheme="minorBidi"/>
          <w:iCs/>
          <w:color w:val="auto"/>
          <w:kern w:val="2"/>
          <w:sz w:val="24"/>
          <w:szCs w:val="22"/>
          <w:highlight w:val="none"/>
          <w:shd w:val="clear" w:color="auto" w:fill="FFFFFF" w:themeFill="background1"/>
          <w:lang w:val="en-US" w:eastAsia="zh-CN" w:bidi="ar-SA"/>
        </w:rPr>
        <w:t>投标人</w:t>
      </w:r>
      <w:r>
        <w:rPr>
          <w:rFonts w:hint="default" w:ascii="宋体" w:hAnsi="宋体" w:eastAsia="宋体" w:cstheme="minorBidi"/>
          <w:iCs/>
          <w:color w:val="auto"/>
          <w:kern w:val="2"/>
          <w:sz w:val="24"/>
          <w:szCs w:val="22"/>
          <w:highlight w:val="none"/>
          <w:shd w:val="clear" w:color="auto" w:fill="FFFFFF" w:themeFill="background1"/>
          <w:lang w:val="en-US" w:eastAsia="zh-CN" w:bidi="ar-SA"/>
        </w:rPr>
        <w:t>的</w:t>
      </w:r>
      <w:r>
        <w:rPr>
          <w:rFonts w:hint="eastAsia" w:ascii="宋体" w:hAnsi="宋体" w:eastAsia="宋体" w:cstheme="minorBidi"/>
          <w:iCs/>
          <w:color w:val="auto"/>
          <w:kern w:val="2"/>
          <w:sz w:val="24"/>
          <w:szCs w:val="22"/>
          <w:highlight w:val="none"/>
          <w:shd w:val="clear" w:color="auto" w:fill="FFFFFF" w:themeFill="background1"/>
          <w:lang w:val="en-US" w:eastAsia="zh-CN" w:bidi="ar-SA"/>
        </w:rPr>
        <w:t>投标</w:t>
      </w:r>
      <w:r>
        <w:rPr>
          <w:rFonts w:hint="default" w:ascii="宋体" w:hAnsi="宋体" w:eastAsia="宋体" w:cstheme="minorBidi"/>
          <w:iCs/>
          <w:color w:val="auto"/>
          <w:kern w:val="2"/>
          <w:sz w:val="24"/>
          <w:szCs w:val="22"/>
          <w:highlight w:val="none"/>
          <w:shd w:val="clear" w:color="auto" w:fill="FFFFFF" w:themeFill="background1"/>
          <w:lang w:val="en-US" w:eastAsia="zh-CN" w:bidi="ar-SA"/>
        </w:rPr>
        <w:t>保证金，采用银行保函、担保机构担保函等形式递交的</w:t>
      </w:r>
      <w:r>
        <w:rPr>
          <w:rFonts w:hint="eastAsia" w:ascii="宋体" w:hAnsi="宋体" w:eastAsia="宋体" w:cstheme="minorBidi"/>
          <w:iCs/>
          <w:color w:val="auto"/>
          <w:kern w:val="2"/>
          <w:sz w:val="24"/>
          <w:szCs w:val="22"/>
          <w:highlight w:val="none"/>
          <w:shd w:val="clear" w:color="auto" w:fill="FFFFFF" w:themeFill="background1"/>
          <w:lang w:val="en-US" w:eastAsia="zh-CN" w:bidi="ar-SA"/>
        </w:rPr>
        <w:t>投标</w:t>
      </w:r>
      <w:r>
        <w:rPr>
          <w:rFonts w:hint="default" w:ascii="宋体" w:hAnsi="宋体" w:eastAsia="宋体" w:cstheme="minorBidi"/>
          <w:iCs/>
          <w:color w:val="auto"/>
          <w:kern w:val="2"/>
          <w:sz w:val="24"/>
          <w:szCs w:val="22"/>
          <w:highlight w:val="none"/>
          <w:shd w:val="clear" w:color="auto" w:fill="FFFFFF" w:themeFill="background1"/>
          <w:lang w:val="en-US" w:eastAsia="zh-CN" w:bidi="ar-SA"/>
        </w:rPr>
        <w:t>保证金，经</w:t>
      </w:r>
      <w:r>
        <w:rPr>
          <w:rFonts w:hint="eastAsia" w:ascii="宋体" w:hAnsi="宋体" w:eastAsia="宋体" w:cstheme="minorBidi"/>
          <w:iCs/>
          <w:color w:val="auto"/>
          <w:kern w:val="2"/>
          <w:sz w:val="24"/>
          <w:szCs w:val="22"/>
          <w:highlight w:val="none"/>
          <w:shd w:val="clear" w:color="auto" w:fill="FFFFFF" w:themeFill="background1"/>
          <w:lang w:val="en-US" w:eastAsia="zh-CN" w:bidi="ar-SA"/>
        </w:rPr>
        <w:t>投标人</w:t>
      </w:r>
      <w:r>
        <w:rPr>
          <w:rFonts w:hint="default" w:ascii="宋体" w:hAnsi="宋体" w:eastAsia="宋体" w:cstheme="minorBidi"/>
          <w:iCs/>
          <w:color w:val="auto"/>
          <w:kern w:val="2"/>
          <w:sz w:val="24"/>
          <w:szCs w:val="22"/>
          <w:highlight w:val="none"/>
          <w:shd w:val="clear" w:color="auto" w:fill="FFFFFF" w:themeFill="background1"/>
          <w:lang w:val="en-US" w:eastAsia="zh-CN" w:bidi="ar-SA"/>
        </w:rPr>
        <w:t>同意后采购人、采购代理机构可以不再退还，但因</w:t>
      </w:r>
      <w:r>
        <w:rPr>
          <w:rFonts w:hint="eastAsia" w:ascii="宋体" w:hAnsi="宋体" w:eastAsia="宋体" w:cstheme="minorBidi"/>
          <w:iCs/>
          <w:color w:val="auto"/>
          <w:kern w:val="2"/>
          <w:sz w:val="24"/>
          <w:szCs w:val="22"/>
          <w:highlight w:val="none"/>
          <w:shd w:val="clear" w:color="auto" w:fill="FFFFFF" w:themeFill="background1"/>
          <w:lang w:val="en-US" w:eastAsia="zh-CN" w:bidi="ar-SA"/>
        </w:rPr>
        <w:t>投标人</w:t>
      </w:r>
      <w:r>
        <w:rPr>
          <w:rFonts w:hint="default" w:ascii="宋体" w:hAnsi="宋体" w:eastAsia="宋体" w:cstheme="minorBidi"/>
          <w:iCs/>
          <w:color w:val="auto"/>
          <w:kern w:val="2"/>
          <w:sz w:val="24"/>
          <w:szCs w:val="22"/>
          <w:highlight w:val="none"/>
          <w:shd w:val="clear" w:color="auto" w:fill="FFFFFF" w:themeFill="background1"/>
          <w:lang w:val="en-US" w:eastAsia="zh-CN" w:bidi="ar-SA"/>
        </w:rPr>
        <w:t>自身原因导致无法及时退还的除外。未</w:t>
      </w:r>
      <w:r>
        <w:rPr>
          <w:rFonts w:hint="eastAsia" w:ascii="宋体" w:hAnsi="宋体" w:eastAsia="宋体" w:cstheme="minorBidi"/>
          <w:iCs/>
          <w:color w:val="auto"/>
          <w:kern w:val="2"/>
          <w:sz w:val="24"/>
          <w:szCs w:val="22"/>
          <w:highlight w:val="none"/>
          <w:shd w:val="clear" w:color="auto" w:fill="FFFFFF" w:themeFill="background1"/>
          <w:lang w:val="en-US" w:eastAsia="zh-CN" w:bidi="ar-SA"/>
        </w:rPr>
        <w:t>中标投标人</w:t>
      </w:r>
      <w:r>
        <w:rPr>
          <w:rFonts w:hint="default" w:ascii="宋体" w:hAnsi="宋体" w:eastAsia="宋体" w:cstheme="minorBidi"/>
          <w:iCs/>
          <w:color w:val="auto"/>
          <w:kern w:val="2"/>
          <w:sz w:val="24"/>
          <w:szCs w:val="22"/>
          <w:highlight w:val="none"/>
          <w:shd w:val="clear" w:color="auto" w:fill="FFFFFF" w:themeFill="background1"/>
          <w:lang w:val="en-US" w:eastAsia="zh-CN" w:bidi="ar-SA"/>
        </w:rPr>
        <w:t>的</w:t>
      </w:r>
      <w:r>
        <w:rPr>
          <w:rFonts w:hint="eastAsia" w:ascii="宋体" w:hAnsi="宋体" w:eastAsia="宋体" w:cstheme="minorBidi"/>
          <w:iCs/>
          <w:color w:val="auto"/>
          <w:kern w:val="2"/>
          <w:sz w:val="24"/>
          <w:szCs w:val="22"/>
          <w:highlight w:val="none"/>
          <w:shd w:val="clear" w:color="auto" w:fill="FFFFFF" w:themeFill="background1"/>
          <w:lang w:val="en-US" w:eastAsia="zh-CN" w:bidi="ar-SA"/>
        </w:rPr>
        <w:t>投标</w:t>
      </w:r>
      <w:r>
        <w:rPr>
          <w:rFonts w:hint="default" w:ascii="宋体" w:hAnsi="宋体" w:eastAsia="宋体" w:cstheme="minorBidi"/>
          <w:iCs/>
          <w:color w:val="auto"/>
          <w:kern w:val="2"/>
          <w:sz w:val="24"/>
          <w:szCs w:val="22"/>
          <w:highlight w:val="none"/>
          <w:shd w:val="clear" w:color="auto" w:fill="FFFFFF" w:themeFill="background1"/>
          <w:lang w:val="en-US" w:eastAsia="zh-CN" w:bidi="ar-SA"/>
        </w:rPr>
        <w:t>保证金应当自中标通知书发出之日起 5 个工作日内退还，</w:t>
      </w:r>
      <w:r>
        <w:rPr>
          <w:rFonts w:hint="eastAsia" w:ascii="宋体" w:hAnsi="宋体" w:eastAsia="宋体" w:cstheme="minorBidi"/>
          <w:iCs/>
          <w:color w:val="auto"/>
          <w:kern w:val="2"/>
          <w:sz w:val="24"/>
          <w:szCs w:val="22"/>
          <w:highlight w:val="none"/>
          <w:shd w:val="clear" w:color="auto" w:fill="FFFFFF" w:themeFill="background1"/>
          <w:lang w:val="en-US" w:eastAsia="zh-CN" w:bidi="ar-SA"/>
        </w:rPr>
        <w:t>中标投标人</w:t>
      </w:r>
      <w:r>
        <w:rPr>
          <w:rFonts w:hint="default" w:ascii="宋体" w:hAnsi="宋体" w:eastAsia="宋体" w:cstheme="minorBidi"/>
          <w:iCs/>
          <w:color w:val="auto"/>
          <w:kern w:val="2"/>
          <w:sz w:val="24"/>
          <w:szCs w:val="22"/>
          <w:highlight w:val="none"/>
          <w:shd w:val="clear" w:color="auto" w:fill="FFFFFF" w:themeFill="background1"/>
          <w:lang w:val="en-US" w:eastAsia="zh-CN" w:bidi="ar-SA"/>
        </w:rPr>
        <w:t>的</w:t>
      </w:r>
      <w:r>
        <w:rPr>
          <w:rFonts w:hint="eastAsia" w:ascii="宋体" w:hAnsi="宋体" w:eastAsia="宋体" w:cstheme="minorBidi"/>
          <w:iCs/>
          <w:color w:val="auto"/>
          <w:kern w:val="2"/>
          <w:sz w:val="24"/>
          <w:szCs w:val="22"/>
          <w:highlight w:val="none"/>
          <w:shd w:val="clear" w:color="auto" w:fill="FFFFFF" w:themeFill="background1"/>
          <w:lang w:val="en-US" w:eastAsia="zh-CN" w:bidi="ar-SA"/>
        </w:rPr>
        <w:t>投标</w:t>
      </w:r>
      <w:r>
        <w:rPr>
          <w:rFonts w:hint="default" w:ascii="宋体" w:hAnsi="宋体" w:eastAsia="宋体" w:cstheme="minorBidi"/>
          <w:iCs/>
          <w:color w:val="auto"/>
          <w:kern w:val="2"/>
          <w:sz w:val="24"/>
          <w:szCs w:val="22"/>
          <w:highlight w:val="none"/>
          <w:shd w:val="clear" w:color="auto" w:fill="FFFFFF" w:themeFill="background1"/>
          <w:lang w:val="en-US" w:eastAsia="zh-CN" w:bidi="ar-SA"/>
        </w:rPr>
        <w:t xml:space="preserve">保证金应当自采购合同签订之日起 5 个工作日内退还。 </w:t>
      </w:r>
    </w:p>
    <w:p w14:paraId="6CFB121F">
      <w:pPr>
        <w:pStyle w:val="57"/>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default" w:ascii="宋体" w:hAnsi="宋体" w:eastAsia="宋体" w:cstheme="minorBidi"/>
          <w:iCs/>
          <w:color w:val="auto"/>
          <w:kern w:val="2"/>
          <w:sz w:val="24"/>
          <w:szCs w:val="22"/>
          <w:highlight w:val="none"/>
          <w:shd w:val="clear" w:color="auto" w:fill="FFFFFF" w:themeFill="background1"/>
          <w:lang w:val="en-US" w:eastAsia="zh-CN" w:bidi="ar-SA"/>
        </w:rPr>
      </w:pPr>
      <w:r>
        <w:rPr>
          <w:rFonts w:hint="default" w:ascii="宋体" w:hAnsi="宋体" w:eastAsia="宋体" w:cstheme="minorBidi"/>
          <w:iCs/>
          <w:color w:val="auto"/>
          <w:kern w:val="2"/>
          <w:sz w:val="24"/>
          <w:szCs w:val="22"/>
          <w:highlight w:val="none"/>
          <w:shd w:val="clear" w:color="auto" w:fill="FFFFFF" w:themeFill="background1"/>
          <w:lang w:val="en-US" w:eastAsia="zh-CN" w:bidi="ar-SA"/>
        </w:rPr>
        <w:t>1</w:t>
      </w:r>
      <w:r>
        <w:rPr>
          <w:rFonts w:hint="eastAsia" w:ascii="宋体" w:hAnsi="宋体" w:eastAsia="宋体" w:cstheme="minorBidi"/>
          <w:iCs/>
          <w:color w:val="auto"/>
          <w:kern w:val="2"/>
          <w:sz w:val="24"/>
          <w:szCs w:val="22"/>
          <w:highlight w:val="none"/>
          <w:shd w:val="clear" w:color="auto" w:fill="FFFFFF" w:themeFill="background1"/>
          <w:lang w:val="en-US" w:eastAsia="zh-CN" w:bidi="ar-SA"/>
        </w:rPr>
        <w:t>7</w:t>
      </w:r>
      <w:r>
        <w:rPr>
          <w:rFonts w:hint="default" w:ascii="宋体" w:hAnsi="宋体" w:eastAsia="宋体" w:cstheme="minorBidi"/>
          <w:iCs/>
          <w:color w:val="auto"/>
          <w:kern w:val="2"/>
          <w:sz w:val="24"/>
          <w:szCs w:val="22"/>
          <w:highlight w:val="none"/>
          <w:shd w:val="clear" w:color="auto" w:fill="FFFFFF" w:themeFill="background1"/>
          <w:lang w:val="en-US" w:eastAsia="zh-CN" w:bidi="ar-SA"/>
        </w:rPr>
        <w:t>.</w:t>
      </w:r>
      <w:r>
        <w:rPr>
          <w:rFonts w:hint="eastAsia" w:ascii="宋体" w:hAnsi="宋体" w:eastAsia="宋体" w:cstheme="minorBidi"/>
          <w:iCs/>
          <w:color w:val="auto"/>
          <w:kern w:val="2"/>
          <w:sz w:val="24"/>
          <w:szCs w:val="22"/>
          <w:highlight w:val="none"/>
          <w:shd w:val="clear" w:color="auto" w:fill="FFFFFF" w:themeFill="background1"/>
          <w:lang w:val="en-US" w:eastAsia="zh-CN" w:bidi="ar-SA"/>
        </w:rPr>
        <w:t>6</w:t>
      </w:r>
      <w:r>
        <w:rPr>
          <w:rFonts w:hint="default" w:ascii="宋体" w:hAnsi="宋体" w:eastAsia="宋体" w:cstheme="minorBidi"/>
          <w:iCs/>
          <w:color w:val="auto"/>
          <w:kern w:val="2"/>
          <w:sz w:val="24"/>
          <w:szCs w:val="22"/>
          <w:highlight w:val="none"/>
          <w:shd w:val="clear" w:color="auto" w:fill="FFFFFF" w:themeFill="background1"/>
          <w:lang w:val="en-US" w:eastAsia="zh-CN" w:bidi="ar-SA"/>
        </w:rPr>
        <w:t xml:space="preserve"> 投标人在投标截止时间前撤回已</w:t>
      </w:r>
      <w:r>
        <w:rPr>
          <w:rFonts w:hint="eastAsia" w:ascii="宋体" w:hAnsi="宋体" w:eastAsia="宋体" w:cstheme="minorBidi"/>
          <w:iCs/>
          <w:color w:val="auto"/>
          <w:kern w:val="2"/>
          <w:sz w:val="24"/>
          <w:szCs w:val="22"/>
          <w:highlight w:val="none"/>
          <w:shd w:val="clear" w:color="auto" w:fill="FFFFFF" w:themeFill="background1"/>
          <w:lang w:val="en-US" w:eastAsia="zh-CN" w:bidi="ar-SA"/>
        </w:rPr>
        <w:t>提</w:t>
      </w:r>
      <w:r>
        <w:rPr>
          <w:rFonts w:hint="default" w:ascii="宋体" w:hAnsi="宋体" w:eastAsia="宋体" w:cstheme="minorBidi"/>
          <w:iCs/>
          <w:color w:val="auto"/>
          <w:kern w:val="2"/>
          <w:sz w:val="24"/>
          <w:szCs w:val="22"/>
          <w:highlight w:val="none"/>
          <w:shd w:val="clear" w:color="auto" w:fill="FFFFFF" w:themeFill="background1"/>
          <w:lang w:val="en-US" w:eastAsia="zh-CN" w:bidi="ar-SA"/>
        </w:rPr>
        <w:t>交的投标文件的，自收到投标人书面撤回通知之日起 5 个工作日内，退还已收取的投标保证金，但因投标人自身原因导致无法及时退还的除外</w:t>
      </w:r>
      <w:r>
        <w:rPr>
          <w:rFonts w:hint="eastAsia" w:ascii="宋体" w:hAnsi="宋体" w:eastAsia="宋体" w:cstheme="minorBidi"/>
          <w:iCs/>
          <w:color w:val="auto"/>
          <w:kern w:val="2"/>
          <w:sz w:val="24"/>
          <w:szCs w:val="22"/>
          <w:highlight w:val="none"/>
          <w:shd w:val="clear" w:color="auto" w:fill="FFFFFF" w:themeFill="background1"/>
          <w:lang w:val="en-US" w:eastAsia="zh-CN" w:bidi="ar-SA"/>
        </w:rPr>
        <w:t>。</w:t>
      </w:r>
      <w:r>
        <w:rPr>
          <w:rFonts w:hint="default" w:ascii="宋体" w:hAnsi="宋体" w:eastAsia="宋体" w:cstheme="minorBidi"/>
          <w:iCs/>
          <w:color w:val="auto"/>
          <w:kern w:val="2"/>
          <w:sz w:val="24"/>
          <w:szCs w:val="22"/>
          <w:highlight w:val="none"/>
          <w:shd w:val="clear" w:color="auto" w:fill="FFFFFF" w:themeFill="background1"/>
          <w:lang w:val="en-US" w:eastAsia="zh-CN" w:bidi="ar-SA"/>
        </w:rPr>
        <w:t xml:space="preserve"> </w:t>
      </w:r>
    </w:p>
    <w:p w14:paraId="28156F6E">
      <w:pPr>
        <w:pStyle w:val="57"/>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default" w:ascii="宋体" w:hAnsi="宋体" w:eastAsia="宋体" w:cstheme="minorBidi"/>
          <w:iCs/>
          <w:color w:val="auto"/>
          <w:kern w:val="2"/>
          <w:sz w:val="24"/>
          <w:szCs w:val="22"/>
          <w:highlight w:val="none"/>
          <w:shd w:val="clear" w:color="auto" w:fill="FFFFFF" w:themeFill="background1"/>
          <w:lang w:val="en-US" w:eastAsia="zh-CN" w:bidi="ar-SA"/>
        </w:rPr>
      </w:pPr>
      <w:r>
        <w:rPr>
          <w:rFonts w:hint="default" w:ascii="宋体" w:hAnsi="宋体" w:eastAsia="宋体" w:cstheme="minorBidi"/>
          <w:iCs/>
          <w:color w:val="auto"/>
          <w:kern w:val="2"/>
          <w:sz w:val="24"/>
          <w:szCs w:val="22"/>
          <w:highlight w:val="none"/>
          <w:shd w:val="clear" w:color="auto" w:fill="FFFFFF" w:themeFill="background1"/>
          <w:lang w:val="en-US" w:eastAsia="zh-CN" w:bidi="ar-SA"/>
        </w:rPr>
        <w:t>1</w:t>
      </w:r>
      <w:r>
        <w:rPr>
          <w:rFonts w:hint="eastAsia" w:ascii="宋体" w:hAnsi="宋体" w:eastAsia="宋体" w:cstheme="minorBidi"/>
          <w:iCs/>
          <w:color w:val="auto"/>
          <w:kern w:val="2"/>
          <w:sz w:val="24"/>
          <w:szCs w:val="22"/>
          <w:highlight w:val="none"/>
          <w:shd w:val="clear" w:color="auto" w:fill="FFFFFF" w:themeFill="background1"/>
          <w:lang w:val="en-US" w:eastAsia="zh-CN" w:bidi="ar-SA"/>
        </w:rPr>
        <w:t>7</w:t>
      </w:r>
      <w:r>
        <w:rPr>
          <w:rFonts w:hint="default" w:ascii="宋体" w:hAnsi="宋体" w:eastAsia="宋体" w:cstheme="minorBidi"/>
          <w:iCs/>
          <w:color w:val="auto"/>
          <w:kern w:val="2"/>
          <w:sz w:val="24"/>
          <w:szCs w:val="22"/>
          <w:highlight w:val="none"/>
          <w:shd w:val="clear" w:color="auto" w:fill="FFFFFF" w:themeFill="background1"/>
          <w:lang w:val="en-US" w:eastAsia="zh-CN" w:bidi="ar-SA"/>
        </w:rPr>
        <w:t>.</w:t>
      </w:r>
      <w:r>
        <w:rPr>
          <w:rFonts w:hint="eastAsia" w:ascii="宋体" w:hAnsi="宋体" w:eastAsia="宋体" w:cstheme="minorBidi"/>
          <w:iCs/>
          <w:color w:val="auto"/>
          <w:kern w:val="2"/>
          <w:sz w:val="24"/>
          <w:szCs w:val="22"/>
          <w:highlight w:val="none"/>
          <w:shd w:val="clear" w:color="auto" w:fill="FFFFFF" w:themeFill="background1"/>
          <w:lang w:val="en-US" w:eastAsia="zh-CN" w:bidi="ar-SA"/>
        </w:rPr>
        <w:t>7</w:t>
      </w:r>
      <w:r>
        <w:rPr>
          <w:rFonts w:hint="default" w:ascii="宋体" w:hAnsi="宋体" w:eastAsia="宋体" w:cstheme="minorBidi"/>
          <w:iCs/>
          <w:color w:val="auto"/>
          <w:kern w:val="2"/>
          <w:sz w:val="24"/>
          <w:szCs w:val="22"/>
          <w:highlight w:val="none"/>
          <w:shd w:val="clear" w:color="auto" w:fill="FFFFFF" w:themeFill="background1"/>
          <w:lang w:val="en-US" w:eastAsia="zh-CN" w:bidi="ar-SA"/>
        </w:rPr>
        <w:t xml:space="preserve"> 终止招标项目已经收取投标保证金的，自终止采购活动后 5 个工作日内退还已收取的投标保证金及其在银行产生的孳息。</w:t>
      </w:r>
    </w:p>
    <w:p w14:paraId="0B6A028F">
      <w:pPr>
        <w:pStyle w:val="57"/>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default" w:ascii="宋体" w:hAnsi="宋体" w:eastAsia="宋体" w:cstheme="minorBidi"/>
          <w:iCs/>
          <w:color w:val="auto"/>
          <w:kern w:val="2"/>
          <w:sz w:val="24"/>
          <w:szCs w:val="22"/>
          <w:highlight w:val="none"/>
          <w:shd w:val="clear" w:color="auto" w:fill="FFFFFF" w:themeFill="background1"/>
          <w:lang w:val="en-US" w:eastAsia="zh-CN" w:bidi="ar-SA"/>
        </w:rPr>
      </w:pPr>
      <w:r>
        <w:rPr>
          <w:rFonts w:hint="default" w:ascii="宋体" w:hAnsi="宋体" w:eastAsia="宋体" w:cstheme="minorBidi"/>
          <w:iCs/>
          <w:color w:val="auto"/>
          <w:kern w:val="2"/>
          <w:sz w:val="24"/>
          <w:szCs w:val="22"/>
          <w:highlight w:val="none"/>
          <w:shd w:val="clear" w:color="auto" w:fill="FFFFFF" w:themeFill="background1"/>
          <w:lang w:val="en-US" w:eastAsia="zh-CN" w:bidi="ar-SA"/>
        </w:rPr>
        <w:t>1</w:t>
      </w:r>
      <w:r>
        <w:rPr>
          <w:rFonts w:hint="eastAsia" w:ascii="宋体" w:hAnsi="宋体" w:eastAsia="宋体" w:cstheme="minorBidi"/>
          <w:iCs/>
          <w:color w:val="auto"/>
          <w:kern w:val="2"/>
          <w:sz w:val="24"/>
          <w:szCs w:val="22"/>
          <w:highlight w:val="none"/>
          <w:shd w:val="clear" w:color="auto" w:fill="FFFFFF" w:themeFill="background1"/>
          <w:lang w:val="en-US" w:eastAsia="zh-CN" w:bidi="ar-SA"/>
        </w:rPr>
        <w:t>7</w:t>
      </w:r>
      <w:r>
        <w:rPr>
          <w:rFonts w:hint="default" w:ascii="宋体" w:hAnsi="宋体" w:eastAsia="宋体" w:cstheme="minorBidi"/>
          <w:iCs/>
          <w:color w:val="auto"/>
          <w:kern w:val="2"/>
          <w:sz w:val="24"/>
          <w:szCs w:val="22"/>
          <w:highlight w:val="none"/>
          <w:shd w:val="clear" w:color="auto" w:fill="FFFFFF" w:themeFill="background1"/>
          <w:lang w:val="en-US" w:eastAsia="zh-CN" w:bidi="ar-SA"/>
        </w:rPr>
        <w:t>.</w:t>
      </w:r>
      <w:r>
        <w:rPr>
          <w:rFonts w:hint="eastAsia" w:ascii="宋体" w:hAnsi="宋体" w:eastAsia="宋体" w:cstheme="minorBidi"/>
          <w:iCs/>
          <w:color w:val="auto"/>
          <w:kern w:val="2"/>
          <w:sz w:val="24"/>
          <w:szCs w:val="22"/>
          <w:highlight w:val="none"/>
          <w:shd w:val="clear" w:color="auto" w:fill="FFFFFF" w:themeFill="background1"/>
          <w:lang w:val="en-US" w:eastAsia="zh-CN" w:bidi="ar-SA"/>
        </w:rPr>
        <w:t>8</w:t>
      </w:r>
      <w:r>
        <w:rPr>
          <w:rFonts w:hint="default" w:ascii="宋体" w:hAnsi="宋体" w:eastAsia="宋体" w:cstheme="minorBidi"/>
          <w:iCs/>
          <w:color w:val="auto"/>
          <w:kern w:val="2"/>
          <w:sz w:val="24"/>
          <w:szCs w:val="22"/>
          <w:highlight w:val="none"/>
          <w:shd w:val="clear" w:color="auto" w:fill="FFFFFF" w:themeFill="background1"/>
          <w:lang w:val="en-US" w:eastAsia="zh-CN" w:bidi="ar-SA"/>
        </w:rPr>
        <w:t xml:space="preserve"> 有下列情形之一的，采购人或采购代理机构可以不予退还投标保证金</w:t>
      </w:r>
      <w:r>
        <w:rPr>
          <w:rFonts w:hint="eastAsia" w:ascii="宋体" w:hAnsi="宋体" w:eastAsia="宋体" w:cstheme="minorBidi"/>
          <w:iCs/>
          <w:color w:val="auto"/>
          <w:kern w:val="2"/>
          <w:sz w:val="24"/>
          <w:szCs w:val="22"/>
          <w:highlight w:val="none"/>
          <w:shd w:val="clear" w:color="auto" w:fill="FFFFFF" w:themeFill="background1"/>
          <w:lang w:val="en-US" w:eastAsia="zh-CN" w:bidi="ar-SA"/>
        </w:rPr>
        <w:t>,</w:t>
      </w:r>
      <w:r>
        <w:rPr>
          <w:rFonts w:hint="eastAsia" w:ascii="宋体" w:hAnsi="宋体" w:eastAsia="宋体" w:cs="宋体"/>
          <w:color w:val="auto"/>
          <w:kern w:val="2"/>
          <w:sz w:val="24"/>
          <w:szCs w:val="22"/>
          <w:highlight w:val="none"/>
        </w:rPr>
        <w:t>情节严重的将其列入不良记录名单</w:t>
      </w:r>
      <w:r>
        <w:rPr>
          <w:rFonts w:hint="default" w:ascii="宋体" w:hAnsi="宋体" w:eastAsia="宋体" w:cstheme="minorBidi"/>
          <w:iCs/>
          <w:color w:val="auto"/>
          <w:kern w:val="2"/>
          <w:sz w:val="24"/>
          <w:szCs w:val="22"/>
          <w:highlight w:val="none"/>
          <w:shd w:val="clear" w:color="auto" w:fill="FFFFFF" w:themeFill="background1"/>
          <w:lang w:val="en-US" w:eastAsia="zh-CN" w:bidi="ar-SA"/>
        </w:rPr>
        <w:t xml:space="preserve">： </w:t>
      </w:r>
    </w:p>
    <w:p w14:paraId="02F7ADEB">
      <w:pPr>
        <w:pStyle w:val="57"/>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default" w:ascii="宋体" w:hAnsi="宋体" w:eastAsia="宋体" w:cstheme="minorBidi"/>
          <w:iCs/>
          <w:color w:val="auto"/>
          <w:kern w:val="2"/>
          <w:sz w:val="24"/>
          <w:szCs w:val="22"/>
          <w:highlight w:val="none"/>
          <w:shd w:val="clear" w:color="auto" w:fill="FFFFFF" w:themeFill="background1"/>
          <w:lang w:val="en-US" w:eastAsia="zh-CN" w:bidi="ar-SA"/>
        </w:rPr>
      </w:pPr>
      <w:r>
        <w:rPr>
          <w:rFonts w:hint="default" w:ascii="宋体" w:hAnsi="宋体" w:eastAsia="宋体" w:cstheme="minorBidi"/>
          <w:iCs/>
          <w:color w:val="auto"/>
          <w:kern w:val="2"/>
          <w:sz w:val="24"/>
          <w:szCs w:val="22"/>
          <w:highlight w:val="none"/>
          <w:shd w:val="clear" w:color="auto" w:fill="FFFFFF" w:themeFill="background1"/>
          <w:lang w:val="en-US" w:eastAsia="zh-CN" w:bidi="ar-SA"/>
        </w:rPr>
        <w:t>1</w:t>
      </w:r>
      <w:r>
        <w:rPr>
          <w:rFonts w:hint="eastAsia" w:ascii="宋体" w:hAnsi="宋体" w:eastAsia="宋体" w:cstheme="minorBidi"/>
          <w:iCs/>
          <w:color w:val="auto"/>
          <w:kern w:val="2"/>
          <w:sz w:val="24"/>
          <w:szCs w:val="22"/>
          <w:highlight w:val="none"/>
          <w:shd w:val="clear" w:color="auto" w:fill="FFFFFF" w:themeFill="background1"/>
          <w:lang w:val="en-US" w:eastAsia="zh-CN" w:bidi="ar-SA"/>
        </w:rPr>
        <w:t>7</w:t>
      </w:r>
      <w:r>
        <w:rPr>
          <w:rFonts w:hint="default" w:ascii="宋体" w:hAnsi="宋体" w:eastAsia="宋体" w:cstheme="minorBidi"/>
          <w:iCs/>
          <w:color w:val="auto"/>
          <w:kern w:val="2"/>
          <w:sz w:val="24"/>
          <w:szCs w:val="22"/>
          <w:highlight w:val="none"/>
          <w:shd w:val="clear" w:color="auto" w:fill="FFFFFF" w:themeFill="background1"/>
          <w:lang w:val="en-US" w:eastAsia="zh-CN" w:bidi="ar-SA"/>
        </w:rPr>
        <w:t>.</w:t>
      </w:r>
      <w:r>
        <w:rPr>
          <w:rFonts w:hint="eastAsia" w:ascii="宋体" w:hAnsi="宋体" w:eastAsia="宋体" w:cstheme="minorBidi"/>
          <w:iCs/>
          <w:color w:val="auto"/>
          <w:kern w:val="2"/>
          <w:sz w:val="24"/>
          <w:szCs w:val="22"/>
          <w:highlight w:val="none"/>
          <w:shd w:val="clear" w:color="auto" w:fill="FFFFFF" w:themeFill="background1"/>
          <w:lang w:val="en-US" w:eastAsia="zh-CN" w:bidi="ar-SA"/>
        </w:rPr>
        <w:t>8</w:t>
      </w:r>
      <w:r>
        <w:rPr>
          <w:rFonts w:hint="default" w:ascii="宋体" w:hAnsi="宋体" w:eastAsia="宋体" w:cstheme="minorBidi"/>
          <w:iCs/>
          <w:color w:val="auto"/>
          <w:kern w:val="2"/>
          <w:sz w:val="24"/>
          <w:szCs w:val="22"/>
          <w:highlight w:val="none"/>
          <w:shd w:val="clear" w:color="auto" w:fill="FFFFFF" w:themeFill="background1"/>
          <w:lang w:val="en-US" w:eastAsia="zh-CN" w:bidi="ar-SA"/>
        </w:rPr>
        <w:t xml:space="preserve">.1 </w:t>
      </w:r>
      <w:r>
        <w:rPr>
          <w:rFonts w:hint="eastAsia" w:ascii="宋体" w:hAnsi="宋体" w:eastAsia="宋体" w:cs="宋体"/>
          <w:color w:val="auto"/>
          <w:kern w:val="2"/>
          <w:sz w:val="24"/>
          <w:szCs w:val="22"/>
          <w:highlight w:val="none"/>
        </w:rPr>
        <w:t>开标后在投标有效期内，投标人撤</w:t>
      </w:r>
      <w:r>
        <w:rPr>
          <w:rFonts w:hint="eastAsia" w:ascii="宋体" w:hAnsi="宋体" w:eastAsia="宋体" w:cs="宋体"/>
          <w:color w:val="auto"/>
          <w:kern w:val="2"/>
          <w:sz w:val="24"/>
          <w:szCs w:val="22"/>
          <w:highlight w:val="none"/>
          <w:lang w:val="en-US" w:eastAsia="zh-CN"/>
        </w:rPr>
        <w:t>销</w:t>
      </w:r>
      <w:r>
        <w:rPr>
          <w:rFonts w:hint="eastAsia" w:ascii="宋体" w:hAnsi="宋体" w:eastAsia="宋体" w:cs="宋体"/>
          <w:color w:val="auto"/>
          <w:kern w:val="2"/>
          <w:sz w:val="24"/>
          <w:szCs w:val="22"/>
          <w:highlight w:val="none"/>
        </w:rPr>
        <w:t>其投标</w:t>
      </w:r>
      <w:r>
        <w:rPr>
          <w:rFonts w:hint="eastAsia" w:ascii="宋体" w:hAnsi="宋体" w:eastAsia="宋体" w:cs="宋体"/>
          <w:color w:val="auto"/>
          <w:kern w:val="2"/>
          <w:sz w:val="24"/>
          <w:szCs w:val="22"/>
          <w:highlight w:val="none"/>
          <w:lang w:val="en-US" w:eastAsia="zh-CN"/>
        </w:rPr>
        <w:t>的</w:t>
      </w:r>
      <w:r>
        <w:rPr>
          <w:rFonts w:hint="eastAsia" w:ascii="宋体" w:hAnsi="宋体" w:eastAsia="宋体" w:cs="宋体"/>
          <w:color w:val="auto"/>
          <w:kern w:val="2"/>
          <w:sz w:val="24"/>
          <w:szCs w:val="22"/>
          <w:highlight w:val="none"/>
        </w:rPr>
        <w:t>；</w:t>
      </w:r>
      <w:r>
        <w:rPr>
          <w:rFonts w:hint="default" w:ascii="宋体" w:hAnsi="宋体" w:eastAsia="宋体" w:cstheme="minorBidi"/>
          <w:iCs/>
          <w:color w:val="auto"/>
          <w:kern w:val="2"/>
          <w:sz w:val="24"/>
          <w:szCs w:val="22"/>
          <w:highlight w:val="none"/>
          <w:shd w:val="clear" w:color="auto" w:fill="FFFFFF" w:themeFill="background1"/>
          <w:lang w:val="en-US" w:eastAsia="zh-CN" w:bidi="ar-SA"/>
        </w:rPr>
        <w:t xml:space="preserve"> </w:t>
      </w:r>
    </w:p>
    <w:p w14:paraId="36FC9D74">
      <w:pPr>
        <w:pStyle w:val="57"/>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default" w:ascii="宋体" w:hAnsi="宋体" w:eastAsia="宋体" w:cstheme="minorBidi"/>
          <w:iCs/>
          <w:color w:val="auto"/>
          <w:kern w:val="2"/>
          <w:sz w:val="24"/>
          <w:szCs w:val="22"/>
          <w:highlight w:val="none"/>
          <w:shd w:val="clear" w:color="auto" w:fill="FFFFFF" w:themeFill="background1"/>
          <w:lang w:val="en-US" w:eastAsia="zh-CN" w:bidi="ar-SA"/>
        </w:rPr>
      </w:pPr>
      <w:r>
        <w:rPr>
          <w:rFonts w:hint="default" w:ascii="宋体" w:hAnsi="宋体" w:eastAsia="宋体" w:cstheme="minorBidi"/>
          <w:iCs/>
          <w:color w:val="auto"/>
          <w:kern w:val="2"/>
          <w:sz w:val="24"/>
          <w:szCs w:val="22"/>
          <w:highlight w:val="none"/>
          <w:shd w:val="clear" w:color="auto" w:fill="FFFFFF" w:themeFill="background1"/>
          <w:lang w:val="en-US" w:eastAsia="zh-CN" w:bidi="ar-SA"/>
        </w:rPr>
        <w:t>1</w:t>
      </w:r>
      <w:r>
        <w:rPr>
          <w:rFonts w:hint="eastAsia" w:ascii="宋体" w:hAnsi="宋体" w:eastAsia="宋体" w:cstheme="minorBidi"/>
          <w:iCs/>
          <w:color w:val="auto"/>
          <w:kern w:val="2"/>
          <w:sz w:val="24"/>
          <w:szCs w:val="22"/>
          <w:highlight w:val="none"/>
          <w:shd w:val="clear" w:color="auto" w:fill="FFFFFF" w:themeFill="background1"/>
          <w:lang w:val="en-US" w:eastAsia="zh-CN" w:bidi="ar-SA"/>
        </w:rPr>
        <w:t>7</w:t>
      </w:r>
      <w:r>
        <w:rPr>
          <w:rFonts w:hint="default" w:ascii="宋体" w:hAnsi="宋体" w:eastAsia="宋体" w:cstheme="minorBidi"/>
          <w:iCs/>
          <w:color w:val="auto"/>
          <w:kern w:val="2"/>
          <w:sz w:val="24"/>
          <w:szCs w:val="22"/>
          <w:highlight w:val="none"/>
          <w:shd w:val="clear" w:color="auto" w:fill="FFFFFF" w:themeFill="background1"/>
          <w:lang w:val="en-US" w:eastAsia="zh-CN" w:bidi="ar-SA"/>
        </w:rPr>
        <w:t>.</w:t>
      </w:r>
      <w:r>
        <w:rPr>
          <w:rFonts w:hint="eastAsia" w:ascii="宋体" w:hAnsi="宋体" w:eastAsia="宋体" w:cstheme="minorBidi"/>
          <w:iCs/>
          <w:color w:val="auto"/>
          <w:kern w:val="2"/>
          <w:sz w:val="24"/>
          <w:szCs w:val="22"/>
          <w:highlight w:val="none"/>
          <w:shd w:val="clear" w:color="auto" w:fill="FFFFFF" w:themeFill="background1"/>
          <w:lang w:val="en-US" w:eastAsia="zh-CN" w:bidi="ar-SA"/>
        </w:rPr>
        <w:t>8</w:t>
      </w:r>
      <w:r>
        <w:rPr>
          <w:rFonts w:hint="default" w:ascii="宋体" w:hAnsi="宋体" w:eastAsia="宋体" w:cstheme="minorBidi"/>
          <w:iCs/>
          <w:color w:val="auto"/>
          <w:kern w:val="2"/>
          <w:sz w:val="24"/>
          <w:szCs w:val="22"/>
          <w:highlight w:val="none"/>
          <w:shd w:val="clear" w:color="auto" w:fill="FFFFFF" w:themeFill="background1"/>
          <w:lang w:val="en-US" w:eastAsia="zh-CN" w:bidi="ar-SA"/>
        </w:rPr>
        <w:t xml:space="preserve">.2 </w:t>
      </w:r>
      <w:r>
        <w:rPr>
          <w:rFonts w:hint="eastAsia" w:ascii="宋体" w:hAnsi="宋体" w:eastAsia="宋体" w:cs="宋体"/>
          <w:color w:val="auto"/>
          <w:kern w:val="2"/>
          <w:sz w:val="24"/>
          <w:szCs w:val="22"/>
          <w:highlight w:val="none"/>
        </w:rPr>
        <w:t>中标后无正当理由不与采购人签订合同的；</w:t>
      </w:r>
    </w:p>
    <w:p w14:paraId="3694295C">
      <w:pPr>
        <w:pStyle w:val="57"/>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color w:val="auto"/>
          <w:kern w:val="2"/>
          <w:sz w:val="24"/>
          <w:szCs w:val="22"/>
          <w:highlight w:val="none"/>
        </w:rPr>
      </w:pPr>
      <w:r>
        <w:rPr>
          <w:rFonts w:hint="eastAsia" w:ascii="宋体" w:hAnsi="宋体" w:eastAsia="宋体" w:cstheme="minorBidi"/>
          <w:iCs/>
          <w:color w:val="auto"/>
          <w:kern w:val="2"/>
          <w:sz w:val="24"/>
          <w:szCs w:val="22"/>
          <w:highlight w:val="none"/>
          <w:shd w:val="clear" w:color="auto" w:fill="FFFFFF" w:themeFill="background1"/>
          <w:lang w:val="en-US" w:eastAsia="zh-CN" w:bidi="ar-SA"/>
        </w:rPr>
        <w:t xml:space="preserve">17.8.3 </w:t>
      </w:r>
      <w:r>
        <w:rPr>
          <w:rFonts w:hint="eastAsia" w:ascii="宋体" w:hAnsi="宋体" w:eastAsia="宋体" w:cs="宋体"/>
          <w:color w:val="auto"/>
          <w:kern w:val="2"/>
          <w:sz w:val="24"/>
          <w:szCs w:val="22"/>
          <w:highlight w:val="none"/>
        </w:rPr>
        <w:t>中标人与采购人订立背离合同实质性内容的其他协议；</w:t>
      </w:r>
    </w:p>
    <w:p w14:paraId="54583F23">
      <w:pPr>
        <w:pStyle w:val="57"/>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color w:val="auto"/>
          <w:kern w:val="2"/>
          <w:sz w:val="24"/>
          <w:szCs w:val="22"/>
          <w:highlight w:val="none"/>
        </w:rPr>
      </w:pPr>
      <w:r>
        <w:rPr>
          <w:rFonts w:hint="eastAsia" w:ascii="宋体" w:hAnsi="宋体" w:eastAsia="宋体" w:cstheme="minorBidi"/>
          <w:iCs/>
          <w:color w:val="auto"/>
          <w:kern w:val="2"/>
          <w:sz w:val="24"/>
          <w:szCs w:val="22"/>
          <w:highlight w:val="none"/>
          <w:shd w:val="clear" w:color="auto" w:fill="FFFFFF" w:themeFill="background1"/>
          <w:lang w:val="en-US" w:eastAsia="zh-CN" w:bidi="ar-SA"/>
        </w:rPr>
        <w:t>17.8.</w:t>
      </w:r>
      <w:r>
        <w:rPr>
          <w:rFonts w:hint="eastAsia" w:ascii="宋体" w:hAnsi="宋体" w:eastAsia="宋体" w:cs="宋体"/>
          <w:color w:val="auto"/>
          <w:kern w:val="2"/>
          <w:sz w:val="24"/>
          <w:szCs w:val="22"/>
          <w:highlight w:val="none"/>
        </w:rPr>
        <w:t>4</w:t>
      </w:r>
      <w:r>
        <w:rPr>
          <w:rFonts w:hint="eastAsia" w:ascii="宋体" w:hAnsi="宋体" w:eastAsia="宋体" w:cs="宋体"/>
          <w:color w:val="auto"/>
          <w:kern w:val="2"/>
          <w:sz w:val="24"/>
          <w:szCs w:val="22"/>
          <w:highlight w:val="none"/>
          <w:lang w:val="en-US" w:eastAsia="zh-CN"/>
        </w:rPr>
        <w:t xml:space="preserve"> </w:t>
      </w:r>
      <w:r>
        <w:rPr>
          <w:rFonts w:hint="eastAsia" w:ascii="宋体" w:hAnsi="宋体" w:eastAsia="宋体" w:cs="宋体"/>
          <w:color w:val="auto"/>
          <w:kern w:val="2"/>
          <w:sz w:val="24"/>
          <w:szCs w:val="22"/>
          <w:highlight w:val="none"/>
        </w:rPr>
        <w:t>将中标项目转让给他人，或者在投标文件中未说明，且未经采购</w:t>
      </w:r>
      <w:r>
        <w:rPr>
          <w:rFonts w:hint="eastAsia" w:ascii="宋体" w:hAnsi="宋体" w:eastAsia="宋体" w:cs="宋体"/>
          <w:color w:val="auto"/>
          <w:kern w:val="2"/>
          <w:sz w:val="24"/>
          <w:szCs w:val="22"/>
          <w:highlight w:val="none"/>
          <w:lang w:val="en-US" w:eastAsia="zh-CN"/>
        </w:rPr>
        <w:t>人</w:t>
      </w:r>
      <w:r>
        <w:rPr>
          <w:rFonts w:hint="eastAsia" w:ascii="宋体" w:hAnsi="宋体" w:eastAsia="宋体" w:cs="宋体"/>
          <w:color w:val="auto"/>
          <w:kern w:val="2"/>
          <w:sz w:val="24"/>
          <w:szCs w:val="22"/>
          <w:highlight w:val="none"/>
        </w:rPr>
        <w:t>同意，将中标项目分包给他人的；</w:t>
      </w:r>
    </w:p>
    <w:p w14:paraId="433DB211">
      <w:pPr>
        <w:pStyle w:val="57"/>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color w:val="auto"/>
          <w:kern w:val="2"/>
          <w:sz w:val="24"/>
          <w:szCs w:val="22"/>
          <w:highlight w:val="none"/>
        </w:rPr>
      </w:pPr>
      <w:r>
        <w:rPr>
          <w:rFonts w:hint="eastAsia" w:ascii="宋体" w:hAnsi="宋体" w:eastAsia="宋体" w:cstheme="minorBidi"/>
          <w:iCs/>
          <w:color w:val="auto"/>
          <w:kern w:val="2"/>
          <w:sz w:val="24"/>
          <w:szCs w:val="22"/>
          <w:highlight w:val="none"/>
          <w:shd w:val="clear" w:color="auto" w:fill="FFFFFF" w:themeFill="background1"/>
          <w:lang w:val="en-US" w:eastAsia="zh-CN" w:bidi="ar-SA"/>
        </w:rPr>
        <w:t>17.8.</w:t>
      </w:r>
      <w:r>
        <w:rPr>
          <w:rFonts w:hint="eastAsia" w:ascii="宋体" w:hAnsi="宋体" w:eastAsia="宋体" w:cs="宋体"/>
          <w:color w:val="auto"/>
          <w:kern w:val="2"/>
          <w:sz w:val="24"/>
          <w:szCs w:val="22"/>
          <w:highlight w:val="none"/>
        </w:rPr>
        <w:t>5</w:t>
      </w:r>
      <w:r>
        <w:rPr>
          <w:rFonts w:hint="eastAsia" w:ascii="宋体" w:hAnsi="宋体" w:eastAsia="宋体" w:cs="宋体"/>
          <w:color w:val="auto"/>
          <w:kern w:val="2"/>
          <w:sz w:val="24"/>
          <w:szCs w:val="22"/>
          <w:highlight w:val="none"/>
          <w:lang w:val="en-US" w:eastAsia="zh-CN"/>
        </w:rPr>
        <w:t xml:space="preserve"> </w:t>
      </w:r>
      <w:r>
        <w:rPr>
          <w:rFonts w:hint="eastAsia" w:ascii="宋体" w:hAnsi="宋体" w:eastAsia="宋体" w:cs="宋体"/>
          <w:color w:val="auto"/>
          <w:kern w:val="2"/>
          <w:sz w:val="24"/>
          <w:szCs w:val="22"/>
          <w:highlight w:val="none"/>
        </w:rPr>
        <w:t>存在串通投标行为的；</w:t>
      </w:r>
    </w:p>
    <w:p w14:paraId="0A3E2CC4">
      <w:pPr>
        <w:pStyle w:val="57"/>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color w:val="auto"/>
          <w:kern w:val="2"/>
          <w:sz w:val="24"/>
          <w:szCs w:val="22"/>
          <w:highlight w:val="none"/>
        </w:rPr>
      </w:pPr>
      <w:r>
        <w:rPr>
          <w:rFonts w:hint="eastAsia" w:ascii="宋体" w:hAnsi="宋体" w:eastAsia="宋体" w:cstheme="minorBidi"/>
          <w:iCs/>
          <w:color w:val="auto"/>
          <w:kern w:val="2"/>
          <w:sz w:val="24"/>
          <w:szCs w:val="22"/>
          <w:highlight w:val="none"/>
          <w:shd w:val="clear" w:color="auto" w:fill="FFFFFF" w:themeFill="background1"/>
          <w:lang w:val="en-US" w:eastAsia="zh-CN" w:bidi="ar-SA"/>
        </w:rPr>
        <w:t>17.8.</w:t>
      </w:r>
      <w:r>
        <w:rPr>
          <w:rFonts w:hint="eastAsia" w:ascii="宋体" w:hAnsi="宋体" w:eastAsia="宋体" w:cs="宋体"/>
          <w:color w:val="auto"/>
          <w:kern w:val="2"/>
          <w:sz w:val="24"/>
          <w:szCs w:val="22"/>
          <w:highlight w:val="none"/>
        </w:rPr>
        <w:t>6</w:t>
      </w:r>
      <w:r>
        <w:rPr>
          <w:rFonts w:hint="eastAsia" w:ascii="宋体" w:hAnsi="宋体" w:eastAsia="宋体" w:cs="宋体"/>
          <w:color w:val="auto"/>
          <w:kern w:val="2"/>
          <w:sz w:val="24"/>
          <w:szCs w:val="22"/>
          <w:highlight w:val="none"/>
          <w:lang w:val="en-US" w:eastAsia="zh-CN"/>
        </w:rPr>
        <w:t xml:space="preserve"> </w:t>
      </w:r>
      <w:r>
        <w:rPr>
          <w:rFonts w:hint="eastAsia" w:ascii="宋体" w:hAnsi="宋体" w:eastAsia="宋体" w:cs="宋体"/>
          <w:color w:val="auto"/>
          <w:kern w:val="2"/>
          <w:sz w:val="24"/>
          <w:szCs w:val="22"/>
          <w:highlight w:val="none"/>
        </w:rPr>
        <w:t>存在弄虚作假或提供虚假材料谋取中标的；</w:t>
      </w:r>
    </w:p>
    <w:p w14:paraId="3CBF915F">
      <w:pPr>
        <w:pStyle w:val="57"/>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color w:val="auto"/>
          <w:kern w:val="2"/>
          <w:sz w:val="24"/>
          <w:szCs w:val="22"/>
          <w:highlight w:val="none"/>
        </w:rPr>
      </w:pPr>
      <w:r>
        <w:rPr>
          <w:rFonts w:hint="eastAsia" w:ascii="宋体" w:hAnsi="宋体" w:eastAsia="宋体" w:cstheme="minorBidi"/>
          <w:iCs/>
          <w:color w:val="auto"/>
          <w:kern w:val="2"/>
          <w:sz w:val="24"/>
          <w:szCs w:val="22"/>
          <w:highlight w:val="none"/>
          <w:shd w:val="clear" w:color="auto" w:fill="FFFFFF" w:themeFill="background1"/>
          <w:lang w:val="en-US" w:eastAsia="zh-CN" w:bidi="ar-SA"/>
        </w:rPr>
        <w:t>17.8.</w:t>
      </w:r>
      <w:r>
        <w:rPr>
          <w:rFonts w:hint="eastAsia" w:ascii="宋体" w:hAnsi="宋体" w:eastAsia="宋体" w:cs="宋体"/>
          <w:color w:val="auto"/>
          <w:kern w:val="2"/>
          <w:sz w:val="24"/>
          <w:szCs w:val="22"/>
          <w:highlight w:val="none"/>
        </w:rPr>
        <w:t>7</w:t>
      </w:r>
      <w:r>
        <w:rPr>
          <w:rFonts w:hint="eastAsia" w:ascii="宋体" w:hAnsi="宋体" w:eastAsia="宋体" w:cs="宋体"/>
          <w:color w:val="auto"/>
          <w:kern w:val="2"/>
          <w:sz w:val="24"/>
          <w:szCs w:val="22"/>
          <w:highlight w:val="none"/>
          <w:lang w:val="en-US" w:eastAsia="zh-CN"/>
        </w:rPr>
        <w:t xml:space="preserve"> </w:t>
      </w:r>
      <w:r>
        <w:rPr>
          <w:rFonts w:hint="eastAsia" w:ascii="宋体" w:hAnsi="宋体" w:eastAsia="宋体" w:cs="宋体"/>
          <w:color w:val="auto"/>
          <w:kern w:val="2"/>
          <w:sz w:val="24"/>
          <w:szCs w:val="22"/>
          <w:highlight w:val="none"/>
        </w:rPr>
        <w:t>投标人其他未按招标文件规定和合同约定履行义务的行为。</w:t>
      </w:r>
    </w:p>
    <w:p w14:paraId="330E240F">
      <w:pPr>
        <w:pStyle w:val="57"/>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theme="minorBidi"/>
          <w:iCs/>
          <w:color w:val="auto"/>
          <w:kern w:val="2"/>
          <w:sz w:val="24"/>
          <w:szCs w:val="22"/>
          <w:highlight w:val="none"/>
          <w:shd w:val="clear" w:color="auto" w:fill="FFFFFF" w:themeFill="background1"/>
          <w:lang w:val="en-US" w:eastAsia="zh-CN" w:bidi="ar-SA"/>
        </w:rPr>
      </w:pPr>
      <w:r>
        <w:rPr>
          <w:rFonts w:hint="eastAsia" w:ascii="宋体" w:hAnsi="宋体" w:eastAsia="宋体" w:cstheme="minorBidi"/>
          <w:iCs/>
          <w:color w:val="auto"/>
          <w:kern w:val="2"/>
          <w:sz w:val="24"/>
          <w:szCs w:val="22"/>
          <w:highlight w:val="none"/>
          <w:shd w:val="clear" w:color="auto" w:fill="FFFFFF" w:themeFill="background1"/>
          <w:lang w:val="en-US" w:eastAsia="zh-CN" w:bidi="ar-SA"/>
        </w:rPr>
        <w:t>17.9如开标时投标人对本单位投标保证金缴纳情况有疑义，投标人应在开标结束前向采购人提交书面申请核实保证金缴纳情况。由银行或保险公司核实后出具书面材料予以答复。</w:t>
      </w:r>
    </w:p>
    <w:p w14:paraId="7018BCE4">
      <w:pPr>
        <w:pStyle w:val="57"/>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theme="minorBidi"/>
          <w:iCs/>
          <w:color w:val="auto"/>
          <w:kern w:val="2"/>
          <w:sz w:val="24"/>
          <w:szCs w:val="22"/>
          <w:highlight w:val="none"/>
          <w:shd w:val="clear" w:color="auto" w:fill="FFFFFF" w:themeFill="background1"/>
          <w:lang w:val="en-US" w:eastAsia="zh-CN" w:bidi="ar-SA"/>
        </w:rPr>
      </w:pPr>
      <w:r>
        <w:rPr>
          <w:rFonts w:hint="eastAsia" w:ascii="宋体" w:hAnsi="宋体" w:eastAsia="宋体" w:cstheme="minorBidi"/>
          <w:iCs/>
          <w:color w:val="auto"/>
          <w:kern w:val="2"/>
          <w:sz w:val="24"/>
          <w:szCs w:val="22"/>
          <w:highlight w:val="none"/>
          <w:shd w:val="clear" w:color="auto" w:fill="FFFFFF" w:themeFill="background1"/>
          <w:lang w:val="en-US" w:eastAsia="zh-CN" w:bidi="ar-SA"/>
        </w:rPr>
        <w:t>17.10为支持和促进中小企业发展，进一步发挥政府采购政策功能，鼓励投标供应商使用电子保函代替现金缴纳投标保证金，在线完成保函的申请、审核、开票、出函等环节，投标企业注意区分办理保函类型，并确认投标有效期，如采用政采云电子保函，可登录“新疆政府采购网”—顶部通栏“信用融资”或者“新疆政府采购网”首页“政采贷｜电子保函”快捷模块查看：</w:t>
      </w:r>
    </w:p>
    <w:p w14:paraId="1F3A8C5E">
      <w:pPr>
        <w:pStyle w:val="57"/>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theme="minorBidi"/>
          <w:iCs/>
          <w:color w:val="auto"/>
          <w:kern w:val="2"/>
          <w:sz w:val="24"/>
          <w:szCs w:val="22"/>
          <w:highlight w:val="none"/>
          <w:shd w:val="clear" w:color="auto" w:fill="FFFFFF" w:themeFill="background1"/>
          <w:lang w:val="en-US" w:eastAsia="zh-CN" w:bidi="ar-SA"/>
        </w:rPr>
      </w:pPr>
      <w:r>
        <w:rPr>
          <w:rFonts w:hint="eastAsia" w:ascii="宋体" w:hAnsi="宋体" w:eastAsia="宋体" w:cstheme="minorBidi"/>
          <w:iCs/>
          <w:color w:val="auto"/>
          <w:kern w:val="2"/>
          <w:sz w:val="24"/>
          <w:szCs w:val="22"/>
          <w:highlight w:val="none"/>
          <w:shd w:val="clear" w:color="auto" w:fill="FFFFFF" w:themeFill="background1"/>
          <w:lang w:val="en-US" w:eastAsia="zh-CN" w:bidi="ar-SA"/>
        </w:rPr>
        <w:t>直达链接（电子保函）：</w:t>
      </w:r>
    </w:p>
    <w:p w14:paraId="15E30E92">
      <w:pPr>
        <w:pStyle w:val="57"/>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theme="minorBidi"/>
          <w:iCs/>
          <w:color w:val="auto"/>
          <w:kern w:val="2"/>
          <w:sz w:val="24"/>
          <w:szCs w:val="22"/>
          <w:highlight w:val="none"/>
          <w:shd w:val="clear" w:color="auto" w:fill="FFFFFF" w:themeFill="background1"/>
          <w:lang w:val="en-US" w:eastAsia="zh-CN" w:bidi="ar-SA"/>
        </w:rPr>
      </w:pPr>
      <w:r>
        <w:rPr>
          <w:rFonts w:hint="eastAsia" w:ascii="宋体" w:hAnsi="宋体" w:eastAsia="宋体" w:cstheme="minorBidi"/>
          <w:iCs/>
          <w:color w:val="auto"/>
          <w:kern w:val="2"/>
          <w:sz w:val="24"/>
          <w:szCs w:val="22"/>
          <w:highlight w:val="none"/>
          <w:shd w:val="clear" w:color="auto" w:fill="FFFFFF" w:themeFill="background1"/>
          <w:lang w:val="en-US" w:eastAsia="zh-CN" w:bidi="ar-SA"/>
        </w:rPr>
        <w:t>https://jinrong.zcygov.cn/luban/finance/xinjiang?utm=site.site-PC-4838.1473-pc-wsg-customFloatWindow-front.1.b9d627301e6311efb796b33a13fe0d0a</w:t>
      </w:r>
    </w:p>
    <w:p w14:paraId="071DFFA7">
      <w:pPr>
        <w:pStyle w:val="57"/>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theme="minorBidi"/>
          <w:iCs/>
          <w:color w:val="auto"/>
          <w:kern w:val="2"/>
          <w:sz w:val="24"/>
          <w:szCs w:val="22"/>
          <w:highlight w:val="none"/>
          <w:shd w:val="clear" w:color="auto" w:fill="FFFFFF" w:themeFill="background1"/>
          <w:lang w:val="en-US" w:eastAsia="zh-CN" w:bidi="ar-SA"/>
        </w:rPr>
      </w:pPr>
      <w:r>
        <w:rPr>
          <w:rFonts w:hint="eastAsia" w:ascii="宋体" w:hAnsi="宋体" w:eastAsia="宋体" w:cstheme="minorBidi"/>
          <w:iCs/>
          <w:color w:val="auto"/>
          <w:kern w:val="2"/>
          <w:sz w:val="24"/>
          <w:szCs w:val="22"/>
          <w:highlight w:val="none"/>
          <w:shd w:val="clear" w:color="auto" w:fill="FFFFFF" w:themeFill="background1"/>
          <w:lang w:val="en-US" w:eastAsia="zh-CN" w:bidi="ar-SA"/>
        </w:rPr>
        <w:t>金融服务支撑热线：</w:t>
      </w:r>
      <w:r>
        <w:rPr>
          <w:rFonts w:hint="eastAsia" w:ascii="宋体" w:hAnsi="宋体" w:eastAsia="宋体" w:cstheme="minorBidi"/>
          <w:b/>
          <w:bCs/>
          <w:iCs/>
          <w:color w:val="auto"/>
          <w:kern w:val="2"/>
          <w:sz w:val="24"/>
          <w:szCs w:val="22"/>
          <w:highlight w:val="none"/>
          <w:shd w:val="clear" w:color="auto" w:fill="FFFFFF" w:themeFill="background1"/>
          <w:lang w:val="en-US" w:eastAsia="zh-CN" w:bidi="ar-SA"/>
        </w:rPr>
        <w:t>0991-2661159</w:t>
      </w:r>
      <w:r>
        <w:rPr>
          <w:rFonts w:hint="eastAsia" w:ascii="宋体" w:hAnsi="宋体" w:eastAsia="宋体" w:cstheme="minorBidi"/>
          <w:iCs/>
          <w:color w:val="auto"/>
          <w:kern w:val="2"/>
          <w:sz w:val="24"/>
          <w:szCs w:val="22"/>
          <w:highlight w:val="none"/>
          <w:shd w:val="clear" w:color="auto" w:fill="FFFFFF" w:themeFill="background1"/>
          <w:lang w:val="en-US" w:eastAsia="zh-CN" w:bidi="ar-SA"/>
        </w:rPr>
        <w:t xml:space="preserve">     </w:t>
      </w:r>
    </w:p>
    <w:p w14:paraId="3586E853">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color w:val="auto"/>
          <w:kern w:val="2"/>
          <w:sz w:val="24"/>
          <w:szCs w:val="28"/>
          <w:highlight w:val="none"/>
          <w:lang w:val="en-US" w:eastAsia="zh-CN" w:bidi="ar-SA"/>
        </w:rPr>
      </w:pPr>
      <w:bookmarkStart w:id="229" w:name="_Toc28464"/>
      <w:bookmarkStart w:id="230" w:name="_Toc16247"/>
      <w:bookmarkStart w:id="231" w:name="_Toc8188"/>
      <w:bookmarkStart w:id="232" w:name="_Toc26606"/>
      <w:r>
        <w:rPr>
          <w:rFonts w:hint="eastAsia" w:ascii="宋体" w:hAnsi="宋体" w:eastAsia="宋体" w:cs="宋体"/>
          <w:b/>
          <w:bCs/>
          <w:color w:val="auto"/>
          <w:kern w:val="2"/>
          <w:sz w:val="24"/>
          <w:szCs w:val="28"/>
          <w:highlight w:val="none"/>
          <w:lang w:val="en-US" w:eastAsia="zh-CN" w:bidi="ar-SA"/>
        </w:rPr>
        <w:t>18.投标文件的加密</w:t>
      </w:r>
      <w:bookmarkEnd w:id="228"/>
      <w:bookmarkEnd w:id="229"/>
      <w:bookmarkEnd w:id="230"/>
      <w:bookmarkEnd w:id="231"/>
      <w:bookmarkEnd w:id="232"/>
    </w:p>
    <w:p w14:paraId="7CFFC076">
      <w:pPr>
        <w:keepNext w:val="0"/>
        <w:keepLines w:val="0"/>
        <w:pageBreakBefore w:val="0"/>
        <w:widowControl w:val="0"/>
        <w:kinsoku/>
        <w:overflowPunct/>
        <w:topLinePunct w:val="0"/>
        <w:autoSpaceDE/>
        <w:autoSpaceDN/>
        <w:bidi w:val="0"/>
        <w:adjustRightInd/>
        <w:ind w:firstLine="480" w:firstLineChars="200"/>
        <w:textAlignment w:val="auto"/>
        <w:rPr>
          <w:rFonts w:eastAsia="宋体" w:cs="仿宋_GB2312"/>
          <w:color w:val="auto"/>
          <w:sz w:val="24"/>
          <w:szCs w:val="24"/>
          <w:highlight w:val="none"/>
          <w:u w:val="single"/>
        </w:rPr>
      </w:pPr>
      <w:bookmarkStart w:id="233" w:name="_Hlk143531864"/>
      <w:r>
        <w:rPr>
          <w:rFonts w:eastAsia="宋体" w:cs="仿宋_GB2312"/>
          <w:color w:val="auto"/>
          <w:sz w:val="24"/>
          <w:szCs w:val="24"/>
          <w:highlight w:val="none"/>
        </w:rPr>
        <w:t>1</w:t>
      </w:r>
      <w:r>
        <w:rPr>
          <w:rFonts w:hint="eastAsia" w:eastAsia="宋体" w:cs="仿宋_GB2312"/>
          <w:color w:val="auto"/>
          <w:sz w:val="24"/>
          <w:szCs w:val="24"/>
          <w:highlight w:val="none"/>
          <w:lang w:val="en-US" w:eastAsia="zh-CN"/>
        </w:rPr>
        <w:t>8</w:t>
      </w:r>
      <w:r>
        <w:rPr>
          <w:rFonts w:hint="eastAsia" w:eastAsia="宋体" w:cs="仿宋_GB2312"/>
          <w:color w:val="auto"/>
          <w:sz w:val="24"/>
          <w:szCs w:val="24"/>
          <w:highlight w:val="none"/>
        </w:rPr>
        <w:t>.1投标人在供应商客户端中生成投标文件并完成签章之后，使用CA证书在供应商客户端中对投标文件进行加密。</w:t>
      </w:r>
    </w:p>
    <w:p w14:paraId="20075D69">
      <w:pPr>
        <w:keepNext w:val="0"/>
        <w:keepLines w:val="0"/>
        <w:pageBreakBefore w:val="0"/>
        <w:widowControl w:val="0"/>
        <w:kinsoku/>
        <w:overflowPunct/>
        <w:topLinePunct w:val="0"/>
        <w:autoSpaceDE/>
        <w:autoSpaceDN/>
        <w:bidi w:val="0"/>
        <w:adjustRightInd/>
        <w:ind w:firstLine="480" w:firstLineChars="200"/>
        <w:textAlignment w:val="auto"/>
        <w:rPr>
          <w:rFonts w:eastAsia="宋体" w:cs="仿宋_GB2312"/>
          <w:color w:val="auto"/>
          <w:sz w:val="24"/>
          <w:szCs w:val="24"/>
          <w:highlight w:val="none"/>
        </w:rPr>
      </w:pPr>
      <w:r>
        <w:rPr>
          <w:rFonts w:eastAsia="宋体" w:cs="仿宋_GB2312"/>
          <w:color w:val="auto"/>
          <w:sz w:val="24"/>
          <w:szCs w:val="24"/>
          <w:highlight w:val="none"/>
        </w:rPr>
        <w:t>1</w:t>
      </w:r>
      <w:r>
        <w:rPr>
          <w:rFonts w:hint="eastAsia" w:eastAsia="宋体" w:cs="仿宋_GB2312"/>
          <w:color w:val="auto"/>
          <w:sz w:val="24"/>
          <w:szCs w:val="24"/>
          <w:highlight w:val="none"/>
          <w:lang w:val="en-US" w:eastAsia="zh-CN"/>
        </w:rPr>
        <w:t>8</w:t>
      </w:r>
      <w:r>
        <w:rPr>
          <w:rFonts w:hint="eastAsia" w:eastAsia="宋体" w:cs="仿宋_GB2312"/>
          <w:color w:val="auto"/>
          <w:sz w:val="24"/>
          <w:szCs w:val="24"/>
          <w:highlight w:val="none"/>
        </w:rPr>
        <w:t>.2投标人应在供应商客户端中对加密的投标文件进行解密验证，以防止投标文件加密异常，在开标时无法解密。</w:t>
      </w:r>
    </w:p>
    <w:p w14:paraId="60E84957">
      <w:pPr>
        <w:keepNext w:val="0"/>
        <w:keepLines w:val="0"/>
        <w:pageBreakBefore w:val="0"/>
        <w:widowControl w:val="0"/>
        <w:kinsoku/>
        <w:overflowPunct/>
        <w:topLinePunct w:val="0"/>
        <w:autoSpaceDE/>
        <w:autoSpaceDN/>
        <w:bidi w:val="0"/>
        <w:adjustRightInd/>
        <w:ind w:firstLine="480" w:firstLineChars="200"/>
        <w:textAlignment w:val="auto"/>
        <w:rPr>
          <w:rFonts w:hint="eastAsia" w:eastAsia="宋体" w:cs="仿宋_GB2312"/>
          <w:color w:val="auto"/>
          <w:sz w:val="24"/>
          <w:szCs w:val="24"/>
          <w:highlight w:val="none"/>
        </w:rPr>
      </w:pPr>
      <w:r>
        <w:rPr>
          <w:rFonts w:eastAsia="宋体" w:cs="仿宋_GB2312"/>
          <w:color w:val="auto"/>
          <w:sz w:val="24"/>
          <w:szCs w:val="24"/>
          <w:highlight w:val="none"/>
        </w:rPr>
        <w:t>1</w:t>
      </w:r>
      <w:r>
        <w:rPr>
          <w:rFonts w:hint="eastAsia" w:eastAsia="宋体" w:cs="仿宋_GB2312"/>
          <w:color w:val="auto"/>
          <w:sz w:val="24"/>
          <w:szCs w:val="24"/>
          <w:highlight w:val="none"/>
          <w:lang w:val="en-US" w:eastAsia="zh-CN"/>
        </w:rPr>
        <w:t>8</w:t>
      </w:r>
      <w:r>
        <w:rPr>
          <w:rFonts w:hint="eastAsia" w:eastAsia="宋体" w:cs="仿宋_GB2312"/>
          <w:color w:val="auto"/>
          <w:sz w:val="24"/>
          <w:szCs w:val="24"/>
          <w:highlight w:val="none"/>
        </w:rPr>
        <w:t>.3 投标人应保证加密投标文件的CA证书有效期在开标时间之前。若CA证书有效期临近开标时间，建议投标人提前办理CA证书续期，以免开标时无法进行解密。</w:t>
      </w:r>
    </w:p>
    <w:p w14:paraId="4D80B003">
      <w:pPr>
        <w:keepNext w:val="0"/>
        <w:keepLines w:val="0"/>
        <w:pageBreakBefore w:val="0"/>
        <w:widowControl w:val="0"/>
        <w:kinsoku/>
        <w:wordWrap w:val="0"/>
        <w:overflowPunct/>
        <w:topLinePunct w:val="0"/>
        <w:autoSpaceDE/>
        <w:autoSpaceDN/>
        <w:bidi w:val="0"/>
        <w:adjustRightInd/>
        <w:snapToGrid/>
        <w:ind w:firstLine="480" w:firstLineChars="200"/>
        <w:textAlignment w:val="auto"/>
        <w:rPr>
          <w:rFonts w:hint="eastAsia" w:eastAsia="宋体" w:cs="仿宋_GB2312"/>
          <w:color w:val="auto"/>
          <w:sz w:val="24"/>
          <w:szCs w:val="24"/>
          <w:highlight w:val="none"/>
        </w:rPr>
      </w:pPr>
      <w:r>
        <w:rPr>
          <w:rFonts w:hint="eastAsia" w:eastAsia="宋体" w:cs="仿宋_GB2312"/>
          <w:color w:val="auto"/>
          <w:sz w:val="24"/>
          <w:szCs w:val="24"/>
          <w:highlight w:val="none"/>
        </w:rPr>
        <w:t>1</w:t>
      </w:r>
      <w:r>
        <w:rPr>
          <w:rFonts w:hint="eastAsia" w:eastAsia="宋体" w:cs="仿宋_GB2312"/>
          <w:color w:val="auto"/>
          <w:sz w:val="24"/>
          <w:szCs w:val="24"/>
          <w:highlight w:val="none"/>
          <w:lang w:val="en-US" w:eastAsia="zh-CN"/>
        </w:rPr>
        <w:t>8</w:t>
      </w:r>
      <w:r>
        <w:rPr>
          <w:rFonts w:hint="eastAsia" w:eastAsia="宋体" w:cs="仿宋_GB2312"/>
          <w:color w:val="auto"/>
          <w:sz w:val="24"/>
          <w:szCs w:val="24"/>
          <w:highlight w:val="none"/>
        </w:rPr>
        <w:t>.</w:t>
      </w:r>
      <w:r>
        <w:rPr>
          <w:rFonts w:hint="eastAsia" w:eastAsia="宋体" w:cs="仿宋_GB2312"/>
          <w:color w:val="auto"/>
          <w:sz w:val="24"/>
          <w:szCs w:val="24"/>
          <w:highlight w:val="none"/>
          <w:lang w:val="en-US" w:eastAsia="zh-CN"/>
        </w:rPr>
        <w:t>4</w:t>
      </w:r>
      <w:r>
        <w:rPr>
          <w:rFonts w:hint="eastAsia" w:eastAsia="宋体" w:cs="仿宋_GB2312"/>
          <w:color w:val="auto"/>
          <w:sz w:val="24"/>
          <w:szCs w:val="24"/>
          <w:highlight w:val="none"/>
          <w:lang w:eastAsia="zh-CN"/>
        </w:rPr>
        <w:t>投标人</w:t>
      </w:r>
      <w:r>
        <w:rPr>
          <w:rFonts w:hint="eastAsia" w:eastAsia="宋体" w:cs="仿宋_GB2312"/>
          <w:color w:val="auto"/>
          <w:sz w:val="24"/>
          <w:szCs w:val="24"/>
          <w:highlight w:val="none"/>
        </w:rPr>
        <w:t>在</w:t>
      </w:r>
      <w:r>
        <w:rPr>
          <w:rFonts w:hint="eastAsia" w:eastAsia="宋体" w:cs="仿宋_GB2312"/>
          <w:color w:val="auto"/>
          <w:sz w:val="24"/>
          <w:szCs w:val="24"/>
          <w:highlight w:val="none"/>
          <w:lang w:eastAsia="zh-CN"/>
        </w:rPr>
        <w:t>投标文件</w:t>
      </w:r>
      <w:r>
        <w:rPr>
          <w:rFonts w:hint="eastAsia" w:eastAsia="宋体" w:cs="仿宋_GB2312"/>
          <w:color w:val="auto"/>
          <w:sz w:val="24"/>
          <w:szCs w:val="24"/>
          <w:highlight w:val="none"/>
        </w:rPr>
        <w:t>递交截</w:t>
      </w:r>
      <w:r>
        <w:rPr>
          <w:rFonts w:hint="eastAsia" w:eastAsia="宋体" w:cs="仿宋_GB2312"/>
          <w:color w:val="auto"/>
          <w:sz w:val="24"/>
          <w:szCs w:val="24"/>
          <w:highlight w:val="none"/>
          <w:lang w:val="en-US" w:eastAsia="zh-CN"/>
        </w:rPr>
        <w:t>止</w:t>
      </w:r>
      <w:r>
        <w:rPr>
          <w:rFonts w:hint="eastAsia" w:eastAsia="宋体" w:cs="仿宋_GB2312"/>
          <w:color w:val="auto"/>
          <w:sz w:val="24"/>
          <w:szCs w:val="24"/>
          <w:highlight w:val="none"/>
        </w:rPr>
        <w:t>时间前通过</w:t>
      </w:r>
      <w:r>
        <w:rPr>
          <w:rFonts w:hint="eastAsia" w:cs="仿宋_GB2312"/>
          <w:color w:val="auto"/>
          <w:sz w:val="24"/>
          <w:szCs w:val="24"/>
          <w:highlight w:val="none"/>
          <w:lang w:val="en-US" w:eastAsia="zh-CN"/>
        </w:rPr>
        <w:t>新疆</w:t>
      </w:r>
      <w:r>
        <w:rPr>
          <w:rFonts w:hint="eastAsia" w:eastAsia="宋体" w:cs="仿宋_GB2312"/>
          <w:color w:val="auto"/>
          <w:sz w:val="24"/>
          <w:szCs w:val="24"/>
          <w:highlight w:val="none"/>
        </w:rPr>
        <w:t>政府采购网（http://www.ccgp-xinjiang.gov.cn/）的”政采云登录入口”登录后，将加密电子</w:t>
      </w:r>
      <w:r>
        <w:rPr>
          <w:rFonts w:hint="eastAsia" w:eastAsia="宋体" w:cs="仿宋_GB2312"/>
          <w:color w:val="auto"/>
          <w:sz w:val="24"/>
          <w:szCs w:val="24"/>
          <w:highlight w:val="none"/>
          <w:lang w:eastAsia="zh-CN"/>
        </w:rPr>
        <w:t>投标文件</w:t>
      </w:r>
      <w:r>
        <w:rPr>
          <w:rFonts w:hint="eastAsia" w:ascii="宋体" w:hAnsi="宋体" w:eastAsia="宋体" w:cs="仿宋_GB2312"/>
          <w:color w:val="auto"/>
          <w:sz w:val="24"/>
          <w:szCs w:val="24"/>
          <w:highlight w:val="none"/>
        </w:rPr>
        <w:t>（为.jmbs后缀格式）</w:t>
      </w:r>
      <w:r>
        <w:rPr>
          <w:rFonts w:hint="eastAsia" w:eastAsia="宋体" w:cs="仿宋_GB2312"/>
          <w:color w:val="auto"/>
          <w:sz w:val="24"/>
          <w:szCs w:val="24"/>
          <w:highlight w:val="none"/>
        </w:rPr>
        <w:t>上传到对应项目的指定位置</w:t>
      </w:r>
      <w:r>
        <w:rPr>
          <w:rFonts w:hint="eastAsia" w:eastAsia="宋体" w:cs="仿宋_GB2312"/>
          <w:color w:val="auto"/>
          <w:sz w:val="24"/>
          <w:szCs w:val="24"/>
          <w:highlight w:val="none"/>
          <w:lang w:eastAsia="zh-CN"/>
        </w:rPr>
        <w:t>，</w:t>
      </w:r>
      <w:r>
        <w:rPr>
          <w:rFonts w:hint="eastAsia" w:eastAsia="宋体" w:cs="仿宋_GB2312"/>
          <w:color w:val="auto"/>
          <w:sz w:val="24"/>
          <w:szCs w:val="24"/>
          <w:highlight w:val="none"/>
        </w:rPr>
        <w:t>投标人认为有必要提交的其他资料请于投标截止时间前一并提交。</w:t>
      </w:r>
    </w:p>
    <w:p w14:paraId="7FD09881">
      <w:pPr>
        <w:keepNext w:val="0"/>
        <w:keepLines w:val="0"/>
        <w:pageBreakBefore w:val="0"/>
        <w:widowControl w:val="0"/>
        <w:kinsoku/>
        <w:overflowPunct/>
        <w:topLinePunct w:val="0"/>
        <w:autoSpaceDE/>
        <w:autoSpaceDN/>
        <w:bidi w:val="0"/>
        <w:adjustRightInd/>
        <w:ind w:firstLine="480" w:firstLineChars="200"/>
        <w:textAlignment w:val="auto"/>
        <w:rPr>
          <w:rFonts w:hint="eastAsia" w:eastAsia="宋体" w:cs="仿宋_GB2312"/>
          <w:color w:val="auto"/>
          <w:sz w:val="24"/>
          <w:szCs w:val="24"/>
          <w:highlight w:val="none"/>
        </w:rPr>
      </w:pPr>
      <w:r>
        <w:rPr>
          <w:rFonts w:hint="eastAsia" w:eastAsia="宋体" w:cs="仿宋_GB2312"/>
          <w:color w:val="auto"/>
          <w:sz w:val="24"/>
          <w:szCs w:val="24"/>
          <w:highlight w:val="none"/>
        </w:rPr>
        <w:t>1</w:t>
      </w:r>
      <w:r>
        <w:rPr>
          <w:rFonts w:hint="eastAsia" w:eastAsia="宋体" w:cs="仿宋_GB2312"/>
          <w:color w:val="auto"/>
          <w:sz w:val="24"/>
          <w:szCs w:val="24"/>
          <w:highlight w:val="none"/>
          <w:lang w:val="en-US" w:eastAsia="zh-CN"/>
        </w:rPr>
        <w:t>8</w:t>
      </w:r>
      <w:r>
        <w:rPr>
          <w:rFonts w:hint="eastAsia" w:eastAsia="宋体" w:cs="仿宋_GB2312"/>
          <w:color w:val="auto"/>
          <w:sz w:val="24"/>
          <w:szCs w:val="24"/>
          <w:highlight w:val="none"/>
        </w:rPr>
        <w:t>.</w:t>
      </w:r>
      <w:r>
        <w:rPr>
          <w:rFonts w:hint="eastAsia" w:eastAsia="宋体" w:cs="仿宋_GB2312"/>
          <w:color w:val="auto"/>
          <w:sz w:val="24"/>
          <w:szCs w:val="24"/>
          <w:highlight w:val="none"/>
          <w:lang w:val="en-US" w:eastAsia="zh-CN"/>
        </w:rPr>
        <w:t>5</w:t>
      </w:r>
      <w:r>
        <w:rPr>
          <w:rFonts w:hint="eastAsia" w:eastAsia="宋体" w:cs="仿宋_GB2312"/>
          <w:color w:val="auto"/>
          <w:sz w:val="24"/>
          <w:szCs w:val="24"/>
          <w:highlight w:val="none"/>
        </w:rPr>
        <w:t>如果投标人未按上述要求</w:t>
      </w:r>
      <w:r>
        <w:rPr>
          <w:rFonts w:hint="eastAsia" w:eastAsia="宋体" w:cs="仿宋_GB2312"/>
          <w:color w:val="auto"/>
          <w:sz w:val="24"/>
          <w:szCs w:val="24"/>
          <w:highlight w:val="none"/>
          <w:lang w:val="en-US" w:eastAsia="zh-CN"/>
        </w:rPr>
        <w:t>加密并上传</w:t>
      </w:r>
      <w:r>
        <w:rPr>
          <w:rFonts w:hint="eastAsia" w:eastAsia="宋体" w:cs="仿宋_GB2312"/>
          <w:color w:val="auto"/>
          <w:sz w:val="24"/>
          <w:szCs w:val="24"/>
          <w:highlight w:val="none"/>
        </w:rPr>
        <w:t>，采购代理机构对投标文件的误投</w:t>
      </w:r>
      <w:r>
        <w:rPr>
          <w:rFonts w:hint="eastAsia" w:eastAsia="宋体" w:cs="仿宋_GB2312"/>
          <w:color w:val="auto"/>
          <w:sz w:val="24"/>
          <w:szCs w:val="24"/>
          <w:highlight w:val="none"/>
          <w:lang w:eastAsia="zh-CN"/>
        </w:rPr>
        <w:t>、</w:t>
      </w:r>
      <w:r>
        <w:rPr>
          <w:rFonts w:hint="eastAsia" w:eastAsia="宋体" w:cs="仿宋_GB2312"/>
          <w:color w:val="auto"/>
          <w:sz w:val="24"/>
          <w:szCs w:val="24"/>
          <w:highlight w:val="none"/>
          <w:lang w:val="en-US" w:eastAsia="zh-CN"/>
        </w:rPr>
        <w:t>无法解密、传输错误等问题</w:t>
      </w:r>
      <w:r>
        <w:rPr>
          <w:rFonts w:hint="eastAsia" w:eastAsia="宋体" w:cs="仿宋_GB2312"/>
          <w:color w:val="auto"/>
          <w:sz w:val="24"/>
          <w:szCs w:val="24"/>
          <w:highlight w:val="none"/>
        </w:rPr>
        <w:t>概不负责。对由此造成</w:t>
      </w:r>
      <w:r>
        <w:rPr>
          <w:rFonts w:hint="eastAsia" w:eastAsia="宋体" w:cs="仿宋_GB2312"/>
          <w:color w:val="auto"/>
          <w:sz w:val="24"/>
          <w:szCs w:val="24"/>
          <w:highlight w:val="none"/>
          <w:lang w:val="en-US" w:eastAsia="zh-CN"/>
        </w:rPr>
        <w:t>无法正常开启</w:t>
      </w:r>
      <w:r>
        <w:rPr>
          <w:rFonts w:hint="eastAsia" w:eastAsia="宋体" w:cs="仿宋_GB2312"/>
          <w:color w:val="auto"/>
          <w:sz w:val="24"/>
          <w:szCs w:val="24"/>
          <w:highlight w:val="none"/>
        </w:rPr>
        <w:t>的投标文件，采购代理机构有权予以拒绝，并退回投标人。</w:t>
      </w:r>
    </w:p>
    <w:p w14:paraId="23051441">
      <w:pPr>
        <w:keepNext w:val="0"/>
        <w:keepLines w:val="0"/>
        <w:pageBreakBefore w:val="0"/>
        <w:widowControl w:val="0"/>
        <w:kinsoku/>
        <w:overflowPunct/>
        <w:topLinePunct w:val="0"/>
        <w:autoSpaceDE/>
        <w:autoSpaceDN/>
        <w:bidi w:val="0"/>
        <w:adjustRightInd/>
        <w:ind w:firstLine="480" w:firstLineChars="200"/>
        <w:textAlignment w:val="auto"/>
        <w:rPr>
          <w:rFonts w:hint="eastAsia" w:eastAsia="宋体" w:cs="仿宋_GB2312"/>
          <w:color w:val="auto"/>
          <w:sz w:val="24"/>
          <w:szCs w:val="24"/>
          <w:highlight w:val="none"/>
        </w:rPr>
      </w:pPr>
      <w:r>
        <w:rPr>
          <w:rFonts w:hint="eastAsia" w:eastAsia="宋体" w:cs="仿宋_GB2312"/>
          <w:color w:val="auto"/>
          <w:sz w:val="24"/>
          <w:szCs w:val="24"/>
          <w:highlight w:val="none"/>
        </w:rPr>
        <w:t>1</w:t>
      </w:r>
      <w:r>
        <w:rPr>
          <w:rFonts w:hint="eastAsia" w:eastAsia="宋体" w:cs="仿宋_GB2312"/>
          <w:color w:val="auto"/>
          <w:sz w:val="24"/>
          <w:szCs w:val="24"/>
          <w:highlight w:val="none"/>
          <w:lang w:val="en-US" w:eastAsia="zh-CN"/>
        </w:rPr>
        <w:t>8</w:t>
      </w:r>
      <w:r>
        <w:rPr>
          <w:rFonts w:hint="eastAsia" w:eastAsia="宋体" w:cs="仿宋_GB2312"/>
          <w:color w:val="auto"/>
          <w:sz w:val="24"/>
          <w:szCs w:val="24"/>
          <w:highlight w:val="none"/>
        </w:rPr>
        <w:t>.</w:t>
      </w:r>
      <w:r>
        <w:rPr>
          <w:rFonts w:hint="eastAsia" w:eastAsia="宋体" w:cs="仿宋_GB2312"/>
          <w:color w:val="auto"/>
          <w:sz w:val="24"/>
          <w:szCs w:val="24"/>
          <w:highlight w:val="none"/>
          <w:lang w:val="en-US" w:eastAsia="zh-CN"/>
        </w:rPr>
        <w:t>6</w:t>
      </w:r>
      <w:r>
        <w:rPr>
          <w:rFonts w:hint="eastAsia" w:eastAsia="宋体" w:cs="仿宋_GB2312"/>
          <w:color w:val="auto"/>
          <w:sz w:val="24"/>
          <w:szCs w:val="24"/>
          <w:highlight w:val="none"/>
        </w:rPr>
        <w:t>本项目采用不见面开标，无需提供电子</w:t>
      </w:r>
      <w:r>
        <w:rPr>
          <w:rFonts w:hint="eastAsia" w:ascii="宋体" w:hAnsi="宋体" w:eastAsia="宋体" w:cs="仿宋_GB2312"/>
          <w:color w:val="auto"/>
          <w:sz w:val="24"/>
          <w:szCs w:val="24"/>
          <w:highlight w:val="none"/>
        </w:rPr>
        <w:t>投标文件U盘</w:t>
      </w:r>
      <w:r>
        <w:rPr>
          <w:rFonts w:hint="eastAsia" w:eastAsia="宋体" w:cs="仿宋_GB2312"/>
          <w:color w:val="auto"/>
          <w:sz w:val="24"/>
          <w:szCs w:val="24"/>
          <w:highlight w:val="none"/>
        </w:rPr>
        <w:t>。</w:t>
      </w:r>
    </w:p>
    <w:bookmarkEnd w:id="233"/>
    <w:p w14:paraId="31ED663E">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color w:val="auto"/>
          <w:kern w:val="2"/>
          <w:sz w:val="24"/>
          <w:szCs w:val="28"/>
          <w:highlight w:val="none"/>
          <w:lang w:val="en-US" w:eastAsia="zh-CN" w:bidi="ar-SA"/>
        </w:rPr>
      </w:pPr>
      <w:bookmarkStart w:id="234" w:name="_Toc140132777"/>
      <w:bookmarkStart w:id="235" w:name="_Toc16258"/>
      <w:bookmarkStart w:id="236" w:name="_Toc163492844"/>
      <w:bookmarkStart w:id="237" w:name="_Toc29763"/>
      <w:bookmarkStart w:id="238" w:name="_Toc27844"/>
      <w:bookmarkStart w:id="239" w:name="_Toc32423"/>
      <w:r>
        <w:rPr>
          <w:rFonts w:hint="eastAsia" w:ascii="宋体" w:hAnsi="宋体" w:eastAsia="宋体" w:cs="宋体"/>
          <w:b/>
          <w:bCs/>
          <w:color w:val="auto"/>
          <w:kern w:val="2"/>
          <w:sz w:val="24"/>
          <w:szCs w:val="28"/>
          <w:highlight w:val="none"/>
          <w:lang w:val="en-US" w:eastAsia="zh-CN" w:bidi="ar-SA"/>
        </w:rPr>
        <w:t>19.投标文件的递交</w:t>
      </w:r>
      <w:bookmarkEnd w:id="234"/>
      <w:r>
        <w:rPr>
          <w:rFonts w:hint="eastAsia" w:ascii="宋体" w:hAnsi="宋体" w:eastAsia="宋体" w:cs="宋体"/>
          <w:b/>
          <w:bCs/>
          <w:color w:val="auto"/>
          <w:kern w:val="2"/>
          <w:sz w:val="24"/>
          <w:szCs w:val="28"/>
          <w:highlight w:val="none"/>
          <w:lang w:val="en-US" w:eastAsia="zh-CN" w:bidi="ar-SA"/>
        </w:rPr>
        <w:t>（上传）</w:t>
      </w:r>
      <w:bookmarkEnd w:id="235"/>
      <w:bookmarkEnd w:id="236"/>
      <w:bookmarkEnd w:id="237"/>
      <w:bookmarkEnd w:id="238"/>
      <w:bookmarkEnd w:id="239"/>
    </w:p>
    <w:p w14:paraId="68ADD5DF">
      <w:pPr>
        <w:keepNext w:val="0"/>
        <w:keepLines w:val="0"/>
        <w:pageBreakBefore w:val="0"/>
        <w:widowControl w:val="0"/>
        <w:kinsoku/>
        <w:overflowPunct/>
        <w:topLinePunct w:val="0"/>
        <w:autoSpaceDE/>
        <w:autoSpaceDN/>
        <w:bidi w:val="0"/>
        <w:adjustRightInd/>
        <w:ind w:firstLine="480" w:firstLineChars="200"/>
        <w:textAlignment w:val="auto"/>
        <w:rPr>
          <w:rFonts w:hint="eastAsia" w:eastAsia="宋体" w:cs="仿宋_GB2312"/>
          <w:color w:val="auto"/>
          <w:sz w:val="24"/>
          <w:szCs w:val="24"/>
          <w:highlight w:val="none"/>
        </w:rPr>
      </w:pPr>
      <w:bookmarkStart w:id="240" w:name="_Hlk143531977"/>
      <w:r>
        <w:rPr>
          <w:rFonts w:hint="eastAsia" w:eastAsia="宋体" w:cs="仿宋_GB2312"/>
          <w:color w:val="auto"/>
          <w:sz w:val="24"/>
          <w:szCs w:val="24"/>
          <w:highlight w:val="none"/>
          <w:lang w:val="en-US" w:eastAsia="zh-CN"/>
        </w:rPr>
        <w:t>19</w:t>
      </w:r>
      <w:r>
        <w:rPr>
          <w:rFonts w:hint="eastAsia" w:eastAsia="宋体" w:cs="仿宋_GB2312"/>
          <w:color w:val="auto"/>
          <w:sz w:val="24"/>
          <w:szCs w:val="24"/>
          <w:highlight w:val="none"/>
        </w:rPr>
        <w:t>.1 投标人应在“</w:t>
      </w:r>
      <w:r>
        <w:rPr>
          <w:rFonts w:hint="eastAsia" w:eastAsia="宋体" w:cs="仿宋_GB2312"/>
          <w:color w:val="auto"/>
          <w:sz w:val="24"/>
          <w:szCs w:val="24"/>
          <w:highlight w:val="none"/>
          <w:lang w:val="en-US" w:eastAsia="zh-CN"/>
        </w:rPr>
        <w:t xml:space="preserve">第一章 </w:t>
      </w:r>
      <w:r>
        <w:rPr>
          <w:rFonts w:hint="eastAsia" w:eastAsia="宋体"/>
          <w:color w:val="auto"/>
          <w:sz w:val="24"/>
          <w:highlight w:val="none"/>
          <w:lang w:val="en-US" w:eastAsia="zh-CN"/>
        </w:rPr>
        <w:t>招标公告</w:t>
      </w:r>
      <w:r>
        <w:rPr>
          <w:rFonts w:hint="eastAsia" w:eastAsia="宋体" w:cs="仿宋_GB2312"/>
          <w:color w:val="auto"/>
          <w:sz w:val="24"/>
          <w:szCs w:val="24"/>
          <w:highlight w:val="none"/>
        </w:rPr>
        <w:t>”规定的投标截止时间前递交（上传）投标文件。</w:t>
      </w:r>
    </w:p>
    <w:p w14:paraId="0686D9A3">
      <w:pPr>
        <w:keepNext w:val="0"/>
        <w:keepLines w:val="0"/>
        <w:pageBreakBefore w:val="0"/>
        <w:widowControl w:val="0"/>
        <w:kinsoku/>
        <w:overflowPunct/>
        <w:topLinePunct w:val="0"/>
        <w:autoSpaceDE/>
        <w:autoSpaceDN/>
        <w:bidi w:val="0"/>
        <w:adjustRightInd/>
        <w:ind w:firstLine="480" w:firstLineChars="200"/>
        <w:textAlignment w:val="auto"/>
        <w:rPr>
          <w:rFonts w:hint="eastAsia" w:eastAsia="宋体" w:cs="仿宋_GB2312"/>
          <w:color w:val="auto"/>
          <w:sz w:val="24"/>
          <w:szCs w:val="24"/>
          <w:highlight w:val="none"/>
        </w:rPr>
      </w:pPr>
      <w:r>
        <w:rPr>
          <w:rFonts w:hint="eastAsia" w:eastAsia="宋体" w:cs="仿宋_GB2312"/>
          <w:color w:val="auto"/>
          <w:sz w:val="24"/>
          <w:szCs w:val="24"/>
          <w:highlight w:val="none"/>
          <w:lang w:val="en-US" w:eastAsia="zh-CN"/>
        </w:rPr>
        <w:t>19</w:t>
      </w:r>
      <w:r>
        <w:rPr>
          <w:rFonts w:hint="eastAsia" w:eastAsia="宋体" w:cs="仿宋_GB2312"/>
          <w:color w:val="auto"/>
          <w:sz w:val="24"/>
          <w:szCs w:val="24"/>
          <w:highlight w:val="none"/>
        </w:rPr>
        <w:t>.2 投标人递交（上传）投标文件的地点见“</w:t>
      </w:r>
      <w:r>
        <w:rPr>
          <w:rFonts w:hint="eastAsia" w:eastAsia="宋体" w:cs="仿宋_GB2312"/>
          <w:color w:val="auto"/>
          <w:sz w:val="24"/>
          <w:szCs w:val="24"/>
          <w:highlight w:val="none"/>
          <w:lang w:val="en-US" w:eastAsia="zh-CN"/>
        </w:rPr>
        <w:t xml:space="preserve">第一章 </w:t>
      </w:r>
      <w:r>
        <w:rPr>
          <w:rFonts w:hint="eastAsia" w:eastAsia="宋体"/>
          <w:color w:val="auto"/>
          <w:sz w:val="24"/>
          <w:highlight w:val="none"/>
          <w:lang w:val="en-US" w:eastAsia="zh-CN"/>
        </w:rPr>
        <w:t>招标公告</w:t>
      </w:r>
      <w:r>
        <w:rPr>
          <w:rFonts w:hint="eastAsia" w:eastAsia="宋体" w:cs="仿宋_GB2312"/>
          <w:color w:val="auto"/>
          <w:sz w:val="24"/>
          <w:szCs w:val="24"/>
          <w:highlight w:val="none"/>
        </w:rPr>
        <w:t>”。</w:t>
      </w:r>
    </w:p>
    <w:p w14:paraId="6AE6974A">
      <w:pPr>
        <w:keepNext w:val="0"/>
        <w:keepLines w:val="0"/>
        <w:pageBreakBefore w:val="0"/>
        <w:widowControl w:val="0"/>
        <w:kinsoku/>
        <w:overflowPunct/>
        <w:topLinePunct w:val="0"/>
        <w:autoSpaceDE/>
        <w:autoSpaceDN/>
        <w:bidi w:val="0"/>
        <w:adjustRightInd/>
        <w:ind w:firstLine="480" w:firstLineChars="200"/>
        <w:textAlignment w:val="auto"/>
        <w:rPr>
          <w:rFonts w:hint="eastAsia" w:eastAsia="宋体" w:cs="仿宋_GB2312"/>
          <w:color w:val="auto"/>
          <w:sz w:val="24"/>
          <w:szCs w:val="24"/>
          <w:highlight w:val="none"/>
          <w:lang w:eastAsia="zh-CN"/>
        </w:rPr>
      </w:pPr>
      <w:r>
        <w:rPr>
          <w:rFonts w:hint="eastAsia" w:eastAsia="宋体" w:cs="仿宋_GB2312"/>
          <w:color w:val="auto"/>
          <w:sz w:val="24"/>
          <w:szCs w:val="24"/>
          <w:highlight w:val="none"/>
          <w:lang w:val="en-US" w:eastAsia="zh-CN"/>
        </w:rPr>
        <w:t>19</w:t>
      </w:r>
      <w:r>
        <w:rPr>
          <w:rFonts w:hint="eastAsia" w:eastAsia="宋体" w:cs="仿宋_GB2312"/>
          <w:color w:val="auto"/>
          <w:sz w:val="24"/>
          <w:szCs w:val="24"/>
          <w:highlight w:val="none"/>
        </w:rPr>
        <w:t>.3投标人应充分评估集中同时投标带来的网络影响，尽量避开投标高峰时间，错峰进行电子投标。投标人递交全部的投标文件后可在政采云平台（项目采购</w:t>
      </w:r>
      <w:r>
        <w:rPr>
          <w:rFonts w:hint="eastAsia" w:eastAsia="宋体" w:cs="仿宋_GB2312"/>
          <w:color w:val="auto"/>
          <w:sz w:val="24"/>
          <w:szCs w:val="24"/>
          <w:highlight w:val="none"/>
          <w:lang w:eastAsia="zh-CN"/>
        </w:rPr>
        <w:t>—</w:t>
      </w:r>
      <w:r>
        <w:rPr>
          <w:rFonts w:hint="eastAsia" w:eastAsia="宋体" w:cs="仿宋_GB2312"/>
          <w:color w:val="auto"/>
          <w:sz w:val="24"/>
          <w:szCs w:val="24"/>
          <w:highlight w:val="none"/>
        </w:rPr>
        <w:t>投标文件上传）中获取投标文件递交回执单。</w:t>
      </w:r>
    </w:p>
    <w:p w14:paraId="66FB688C">
      <w:pPr>
        <w:keepNext w:val="0"/>
        <w:keepLines w:val="0"/>
        <w:pageBreakBefore w:val="0"/>
        <w:widowControl w:val="0"/>
        <w:kinsoku/>
        <w:overflowPunct/>
        <w:topLinePunct w:val="0"/>
        <w:autoSpaceDE/>
        <w:autoSpaceDN/>
        <w:bidi w:val="0"/>
        <w:adjustRightInd/>
        <w:ind w:firstLine="480" w:firstLineChars="200"/>
        <w:textAlignment w:val="auto"/>
        <w:rPr>
          <w:rFonts w:hint="eastAsia" w:eastAsia="宋体" w:cs="仿宋_GB2312"/>
          <w:color w:val="auto"/>
          <w:sz w:val="24"/>
          <w:szCs w:val="24"/>
          <w:highlight w:val="none"/>
        </w:rPr>
      </w:pPr>
      <w:r>
        <w:rPr>
          <w:rFonts w:hint="eastAsia" w:eastAsia="宋体" w:cs="仿宋_GB2312"/>
          <w:color w:val="auto"/>
          <w:sz w:val="24"/>
          <w:szCs w:val="24"/>
          <w:highlight w:val="none"/>
          <w:lang w:val="en-US" w:eastAsia="zh-CN"/>
        </w:rPr>
        <w:t>19</w:t>
      </w:r>
      <w:r>
        <w:rPr>
          <w:rFonts w:hint="eastAsia" w:eastAsia="宋体" w:cs="仿宋_GB2312"/>
          <w:color w:val="auto"/>
          <w:sz w:val="24"/>
          <w:szCs w:val="24"/>
          <w:highlight w:val="none"/>
        </w:rPr>
        <w:t>.4 投标人应在供应商客户端中下载未加密且完成签章的投标文件妥善保存，以便启动应急开标程序时使用。</w:t>
      </w:r>
    </w:p>
    <w:p w14:paraId="4469D505">
      <w:pPr>
        <w:keepNext w:val="0"/>
        <w:keepLines w:val="0"/>
        <w:pageBreakBefore w:val="0"/>
        <w:widowControl w:val="0"/>
        <w:kinsoku/>
        <w:overflowPunct/>
        <w:topLinePunct w:val="0"/>
        <w:autoSpaceDE/>
        <w:autoSpaceDN/>
        <w:bidi w:val="0"/>
        <w:adjustRightInd/>
        <w:ind w:firstLine="480" w:firstLineChars="200"/>
        <w:textAlignment w:val="auto"/>
        <w:rPr>
          <w:rFonts w:hint="eastAsia" w:eastAsia="宋体" w:cs="仿宋_GB2312"/>
          <w:color w:val="auto"/>
          <w:sz w:val="24"/>
          <w:szCs w:val="24"/>
          <w:highlight w:val="none"/>
        </w:rPr>
      </w:pPr>
      <w:r>
        <w:rPr>
          <w:rFonts w:hint="eastAsia" w:eastAsia="宋体" w:cs="仿宋_GB2312"/>
          <w:color w:val="auto"/>
          <w:sz w:val="24"/>
          <w:szCs w:val="24"/>
          <w:highlight w:val="none"/>
          <w:lang w:val="en-US" w:eastAsia="zh-CN"/>
        </w:rPr>
        <w:t>19</w:t>
      </w:r>
      <w:r>
        <w:rPr>
          <w:rFonts w:hint="eastAsia" w:eastAsia="宋体" w:cs="仿宋_GB2312"/>
          <w:color w:val="auto"/>
          <w:sz w:val="24"/>
          <w:szCs w:val="24"/>
          <w:highlight w:val="none"/>
        </w:rPr>
        <w:t>.5投标人所递交的投标文件不予退还。</w:t>
      </w:r>
    </w:p>
    <w:bookmarkEnd w:id="240"/>
    <w:p w14:paraId="6AD70963">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color w:val="auto"/>
          <w:kern w:val="2"/>
          <w:sz w:val="24"/>
          <w:szCs w:val="28"/>
          <w:highlight w:val="none"/>
          <w:lang w:val="en-US" w:eastAsia="zh-CN" w:bidi="ar-SA"/>
        </w:rPr>
      </w:pPr>
      <w:bookmarkStart w:id="241" w:name="_Toc4892"/>
      <w:bookmarkStart w:id="242" w:name="_Toc29074"/>
      <w:bookmarkStart w:id="243" w:name="_Toc30939"/>
      <w:bookmarkStart w:id="244" w:name="_Toc32306"/>
      <w:bookmarkStart w:id="245" w:name="_Toc163492845"/>
      <w:r>
        <w:rPr>
          <w:rFonts w:hint="eastAsia" w:ascii="宋体" w:hAnsi="宋体" w:eastAsia="宋体" w:cs="宋体"/>
          <w:b/>
          <w:bCs/>
          <w:color w:val="auto"/>
          <w:kern w:val="2"/>
          <w:sz w:val="24"/>
          <w:szCs w:val="28"/>
          <w:highlight w:val="none"/>
          <w:lang w:val="en-US" w:eastAsia="zh-CN" w:bidi="ar-SA"/>
        </w:rPr>
        <w:t>20.拒收</w:t>
      </w:r>
      <w:bookmarkEnd w:id="241"/>
      <w:bookmarkEnd w:id="242"/>
      <w:bookmarkEnd w:id="243"/>
      <w:bookmarkEnd w:id="244"/>
      <w:bookmarkEnd w:id="245"/>
    </w:p>
    <w:p w14:paraId="163AD542">
      <w:pPr>
        <w:keepNext w:val="0"/>
        <w:keepLines w:val="0"/>
        <w:pageBreakBefore w:val="0"/>
        <w:widowControl w:val="0"/>
        <w:kinsoku/>
        <w:overflowPunct/>
        <w:topLinePunct w:val="0"/>
        <w:autoSpaceDE/>
        <w:autoSpaceDN/>
        <w:bidi w:val="0"/>
        <w:adjustRightInd/>
        <w:ind w:firstLine="480" w:firstLineChars="200"/>
        <w:textAlignment w:val="auto"/>
        <w:rPr>
          <w:rFonts w:hint="eastAsia" w:eastAsia="宋体" w:cs="仿宋_GB2312"/>
          <w:color w:val="auto"/>
          <w:sz w:val="24"/>
          <w:szCs w:val="24"/>
          <w:highlight w:val="none"/>
        </w:rPr>
      </w:pPr>
      <w:r>
        <w:rPr>
          <w:rFonts w:hint="eastAsia" w:eastAsia="宋体" w:cs="仿宋_GB2312"/>
          <w:color w:val="auto"/>
          <w:sz w:val="24"/>
          <w:szCs w:val="24"/>
          <w:highlight w:val="none"/>
        </w:rPr>
        <w:t>2</w:t>
      </w:r>
      <w:r>
        <w:rPr>
          <w:rFonts w:hint="eastAsia" w:eastAsia="宋体" w:cs="仿宋_GB2312"/>
          <w:color w:val="auto"/>
          <w:sz w:val="24"/>
          <w:szCs w:val="24"/>
          <w:highlight w:val="none"/>
          <w:lang w:val="en-US" w:eastAsia="zh-CN"/>
        </w:rPr>
        <w:t>0</w:t>
      </w:r>
      <w:r>
        <w:rPr>
          <w:rFonts w:hint="eastAsia" w:eastAsia="宋体" w:cs="仿宋_GB2312"/>
          <w:color w:val="auto"/>
          <w:sz w:val="24"/>
          <w:szCs w:val="24"/>
          <w:highlight w:val="none"/>
        </w:rPr>
        <w:t>.1 超过投标文件提交截止时间</w:t>
      </w:r>
      <w:bookmarkStart w:id="246" w:name="_Hlk143532404"/>
      <w:r>
        <w:rPr>
          <w:rFonts w:hint="eastAsia" w:eastAsia="宋体" w:cs="仿宋_GB2312"/>
          <w:color w:val="auto"/>
          <w:sz w:val="24"/>
          <w:szCs w:val="24"/>
          <w:highlight w:val="none"/>
        </w:rPr>
        <w:t>或者不按照本章要求加密的投标文件，交易系统应当拒收</w:t>
      </w:r>
      <w:bookmarkEnd w:id="246"/>
      <w:r>
        <w:rPr>
          <w:rFonts w:hint="eastAsia" w:eastAsia="宋体" w:cs="仿宋_GB2312"/>
          <w:color w:val="auto"/>
          <w:sz w:val="24"/>
          <w:szCs w:val="24"/>
          <w:highlight w:val="none"/>
        </w:rPr>
        <w:t>。</w:t>
      </w:r>
    </w:p>
    <w:p w14:paraId="03561218">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color w:val="auto"/>
          <w:kern w:val="2"/>
          <w:sz w:val="24"/>
          <w:szCs w:val="28"/>
          <w:highlight w:val="none"/>
          <w:lang w:val="en-US" w:eastAsia="zh-CN" w:bidi="ar-SA"/>
        </w:rPr>
      </w:pPr>
      <w:bookmarkStart w:id="247" w:name="_Toc4072"/>
      <w:bookmarkStart w:id="248" w:name="_Toc26768"/>
      <w:bookmarkStart w:id="249" w:name="_Toc29200"/>
      <w:bookmarkStart w:id="250" w:name="_Toc163492846"/>
      <w:bookmarkStart w:id="251" w:name="_Toc140132778"/>
      <w:bookmarkStart w:id="252" w:name="_Toc2528"/>
      <w:r>
        <w:rPr>
          <w:rFonts w:hint="eastAsia" w:ascii="宋体" w:hAnsi="宋体" w:eastAsia="宋体" w:cs="宋体"/>
          <w:b/>
          <w:bCs/>
          <w:color w:val="auto"/>
          <w:kern w:val="2"/>
          <w:sz w:val="24"/>
          <w:szCs w:val="28"/>
          <w:highlight w:val="none"/>
          <w:lang w:val="en-US" w:eastAsia="zh-CN" w:bidi="ar-SA"/>
        </w:rPr>
        <w:t>21.投标文件的修改与撤回</w:t>
      </w:r>
      <w:bookmarkEnd w:id="247"/>
      <w:bookmarkEnd w:id="248"/>
      <w:bookmarkEnd w:id="249"/>
      <w:bookmarkEnd w:id="250"/>
      <w:bookmarkEnd w:id="251"/>
      <w:bookmarkEnd w:id="252"/>
    </w:p>
    <w:p w14:paraId="7DBF29E0">
      <w:pPr>
        <w:keepNext w:val="0"/>
        <w:keepLines w:val="0"/>
        <w:pageBreakBefore w:val="0"/>
        <w:widowControl w:val="0"/>
        <w:kinsoku/>
        <w:overflowPunct/>
        <w:topLinePunct w:val="0"/>
        <w:autoSpaceDE/>
        <w:autoSpaceDN/>
        <w:bidi w:val="0"/>
        <w:adjustRightInd/>
        <w:ind w:firstLine="480" w:firstLineChars="200"/>
        <w:textAlignment w:val="auto"/>
        <w:rPr>
          <w:rFonts w:hint="eastAsia" w:eastAsia="宋体" w:cs="仿宋_GB2312"/>
          <w:color w:val="auto"/>
          <w:sz w:val="24"/>
          <w:szCs w:val="24"/>
          <w:highlight w:val="none"/>
        </w:rPr>
      </w:pPr>
      <w:r>
        <w:rPr>
          <w:rFonts w:hint="eastAsia" w:eastAsia="宋体" w:cs="仿宋_GB2312"/>
          <w:color w:val="auto"/>
          <w:sz w:val="24"/>
          <w:szCs w:val="24"/>
          <w:highlight w:val="none"/>
        </w:rPr>
        <w:t>2</w:t>
      </w:r>
      <w:r>
        <w:rPr>
          <w:rFonts w:hint="eastAsia" w:eastAsia="宋体" w:cs="仿宋_GB2312"/>
          <w:color w:val="auto"/>
          <w:sz w:val="24"/>
          <w:szCs w:val="24"/>
          <w:highlight w:val="none"/>
          <w:lang w:val="en-US" w:eastAsia="zh-CN"/>
        </w:rPr>
        <w:t>1</w:t>
      </w:r>
      <w:r>
        <w:rPr>
          <w:rFonts w:hint="eastAsia" w:eastAsia="宋体" w:cs="仿宋_GB2312"/>
          <w:color w:val="auto"/>
          <w:sz w:val="24"/>
          <w:szCs w:val="24"/>
          <w:highlight w:val="none"/>
        </w:rPr>
        <w:t>.1</w:t>
      </w:r>
      <w:bookmarkStart w:id="253" w:name="_Hlk143532466"/>
      <w:r>
        <w:rPr>
          <w:rFonts w:hint="eastAsia" w:eastAsia="宋体" w:cs="仿宋_GB2312"/>
          <w:color w:val="auto"/>
          <w:sz w:val="24"/>
          <w:szCs w:val="24"/>
          <w:highlight w:val="none"/>
          <w:lang w:eastAsia="zh-CN"/>
        </w:rPr>
        <w:t>投标人</w:t>
      </w:r>
      <w:r>
        <w:rPr>
          <w:rFonts w:hint="eastAsia" w:eastAsia="宋体" w:cs="仿宋_GB2312"/>
          <w:color w:val="auto"/>
          <w:sz w:val="24"/>
          <w:szCs w:val="24"/>
          <w:highlight w:val="none"/>
        </w:rPr>
        <w:t>在</w:t>
      </w:r>
      <w:r>
        <w:rPr>
          <w:rFonts w:hint="eastAsia" w:eastAsia="宋体" w:cs="仿宋_GB2312"/>
          <w:color w:val="auto"/>
          <w:sz w:val="24"/>
          <w:szCs w:val="24"/>
          <w:highlight w:val="none"/>
          <w:lang w:eastAsia="zh-CN"/>
        </w:rPr>
        <w:t>“</w:t>
      </w:r>
      <w:r>
        <w:rPr>
          <w:rFonts w:hint="eastAsia" w:eastAsia="宋体"/>
          <w:color w:val="auto"/>
          <w:sz w:val="24"/>
          <w:highlight w:val="none"/>
          <w:lang w:val="en-US" w:eastAsia="zh-CN"/>
        </w:rPr>
        <w:t>第一章 招标公告</w:t>
      </w:r>
      <w:r>
        <w:rPr>
          <w:rFonts w:hint="eastAsia" w:eastAsia="宋体" w:cs="仿宋_GB2312"/>
          <w:color w:val="auto"/>
          <w:sz w:val="24"/>
          <w:szCs w:val="24"/>
          <w:highlight w:val="none"/>
          <w:lang w:eastAsia="zh-CN"/>
        </w:rPr>
        <w:t>”</w:t>
      </w:r>
      <w:r>
        <w:rPr>
          <w:rFonts w:hint="eastAsia" w:eastAsia="宋体" w:cs="仿宋_GB2312"/>
          <w:color w:val="auto"/>
          <w:sz w:val="24"/>
          <w:szCs w:val="24"/>
          <w:highlight w:val="none"/>
        </w:rPr>
        <w:t>规定的</w:t>
      </w:r>
      <w:r>
        <w:rPr>
          <w:rFonts w:hint="eastAsia" w:eastAsia="宋体" w:cs="仿宋_GB2312"/>
          <w:color w:val="auto"/>
          <w:sz w:val="24"/>
          <w:szCs w:val="24"/>
          <w:highlight w:val="none"/>
          <w:lang w:eastAsia="zh-CN"/>
        </w:rPr>
        <w:t>投标文件</w:t>
      </w:r>
      <w:r>
        <w:rPr>
          <w:rFonts w:hint="eastAsia" w:eastAsia="宋体" w:cs="仿宋_GB2312"/>
          <w:color w:val="auto"/>
          <w:sz w:val="24"/>
          <w:szCs w:val="24"/>
          <w:highlight w:val="none"/>
        </w:rPr>
        <w:t>递交截止时间之前，可在</w:t>
      </w:r>
      <w:r>
        <w:rPr>
          <w:rFonts w:hint="eastAsia" w:cs="仿宋_GB2312"/>
          <w:color w:val="auto"/>
          <w:sz w:val="24"/>
          <w:szCs w:val="24"/>
          <w:highlight w:val="none"/>
          <w:lang w:val="en-US" w:eastAsia="zh-CN"/>
        </w:rPr>
        <w:t>新疆</w:t>
      </w:r>
      <w:r>
        <w:rPr>
          <w:rFonts w:hint="eastAsia" w:eastAsia="宋体" w:cs="仿宋_GB2312"/>
          <w:color w:val="auto"/>
          <w:sz w:val="24"/>
          <w:szCs w:val="24"/>
          <w:highlight w:val="none"/>
        </w:rPr>
        <w:t>政府采购电子交易云平台上随时撤回已上传的电子</w:t>
      </w:r>
      <w:r>
        <w:rPr>
          <w:rFonts w:hint="eastAsia" w:eastAsia="宋体" w:cs="仿宋_GB2312"/>
          <w:color w:val="auto"/>
          <w:sz w:val="24"/>
          <w:szCs w:val="24"/>
          <w:highlight w:val="none"/>
          <w:lang w:eastAsia="zh-CN"/>
        </w:rPr>
        <w:t>投标文件</w:t>
      </w:r>
      <w:r>
        <w:rPr>
          <w:rFonts w:hint="eastAsia" w:eastAsia="宋体" w:cs="仿宋_GB2312"/>
          <w:color w:val="auto"/>
          <w:sz w:val="24"/>
          <w:szCs w:val="24"/>
          <w:highlight w:val="none"/>
        </w:rPr>
        <w:t>，将修改好的电子</w:t>
      </w:r>
      <w:r>
        <w:rPr>
          <w:rFonts w:hint="eastAsia" w:eastAsia="宋体" w:cs="仿宋_GB2312"/>
          <w:color w:val="auto"/>
          <w:sz w:val="24"/>
          <w:szCs w:val="24"/>
          <w:highlight w:val="none"/>
          <w:lang w:eastAsia="zh-CN"/>
        </w:rPr>
        <w:t>投标文件</w:t>
      </w:r>
      <w:r>
        <w:rPr>
          <w:rFonts w:hint="eastAsia" w:eastAsia="宋体" w:cs="仿宋_GB2312"/>
          <w:color w:val="auto"/>
          <w:sz w:val="24"/>
          <w:szCs w:val="24"/>
          <w:highlight w:val="none"/>
        </w:rPr>
        <w:t>在</w:t>
      </w:r>
      <w:r>
        <w:rPr>
          <w:rFonts w:hint="eastAsia" w:eastAsia="宋体" w:cs="仿宋_GB2312"/>
          <w:color w:val="auto"/>
          <w:sz w:val="24"/>
          <w:szCs w:val="24"/>
          <w:highlight w:val="none"/>
          <w:lang w:eastAsia="zh-CN"/>
        </w:rPr>
        <w:t>投标文件</w:t>
      </w:r>
      <w:r>
        <w:rPr>
          <w:rFonts w:hint="eastAsia" w:eastAsia="宋体" w:cs="仿宋_GB2312"/>
          <w:color w:val="auto"/>
          <w:sz w:val="24"/>
          <w:szCs w:val="24"/>
          <w:highlight w:val="none"/>
        </w:rPr>
        <w:t>递交截止时间前重新上传到</w:t>
      </w:r>
      <w:r>
        <w:rPr>
          <w:rFonts w:hint="eastAsia" w:cs="仿宋_GB2312"/>
          <w:color w:val="auto"/>
          <w:sz w:val="24"/>
          <w:szCs w:val="24"/>
          <w:highlight w:val="none"/>
          <w:lang w:val="en-US" w:eastAsia="zh-CN"/>
        </w:rPr>
        <w:t>新疆</w:t>
      </w:r>
      <w:r>
        <w:rPr>
          <w:rFonts w:hint="eastAsia" w:eastAsia="宋体" w:cs="仿宋_GB2312"/>
          <w:color w:val="auto"/>
          <w:sz w:val="24"/>
          <w:szCs w:val="24"/>
          <w:highlight w:val="none"/>
        </w:rPr>
        <w:t>政府采购电子交易云平台的</w:t>
      </w:r>
      <w:r>
        <w:rPr>
          <w:rFonts w:hint="eastAsia" w:eastAsia="宋体" w:cs="仿宋_GB2312"/>
          <w:color w:val="auto"/>
          <w:sz w:val="24"/>
          <w:szCs w:val="24"/>
          <w:highlight w:val="none"/>
          <w:lang w:val="en-US" w:eastAsia="zh-CN"/>
        </w:rPr>
        <w:t>指</w:t>
      </w:r>
      <w:r>
        <w:rPr>
          <w:rFonts w:hint="eastAsia" w:eastAsia="宋体" w:cs="仿宋_GB2312"/>
          <w:color w:val="auto"/>
          <w:sz w:val="24"/>
          <w:szCs w:val="24"/>
          <w:highlight w:val="none"/>
        </w:rPr>
        <w:t>定位置。</w:t>
      </w:r>
    </w:p>
    <w:bookmarkEnd w:id="253"/>
    <w:p w14:paraId="20434D8C">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color w:val="auto"/>
          <w:kern w:val="2"/>
          <w:sz w:val="24"/>
          <w:szCs w:val="28"/>
          <w:highlight w:val="none"/>
          <w:lang w:val="en-US" w:eastAsia="zh-CN" w:bidi="ar-SA"/>
        </w:rPr>
      </w:pPr>
      <w:bookmarkStart w:id="254" w:name="_Toc155185874"/>
      <w:bookmarkStart w:id="255" w:name="_Toc24996"/>
      <w:bookmarkStart w:id="256" w:name="_Toc19338"/>
      <w:bookmarkStart w:id="257" w:name="_Toc163492847"/>
      <w:bookmarkStart w:id="258" w:name="_Toc6575"/>
      <w:bookmarkStart w:id="259" w:name="_Toc9242"/>
      <w:r>
        <w:rPr>
          <w:rFonts w:hint="eastAsia" w:ascii="宋体" w:hAnsi="宋体" w:eastAsia="宋体" w:cs="宋体"/>
          <w:b/>
          <w:bCs/>
          <w:color w:val="auto"/>
          <w:kern w:val="2"/>
          <w:sz w:val="24"/>
          <w:szCs w:val="28"/>
          <w:highlight w:val="none"/>
          <w:lang w:val="en-US" w:eastAsia="zh-CN" w:bidi="ar-SA"/>
        </w:rPr>
        <w:t>22.实物样品</w:t>
      </w:r>
      <w:bookmarkEnd w:id="254"/>
      <w:bookmarkEnd w:id="255"/>
      <w:bookmarkEnd w:id="256"/>
      <w:bookmarkEnd w:id="257"/>
      <w:bookmarkEnd w:id="258"/>
      <w:bookmarkEnd w:id="259"/>
    </w:p>
    <w:p w14:paraId="52D4EAF6">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rPr>
      </w:pPr>
      <w:r>
        <w:rPr>
          <w:rFonts w:hint="eastAsia" w:eastAsia="宋体"/>
          <w:color w:val="auto"/>
          <w:sz w:val="24"/>
          <w:highlight w:val="none"/>
        </w:rPr>
        <w:t>2</w:t>
      </w:r>
      <w:r>
        <w:rPr>
          <w:rFonts w:hint="eastAsia" w:eastAsia="宋体"/>
          <w:color w:val="auto"/>
          <w:sz w:val="24"/>
          <w:highlight w:val="none"/>
          <w:lang w:val="en-US" w:eastAsia="zh-CN"/>
        </w:rPr>
        <w:t>2</w:t>
      </w:r>
      <w:r>
        <w:rPr>
          <w:rFonts w:hint="eastAsia" w:eastAsia="宋体"/>
          <w:color w:val="auto"/>
          <w:sz w:val="24"/>
          <w:highlight w:val="none"/>
        </w:rPr>
        <w:t>.1“投标人须知前附表”要求提供样品的，样品的具体要求及评审详见“第三章 采购需求”和“第五章 评标</w:t>
      </w:r>
      <w:r>
        <w:rPr>
          <w:rFonts w:hint="eastAsia" w:eastAsia="宋体"/>
          <w:color w:val="auto"/>
          <w:sz w:val="24"/>
          <w:highlight w:val="none"/>
          <w:lang w:val="en-US" w:eastAsia="zh-CN"/>
        </w:rPr>
        <w:t>方</w:t>
      </w:r>
      <w:r>
        <w:rPr>
          <w:rFonts w:hint="eastAsia" w:eastAsia="宋体"/>
          <w:color w:val="auto"/>
          <w:sz w:val="24"/>
          <w:highlight w:val="none"/>
        </w:rPr>
        <w:t>法及标准”。</w:t>
      </w:r>
    </w:p>
    <w:p w14:paraId="2D6ED3FC">
      <w:pPr>
        <w:pStyle w:val="40"/>
        <w:keepNext w:val="0"/>
        <w:keepLines w:val="0"/>
        <w:pageBreakBefore w:val="0"/>
        <w:widowControl w:val="0"/>
        <w:kinsoku/>
        <w:overflowPunct/>
        <w:topLinePunct w:val="0"/>
        <w:autoSpaceDE/>
        <w:autoSpaceDN/>
        <w:bidi w:val="0"/>
        <w:adjustRightInd/>
        <w:textAlignment w:val="auto"/>
        <w:rPr>
          <w:rFonts w:eastAsia="宋体" w:cs="仿宋_GB2312"/>
          <w:b/>
          <w:color w:val="auto"/>
          <w:sz w:val="24"/>
          <w:szCs w:val="24"/>
          <w:highlight w:val="none"/>
        </w:rPr>
      </w:pPr>
      <w:r>
        <w:rPr>
          <w:rFonts w:eastAsia="宋体"/>
          <w:color w:val="auto"/>
          <w:sz w:val="24"/>
          <w:highlight w:val="none"/>
        </w:rPr>
        <w:t>2</w:t>
      </w:r>
      <w:r>
        <w:rPr>
          <w:rFonts w:hint="eastAsia" w:eastAsia="宋体"/>
          <w:color w:val="auto"/>
          <w:sz w:val="24"/>
          <w:highlight w:val="none"/>
          <w:lang w:val="en-US" w:eastAsia="zh-CN"/>
        </w:rPr>
        <w:t>2</w:t>
      </w:r>
      <w:r>
        <w:rPr>
          <w:rFonts w:hint="eastAsia" w:eastAsia="宋体"/>
          <w:color w:val="auto"/>
          <w:sz w:val="24"/>
          <w:highlight w:val="none"/>
        </w:rPr>
        <w:t>.2样品退还：</w:t>
      </w:r>
      <w:r>
        <w:rPr>
          <w:rFonts w:hint="eastAsia" w:ascii="宋体" w:hAnsi="宋体" w:eastAsia="宋体"/>
          <w:color w:val="auto"/>
          <w:sz w:val="24"/>
          <w:highlight w:val="none"/>
        </w:rPr>
        <w:t>未中标的投标人应</w:t>
      </w:r>
      <w:r>
        <w:rPr>
          <w:rFonts w:hint="eastAsia" w:ascii="宋体" w:hAnsi="宋体" w:eastAsia="宋体"/>
          <w:color w:val="auto"/>
          <w:sz w:val="24"/>
          <w:highlight w:val="none"/>
          <w:lang w:val="en-US" w:eastAsia="zh-CN"/>
        </w:rPr>
        <w:t>按照</w:t>
      </w:r>
      <w:r>
        <w:rPr>
          <w:rFonts w:hint="eastAsia" w:ascii="宋体" w:hAnsi="宋体" w:eastAsia="宋体"/>
          <w:color w:val="auto"/>
          <w:sz w:val="24"/>
          <w:highlight w:val="none"/>
        </w:rPr>
        <w:t>“投标人须知前附表”</w:t>
      </w:r>
      <w:r>
        <w:rPr>
          <w:rFonts w:hint="eastAsia" w:ascii="宋体" w:hAnsi="宋体" w:eastAsia="宋体"/>
          <w:color w:val="auto"/>
          <w:sz w:val="24"/>
          <w:highlight w:val="none"/>
          <w:lang w:val="en-US" w:eastAsia="zh-CN"/>
        </w:rPr>
        <w:t>要求</w:t>
      </w:r>
      <w:r>
        <w:rPr>
          <w:rFonts w:hint="eastAsia" w:ascii="宋体" w:hAnsi="宋体" w:eastAsia="宋体"/>
          <w:color w:val="auto"/>
          <w:sz w:val="24"/>
          <w:highlight w:val="none"/>
        </w:rPr>
        <w:t>自行联系采购人取回投标样品；中标人的样品由采购人进行保管、封存，并作为履约验收的参考</w:t>
      </w:r>
      <w:r>
        <w:rPr>
          <w:rFonts w:hint="eastAsia" w:eastAsia="宋体"/>
          <w:color w:val="auto"/>
          <w:sz w:val="24"/>
          <w:highlight w:val="none"/>
        </w:rPr>
        <w:t>（招标文件另有规定的从其规定）。</w:t>
      </w:r>
    </w:p>
    <w:p w14:paraId="7DD3C31F">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color w:val="auto"/>
          <w:kern w:val="2"/>
          <w:sz w:val="24"/>
          <w:szCs w:val="28"/>
          <w:highlight w:val="none"/>
          <w:lang w:val="en-US" w:eastAsia="zh-CN" w:bidi="ar-SA"/>
        </w:rPr>
      </w:pPr>
      <w:bookmarkStart w:id="260" w:name="_Toc31127"/>
      <w:bookmarkStart w:id="261" w:name="_Toc163492848"/>
      <w:bookmarkStart w:id="262" w:name="_Toc25755"/>
      <w:bookmarkStart w:id="263" w:name="_Toc28857"/>
      <w:bookmarkStart w:id="264" w:name="_Toc29711"/>
      <w:bookmarkStart w:id="265" w:name="_Toc155185875"/>
      <w:r>
        <w:rPr>
          <w:rFonts w:hint="eastAsia" w:ascii="宋体" w:hAnsi="宋体" w:eastAsia="宋体" w:cs="宋体"/>
          <w:b/>
          <w:bCs/>
          <w:color w:val="auto"/>
          <w:kern w:val="2"/>
          <w:sz w:val="24"/>
          <w:szCs w:val="28"/>
          <w:highlight w:val="none"/>
          <w:lang w:val="en-US" w:eastAsia="zh-CN" w:bidi="ar-SA"/>
        </w:rPr>
        <w:t>23.演示</w:t>
      </w:r>
      <w:bookmarkEnd w:id="260"/>
      <w:bookmarkEnd w:id="261"/>
      <w:bookmarkEnd w:id="262"/>
      <w:bookmarkEnd w:id="263"/>
      <w:bookmarkEnd w:id="264"/>
      <w:bookmarkEnd w:id="265"/>
    </w:p>
    <w:p w14:paraId="1A234B38">
      <w:pPr>
        <w:pStyle w:val="40"/>
        <w:keepNext w:val="0"/>
        <w:keepLines w:val="0"/>
        <w:pageBreakBefore w:val="0"/>
        <w:widowControl w:val="0"/>
        <w:kinsoku/>
        <w:overflowPunct/>
        <w:topLinePunct w:val="0"/>
        <w:autoSpaceDE/>
        <w:autoSpaceDN/>
        <w:bidi w:val="0"/>
        <w:adjustRightInd/>
        <w:textAlignment w:val="auto"/>
        <w:rPr>
          <w:rFonts w:eastAsia="宋体"/>
          <w:color w:val="auto"/>
          <w:sz w:val="24"/>
          <w:highlight w:val="none"/>
        </w:rPr>
      </w:pPr>
      <w:r>
        <w:rPr>
          <w:rFonts w:eastAsia="宋体"/>
          <w:color w:val="auto"/>
          <w:sz w:val="24"/>
          <w:highlight w:val="none"/>
        </w:rPr>
        <w:t>2</w:t>
      </w:r>
      <w:r>
        <w:rPr>
          <w:rFonts w:hint="eastAsia" w:eastAsia="宋体"/>
          <w:color w:val="auto"/>
          <w:sz w:val="24"/>
          <w:highlight w:val="none"/>
          <w:lang w:val="en-US" w:eastAsia="zh-CN"/>
        </w:rPr>
        <w:t>3</w:t>
      </w:r>
      <w:r>
        <w:rPr>
          <w:rFonts w:hint="eastAsia" w:eastAsia="宋体"/>
          <w:color w:val="auto"/>
          <w:sz w:val="24"/>
          <w:highlight w:val="none"/>
        </w:rPr>
        <w:t>.1要求投标人进行演示的，演示要求详见“投标人须知前附表”。</w:t>
      </w:r>
    </w:p>
    <w:p w14:paraId="527E9036">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rPr>
      </w:pPr>
      <w:r>
        <w:rPr>
          <w:rFonts w:eastAsia="宋体"/>
          <w:color w:val="auto"/>
          <w:sz w:val="24"/>
          <w:highlight w:val="none"/>
        </w:rPr>
        <w:t>2</w:t>
      </w:r>
      <w:r>
        <w:rPr>
          <w:rFonts w:hint="eastAsia" w:eastAsia="宋体"/>
          <w:color w:val="auto"/>
          <w:sz w:val="24"/>
          <w:highlight w:val="none"/>
          <w:lang w:val="en-US" w:eastAsia="zh-CN"/>
        </w:rPr>
        <w:t>3</w:t>
      </w:r>
      <w:r>
        <w:rPr>
          <w:rFonts w:hint="eastAsia" w:eastAsia="宋体"/>
          <w:color w:val="auto"/>
          <w:sz w:val="24"/>
          <w:highlight w:val="none"/>
        </w:rPr>
        <w:t>.2演示的评审详见“第三章 采购需求”和“第五章 评标</w:t>
      </w:r>
      <w:r>
        <w:rPr>
          <w:rFonts w:hint="eastAsia" w:eastAsia="宋体"/>
          <w:color w:val="auto"/>
          <w:sz w:val="24"/>
          <w:highlight w:val="none"/>
          <w:lang w:val="en-US" w:eastAsia="zh-CN"/>
        </w:rPr>
        <w:t>方</w:t>
      </w:r>
      <w:r>
        <w:rPr>
          <w:rFonts w:hint="eastAsia" w:eastAsia="宋体"/>
          <w:color w:val="auto"/>
          <w:sz w:val="24"/>
          <w:highlight w:val="none"/>
        </w:rPr>
        <w:t>法及标准”。</w:t>
      </w:r>
    </w:p>
    <w:p w14:paraId="44828689">
      <w:pPr>
        <w:pStyle w:val="4"/>
        <w:keepNext w:val="0"/>
        <w:keepLines w:val="0"/>
        <w:pageBreakBefore w:val="0"/>
        <w:widowControl w:val="0"/>
        <w:numPr>
          <w:ilvl w:val="0"/>
          <w:numId w:val="0"/>
        </w:numPr>
        <w:kinsoku/>
        <w:wordWrap/>
        <w:overflowPunct/>
        <w:topLinePunct w:val="0"/>
        <w:autoSpaceDE/>
        <w:autoSpaceDN/>
        <w:bidi w:val="0"/>
        <w:adjustRightInd/>
        <w:snapToGrid/>
        <w:spacing w:before="100" w:after="100" w:line="240" w:lineRule="auto"/>
        <w:ind w:left="420" w:leftChars="0" w:hanging="420" w:firstLineChars="0"/>
        <w:textAlignment w:val="auto"/>
        <w:rPr>
          <w:rFonts w:hint="eastAsia" w:ascii="宋体" w:hAnsi="宋体" w:eastAsia="宋体" w:cstheme="minorBidi"/>
          <w:b/>
          <w:bCs/>
          <w:color w:val="auto"/>
          <w:kern w:val="2"/>
          <w:sz w:val="24"/>
          <w:szCs w:val="32"/>
          <w:highlight w:val="none"/>
          <w:lang w:val="en-US" w:eastAsia="zh-CN" w:bidi="ar-SA"/>
        </w:rPr>
      </w:pPr>
      <w:bookmarkStart w:id="266" w:name="_Toc6826"/>
      <w:bookmarkStart w:id="267" w:name="_Toc163492849"/>
      <w:bookmarkStart w:id="268" w:name="_Toc25557"/>
      <w:bookmarkStart w:id="269" w:name="_Toc7097"/>
      <w:bookmarkStart w:id="270" w:name="_Toc155185876"/>
      <w:bookmarkStart w:id="271" w:name="_Toc140132779"/>
      <w:bookmarkStart w:id="272" w:name="_Toc21792"/>
      <w:r>
        <w:rPr>
          <w:rFonts w:hint="eastAsia" w:ascii="宋体" w:hAnsi="宋体" w:eastAsia="宋体" w:cstheme="minorBidi"/>
          <w:b/>
          <w:bCs/>
          <w:color w:val="auto"/>
          <w:kern w:val="2"/>
          <w:sz w:val="24"/>
          <w:szCs w:val="32"/>
          <w:highlight w:val="none"/>
          <w:lang w:val="en-US" w:eastAsia="zh-CN" w:bidi="ar-SA"/>
        </w:rPr>
        <w:t>（五）开标</w:t>
      </w:r>
      <w:bookmarkEnd w:id="266"/>
      <w:bookmarkEnd w:id="267"/>
      <w:bookmarkEnd w:id="268"/>
      <w:bookmarkEnd w:id="269"/>
      <w:bookmarkEnd w:id="270"/>
      <w:bookmarkEnd w:id="271"/>
      <w:bookmarkEnd w:id="272"/>
    </w:p>
    <w:p w14:paraId="1705A8FF">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color w:val="auto"/>
          <w:kern w:val="2"/>
          <w:sz w:val="24"/>
          <w:szCs w:val="28"/>
          <w:highlight w:val="none"/>
          <w:lang w:val="en-US" w:eastAsia="zh-CN" w:bidi="ar-SA"/>
        </w:rPr>
      </w:pPr>
      <w:bookmarkStart w:id="273" w:name="_Toc29962"/>
      <w:bookmarkStart w:id="274" w:name="_Toc31983"/>
      <w:bookmarkStart w:id="275" w:name="_Toc25197"/>
      <w:bookmarkStart w:id="276" w:name="_Toc140132780"/>
      <w:bookmarkStart w:id="277" w:name="_Toc16939"/>
      <w:bookmarkStart w:id="278" w:name="_Toc163492850"/>
      <w:r>
        <w:rPr>
          <w:rFonts w:hint="eastAsia" w:ascii="宋体" w:hAnsi="宋体" w:eastAsia="宋体" w:cs="宋体"/>
          <w:b/>
          <w:bCs/>
          <w:color w:val="auto"/>
          <w:kern w:val="2"/>
          <w:sz w:val="24"/>
          <w:szCs w:val="28"/>
          <w:highlight w:val="none"/>
          <w:lang w:val="en-US" w:eastAsia="zh-CN" w:bidi="ar-SA"/>
        </w:rPr>
        <w:t>24.开标会议</w:t>
      </w:r>
      <w:bookmarkEnd w:id="273"/>
      <w:bookmarkEnd w:id="274"/>
      <w:bookmarkEnd w:id="275"/>
      <w:bookmarkEnd w:id="276"/>
      <w:bookmarkEnd w:id="277"/>
      <w:bookmarkEnd w:id="278"/>
    </w:p>
    <w:p w14:paraId="43376441">
      <w:pPr>
        <w:keepNext w:val="0"/>
        <w:keepLines w:val="0"/>
        <w:pageBreakBefore w:val="0"/>
        <w:widowControl w:val="0"/>
        <w:kinsoku/>
        <w:overflowPunct/>
        <w:topLinePunct w:val="0"/>
        <w:autoSpaceDE/>
        <w:autoSpaceDN/>
        <w:bidi w:val="0"/>
        <w:adjustRightInd/>
        <w:snapToGrid/>
        <w:ind w:firstLine="480" w:firstLineChars="200"/>
        <w:textAlignment w:val="auto"/>
        <w:rPr>
          <w:rFonts w:hint="eastAsia" w:eastAsia="宋体" w:cs="仿宋_GB2312"/>
          <w:color w:val="auto"/>
          <w:sz w:val="24"/>
          <w:szCs w:val="24"/>
          <w:highlight w:val="none"/>
          <w:lang w:eastAsia="zh-CN"/>
        </w:rPr>
      </w:pPr>
      <w:bookmarkStart w:id="279" w:name="_Toc140132781"/>
      <w:r>
        <w:rPr>
          <w:rFonts w:eastAsia="宋体" w:cs="仿宋_GB2312"/>
          <w:color w:val="auto"/>
          <w:sz w:val="24"/>
          <w:szCs w:val="24"/>
          <w:highlight w:val="none"/>
        </w:rPr>
        <w:t>2</w:t>
      </w:r>
      <w:r>
        <w:rPr>
          <w:rFonts w:hint="eastAsia" w:eastAsia="宋体" w:cs="仿宋_GB2312"/>
          <w:color w:val="auto"/>
          <w:sz w:val="24"/>
          <w:szCs w:val="24"/>
          <w:highlight w:val="none"/>
          <w:lang w:val="en-US" w:eastAsia="zh-CN"/>
        </w:rPr>
        <w:t>4</w:t>
      </w:r>
      <w:r>
        <w:rPr>
          <w:rFonts w:hint="eastAsia" w:eastAsia="宋体" w:cs="仿宋_GB2312"/>
          <w:color w:val="auto"/>
          <w:sz w:val="24"/>
          <w:szCs w:val="24"/>
          <w:highlight w:val="none"/>
        </w:rPr>
        <w:t>.</w:t>
      </w:r>
      <w:r>
        <w:rPr>
          <w:rFonts w:hint="eastAsia" w:eastAsia="宋体" w:cs="仿宋_GB2312"/>
          <w:color w:val="auto"/>
          <w:sz w:val="24"/>
          <w:szCs w:val="24"/>
          <w:highlight w:val="none"/>
          <w:lang w:val="en-US" w:eastAsia="zh-CN"/>
        </w:rPr>
        <w:t>1</w:t>
      </w:r>
      <w:r>
        <w:rPr>
          <w:rFonts w:hint="eastAsia" w:eastAsia="宋体" w:cs="仿宋_GB2312"/>
          <w:color w:val="auto"/>
          <w:sz w:val="24"/>
          <w:szCs w:val="24"/>
          <w:highlight w:val="none"/>
        </w:rPr>
        <w:t>开标会按“</w:t>
      </w:r>
      <w:r>
        <w:rPr>
          <w:rFonts w:hint="eastAsia" w:eastAsia="宋体" w:cs="仿宋_GB2312"/>
          <w:color w:val="auto"/>
          <w:sz w:val="24"/>
          <w:szCs w:val="24"/>
          <w:highlight w:val="none"/>
          <w:lang w:val="en-US" w:eastAsia="zh-CN"/>
        </w:rPr>
        <w:t xml:space="preserve">第一章 </w:t>
      </w:r>
      <w:r>
        <w:rPr>
          <w:rFonts w:hint="eastAsia" w:eastAsia="宋体"/>
          <w:color w:val="auto"/>
          <w:sz w:val="24"/>
          <w:highlight w:val="none"/>
          <w:lang w:val="en-US" w:eastAsia="zh-CN"/>
        </w:rPr>
        <w:t>招标公告</w:t>
      </w:r>
      <w:r>
        <w:rPr>
          <w:rFonts w:hint="eastAsia" w:eastAsia="宋体" w:cs="仿宋_GB2312"/>
          <w:color w:val="auto"/>
          <w:sz w:val="24"/>
          <w:szCs w:val="24"/>
          <w:highlight w:val="none"/>
        </w:rPr>
        <w:t>”规定的开标时间和地点准时举行，采购人、采购代理机构邀请所有投标人准时参加开标会。</w:t>
      </w:r>
      <w:r>
        <w:rPr>
          <w:rFonts w:hint="eastAsia" w:eastAsia="宋体"/>
          <w:color w:val="auto"/>
          <w:sz w:val="24"/>
          <w:highlight w:val="none"/>
        </w:rPr>
        <w:t>投标人应按照</w:t>
      </w:r>
      <w:r>
        <w:rPr>
          <w:rFonts w:hint="eastAsia" w:eastAsia="宋体"/>
          <w:color w:val="auto"/>
          <w:sz w:val="24"/>
          <w:highlight w:val="none"/>
          <w:lang w:val="en-US" w:eastAsia="zh-CN"/>
        </w:rPr>
        <w:t>招标文件</w:t>
      </w:r>
      <w:r>
        <w:rPr>
          <w:rFonts w:hint="eastAsia" w:eastAsia="宋体"/>
          <w:color w:val="auto"/>
          <w:sz w:val="24"/>
          <w:highlight w:val="none"/>
        </w:rPr>
        <w:t>的要求参与</w:t>
      </w:r>
      <w:r>
        <w:rPr>
          <w:rFonts w:hint="eastAsia" w:eastAsia="宋体"/>
          <w:color w:val="auto"/>
          <w:sz w:val="24"/>
          <w:highlight w:val="none"/>
          <w:lang w:val="en-US" w:eastAsia="zh-CN"/>
        </w:rPr>
        <w:t>不见面开标</w:t>
      </w:r>
      <w:r>
        <w:rPr>
          <w:rFonts w:hint="eastAsia" w:eastAsia="宋体"/>
          <w:color w:val="auto"/>
          <w:sz w:val="24"/>
          <w:highlight w:val="none"/>
        </w:rPr>
        <w:t>。</w:t>
      </w:r>
    </w:p>
    <w:p w14:paraId="60A061F0">
      <w:pPr>
        <w:keepNext w:val="0"/>
        <w:keepLines w:val="0"/>
        <w:pageBreakBefore w:val="0"/>
        <w:widowControl w:val="0"/>
        <w:kinsoku/>
        <w:wordWrap w:val="0"/>
        <w:overflowPunct/>
        <w:topLinePunct w:val="0"/>
        <w:autoSpaceDE/>
        <w:autoSpaceDN/>
        <w:bidi w:val="0"/>
        <w:adjustRightInd/>
        <w:snapToGrid/>
        <w:ind w:firstLine="480" w:firstLineChars="200"/>
        <w:textAlignment w:val="auto"/>
        <w:rPr>
          <w:rFonts w:hint="eastAsia" w:ascii="宋体" w:hAnsi="宋体" w:eastAsia="宋体" w:cs="宋体"/>
          <w:color w:val="auto"/>
          <w:kern w:val="2"/>
          <w:sz w:val="24"/>
          <w:szCs w:val="22"/>
          <w:highlight w:val="none"/>
        </w:rPr>
      </w:pPr>
      <w:r>
        <w:rPr>
          <w:rFonts w:eastAsia="宋体"/>
          <w:color w:val="auto"/>
          <w:sz w:val="24"/>
          <w:highlight w:val="none"/>
        </w:rPr>
        <w:t>2</w:t>
      </w:r>
      <w:r>
        <w:rPr>
          <w:rFonts w:hint="eastAsia" w:eastAsia="宋体"/>
          <w:color w:val="auto"/>
          <w:sz w:val="24"/>
          <w:highlight w:val="none"/>
          <w:lang w:val="en-US" w:eastAsia="zh-CN"/>
        </w:rPr>
        <w:t>4</w:t>
      </w:r>
      <w:r>
        <w:rPr>
          <w:rFonts w:hint="eastAsia" w:eastAsia="宋体"/>
          <w:color w:val="auto"/>
          <w:sz w:val="24"/>
          <w:highlight w:val="none"/>
        </w:rPr>
        <w:t>.</w:t>
      </w:r>
      <w:r>
        <w:rPr>
          <w:rFonts w:hint="eastAsia" w:eastAsia="宋体"/>
          <w:color w:val="auto"/>
          <w:sz w:val="24"/>
          <w:highlight w:val="none"/>
          <w:lang w:val="en-US" w:eastAsia="zh-CN"/>
        </w:rPr>
        <w:t>2</w:t>
      </w:r>
      <w:r>
        <w:rPr>
          <w:rFonts w:hint="eastAsia" w:eastAsia="宋体"/>
          <w:color w:val="auto"/>
          <w:sz w:val="24"/>
          <w:highlight w:val="none"/>
        </w:rPr>
        <w:t xml:space="preserve"> </w:t>
      </w:r>
      <w:bookmarkEnd w:id="279"/>
      <w:r>
        <w:rPr>
          <w:rFonts w:hint="eastAsia" w:ascii="宋体" w:hAnsi="宋体" w:eastAsia="宋体" w:cs="宋体"/>
          <w:color w:val="auto"/>
          <w:kern w:val="2"/>
          <w:sz w:val="24"/>
          <w:szCs w:val="22"/>
          <w:highlight w:val="none"/>
        </w:rPr>
        <w:t>采购代理机构按照招标文件规定的时间、地点主持开标。采购人在规定的</w:t>
      </w:r>
      <w:r>
        <w:rPr>
          <w:rFonts w:hint="eastAsia" w:ascii="宋体" w:hAnsi="宋体" w:eastAsia="宋体" w:cs="宋体"/>
          <w:color w:val="auto"/>
          <w:kern w:val="2"/>
          <w:sz w:val="24"/>
          <w:szCs w:val="22"/>
          <w:highlight w:val="none"/>
          <w:lang w:eastAsia="zh-CN"/>
        </w:rPr>
        <w:t>投标文件</w:t>
      </w:r>
      <w:r>
        <w:rPr>
          <w:rFonts w:hint="eastAsia" w:ascii="宋体" w:hAnsi="宋体" w:eastAsia="宋体" w:cs="宋体"/>
          <w:color w:val="auto"/>
          <w:kern w:val="2"/>
          <w:sz w:val="24"/>
          <w:szCs w:val="22"/>
          <w:highlight w:val="none"/>
        </w:rPr>
        <w:t>递交截止时间（开标时间）和地点进行不见面远程开标。</w:t>
      </w:r>
      <w:r>
        <w:rPr>
          <w:rFonts w:hint="eastAsia" w:ascii="宋体" w:hAnsi="宋体" w:eastAsia="宋体" w:cs="宋体"/>
          <w:color w:val="auto"/>
          <w:kern w:val="2"/>
          <w:sz w:val="24"/>
          <w:szCs w:val="22"/>
          <w:highlight w:val="none"/>
          <w:lang w:eastAsia="zh-CN"/>
        </w:rPr>
        <w:t>投标人</w:t>
      </w:r>
      <w:r>
        <w:rPr>
          <w:rFonts w:hint="eastAsia" w:ascii="宋体" w:hAnsi="宋体" w:eastAsia="宋体" w:cs="宋体"/>
          <w:color w:val="auto"/>
          <w:kern w:val="2"/>
          <w:sz w:val="24"/>
          <w:szCs w:val="22"/>
          <w:highlight w:val="none"/>
        </w:rPr>
        <w:t>的法定代表人或其委托代理人无需到达开标现场，仅需在任意地点通过</w:t>
      </w:r>
      <w:r>
        <w:rPr>
          <w:rFonts w:hint="eastAsia" w:cs="宋体"/>
          <w:color w:val="auto"/>
          <w:kern w:val="2"/>
          <w:sz w:val="24"/>
          <w:szCs w:val="22"/>
          <w:highlight w:val="none"/>
          <w:lang w:val="en-US" w:eastAsia="zh-CN"/>
        </w:rPr>
        <w:t>新疆</w:t>
      </w:r>
      <w:r>
        <w:rPr>
          <w:rFonts w:hint="eastAsia" w:ascii="宋体" w:hAnsi="宋体" w:eastAsia="宋体" w:cs="宋体"/>
          <w:color w:val="auto"/>
          <w:kern w:val="2"/>
          <w:sz w:val="24"/>
          <w:szCs w:val="22"/>
          <w:highlight w:val="none"/>
          <w:lang w:val="en-US" w:eastAsia="zh-CN"/>
        </w:rPr>
        <w:t>政府采购电子交易云平台（网址：https://www.zcygov.cn/）</w:t>
      </w:r>
      <w:r>
        <w:rPr>
          <w:rFonts w:hint="eastAsia" w:ascii="宋体" w:hAnsi="宋体" w:eastAsia="宋体" w:cs="宋体"/>
          <w:color w:val="auto"/>
          <w:kern w:val="2"/>
          <w:sz w:val="24"/>
          <w:szCs w:val="22"/>
          <w:highlight w:val="none"/>
        </w:rPr>
        <w:t>的</w:t>
      </w:r>
      <w:r>
        <w:rPr>
          <w:rFonts w:hint="eastAsia" w:eastAsia="宋体" w:cs="宋体"/>
          <w:color w:val="auto"/>
          <w:kern w:val="2"/>
          <w:sz w:val="24"/>
          <w:szCs w:val="22"/>
          <w:highlight w:val="none"/>
          <w:lang w:eastAsia="zh-CN"/>
        </w:rPr>
        <w:t>“</w:t>
      </w:r>
      <w:r>
        <w:rPr>
          <w:rFonts w:hint="eastAsia" w:ascii="宋体" w:hAnsi="宋体" w:eastAsia="宋体" w:cs="宋体"/>
          <w:color w:val="auto"/>
          <w:kern w:val="2"/>
          <w:sz w:val="24"/>
          <w:szCs w:val="22"/>
          <w:highlight w:val="none"/>
        </w:rPr>
        <w:t>政采云登录入口”登录后，进入“政采云远程开标大厅”参加开标会议，并使用CA密钥完成远程解密、提疑澄清、开标唱标、结果公布等交互环节。</w:t>
      </w:r>
    </w:p>
    <w:p w14:paraId="4F83B05F">
      <w:pPr>
        <w:keepNext w:val="0"/>
        <w:keepLines w:val="0"/>
        <w:pageBreakBefore w:val="0"/>
        <w:widowControl w:val="0"/>
        <w:kinsoku/>
        <w:overflowPunct/>
        <w:topLinePunct w:val="0"/>
        <w:autoSpaceDE/>
        <w:autoSpaceDN/>
        <w:bidi w:val="0"/>
        <w:adjustRightInd/>
        <w:ind w:firstLine="480" w:firstLineChars="200"/>
        <w:textAlignment w:val="auto"/>
        <w:rPr>
          <w:rFonts w:hint="eastAsia" w:ascii="宋体" w:hAnsi="宋体" w:eastAsia="宋体" w:cs="宋体"/>
          <w:color w:val="auto"/>
          <w:kern w:val="2"/>
          <w:sz w:val="24"/>
          <w:szCs w:val="22"/>
          <w:highlight w:val="none"/>
        </w:rPr>
      </w:pPr>
      <w:r>
        <w:rPr>
          <w:rFonts w:hint="eastAsia" w:ascii="宋体" w:hAnsi="宋体" w:eastAsia="宋体" w:cs="宋体"/>
          <w:color w:val="auto"/>
          <w:kern w:val="2"/>
          <w:sz w:val="24"/>
          <w:szCs w:val="22"/>
          <w:highlight w:val="none"/>
          <w:lang w:val="en-US" w:eastAsia="zh-CN"/>
        </w:rPr>
        <w:t>2</w:t>
      </w:r>
      <w:r>
        <w:rPr>
          <w:rFonts w:hint="eastAsia" w:eastAsia="宋体" w:cs="宋体"/>
          <w:color w:val="auto"/>
          <w:kern w:val="2"/>
          <w:sz w:val="24"/>
          <w:szCs w:val="22"/>
          <w:highlight w:val="none"/>
          <w:lang w:val="en-US" w:eastAsia="zh-CN"/>
        </w:rPr>
        <w:t>4</w:t>
      </w:r>
      <w:r>
        <w:rPr>
          <w:rFonts w:hint="eastAsia" w:ascii="宋体" w:hAnsi="宋体" w:eastAsia="宋体" w:cs="宋体"/>
          <w:color w:val="auto"/>
          <w:kern w:val="2"/>
          <w:sz w:val="24"/>
          <w:szCs w:val="22"/>
          <w:highlight w:val="none"/>
          <w:lang w:val="en-US" w:eastAsia="zh-CN"/>
        </w:rPr>
        <w:t xml:space="preserve">.3开标过程将宣布投标人名称、投标价格和招标文件规定的需要宣布的其他内容并进行记录，并由参加开标的各投标人确认。投标人未在规定时间内提 出疑义或确认一览表的，视同认可开标结果。 </w:t>
      </w:r>
    </w:p>
    <w:p w14:paraId="63FB5E60">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color w:val="auto"/>
          <w:kern w:val="2"/>
          <w:sz w:val="24"/>
          <w:szCs w:val="28"/>
          <w:highlight w:val="none"/>
          <w:lang w:val="en-US" w:eastAsia="zh-CN" w:bidi="ar-SA"/>
        </w:rPr>
      </w:pPr>
      <w:bookmarkStart w:id="280" w:name="_Toc20710"/>
      <w:bookmarkStart w:id="281" w:name="_Toc12764"/>
      <w:bookmarkStart w:id="282" w:name="_Toc140132783"/>
      <w:bookmarkStart w:id="283" w:name="_Toc17474"/>
      <w:bookmarkStart w:id="284" w:name="_Toc163492852"/>
      <w:bookmarkStart w:id="285" w:name="_Toc30827"/>
      <w:r>
        <w:rPr>
          <w:rFonts w:hint="eastAsia" w:ascii="宋体" w:hAnsi="宋体" w:eastAsia="宋体" w:cs="宋体"/>
          <w:b/>
          <w:bCs/>
          <w:color w:val="auto"/>
          <w:kern w:val="2"/>
          <w:sz w:val="24"/>
          <w:szCs w:val="28"/>
          <w:highlight w:val="none"/>
          <w:lang w:val="en-US" w:eastAsia="zh-CN" w:bidi="ar-SA"/>
        </w:rPr>
        <w:t>25.开标程序</w:t>
      </w:r>
      <w:bookmarkEnd w:id="280"/>
      <w:bookmarkEnd w:id="281"/>
      <w:bookmarkEnd w:id="282"/>
      <w:bookmarkEnd w:id="283"/>
      <w:bookmarkEnd w:id="284"/>
      <w:bookmarkEnd w:id="285"/>
    </w:p>
    <w:p w14:paraId="60F7948B">
      <w:pPr>
        <w:keepNext w:val="0"/>
        <w:keepLines w:val="0"/>
        <w:pageBreakBefore w:val="0"/>
        <w:widowControl w:val="0"/>
        <w:kinsoku/>
        <w:overflowPunct/>
        <w:topLinePunct w:val="0"/>
        <w:autoSpaceDE/>
        <w:autoSpaceDN/>
        <w:bidi w:val="0"/>
        <w:adjustRightInd/>
        <w:ind w:firstLine="480" w:firstLineChars="200"/>
        <w:textAlignment w:val="auto"/>
        <w:rPr>
          <w:rFonts w:eastAsia="宋体" w:cs="仿宋_GB2312"/>
          <w:color w:val="auto"/>
          <w:sz w:val="24"/>
          <w:szCs w:val="24"/>
          <w:highlight w:val="none"/>
        </w:rPr>
      </w:pPr>
      <w:r>
        <w:rPr>
          <w:rFonts w:eastAsia="宋体" w:cs="仿宋_GB2312"/>
          <w:color w:val="auto"/>
          <w:sz w:val="24"/>
          <w:szCs w:val="24"/>
          <w:highlight w:val="none"/>
        </w:rPr>
        <w:t>2</w:t>
      </w:r>
      <w:r>
        <w:rPr>
          <w:rFonts w:hint="eastAsia" w:eastAsia="宋体" w:cs="仿宋_GB2312"/>
          <w:color w:val="auto"/>
          <w:sz w:val="24"/>
          <w:szCs w:val="24"/>
          <w:highlight w:val="none"/>
          <w:lang w:val="en-US" w:eastAsia="zh-CN"/>
        </w:rPr>
        <w:t>5</w:t>
      </w:r>
      <w:r>
        <w:rPr>
          <w:rFonts w:hint="eastAsia" w:eastAsia="宋体" w:cs="仿宋_GB2312"/>
          <w:color w:val="auto"/>
          <w:sz w:val="24"/>
          <w:szCs w:val="24"/>
          <w:highlight w:val="none"/>
        </w:rPr>
        <w:t>.1 投标人不足3家的，不得开标。</w:t>
      </w:r>
    </w:p>
    <w:p w14:paraId="5B4EFA66">
      <w:pPr>
        <w:keepNext w:val="0"/>
        <w:keepLines w:val="0"/>
        <w:pageBreakBefore w:val="0"/>
        <w:widowControl w:val="0"/>
        <w:kinsoku/>
        <w:overflowPunct/>
        <w:topLinePunct w:val="0"/>
        <w:autoSpaceDE/>
        <w:autoSpaceDN/>
        <w:bidi w:val="0"/>
        <w:adjustRightInd/>
        <w:ind w:firstLine="480" w:firstLineChars="200"/>
        <w:textAlignment w:val="auto"/>
        <w:rPr>
          <w:rFonts w:eastAsia="宋体"/>
          <w:color w:val="auto"/>
          <w:sz w:val="24"/>
          <w:highlight w:val="none"/>
        </w:rPr>
      </w:pPr>
      <w:r>
        <w:rPr>
          <w:rFonts w:eastAsia="宋体" w:cs="仿宋_GB2312"/>
          <w:color w:val="auto"/>
          <w:sz w:val="24"/>
          <w:szCs w:val="24"/>
          <w:highlight w:val="none"/>
        </w:rPr>
        <w:t>2</w:t>
      </w:r>
      <w:r>
        <w:rPr>
          <w:rFonts w:hint="eastAsia" w:eastAsia="宋体" w:cs="仿宋_GB2312"/>
          <w:color w:val="auto"/>
          <w:sz w:val="24"/>
          <w:szCs w:val="24"/>
          <w:highlight w:val="none"/>
          <w:lang w:val="en-US" w:eastAsia="zh-CN"/>
        </w:rPr>
        <w:t>5</w:t>
      </w:r>
      <w:r>
        <w:rPr>
          <w:rFonts w:hint="eastAsia" w:eastAsia="宋体" w:cs="仿宋_GB2312"/>
          <w:color w:val="auto"/>
          <w:sz w:val="24"/>
          <w:szCs w:val="24"/>
          <w:highlight w:val="none"/>
        </w:rPr>
        <w:t>.2 评标委员会成员不得参加开标活动。</w:t>
      </w:r>
    </w:p>
    <w:p w14:paraId="6EDD80B3">
      <w:pPr>
        <w:keepNext w:val="0"/>
        <w:keepLines w:val="0"/>
        <w:pageBreakBefore w:val="0"/>
        <w:widowControl w:val="0"/>
        <w:kinsoku/>
        <w:overflowPunct/>
        <w:topLinePunct w:val="0"/>
        <w:autoSpaceDE/>
        <w:autoSpaceDN/>
        <w:bidi w:val="0"/>
        <w:adjustRightInd/>
        <w:ind w:firstLine="480" w:firstLineChars="200"/>
        <w:textAlignment w:val="auto"/>
        <w:rPr>
          <w:rFonts w:eastAsia="宋体" w:cs="仿宋_GB2312"/>
          <w:color w:val="auto"/>
          <w:sz w:val="24"/>
          <w:szCs w:val="24"/>
          <w:highlight w:val="none"/>
        </w:rPr>
      </w:pPr>
      <w:r>
        <w:rPr>
          <w:rFonts w:eastAsia="宋体" w:cs="仿宋_GB2312"/>
          <w:color w:val="auto"/>
          <w:sz w:val="24"/>
          <w:szCs w:val="24"/>
          <w:highlight w:val="none"/>
        </w:rPr>
        <w:t>2</w:t>
      </w:r>
      <w:r>
        <w:rPr>
          <w:rFonts w:hint="eastAsia" w:eastAsia="宋体" w:cs="仿宋_GB2312"/>
          <w:color w:val="auto"/>
          <w:sz w:val="24"/>
          <w:szCs w:val="24"/>
          <w:highlight w:val="none"/>
          <w:lang w:val="en-US" w:eastAsia="zh-CN"/>
        </w:rPr>
        <w:t>5</w:t>
      </w:r>
      <w:r>
        <w:rPr>
          <w:rFonts w:hint="eastAsia" w:eastAsia="宋体" w:cs="仿宋_GB2312"/>
          <w:color w:val="auto"/>
          <w:sz w:val="24"/>
          <w:szCs w:val="24"/>
          <w:highlight w:val="none"/>
        </w:rPr>
        <w:t>.3主持人按下列程序进行开标：</w:t>
      </w:r>
    </w:p>
    <w:p w14:paraId="02BF7803">
      <w:pPr>
        <w:keepNext w:val="0"/>
        <w:keepLines w:val="0"/>
        <w:pageBreakBefore w:val="0"/>
        <w:widowControl w:val="0"/>
        <w:kinsoku/>
        <w:overflowPunct/>
        <w:topLinePunct w:val="0"/>
        <w:autoSpaceDE/>
        <w:autoSpaceDN/>
        <w:bidi w:val="0"/>
        <w:adjustRightInd/>
        <w:ind w:firstLine="398" w:firstLineChars="166"/>
        <w:textAlignment w:val="auto"/>
        <w:rPr>
          <w:rFonts w:eastAsia="宋体" w:cs="仿宋_GB2312"/>
          <w:color w:val="auto"/>
          <w:sz w:val="24"/>
          <w:szCs w:val="24"/>
          <w:highlight w:val="none"/>
        </w:rPr>
      </w:pPr>
      <w:r>
        <w:rPr>
          <w:rFonts w:hint="eastAsia" w:eastAsia="宋体" w:cs="仿宋_GB2312"/>
          <w:color w:val="auto"/>
          <w:sz w:val="24"/>
          <w:szCs w:val="24"/>
          <w:highlight w:val="none"/>
        </w:rPr>
        <w:t>（1）宣布开标会纪律；</w:t>
      </w:r>
    </w:p>
    <w:p w14:paraId="06FE8596">
      <w:pPr>
        <w:keepNext w:val="0"/>
        <w:keepLines w:val="0"/>
        <w:pageBreakBefore w:val="0"/>
        <w:widowControl w:val="0"/>
        <w:kinsoku/>
        <w:overflowPunct/>
        <w:topLinePunct w:val="0"/>
        <w:autoSpaceDE/>
        <w:autoSpaceDN/>
        <w:bidi w:val="0"/>
        <w:adjustRightInd/>
        <w:ind w:firstLine="398" w:firstLineChars="166"/>
        <w:textAlignment w:val="auto"/>
        <w:rPr>
          <w:rFonts w:eastAsia="宋体" w:cs="仿宋_GB2312"/>
          <w:color w:val="auto"/>
          <w:sz w:val="24"/>
          <w:szCs w:val="24"/>
          <w:highlight w:val="none"/>
        </w:rPr>
      </w:pPr>
      <w:r>
        <w:rPr>
          <w:rFonts w:hint="eastAsia" w:eastAsia="宋体" w:cs="仿宋_GB2312"/>
          <w:color w:val="auto"/>
          <w:sz w:val="24"/>
          <w:szCs w:val="24"/>
          <w:highlight w:val="none"/>
        </w:rPr>
        <w:t>（2）介绍参加开标会的单位和人员；</w:t>
      </w:r>
    </w:p>
    <w:p w14:paraId="69CFC68B">
      <w:pPr>
        <w:keepNext w:val="0"/>
        <w:keepLines w:val="0"/>
        <w:pageBreakBefore w:val="0"/>
        <w:widowControl w:val="0"/>
        <w:kinsoku/>
        <w:overflowPunct/>
        <w:topLinePunct w:val="0"/>
        <w:autoSpaceDE/>
        <w:autoSpaceDN/>
        <w:bidi w:val="0"/>
        <w:adjustRightInd/>
        <w:ind w:firstLine="398" w:firstLineChars="166"/>
        <w:textAlignment w:val="auto"/>
        <w:rPr>
          <w:rFonts w:eastAsia="宋体" w:cs="仿宋_GB2312"/>
          <w:color w:val="auto"/>
          <w:sz w:val="24"/>
          <w:szCs w:val="24"/>
          <w:highlight w:val="none"/>
        </w:rPr>
      </w:pPr>
      <w:r>
        <w:rPr>
          <w:rFonts w:hint="eastAsia" w:eastAsia="宋体" w:cs="仿宋_GB2312"/>
          <w:color w:val="auto"/>
          <w:sz w:val="24"/>
          <w:szCs w:val="24"/>
          <w:highlight w:val="none"/>
        </w:rPr>
        <w:t>（3）发起投标文件解密。投标人应在“投标人须知前附表”规定的时间内使用加密投标文件的CA证书在系统中完成投标文件的解密；</w:t>
      </w:r>
    </w:p>
    <w:p w14:paraId="30C058B0">
      <w:pPr>
        <w:keepNext w:val="0"/>
        <w:keepLines w:val="0"/>
        <w:pageBreakBefore w:val="0"/>
        <w:widowControl w:val="0"/>
        <w:kinsoku/>
        <w:overflowPunct/>
        <w:topLinePunct w:val="0"/>
        <w:autoSpaceDE/>
        <w:autoSpaceDN/>
        <w:bidi w:val="0"/>
        <w:adjustRightInd/>
        <w:ind w:firstLine="398" w:firstLineChars="166"/>
        <w:textAlignment w:val="auto"/>
        <w:rPr>
          <w:rFonts w:eastAsia="宋体" w:cs="仿宋_GB2312"/>
          <w:color w:val="auto"/>
          <w:sz w:val="24"/>
          <w:szCs w:val="24"/>
          <w:highlight w:val="none"/>
        </w:rPr>
      </w:pPr>
      <w:r>
        <w:rPr>
          <w:rFonts w:hint="eastAsia" w:eastAsia="宋体" w:cs="仿宋_GB2312"/>
          <w:color w:val="auto"/>
          <w:sz w:val="24"/>
          <w:szCs w:val="24"/>
          <w:highlight w:val="none"/>
        </w:rPr>
        <w:t>（4）解密完成后，系统自动显示投标人名称、投标价格和招标文件规定的需要宣布的其他内容；</w:t>
      </w:r>
    </w:p>
    <w:p w14:paraId="102D4E44">
      <w:pPr>
        <w:keepNext w:val="0"/>
        <w:keepLines w:val="0"/>
        <w:pageBreakBefore w:val="0"/>
        <w:widowControl w:val="0"/>
        <w:kinsoku/>
        <w:overflowPunct/>
        <w:topLinePunct w:val="0"/>
        <w:autoSpaceDE/>
        <w:autoSpaceDN/>
        <w:bidi w:val="0"/>
        <w:adjustRightInd/>
        <w:ind w:left="564" w:leftChars="200" w:hanging="84" w:hangingChars="35"/>
        <w:textAlignment w:val="auto"/>
        <w:rPr>
          <w:rFonts w:hint="eastAsia" w:eastAsia="宋体" w:cs="仿宋_GB2312"/>
          <w:color w:val="auto"/>
          <w:sz w:val="24"/>
          <w:szCs w:val="24"/>
          <w:highlight w:val="none"/>
          <w:lang w:val="en-US" w:eastAsia="zh-CN"/>
        </w:rPr>
      </w:pPr>
      <w:r>
        <w:rPr>
          <w:rFonts w:hint="eastAsia" w:eastAsia="宋体" w:cs="仿宋_GB2312"/>
          <w:color w:val="auto"/>
          <w:sz w:val="24"/>
          <w:szCs w:val="24"/>
          <w:highlight w:val="none"/>
        </w:rPr>
        <w:t>（5）系统自动生成开标记录表，</w:t>
      </w:r>
      <w:r>
        <w:rPr>
          <w:rFonts w:hint="eastAsia" w:eastAsia="宋体" w:cs="仿宋_GB2312"/>
          <w:color w:val="auto"/>
          <w:sz w:val="24"/>
          <w:szCs w:val="24"/>
          <w:highlight w:val="none"/>
          <w:lang w:val="en-US" w:eastAsia="zh-CN"/>
        </w:rPr>
        <w:t>投标人</w:t>
      </w:r>
      <w:r>
        <w:rPr>
          <w:rFonts w:hint="eastAsia" w:eastAsia="宋体" w:cs="仿宋_GB2312"/>
          <w:color w:val="auto"/>
          <w:sz w:val="24"/>
          <w:szCs w:val="24"/>
          <w:highlight w:val="none"/>
        </w:rPr>
        <w:t>应在线对开标记录进行签署确认</w:t>
      </w:r>
      <w:r>
        <w:rPr>
          <w:rFonts w:hint="eastAsia" w:eastAsia="宋体" w:cs="仿宋_GB2312"/>
          <w:color w:val="auto"/>
          <w:sz w:val="24"/>
          <w:szCs w:val="24"/>
          <w:highlight w:val="none"/>
          <w:lang w:val="en-US" w:eastAsia="zh-CN"/>
        </w:rPr>
        <w:t>；</w:t>
      </w:r>
    </w:p>
    <w:p w14:paraId="1E68785D">
      <w:pPr>
        <w:keepNext w:val="0"/>
        <w:keepLines w:val="0"/>
        <w:pageBreakBefore w:val="0"/>
        <w:widowControl w:val="0"/>
        <w:kinsoku/>
        <w:overflowPunct/>
        <w:topLinePunct w:val="0"/>
        <w:autoSpaceDE/>
        <w:autoSpaceDN/>
        <w:bidi w:val="0"/>
        <w:adjustRightInd/>
        <w:ind w:left="564" w:leftChars="200" w:hanging="84" w:hangingChars="35"/>
        <w:textAlignment w:val="auto"/>
        <w:rPr>
          <w:rFonts w:hint="eastAsia" w:ascii="宋体" w:hAnsi="宋体" w:eastAsia="宋体" w:cs="仿宋_GB2312"/>
          <w:color w:val="auto"/>
          <w:sz w:val="24"/>
          <w:szCs w:val="24"/>
          <w:highlight w:val="none"/>
        </w:rPr>
      </w:pPr>
      <w:r>
        <w:rPr>
          <w:rFonts w:hint="eastAsia" w:ascii="宋体" w:hAnsi="宋体" w:eastAsia="宋体" w:cs="仿宋_GB2312"/>
          <w:color w:val="auto"/>
          <w:sz w:val="24"/>
          <w:szCs w:val="24"/>
          <w:highlight w:val="none"/>
        </w:rPr>
        <w:t>（6）开标会结束。</w:t>
      </w:r>
      <w:bookmarkStart w:id="286" w:name="_Toc163492853"/>
      <w:bookmarkStart w:id="287" w:name="_Toc140132784"/>
    </w:p>
    <w:p w14:paraId="459D358F">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color w:val="auto"/>
          <w:kern w:val="2"/>
          <w:sz w:val="24"/>
          <w:szCs w:val="28"/>
          <w:highlight w:val="none"/>
          <w:lang w:val="en-US" w:eastAsia="zh-CN" w:bidi="ar-SA"/>
        </w:rPr>
      </w:pPr>
      <w:bookmarkStart w:id="288" w:name="_Toc20123"/>
      <w:bookmarkStart w:id="289" w:name="_Toc19420"/>
      <w:bookmarkStart w:id="290" w:name="_Toc10387"/>
      <w:bookmarkStart w:id="291" w:name="_Toc15283"/>
      <w:r>
        <w:rPr>
          <w:rFonts w:hint="eastAsia" w:ascii="宋体" w:hAnsi="宋体" w:eastAsia="宋体" w:cs="宋体"/>
          <w:b/>
          <w:bCs/>
          <w:color w:val="auto"/>
          <w:kern w:val="2"/>
          <w:sz w:val="24"/>
          <w:szCs w:val="28"/>
          <w:highlight w:val="none"/>
          <w:lang w:val="en-US" w:eastAsia="zh-CN" w:bidi="ar-SA"/>
        </w:rPr>
        <w:t>26.开标疑义及回避情形</w:t>
      </w:r>
      <w:bookmarkEnd w:id="286"/>
      <w:bookmarkEnd w:id="287"/>
      <w:bookmarkEnd w:id="288"/>
      <w:bookmarkEnd w:id="289"/>
      <w:bookmarkEnd w:id="290"/>
      <w:bookmarkEnd w:id="291"/>
    </w:p>
    <w:p w14:paraId="04573EB2">
      <w:pPr>
        <w:pStyle w:val="40"/>
        <w:keepNext w:val="0"/>
        <w:keepLines w:val="0"/>
        <w:pageBreakBefore w:val="0"/>
        <w:widowControl w:val="0"/>
        <w:kinsoku/>
        <w:overflowPunct/>
        <w:topLinePunct w:val="0"/>
        <w:autoSpaceDE/>
        <w:autoSpaceDN/>
        <w:bidi w:val="0"/>
        <w:adjustRightInd/>
        <w:textAlignment w:val="auto"/>
        <w:rPr>
          <w:rFonts w:eastAsia="宋体"/>
          <w:color w:val="auto"/>
          <w:sz w:val="24"/>
          <w:highlight w:val="none"/>
        </w:rPr>
      </w:pPr>
      <w:r>
        <w:rPr>
          <w:rFonts w:eastAsia="宋体"/>
          <w:color w:val="auto"/>
          <w:sz w:val="24"/>
          <w:highlight w:val="none"/>
        </w:rPr>
        <w:t>2</w:t>
      </w:r>
      <w:r>
        <w:rPr>
          <w:rFonts w:hint="eastAsia" w:eastAsia="宋体"/>
          <w:color w:val="auto"/>
          <w:sz w:val="24"/>
          <w:highlight w:val="none"/>
          <w:lang w:val="en-US" w:eastAsia="zh-CN"/>
        </w:rPr>
        <w:t>6</w:t>
      </w:r>
      <w:r>
        <w:rPr>
          <w:rFonts w:hint="eastAsia" w:eastAsia="宋体"/>
          <w:color w:val="auto"/>
          <w:sz w:val="24"/>
          <w:highlight w:val="none"/>
        </w:rPr>
        <w:t>.1投标人代表对开标过程和开标记录有疑义，以及认为采购人、采购代理机构相关工作人员有需要回避的情形的，应在开标会议中提出询问或者回避申请。采购人、采购代理机构对投标人授权代表提出的询问或者回避申请应当及时处理。</w:t>
      </w:r>
    </w:p>
    <w:p w14:paraId="4E69EE01">
      <w:pPr>
        <w:pStyle w:val="40"/>
        <w:keepNext w:val="0"/>
        <w:keepLines w:val="0"/>
        <w:pageBreakBefore w:val="0"/>
        <w:widowControl w:val="0"/>
        <w:kinsoku/>
        <w:overflowPunct/>
        <w:topLinePunct w:val="0"/>
        <w:autoSpaceDE/>
        <w:autoSpaceDN/>
        <w:bidi w:val="0"/>
        <w:adjustRightInd/>
        <w:textAlignment w:val="auto"/>
        <w:rPr>
          <w:rFonts w:eastAsia="宋体"/>
          <w:color w:val="auto"/>
          <w:sz w:val="24"/>
          <w:highlight w:val="none"/>
        </w:rPr>
      </w:pPr>
      <w:r>
        <w:rPr>
          <w:rFonts w:hint="eastAsia" w:eastAsia="宋体"/>
          <w:color w:val="auto"/>
          <w:sz w:val="24"/>
          <w:highlight w:val="none"/>
        </w:rPr>
        <w:t>2</w:t>
      </w:r>
      <w:r>
        <w:rPr>
          <w:rFonts w:hint="eastAsia" w:eastAsia="宋体"/>
          <w:color w:val="auto"/>
          <w:sz w:val="24"/>
          <w:highlight w:val="none"/>
          <w:lang w:val="en-US" w:eastAsia="zh-CN"/>
        </w:rPr>
        <w:t>6</w:t>
      </w:r>
      <w:r>
        <w:rPr>
          <w:rFonts w:hint="eastAsia" w:eastAsia="宋体"/>
          <w:color w:val="auto"/>
          <w:sz w:val="24"/>
          <w:highlight w:val="none"/>
        </w:rPr>
        <w:t>.2投标人未参加开标的，视同认可开标结果。</w:t>
      </w:r>
    </w:p>
    <w:p w14:paraId="55D243EF">
      <w:pPr>
        <w:pStyle w:val="4"/>
        <w:keepNext w:val="0"/>
        <w:keepLines w:val="0"/>
        <w:pageBreakBefore w:val="0"/>
        <w:widowControl w:val="0"/>
        <w:numPr>
          <w:ilvl w:val="0"/>
          <w:numId w:val="0"/>
        </w:numPr>
        <w:kinsoku/>
        <w:wordWrap/>
        <w:overflowPunct/>
        <w:topLinePunct w:val="0"/>
        <w:autoSpaceDE/>
        <w:autoSpaceDN/>
        <w:bidi w:val="0"/>
        <w:adjustRightInd/>
        <w:snapToGrid/>
        <w:spacing w:before="100" w:after="100" w:line="240" w:lineRule="auto"/>
        <w:ind w:left="420" w:leftChars="0" w:hanging="420" w:firstLineChars="0"/>
        <w:textAlignment w:val="auto"/>
        <w:rPr>
          <w:rFonts w:hint="eastAsia" w:ascii="宋体" w:hAnsi="宋体" w:eastAsia="宋体" w:cstheme="minorBidi"/>
          <w:b/>
          <w:bCs/>
          <w:color w:val="auto"/>
          <w:kern w:val="2"/>
          <w:sz w:val="24"/>
          <w:szCs w:val="32"/>
          <w:highlight w:val="none"/>
          <w:lang w:val="en-US" w:eastAsia="zh-CN" w:bidi="ar-SA"/>
        </w:rPr>
      </w:pPr>
      <w:bookmarkStart w:id="292" w:name="_Toc2893"/>
      <w:bookmarkStart w:id="293" w:name="_Toc19512"/>
      <w:bookmarkStart w:id="294" w:name="_Toc140132785"/>
      <w:bookmarkStart w:id="295" w:name="_Toc163492854"/>
      <w:bookmarkStart w:id="296" w:name="_Toc11421"/>
      <w:bookmarkStart w:id="297" w:name="_Toc20084"/>
      <w:bookmarkStart w:id="298" w:name="_Toc155185877"/>
      <w:r>
        <w:rPr>
          <w:rFonts w:hint="eastAsia" w:ascii="宋体" w:hAnsi="宋体" w:eastAsia="宋体" w:cstheme="minorBidi"/>
          <w:b/>
          <w:bCs/>
          <w:color w:val="auto"/>
          <w:kern w:val="2"/>
          <w:sz w:val="24"/>
          <w:szCs w:val="32"/>
          <w:highlight w:val="none"/>
          <w:lang w:val="en-US" w:eastAsia="zh-CN" w:bidi="ar-SA"/>
        </w:rPr>
        <w:t>（六）资格审查</w:t>
      </w:r>
      <w:bookmarkEnd w:id="292"/>
      <w:bookmarkEnd w:id="293"/>
      <w:bookmarkEnd w:id="294"/>
      <w:bookmarkEnd w:id="295"/>
      <w:bookmarkEnd w:id="296"/>
      <w:bookmarkEnd w:id="297"/>
      <w:bookmarkEnd w:id="298"/>
    </w:p>
    <w:p w14:paraId="2C1B5FD6">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color w:val="auto"/>
          <w:kern w:val="2"/>
          <w:sz w:val="24"/>
          <w:szCs w:val="28"/>
          <w:highlight w:val="none"/>
          <w:lang w:val="en-US" w:eastAsia="zh-CN" w:bidi="ar-SA"/>
        </w:rPr>
      </w:pPr>
      <w:bookmarkStart w:id="299" w:name="_Toc162"/>
      <w:bookmarkStart w:id="300" w:name="_Toc163492855"/>
      <w:bookmarkStart w:id="301" w:name="_Toc9963"/>
      <w:bookmarkStart w:id="302" w:name="_Toc13821"/>
      <w:bookmarkStart w:id="303" w:name="_Toc1466"/>
      <w:r>
        <w:rPr>
          <w:rFonts w:hint="eastAsia" w:ascii="宋体" w:hAnsi="宋体" w:eastAsia="宋体" w:cs="宋体"/>
          <w:b/>
          <w:bCs/>
          <w:color w:val="auto"/>
          <w:kern w:val="2"/>
          <w:sz w:val="24"/>
          <w:szCs w:val="28"/>
          <w:highlight w:val="none"/>
          <w:lang w:val="en-US" w:eastAsia="zh-CN" w:bidi="ar-SA"/>
        </w:rPr>
        <w:t>27.资格审查及审查主体</w:t>
      </w:r>
      <w:bookmarkEnd w:id="299"/>
      <w:bookmarkEnd w:id="300"/>
      <w:bookmarkEnd w:id="301"/>
      <w:bookmarkEnd w:id="302"/>
      <w:bookmarkEnd w:id="303"/>
    </w:p>
    <w:p w14:paraId="3F6E8AD4">
      <w:pPr>
        <w:pStyle w:val="40"/>
        <w:keepNext w:val="0"/>
        <w:keepLines w:val="0"/>
        <w:pageBreakBefore w:val="0"/>
        <w:widowControl w:val="0"/>
        <w:kinsoku/>
        <w:overflowPunct/>
        <w:topLinePunct w:val="0"/>
        <w:autoSpaceDE/>
        <w:autoSpaceDN/>
        <w:bidi w:val="0"/>
        <w:adjustRightInd/>
        <w:textAlignment w:val="auto"/>
        <w:rPr>
          <w:rFonts w:eastAsia="宋体"/>
          <w:color w:val="auto"/>
          <w:sz w:val="24"/>
          <w:highlight w:val="none"/>
        </w:rPr>
      </w:pPr>
      <w:bookmarkStart w:id="304" w:name="_Toc140132786"/>
      <w:r>
        <w:rPr>
          <w:rFonts w:hint="eastAsia" w:eastAsia="宋体"/>
          <w:color w:val="auto"/>
          <w:sz w:val="24"/>
          <w:highlight w:val="none"/>
        </w:rPr>
        <w:t>2</w:t>
      </w:r>
      <w:r>
        <w:rPr>
          <w:rFonts w:hint="eastAsia" w:eastAsia="宋体"/>
          <w:color w:val="auto"/>
          <w:sz w:val="24"/>
          <w:highlight w:val="none"/>
          <w:lang w:val="en-US" w:eastAsia="zh-CN"/>
        </w:rPr>
        <w:t>7</w:t>
      </w:r>
      <w:r>
        <w:rPr>
          <w:rFonts w:hint="eastAsia" w:eastAsia="宋体"/>
          <w:color w:val="auto"/>
          <w:sz w:val="24"/>
          <w:highlight w:val="none"/>
        </w:rPr>
        <w:t>.1</w:t>
      </w:r>
      <w:bookmarkEnd w:id="304"/>
      <w:r>
        <w:rPr>
          <w:rFonts w:hint="eastAsia" w:eastAsia="宋体"/>
          <w:color w:val="auto"/>
          <w:sz w:val="24"/>
          <w:highlight w:val="none"/>
        </w:rPr>
        <w:t>开标结束后，采购人或者采购代理机构应当依法对投标人的资格进行审查。</w:t>
      </w:r>
    </w:p>
    <w:p w14:paraId="6F7626D3">
      <w:pPr>
        <w:pStyle w:val="40"/>
        <w:keepNext w:val="0"/>
        <w:keepLines w:val="0"/>
        <w:pageBreakBefore w:val="0"/>
        <w:widowControl w:val="0"/>
        <w:kinsoku/>
        <w:overflowPunct/>
        <w:topLinePunct w:val="0"/>
        <w:autoSpaceDE/>
        <w:autoSpaceDN/>
        <w:bidi w:val="0"/>
        <w:adjustRightInd/>
        <w:textAlignment w:val="auto"/>
        <w:rPr>
          <w:rFonts w:eastAsia="宋体"/>
          <w:color w:val="auto"/>
          <w:sz w:val="24"/>
          <w:highlight w:val="none"/>
        </w:rPr>
      </w:pPr>
      <w:bookmarkStart w:id="305" w:name="_Toc140132787"/>
      <w:r>
        <w:rPr>
          <w:rFonts w:eastAsia="宋体"/>
          <w:color w:val="auto"/>
          <w:sz w:val="24"/>
          <w:highlight w:val="none"/>
        </w:rPr>
        <w:t>2</w:t>
      </w:r>
      <w:r>
        <w:rPr>
          <w:rFonts w:hint="eastAsia" w:eastAsia="宋体"/>
          <w:color w:val="auto"/>
          <w:sz w:val="24"/>
          <w:highlight w:val="none"/>
          <w:lang w:val="en-US" w:eastAsia="zh-CN"/>
        </w:rPr>
        <w:t>7</w:t>
      </w:r>
      <w:r>
        <w:rPr>
          <w:rFonts w:hint="eastAsia" w:eastAsia="宋体"/>
          <w:color w:val="auto"/>
          <w:sz w:val="24"/>
          <w:highlight w:val="none"/>
        </w:rPr>
        <w:t>.2</w:t>
      </w:r>
      <w:r>
        <w:rPr>
          <w:rFonts w:eastAsia="宋体"/>
          <w:color w:val="auto"/>
          <w:sz w:val="24"/>
          <w:highlight w:val="none"/>
        </w:rPr>
        <w:t>资格审查</w:t>
      </w:r>
      <w:r>
        <w:rPr>
          <w:rFonts w:hint="eastAsia" w:eastAsia="宋体"/>
          <w:color w:val="auto"/>
          <w:sz w:val="24"/>
          <w:highlight w:val="none"/>
        </w:rPr>
        <w:t>按“第四章</w:t>
      </w:r>
      <w:r>
        <w:rPr>
          <w:rFonts w:hint="eastAsia" w:eastAsia="宋体"/>
          <w:color w:val="auto"/>
          <w:sz w:val="24"/>
          <w:highlight w:val="none"/>
          <w:lang w:val="en-US" w:eastAsia="zh-CN"/>
        </w:rPr>
        <w:t xml:space="preserve"> </w:t>
      </w:r>
      <w:r>
        <w:rPr>
          <w:rFonts w:hint="eastAsia" w:eastAsia="宋体"/>
          <w:color w:val="auto"/>
          <w:sz w:val="24"/>
          <w:highlight w:val="none"/>
        </w:rPr>
        <w:t>资格审查”的规定进行。</w:t>
      </w:r>
      <w:bookmarkEnd w:id="305"/>
    </w:p>
    <w:p w14:paraId="44D43B82">
      <w:pPr>
        <w:pStyle w:val="40"/>
        <w:keepNext w:val="0"/>
        <w:keepLines w:val="0"/>
        <w:pageBreakBefore w:val="0"/>
        <w:widowControl w:val="0"/>
        <w:kinsoku/>
        <w:overflowPunct/>
        <w:topLinePunct w:val="0"/>
        <w:autoSpaceDE/>
        <w:autoSpaceDN/>
        <w:bidi w:val="0"/>
        <w:adjustRightInd/>
        <w:textAlignment w:val="auto"/>
        <w:rPr>
          <w:rFonts w:eastAsia="宋体"/>
          <w:color w:val="auto"/>
          <w:sz w:val="24"/>
          <w:highlight w:val="none"/>
        </w:rPr>
      </w:pPr>
      <w:bookmarkStart w:id="306" w:name="_Toc140132788"/>
      <w:r>
        <w:rPr>
          <w:rFonts w:eastAsia="宋体"/>
          <w:color w:val="auto"/>
          <w:sz w:val="24"/>
          <w:highlight w:val="none"/>
        </w:rPr>
        <w:t>2</w:t>
      </w:r>
      <w:r>
        <w:rPr>
          <w:rFonts w:hint="eastAsia" w:eastAsia="宋体"/>
          <w:color w:val="auto"/>
          <w:sz w:val="24"/>
          <w:highlight w:val="none"/>
          <w:lang w:val="en-US" w:eastAsia="zh-CN"/>
        </w:rPr>
        <w:t>7</w:t>
      </w:r>
      <w:r>
        <w:rPr>
          <w:rFonts w:hint="eastAsia" w:eastAsia="宋体"/>
          <w:color w:val="auto"/>
          <w:sz w:val="24"/>
          <w:highlight w:val="none"/>
        </w:rPr>
        <w:t>.3</w:t>
      </w:r>
      <w:r>
        <w:rPr>
          <w:rFonts w:eastAsia="宋体"/>
          <w:color w:val="auto"/>
          <w:sz w:val="24"/>
          <w:highlight w:val="none"/>
        </w:rPr>
        <w:t>资格审查结束后，应及时对资格审查结果进行复核，对资格审查错误进行及时纠正并记录。</w:t>
      </w:r>
      <w:bookmarkEnd w:id="306"/>
    </w:p>
    <w:p w14:paraId="272F167A">
      <w:pPr>
        <w:pStyle w:val="40"/>
        <w:keepNext w:val="0"/>
        <w:keepLines w:val="0"/>
        <w:pageBreakBefore w:val="0"/>
        <w:widowControl w:val="0"/>
        <w:kinsoku/>
        <w:overflowPunct/>
        <w:topLinePunct w:val="0"/>
        <w:autoSpaceDE/>
        <w:autoSpaceDN/>
        <w:bidi w:val="0"/>
        <w:adjustRightInd/>
        <w:textAlignment w:val="auto"/>
        <w:rPr>
          <w:rFonts w:hint="default" w:eastAsia="宋体"/>
          <w:color w:val="auto"/>
          <w:sz w:val="24"/>
          <w:highlight w:val="none"/>
          <w:lang w:val="en-US" w:eastAsia="zh-CN"/>
        </w:rPr>
      </w:pPr>
      <w:r>
        <w:rPr>
          <w:rFonts w:hint="eastAsia" w:eastAsia="宋体"/>
          <w:color w:val="auto"/>
          <w:sz w:val="24"/>
          <w:highlight w:val="none"/>
          <w:lang w:val="en-US" w:eastAsia="zh-CN"/>
        </w:rPr>
        <w:t>27.4</w:t>
      </w:r>
      <w:r>
        <w:rPr>
          <w:rFonts w:eastAsia="宋体"/>
          <w:color w:val="auto"/>
          <w:sz w:val="24"/>
          <w:highlight w:val="none"/>
        </w:rPr>
        <w:t>资格审查</w:t>
      </w:r>
      <w:r>
        <w:rPr>
          <w:rFonts w:hint="eastAsia" w:eastAsia="宋体"/>
          <w:color w:val="auto"/>
          <w:sz w:val="24"/>
          <w:highlight w:val="none"/>
        </w:rPr>
        <w:t>合格投标人不足3家的，不得评标。</w:t>
      </w:r>
    </w:p>
    <w:p w14:paraId="7A1F7D21">
      <w:pPr>
        <w:pStyle w:val="4"/>
        <w:keepNext w:val="0"/>
        <w:keepLines w:val="0"/>
        <w:pageBreakBefore w:val="0"/>
        <w:widowControl w:val="0"/>
        <w:numPr>
          <w:ilvl w:val="0"/>
          <w:numId w:val="0"/>
        </w:numPr>
        <w:kinsoku/>
        <w:wordWrap/>
        <w:overflowPunct/>
        <w:topLinePunct w:val="0"/>
        <w:autoSpaceDE/>
        <w:autoSpaceDN/>
        <w:bidi w:val="0"/>
        <w:adjustRightInd/>
        <w:snapToGrid/>
        <w:spacing w:before="100" w:after="100" w:line="240" w:lineRule="auto"/>
        <w:ind w:left="420" w:leftChars="0" w:hanging="420" w:firstLineChars="0"/>
        <w:textAlignment w:val="auto"/>
        <w:rPr>
          <w:rFonts w:hint="eastAsia" w:ascii="宋体" w:hAnsi="宋体" w:eastAsia="宋体" w:cstheme="minorBidi"/>
          <w:b/>
          <w:bCs/>
          <w:color w:val="auto"/>
          <w:kern w:val="2"/>
          <w:sz w:val="24"/>
          <w:szCs w:val="32"/>
          <w:highlight w:val="none"/>
          <w:lang w:val="en-US" w:eastAsia="zh-CN" w:bidi="ar-SA"/>
        </w:rPr>
      </w:pPr>
      <w:bookmarkStart w:id="307" w:name="_Toc8249"/>
      <w:bookmarkStart w:id="308" w:name="_Toc140132789"/>
      <w:bookmarkStart w:id="309" w:name="_Toc14198"/>
      <w:bookmarkStart w:id="310" w:name="_Toc155185878"/>
      <w:bookmarkStart w:id="311" w:name="_Toc30290"/>
      <w:bookmarkStart w:id="312" w:name="_Toc163492856"/>
      <w:bookmarkStart w:id="313" w:name="_Toc31247"/>
      <w:r>
        <w:rPr>
          <w:rFonts w:hint="eastAsia" w:ascii="宋体" w:hAnsi="宋体" w:eastAsia="宋体" w:cstheme="minorBidi"/>
          <w:b/>
          <w:bCs/>
          <w:color w:val="auto"/>
          <w:kern w:val="2"/>
          <w:sz w:val="24"/>
          <w:szCs w:val="32"/>
          <w:highlight w:val="none"/>
          <w:lang w:val="en-US" w:eastAsia="zh-CN" w:bidi="ar-SA"/>
        </w:rPr>
        <w:t>（七）评标</w:t>
      </w:r>
      <w:bookmarkEnd w:id="307"/>
      <w:bookmarkEnd w:id="308"/>
      <w:bookmarkEnd w:id="309"/>
      <w:bookmarkEnd w:id="310"/>
      <w:bookmarkEnd w:id="311"/>
      <w:bookmarkEnd w:id="312"/>
      <w:bookmarkEnd w:id="313"/>
    </w:p>
    <w:p w14:paraId="7EBE7ABE">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color w:val="auto"/>
          <w:kern w:val="2"/>
          <w:sz w:val="24"/>
          <w:szCs w:val="28"/>
          <w:highlight w:val="none"/>
          <w:lang w:val="en-US" w:eastAsia="zh-CN" w:bidi="ar-SA"/>
        </w:rPr>
      </w:pPr>
      <w:bookmarkStart w:id="314" w:name="_Toc32434"/>
      <w:bookmarkStart w:id="315" w:name="_Toc4659"/>
      <w:bookmarkStart w:id="316" w:name="_Toc20462"/>
      <w:bookmarkStart w:id="317" w:name="_Toc140132790"/>
      <w:bookmarkStart w:id="318" w:name="_Toc16858"/>
      <w:bookmarkStart w:id="319" w:name="_Toc163492857"/>
      <w:r>
        <w:rPr>
          <w:rFonts w:hint="eastAsia" w:ascii="宋体" w:hAnsi="宋体" w:eastAsia="宋体" w:cs="宋体"/>
          <w:b/>
          <w:bCs/>
          <w:color w:val="auto"/>
          <w:kern w:val="2"/>
          <w:sz w:val="24"/>
          <w:szCs w:val="28"/>
          <w:highlight w:val="none"/>
          <w:lang w:val="en-US" w:eastAsia="zh-CN" w:bidi="ar-SA"/>
        </w:rPr>
        <w:t>28.评标委员会</w:t>
      </w:r>
      <w:bookmarkEnd w:id="314"/>
      <w:bookmarkEnd w:id="315"/>
      <w:bookmarkEnd w:id="316"/>
      <w:bookmarkEnd w:id="317"/>
      <w:bookmarkEnd w:id="318"/>
      <w:bookmarkEnd w:id="319"/>
    </w:p>
    <w:p w14:paraId="1EA2B13D">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olor w:val="auto"/>
          <w:sz w:val="24"/>
          <w:highlight w:val="none"/>
        </w:rPr>
      </w:pPr>
      <w:r>
        <w:rPr>
          <w:rFonts w:ascii="宋体" w:hAnsi="宋体" w:eastAsia="宋体"/>
          <w:color w:val="auto"/>
          <w:sz w:val="24"/>
          <w:highlight w:val="none"/>
        </w:rPr>
        <w:t>2</w:t>
      </w:r>
      <w:r>
        <w:rPr>
          <w:rFonts w:hint="eastAsia" w:ascii="宋体" w:hAnsi="宋体" w:eastAsia="宋体"/>
          <w:color w:val="auto"/>
          <w:sz w:val="24"/>
          <w:highlight w:val="none"/>
          <w:lang w:val="en-US" w:eastAsia="zh-CN"/>
        </w:rPr>
        <w:t>8</w:t>
      </w:r>
      <w:r>
        <w:rPr>
          <w:rFonts w:hint="eastAsia" w:ascii="宋体" w:hAnsi="宋体" w:eastAsia="宋体"/>
          <w:color w:val="auto"/>
          <w:sz w:val="24"/>
          <w:highlight w:val="none"/>
        </w:rPr>
        <w:t>.1 评标由采购人依法组建的评标委员会负责。评标委员会由采购人代表和评审专家组成</w:t>
      </w:r>
      <w:r>
        <w:rPr>
          <w:rFonts w:hint="eastAsia" w:ascii="宋体" w:hAnsi="宋体" w:eastAsia="宋体"/>
          <w:color w:val="auto"/>
          <w:sz w:val="24"/>
          <w:highlight w:val="none"/>
          <w:lang w:eastAsia="zh-CN"/>
        </w:rPr>
        <w:t>，</w:t>
      </w:r>
      <w:r>
        <w:rPr>
          <w:rFonts w:hint="eastAsia" w:ascii="宋体" w:hAnsi="宋体" w:eastAsia="宋体"/>
          <w:color w:val="auto"/>
          <w:sz w:val="24"/>
          <w:highlight w:val="none"/>
          <w:lang w:val="en-US" w:eastAsia="zh-CN"/>
        </w:rPr>
        <w:t>成员人数应当为5</w:t>
      </w:r>
      <w:r>
        <w:rPr>
          <w:rFonts w:hint="eastAsia" w:ascii="宋体" w:hAnsi="宋体" w:eastAsia="宋体"/>
          <w:color w:val="auto"/>
          <w:sz w:val="24"/>
          <w:highlight w:val="none"/>
        </w:rPr>
        <w:t>人以上单数，其中</w:t>
      </w:r>
      <w:r>
        <w:rPr>
          <w:rFonts w:hint="eastAsia" w:ascii="宋体" w:hAnsi="宋体" w:eastAsia="宋体"/>
          <w:color w:val="auto"/>
          <w:sz w:val="24"/>
          <w:highlight w:val="none"/>
          <w:lang w:val="en-US" w:eastAsia="zh-CN"/>
        </w:rPr>
        <w:t>评审</w:t>
      </w:r>
      <w:r>
        <w:rPr>
          <w:rFonts w:hint="eastAsia" w:ascii="宋体" w:hAnsi="宋体" w:eastAsia="宋体"/>
          <w:color w:val="auto"/>
          <w:sz w:val="24"/>
          <w:highlight w:val="none"/>
        </w:rPr>
        <w:t>专家不</w:t>
      </w:r>
      <w:r>
        <w:rPr>
          <w:rFonts w:hint="eastAsia" w:ascii="宋体" w:hAnsi="宋体" w:eastAsia="宋体"/>
          <w:color w:val="auto"/>
          <w:sz w:val="24"/>
          <w:highlight w:val="none"/>
          <w:lang w:val="en-US" w:eastAsia="zh-CN"/>
        </w:rPr>
        <w:t>得</w:t>
      </w:r>
      <w:r>
        <w:rPr>
          <w:rFonts w:hint="eastAsia" w:ascii="宋体" w:hAnsi="宋体" w:eastAsia="宋体"/>
          <w:color w:val="auto"/>
          <w:sz w:val="24"/>
          <w:highlight w:val="none"/>
        </w:rPr>
        <w:t>少于</w:t>
      </w:r>
      <w:r>
        <w:rPr>
          <w:rFonts w:hint="eastAsia" w:ascii="宋体" w:hAnsi="宋体" w:eastAsia="宋体"/>
          <w:color w:val="auto"/>
          <w:sz w:val="24"/>
          <w:highlight w:val="none"/>
          <w:lang w:val="en-US" w:eastAsia="zh-CN"/>
        </w:rPr>
        <w:t>成员总数的</w:t>
      </w:r>
      <w:r>
        <w:rPr>
          <w:rFonts w:hint="eastAsia" w:ascii="宋体" w:hAnsi="宋体" w:eastAsia="宋体"/>
          <w:color w:val="auto"/>
          <w:sz w:val="24"/>
          <w:highlight w:val="none"/>
        </w:rPr>
        <w:t>三分之二。</w:t>
      </w:r>
      <w:r>
        <w:rPr>
          <w:rFonts w:hint="default" w:ascii="宋体" w:hAnsi="宋体" w:eastAsia="宋体"/>
          <w:color w:val="auto"/>
          <w:sz w:val="24"/>
          <w:highlight w:val="none"/>
          <w:lang w:val="en-US" w:eastAsia="zh-CN"/>
        </w:rPr>
        <w:t>采购人或者采购代理机构应当从省级以上财政部门设立的政府采购评审专家库中，通过随机方式抽取评审专家。</w:t>
      </w:r>
    </w:p>
    <w:p w14:paraId="32DE7801">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olor w:val="auto"/>
          <w:sz w:val="24"/>
          <w:highlight w:val="none"/>
        </w:rPr>
      </w:pPr>
      <w:r>
        <w:rPr>
          <w:rFonts w:hint="eastAsia" w:ascii="宋体" w:hAnsi="宋体" w:eastAsia="宋体"/>
          <w:color w:val="auto"/>
          <w:sz w:val="24"/>
          <w:highlight w:val="none"/>
          <w:lang w:val="en-US" w:eastAsia="zh-CN"/>
        </w:rPr>
        <w:t xml:space="preserve">28.2 </w:t>
      </w:r>
      <w:r>
        <w:rPr>
          <w:rFonts w:ascii="宋体" w:hAnsi="宋体" w:eastAsia="宋体"/>
          <w:color w:val="auto"/>
          <w:sz w:val="24"/>
          <w:highlight w:val="none"/>
          <w:lang w:val="en-US" w:eastAsia="zh-CN"/>
        </w:rPr>
        <w:t>采购项目符合下列情形之一的，评标委员会成员人数应当为</w:t>
      </w:r>
      <w:r>
        <w:rPr>
          <w:rFonts w:hint="default" w:ascii="宋体" w:hAnsi="宋体" w:eastAsia="宋体"/>
          <w:color w:val="auto"/>
          <w:sz w:val="24"/>
          <w:highlight w:val="none"/>
          <w:lang w:val="en-US" w:eastAsia="zh-CN"/>
        </w:rPr>
        <w:t>7人以上单数：</w:t>
      </w:r>
    </w:p>
    <w:p w14:paraId="05C639B0">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olor w:val="auto"/>
          <w:sz w:val="24"/>
          <w:highlight w:val="none"/>
        </w:rPr>
      </w:pPr>
      <w:r>
        <w:rPr>
          <w:rFonts w:hint="default" w:ascii="宋体" w:hAnsi="宋体" w:eastAsia="宋体"/>
          <w:color w:val="auto"/>
          <w:sz w:val="24"/>
          <w:highlight w:val="none"/>
          <w:lang w:val="en-US" w:eastAsia="zh-CN"/>
        </w:rPr>
        <w:t>（</w:t>
      </w:r>
      <w:r>
        <w:rPr>
          <w:rFonts w:hint="eastAsia" w:ascii="宋体" w:hAnsi="宋体" w:eastAsia="宋体"/>
          <w:color w:val="auto"/>
          <w:sz w:val="24"/>
          <w:highlight w:val="none"/>
          <w:lang w:val="en-US" w:eastAsia="zh-CN"/>
        </w:rPr>
        <w:t>1</w:t>
      </w:r>
      <w:r>
        <w:rPr>
          <w:rFonts w:hint="default" w:ascii="宋体" w:hAnsi="宋体" w:eastAsia="宋体"/>
          <w:color w:val="auto"/>
          <w:sz w:val="24"/>
          <w:highlight w:val="none"/>
          <w:lang w:val="en-US" w:eastAsia="zh-CN"/>
        </w:rPr>
        <w:t>）采购预算金额在1000万元以上；</w:t>
      </w:r>
    </w:p>
    <w:p w14:paraId="67DFE620">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olor w:val="auto"/>
          <w:sz w:val="24"/>
          <w:highlight w:val="none"/>
        </w:rPr>
      </w:pPr>
      <w:r>
        <w:rPr>
          <w:rFonts w:hint="default" w:ascii="宋体" w:hAnsi="宋体" w:eastAsia="宋体"/>
          <w:color w:val="auto"/>
          <w:sz w:val="24"/>
          <w:highlight w:val="none"/>
          <w:lang w:val="en-US" w:eastAsia="zh-CN"/>
        </w:rPr>
        <w:t>（</w:t>
      </w:r>
      <w:r>
        <w:rPr>
          <w:rFonts w:hint="eastAsia" w:ascii="宋体" w:hAnsi="宋体" w:eastAsia="宋体"/>
          <w:color w:val="auto"/>
          <w:sz w:val="24"/>
          <w:highlight w:val="none"/>
          <w:lang w:val="en-US" w:eastAsia="zh-CN"/>
        </w:rPr>
        <w:t>2</w:t>
      </w:r>
      <w:r>
        <w:rPr>
          <w:rFonts w:hint="default" w:ascii="宋体" w:hAnsi="宋体" w:eastAsia="宋体"/>
          <w:color w:val="auto"/>
          <w:sz w:val="24"/>
          <w:highlight w:val="none"/>
          <w:lang w:val="en-US" w:eastAsia="zh-CN"/>
        </w:rPr>
        <w:t>）技术复杂；</w:t>
      </w:r>
    </w:p>
    <w:p w14:paraId="6B9FB10B">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olor w:val="auto"/>
          <w:sz w:val="24"/>
          <w:highlight w:val="none"/>
        </w:rPr>
      </w:pPr>
      <w:r>
        <w:rPr>
          <w:rFonts w:hint="default" w:ascii="宋体" w:hAnsi="宋体" w:eastAsia="宋体"/>
          <w:color w:val="auto"/>
          <w:sz w:val="24"/>
          <w:highlight w:val="none"/>
          <w:lang w:val="en-US" w:eastAsia="zh-CN"/>
        </w:rPr>
        <w:t>（</w:t>
      </w:r>
      <w:r>
        <w:rPr>
          <w:rFonts w:hint="eastAsia" w:ascii="宋体" w:hAnsi="宋体" w:eastAsia="宋体"/>
          <w:color w:val="auto"/>
          <w:sz w:val="24"/>
          <w:highlight w:val="none"/>
          <w:lang w:val="en-US" w:eastAsia="zh-CN"/>
        </w:rPr>
        <w:t>3</w:t>
      </w:r>
      <w:r>
        <w:rPr>
          <w:rFonts w:hint="default" w:ascii="宋体" w:hAnsi="宋体" w:eastAsia="宋体"/>
          <w:color w:val="auto"/>
          <w:sz w:val="24"/>
          <w:highlight w:val="none"/>
          <w:lang w:val="en-US" w:eastAsia="zh-CN"/>
        </w:rPr>
        <w:t>）社会影响较大。</w:t>
      </w:r>
    </w:p>
    <w:p w14:paraId="4590A674">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olor w:val="auto"/>
          <w:sz w:val="24"/>
          <w:highlight w:val="none"/>
        </w:rPr>
      </w:pPr>
      <w:r>
        <w:rPr>
          <w:rFonts w:hint="eastAsia" w:ascii="宋体" w:hAnsi="宋体" w:eastAsia="宋体"/>
          <w:color w:val="auto"/>
          <w:sz w:val="24"/>
          <w:highlight w:val="none"/>
          <w:lang w:val="en-US" w:eastAsia="zh-CN"/>
        </w:rPr>
        <w:t>28.3</w:t>
      </w:r>
      <w:r>
        <w:rPr>
          <w:rFonts w:hint="default" w:ascii="宋体" w:hAnsi="宋体" w:eastAsia="宋体"/>
          <w:color w:val="auto"/>
          <w:sz w:val="24"/>
          <w:highlight w:val="none"/>
          <w:lang w:val="en-US" w:eastAsia="zh-CN"/>
        </w:rPr>
        <w:t>评审专家对本单位的采购项目只能作为采购人代表参与评标，对技术复杂、专业性强的采购项目，通过随机方式难以确定合适评审专家的，经主管预算单位同意，采购人可以自行选定相应专业领域的评审专家。采购代理机构工作人员不得参加由本机构代理的政府采购项目的评标。</w:t>
      </w:r>
    </w:p>
    <w:p w14:paraId="16E92807">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olor w:val="auto"/>
          <w:sz w:val="24"/>
          <w:highlight w:val="none"/>
        </w:rPr>
      </w:pPr>
      <w:r>
        <w:rPr>
          <w:rFonts w:hint="eastAsia" w:ascii="宋体" w:hAnsi="宋体" w:eastAsia="宋体"/>
          <w:color w:val="auto"/>
          <w:sz w:val="24"/>
          <w:highlight w:val="none"/>
          <w:lang w:val="en-US" w:eastAsia="zh-CN"/>
        </w:rPr>
        <w:t>28.4</w:t>
      </w:r>
      <w:r>
        <w:rPr>
          <w:rFonts w:hint="default" w:ascii="宋体" w:hAnsi="宋体" w:eastAsia="宋体"/>
          <w:color w:val="auto"/>
          <w:sz w:val="24"/>
          <w:highlight w:val="none"/>
          <w:lang w:val="en-US" w:eastAsia="zh-CN"/>
        </w:rPr>
        <w:t>评标委员会成员名单在评标结果公告前应当保密。</w:t>
      </w:r>
    </w:p>
    <w:p w14:paraId="2F8842E2">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olor w:val="auto"/>
          <w:sz w:val="24"/>
          <w:highlight w:val="none"/>
          <w:lang w:val="en-US" w:eastAsia="zh-CN"/>
        </w:rPr>
      </w:pPr>
      <w:r>
        <w:rPr>
          <w:rFonts w:hint="eastAsia" w:ascii="宋体" w:hAnsi="宋体" w:eastAsia="宋体"/>
          <w:color w:val="auto"/>
          <w:sz w:val="24"/>
          <w:highlight w:val="none"/>
          <w:lang w:val="en-US" w:eastAsia="zh-CN"/>
        </w:rPr>
        <w:t>28.5</w:t>
      </w:r>
      <w:r>
        <w:rPr>
          <w:rFonts w:hint="default" w:ascii="宋体" w:hAnsi="宋体" w:eastAsia="宋体"/>
          <w:color w:val="auto"/>
          <w:sz w:val="24"/>
          <w:highlight w:val="none"/>
          <w:lang w:val="en-US" w:eastAsia="zh-CN"/>
        </w:rPr>
        <w:t>评标中因评标委员会成员缺席、回避或者健康等特殊原因导致评标委员会组成不符合本办法规定的，采购人或者采购代理机构应当依法补足后继续评标。被更换的评标委员会成员所作出的评标意见无效。</w:t>
      </w:r>
    </w:p>
    <w:p w14:paraId="28948BF7">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color w:val="auto"/>
          <w:sz w:val="24"/>
          <w:highlight w:val="none"/>
          <w:lang w:val="en-US" w:eastAsia="zh-CN"/>
        </w:rPr>
      </w:pPr>
      <w:r>
        <w:rPr>
          <w:rFonts w:hint="eastAsia" w:ascii="宋体" w:hAnsi="宋体" w:eastAsia="宋体"/>
          <w:color w:val="auto"/>
          <w:sz w:val="24"/>
          <w:highlight w:val="none"/>
          <w:lang w:val="en-US" w:eastAsia="zh-CN"/>
        </w:rPr>
        <w:t>28.6</w:t>
      </w:r>
      <w:r>
        <w:rPr>
          <w:rFonts w:hint="default" w:ascii="宋体" w:hAnsi="宋体" w:eastAsia="宋体"/>
          <w:color w:val="auto"/>
          <w:sz w:val="24"/>
          <w:highlight w:val="none"/>
          <w:lang w:val="en-US" w:eastAsia="zh-CN"/>
        </w:rPr>
        <w:t>无法及时补足评标委员会成员的，采购人或者采购代理机构应当停止评标活动，封存所有投标文件和开标、评标资料，依法重新组建评标委员会进行评标。原评标委员会所作出的评标意见无效。</w:t>
      </w:r>
    </w:p>
    <w:p w14:paraId="301CAD81">
      <w:pPr>
        <w:pStyle w:val="40"/>
        <w:keepNext w:val="0"/>
        <w:keepLines w:val="0"/>
        <w:pageBreakBefore w:val="0"/>
        <w:widowControl w:val="0"/>
        <w:kinsoku/>
        <w:overflowPunct/>
        <w:topLinePunct w:val="0"/>
        <w:autoSpaceDE/>
        <w:autoSpaceDN/>
        <w:bidi w:val="0"/>
        <w:adjustRightInd/>
        <w:textAlignment w:val="auto"/>
        <w:rPr>
          <w:rFonts w:eastAsia="宋体"/>
          <w:color w:val="auto"/>
          <w:sz w:val="24"/>
          <w:highlight w:val="none"/>
        </w:rPr>
      </w:pPr>
      <w:r>
        <w:rPr>
          <w:rFonts w:eastAsia="宋体"/>
          <w:color w:val="auto"/>
          <w:sz w:val="24"/>
          <w:highlight w:val="none"/>
        </w:rPr>
        <w:t>2</w:t>
      </w:r>
      <w:r>
        <w:rPr>
          <w:rFonts w:hint="eastAsia" w:eastAsia="宋体"/>
          <w:color w:val="auto"/>
          <w:sz w:val="24"/>
          <w:highlight w:val="none"/>
          <w:lang w:val="en-US" w:eastAsia="zh-CN"/>
        </w:rPr>
        <w:t>8</w:t>
      </w:r>
      <w:r>
        <w:rPr>
          <w:rFonts w:hint="eastAsia" w:eastAsia="宋体"/>
          <w:color w:val="auto"/>
          <w:sz w:val="24"/>
          <w:highlight w:val="none"/>
        </w:rPr>
        <w:t>.</w:t>
      </w:r>
      <w:r>
        <w:rPr>
          <w:rFonts w:hint="eastAsia" w:eastAsia="宋体"/>
          <w:color w:val="auto"/>
          <w:sz w:val="24"/>
          <w:highlight w:val="none"/>
          <w:lang w:val="en-US" w:eastAsia="zh-CN"/>
        </w:rPr>
        <w:t>7</w:t>
      </w:r>
      <w:r>
        <w:rPr>
          <w:rFonts w:hint="eastAsia" w:eastAsia="宋体"/>
          <w:color w:val="auto"/>
          <w:sz w:val="24"/>
          <w:highlight w:val="none"/>
        </w:rPr>
        <w:t xml:space="preserve"> 评标委员会成员有下列情形之一的，应当回避：</w:t>
      </w:r>
    </w:p>
    <w:p w14:paraId="0656ACEF">
      <w:pPr>
        <w:pStyle w:val="40"/>
        <w:keepNext w:val="0"/>
        <w:keepLines w:val="0"/>
        <w:pageBreakBefore w:val="0"/>
        <w:widowControl w:val="0"/>
        <w:kinsoku/>
        <w:overflowPunct/>
        <w:topLinePunct w:val="0"/>
        <w:autoSpaceDE/>
        <w:autoSpaceDN/>
        <w:bidi w:val="0"/>
        <w:adjustRightInd/>
        <w:textAlignment w:val="auto"/>
        <w:rPr>
          <w:rFonts w:eastAsia="宋体"/>
          <w:color w:val="auto"/>
          <w:sz w:val="24"/>
          <w:highlight w:val="none"/>
        </w:rPr>
      </w:pPr>
      <w:r>
        <w:rPr>
          <w:rFonts w:hint="eastAsia" w:eastAsia="宋体"/>
          <w:color w:val="auto"/>
          <w:sz w:val="24"/>
          <w:highlight w:val="none"/>
        </w:rPr>
        <w:t>（1）参加采购活动前3年内与投标人存在劳动关系；</w:t>
      </w:r>
    </w:p>
    <w:p w14:paraId="55B6A1BF">
      <w:pPr>
        <w:pStyle w:val="40"/>
        <w:keepNext w:val="0"/>
        <w:keepLines w:val="0"/>
        <w:pageBreakBefore w:val="0"/>
        <w:widowControl w:val="0"/>
        <w:kinsoku/>
        <w:overflowPunct/>
        <w:topLinePunct w:val="0"/>
        <w:autoSpaceDE/>
        <w:autoSpaceDN/>
        <w:bidi w:val="0"/>
        <w:adjustRightInd/>
        <w:textAlignment w:val="auto"/>
        <w:rPr>
          <w:rFonts w:eastAsia="宋体"/>
          <w:color w:val="auto"/>
          <w:sz w:val="24"/>
          <w:highlight w:val="none"/>
        </w:rPr>
      </w:pPr>
      <w:r>
        <w:rPr>
          <w:rFonts w:hint="eastAsia" w:eastAsia="宋体"/>
          <w:color w:val="auto"/>
          <w:sz w:val="24"/>
          <w:highlight w:val="none"/>
        </w:rPr>
        <w:t>（2）参加采购活动前3年内担任投标人的董事、监事；</w:t>
      </w:r>
    </w:p>
    <w:p w14:paraId="61A1D2B8">
      <w:pPr>
        <w:pStyle w:val="40"/>
        <w:keepNext w:val="0"/>
        <w:keepLines w:val="0"/>
        <w:pageBreakBefore w:val="0"/>
        <w:widowControl w:val="0"/>
        <w:kinsoku/>
        <w:overflowPunct/>
        <w:topLinePunct w:val="0"/>
        <w:autoSpaceDE/>
        <w:autoSpaceDN/>
        <w:bidi w:val="0"/>
        <w:adjustRightInd/>
        <w:textAlignment w:val="auto"/>
        <w:rPr>
          <w:rFonts w:eastAsia="宋体"/>
          <w:color w:val="auto"/>
          <w:sz w:val="24"/>
          <w:highlight w:val="none"/>
        </w:rPr>
      </w:pPr>
      <w:r>
        <w:rPr>
          <w:rFonts w:hint="eastAsia" w:eastAsia="宋体"/>
          <w:color w:val="auto"/>
          <w:sz w:val="24"/>
          <w:highlight w:val="none"/>
        </w:rPr>
        <w:t>（3）参加采购活动前3年内是投标人的控股股东或实际控制人；</w:t>
      </w:r>
    </w:p>
    <w:p w14:paraId="2961D582">
      <w:pPr>
        <w:pStyle w:val="40"/>
        <w:keepNext w:val="0"/>
        <w:keepLines w:val="0"/>
        <w:pageBreakBefore w:val="0"/>
        <w:widowControl w:val="0"/>
        <w:kinsoku/>
        <w:overflowPunct/>
        <w:topLinePunct w:val="0"/>
        <w:autoSpaceDE/>
        <w:autoSpaceDN/>
        <w:bidi w:val="0"/>
        <w:adjustRightInd/>
        <w:textAlignment w:val="auto"/>
        <w:rPr>
          <w:rFonts w:eastAsia="宋体"/>
          <w:color w:val="auto"/>
          <w:sz w:val="24"/>
          <w:highlight w:val="none"/>
        </w:rPr>
      </w:pPr>
      <w:r>
        <w:rPr>
          <w:rFonts w:hint="eastAsia" w:eastAsia="宋体"/>
          <w:color w:val="auto"/>
          <w:sz w:val="24"/>
          <w:highlight w:val="none"/>
        </w:rPr>
        <w:t>（4）与投标人的法定代表人或者负责人有夫妻、直系血亲、三代以内旁系血亲或者近姻亲关系；</w:t>
      </w:r>
    </w:p>
    <w:p w14:paraId="20FB9B78">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rPr>
      </w:pPr>
      <w:r>
        <w:rPr>
          <w:rFonts w:hint="eastAsia" w:eastAsia="宋体"/>
          <w:color w:val="auto"/>
          <w:sz w:val="24"/>
          <w:highlight w:val="none"/>
        </w:rPr>
        <w:t>（5）与投标人有其他可能影响采购活动公平、公正进行的关系。</w:t>
      </w:r>
    </w:p>
    <w:p w14:paraId="25BEA5A7">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color w:val="auto"/>
          <w:kern w:val="2"/>
          <w:sz w:val="24"/>
          <w:szCs w:val="28"/>
          <w:highlight w:val="none"/>
          <w:lang w:val="en-US" w:eastAsia="zh-CN" w:bidi="ar-SA"/>
        </w:rPr>
      </w:pPr>
      <w:bookmarkStart w:id="320" w:name="_Toc15103"/>
      <w:bookmarkStart w:id="321" w:name="_Toc140132791"/>
      <w:bookmarkStart w:id="322" w:name="_Toc26969"/>
      <w:bookmarkStart w:id="323" w:name="_Toc23723"/>
      <w:bookmarkStart w:id="324" w:name="_Toc3667"/>
      <w:bookmarkStart w:id="325" w:name="_Toc163492858"/>
      <w:r>
        <w:rPr>
          <w:rFonts w:hint="eastAsia" w:ascii="宋体" w:hAnsi="宋体" w:eastAsia="宋体" w:cs="宋体"/>
          <w:b/>
          <w:bCs/>
          <w:color w:val="auto"/>
          <w:kern w:val="2"/>
          <w:sz w:val="24"/>
          <w:szCs w:val="28"/>
          <w:highlight w:val="none"/>
          <w:lang w:val="en-US" w:eastAsia="zh-CN" w:bidi="ar-SA"/>
        </w:rPr>
        <w:t>29.评标</w:t>
      </w:r>
      <w:bookmarkEnd w:id="320"/>
      <w:bookmarkEnd w:id="321"/>
      <w:bookmarkEnd w:id="322"/>
      <w:bookmarkEnd w:id="323"/>
      <w:bookmarkEnd w:id="324"/>
      <w:bookmarkEnd w:id="325"/>
    </w:p>
    <w:p w14:paraId="6D0B095D">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lang w:eastAsia="zh-CN"/>
        </w:rPr>
      </w:pPr>
      <w:r>
        <w:rPr>
          <w:rFonts w:hint="eastAsia" w:eastAsia="宋体"/>
          <w:color w:val="auto"/>
          <w:sz w:val="24"/>
          <w:highlight w:val="none"/>
          <w:lang w:val="en-US" w:eastAsia="zh-CN"/>
        </w:rPr>
        <w:t>29</w:t>
      </w:r>
      <w:r>
        <w:rPr>
          <w:rFonts w:hint="eastAsia" w:eastAsia="宋体"/>
          <w:color w:val="auto"/>
          <w:sz w:val="24"/>
          <w:highlight w:val="none"/>
        </w:rPr>
        <w:t>.1</w:t>
      </w:r>
      <w:r>
        <w:rPr>
          <w:rFonts w:hint="eastAsia" w:eastAsia="宋体"/>
          <w:color w:val="auto"/>
          <w:sz w:val="24"/>
          <w:highlight w:val="none"/>
          <w:lang w:val="en-US" w:eastAsia="zh-CN"/>
        </w:rPr>
        <w:t xml:space="preserve"> 评标方法分为综合评分法和</w:t>
      </w:r>
      <w:r>
        <w:rPr>
          <w:rFonts w:eastAsia="宋体"/>
          <w:color w:val="auto"/>
          <w:sz w:val="24"/>
          <w:highlight w:val="none"/>
        </w:rPr>
        <w:t>最低评标价法</w:t>
      </w:r>
      <w:r>
        <w:rPr>
          <w:rFonts w:hint="eastAsia" w:eastAsia="宋体"/>
          <w:color w:val="auto"/>
          <w:sz w:val="24"/>
          <w:highlight w:val="none"/>
          <w:lang w:eastAsia="zh-CN"/>
        </w:rPr>
        <w:t>，</w:t>
      </w:r>
      <w:r>
        <w:rPr>
          <w:rFonts w:eastAsia="宋体"/>
          <w:color w:val="auto"/>
          <w:sz w:val="24"/>
          <w:highlight w:val="none"/>
        </w:rPr>
        <w:t>本项目</w:t>
      </w:r>
      <w:r>
        <w:rPr>
          <w:rFonts w:hint="eastAsia" w:eastAsia="宋体"/>
          <w:color w:val="auto"/>
          <w:sz w:val="24"/>
          <w:highlight w:val="none"/>
        </w:rPr>
        <w:t>评标</w:t>
      </w:r>
      <w:r>
        <w:rPr>
          <w:rFonts w:hint="eastAsia" w:eastAsia="宋体"/>
          <w:color w:val="auto"/>
          <w:sz w:val="24"/>
          <w:highlight w:val="none"/>
          <w:lang w:val="en-US" w:eastAsia="zh-CN"/>
        </w:rPr>
        <w:t>方法详见</w:t>
      </w:r>
      <w:r>
        <w:rPr>
          <w:rFonts w:hint="eastAsia" w:eastAsia="宋体"/>
          <w:color w:val="auto"/>
          <w:sz w:val="24"/>
          <w:highlight w:val="none"/>
        </w:rPr>
        <w:t>“投标人须知前附表”</w:t>
      </w:r>
      <w:r>
        <w:rPr>
          <w:rFonts w:hint="eastAsia" w:eastAsia="宋体"/>
          <w:color w:val="auto"/>
          <w:sz w:val="24"/>
          <w:highlight w:val="none"/>
          <w:lang w:eastAsia="zh-CN"/>
        </w:rPr>
        <w:t>。</w:t>
      </w:r>
    </w:p>
    <w:p w14:paraId="2BC22B3E">
      <w:pPr>
        <w:pStyle w:val="40"/>
        <w:rPr>
          <w:rFonts w:eastAsia="宋体"/>
          <w:color w:val="auto"/>
          <w:sz w:val="24"/>
          <w:highlight w:val="none"/>
        </w:rPr>
      </w:pPr>
      <w:r>
        <w:rPr>
          <w:rFonts w:eastAsia="宋体"/>
          <w:color w:val="auto"/>
          <w:sz w:val="24"/>
          <w:highlight w:val="none"/>
        </w:rPr>
        <w:t>2</w:t>
      </w:r>
      <w:r>
        <w:rPr>
          <w:rFonts w:hint="eastAsia" w:eastAsia="宋体"/>
          <w:color w:val="auto"/>
          <w:sz w:val="24"/>
          <w:highlight w:val="none"/>
          <w:lang w:val="en-US" w:eastAsia="zh-CN"/>
        </w:rPr>
        <w:t>9.1.1</w:t>
      </w:r>
      <w:r>
        <w:rPr>
          <w:rFonts w:eastAsia="宋体"/>
          <w:color w:val="auto"/>
          <w:sz w:val="24"/>
          <w:highlight w:val="none"/>
        </w:rPr>
        <w:t>综合评分法，是指投标文件满足招标文件全部实质性要求</w:t>
      </w:r>
      <w:r>
        <w:rPr>
          <w:rFonts w:hint="eastAsia" w:eastAsia="宋体"/>
          <w:color w:val="auto"/>
          <w:sz w:val="24"/>
          <w:highlight w:val="none"/>
          <w:lang w:eastAsia="zh-CN"/>
        </w:rPr>
        <w:t>，</w:t>
      </w:r>
      <w:r>
        <w:rPr>
          <w:rFonts w:eastAsia="宋体"/>
          <w:color w:val="auto"/>
          <w:sz w:val="24"/>
          <w:highlight w:val="none"/>
        </w:rPr>
        <w:t>且按照评审因素的量化指标评审得分最高的投标人为中标候选人的评标方法。</w:t>
      </w:r>
    </w:p>
    <w:p w14:paraId="0E3867EE">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lang w:val="en-US" w:eastAsia="zh-CN"/>
        </w:rPr>
      </w:pPr>
      <w:r>
        <w:rPr>
          <w:rFonts w:hint="eastAsia" w:eastAsia="宋体"/>
          <w:color w:val="auto"/>
          <w:sz w:val="24"/>
          <w:highlight w:val="none"/>
          <w:lang w:val="en-US" w:eastAsia="zh-CN"/>
        </w:rPr>
        <w:t>29.1.2.</w:t>
      </w:r>
      <w:r>
        <w:rPr>
          <w:rFonts w:eastAsia="宋体"/>
          <w:color w:val="auto"/>
          <w:sz w:val="24"/>
          <w:highlight w:val="none"/>
        </w:rPr>
        <w:t>最低评标价法，是指投标文件满足招标文件全部实质性要求</w:t>
      </w:r>
      <w:r>
        <w:rPr>
          <w:rFonts w:hint="eastAsia" w:eastAsia="宋体"/>
          <w:color w:val="auto"/>
          <w:sz w:val="24"/>
          <w:highlight w:val="none"/>
          <w:lang w:eastAsia="zh-CN"/>
        </w:rPr>
        <w:t>，</w:t>
      </w:r>
      <w:r>
        <w:rPr>
          <w:rFonts w:eastAsia="宋体"/>
          <w:color w:val="auto"/>
          <w:sz w:val="24"/>
          <w:highlight w:val="none"/>
        </w:rPr>
        <w:t>且投标报价最低的投标人为中标候选人的评标方法。</w:t>
      </w:r>
    </w:p>
    <w:p w14:paraId="418DE4CD">
      <w:pPr>
        <w:pStyle w:val="40"/>
        <w:keepNext w:val="0"/>
        <w:keepLines w:val="0"/>
        <w:pageBreakBefore w:val="0"/>
        <w:widowControl w:val="0"/>
        <w:kinsoku/>
        <w:overflowPunct/>
        <w:topLinePunct w:val="0"/>
        <w:autoSpaceDE/>
        <w:autoSpaceDN/>
        <w:bidi w:val="0"/>
        <w:adjustRightInd/>
        <w:textAlignment w:val="auto"/>
        <w:rPr>
          <w:rFonts w:eastAsia="宋体"/>
          <w:color w:val="auto"/>
          <w:sz w:val="24"/>
          <w:highlight w:val="none"/>
        </w:rPr>
      </w:pPr>
      <w:r>
        <w:rPr>
          <w:rFonts w:hint="eastAsia" w:eastAsia="宋体"/>
          <w:color w:val="auto"/>
          <w:sz w:val="24"/>
          <w:highlight w:val="none"/>
          <w:lang w:val="en-US" w:eastAsia="zh-CN"/>
        </w:rPr>
        <w:t>29</w:t>
      </w:r>
      <w:r>
        <w:rPr>
          <w:rFonts w:hint="eastAsia" w:eastAsia="宋体"/>
          <w:color w:val="auto"/>
          <w:sz w:val="24"/>
          <w:highlight w:val="none"/>
        </w:rPr>
        <w:t>.</w:t>
      </w:r>
      <w:r>
        <w:rPr>
          <w:rFonts w:hint="eastAsia" w:eastAsia="宋体"/>
          <w:color w:val="auto"/>
          <w:sz w:val="24"/>
          <w:highlight w:val="none"/>
          <w:lang w:val="en-US" w:eastAsia="zh-CN"/>
        </w:rPr>
        <w:t xml:space="preserve">2 </w:t>
      </w:r>
      <w:r>
        <w:rPr>
          <w:rFonts w:hint="eastAsia" w:eastAsia="宋体"/>
          <w:color w:val="auto"/>
          <w:sz w:val="24"/>
          <w:highlight w:val="none"/>
        </w:rPr>
        <w:t>评标委员会按照“第五章</w:t>
      </w:r>
      <w:r>
        <w:rPr>
          <w:rFonts w:hint="eastAsia" w:eastAsia="宋体"/>
          <w:color w:val="auto"/>
          <w:sz w:val="24"/>
          <w:highlight w:val="none"/>
          <w:lang w:val="en-US" w:eastAsia="zh-CN"/>
        </w:rPr>
        <w:t xml:space="preserve"> </w:t>
      </w:r>
      <w:r>
        <w:rPr>
          <w:rFonts w:hint="eastAsia" w:eastAsia="宋体"/>
          <w:color w:val="auto"/>
          <w:sz w:val="24"/>
          <w:highlight w:val="none"/>
        </w:rPr>
        <w:t>评标</w:t>
      </w:r>
      <w:r>
        <w:rPr>
          <w:rFonts w:hint="eastAsia" w:eastAsia="宋体"/>
          <w:color w:val="auto"/>
          <w:sz w:val="24"/>
          <w:highlight w:val="none"/>
          <w:lang w:val="en-US" w:eastAsia="zh-CN"/>
        </w:rPr>
        <w:t>方</w:t>
      </w:r>
      <w:r>
        <w:rPr>
          <w:rFonts w:hint="eastAsia" w:eastAsia="宋体"/>
          <w:color w:val="auto"/>
          <w:sz w:val="24"/>
          <w:highlight w:val="none"/>
        </w:rPr>
        <w:t>法及标准”</w:t>
      </w:r>
      <w:r>
        <w:rPr>
          <w:rFonts w:hint="eastAsia" w:eastAsia="宋体"/>
          <w:color w:val="auto"/>
          <w:sz w:val="24"/>
          <w:highlight w:val="none"/>
          <w:lang w:val="en-US" w:eastAsia="zh-CN"/>
        </w:rPr>
        <w:t>的</w:t>
      </w:r>
      <w:r>
        <w:rPr>
          <w:rFonts w:hint="eastAsia" w:eastAsia="宋体"/>
          <w:color w:val="auto"/>
          <w:sz w:val="24"/>
          <w:highlight w:val="none"/>
        </w:rPr>
        <w:t>规定对投标文件进行评审。“第五章</w:t>
      </w:r>
      <w:r>
        <w:rPr>
          <w:rFonts w:hint="eastAsia" w:eastAsia="宋体"/>
          <w:color w:val="auto"/>
          <w:sz w:val="24"/>
          <w:highlight w:val="none"/>
          <w:lang w:val="en-US" w:eastAsia="zh-CN"/>
        </w:rPr>
        <w:t xml:space="preserve"> </w:t>
      </w:r>
      <w:r>
        <w:rPr>
          <w:rFonts w:hint="eastAsia" w:eastAsia="宋体"/>
          <w:color w:val="auto"/>
          <w:sz w:val="24"/>
          <w:highlight w:val="none"/>
        </w:rPr>
        <w:t>评标</w:t>
      </w:r>
      <w:r>
        <w:rPr>
          <w:rFonts w:hint="eastAsia" w:eastAsia="宋体"/>
          <w:color w:val="auto"/>
          <w:sz w:val="24"/>
          <w:highlight w:val="none"/>
          <w:lang w:val="en-US" w:eastAsia="zh-CN"/>
        </w:rPr>
        <w:t>方</w:t>
      </w:r>
      <w:r>
        <w:rPr>
          <w:rFonts w:hint="eastAsia" w:eastAsia="宋体"/>
          <w:color w:val="auto"/>
          <w:sz w:val="24"/>
          <w:highlight w:val="none"/>
        </w:rPr>
        <w:t>法及标准”没有规定的方法、评审因素和标准，不作为评标依据。</w:t>
      </w:r>
    </w:p>
    <w:p w14:paraId="1A9007D8">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rPr>
      </w:pPr>
      <w:r>
        <w:rPr>
          <w:rFonts w:hint="eastAsia" w:eastAsia="宋体"/>
          <w:color w:val="auto"/>
          <w:sz w:val="24"/>
          <w:highlight w:val="none"/>
          <w:lang w:val="en-US" w:eastAsia="zh-CN"/>
        </w:rPr>
        <w:t>29</w:t>
      </w:r>
      <w:r>
        <w:rPr>
          <w:rFonts w:hint="eastAsia" w:eastAsia="宋体"/>
          <w:color w:val="auto"/>
          <w:sz w:val="24"/>
          <w:highlight w:val="none"/>
        </w:rPr>
        <w:t>.</w:t>
      </w:r>
      <w:r>
        <w:rPr>
          <w:rFonts w:hint="eastAsia" w:eastAsia="宋体"/>
          <w:color w:val="auto"/>
          <w:sz w:val="24"/>
          <w:highlight w:val="none"/>
          <w:lang w:val="en-US" w:eastAsia="zh-CN"/>
        </w:rPr>
        <w:t xml:space="preserve">3 </w:t>
      </w:r>
      <w:r>
        <w:rPr>
          <w:rFonts w:hint="eastAsia" w:eastAsia="宋体"/>
          <w:color w:val="auto"/>
          <w:sz w:val="24"/>
          <w:highlight w:val="none"/>
        </w:rPr>
        <w:t>评标委员会按“投标人须知前附表”规定的中标候选人数量在评标报告中向采购人推荐中标候选人。</w:t>
      </w:r>
    </w:p>
    <w:p w14:paraId="1E63454C">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lang w:val="en-US" w:eastAsia="zh-CN"/>
        </w:rPr>
      </w:pPr>
      <w:r>
        <w:rPr>
          <w:rFonts w:hint="eastAsia" w:eastAsia="宋体"/>
          <w:color w:val="auto"/>
          <w:sz w:val="24"/>
          <w:highlight w:val="none"/>
          <w:lang w:val="en-US" w:eastAsia="zh-CN"/>
        </w:rPr>
        <w:t>29.4 开标之后，直到签订合同止，凡是属于审查、澄清、评价和比较投标的有关资料以及定标意向等，均不得向投标人或者其他与评标无关的人员透露。</w:t>
      </w:r>
    </w:p>
    <w:p w14:paraId="57927CBE">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lang w:val="en-US" w:eastAsia="zh-CN"/>
        </w:rPr>
      </w:pPr>
      <w:r>
        <w:rPr>
          <w:rFonts w:hint="eastAsia" w:eastAsia="宋体"/>
          <w:color w:val="auto"/>
          <w:sz w:val="24"/>
          <w:highlight w:val="none"/>
          <w:lang w:val="en-US" w:eastAsia="zh-CN"/>
        </w:rPr>
        <w:t>29.5 在确定中标人之前，投标人试图在投标文件审查、澄清、比较和评标时对评标委员会、采购人和采购代理机构施加任何影响都可能导致其</w:t>
      </w:r>
      <w:r>
        <w:rPr>
          <w:rFonts w:hint="eastAsia" w:eastAsia="宋体"/>
          <w:b/>
          <w:bCs/>
          <w:color w:val="auto"/>
          <w:sz w:val="24"/>
          <w:highlight w:val="none"/>
          <w:lang w:val="en-US" w:eastAsia="zh-CN"/>
        </w:rPr>
        <w:t>投标无效</w:t>
      </w:r>
      <w:r>
        <w:rPr>
          <w:rFonts w:hint="eastAsia" w:eastAsia="宋体"/>
          <w:color w:val="auto"/>
          <w:sz w:val="24"/>
          <w:highlight w:val="none"/>
          <w:lang w:val="en-US" w:eastAsia="zh-CN"/>
        </w:rPr>
        <w:t>。</w:t>
      </w:r>
    </w:p>
    <w:p w14:paraId="32A32003">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lang w:val="en-US" w:eastAsia="zh-CN"/>
        </w:rPr>
      </w:pPr>
      <w:r>
        <w:rPr>
          <w:rFonts w:hint="eastAsia" w:eastAsia="宋体"/>
          <w:color w:val="auto"/>
          <w:sz w:val="24"/>
          <w:highlight w:val="none"/>
          <w:lang w:val="en-US" w:eastAsia="zh-CN"/>
        </w:rPr>
        <w:t>29.6 电子招投标的应急措施</w:t>
      </w:r>
    </w:p>
    <w:p w14:paraId="52525CD6">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lang w:val="en-US" w:eastAsia="zh-CN"/>
        </w:rPr>
      </w:pPr>
      <w:r>
        <w:rPr>
          <w:rFonts w:hint="eastAsia" w:eastAsia="宋体"/>
          <w:color w:val="auto"/>
          <w:sz w:val="24"/>
          <w:highlight w:val="none"/>
          <w:lang w:val="en-US" w:eastAsia="zh-CN"/>
        </w:rPr>
        <w:t>29.6.1电子开标、评标如出现下列原因，导致系统无法正常运行或无法正常评标时，应采取应急措施。</w:t>
      </w:r>
    </w:p>
    <w:p w14:paraId="3D99F562">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lang w:val="en-US" w:eastAsia="zh-CN"/>
        </w:rPr>
      </w:pPr>
      <w:r>
        <w:rPr>
          <w:rFonts w:hint="eastAsia" w:eastAsia="宋体"/>
          <w:color w:val="auto"/>
          <w:sz w:val="24"/>
          <w:highlight w:val="none"/>
          <w:lang w:val="en-US" w:eastAsia="zh-CN"/>
        </w:rPr>
        <w:t>（1）系统服务器发生故障，无法访问或无法使用系统；</w:t>
      </w:r>
    </w:p>
    <w:p w14:paraId="518B308A">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lang w:val="en-US" w:eastAsia="zh-CN"/>
        </w:rPr>
      </w:pPr>
      <w:r>
        <w:rPr>
          <w:rFonts w:hint="eastAsia" w:eastAsia="宋体"/>
          <w:color w:val="auto"/>
          <w:sz w:val="24"/>
          <w:highlight w:val="none"/>
          <w:lang w:val="en-US" w:eastAsia="zh-CN"/>
        </w:rPr>
        <w:t>（2）系统的软件或数据库出现错误，不能进行正常操作；</w:t>
      </w:r>
    </w:p>
    <w:p w14:paraId="657BA7B3">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lang w:val="en-US" w:eastAsia="zh-CN"/>
        </w:rPr>
      </w:pPr>
      <w:r>
        <w:rPr>
          <w:rFonts w:hint="eastAsia" w:eastAsia="宋体"/>
          <w:color w:val="auto"/>
          <w:sz w:val="24"/>
          <w:highlight w:val="none"/>
          <w:lang w:val="en-US" w:eastAsia="zh-CN"/>
        </w:rPr>
        <w:t>（3）系统发现有安全漏洞，有潜在的泄密危险；</w:t>
      </w:r>
    </w:p>
    <w:p w14:paraId="26B15397">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lang w:val="en-US" w:eastAsia="zh-CN"/>
        </w:rPr>
      </w:pPr>
      <w:r>
        <w:rPr>
          <w:rFonts w:hint="eastAsia" w:eastAsia="宋体"/>
          <w:color w:val="auto"/>
          <w:sz w:val="24"/>
          <w:highlight w:val="none"/>
          <w:lang w:val="en-US" w:eastAsia="zh-CN"/>
        </w:rPr>
        <w:t>（4）病毒发作或受到外来病毒的攻击；</w:t>
      </w:r>
    </w:p>
    <w:p w14:paraId="6BCA43D9">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lang w:val="en-US" w:eastAsia="zh-CN"/>
        </w:rPr>
      </w:pPr>
      <w:r>
        <w:rPr>
          <w:rFonts w:hint="eastAsia" w:eastAsia="宋体"/>
          <w:color w:val="auto"/>
          <w:sz w:val="24"/>
          <w:highlight w:val="none"/>
          <w:lang w:val="en-US" w:eastAsia="zh-CN"/>
        </w:rPr>
        <w:t>（5）出现其他不可抗拒的客观原因造成开评标系统无法正常使用。</w:t>
      </w:r>
    </w:p>
    <w:p w14:paraId="2BA3CE00">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lang w:val="en-US" w:eastAsia="zh-CN"/>
        </w:rPr>
      </w:pPr>
      <w:r>
        <w:rPr>
          <w:rFonts w:hint="eastAsia" w:eastAsia="宋体"/>
          <w:color w:val="auto"/>
          <w:sz w:val="24"/>
          <w:highlight w:val="none"/>
          <w:lang w:val="en-US" w:eastAsia="zh-CN"/>
        </w:rPr>
        <w:t>出现上述情况时，应对未开标的暂停开标。已在系统内开标、评标的立即停止。采取应急措施时，必须对原有资料及信息作出妥善保密处理。</w:t>
      </w:r>
    </w:p>
    <w:p w14:paraId="791CC4F0">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lang w:val="en-US" w:eastAsia="zh-CN"/>
        </w:rPr>
      </w:pPr>
      <w:r>
        <w:rPr>
          <w:rFonts w:hint="eastAsia" w:eastAsia="宋体"/>
          <w:color w:val="auto"/>
          <w:sz w:val="24"/>
          <w:highlight w:val="none"/>
          <w:lang w:val="en-US" w:eastAsia="zh-CN"/>
        </w:rPr>
        <w:t>29.6.2因系统原因导致投标人均无法解密电子投标文件时，采购代理机构可在开标现场直接导入投标人在投标截止时间前递交的未加密的电子投标文件进行开标、评标。</w:t>
      </w:r>
    </w:p>
    <w:p w14:paraId="28CD45E0">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lang w:val="en-US" w:eastAsia="zh-CN"/>
        </w:rPr>
      </w:pPr>
      <w:r>
        <w:rPr>
          <w:rFonts w:hint="eastAsia" w:eastAsia="宋体"/>
          <w:color w:val="auto"/>
          <w:sz w:val="24"/>
          <w:highlight w:val="none"/>
          <w:lang w:val="en-US" w:eastAsia="zh-CN"/>
        </w:rPr>
        <w:t>29.7 投标人瑕疵滞后发现的处理规则</w:t>
      </w:r>
    </w:p>
    <w:p w14:paraId="11E85EAD">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lang w:val="en-US" w:eastAsia="zh-CN"/>
        </w:rPr>
      </w:pPr>
      <w:r>
        <w:rPr>
          <w:rFonts w:hint="eastAsia" w:eastAsia="宋体"/>
          <w:color w:val="auto"/>
          <w:sz w:val="24"/>
          <w:highlight w:val="none"/>
          <w:lang w:val="en-US" w:eastAsia="zh-CN"/>
        </w:rPr>
        <w:t>29.7.1无论基于何种原因，各项本应作</w:t>
      </w:r>
      <w:r>
        <w:rPr>
          <w:rFonts w:hint="eastAsia" w:eastAsia="宋体"/>
          <w:b/>
          <w:bCs/>
          <w:color w:val="auto"/>
          <w:sz w:val="24"/>
          <w:highlight w:val="none"/>
          <w:lang w:val="en-US" w:eastAsia="zh-CN"/>
        </w:rPr>
        <w:t>无效投标</w:t>
      </w:r>
      <w:r>
        <w:rPr>
          <w:rFonts w:hint="eastAsia" w:eastAsia="宋体"/>
          <w:color w:val="auto"/>
          <w:sz w:val="24"/>
          <w:highlight w:val="none"/>
          <w:lang w:val="en-US" w:eastAsia="zh-CN"/>
        </w:rPr>
        <w:t>处理的情形即便未被及时发现而使该投标人进入初审、综合评审或其他后续程序，包括已经签订合同的情形，一旦该投标人的投标作无效投标处理或该投标人的此前评议结果被取消，其现有的位置将被其他投标人依序替代，相关的一切损失均由该投标人承担。</w:t>
      </w:r>
    </w:p>
    <w:p w14:paraId="34027149">
      <w:pPr>
        <w:pStyle w:val="4"/>
        <w:keepNext w:val="0"/>
        <w:keepLines w:val="0"/>
        <w:pageBreakBefore w:val="0"/>
        <w:widowControl w:val="0"/>
        <w:numPr>
          <w:ilvl w:val="0"/>
          <w:numId w:val="0"/>
        </w:numPr>
        <w:kinsoku/>
        <w:wordWrap/>
        <w:overflowPunct/>
        <w:topLinePunct w:val="0"/>
        <w:autoSpaceDE/>
        <w:autoSpaceDN/>
        <w:bidi w:val="0"/>
        <w:adjustRightInd/>
        <w:snapToGrid/>
        <w:spacing w:before="100" w:after="100" w:line="240" w:lineRule="auto"/>
        <w:ind w:left="420" w:leftChars="0" w:hanging="420" w:firstLineChars="0"/>
        <w:textAlignment w:val="auto"/>
        <w:rPr>
          <w:rFonts w:hint="eastAsia" w:ascii="宋体" w:hAnsi="宋体" w:eastAsia="宋体" w:cstheme="minorBidi"/>
          <w:b/>
          <w:bCs/>
          <w:color w:val="auto"/>
          <w:kern w:val="2"/>
          <w:sz w:val="24"/>
          <w:szCs w:val="32"/>
          <w:highlight w:val="none"/>
          <w:lang w:val="en-US" w:eastAsia="zh-CN" w:bidi="ar-SA"/>
        </w:rPr>
      </w:pPr>
      <w:bookmarkStart w:id="326" w:name="_Toc8349"/>
      <w:bookmarkStart w:id="327" w:name="_Toc140132792"/>
      <w:bookmarkStart w:id="328" w:name="_Toc155185879"/>
      <w:bookmarkStart w:id="329" w:name="_Toc163492859"/>
      <w:bookmarkStart w:id="330" w:name="_Toc4255"/>
      <w:bookmarkStart w:id="331" w:name="_Toc22170"/>
      <w:bookmarkStart w:id="332" w:name="_Toc1414"/>
      <w:r>
        <w:rPr>
          <w:rFonts w:hint="eastAsia" w:ascii="宋体" w:hAnsi="宋体" w:eastAsia="宋体" w:cstheme="minorBidi"/>
          <w:b/>
          <w:bCs/>
          <w:color w:val="auto"/>
          <w:kern w:val="2"/>
          <w:sz w:val="24"/>
          <w:szCs w:val="32"/>
          <w:highlight w:val="none"/>
          <w:lang w:val="en-US" w:eastAsia="zh-CN" w:bidi="ar-SA"/>
        </w:rPr>
        <w:t>（八）中标</w:t>
      </w:r>
      <w:bookmarkEnd w:id="326"/>
      <w:bookmarkEnd w:id="327"/>
      <w:bookmarkEnd w:id="328"/>
      <w:bookmarkEnd w:id="329"/>
      <w:bookmarkEnd w:id="330"/>
      <w:bookmarkEnd w:id="331"/>
      <w:bookmarkEnd w:id="332"/>
    </w:p>
    <w:p w14:paraId="37B6B950">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color w:val="auto"/>
          <w:kern w:val="2"/>
          <w:sz w:val="24"/>
          <w:szCs w:val="28"/>
          <w:highlight w:val="none"/>
          <w:lang w:val="en-US" w:eastAsia="zh-CN" w:bidi="ar-SA"/>
        </w:rPr>
      </w:pPr>
      <w:bookmarkStart w:id="333" w:name="_Toc31516"/>
      <w:bookmarkStart w:id="334" w:name="_Toc26318"/>
      <w:bookmarkStart w:id="335" w:name="_Toc4784"/>
      <w:bookmarkStart w:id="336" w:name="_Toc140132793"/>
      <w:bookmarkStart w:id="337" w:name="_Toc9777"/>
      <w:bookmarkStart w:id="338" w:name="_Toc163492860"/>
      <w:r>
        <w:rPr>
          <w:rFonts w:hint="eastAsia" w:ascii="宋体" w:hAnsi="宋体" w:eastAsia="宋体" w:cs="宋体"/>
          <w:b/>
          <w:bCs/>
          <w:color w:val="auto"/>
          <w:kern w:val="2"/>
          <w:sz w:val="24"/>
          <w:szCs w:val="28"/>
          <w:highlight w:val="none"/>
          <w:lang w:val="en-US" w:eastAsia="zh-CN" w:bidi="ar-SA"/>
        </w:rPr>
        <w:t>30.确定中标人</w:t>
      </w:r>
      <w:bookmarkEnd w:id="333"/>
      <w:bookmarkEnd w:id="334"/>
      <w:bookmarkEnd w:id="335"/>
      <w:bookmarkEnd w:id="336"/>
      <w:bookmarkEnd w:id="337"/>
      <w:bookmarkEnd w:id="338"/>
    </w:p>
    <w:p w14:paraId="23CC2B81">
      <w:pPr>
        <w:keepNext w:val="0"/>
        <w:keepLines w:val="0"/>
        <w:pageBreakBefore w:val="0"/>
        <w:widowControl w:val="0"/>
        <w:suppressLineNumbers w:val="0"/>
        <w:kinsoku/>
        <w:overflowPunct/>
        <w:topLinePunct w:val="0"/>
        <w:autoSpaceDE/>
        <w:autoSpaceDN/>
        <w:bidi w:val="0"/>
        <w:adjustRightInd/>
        <w:ind w:firstLine="480" w:firstLineChars="200"/>
        <w:jc w:val="left"/>
        <w:textAlignment w:val="auto"/>
        <w:rPr>
          <w:rFonts w:hint="eastAsia" w:ascii="宋体" w:hAnsi="宋体" w:eastAsia="宋体" w:cs="宋体"/>
          <w:color w:val="auto"/>
          <w:kern w:val="0"/>
          <w:sz w:val="24"/>
          <w:szCs w:val="24"/>
          <w:highlight w:val="none"/>
          <w:lang w:val="en-US" w:eastAsia="zh-CN" w:bidi="ar"/>
        </w:rPr>
      </w:pPr>
      <w:r>
        <w:rPr>
          <w:rFonts w:hint="eastAsia" w:eastAsia="宋体"/>
          <w:color w:val="auto"/>
          <w:sz w:val="24"/>
          <w:highlight w:val="none"/>
          <w:lang w:val="en-US" w:eastAsia="zh-CN"/>
        </w:rPr>
        <w:t>30.1</w:t>
      </w:r>
      <w:r>
        <w:rPr>
          <w:rFonts w:hint="eastAsia" w:ascii="宋体" w:hAnsi="宋体" w:eastAsia="宋体" w:cs="宋体"/>
          <w:color w:val="auto"/>
          <w:kern w:val="0"/>
          <w:sz w:val="24"/>
          <w:szCs w:val="24"/>
          <w:highlight w:val="none"/>
          <w:lang w:val="en-US" w:eastAsia="zh-CN" w:bidi="ar"/>
        </w:rPr>
        <w:t>采购人将在评标报告确定的中标候选人名单中按顺序确定中标人，中标候选人并列的，按照</w:t>
      </w:r>
      <w:r>
        <w:rPr>
          <w:rFonts w:hint="eastAsia" w:eastAsia="宋体"/>
          <w:color w:val="auto"/>
          <w:sz w:val="24"/>
          <w:highlight w:val="none"/>
        </w:rPr>
        <w:t>“投标人须知前附表”</w:t>
      </w:r>
      <w:r>
        <w:rPr>
          <w:rFonts w:hint="eastAsia" w:ascii="宋体" w:hAnsi="宋体" w:eastAsia="宋体" w:cs="宋体"/>
          <w:color w:val="auto"/>
          <w:kern w:val="0"/>
          <w:sz w:val="24"/>
          <w:szCs w:val="24"/>
          <w:highlight w:val="none"/>
          <w:lang w:val="en-US" w:eastAsia="zh-CN" w:bidi="ar"/>
        </w:rPr>
        <w:t>确定中标人；招标文件未规定的，采取随机抽取的方式确定。采购人是否委托评标委员会直接确定中标人，见</w:t>
      </w:r>
      <w:r>
        <w:rPr>
          <w:rFonts w:hint="eastAsia" w:eastAsia="宋体"/>
          <w:color w:val="auto"/>
          <w:sz w:val="24"/>
          <w:highlight w:val="none"/>
        </w:rPr>
        <w:t>“投标人须知前附表”</w:t>
      </w:r>
      <w:r>
        <w:rPr>
          <w:rFonts w:hint="eastAsia" w:ascii="宋体" w:hAnsi="宋体" w:eastAsia="宋体" w:cs="宋体"/>
          <w:color w:val="auto"/>
          <w:kern w:val="0"/>
          <w:sz w:val="24"/>
          <w:szCs w:val="24"/>
          <w:highlight w:val="none"/>
          <w:lang w:val="en-US" w:eastAsia="zh-CN" w:bidi="ar"/>
        </w:rPr>
        <w:t>。</w:t>
      </w:r>
    </w:p>
    <w:p w14:paraId="1B14917F">
      <w:pPr>
        <w:keepNext w:val="0"/>
        <w:keepLines w:val="0"/>
        <w:pageBreakBefore w:val="0"/>
        <w:widowControl w:val="0"/>
        <w:suppressLineNumbers w:val="0"/>
        <w:kinsoku/>
        <w:overflowPunct/>
        <w:topLinePunct w:val="0"/>
        <w:autoSpaceDE/>
        <w:autoSpaceDN/>
        <w:bidi w:val="0"/>
        <w:adjustRightInd/>
        <w:ind w:firstLine="480" w:firstLineChars="20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3</w:t>
      </w:r>
      <w:r>
        <w:rPr>
          <w:rFonts w:hint="eastAsia" w:eastAsia="宋体" w:cs="宋体"/>
          <w:color w:val="auto"/>
          <w:kern w:val="0"/>
          <w:sz w:val="24"/>
          <w:szCs w:val="24"/>
          <w:highlight w:val="none"/>
          <w:lang w:val="en-US" w:eastAsia="zh-CN" w:bidi="ar"/>
        </w:rPr>
        <w:t>0</w:t>
      </w:r>
      <w:r>
        <w:rPr>
          <w:rFonts w:hint="eastAsia" w:ascii="宋体" w:hAnsi="宋体" w:eastAsia="宋体" w:cs="宋体"/>
          <w:color w:val="auto"/>
          <w:kern w:val="0"/>
          <w:sz w:val="24"/>
          <w:szCs w:val="24"/>
          <w:highlight w:val="none"/>
          <w:lang w:val="en-US" w:eastAsia="zh-CN" w:bidi="ar"/>
        </w:rPr>
        <w:t>.</w:t>
      </w:r>
      <w:r>
        <w:rPr>
          <w:rFonts w:hint="eastAsia" w:eastAsia="宋体" w:cs="宋体"/>
          <w:color w:val="auto"/>
          <w:kern w:val="0"/>
          <w:sz w:val="24"/>
          <w:szCs w:val="24"/>
          <w:highlight w:val="none"/>
          <w:lang w:val="en-US" w:eastAsia="zh-CN" w:bidi="ar"/>
        </w:rPr>
        <w:t>2采</w:t>
      </w:r>
      <w:r>
        <w:rPr>
          <w:rFonts w:hint="eastAsia" w:ascii="宋体" w:hAnsi="宋体" w:eastAsia="宋体" w:cs="宋体"/>
          <w:color w:val="auto"/>
          <w:kern w:val="0"/>
          <w:sz w:val="24"/>
          <w:szCs w:val="24"/>
          <w:highlight w:val="none"/>
          <w:lang w:val="en-US" w:eastAsia="zh-CN" w:bidi="ar"/>
        </w:rPr>
        <w:t>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w:t>
      </w:r>
      <w:r>
        <w:rPr>
          <w:rFonts w:hint="eastAsia" w:eastAsia="宋体"/>
          <w:color w:val="auto"/>
          <w:sz w:val="24"/>
          <w:highlight w:val="none"/>
        </w:rPr>
        <w:t>“投标人须知前附表”</w:t>
      </w:r>
      <w:r>
        <w:rPr>
          <w:rFonts w:hint="eastAsia" w:ascii="宋体" w:hAnsi="宋体" w:eastAsia="宋体" w:cs="宋体"/>
          <w:color w:val="auto"/>
          <w:kern w:val="0"/>
          <w:sz w:val="24"/>
          <w:szCs w:val="24"/>
          <w:highlight w:val="none"/>
          <w:lang w:val="en-US" w:eastAsia="zh-CN" w:bidi="ar"/>
        </w:rPr>
        <w:t>规定的方式确定一个投标人获得中标人推荐资格，招标文件未规定的采取随机抽取方式确定，其他同品牌投标人不作为中标候选人。</w:t>
      </w:r>
    </w:p>
    <w:p w14:paraId="5EF9107C">
      <w:pPr>
        <w:keepNext w:val="0"/>
        <w:keepLines w:val="0"/>
        <w:pageBreakBefore w:val="0"/>
        <w:widowControl w:val="0"/>
        <w:suppressLineNumbers w:val="0"/>
        <w:kinsoku/>
        <w:overflowPunct/>
        <w:topLinePunct w:val="0"/>
        <w:autoSpaceDE/>
        <w:autoSpaceDN/>
        <w:bidi w:val="0"/>
        <w:adjustRightInd/>
        <w:ind w:firstLine="480" w:firstLineChars="200"/>
        <w:jc w:val="left"/>
        <w:textAlignment w:val="auto"/>
        <w:rPr>
          <w:rFonts w:hint="eastAsia" w:eastAsia="宋体" w:cs="宋体"/>
          <w:color w:val="auto"/>
          <w:kern w:val="0"/>
          <w:sz w:val="24"/>
          <w:szCs w:val="24"/>
          <w:highlight w:val="none"/>
          <w:lang w:val="en-US" w:eastAsia="zh-CN" w:bidi="ar"/>
        </w:rPr>
      </w:pPr>
      <w:r>
        <w:rPr>
          <w:rFonts w:hint="eastAsia" w:eastAsia="宋体" w:cs="宋体"/>
          <w:color w:val="auto"/>
          <w:kern w:val="0"/>
          <w:sz w:val="24"/>
          <w:szCs w:val="24"/>
          <w:highlight w:val="none"/>
          <w:lang w:val="en-US" w:eastAsia="zh-CN" w:bidi="ar"/>
        </w:rPr>
        <w:t>30.3采用最低评标价法的采购项目，提供相同品牌产品的不同投标人参加同一合同项下投标的，以其中通过资格审查、符合性审查且报价最低的参加评标；报价相同的，由采购人或者采购人委托评标委员会按照</w:t>
      </w:r>
      <w:r>
        <w:rPr>
          <w:rFonts w:hint="eastAsia" w:eastAsia="宋体"/>
          <w:color w:val="auto"/>
          <w:sz w:val="24"/>
          <w:highlight w:val="none"/>
        </w:rPr>
        <w:t>“投标人须知前附表”</w:t>
      </w:r>
      <w:r>
        <w:rPr>
          <w:rFonts w:hint="eastAsia" w:eastAsia="宋体" w:cs="宋体"/>
          <w:color w:val="auto"/>
          <w:kern w:val="0"/>
          <w:sz w:val="24"/>
          <w:szCs w:val="24"/>
          <w:highlight w:val="none"/>
          <w:lang w:val="en-US" w:eastAsia="zh-CN" w:bidi="ar"/>
        </w:rPr>
        <w:t>规定的方式确定一个参加评标的投标人，招标文件未规定的采取随机抽取方式确定，其他投标无效。</w:t>
      </w:r>
    </w:p>
    <w:p w14:paraId="4A5A7398">
      <w:pPr>
        <w:keepNext w:val="0"/>
        <w:keepLines w:val="0"/>
        <w:pageBreakBefore w:val="0"/>
        <w:widowControl w:val="0"/>
        <w:suppressLineNumbers w:val="0"/>
        <w:kinsoku/>
        <w:overflowPunct/>
        <w:topLinePunct w:val="0"/>
        <w:autoSpaceDE/>
        <w:autoSpaceDN/>
        <w:bidi w:val="0"/>
        <w:adjustRightInd/>
        <w:ind w:firstLine="480" w:firstLineChars="200"/>
        <w:jc w:val="left"/>
        <w:textAlignment w:val="auto"/>
        <w:rPr>
          <w:rFonts w:eastAsia="宋体"/>
          <w:color w:val="auto"/>
          <w:sz w:val="24"/>
          <w:highlight w:val="none"/>
        </w:rPr>
      </w:pPr>
      <w:r>
        <w:rPr>
          <w:rFonts w:hint="eastAsia" w:eastAsia="宋体" w:cs="宋体"/>
          <w:color w:val="auto"/>
          <w:kern w:val="0"/>
          <w:sz w:val="24"/>
          <w:szCs w:val="24"/>
          <w:highlight w:val="none"/>
          <w:lang w:val="en-US" w:eastAsia="zh-CN" w:bidi="ar"/>
        </w:rPr>
        <w:t>30.4非单一产品采购项目，采购人应当根据采购项目技术构成、产品价格比重等合理确定核心产品，并在</w:t>
      </w:r>
      <w:r>
        <w:rPr>
          <w:rFonts w:hint="eastAsia" w:eastAsia="宋体"/>
          <w:color w:val="auto"/>
          <w:sz w:val="24"/>
          <w:highlight w:val="none"/>
        </w:rPr>
        <w:t>“投标人须知前附表”</w:t>
      </w:r>
      <w:r>
        <w:rPr>
          <w:rFonts w:hint="eastAsia" w:eastAsia="宋体" w:cs="宋体"/>
          <w:color w:val="auto"/>
          <w:kern w:val="0"/>
          <w:sz w:val="24"/>
          <w:szCs w:val="24"/>
          <w:highlight w:val="none"/>
          <w:lang w:val="en-US" w:eastAsia="zh-CN" w:bidi="ar"/>
        </w:rPr>
        <w:t>中载明。多家投标人提供的核心产品品牌相同的，按前两款规定处理。</w:t>
      </w:r>
      <w:r>
        <w:rPr>
          <w:rFonts w:hint="eastAsia" w:ascii="宋体" w:hAnsi="宋体" w:eastAsia="宋体" w:cs="宋体"/>
          <w:color w:val="auto"/>
          <w:kern w:val="0"/>
          <w:sz w:val="24"/>
          <w:szCs w:val="24"/>
          <w:highlight w:val="none"/>
          <w:lang w:val="en-US" w:eastAsia="zh-CN" w:bidi="ar"/>
        </w:rPr>
        <w:t xml:space="preserve"> </w:t>
      </w:r>
    </w:p>
    <w:p w14:paraId="18971451">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color w:val="auto"/>
          <w:kern w:val="2"/>
          <w:sz w:val="24"/>
          <w:szCs w:val="28"/>
          <w:highlight w:val="none"/>
          <w:lang w:val="en-US" w:eastAsia="zh-CN" w:bidi="ar-SA"/>
        </w:rPr>
      </w:pPr>
      <w:bookmarkStart w:id="339" w:name="_Toc163492861"/>
      <w:bookmarkStart w:id="340" w:name="_Toc24795"/>
      <w:bookmarkStart w:id="341" w:name="_Toc19155"/>
      <w:bookmarkStart w:id="342" w:name="_Toc7431"/>
      <w:bookmarkStart w:id="343" w:name="_Toc140132794"/>
      <w:bookmarkStart w:id="344" w:name="_Toc6330"/>
      <w:r>
        <w:rPr>
          <w:rFonts w:hint="eastAsia" w:ascii="宋体" w:hAnsi="宋体" w:eastAsia="宋体" w:cs="宋体"/>
          <w:b/>
          <w:bCs/>
          <w:color w:val="auto"/>
          <w:kern w:val="2"/>
          <w:sz w:val="24"/>
          <w:szCs w:val="28"/>
          <w:highlight w:val="none"/>
          <w:lang w:val="en-US" w:eastAsia="zh-CN" w:bidi="ar-SA"/>
        </w:rPr>
        <w:t>31.中标结果公告</w:t>
      </w:r>
      <w:bookmarkEnd w:id="339"/>
      <w:bookmarkEnd w:id="340"/>
      <w:bookmarkEnd w:id="341"/>
      <w:bookmarkEnd w:id="342"/>
      <w:bookmarkEnd w:id="343"/>
      <w:bookmarkEnd w:id="344"/>
    </w:p>
    <w:p w14:paraId="712AF3E4">
      <w:pPr>
        <w:pStyle w:val="40"/>
        <w:keepNext w:val="0"/>
        <w:keepLines w:val="0"/>
        <w:pageBreakBefore w:val="0"/>
        <w:widowControl w:val="0"/>
        <w:kinsoku/>
        <w:overflowPunct/>
        <w:topLinePunct w:val="0"/>
        <w:autoSpaceDE/>
        <w:autoSpaceDN/>
        <w:bidi w:val="0"/>
        <w:adjustRightInd/>
        <w:textAlignment w:val="auto"/>
        <w:rPr>
          <w:rFonts w:eastAsia="宋体"/>
          <w:color w:val="auto"/>
          <w:sz w:val="24"/>
          <w:highlight w:val="none"/>
        </w:rPr>
      </w:pPr>
      <w:r>
        <w:rPr>
          <w:rFonts w:eastAsia="宋体"/>
          <w:bCs/>
          <w:color w:val="auto"/>
          <w:sz w:val="24"/>
          <w:highlight w:val="none"/>
        </w:rPr>
        <w:t>3</w:t>
      </w:r>
      <w:r>
        <w:rPr>
          <w:rFonts w:hint="eastAsia" w:eastAsia="宋体"/>
          <w:bCs/>
          <w:color w:val="auto"/>
          <w:sz w:val="24"/>
          <w:highlight w:val="none"/>
          <w:lang w:val="en-US" w:eastAsia="zh-CN"/>
        </w:rPr>
        <w:t>1</w:t>
      </w:r>
      <w:r>
        <w:rPr>
          <w:rFonts w:hint="eastAsia" w:eastAsia="宋体"/>
          <w:color w:val="auto"/>
          <w:sz w:val="24"/>
          <w:highlight w:val="none"/>
        </w:rPr>
        <w:t>.1</w:t>
      </w:r>
      <w:r>
        <w:rPr>
          <w:rFonts w:hint="eastAsia" w:eastAsia="宋体"/>
          <w:color w:val="auto"/>
          <w:sz w:val="24"/>
          <w:highlight w:val="none"/>
          <w:lang w:val="en-US" w:eastAsia="zh-CN"/>
        </w:rPr>
        <w:t>采购人或</w:t>
      </w:r>
      <w:r>
        <w:rPr>
          <w:rFonts w:hint="eastAsia" w:eastAsia="宋体"/>
          <w:color w:val="auto"/>
          <w:sz w:val="24"/>
          <w:highlight w:val="none"/>
        </w:rPr>
        <w:t>采购代理机构应当自中标人确定之日起2个工作日内，在</w:t>
      </w:r>
      <w:r>
        <w:rPr>
          <w:rFonts w:hint="eastAsia" w:eastAsia="宋体"/>
          <w:color w:val="auto"/>
          <w:sz w:val="24"/>
          <w:highlight w:val="none"/>
          <w:lang w:val="en-US" w:eastAsia="zh-CN"/>
        </w:rPr>
        <w:t>发布招标公告的同一</w:t>
      </w:r>
      <w:r>
        <w:rPr>
          <w:rFonts w:hint="eastAsia" w:eastAsia="宋体"/>
          <w:color w:val="auto"/>
          <w:sz w:val="24"/>
          <w:highlight w:val="none"/>
        </w:rPr>
        <w:t>媒体上发布中标结果公告，</w:t>
      </w:r>
      <w:r>
        <w:rPr>
          <w:rFonts w:hint="eastAsia" w:eastAsia="宋体"/>
          <w:color w:val="auto"/>
          <w:sz w:val="24"/>
          <w:highlight w:val="none"/>
          <w:lang w:val="en-US" w:eastAsia="zh-CN"/>
        </w:rPr>
        <w:t>同时向中标人</w:t>
      </w:r>
      <w:r>
        <w:rPr>
          <w:rFonts w:hint="eastAsia" w:eastAsia="宋体"/>
          <w:color w:val="auto"/>
          <w:sz w:val="24"/>
          <w:highlight w:val="none"/>
        </w:rPr>
        <w:t>发出中标通知书</w:t>
      </w:r>
      <w:r>
        <w:rPr>
          <w:rFonts w:hint="eastAsia" w:eastAsia="宋体"/>
          <w:color w:val="auto"/>
          <w:sz w:val="24"/>
          <w:highlight w:val="none"/>
          <w:lang w:eastAsia="zh-CN"/>
        </w:rPr>
        <w:t>。招标文件随中标结果同时公告，</w:t>
      </w:r>
      <w:r>
        <w:rPr>
          <w:rFonts w:hint="eastAsia" w:eastAsia="宋体"/>
          <w:color w:val="auto"/>
          <w:sz w:val="24"/>
          <w:highlight w:val="none"/>
        </w:rPr>
        <w:t>中标结果公告期限为1个工作日。</w:t>
      </w:r>
    </w:p>
    <w:p w14:paraId="5352A1FC">
      <w:pPr>
        <w:pStyle w:val="40"/>
        <w:keepNext w:val="0"/>
        <w:keepLines w:val="0"/>
        <w:pageBreakBefore w:val="0"/>
        <w:widowControl w:val="0"/>
        <w:kinsoku/>
        <w:overflowPunct/>
        <w:topLinePunct w:val="0"/>
        <w:autoSpaceDE/>
        <w:autoSpaceDN/>
        <w:bidi w:val="0"/>
        <w:adjustRightInd/>
        <w:textAlignment w:val="auto"/>
        <w:rPr>
          <w:rFonts w:hint="eastAsia" w:eastAsia="宋体"/>
          <w:bCs/>
          <w:color w:val="auto"/>
          <w:sz w:val="24"/>
          <w:highlight w:val="none"/>
          <w:lang w:eastAsia="zh-CN"/>
        </w:rPr>
      </w:pPr>
      <w:r>
        <w:rPr>
          <w:rFonts w:hint="eastAsia" w:eastAsia="宋体"/>
          <w:bCs/>
          <w:color w:val="auto"/>
          <w:sz w:val="24"/>
          <w:highlight w:val="none"/>
        </w:rPr>
        <w:t>3</w:t>
      </w:r>
      <w:r>
        <w:rPr>
          <w:rFonts w:hint="eastAsia" w:eastAsia="宋体"/>
          <w:bCs/>
          <w:color w:val="auto"/>
          <w:sz w:val="24"/>
          <w:highlight w:val="none"/>
          <w:lang w:val="en-US" w:eastAsia="zh-CN"/>
        </w:rPr>
        <w:t>1</w:t>
      </w:r>
      <w:r>
        <w:rPr>
          <w:rFonts w:eastAsia="宋体"/>
          <w:bCs/>
          <w:color w:val="auto"/>
          <w:sz w:val="24"/>
          <w:highlight w:val="none"/>
        </w:rPr>
        <w:t>.2</w:t>
      </w:r>
      <w:r>
        <w:rPr>
          <w:rFonts w:hint="eastAsia" w:eastAsia="宋体"/>
          <w:bCs/>
          <w:color w:val="auto"/>
          <w:sz w:val="24"/>
          <w:highlight w:val="none"/>
          <w:lang w:eastAsia="zh-CN"/>
        </w:rPr>
        <w:t>中标</w:t>
      </w:r>
      <w:r>
        <w:rPr>
          <w:rFonts w:hint="eastAsia" w:eastAsia="宋体"/>
          <w:bCs/>
          <w:color w:val="auto"/>
          <w:sz w:val="24"/>
          <w:highlight w:val="none"/>
          <w:lang w:val="en-US" w:eastAsia="zh-CN"/>
        </w:rPr>
        <w:t>人</w:t>
      </w:r>
      <w:r>
        <w:rPr>
          <w:rFonts w:hint="eastAsia" w:eastAsia="宋体"/>
          <w:bCs/>
          <w:color w:val="auto"/>
          <w:sz w:val="24"/>
          <w:highlight w:val="none"/>
          <w:lang w:eastAsia="zh-CN"/>
        </w:rPr>
        <w:t>为中小企业</w:t>
      </w:r>
      <w:r>
        <w:rPr>
          <w:rFonts w:hint="eastAsia" w:eastAsia="宋体"/>
          <w:bCs/>
          <w:color w:val="auto"/>
          <w:sz w:val="24"/>
          <w:highlight w:val="none"/>
          <w:lang w:val="en-US" w:eastAsia="zh-CN"/>
        </w:rPr>
        <w:t>享受中小企业扶持政策的</w:t>
      </w:r>
      <w:r>
        <w:rPr>
          <w:rFonts w:hint="eastAsia" w:eastAsia="宋体"/>
          <w:bCs/>
          <w:color w:val="auto"/>
          <w:sz w:val="24"/>
          <w:highlight w:val="none"/>
          <w:lang w:eastAsia="zh-CN"/>
        </w:rPr>
        <w:t>，其“中小企业声明函”随中标结果同时公告。中标</w:t>
      </w:r>
      <w:r>
        <w:rPr>
          <w:rFonts w:hint="eastAsia" w:eastAsia="宋体"/>
          <w:bCs/>
          <w:color w:val="auto"/>
          <w:sz w:val="24"/>
          <w:highlight w:val="none"/>
          <w:lang w:val="en-US" w:eastAsia="zh-CN"/>
        </w:rPr>
        <w:t>人</w:t>
      </w:r>
      <w:r>
        <w:rPr>
          <w:rFonts w:hint="eastAsia" w:eastAsia="宋体"/>
          <w:bCs/>
          <w:color w:val="auto"/>
          <w:sz w:val="24"/>
          <w:highlight w:val="none"/>
          <w:lang w:eastAsia="zh-CN"/>
        </w:rPr>
        <w:t>为残疾人福利性单位的，其“残疾人福利性单位声明函”随中标结果同时公告。</w:t>
      </w:r>
    </w:p>
    <w:p w14:paraId="284DD9EA">
      <w:pPr>
        <w:pStyle w:val="40"/>
        <w:keepNext w:val="0"/>
        <w:keepLines w:val="0"/>
        <w:pageBreakBefore w:val="0"/>
        <w:widowControl w:val="0"/>
        <w:kinsoku/>
        <w:overflowPunct/>
        <w:topLinePunct w:val="0"/>
        <w:autoSpaceDE/>
        <w:autoSpaceDN/>
        <w:bidi w:val="0"/>
        <w:adjustRightInd/>
        <w:textAlignment w:val="auto"/>
        <w:rPr>
          <w:rFonts w:hint="eastAsia" w:ascii="宋体" w:hAnsi="宋体" w:eastAsia="宋体"/>
          <w:bCs/>
          <w:color w:val="auto"/>
          <w:sz w:val="24"/>
          <w:highlight w:val="none"/>
        </w:rPr>
      </w:pPr>
      <w:r>
        <w:rPr>
          <w:rFonts w:hint="eastAsia" w:ascii="宋体" w:hAnsi="宋体" w:eastAsia="宋体"/>
          <w:bCs/>
          <w:color w:val="auto"/>
          <w:sz w:val="24"/>
          <w:highlight w:val="none"/>
          <w:lang w:val="en-US" w:eastAsia="zh-CN"/>
        </w:rPr>
        <w:t>31.3</w:t>
      </w:r>
      <w:r>
        <w:rPr>
          <w:rFonts w:hint="eastAsia" w:ascii="宋体" w:hAnsi="宋体" w:eastAsia="宋体"/>
          <w:bCs/>
          <w:color w:val="auto"/>
          <w:sz w:val="24"/>
          <w:highlight w:val="none"/>
        </w:rPr>
        <w:t>项目采购采用最低评标价法的，公告中标结果时同时公告因落实政府采购政策等原因进行价格扣除后中标</w:t>
      </w:r>
      <w:r>
        <w:rPr>
          <w:rFonts w:hint="eastAsia" w:ascii="宋体" w:hAnsi="宋体" w:eastAsia="宋体"/>
          <w:bCs/>
          <w:color w:val="auto"/>
          <w:sz w:val="24"/>
          <w:highlight w:val="none"/>
          <w:lang w:val="en-US" w:eastAsia="zh-CN"/>
        </w:rPr>
        <w:t>人</w:t>
      </w:r>
      <w:r>
        <w:rPr>
          <w:rFonts w:hint="eastAsia" w:ascii="宋体" w:hAnsi="宋体" w:eastAsia="宋体"/>
          <w:bCs/>
          <w:color w:val="auto"/>
          <w:sz w:val="24"/>
          <w:highlight w:val="none"/>
        </w:rPr>
        <w:t>的评审报价；项目采购采用综合评分法的，公告中标结果时同时公告中标</w:t>
      </w:r>
      <w:r>
        <w:rPr>
          <w:rFonts w:hint="eastAsia" w:ascii="宋体" w:hAnsi="宋体" w:eastAsia="宋体"/>
          <w:bCs/>
          <w:color w:val="auto"/>
          <w:sz w:val="24"/>
          <w:highlight w:val="none"/>
          <w:lang w:val="en-US" w:eastAsia="zh-CN"/>
        </w:rPr>
        <w:t>供应商</w:t>
      </w:r>
      <w:r>
        <w:rPr>
          <w:rFonts w:hint="eastAsia" w:ascii="宋体" w:hAnsi="宋体" w:eastAsia="宋体"/>
          <w:bCs/>
          <w:color w:val="auto"/>
          <w:sz w:val="24"/>
          <w:highlight w:val="none"/>
        </w:rPr>
        <w:t>的评审总得分。</w:t>
      </w:r>
    </w:p>
    <w:p w14:paraId="24E8EB4D">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color w:val="auto"/>
          <w:kern w:val="2"/>
          <w:sz w:val="24"/>
          <w:szCs w:val="28"/>
          <w:highlight w:val="none"/>
          <w:lang w:val="en-US" w:eastAsia="zh-CN" w:bidi="ar-SA"/>
        </w:rPr>
      </w:pPr>
      <w:bookmarkStart w:id="345" w:name="_Toc17586"/>
      <w:bookmarkStart w:id="346" w:name="_Toc17569"/>
      <w:bookmarkStart w:id="347" w:name="_Toc7104"/>
      <w:bookmarkStart w:id="348" w:name="_Toc140132795"/>
      <w:bookmarkStart w:id="349" w:name="_Toc2830"/>
      <w:bookmarkStart w:id="350" w:name="_Toc163492862"/>
      <w:r>
        <w:rPr>
          <w:rFonts w:hint="eastAsia" w:ascii="宋体" w:hAnsi="宋体" w:eastAsia="宋体" w:cs="宋体"/>
          <w:b/>
          <w:bCs/>
          <w:color w:val="auto"/>
          <w:kern w:val="2"/>
          <w:sz w:val="24"/>
          <w:szCs w:val="28"/>
          <w:highlight w:val="none"/>
          <w:lang w:val="en-US" w:eastAsia="zh-CN" w:bidi="ar-SA"/>
        </w:rPr>
        <w:t>32.中标通知</w:t>
      </w:r>
      <w:bookmarkEnd w:id="345"/>
      <w:bookmarkEnd w:id="346"/>
      <w:bookmarkEnd w:id="347"/>
      <w:bookmarkEnd w:id="348"/>
      <w:bookmarkEnd w:id="349"/>
      <w:bookmarkEnd w:id="350"/>
    </w:p>
    <w:p w14:paraId="41D33E18">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rPr>
      </w:pPr>
      <w:r>
        <w:rPr>
          <w:rFonts w:eastAsia="宋体"/>
          <w:bCs/>
          <w:color w:val="auto"/>
          <w:sz w:val="24"/>
          <w:highlight w:val="none"/>
        </w:rPr>
        <w:t>3</w:t>
      </w:r>
      <w:r>
        <w:rPr>
          <w:rFonts w:hint="eastAsia" w:eastAsia="宋体"/>
          <w:bCs/>
          <w:color w:val="auto"/>
          <w:sz w:val="24"/>
          <w:highlight w:val="none"/>
          <w:lang w:val="en-US" w:eastAsia="zh-CN"/>
        </w:rPr>
        <w:t>2</w:t>
      </w:r>
      <w:r>
        <w:rPr>
          <w:rFonts w:hint="eastAsia" w:eastAsia="宋体"/>
          <w:color w:val="auto"/>
          <w:sz w:val="24"/>
          <w:highlight w:val="none"/>
        </w:rPr>
        <w:t>.1采购人和采购代理机构以书面形式向中标人发出中标通知书，同时将招标结果通知未中标的投标人。对未通过资格审查的投标人，应当告知其未通过的原因；采用综合评分法评审的，还应当告知未中标人本人的评审得分与排序。</w:t>
      </w:r>
    </w:p>
    <w:p w14:paraId="67E9F9A5">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lang w:val="en-US" w:eastAsia="zh-CN"/>
        </w:rPr>
      </w:pPr>
      <w:r>
        <w:rPr>
          <w:rFonts w:hint="eastAsia" w:eastAsia="宋体"/>
          <w:color w:val="auto"/>
          <w:sz w:val="24"/>
          <w:highlight w:val="none"/>
          <w:lang w:val="en-US" w:eastAsia="zh-CN"/>
        </w:rPr>
        <w:t>32.2中标通知书对采购人和中标人均具有法律效力。中标通知书发出后，采购人改变中标结果的，或者中标人放弃中标项目的，应当依法承担法律责任。</w:t>
      </w:r>
    </w:p>
    <w:p w14:paraId="004C264E">
      <w:pPr>
        <w:pStyle w:val="4"/>
        <w:keepNext w:val="0"/>
        <w:keepLines w:val="0"/>
        <w:pageBreakBefore w:val="0"/>
        <w:widowControl w:val="0"/>
        <w:numPr>
          <w:ilvl w:val="0"/>
          <w:numId w:val="0"/>
        </w:numPr>
        <w:kinsoku/>
        <w:wordWrap/>
        <w:overflowPunct/>
        <w:topLinePunct w:val="0"/>
        <w:autoSpaceDE/>
        <w:autoSpaceDN/>
        <w:bidi w:val="0"/>
        <w:adjustRightInd/>
        <w:snapToGrid/>
        <w:spacing w:before="100" w:after="100" w:line="240" w:lineRule="auto"/>
        <w:ind w:left="420" w:leftChars="0" w:hanging="420" w:firstLineChars="0"/>
        <w:textAlignment w:val="auto"/>
        <w:rPr>
          <w:rFonts w:hint="eastAsia" w:ascii="宋体" w:hAnsi="宋体" w:eastAsia="宋体" w:cstheme="minorBidi"/>
          <w:b/>
          <w:bCs/>
          <w:color w:val="auto"/>
          <w:kern w:val="2"/>
          <w:sz w:val="24"/>
          <w:szCs w:val="32"/>
          <w:highlight w:val="none"/>
          <w:lang w:val="en-US" w:eastAsia="zh-CN" w:bidi="ar-SA"/>
        </w:rPr>
      </w:pPr>
      <w:bookmarkStart w:id="351" w:name="_Toc4010"/>
      <w:bookmarkStart w:id="352" w:name="_Toc163492863"/>
      <w:bookmarkStart w:id="353" w:name="_Toc9494"/>
      <w:bookmarkStart w:id="354" w:name="_Toc27448"/>
      <w:bookmarkStart w:id="355" w:name="_Toc28090"/>
      <w:r>
        <w:rPr>
          <w:rFonts w:hint="eastAsia" w:ascii="宋体" w:hAnsi="宋体" w:eastAsia="宋体" w:cstheme="minorBidi"/>
          <w:b/>
          <w:bCs/>
          <w:color w:val="auto"/>
          <w:kern w:val="2"/>
          <w:sz w:val="24"/>
          <w:szCs w:val="32"/>
          <w:highlight w:val="none"/>
          <w:lang w:val="en-US" w:eastAsia="zh-CN" w:bidi="ar-SA"/>
        </w:rPr>
        <w:t>（九）签订</w:t>
      </w:r>
      <w:bookmarkStart w:id="356" w:name="_Toc140132796"/>
      <w:bookmarkStart w:id="357" w:name="_Toc155185880"/>
      <w:r>
        <w:rPr>
          <w:rFonts w:hint="eastAsia" w:ascii="宋体" w:hAnsi="宋体" w:eastAsia="宋体" w:cstheme="minorBidi"/>
          <w:b/>
          <w:bCs/>
          <w:color w:val="auto"/>
          <w:kern w:val="2"/>
          <w:sz w:val="24"/>
          <w:szCs w:val="32"/>
          <w:highlight w:val="none"/>
          <w:lang w:val="en-US" w:eastAsia="zh-CN" w:bidi="ar-SA"/>
        </w:rPr>
        <w:t>合同</w:t>
      </w:r>
      <w:bookmarkEnd w:id="351"/>
      <w:bookmarkEnd w:id="352"/>
      <w:bookmarkEnd w:id="353"/>
      <w:bookmarkEnd w:id="354"/>
      <w:bookmarkEnd w:id="355"/>
      <w:bookmarkEnd w:id="356"/>
      <w:bookmarkEnd w:id="357"/>
    </w:p>
    <w:p w14:paraId="547E6B99">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color w:val="auto"/>
          <w:kern w:val="2"/>
          <w:sz w:val="24"/>
          <w:szCs w:val="28"/>
          <w:highlight w:val="none"/>
          <w:lang w:val="en-US" w:eastAsia="zh-CN" w:bidi="ar-SA"/>
        </w:rPr>
      </w:pPr>
      <w:bookmarkStart w:id="358" w:name="_Toc18923"/>
      <w:bookmarkStart w:id="359" w:name="_Toc18377"/>
      <w:bookmarkStart w:id="360" w:name="_Toc22178"/>
      <w:bookmarkStart w:id="361" w:name="_Toc163492864"/>
      <w:bookmarkStart w:id="362" w:name="_Toc140132797"/>
      <w:bookmarkStart w:id="363" w:name="_Toc6972"/>
      <w:r>
        <w:rPr>
          <w:rFonts w:hint="eastAsia" w:ascii="宋体" w:hAnsi="宋体" w:eastAsia="宋体" w:cs="宋体"/>
          <w:b/>
          <w:bCs/>
          <w:color w:val="auto"/>
          <w:kern w:val="2"/>
          <w:sz w:val="24"/>
          <w:szCs w:val="28"/>
          <w:highlight w:val="none"/>
          <w:lang w:val="en-US" w:eastAsia="zh-CN" w:bidi="ar-SA"/>
        </w:rPr>
        <w:t>33.履约保证金</w:t>
      </w:r>
      <w:bookmarkEnd w:id="358"/>
      <w:bookmarkEnd w:id="359"/>
      <w:bookmarkEnd w:id="360"/>
      <w:bookmarkEnd w:id="361"/>
      <w:bookmarkEnd w:id="362"/>
      <w:bookmarkEnd w:id="363"/>
    </w:p>
    <w:p w14:paraId="77717F01">
      <w:pPr>
        <w:pStyle w:val="40"/>
        <w:keepNext w:val="0"/>
        <w:keepLines w:val="0"/>
        <w:pageBreakBefore w:val="0"/>
        <w:widowControl w:val="0"/>
        <w:kinsoku/>
        <w:overflowPunct/>
        <w:topLinePunct w:val="0"/>
        <w:autoSpaceDE/>
        <w:autoSpaceDN/>
        <w:bidi w:val="0"/>
        <w:adjustRightInd/>
        <w:textAlignment w:val="auto"/>
        <w:rPr>
          <w:rFonts w:eastAsia="宋体"/>
          <w:color w:val="auto"/>
          <w:sz w:val="24"/>
          <w:highlight w:val="none"/>
        </w:rPr>
      </w:pPr>
      <w:r>
        <w:rPr>
          <w:rFonts w:eastAsia="宋体"/>
          <w:bCs/>
          <w:color w:val="auto"/>
          <w:sz w:val="24"/>
          <w:highlight w:val="none"/>
        </w:rPr>
        <w:t>3</w:t>
      </w:r>
      <w:r>
        <w:rPr>
          <w:rFonts w:hint="eastAsia" w:eastAsia="宋体"/>
          <w:bCs/>
          <w:color w:val="auto"/>
          <w:sz w:val="24"/>
          <w:highlight w:val="none"/>
          <w:lang w:val="en-US" w:eastAsia="zh-CN"/>
        </w:rPr>
        <w:t>3</w:t>
      </w:r>
      <w:r>
        <w:rPr>
          <w:rFonts w:hint="eastAsia" w:eastAsia="宋体"/>
          <w:color w:val="auto"/>
          <w:sz w:val="24"/>
          <w:highlight w:val="none"/>
        </w:rPr>
        <w:t>.1在签订合同前，中标人应按“投标人须知前附表”规定的金额、担保形式和采购人认可的履约担保格式向采购人提交履约保证金。</w:t>
      </w:r>
    </w:p>
    <w:p w14:paraId="73BC7DAF">
      <w:pPr>
        <w:pStyle w:val="40"/>
        <w:keepNext w:val="0"/>
        <w:keepLines w:val="0"/>
        <w:pageBreakBefore w:val="0"/>
        <w:widowControl w:val="0"/>
        <w:kinsoku/>
        <w:overflowPunct/>
        <w:topLinePunct w:val="0"/>
        <w:autoSpaceDE/>
        <w:autoSpaceDN/>
        <w:bidi w:val="0"/>
        <w:adjustRightInd/>
        <w:textAlignment w:val="auto"/>
        <w:rPr>
          <w:rFonts w:eastAsia="宋体"/>
          <w:color w:val="auto"/>
          <w:sz w:val="24"/>
          <w:highlight w:val="none"/>
        </w:rPr>
      </w:pPr>
      <w:r>
        <w:rPr>
          <w:rFonts w:eastAsia="宋体"/>
          <w:bCs/>
          <w:color w:val="auto"/>
          <w:sz w:val="24"/>
          <w:highlight w:val="none"/>
        </w:rPr>
        <w:t>3</w:t>
      </w:r>
      <w:r>
        <w:rPr>
          <w:rFonts w:hint="eastAsia" w:eastAsia="宋体"/>
          <w:bCs/>
          <w:color w:val="auto"/>
          <w:sz w:val="24"/>
          <w:highlight w:val="none"/>
          <w:lang w:val="en-US" w:eastAsia="zh-CN"/>
        </w:rPr>
        <w:t>3</w:t>
      </w:r>
      <w:r>
        <w:rPr>
          <w:rFonts w:hint="eastAsia" w:eastAsia="宋体"/>
          <w:color w:val="auto"/>
          <w:sz w:val="24"/>
          <w:highlight w:val="none"/>
        </w:rPr>
        <w:t>.2中标人不能按本章第</w:t>
      </w:r>
      <w:r>
        <w:rPr>
          <w:rFonts w:eastAsia="宋体"/>
          <w:color w:val="auto"/>
          <w:sz w:val="24"/>
          <w:highlight w:val="none"/>
        </w:rPr>
        <w:t>3</w:t>
      </w:r>
      <w:r>
        <w:rPr>
          <w:rFonts w:hint="eastAsia" w:eastAsia="宋体"/>
          <w:color w:val="auto"/>
          <w:sz w:val="24"/>
          <w:highlight w:val="none"/>
          <w:lang w:val="en-US" w:eastAsia="zh-CN"/>
        </w:rPr>
        <w:t>3</w:t>
      </w:r>
      <w:r>
        <w:rPr>
          <w:rFonts w:hint="eastAsia" w:eastAsia="宋体"/>
          <w:color w:val="auto"/>
          <w:sz w:val="24"/>
          <w:highlight w:val="none"/>
        </w:rPr>
        <w:t>.1项要求提交履约担保的，视为放弃中标，给采购人造成损失的，中标人还应当承担民事责任。</w:t>
      </w:r>
    </w:p>
    <w:p w14:paraId="4B3DD6F8">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color w:val="auto"/>
          <w:kern w:val="2"/>
          <w:sz w:val="24"/>
          <w:szCs w:val="28"/>
          <w:highlight w:val="none"/>
          <w:lang w:val="en-US" w:eastAsia="zh-CN" w:bidi="ar-SA"/>
        </w:rPr>
      </w:pPr>
      <w:bookmarkStart w:id="364" w:name="_Toc30681"/>
      <w:bookmarkStart w:id="365" w:name="_Toc163492865"/>
      <w:bookmarkStart w:id="366" w:name="_Toc140132798"/>
      <w:bookmarkStart w:id="367" w:name="_Toc19464"/>
      <w:bookmarkStart w:id="368" w:name="_Toc25821"/>
      <w:bookmarkStart w:id="369" w:name="_Toc2818"/>
      <w:r>
        <w:rPr>
          <w:rFonts w:hint="eastAsia" w:ascii="宋体" w:hAnsi="宋体" w:eastAsia="宋体" w:cs="宋体"/>
          <w:b/>
          <w:bCs/>
          <w:color w:val="auto"/>
          <w:kern w:val="2"/>
          <w:sz w:val="24"/>
          <w:szCs w:val="28"/>
          <w:highlight w:val="none"/>
          <w:lang w:val="en-US" w:eastAsia="zh-CN" w:bidi="ar-SA"/>
        </w:rPr>
        <w:t>34.签订合同</w:t>
      </w:r>
      <w:bookmarkEnd w:id="364"/>
      <w:bookmarkEnd w:id="365"/>
      <w:bookmarkEnd w:id="366"/>
      <w:bookmarkEnd w:id="367"/>
      <w:bookmarkEnd w:id="368"/>
      <w:bookmarkEnd w:id="369"/>
    </w:p>
    <w:p w14:paraId="77507EBB">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rPr>
      </w:pPr>
      <w:r>
        <w:rPr>
          <w:rFonts w:eastAsia="宋体"/>
          <w:bCs/>
          <w:color w:val="auto"/>
          <w:sz w:val="24"/>
          <w:highlight w:val="none"/>
        </w:rPr>
        <w:t>3</w:t>
      </w:r>
      <w:r>
        <w:rPr>
          <w:rFonts w:hint="eastAsia" w:eastAsia="宋体"/>
          <w:bCs/>
          <w:color w:val="auto"/>
          <w:sz w:val="24"/>
          <w:highlight w:val="none"/>
          <w:lang w:val="en-US" w:eastAsia="zh-CN"/>
        </w:rPr>
        <w:t>4</w:t>
      </w:r>
      <w:r>
        <w:rPr>
          <w:rFonts w:hint="eastAsia" w:eastAsia="宋体"/>
          <w:color w:val="auto"/>
          <w:sz w:val="24"/>
          <w:highlight w:val="none"/>
        </w:rPr>
        <w:t>.1 采购人和中标人应当自中标通知书发出之日起</w:t>
      </w:r>
      <w:r>
        <w:rPr>
          <w:rFonts w:hint="eastAsia"/>
          <w:color w:val="auto"/>
          <w:sz w:val="24"/>
          <w:highlight w:val="none"/>
          <w:lang w:val="en-US" w:eastAsia="zh-CN"/>
        </w:rPr>
        <w:t>30</w:t>
      </w:r>
      <w:r>
        <w:rPr>
          <w:rFonts w:hint="eastAsia" w:eastAsia="宋体"/>
          <w:color w:val="auto"/>
          <w:sz w:val="24"/>
          <w:highlight w:val="none"/>
        </w:rPr>
        <w:t>天内，根据招标文件和中标人的投标文件订立书面合同。</w:t>
      </w:r>
      <w:r>
        <w:rPr>
          <w:rFonts w:hint="eastAsia" w:ascii="宋体" w:hAnsi="宋体" w:eastAsia="宋体"/>
          <w:color w:val="auto"/>
          <w:sz w:val="24"/>
          <w:highlight w:val="none"/>
        </w:rPr>
        <w:t>采购人因不可抗力原因迟延签订合同的，应当自不可抗力事由消除之日起7日内完成合同签订事宜。</w:t>
      </w:r>
      <w:r>
        <w:rPr>
          <w:rFonts w:hint="eastAsia" w:eastAsia="宋体"/>
          <w:color w:val="auto"/>
          <w:sz w:val="24"/>
          <w:highlight w:val="none"/>
        </w:rPr>
        <w:t>所签订的合同不得对招标文件和中标人投标文件作实质性修改。中标人无正当理由拒签合同，给采购人造成损失的，中标人还应当承担民事责任。</w:t>
      </w:r>
    </w:p>
    <w:p w14:paraId="72CF4FDD">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lang w:val="en-US" w:eastAsia="zh-CN"/>
        </w:rPr>
      </w:pPr>
      <w:r>
        <w:rPr>
          <w:rFonts w:hint="eastAsia" w:eastAsia="宋体"/>
          <w:color w:val="auto"/>
          <w:sz w:val="24"/>
          <w:highlight w:val="none"/>
          <w:lang w:val="en-US" w:eastAsia="zh-CN"/>
        </w:rPr>
        <w:t>34.2 中标人拒绝与采购人签订合同的，采购人可以按照评标报告推荐的中标候选人名单排序，确定下一候选人为中标人，也可以重新开展政府采购活动。</w:t>
      </w:r>
    </w:p>
    <w:p w14:paraId="0D3421B6">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rPr>
      </w:pPr>
      <w:r>
        <w:rPr>
          <w:rFonts w:eastAsia="宋体"/>
          <w:bCs/>
          <w:color w:val="auto"/>
          <w:sz w:val="24"/>
          <w:highlight w:val="none"/>
        </w:rPr>
        <w:t>3</w:t>
      </w:r>
      <w:r>
        <w:rPr>
          <w:rFonts w:hint="eastAsia" w:eastAsia="宋体"/>
          <w:bCs/>
          <w:color w:val="auto"/>
          <w:sz w:val="24"/>
          <w:highlight w:val="none"/>
          <w:lang w:val="en-US" w:eastAsia="zh-CN"/>
        </w:rPr>
        <w:t>4</w:t>
      </w:r>
      <w:r>
        <w:rPr>
          <w:rFonts w:hint="eastAsia" w:eastAsia="宋体"/>
          <w:color w:val="auto"/>
          <w:sz w:val="24"/>
          <w:highlight w:val="none"/>
        </w:rPr>
        <w:t>.</w:t>
      </w:r>
      <w:r>
        <w:rPr>
          <w:rFonts w:hint="eastAsia" w:eastAsia="宋体"/>
          <w:color w:val="auto"/>
          <w:sz w:val="24"/>
          <w:highlight w:val="none"/>
          <w:lang w:val="en-US" w:eastAsia="zh-CN"/>
        </w:rPr>
        <w:t>3</w:t>
      </w:r>
      <w:r>
        <w:rPr>
          <w:rFonts w:hint="eastAsia" w:eastAsia="宋体"/>
          <w:color w:val="auto"/>
          <w:sz w:val="24"/>
          <w:highlight w:val="none"/>
        </w:rPr>
        <w:t xml:space="preserve"> 采购人和中标人不得向对方提出任何不合理的要求，作为签订合同的条件，双方不得私下订立背离合同实质性内容的协议。</w:t>
      </w:r>
    </w:p>
    <w:p w14:paraId="5551DDAE">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lang w:val="en-US" w:eastAsia="zh-CN"/>
        </w:rPr>
      </w:pPr>
      <w:r>
        <w:rPr>
          <w:rFonts w:hint="eastAsia" w:eastAsia="宋体"/>
          <w:color w:val="auto"/>
          <w:sz w:val="24"/>
          <w:highlight w:val="none"/>
          <w:lang w:val="en-US" w:eastAsia="zh-CN"/>
        </w:rPr>
        <w:t>34.4 联合体中标的，联合体各方应当共同与采购人签订合同，就采购合同约定的事项向采购人承担连带责任。</w:t>
      </w:r>
    </w:p>
    <w:p w14:paraId="2BA187E8">
      <w:pPr>
        <w:pStyle w:val="40"/>
        <w:keepNext w:val="0"/>
        <w:keepLines w:val="0"/>
        <w:pageBreakBefore w:val="0"/>
        <w:widowControl w:val="0"/>
        <w:kinsoku/>
        <w:overflowPunct/>
        <w:topLinePunct w:val="0"/>
        <w:autoSpaceDE/>
        <w:autoSpaceDN/>
        <w:bidi w:val="0"/>
        <w:adjustRightInd/>
        <w:textAlignment w:val="auto"/>
        <w:rPr>
          <w:rFonts w:hint="eastAsia" w:eastAsia="宋体"/>
          <w:b/>
          <w:bCs/>
          <w:color w:val="auto"/>
          <w:sz w:val="24"/>
          <w:highlight w:val="none"/>
          <w:lang w:val="en-US" w:eastAsia="zh-CN"/>
        </w:rPr>
      </w:pPr>
      <w:r>
        <w:rPr>
          <w:rFonts w:hint="eastAsia" w:eastAsia="宋体"/>
          <w:color w:val="auto"/>
          <w:sz w:val="24"/>
          <w:highlight w:val="none"/>
          <w:lang w:val="en-US" w:eastAsia="zh-CN"/>
        </w:rPr>
        <w:t>34.5 本项目的非主体、非关键性工作是否允许分包，见“投标人须知前附表”。采购人允许采用分包方式履行合同的，中标人可以依法在中标后将中标项目的非主体、非关键性工作采取分包方式履行合同。政府采购合同分包履行的，应当在投标文件中载明分包承担主体，分包承担主体应当具备相应资质条件且不得再次分包，否则</w:t>
      </w:r>
      <w:r>
        <w:rPr>
          <w:rFonts w:hint="eastAsia" w:eastAsia="宋体"/>
          <w:b/>
          <w:bCs/>
          <w:color w:val="auto"/>
          <w:sz w:val="24"/>
          <w:highlight w:val="none"/>
          <w:lang w:val="en-US" w:eastAsia="zh-CN"/>
        </w:rPr>
        <w:t>投标无效</w:t>
      </w:r>
      <w:r>
        <w:rPr>
          <w:rFonts w:hint="eastAsia" w:eastAsia="宋体"/>
          <w:color w:val="auto"/>
          <w:sz w:val="24"/>
          <w:highlight w:val="none"/>
          <w:lang w:val="en-US" w:eastAsia="zh-CN"/>
        </w:rPr>
        <w:t>。中标人就采购项目和分包项目向采购人负责，分包供应商就分包项目承担责任。</w:t>
      </w:r>
      <w:r>
        <w:rPr>
          <w:rFonts w:hint="eastAsia" w:eastAsia="宋体"/>
          <w:b/>
          <w:bCs/>
          <w:color w:val="auto"/>
          <w:sz w:val="24"/>
          <w:highlight w:val="none"/>
          <w:lang w:val="en-US" w:eastAsia="zh-CN"/>
        </w:rPr>
        <w:t>政府采购合同不能转包。</w:t>
      </w:r>
    </w:p>
    <w:p w14:paraId="13D12B87">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rPr>
      </w:pPr>
      <w:r>
        <w:rPr>
          <w:rFonts w:eastAsia="宋体"/>
          <w:bCs/>
          <w:color w:val="auto"/>
          <w:sz w:val="24"/>
          <w:highlight w:val="none"/>
        </w:rPr>
        <w:t>3</w:t>
      </w:r>
      <w:r>
        <w:rPr>
          <w:rFonts w:hint="eastAsia" w:eastAsia="宋体"/>
          <w:bCs/>
          <w:color w:val="auto"/>
          <w:sz w:val="24"/>
          <w:highlight w:val="none"/>
          <w:lang w:val="en-US" w:eastAsia="zh-CN"/>
        </w:rPr>
        <w:t>4</w:t>
      </w:r>
      <w:r>
        <w:rPr>
          <w:rFonts w:hint="eastAsia" w:eastAsia="宋体"/>
          <w:color w:val="auto"/>
          <w:sz w:val="24"/>
          <w:highlight w:val="none"/>
        </w:rPr>
        <w:t>.</w:t>
      </w:r>
      <w:r>
        <w:rPr>
          <w:rFonts w:hint="eastAsia" w:eastAsia="宋体"/>
          <w:color w:val="auto"/>
          <w:sz w:val="24"/>
          <w:highlight w:val="none"/>
          <w:lang w:val="en-US" w:eastAsia="zh-CN"/>
        </w:rPr>
        <w:t>6</w:t>
      </w:r>
      <w:r>
        <w:rPr>
          <w:rFonts w:hint="eastAsia" w:eastAsia="宋体"/>
          <w:color w:val="auto"/>
          <w:sz w:val="24"/>
          <w:highlight w:val="none"/>
        </w:rPr>
        <w:t>采购合同履行中，采购人需追加与合同标的相同的</w:t>
      </w:r>
      <w:r>
        <w:rPr>
          <w:rFonts w:hint="eastAsia" w:eastAsia="宋体"/>
          <w:color w:val="auto"/>
          <w:sz w:val="24"/>
          <w:highlight w:val="none"/>
          <w:lang w:val="en-US" w:eastAsia="zh-CN"/>
        </w:rPr>
        <w:t>货物、工程或者服务</w:t>
      </w:r>
      <w:r>
        <w:rPr>
          <w:rFonts w:hint="eastAsia" w:eastAsia="宋体"/>
          <w:color w:val="auto"/>
          <w:sz w:val="24"/>
          <w:highlight w:val="none"/>
        </w:rPr>
        <w:t>的，在不改变合同其他条款的前提下，可以与中标人协商签订补充合同，但所有补充合同的采购金额不得超过原合同采购金额的百分之十。</w:t>
      </w:r>
    </w:p>
    <w:p w14:paraId="259D0E8B">
      <w:pPr>
        <w:pStyle w:val="40"/>
        <w:keepNext w:val="0"/>
        <w:keepLines w:val="0"/>
        <w:pageBreakBefore w:val="0"/>
        <w:widowControl w:val="0"/>
        <w:kinsoku/>
        <w:overflowPunct/>
        <w:topLinePunct w:val="0"/>
        <w:autoSpaceDE/>
        <w:autoSpaceDN/>
        <w:bidi w:val="0"/>
        <w:adjustRightInd/>
        <w:textAlignment w:val="auto"/>
        <w:rPr>
          <w:rFonts w:hint="default" w:ascii="宋体" w:hAnsi="宋体" w:eastAsia="宋体"/>
          <w:color w:val="auto"/>
          <w:sz w:val="24"/>
          <w:highlight w:val="none"/>
          <w:lang w:val="en-US" w:eastAsia="zh-CN"/>
        </w:rPr>
      </w:pPr>
      <w:r>
        <w:rPr>
          <w:rFonts w:hint="eastAsia" w:ascii="宋体" w:hAnsi="宋体" w:eastAsia="宋体"/>
          <w:color w:val="auto"/>
          <w:sz w:val="24"/>
          <w:highlight w:val="none"/>
          <w:lang w:val="en-US" w:eastAsia="zh-CN"/>
        </w:rPr>
        <w:t>34.7 采购人应于签订合同之日起2个工作日内在政采云平台备案公示。</w:t>
      </w:r>
    </w:p>
    <w:p w14:paraId="12490EB6">
      <w:pPr>
        <w:pStyle w:val="4"/>
        <w:keepNext w:val="0"/>
        <w:keepLines w:val="0"/>
        <w:pageBreakBefore w:val="0"/>
        <w:widowControl w:val="0"/>
        <w:numPr>
          <w:ilvl w:val="0"/>
          <w:numId w:val="0"/>
        </w:numPr>
        <w:kinsoku/>
        <w:wordWrap/>
        <w:overflowPunct/>
        <w:topLinePunct w:val="0"/>
        <w:autoSpaceDE/>
        <w:autoSpaceDN/>
        <w:bidi w:val="0"/>
        <w:adjustRightInd/>
        <w:snapToGrid/>
        <w:spacing w:before="100" w:after="100" w:line="240" w:lineRule="auto"/>
        <w:ind w:left="420" w:leftChars="0" w:hanging="420" w:firstLineChars="0"/>
        <w:textAlignment w:val="auto"/>
        <w:rPr>
          <w:rFonts w:hint="eastAsia" w:ascii="宋体" w:hAnsi="宋体" w:eastAsia="宋体" w:cstheme="minorBidi"/>
          <w:b/>
          <w:bCs/>
          <w:color w:val="auto"/>
          <w:kern w:val="2"/>
          <w:sz w:val="24"/>
          <w:szCs w:val="32"/>
          <w:highlight w:val="none"/>
          <w:lang w:val="en-US" w:eastAsia="zh-CN" w:bidi="ar-SA"/>
        </w:rPr>
      </w:pPr>
      <w:bookmarkStart w:id="370" w:name="_Toc163492866"/>
      <w:bookmarkStart w:id="371" w:name="_Toc16618"/>
      <w:bookmarkStart w:id="372" w:name="_Toc3470"/>
      <w:bookmarkStart w:id="373" w:name="_Toc140132799"/>
      <w:bookmarkStart w:id="374" w:name="_Toc16755"/>
      <w:bookmarkStart w:id="375" w:name="_Toc155185881"/>
      <w:bookmarkStart w:id="376" w:name="_Toc9575"/>
      <w:r>
        <w:rPr>
          <w:rFonts w:hint="eastAsia" w:ascii="宋体" w:hAnsi="宋体" w:eastAsia="宋体" w:cstheme="minorBidi"/>
          <w:b/>
          <w:bCs/>
          <w:color w:val="auto"/>
          <w:kern w:val="2"/>
          <w:sz w:val="24"/>
          <w:szCs w:val="32"/>
          <w:highlight w:val="none"/>
          <w:lang w:val="en-US" w:eastAsia="zh-CN" w:bidi="ar-SA"/>
        </w:rPr>
        <w:t>（十）质疑和投诉</w:t>
      </w:r>
      <w:bookmarkEnd w:id="370"/>
      <w:bookmarkEnd w:id="371"/>
      <w:bookmarkEnd w:id="372"/>
      <w:bookmarkEnd w:id="373"/>
      <w:bookmarkEnd w:id="374"/>
      <w:bookmarkEnd w:id="375"/>
      <w:bookmarkEnd w:id="376"/>
    </w:p>
    <w:p w14:paraId="23BE6A9F">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color w:val="auto"/>
          <w:kern w:val="2"/>
          <w:sz w:val="24"/>
          <w:szCs w:val="28"/>
          <w:highlight w:val="none"/>
          <w:lang w:val="en-US" w:eastAsia="zh-CN" w:bidi="ar-SA"/>
        </w:rPr>
      </w:pPr>
      <w:bookmarkStart w:id="377" w:name="_Toc163492867"/>
      <w:bookmarkStart w:id="378" w:name="_Toc140132800"/>
      <w:bookmarkStart w:id="379" w:name="_Toc8211"/>
      <w:bookmarkStart w:id="380" w:name="_Toc5638"/>
      <w:bookmarkStart w:id="381" w:name="_Toc26264"/>
      <w:bookmarkStart w:id="382" w:name="_Toc1814"/>
      <w:r>
        <w:rPr>
          <w:rFonts w:hint="eastAsia" w:ascii="宋体" w:hAnsi="宋体" w:eastAsia="宋体" w:cs="宋体"/>
          <w:b/>
          <w:bCs/>
          <w:color w:val="auto"/>
          <w:kern w:val="2"/>
          <w:sz w:val="24"/>
          <w:szCs w:val="28"/>
          <w:highlight w:val="none"/>
          <w:lang w:val="en-US" w:eastAsia="zh-CN" w:bidi="ar-SA"/>
        </w:rPr>
        <w:t>35.质疑</w:t>
      </w:r>
      <w:bookmarkEnd w:id="377"/>
      <w:bookmarkEnd w:id="378"/>
      <w:bookmarkEnd w:id="379"/>
      <w:bookmarkEnd w:id="380"/>
      <w:bookmarkEnd w:id="381"/>
      <w:bookmarkEnd w:id="382"/>
    </w:p>
    <w:p w14:paraId="097AA162">
      <w:pPr>
        <w:pStyle w:val="40"/>
        <w:keepNext w:val="0"/>
        <w:keepLines w:val="0"/>
        <w:pageBreakBefore w:val="0"/>
        <w:widowControl w:val="0"/>
        <w:kinsoku/>
        <w:overflowPunct/>
        <w:topLinePunct w:val="0"/>
        <w:autoSpaceDE/>
        <w:autoSpaceDN/>
        <w:bidi w:val="0"/>
        <w:adjustRightInd/>
        <w:textAlignment w:val="auto"/>
        <w:rPr>
          <w:rFonts w:hint="default" w:eastAsia="宋体"/>
          <w:color w:val="auto"/>
          <w:sz w:val="24"/>
          <w:highlight w:val="none"/>
          <w:lang w:val="en-US" w:eastAsia="zh-CN"/>
        </w:rPr>
      </w:pPr>
      <w:r>
        <w:rPr>
          <w:rFonts w:eastAsia="宋体"/>
          <w:color w:val="auto"/>
          <w:sz w:val="24"/>
          <w:highlight w:val="none"/>
        </w:rPr>
        <w:t>3</w:t>
      </w:r>
      <w:r>
        <w:rPr>
          <w:rFonts w:hint="eastAsia" w:eastAsia="宋体"/>
          <w:color w:val="auto"/>
          <w:sz w:val="24"/>
          <w:highlight w:val="none"/>
          <w:lang w:val="en-US" w:eastAsia="zh-CN"/>
        </w:rPr>
        <w:t>5</w:t>
      </w:r>
      <w:r>
        <w:rPr>
          <w:rFonts w:hint="eastAsia" w:eastAsia="宋体"/>
          <w:color w:val="auto"/>
          <w:sz w:val="24"/>
          <w:highlight w:val="none"/>
        </w:rPr>
        <w:t>.1供应商认为采购文件、采购过程、中标结果使自己的权益受到损害的，可以在知道或者应知其权益受到损害之日起7个工作日内，以书面形式向采购人、采购代理机构提出质疑</w:t>
      </w:r>
      <w:r>
        <w:rPr>
          <w:rFonts w:hint="eastAsia" w:eastAsia="宋体"/>
          <w:color w:val="auto"/>
          <w:sz w:val="24"/>
          <w:highlight w:val="none"/>
          <w:lang w:eastAsia="zh-CN"/>
        </w:rPr>
        <w:t>，</w:t>
      </w:r>
      <w:r>
        <w:rPr>
          <w:rFonts w:hint="eastAsia" w:eastAsia="宋体"/>
          <w:color w:val="auto"/>
          <w:sz w:val="24"/>
          <w:highlight w:val="none"/>
          <w:lang w:val="en-US" w:eastAsia="zh-CN"/>
        </w:rPr>
        <w:t>详见“投标人须知前附表”</w:t>
      </w:r>
      <w:r>
        <w:rPr>
          <w:rFonts w:hint="eastAsia" w:eastAsia="宋体"/>
          <w:color w:val="auto"/>
          <w:sz w:val="24"/>
          <w:highlight w:val="none"/>
        </w:rPr>
        <w:t>。供应商在法定质疑期内一次性提出针对同一采购程序环节的质疑。</w:t>
      </w:r>
    </w:p>
    <w:p w14:paraId="35972B93">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rPr>
      </w:pPr>
      <w:r>
        <w:rPr>
          <w:rFonts w:eastAsia="宋体"/>
          <w:color w:val="auto"/>
          <w:sz w:val="24"/>
          <w:highlight w:val="none"/>
        </w:rPr>
        <w:t>3</w:t>
      </w:r>
      <w:r>
        <w:rPr>
          <w:rFonts w:hint="eastAsia" w:eastAsia="宋体"/>
          <w:color w:val="auto"/>
          <w:sz w:val="24"/>
          <w:highlight w:val="none"/>
          <w:lang w:val="en-US" w:eastAsia="zh-CN"/>
        </w:rPr>
        <w:t>5</w:t>
      </w:r>
      <w:r>
        <w:rPr>
          <w:rFonts w:hint="eastAsia" w:eastAsia="宋体"/>
          <w:color w:val="auto"/>
          <w:sz w:val="24"/>
          <w:highlight w:val="none"/>
        </w:rPr>
        <w:t>.2提出质疑的供应商（以下简称质疑供应商）应当是参与所质疑项目采购活动的供应商。</w:t>
      </w:r>
    </w:p>
    <w:p w14:paraId="6503DC74">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rPr>
      </w:pPr>
      <w:r>
        <w:rPr>
          <w:rFonts w:hint="eastAsia" w:eastAsia="宋体"/>
          <w:color w:val="auto"/>
          <w:sz w:val="24"/>
          <w:highlight w:val="none"/>
          <w:lang w:val="en-US" w:eastAsia="zh-CN"/>
        </w:rPr>
        <w:t>35.3</w:t>
      </w:r>
      <w:r>
        <w:rPr>
          <w:rFonts w:hint="eastAsia" w:eastAsia="宋体"/>
          <w:color w:val="auto"/>
          <w:sz w:val="24"/>
          <w:highlight w:val="none"/>
        </w:rPr>
        <w:t>潜在供应商已依法获取其可质疑的采购文件的，可以对该文件提出质疑。对采购文件提出质疑的，应当在获取采购文件或者采购文件公告期限届满之日起7个工作日内提出。</w:t>
      </w:r>
    </w:p>
    <w:p w14:paraId="7A916D67">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rPr>
      </w:pPr>
      <w:r>
        <w:rPr>
          <w:rFonts w:hint="eastAsia" w:eastAsia="宋体"/>
          <w:color w:val="auto"/>
          <w:sz w:val="24"/>
          <w:highlight w:val="none"/>
          <w:lang w:val="en-US" w:eastAsia="zh-CN"/>
        </w:rPr>
        <w:t>35.4</w:t>
      </w:r>
      <w:r>
        <w:rPr>
          <w:rFonts w:hint="eastAsia" w:eastAsia="宋体"/>
          <w:color w:val="auto"/>
          <w:sz w:val="24"/>
          <w:highlight w:val="none"/>
        </w:rPr>
        <w:t>供应商提出质疑应当提交质疑函和必要的证明材料。质疑函应当包括下列内容：</w:t>
      </w:r>
    </w:p>
    <w:p w14:paraId="57C1F480">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rPr>
      </w:pPr>
      <w:r>
        <w:rPr>
          <w:rFonts w:hint="eastAsia" w:eastAsia="宋体"/>
          <w:color w:val="auto"/>
          <w:sz w:val="24"/>
          <w:highlight w:val="none"/>
        </w:rPr>
        <w:t>（</w:t>
      </w:r>
      <w:r>
        <w:rPr>
          <w:rFonts w:hint="eastAsia" w:eastAsia="宋体"/>
          <w:color w:val="auto"/>
          <w:sz w:val="24"/>
          <w:highlight w:val="none"/>
          <w:lang w:val="en-US" w:eastAsia="zh-CN"/>
        </w:rPr>
        <w:t>1</w:t>
      </w:r>
      <w:r>
        <w:rPr>
          <w:rFonts w:hint="eastAsia" w:eastAsia="宋体"/>
          <w:color w:val="auto"/>
          <w:sz w:val="24"/>
          <w:highlight w:val="none"/>
        </w:rPr>
        <w:t>）供应商的姓名或者名称、地址、邮编、联系人及联系电话；</w:t>
      </w:r>
    </w:p>
    <w:p w14:paraId="2B1F4E61">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rPr>
      </w:pPr>
      <w:r>
        <w:rPr>
          <w:rFonts w:hint="eastAsia" w:eastAsia="宋体"/>
          <w:color w:val="auto"/>
          <w:sz w:val="24"/>
          <w:highlight w:val="none"/>
        </w:rPr>
        <w:t>（</w:t>
      </w:r>
      <w:r>
        <w:rPr>
          <w:rFonts w:hint="eastAsia" w:eastAsia="宋体"/>
          <w:color w:val="auto"/>
          <w:sz w:val="24"/>
          <w:highlight w:val="none"/>
          <w:lang w:val="en-US" w:eastAsia="zh-CN"/>
        </w:rPr>
        <w:t>2</w:t>
      </w:r>
      <w:r>
        <w:rPr>
          <w:rFonts w:hint="eastAsia" w:eastAsia="宋体"/>
          <w:color w:val="auto"/>
          <w:sz w:val="24"/>
          <w:highlight w:val="none"/>
        </w:rPr>
        <w:t>）质疑项目的名称、</w:t>
      </w:r>
      <w:r>
        <w:rPr>
          <w:rFonts w:hint="eastAsia" w:eastAsia="宋体"/>
          <w:color w:val="auto"/>
          <w:sz w:val="24"/>
          <w:highlight w:val="none"/>
          <w:lang w:val="en-US" w:eastAsia="zh-CN"/>
        </w:rPr>
        <w:t>项目</w:t>
      </w:r>
      <w:r>
        <w:rPr>
          <w:rFonts w:hint="eastAsia" w:eastAsia="宋体"/>
          <w:color w:val="auto"/>
          <w:sz w:val="24"/>
          <w:highlight w:val="none"/>
        </w:rPr>
        <w:t>编号</w:t>
      </w:r>
      <w:r>
        <w:rPr>
          <w:rFonts w:hint="eastAsia" w:eastAsia="宋体"/>
          <w:color w:val="auto"/>
          <w:sz w:val="24"/>
          <w:highlight w:val="none"/>
          <w:lang w:val="en-US" w:eastAsia="zh-CN"/>
        </w:rPr>
        <w:t>/包号</w:t>
      </w:r>
      <w:r>
        <w:rPr>
          <w:rFonts w:hint="eastAsia" w:eastAsia="宋体"/>
          <w:color w:val="auto"/>
          <w:sz w:val="24"/>
          <w:highlight w:val="none"/>
        </w:rPr>
        <w:t>；</w:t>
      </w:r>
    </w:p>
    <w:p w14:paraId="1AA8BB74">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rPr>
      </w:pPr>
      <w:r>
        <w:rPr>
          <w:rFonts w:hint="eastAsia" w:eastAsia="宋体"/>
          <w:color w:val="auto"/>
          <w:sz w:val="24"/>
          <w:highlight w:val="none"/>
        </w:rPr>
        <w:t>（</w:t>
      </w:r>
      <w:r>
        <w:rPr>
          <w:rFonts w:hint="eastAsia" w:eastAsia="宋体"/>
          <w:color w:val="auto"/>
          <w:sz w:val="24"/>
          <w:highlight w:val="none"/>
          <w:lang w:val="en-US" w:eastAsia="zh-CN"/>
        </w:rPr>
        <w:t>3</w:t>
      </w:r>
      <w:r>
        <w:rPr>
          <w:rFonts w:hint="eastAsia" w:eastAsia="宋体"/>
          <w:color w:val="auto"/>
          <w:sz w:val="24"/>
          <w:highlight w:val="none"/>
        </w:rPr>
        <w:t>）具体、明确的质疑事项和与质疑事项相关的请求；</w:t>
      </w:r>
    </w:p>
    <w:p w14:paraId="6456E8B1">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rPr>
      </w:pPr>
      <w:r>
        <w:rPr>
          <w:rFonts w:hint="eastAsia" w:eastAsia="宋体"/>
          <w:color w:val="auto"/>
          <w:sz w:val="24"/>
          <w:highlight w:val="none"/>
        </w:rPr>
        <w:t>（</w:t>
      </w:r>
      <w:r>
        <w:rPr>
          <w:rFonts w:hint="eastAsia" w:eastAsia="宋体"/>
          <w:color w:val="auto"/>
          <w:sz w:val="24"/>
          <w:highlight w:val="none"/>
          <w:lang w:val="en-US" w:eastAsia="zh-CN"/>
        </w:rPr>
        <w:t>4</w:t>
      </w:r>
      <w:r>
        <w:rPr>
          <w:rFonts w:hint="eastAsia" w:eastAsia="宋体"/>
          <w:color w:val="auto"/>
          <w:sz w:val="24"/>
          <w:highlight w:val="none"/>
        </w:rPr>
        <w:t>）事实依据；</w:t>
      </w:r>
    </w:p>
    <w:p w14:paraId="4D032ABB">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rPr>
      </w:pPr>
      <w:r>
        <w:rPr>
          <w:rFonts w:hint="eastAsia" w:eastAsia="宋体"/>
          <w:color w:val="auto"/>
          <w:sz w:val="24"/>
          <w:highlight w:val="none"/>
        </w:rPr>
        <w:t>（</w:t>
      </w:r>
      <w:r>
        <w:rPr>
          <w:rFonts w:hint="eastAsia" w:eastAsia="宋体"/>
          <w:color w:val="auto"/>
          <w:sz w:val="24"/>
          <w:highlight w:val="none"/>
          <w:lang w:val="en-US" w:eastAsia="zh-CN"/>
        </w:rPr>
        <w:t>5</w:t>
      </w:r>
      <w:r>
        <w:rPr>
          <w:rFonts w:hint="eastAsia" w:eastAsia="宋体"/>
          <w:color w:val="auto"/>
          <w:sz w:val="24"/>
          <w:highlight w:val="none"/>
        </w:rPr>
        <w:t>）必要的法律依据；</w:t>
      </w:r>
    </w:p>
    <w:p w14:paraId="2E14DE4D">
      <w:pPr>
        <w:pStyle w:val="40"/>
        <w:keepNext w:val="0"/>
        <w:keepLines w:val="0"/>
        <w:pageBreakBefore w:val="0"/>
        <w:widowControl w:val="0"/>
        <w:kinsoku/>
        <w:overflowPunct/>
        <w:topLinePunct w:val="0"/>
        <w:autoSpaceDE/>
        <w:autoSpaceDN/>
        <w:bidi w:val="0"/>
        <w:adjustRightInd/>
        <w:textAlignment w:val="auto"/>
        <w:rPr>
          <w:rFonts w:eastAsia="宋体"/>
          <w:color w:val="auto"/>
          <w:sz w:val="24"/>
          <w:highlight w:val="none"/>
        </w:rPr>
      </w:pPr>
      <w:r>
        <w:rPr>
          <w:rFonts w:hint="eastAsia" w:eastAsia="宋体"/>
          <w:color w:val="auto"/>
          <w:sz w:val="24"/>
          <w:highlight w:val="none"/>
        </w:rPr>
        <w:t>（</w:t>
      </w:r>
      <w:r>
        <w:rPr>
          <w:rFonts w:hint="eastAsia" w:eastAsia="宋体"/>
          <w:color w:val="auto"/>
          <w:sz w:val="24"/>
          <w:highlight w:val="none"/>
          <w:lang w:val="en-US" w:eastAsia="zh-CN"/>
        </w:rPr>
        <w:t>6</w:t>
      </w:r>
      <w:r>
        <w:rPr>
          <w:rFonts w:hint="eastAsia" w:eastAsia="宋体"/>
          <w:color w:val="auto"/>
          <w:sz w:val="24"/>
          <w:highlight w:val="none"/>
        </w:rPr>
        <w:t>）提出质疑的日期。</w:t>
      </w:r>
    </w:p>
    <w:p w14:paraId="553B627B">
      <w:pPr>
        <w:pStyle w:val="40"/>
        <w:keepNext w:val="0"/>
        <w:keepLines w:val="0"/>
        <w:pageBreakBefore w:val="0"/>
        <w:widowControl w:val="0"/>
        <w:kinsoku/>
        <w:overflowPunct/>
        <w:topLinePunct w:val="0"/>
        <w:autoSpaceDE/>
        <w:autoSpaceDN/>
        <w:bidi w:val="0"/>
        <w:adjustRightInd/>
        <w:textAlignment w:val="auto"/>
        <w:rPr>
          <w:rFonts w:eastAsia="宋体"/>
          <w:color w:val="auto"/>
          <w:sz w:val="24"/>
          <w:highlight w:val="none"/>
        </w:rPr>
      </w:pPr>
      <w:r>
        <w:rPr>
          <w:rFonts w:hint="eastAsia" w:eastAsia="宋体"/>
          <w:color w:val="auto"/>
          <w:sz w:val="24"/>
          <w:highlight w:val="none"/>
        </w:rPr>
        <w:t>供应商为自然人的，应当由本人签字；供应商为法人或者其他组织的，应当由法定代表人、主要负责人，或者其授权代表签字或者盖章，并加盖公章。</w:t>
      </w:r>
    </w:p>
    <w:p w14:paraId="5F1352A8">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rPr>
      </w:pPr>
      <w:r>
        <w:rPr>
          <w:rFonts w:eastAsia="宋体"/>
          <w:color w:val="auto"/>
          <w:sz w:val="24"/>
          <w:highlight w:val="none"/>
        </w:rPr>
        <w:t>3</w:t>
      </w:r>
      <w:r>
        <w:rPr>
          <w:rFonts w:hint="eastAsia" w:eastAsia="宋体"/>
          <w:color w:val="auto"/>
          <w:sz w:val="24"/>
          <w:highlight w:val="none"/>
          <w:lang w:val="en-US" w:eastAsia="zh-CN"/>
        </w:rPr>
        <w:t>5</w:t>
      </w:r>
      <w:r>
        <w:rPr>
          <w:rFonts w:hint="eastAsia" w:eastAsia="宋体"/>
          <w:color w:val="auto"/>
          <w:sz w:val="24"/>
          <w:highlight w:val="none"/>
        </w:rPr>
        <w:t>.5质疑函不符合上述要求的，采购人或代理机构应书面告知具体事项，质疑人应当按要求进行修改或补充，并在质疑有效期限内提交。</w:t>
      </w:r>
    </w:p>
    <w:p w14:paraId="4A4B9243">
      <w:pPr>
        <w:pStyle w:val="40"/>
        <w:keepNext w:val="0"/>
        <w:keepLines w:val="0"/>
        <w:pageBreakBefore w:val="0"/>
        <w:widowControl w:val="0"/>
        <w:kinsoku/>
        <w:overflowPunct/>
        <w:topLinePunct w:val="0"/>
        <w:autoSpaceDE/>
        <w:autoSpaceDN/>
        <w:bidi w:val="0"/>
        <w:adjustRightInd/>
        <w:textAlignment w:val="auto"/>
        <w:rPr>
          <w:rFonts w:hint="eastAsia" w:eastAsia="宋体"/>
          <w:snapToGrid w:val="0"/>
          <w:color w:val="auto"/>
          <w:sz w:val="24"/>
          <w:highlight w:val="none"/>
        </w:rPr>
      </w:pPr>
      <w:r>
        <w:rPr>
          <w:rFonts w:hint="eastAsia" w:eastAsia="宋体"/>
          <w:snapToGrid w:val="0"/>
          <w:color w:val="auto"/>
          <w:sz w:val="24"/>
          <w:highlight w:val="none"/>
        </w:rPr>
        <w:t>3</w:t>
      </w:r>
      <w:r>
        <w:rPr>
          <w:rFonts w:hint="eastAsia" w:eastAsia="宋体"/>
          <w:snapToGrid w:val="0"/>
          <w:color w:val="auto"/>
          <w:sz w:val="24"/>
          <w:highlight w:val="none"/>
          <w:lang w:val="en-US" w:eastAsia="zh-CN"/>
        </w:rPr>
        <w:t>5</w:t>
      </w:r>
      <w:r>
        <w:rPr>
          <w:rFonts w:hint="eastAsia" w:eastAsia="宋体"/>
          <w:snapToGrid w:val="0"/>
          <w:color w:val="auto"/>
          <w:sz w:val="24"/>
          <w:highlight w:val="none"/>
        </w:rPr>
        <w:t>.</w:t>
      </w:r>
      <w:r>
        <w:rPr>
          <w:rFonts w:hint="eastAsia" w:eastAsia="宋体"/>
          <w:snapToGrid w:val="0"/>
          <w:color w:val="auto"/>
          <w:sz w:val="24"/>
          <w:highlight w:val="none"/>
          <w:lang w:val="en-US" w:eastAsia="zh-CN"/>
        </w:rPr>
        <w:t>6</w:t>
      </w:r>
      <w:r>
        <w:rPr>
          <w:rFonts w:hint="eastAsia" w:eastAsia="宋体"/>
          <w:snapToGrid w:val="0"/>
          <w:color w:val="auto"/>
          <w:sz w:val="24"/>
          <w:highlight w:val="none"/>
        </w:rPr>
        <w:t>投标人进行虚假和恶意</w:t>
      </w:r>
      <w:r>
        <w:rPr>
          <w:rFonts w:hint="eastAsia" w:eastAsia="宋体"/>
          <w:snapToGrid w:val="0"/>
          <w:color w:val="auto"/>
          <w:sz w:val="24"/>
          <w:highlight w:val="none"/>
          <w:lang w:val="en-US" w:eastAsia="zh-CN"/>
        </w:rPr>
        <w:t>质疑投诉</w:t>
      </w:r>
      <w:r>
        <w:rPr>
          <w:rFonts w:hint="eastAsia" w:eastAsia="宋体"/>
          <w:snapToGrid w:val="0"/>
          <w:color w:val="auto"/>
          <w:sz w:val="24"/>
          <w:highlight w:val="none"/>
        </w:rPr>
        <w:t>的，采购代理机构将提请有关部门将其列入不良记录名单，在一至三年内禁止参加政府采购活动，并将处理决定在相关政府采购媒体上公布。</w:t>
      </w:r>
    </w:p>
    <w:p w14:paraId="3E72DE8B">
      <w:pPr>
        <w:pStyle w:val="40"/>
        <w:keepNext w:val="0"/>
        <w:keepLines w:val="0"/>
        <w:pageBreakBefore w:val="0"/>
        <w:widowControl w:val="0"/>
        <w:kinsoku/>
        <w:overflowPunct/>
        <w:topLinePunct w:val="0"/>
        <w:autoSpaceDE/>
        <w:autoSpaceDN/>
        <w:bidi w:val="0"/>
        <w:adjustRightInd/>
        <w:textAlignment w:val="auto"/>
        <w:rPr>
          <w:rFonts w:hint="default" w:eastAsia="宋体"/>
          <w:snapToGrid w:val="0"/>
          <w:color w:val="auto"/>
          <w:sz w:val="24"/>
          <w:highlight w:val="none"/>
          <w:lang w:val="en-US" w:eastAsia="zh-CN"/>
        </w:rPr>
      </w:pPr>
      <w:r>
        <w:rPr>
          <w:rFonts w:hint="eastAsia" w:eastAsia="宋体"/>
          <w:snapToGrid w:val="0"/>
          <w:color w:val="auto"/>
          <w:sz w:val="24"/>
          <w:highlight w:val="none"/>
          <w:lang w:val="en-US" w:eastAsia="zh-CN"/>
        </w:rPr>
        <w:t>35.7</w:t>
      </w:r>
      <w:r>
        <w:rPr>
          <w:rFonts w:hint="eastAsia" w:eastAsia="宋体"/>
          <w:color w:val="auto"/>
          <w:sz w:val="24"/>
          <w:highlight w:val="none"/>
        </w:rPr>
        <w:t>质疑函</w:t>
      </w:r>
      <w:r>
        <w:rPr>
          <w:rFonts w:hint="eastAsia" w:eastAsia="宋体"/>
          <w:color w:val="auto"/>
          <w:sz w:val="24"/>
          <w:highlight w:val="none"/>
          <w:lang w:val="en-US" w:eastAsia="zh-CN"/>
        </w:rPr>
        <w:t>应当使用中文，并采用财政部门制定的范本。</w:t>
      </w:r>
    </w:p>
    <w:p w14:paraId="57BB856E">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color w:val="auto"/>
          <w:kern w:val="2"/>
          <w:sz w:val="24"/>
          <w:szCs w:val="28"/>
          <w:highlight w:val="none"/>
          <w:lang w:val="en-US" w:eastAsia="zh-CN" w:bidi="ar-SA"/>
        </w:rPr>
      </w:pPr>
      <w:bookmarkStart w:id="383" w:name="_Toc140132801"/>
      <w:bookmarkStart w:id="384" w:name="_Toc21790"/>
      <w:bookmarkStart w:id="385" w:name="_Toc13773"/>
      <w:bookmarkStart w:id="386" w:name="_Toc2311"/>
      <w:bookmarkStart w:id="387" w:name="_Toc163492868"/>
      <w:bookmarkStart w:id="388" w:name="_Toc28277"/>
      <w:r>
        <w:rPr>
          <w:rFonts w:hint="eastAsia" w:ascii="宋体" w:hAnsi="宋体" w:eastAsia="宋体" w:cs="宋体"/>
          <w:b/>
          <w:bCs/>
          <w:color w:val="auto"/>
          <w:kern w:val="2"/>
          <w:sz w:val="24"/>
          <w:szCs w:val="28"/>
          <w:highlight w:val="none"/>
          <w:lang w:val="en-US" w:eastAsia="zh-CN" w:bidi="ar-SA"/>
        </w:rPr>
        <w:t>36.质疑答复</w:t>
      </w:r>
      <w:bookmarkEnd w:id="383"/>
      <w:bookmarkEnd w:id="384"/>
      <w:bookmarkEnd w:id="385"/>
      <w:bookmarkEnd w:id="386"/>
      <w:bookmarkEnd w:id="387"/>
      <w:bookmarkEnd w:id="388"/>
    </w:p>
    <w:p w14:paraId="43D7F91D">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rPr>
      </w:pPr>
      <w:r>
        <w:rPr>
          <w:rFonts w:eastAsia="宋体"/>
          <w:color w:val="auto"/>
          <w:sz w:val="24"/>
          <w:highlight w:val="none"/>
        </w:rPr>
        <w:t>3</w:t>
      </w:r>
      <w:r>
        <w:rPr>
          <w:rFonts w:hint="eastAsia" w:eastAsia="宋体"/>
          <w:color w:val="auto"/>
          <w:sz w:val="24"/>
          <w:highlight w:val="none"/>
          <w:lang w:val="en-US" w:eastAsia="zh-CN"/>
        </w:rPr>
        <w:t>6</w:t>
      </w:r>
      <w:r>
        <w:rPr>
          <w:rFonts w:hint="eastAsia" w:eastAsia="宋体"/>
          <w:color w:val="auto"/>
          <w:sz w:val="24"/>
          <w:highlight w:val="none"/>
        </w:rPr>
        <w:t>.1采购人、采购代理机构不得拒收质疑供应商在法定质疑期内发出的质疑函，应当在收到质疑函后7个工作日内作出答复，并以书面形式通知质疑供应商和其他有关供应商。</w:t>
      </w:r>
    </w:p>
    <w:p w14:paraId="6776834F">
      <w:pPr>
        <w:pStyle w:val="40"/>
        <w:keepNext w:val="0"/>
        <w:keepLines w:val="0"/>
        <w:pageBreakBefore w:val="0"/>
        <w:widowControl w:val="0"/>
        <w:kinsoku/>
        <w:overflowPunct/>
        <w:topLinePunct w:val="0"/>
        <w:autoSpaceDE/>
        <w:autoSpaceDN/>
        <w:bidi w:val="0"/>
        <w:adjustRightInd/>
        <w:textAlignment w:val="auto"/>
        <w:rPr>
          <w:rFonts w:hint="default" w:eastAsia="宋体"/>
          <w:color w:val="auto"/>
          <w:sz w:val="24"/>
          <w:highlight w:val="none"/>
          <w:lang w:val="en-US" w:eastAsia="zh-CN"/>
        </w:rPr>
      </w:pPr>
      <w:r>
        <w:rPr>
          <w:rFonts w:hint="eastAsia" w:eastAsia="宋体"/>
          <w:color w:val="auto"/>
          <w:sz w:val="24"/>
          <w:highlight w:val="none"/>
          <w:lang w:val="en-US" w:eastAsia="zh-CN"/>
        </w:rPr>
        <w:t>36.2供应商对评审过程、中标结果提出质疑的，采购人、采购代理机构可以组织原评标委员会协助答复质疑。</w:t>
      </w:r>
    </w:p>
    <w:p w14:paraId="14E02AAA">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lang w:val="zh-CN" w:eastAsia="zh-CN"/>
        </w:rPr>
      </w:pPr>
      <w:bookmarkStart w:id="389" w:name="_Toc163492869"/>
      <w:bookmarkStart w:id="390" w:name="_Toc140132802"/>
      <w:r>
        <w:rPr>
          <w:rFonts w:hint="eastAsia" w:eastAsia="宋体"/>
          <w:color w:val="auto"/>
          <w:sz w:val="24"/>
          <w:highlight w:val="none"/>
          <w:lang w:val="zh-CN" w:eastAsia="zh-CN"/>
        </w:rPr>
        <w:t>质疑答复应当包括下列内容：</w:t>
      </w:r>
    </w:p>
    <w:p w14:paraId="457CAA68">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lang w:val="zh-CN" w:eastAsia="zh-CN"/>
        </w:rPr>
      </w:pPr>
      <w:r>
        <w:rPr>
          <w:rFonts w:hint="eastAsia" w:eastAsia="宋体"/>
          <w:color w:val="auto"/>
          <w:sz w:val="24"/>
          <w:highlight w:val="none"/>
          <w:lang w:val="zh-CN" w:eastAsia="zh-CN"/>
        </w:rPr>
        <w:t>（</w:t>
      </w:r>
      <w:r>
        <w:rPr>
          <w:rFonts w:hint="eastAsia" w:eastAsia="宋体"/>
          <w:color w:val="auto"/>
          <w:sz w:val="24"/>
          <w:highlight w:val="none"/>
          <w:lang w:val="en-US" w:eastAsia="zh-CN"/>
        </w:rPr>
        <w:t>1</w:t>
      </w:r>
      <w:r>
        <w:rPr>
          <w:rFonts w:hint="eastAsia" w:eastAsia="宋体"/>
          <w:color w:val="auto"/>
          <w:sz w:val="24"/>
          <w:highlight w:val="none"/>
          <w:lang w:val="zh-CN" w:eastAsia="zh-CN"/>
        </w:rPr>
        <w:t>）质疑供应商的姓名或者名称；</w:t>
      </w:r>
    </w:p>
    <w:p w14:paraId="462FCFC0">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lang w:val="zh-CN" w:eastAsia="zh-CN"/>
        </w:rPr>
      </w:pPr>
      <w:r>
        <w:rPr>
          <w:rFonts w:hint="eastAsia" w:eastAsia="宋体"/>
          <w:color w:val="auto"/>
          <w:sz w:val="24"/>
          <w:highlight w:val="none"/>
          <w:lang w:val="zh-CN" w:eastAsia="zh-CN"/>
        </w:rPr>
        <w:t>（</w:t>
      </w:r>
      <w:r>
        <w:rPr>
          <w:rFonts w:hint="eastAsia" w:eastAsia="宋体"/>
          <w:color w:val="auto"/>
          <w:sz w:val="24"/>
          <w:highlight w:val="none"/>
          <w:lang w:val="en-US" w:eastAsia="zh-CN"/>
        </w:rPr>
        <w:t>2</w:t>
      </w:r>
      <w:r>
        <w:rPr>
          <w:rFonts w:hint="eastAsia" w:eastAsia="宋体"/>
          <w:color w:val="auto"/>
          <w:sz w:val="24"/>
          <w:highlight w:val="none"/>
          <w:lang w:val="zh-CN" w:eastAsia="zh-CN"/>
        </w:rPr>
        <w:t>）收到质疑函的日期、质疑项目名称及</w:t>
      </w:r>
      <w:r>
        <w:rPr>
          <w:rFonts w:hint="eastAsia" w:eastAsia="宋体"/>
          <w:color w:val="auto"/>
          <w:sz w:val="24"/>
          <w:highlight w:val="none"/>
          <w:lang w:val="en-US" w:eastAsia="zh-CN"/>
        </w:rPr>
        <w:t>项目</w:t>
      </w:r>
      <w:r>
        <w:rPr>
          <w:rFonts w:hint="eastAsia" w:eastAsia="宋体"/>
          <w:color w:val="auto"/>
          <w:sz w:val="24"/>
          <w:highlight w:val="none"/>
          <w:lang w:val="zh-CN" w:eastAsia="zh-CN"/>
        </w:rPr>
        <w:t>编号/包号；</w:t>
      </w:r>
    </w:p>
    <w:p w14:paraId="18D72157">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lang w:val="zh-CN" w:eastAsia="zh-CN"/>
        </w:rPr>
      </w:pPr>
      <w:r>
        <w:rPr>
          <w:rFonts w:hint="eastAsia" w:eastAsia="宋体"/>
          <w:color w:val="auto"/>
          <w:sz w:val="24"/>
          <w:highlight w:val="none"/>
          <w:lang w:val="zh-CN" w:eastAsia="zh-CN"/>
        </w:rPr>
        <w:t>（</w:t>
      </w:r>
      <w:r>
        <w:rPr>
          <w:rFonts w:hint="eastAsia" w:eastAsia="宋体"/>
          <w:color w:val="auto"/>
          <w:sz w:val="24"/>
          <w:highlight w:val="none"/>
          <w:lang w:val="en-US" w:eastAsia="zh-CN"/>
        </w:rPr>
        <w:t>3</w:t>
      </w:r>
      <w:r>
        <w:rPr>
          <w:rFonts w:hint="eastAsia" w:eastAsia="宋体"/>
          <w:color w:val="auto"/>
          <w:sz w:val="24"/>
          <w:highlight w:val="none"/>
          <w:lang w:val="zh-CN" w:eastAsia="zh-CN"/>
        </w:rPr>
        <w:t>）质疑事项、质疑答复的具体内容、事实依据和法律依据；</w:t>
      </w:r>
    </w:p>
    <w:p w14:paraId="416368F5">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lang w:val="zh-CN" w:eastAsia="zh-CN"/>
        </w:rPr>
      </w:pPr>
      <w:r>
        <w:rPr>
          <w:rFonts w:hint="eastAsia" w:eastAsia="宋体"/>
          <w:color w:val="auto"/>
          <w:sz w:val="24"/>
          <w:highlight w:val="none"/>
          <w:lang w:val="zh-CN" w:eastAsia="zh-CN"/>
        </w:rPr>
        <w:t>（</w:t>
      </w:r>
      <w:r>
        <w:rPr>
          <w:rFonts w:hint="eastAsia" w:eastAsia="宋体"/>
          <w:color w:val="auto"/>
          <w:sz w:val="24"/>
          <w:highlight w:val="none"/>
          <w:lang w:val="en-US" w:eastAsia="zh-CN"/>
        </w:rPr>
        <w:t>4</w:t>
      </w:r>
      <w:r>
        <w:rPr>
          <w:rFonts w:hint="eastAsia" w:eastAsia="宋体"/>
          <w:color w:val="auto"/>
          <w:sz w:val="24"/>
          <w:highlight w:val="none"/>
          <w:lang w:val="zh-CN" w:eastAsia="zh-CN"/>
        </w:rPr>
        <w:t>）告知质疑供应商依法投诉的权利；</w:t>
      </w:r>
    </w:p>
    <w:p w14:paraId="36EE7969">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lang w:val="zh-CN" w:eastAsia="zh-CN"/>
        </w:rPr>
      </w:pPr>
      <w:r>
        <w:rPr>
          <w:rFonts w:hint="eastAsia" w:eastAsia="宋体"/>
          <w:color w:val="auto"/>
          <w:sz w:val="24"/>
          <w:highlight w:val="none"/>
          <w:lang w:val="zh-CN" w:eastAsia="zh-CN"/>
        </w:rPr>
        <w:t>（</w:t>
      </w:r>
      <w:r>
        <w:rPr>
          <w:rFonts w:hint="eastAsia" w:eastAsia="宋体"/>
          <w:color w:val="auto"/>
          <w:sz w:val="24"/>
          <w:highlight w:val="none"/>
          <w:lang w:val="en-US" w:eastAsia="zh-CN"/>
        </w:rPr>
        <w:t>5</w:t>
      </w:r>
      <w:r>
        <w:rPr>
          <w:rFonts w:hint="eastAsia" w:eastAsia="宋体"/>
          <w:color w:val="auto"/>
          <w:sz w:val="24"/>
          <w:highlight w:val="none"/>
          <w:lang w:val="zh-CN" w:eastAsia="zh-CN"/>
        </w:rPr>
        <w:t>）质疑答复人名称；</w:t>
      </w:r>
    </w:p>
    <w:p w14:paraId="7E632C0C">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lang w:val="zh-CN" w:eastAsia="zh-CN"/>
        </w:rPr>
      </w:pPr>
      <w:r>
        <w:rPr>
          <w:rFonts w:hint="eastAsia" w:eastAsia="宋体"/>
          <w:color w:val="auto"/>
          <w:sz w:val="24"/>
          <w:highlight w:val="none"/>
          <w:lang w:val="zh-CN" w:eastAsia="zh-CN"/>
        </w:rPr>
        <w:t>（</w:t>
      </w:r>
      <w:r>
        <w:rPr>
          <w:rFonts w:hint="eastAsia" w:eastAsia="宋体"/>
          <w:color w:val="auto"/>
          <w:sz w:val="24"/>
          <w:highlight w:val="none"/>
          <w:lang w:val="en-US" w:eastAsia="zh-CN"/>
        </w:rPr>
        <w:t>6</w:t>
      </w:r>
      <w:r>
        <w:rPr>
          <w:rFonts w:hint="eastAsia" w:eastAsia="宋体"/>
          <w:color w:val="auto"/>
          <w:sz w:val="24"/>
          <w:highlight w:val="none"/>
          <w:lang w:val="zh-CN" w:eastAsia="zh-CN"/>
        </w:rPr>
        <w:t>）答复质疑的日期。</w:t>
      </w:r>
    </w:p>
    <w:p w14:paraId="56A5E1E9">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lang w:val="zh-CN" w:eastAsia="zh-CN"/>
        </w:rPr>
      </w:pPr>
      <w:r>
        <w:rPr>
          <w:rFonts w:hint="eastAsia" w:eastAsia="宋体"/>
          <w:color w:val="auto"/>
          <w:sz w:val="24"/>
          <w:highlight w:val="none"/>
          <w:lang w:val="zh-CN" w:eastAsia="zh-CN"/>
        </w:rPr>
        <w:t>质疑答复的内容不得涉及商业秘密。</w:t>
      </w:r>
    </w:p>
    <w:p w14:paraId="6D6B407C">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color w:val="auto"/>
          <w:kern w:val="2"/>
          <w:sz w:val="24"/>
          <w:szCs w:val="28"/>
          <w:highlight w:val="none"/>
          <w:lang w:val="en-US" w:eastAsia="zh-CN" w:bidi="ar-SA"/>
        </w:rPr>
      </w:pPr>
      <w:bookmarkStart w:id="391" w:name="_Toc32321"/>
      <w:bookmarkStart w:id="392" w:name="_Toc32007"/>
      <w:bookmarkStart w:id="393" w:name="_Toc13357"/>
      <w:bookmarkStart w:id="394" w:name="_Toc11920"/>
      <w:r>
        <w:rPr>
          <w:rFonts w:hint="eastAsia" w:ascii="宋体" w:hAnsi="宋体" w:eastAsia="宋体" w:cs="宋体"/>
          <w:b/>
          <w:bCs/>
          <w:color w:val="auto"/>
          <w:kern w:val="2"/>
          <w:sz w:val="24"/>
          <w:szCs w:val="28"/>
          <w:highlight w:val="none"/>
          <w:lang w:val="en-US" w:eastAsia="zh-CN" w:bidi="ar-SA"/>
        </w:rPr>
        <w:t>37.投诉</w:t>
      </w:r>
      <w:bookmarkEnd w:id="389"/>
      <w:bookmarkEnd w:id="390"/>
      <w:bookmarkEnd w:id="391"/>
      <w:bookmarkEnd w:id="392"/>
      <w:bookmarkEnd w:id="393"/>
      <w:bookmarkEnd w:id="394"/>
    </w:p>
    <w:p w14:paraId="5BD0CD3B">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rPr>
      </w:pPr>
      <w:r>
        <w:rPr>
          <w:rFonts w:hint="eastAsia" w:eastAsia="宋体"/>
          <w:color w:val="auto"/>
          <w:sz w:val="24"/>
          <w:highlight w:val="none"/>
          <w:lang w:val="en-US" w:eastAsia="zh-CN"/>
        </w:rPr>
        <w:t>37.1</w:t>
      </w:r>
      <w:r>
        <w:rPr>
          <w:rFonts w:hint="eastAsia" w:eastAsia="宋体"/>
          <w:color w:val="auto"/>
          <w:sz w:val="24"/>
          <w:highlight w:val="none"/>
        </w:rPr>
        <w:t>质疑供应商对采购人、采购代理机构的答复不满意，或者采购人、采购代理机构未在规定时间内作出答复的，可以在答复期满后15个工作日内向</w:t>
      </w:r>
      <w:r>
        <w:rPr>
          <w:rFonts w:hint="eastAsia" w:eastAsia="宋体"/>
          <w:color w:val="auto"/>
          <w:sz w:val="24"/>
          <w:highlight w:val="none"/>
          <w:lang w:val="en-US" w:eastAsia="zh-CN"/>
        </w:rPr>
        <w:t>同级政府采购监督管理部门</w:t>
      </w:r>
      <w:r>
        <w:rPr>
          <w:rFonts w:hint="eastAsia" w:eastAsia="宋体"/>
          <w:color w:val="auto"/>
          <w:sz w:val="24"/>
          <w:highlight w:val="none"/>
        </w:rPr>
        <w:t>提起投诉。</w:t>
      </w:r>
    </w:p>
    <w:p w14:paraId="348027D2">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rPr>
      </w:pPr>
      <w:r>
        <w:rPr>
          <w:rFonts w:hint="eastAsia" w:eastAsia="宋体"/>
          <w:color w:val="auto"/>
          <w:sz w:val="24"/>
          <w:highlight w:val="none"/>
          <w:lang w:val="en-US" w:eastAsia="zh-CN"/>
        </w:rPr>
        <w:t>37.2</w:t>
      </w:r>
      <w:r>
        <w:rPr>
          <w:rFonts w:hint="eastAsia" w:eastAsia="宋体"/>
          <w:color w:val="auto"/>
          <w:sz w:val="24"/>
          <w:highlight w:val="none"/>
        </w:rPr>
        <w:t>投诉人投诉时,应当提交投诉书和必要的证明材料，并按照被投诉采购人、采购代理机构（以下简称被投诉人）和与投诉事项有关的供应商数量提供投诉书的副本。投诉书应当包括下列内容：</w:t>
      </w:r>
    </w:p>
    <w:p w14:paraId="057A5A91">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rPr>
      </w:pPr>
      <w:r>
        <w:rPr>
          <w:rFonts w:hint="eastAsia" w:eastAsia="宋体"/>
          <w:color w:val="auto"/>
          <w:sz w:val="24"/>
          <w:highlight w:val="none"/>
        </w:rPr>
        <w:t>（</w:t>
      </w:r>
      <w:r>
        <w:rPr>
          <w:rFonts w:hint="eastAsia" w:eastAsia="宋体"/>
          <w:color w:val="auto"/>
          <w:sz w:val="24"/>
          <w:highlight w:val="none"/>
          <w:lang w:val="en-US" w:eastAsia="zh-CN"/>
        </w:rPr>
        <w:t>1</w:t>
      </w:r>
      <w:r>
        <w:rPr>
          <w:rFonts w:hint="eastAsia" w:eastAsia="宋体"/>
          <w:color w:val="auto"/>
          <w:sz w:val="24"/>
          <w:highlight w:val="none"/>
        </w:rPr>
        <w:t>）投诉人和被投诉人的姓名或者名称、通讯地址、邮编、联系人及联系电话；</w:t>
      </w:r>
    </w:p>
    <w:p w14:paraId="4B753851">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rPr>
      </w:pPr>
      <w:r>
        <w:rPr>
          <w:rFonts w:hint="eastAsia" w:eastAsia="宋体"/>
          <w:color w:val="auto"/>
          <w:sz w:val="24"/>
          <w:highlight w:val="none"/>
        </w:rPr>
        <w:t>（</w:t>
      </w:r>
      <w:r>
        <w:rPr>
          <w:rFonts w:hint="eastAsia" w:eastAsia="宋体"/>
          <w:color w:val="auto"/>
          <w:sz w:val="24"/>
          <w:highlight w:val="none"/>
          <w:lang w:val="en-US" w:eastAsia="zh-CN"/>
        </w:rPr>
        <w:t>2</w:t>
      </w:r>
      <w:r>
        <w:rPr>
          <w:rFonts w:hint="eastAsia" w:eastAsia="宋体"/>
          <w:color w:val="auto"/>
          <w:sz w:val="24"/>
          <w:highlight w:val="none"/>
        </w:rPr>
        <w:t>）质疑和质疑答复情况说明及相关证明材料；</w:t>
      </w:r>
    </w:p>
    <w:p w14:paraId="086B0607">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rPr>
      </w:pPr>
      <w:r>
        <w:rPr>
          <w:rFonts w:hint="eastAsia" w:eastAsia="宋体"/>
          <w:color w:val="auto"/>
          <w:sz w:val="24"/>
          <w:highlight w:val="none"/>
        </w:rPr>
        <w:t>（</w:t>
      </w:r>
      <w:r>
        <w:rPr>
          <w:rFonts w:hint="eastAsia" w:eastAsia="宋体"/>
          <w:color w:val="auto"/>
          <w:sz w:val="24"/>
          <w:highlight w:val="none"/>
          <w:lang w:val="en-US" w:eastAsia="zh-CN"/>
        </w:rPr>
        <w:t>3</w:t>
      </w:r>
      <w:r>
        <w:rPr>
          <w:rFonts w:hint="eastAsia" w:eastAsia="宋体"/>
          <w:color w:val="auto"/>
          <w:sz w:val="24"/>
          <w:highlight w:val="none"/>
        </w:rPr>
        <w:t>）具体、明确的投诉事项和与投诉事项相关的投诉请求；</w:t>
      </w:r>
    </w:p>
    <w:p w14:paraId="78BC80FD">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rPr>
      </w:pPr>
      <w:r>
        <w:rPr>
          <w:rFonts w:hint="eastAsia" w:eastAsia="宋体"/>
          <w:color w:val="auto"/>
          <w:sz w:val="24"/>
          <w:highlight w:val="none"/>
        </w:rPr>
        <w:t>（</w:t>
      </w:r>
      <w:r>
        <w:rPr>
          <w:rFonts w:hint="eastAsia" w:eastAsia="宋体"/>
          <w:color w:val="auto"/>
          <w:sz w:val="24"/>
          <w:highlight w:val="none"/>
          <w:lang w:val="en-US" w:eastAsia="zh-CN"/>
        </w:rPr>
        <w:t>4</w:t>
      </w:r>
      <w:r>
        <w:rPr>
          <w:rFonts w:hint="eastAsia" w:eastAsia="宋体"/>
          <w:color w:val="auto"/>
          <w:sz w:val="24"/>
          <w:highlight w:val="none"/>
        </w:rPr>
        <w:t>）事实依据；</w:t>
      </w:r>
    </w:p>
    <w:p w14:paraId="2AD666C0">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rPr>
      </w:pPr>
      <w:r>
        <w:rPr>
          <w:rFonts w:hint="eastAsia" w:eastAsia="宋体"/>
          <w:color w:val="auto"/>
          <w:sz w:val="24"/>
          <w:highlight w:val="none"/>
        </w:rPr>
        <w:t>（</w:t>
      </w:r>
      <w:r>
        <w:rPr>
          <w:rFonts w:hint="eastAsia" w:eastAsia="宋体"/>
          <w:color w:val="auto"/>
          <w:sz w:val="24"/>
          <w:highlight w:val="none"/>
          <w:lang w:val="en-US" w:eastAsia="zh-CN"/>
        </w:rPr>
        <w:t>5</w:t>
      </w:r>
      <w:r>
        <w:rPr>
          <w:rFonts w:hint="eastAsia" w:eastAsia="宋体"/>
          <w:color w:val="auto"/>
          <w:sz w:val="24"/>
          <w:highlight w:val="none"/>
        </w:rPr>
        <w:t>）法律依据；</w:t>
      </w:r>
    </w:p>
    <w:p w14:paraId="28B1919B">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rPr>
      </w:pPr>
      <w:r>
        <w:rPr>
          <w:rFonts w:hint="eastAsia" w:eastAsia="宋体"/>
          <w:color w:val="auto"/>
          <w:sz w:val="24"/>
          <w:highlight w:val="none"/>
        </w:rPr>
        <w:t>（</w:t>
      </w:r>
      <w:r>
        <w:rPr>
          <w:rFonts w:hint="eastAsia" w:eastAsia="宋体"/>
          <w:color w:val="auto"/>
          <w:sz w:val="24"/>
          <w:highlight w:val="none"/>
          <w:lang w:val="en-US" w:eastAsia="zh-CN"/>
        </w:rPr>
        <w:t>6</w:t>
      </w:r>
      <w:r>
        <w:rPr>
          <w:rFonts w:hint="eastAsia" w:eastAsia="宋体"/>
          <w:color w:val="auto"/>
          <w:sz w:val="24"/>
          <w:highlight w:val="none"/>
        </w:rPr>
        <w:t>）提起投诉的日期。</w:t>
      </w:r>
    </w:p>
    <w:p w14:paraId="29B1C185">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rPr>
      </w:pPr>
      <w:r>
        <w:rPr>
          <w:rFonts w:hint="eastAsia" w:eastAsia="宋体"/>
          <w:color w:val="auto"/>
          <w:sz w:val="24"/>
          <w:highlight w:val="none"/>
        </w:rPr>
        <w:t>投诉人为自然人的，应当由本人签字；投诉人为法人或者其他组织的，应当由法定代表人、主要负责人，或者其授权代表签字或者盖章，并加盖公章。</w:t>
      </w:r>
    </w:p>
    <w:p w14:paraId="2A3BCE0B">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rPr>
      </w:pPr>
      <w:r>
        <w:rPr>
          <w:rFonts w:hint="eastAsia" w:eastAsia="宋体"/>
          <w:color w:val="auto"/>
          <w:sz w:val="24"/>
          <w:highlight w:val="none"/>
          <w:lang w:val="en-US" w:eastAsia="zh-CN"/>
        </w:rPr>
        <w:t>37.3</w:t>
      </w:r>
      <w:r>
        <w:rPr>
          <w:rFonts w:hint="eastAsia" w:eastAsia="宋体"/>
          <w:color w:val="auto"/>
          <w:sz w:val="24"/>
          <w:highlight w:val="none"/>
        </w:rPr>
        <w:t>供应商</w:t>
      </w:r>
      <w:r>
        <w:rPr>
          <w:rFonts w:hint="eastAsia" w:eastAsia="宋体"/>
          <w:color w:val="auto"/>
          <w:sz w:val="24"/>
          <w:highlight w:val="none"/>
          <w:lang w:val="en-US" w:eastAsia="zh-CN"/>
        </w:rPr>
        <w:t>质疑、</w:t>
      </w:r>
      <w:r>
        <w:rPr>
          <w:rFonts w:hint="eastAsia" w:eastAsia="宋体"/>
          <w:color w:val="auto"/>
          <w:sz w:val="24"/>
          <w:highlight w:val="none"/>
        </w:rPr>
        <w:t>投诉</w:t>
      </w:r>
      <w:r>
        <w:rPr>
          <w:rFonts w:hint="eastAsia" w:eastAsia="宋体"/>
          <w:color w:val="auto"/>
          <w:sz w:val="24"/>
          <w:highlight w:val="none"/>
          <w:lang w:val="en-US" w:eastAsia="zh-CN"/>
        </w:rPr>
        <w:t>应当有明确的请求和必要的证明材料</w:t>
      </w:r>
      <w:r>
        <w:rPr>
          <w:rFonts w:hint="eastAsia" w:eastAsia="宋体"/>
          <w:color w:val="auto"/>
          <w:sz w:val="24"/>
          <w:highlight w:val="none"/>
          <w:lang w:eastAsia="zh-CN"/>
        </w:rPr>
        <w:t>。</w:t>
      </w:r>
      <w:r>
        <w:rPr>
          <w:rFonts w:hint="eastAsia" w:eastAsia="宋体"/>
          <w:color w:val="auto"/>
          <w:sz w:val="24"/>
          <w:highlight w:val="none"/>
        </w:rPr>
        <w:t>供应商投诉的事项不得超出</w:t>
      </w:r>
      <w:r>
        <w:rPr>
          <w:rFonts w:hint="eastAsia" w:eastAsia="宋体"/>
          <w:color w:val="auto"/>
          <w:sz w:val="24"/>
          <w:highlight w:val="none"/>
          <w:lang w:val="en-US" w:eastAsia="zh-CN"/>
        </w:rPr>
        <w:t>已</w:t>
      </w:r>
      <w:r>
        <w:rPr>
          <w:rFonts w:hint="eastAsia" w:eastAsia="宋体"/>
          <w:color w:val="auto"/>
          <w:sz w:val="24"/>
          <w:highlight w:val="none"/>
        </w:rPr>
        <w:t>质疑事项的范围，但基于质疑答复内容提出的投诉事项除外。</w:t>
      </w:r>
    </w:p>
    <w:p w14:paraId="4A2CC2E9">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rPr>
      </w:pPr>
      <w:r>
        <w:rPr>
          <w:rFonts w:hint="eastAsia" w:eastAsia="宋体"/>
          <w:snapToGrid w:val="0"/>
          <w:color w:val="auto"/>
          <w:sz w:val="24"/>
          <w:highlight w:val="none"/>
          <w:lang w:val="en-US" w:eastAsia="zh-CN"/>
        </w:rPr>
        <w:t>37.4</w:t>
      </w:r>
      <w:r>
        <w:rPr>
          <w:rFonts w:hint="eastAsia" w:eastAsia="宋体"/>
          <w:color w:val="auto"/>
          <w:sz w:val="24"/>
          <w:highlight w:val="none"/>
          <w:lang w:val="en-US" w:eastAsia="zh-CN"/>
        </w:rPr>
        <w:t>投诉书应当使用中文，并采用财政部门制定的范本。</w:t>
      </w:r>
    </w:p>
    <w:p w14:paraId="076E00EB">
      <w:pPr>
        <w:pStyle w:val="4"/>
        <w:keepNext w:val="0"/>
        <w:keepLines w:val="0"/>
        <w:pageBreakBefore w:val="0"/>
        <w:widowControl w:val="0"/>
        <w:numPr>
          <w:ilvl w:val="0"/>
          <w:numId w:val="0"/>
        </w:numPr>
        <w:kinsoku/>
        <w:wordWrap/>
        <w:overflowPunct/>
        <w:topLinePunct w:val="0"/>
        <w:autoSpaceDE/>
        <w:autoSpaceDN/>
        <w:bidi w:val="0"/>
        <w:adjustRightInd/>
        <w:snapToGrid/>
        <w:spacing w:before="100" w:after="100" w:line="240" w:lineRule="auto"/>
        <w:ind w:left="420" w:leftChars="0" w:hanging="420" w:firstLineChars="0"/>
        <w:textAlignment w:val="auto"/>
        <w:rPr>
          <w:rFonts w:hint="eastAsia" w:ascii="宋体" w:hAnsi="宋体" w:eastAsia="宋体" w:cstheme="minorBidi"/>
          <w:b/>
          <w:bCs/>
          <w:color w:val="auto"/>
          <w:kern w:val="2"/>
          <w:sz w:val="24"/>
          <w:szCs w:val="32"/>
          <w:highlight w:val="none"/>
          <w:lang w:val="en-US" w:eastAsia="zh-CN" w:bidi="ar-SA"/>
        </w:rPr>
      </w:pPr>
      <w:bookmarkStart w:id="395" w:name="_Toc140132803"/>
      <w:bookmarkStart w:id="396" w:name="_Toc30549"/>
      <w:bookmarkStart w:id="397" w:name="_Toc3580"/>
      <w:bookmarkStart w:id="398" w:name="_Toc163492870"/>
      <w:bookmarkStart w:id="399" w:name="_Toc18525"/>
      <w:bookmarkStart w:id="400" w:name="_Toc13943"/>
      <w:bookmarkStart w:id="401" w:name="_Toc155185882"/>
      <w:r>
        <w:rPr>
          <w:rFonts w:hint="eastAsia" w:ascii="宋体" w:hAnsi="宋体" w:eastAsia="宋体" w:cstheme="minorBidi"/>
          <w:b/>
          <w:bCs/>
          <w:color w:val="auto"/>
          <w:kern w:val="2"/>
          <w:sz w:val="24"/>
          <w:szCs w:val="32"/>
          <w:highlight w:val="none"/>
          <w:lang w:val="en-US" w:eastAsia="zh-CN" w:bidi="ar-SA"/>
        </w:rPr>
        <w:t>（十一）采购代理服务费</w:t>
      </w:r>
      <w:bookmarkEnd w:id="395"/>
      <w:bookmarkEnd w:id="396"/>
      <w:bookmarkEnd w:id="397"/>
      <w:bookmarkEnd w:id="398"/>
      <w:bookmarkEnd w:id="399"/>
      <w:bookmarkEnd w:id="400"/>
      <w:bookmarkEnd w:id="401"/>
    </w:p>
    <w:p w14:paraId="3EF5B76A">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color w:val="auto"/>
          <w:kern w:val="2"/>
          <w:sz w:val="24"/>
          <w:szCs w:val="28"/>
          <w:highlight w:val="none"/>
          <w:lang w:val="en-US" w:eastAsia="zh-CN" w:bidi="ar-SA"/>
        </w:rPr>
      </w:pPr>
      <w:bookmarkStart w:id="402" w:name="_Toc17649"/>
      <w:bookmarkStart w:id="403" w:name="_Toc13299"/>
      <w:bookmarkStart w:id="404" w:name="_Toc140132804"/>
      <w:bookmarkStart w:id="405" w:name="_Toc163492871"/>
      <w:bookmarkStart w:id="406" w:name="_Toc6328"/>
      <w:bookmarkStart w:id="407" w:name="_Toc30395"/>
      <w:r>
        <w:rPr>
          <w:rFonts w:hint="eastAsia" w:ascii="宋体" w:hAnsi="宋体" w:eastAsia="宋体" w:cs="宋体"/>
          <w:b/>
          <w:bCs/>
          <w:color w:val="auto"/>
          <w:kern w:val="2"/>
          <w:sz w:val="24"/>
          <w:szCs w:val="28"/>
          <w:highlight w:val="none"/>
          <w:lang w:val="en-US" w:eastAsia="zh-CN" w:bidi="ar-SA"/>
        </w:rPr>
        <w:t>38.收取方式和标准</w:t>
      </w:r>
      <w:bookmarkEnd w:id="402"/>
      <w:bookmarkEnd w:id="403"/>
      <w:bookmarkEnd w:id="404"/>
      <w:bookmarkEnd w:id="405"/>
      <w:bookmarkEnd w:id="406"/>
      <w:bookmarkEnd w:id="407"/>
    </w:p>
    <w:p w14:paraId="0FDD9E25">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rPr>
      </w:pPr>
      <w:r>
        <w:rPr>
          <w:rFonts w:eastAsia="宋体"/>
          <w:bCs/>
          <w:color w:val="auto"/>
          <w:sz w:val="24"/>
          <w:highlight w:val="none"/>
        </w:rPr>
        <w:t>3</w:t>
      </w:r>
      <w:r>
        <w:rPr>
          <w:rFonts w:hint="eastAsia" w:eastAsia="宋体"/>
          <w:bCs/>
          <w:color w:val="auto"/>
          <w:sz w:val="24"/>
          <w:highlight w:val="none"/>
          <w:lang w:val="en-US" w:eastAsia="zh-CN"/>
        </w:rPr>
        <w:t>8</w:t>
      </w:r>
      <w:r>
        <w:rPr>
          <w:rFonts w:hint="eastAsia" w:eastAsia="宋体"/>
          <w:color w:val="auto"/>
          <w:sz w:val="24"/>
          <w:highlight w:val="none"/>
        </w:rPr>
        <w:t>.1采购代理机构按“投标人须知前附表”规定的方式和标准收取采购代理服务费。</w:t>
      </w:r>
    </w:p>
    <w:p w14:paraId="3ED844E1">
      <w:pPr>
        <w:pStyle w:val="4"/>
        <w:keepNext w:val="0"/>
        <w:keepLines w:val="0"/>
        <w:pageBreakBefore w:val="0"/>
        <w:widowControl w:val="0"/>
        <w:numPr>
          <w:ilvl w:val="0"/>
          <w:numId w:val="0"/>
        </w:numPr>
        <w:kinsoku/>
        <w:wordWrap/>
        <w:overflowPunct/>
        <w:topLinePunct w:val="0"/>
        <w:autoSpaceDE/>
        <w:autoSpaceDN/>
        <w:bidi w:val="0"/>
        <w:adjustRightInd/>
        <w:snapToGrid/>
        <w:spacing w:before="100" w:after="100" w:line="240" w:lineRule="auto"/>
        <w:ind w:left="420" w:leftChars="0" w:hanging="420" w:firstLineChars="0"/>
        <w:textAlignment w:val="auto"/>
        <w:rPr>
          <w:rFonts w:hint="eastAsia" w:ascii="宋体" w:hAnsi="宋体" w:eastAsia="宋体" w:cstheme="minorBidi"/>
          <w:b/>
          <w:bCs/>
          <w:color w:val="auto"/>
          <w:kern w:val="2"/>
          <w:sz w:val="24"/>
          <w:szCs w:val="32"/>
          <w:highlight w:val="none"/>
          <w:lang w:val="en-US" w:eastAsia="zh-CN" w:bidi="ar-SA"/>
        </w:rPr>
      </w:pPr>
      <w:bookmarkStart w:id="408" w:name="_Toc12331"/>
      <w:bookmarkStart w:id="409" w:name="_Toc155185883"/>
      <w:bookmarkStart w:id="410" w:name="_Toc163492872"/>
      <w:bookmarkStart w:id="411" w:name="_Toc140132805"/>
      <w:bookmarkStart w:id="412" w:name="_Toc4233"/>
      <w:bookmarkStart w:id="413" w:name="_Toc8195"/>
      <w:bookmarkStart w:id="414" w:name="_Toc21208"/>
      <w:r>
        <w:rPr>
          <w:rFonts w:hint="eastAsia" w:ascii="宋体" w:hAnsi="宋体" w:eastAsia="宋体" w:cstheme="minorBidi"/>
          <w:b/>
          <w:bCs/>
          <w:color w:val="auto"/>
          <w:kern w:val="2"/>
          <w:sz w:val="24"/>
          <w:szCs w:val="32"/>
          <w:highlight w:val="none"/>
          <w:lang w:val="en-US" w:eastAsia="zh-CN" w:bidi="ar-SA"/>
        </w:rPr>
        <w:t>（十二）无效投标和废标</w:t>
      </w:r>
      <w:bookmarkEnd w:id="408"/>
      <w:bookmarkEnd w:id="409"/>
      <w:bookmarkEnd w:id="410"/>
      <w:bookmarkEnd w:id="411"/>
      <w:bookmarkEnd w:id="412"/>
      <w:bookmarkEnd w:id="413"/>
      <w:bookmarkEnd w:id="414"/>
    </w:p>
    <w:p w14:paraId="25869235">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color w:val="auto"/>
          <w:kern w:val="2"/>
          <w:sz w:val="24"/>
          <w:szCs w:val="28"/>
          <w:highlight w:val="none"/>
          <w:lang w:val="en-US" w:eastAsia="zh-CN" w:bidi="ar-SA"/>
        </w:rPr>
      </w:pPr>
      <w:bookmarkStart w:id="415" w:name="_Toc4746"/>
      <w:bookmarkStart w:id="416" w:name="_Toc163492873"/>
      <w:bookmarkStart w:id="417" w:name="_Toc6212"/>
      <w:bookmarkStart w:id="418" w:name="_Toc140132806"/>
      <w:bookmarkStart w:id="419" w:name="_Toc8456"/>
      <w:bookmarkStart w:id="420" w:name="_Toc27690"/>
      <w:r>
        <w:rPr>
          <w:rFonts w:hint="eastAsia" w:ascii="宋体" w:hAnsi="宋体" w:eastAsia="宋体" w:cs="宋体"/>
          <w:b/>
          <w:bCs/>
          <w:color w:val="auto"/>
          <w:kern w:val="2"/>
          <w:sz w:val="24"/>
          <w:szCs w:val="28"/>
          <w:highlight w:val="none"/>
          <w:lang w:val="en-US" w:eastAsia="zh-CN" w:bidi="ar-SA"/>
        </w:rPr>
        <w:t>39.无效投标</w:t>
      </w:r>
      <w:bookmarkEnd w:id="415"/>
      <w:bookmarkEnd w:id="416"/>
      <w:bookmarkEnd w:id="417"/>
      <w:bookmarkEnd w:id="418"/>
      <w:bookmarkEnd w:id="419"/>
      <w:bookmarkEnd w:id="420"/>
    </w:p>
    <w:p w14:paraId="0EBD1306">
      <w:pPr>
        <w:pStyle w:val="40"/>
        <w:keepNext w:val="0"/>
        <w:keepLines w:val="0"/>
        <w:pageBreakBefore w:val="0"/>
        <w:widowControl w:val="0"/>
        <w:kinsoku/>
        <w:overflowPunct/>
        <w:topLinePunct w:val="0"/>
        <w:autoSpaceDE/>
        <w:autoSpaceDN/>
        <w:bidi w:val="0"/>
        <w:adjustRightInd/>
        <w:textAlignment w:val="auto"/>
        <w:rPr>
          <w:rFonts w:eastAsia="宋体"/>
          <w:color w:val="auto"/>
          <w:sz w:val="24"/>
          <w:highlight w:val="none"/>
        </w:rPr>
      </w:pPr>
      <w:r>
        <w:rPr>
          <w:rFonts w:hint="eastAsia" w:eastAsia="宋体"/>
          <w:color w:val="auto"/>
          <w:sz w:val="24"/>
          <w:highlight w:val="none"/>
          <w:lang w:val="en-US" w:eastAsia="zh-CN"/>
        </w:rPr>
        <w:t>39</w:t>
      </w:r>
      <w:r>
        <w:rPr>
          <w:rFonts w:hint="eastAsia" w:eastAsia="宋体"/>
          <w:color w:val="auto"/>
          <w:sz w:val="24"/>
          <w:highlight w:val="none"/>
        </w:rPr>
        <w:t>.1投标文件存在“第四章</w:t>
      </w:r>
      <w:r>
        <w:rPr>
          <w:rFonts w:hint="eastAsia" w:eastAsia="宋体"/>
          <w:color w:val="auto"/>
          <w:sz w:val="24"/>
          <w:highlight w:val="none"/>
          <w:lang w:val="en-US" w:eastAsia="zh-CN"/>
        </w:rPr>
        <w:t xml:space="preserve"> </w:t>
      </w:r>
      <w:r>
        <w:rPr>
          <w:rFonts w:hint="eastAsia" w:eastAsia="宋体"/>
          <w:color w:val="auto"/>
          <w:sz w:val="24"/>
          <w:highlight w:val="none"/>
        </w:rPr>
        <w:t>资格审查”、“第五章</w:t>
      </w:r>
      <w:r>
        <w:rPr>
          <w:rFonts w:hint="eastAsia" w:eastAsia="宋体"/>
          <w:color w:val="auto"/>
          <w:sz w:val="24"/>
          <w:highlight w:val="none"/>
          <w:lang w:val="en-US" w:eastAsia="zh-CN"/>
        </w:rPr>
        <w:t xml:space="preserve"> </w:t>
      </w:r>
      <w:r>
        <w:rPr>
          <w:rFonts w:hint="eastAsia" w:eastAsia="宋体"/>
          <w:color w:val="auto"/>
          <w:sz w:val="24"/>
          <w:highlight w:val="none"/>
        </w:rPr>
        <w:t>评标</w:t>
      </w:r>
      <w:r>
        <w:rPr>
          <w:rFonts w:hint="eastAsia" w:eastAsia="宋体"/>
          <w:color w:val="auto"/>
          <w:sz w:val="24"/>
          <w:highlight w:val="none"/>
          <w:lang w:val="en-US" w:eastAsia="zh-CN"/>
        </w:rPr>
        <w:t>方</w:t>
      </w:r>
      <w:r>
        <w:rPr>
          <w:rFonts w:hint="eastAsia" w:eastAsia="宋体"/>
          <w:color w:val="auto"/>
          <w:sz w:val="24"/>
          <w:highlight w:val="none"/>
        </w:rPr>
        <w:t>法及标准”</w:t>
      </w:r>
      <w:r>
        <w:rPr>
          <w:rFonts w:hint="eastAsia" w:eastAsia="宋体"/>
          <w:color w:val="auto"/>
          <w:sz w:val="24"/>
          <w:highlight w:val="none"/>
          <w:lang w:val="en-US" w:eastAsia="zh-CN"/>
        </w:rPr>
        <w:t>及本招标文件</w:t>
      </w:r>
      <w:r>
        <w:rPr>
          <w:rFonts w:hint="eastAsia" w:eastAsia="宋体"/>
          <w:color w:val="auto"/>
          <w:sz w:val="24"/>
          <w:highlight w:val="none"/>
        </w:rPr>
        <w:t>规定的投标无效情形的，其</w:t>
      </w:r>
      <w:r>
        <w:rPr>
          <w:rFonts w:hint="eastAsia" w:eastAsia="宋体"/>
          <w:b/>
          <w:bCs/>
          <w:color w:val="auto"/>
          <w:sz w:val="24"/>
          <w:highlight w:val="none"/>
        </w:rPr>
        <w:t>投标无效</w:t>
      </w:r>
      <w:r>
        <w:rPr>
          <w:rFonts w:hint="eastAsia" w:eastAsia="宋体"/>
          <w:color w:val="auto"/>
          <w:sz w:val="24"/>
          <w:highlight w:val="none"/>
        </w:rPr>
        <w:t>。</w:t>
      </w:r>
    </w:p>
    <w:p w14:paraId="7306E47B">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color w:val="auto"/>
          <w:kern w:val="2"/>
          <w:sz w:val="24"/>
          <w:szCs w:val="28"/>
          <w:highlight w:val="none"/>
          <w:lang w:val="en-US" w:eastAsia="zh-CN" w:bidi="ar-SA"/>
        </w:rPr>
      </w:pPr>
      <w:bookmarkStart w:id="421" w:name="_Toc15530"/>
      <w:bookmarkStart w:id="422" w:name="_Toc31646"/>
      <w:bookmarkStart w:id="423" w:name="_Toc140132807"/>
      <w:bookmarkStart w:id="424" w:name="_Toc22537"/>
      <w:bookmarkStart w:id="425" w:name="_Toc31376"/>
      <w:bookmarkStart w:id="426" w:name="_Toc163492874"/>
      <w:r>
        <w:rPr>
          <w:rFonts w:hint="eastAsia" w:ascii="宋体" w:hAnsi="宋体" w:eastAsia="宋体" w:cs="宋体"/>
          <w:b/>
          <w:bCs/>
          <w:color w:val="auto"/>
          <w:kern w:val="2"/>
          <w:sz w:val="24"/>
          <w:szCs w:val="28"/>
          <w:highlight w:val="none"/>
          <w:lang w:val="en-US" w:eastAsia="zh-CN" w:bidi="ar-SA"/>
        </w:rPr>
        <w:t>40.废标</w:t>
      </w:r>
      <w:bookmarkEnd w:id="421"/>
      <w:bookmarkEnd w:id="422"/>
      <w:bookmarkEnd w:id="423"/>
      <w:bookmarkEnd w:id="424"/>
      <w:bookmarkEnd w:id="425"/>
      <w:bookmarkEnd w:id="426"/>
    </w:p>
    <w:p w14:paraId="5BFCDD79">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lang w:eastAsia="zh-CN"/>
        </w:rPr>
      </w:pPr>
      <w:r>
        <w:rPr>
          <w:rFonts w:eastAsia="宋体"/>
          <w:color w:val="auto"/>
          <w:sz w:val="24"/>
          <w:highlight w:val="none"/>
        </w:rPr>
        <w:t>4</w:t>
      </w:r>
      <w:r>
        <w:rPr>
          <w:rFonts w:hint="eastAsia" w:eastAsia="宋体"/>
          <w:color w:val="auto"/>
          <w:sz w:val="24"/>
          <w:highlight w:val="none"/>
          <w:lang w:val="en-US" w:eastAsia="zh-CN"/>
        </w:rPr>
        <w:t>0</w:t>
      </w:r>
      <w:r>
        <w:rPr>
          <w:rFonts w:hint="eastAsia" w:eastAsia="宋体"/>
          <w:color w:val="auto"/>
          <w:sz w:val="24"/>
          <w:highlight w:val="none"/>
        </w:rPr>
        <w:t>.1在招标采购中出现有“第五章</w:t>
      </w:r>
      <w:r>
        <w:rPr>
          <w:rFonts w:hint="eastAsia" w:eastAsia="宋体"/>
          <w:color w:val="auto"/>
          <w:sz w:val="24"/>
          <w:highlight w:val="none"/>
          <w:lang w:val="en-US" w:eastAsia="zh-CN"/>
        </w:rPr>
        <w:t xml:space="preserve"> </w:t>
      </w:r>
      <w:r>
        <w:rPr>
          <w:rFonts w:hint="eastAsia" w:eastAsia="宋体"/>
          <w:color w:val="auto"/>
          <w:sz w:val="24"/>
          <w:highlight w:val="none"/>
        </w:rPr>
        <w:t>评标</w:t>
      </w:r>
      <w:r>
        <w:rPr>
          <w:rFonts w:hint="eastAsia" w:eastAsia="宋体"/>
          <w:color w:val="auto"/>
          <w:sz w:val="24"/>
          <w:highlight w:val="none"/>
          <w:lang w:val="en-US" w:eastAsia="zh-CN"/>
        </w:rPr>
        <w:t>方</w:t>
      </w:r>
      <w:r>
        <w:rPr>
          <w:rFonts w:hint="eastAsia" w:eastAsia="宋体"/>
          <w:color w:val="auto"/>
          <w:sz w:val="24"/>
          <w:highlight w:val="none"/>
        </w:rPr>
        <w:t>法及标准”</w:t>
      </w:r>
      <w:r>
        <w:rPr>
          <w:rFonts w:hint="eastAsia" w:eastAsia="宋体"/>
          <w:color w:val="auto"/>
          <w:sz w:val="24"/>
          <w:highlight w:val="none"/>
          <w:lang w:val="en-US" w:eastAsia="zh-CN"/>
        </w:rPr>
        <w:t>及本招标文件</w:t>
      </w:r>
      <w:r>
        <w:rPr>
          <w:rFonts w:hint="eastAsia" w:eastAsia="宋体"/>
          <w:color w:val="auto"/>
          <w:sz w:val="24"/>
          <w:highlight w:val="none"/>
        </w:rPr>
        <w:t>规定的废标情形的，应予以</w:t>
      </w:r>
      <w:r>
        <w:rPr>
          <w:rFonts w:hint="eastAsia" w:eastAsia="宋体"/>
          <w:b/>
          <w:bCs/>
          <w:color w:val="auto"/>
          <w:sz w:val="24"/>
          <w:highlight w:val="none"/>
        </w:rPr>
        <w:t>废标</w:t>
      </w:r>
      <w:r>
        <w:rPr>
          <w:rFonts w:hint="eastAsia" w:eastAsia="宋体"/>
          <w:color w:val="auto"/>
          <w:sz w:val="24"/>
          <w:highlight w:val="none"/>
          <w:lang w:eastAsia="zh-CN"/>
        </w:rPr>
        <w:t>。</w:t>
      </w:r>
    </w:p>
    <w:p w14:paraId="0C4DEC92">
      <w:pPr>
        <w:pStyle w:val="4"/>
        <w:keepNext w:val="0"/>
        <w:keepLines w:val="0"/>
        <w:pageBreakBefore w:val="0"/>
        <w:widowControl w:val="0"/>
        <w:numPr>
          <w:ilvl w:val="0"/>
          <w:numId w:val="0"/>
        </w:numPr>
        <w:kinsoku/>
        <w:wordWrap/>
        <w:overflowPunct/>
        <w:topLinePunct w:val="0"/>
        <w:autoSpaceDE/>
        <w:autoSpaceDN/>
        <w:bidi w:val="0"/>
        <w:adjustRightInd/>
        <w:snapToGrid/>
        <w:spacing w:before="100" w:after="100" w:line="240" w:lineRule="auto"/>
        <w:ind w:left="420" w:leftChars="0" w:hanging="420" w:firstLineChars="0"/>
        <w:textAlignment w:val="auto"/>
        <w:rPr>
          <w:rFonts w:hint="eastAsia" w:ascii="宋体" w:hAnsi="宋体" w:eastAsia="宋体" w:cstheme="minorBidi"/>
          <w:b/>
          <w:bCs/>
          <w:color w:val="auto"/>
          <w:kern w:val="2"/>
          <w:sz w:val="24"/>
          <w:szCs w:val="32"/>
          <w:highlight w:val="none"/>
          <w:lang w:val="en-US" w:eastAsia="zh-CN" w:bidi="ar-SA"/>
        </w:rPr>
      </w:pPr>
      <w:bookmarkStart w:id="427" w:name="_Toc140132766"/>
      <w:bookmarkStart w:id="428" w:name="_Toc163492875"/>
      <w:bookmarkStart w:id="429" w:name="_Toc7834"/>
      <w:bookmarkStart w:id="430" w:name="_Toc8342"/>
      <w:bookmarkStart w:id="431" w:name="_Toc23246"/>
      <w:bookmarkStart w:id="432" w:name="_Toc21776"/>
      <w:bookmarkStart w:id="433" w:name="_Toc140132808"/>
      <w:bookmarkStart w:id="434" w:name="_Toc155185884"/>
      <w:r>
        <w:rPr>
          <w:rFonts w:hint="eastAsia" w:ascii="宋体" w:hAnsi="宋体" w:eastAsia="宋体" w:cstheme="minorBidi"/>
          <w:b/>
          <w:bCs/>
          <w:color w:val="auto"/>
          <w:kern w:val="2"/>
          <w:sz w:val="24"/>
          <w:szCs w:val="32"/>
          <w:highlight w:val="none"/>
          <w:lang w:val="en-US" w:eastAsia="zh-CN" w:bidi="ar-SA"/>
        </w:rPr>
        <w:t>（十三）落实政府采购政策</w:t>
      </w:r>
      <w:bookmarkEnd w:id="427"/>
      <w:bookmarkEnd w:id="428"/>
      <w:r>
        <w:rPr>
          <w:rFonts w:hint="eastAsia" w:ascii="宋体" w:hAnsi="宋体" w:eastAsia="宋体" w:cstheme="minorBidi"/>
          <w:b/>
          <w:bCs/>
          <w:color w:val="auto"/>
          <w:kern w:val="2"/>
          <w:sz w:val="24"/>
          <w:szCs w:val="32"/>
          <w:highlight w:val="none"/>
          <w:lang w:val="en-US" w:eastAsia="zh-CN" w:bidi="ar-SA"/>
        </w:rPr>
        <w:t>（包括但不限于下列具体政策要求）</w:t>
      </w:r>
      <w:bookmarkEnd w:id="429"/>
      <w:bookmarkEnd w:id="430"/>
      <w:bookmarkEnd w:id="431"/>
      <w:bookmarkEnd w:id="432"/>
    </w:p>
    <w:p w14:paraId="5800BCE0">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color w:val="auto"/>
          <w:kern w:val="2"/>
          <w:sz w:val="24"/>
          <w:szCs w:val="28"/>
          <w:highlight w:val="none"/>
          <w:lang w:val="en-US" w:eastAsia="zh-CN" w:bidi="ar-SA"/>
        </w:rPr>
      </w:pPr>
      <w:bookmarkStart w:id="435" w:name="_Toc20299"/>
      <w:bookmarkStart w:id="436" w:name="_Toc163492876"/>
      <w:bookmarkStart w:id="437" w:name="_Toc27084"/>
      <w:bookmarkStart w:id="438" w:name="_Toc3043"/>
      <w:bookmarkStart w:id="439" w:name="_Toc30437"/>
      <w:r>
        <w:rPr>
          <w:rFonts w:hint="eastAsia" w:ascii="宋体" w:hAnsi="宋体" w:eastAsia="宋体" w:cs="宋体"/>
          <w:b/>
          <w:bCs/>
          <w:color w:val="auto"/>
          <w:kern w:val="2"/>
          <w:sz w:val="24"/>
          <w:szCs w:val="28"/>
          <w:highlight w:val="none"/>
          <w:lang w:val="en-US" w:eastAsia="zh-CN" w:bidi="ar-SA"/>
        </w:rPr>
        <w:t>41.支持国产和进口产品审批</w:t>
      </w:r>
      <w:bookmarkEnd w:id="435"/>
      <w:bookmarkEnd w:id="436"/>
      <w:bookmarkEnd w:id="437"/>
      <w:bookmarkEnd w:id="438"/>
      <w:bookmarkEnd w:id="439"/>
    </w:p>
    <w:p w14:paraId="26D924DD">
      <w:pPr>
        <w:pStyle w:val="40"/>
        <w:keepNext w:val="0"/>
        <w:keepLines w:val="0"/>
        <w:pageBreakBefore w:val="0"/>
        <w:widowControl w:val="0"/>
        <w:kinsoku/>
        <w:overflowPunct/>
        <w:topLinePunct w:val="0"/>
        <w:autoSpaceDE/>
        <w:autoSpaceDN/>
        <w:bidi w:val="0"/>
        <w:adjustRightInd/>
        <w:textAlignment w:val="auto"/>
        <w:rPr>
          <w:rFonts w:hint="eastAsia" w:eastAsia="宋体"/>
          <w:snapToGrid w:val="0"/>
          <w:color w:val="auto"/>
          <w:sz w:val="24"/>
          <w:highlight w:val="none"/>
        </w:rPr>
      </w:pPr>
      <w:r>
        <w:rPr>
          <w:rFonts w:eastAsia="宋体"/>
          <w:snapToGrid w:val="0"/>
          <w:color w:val="auto"/>
          <w:sz w:val="24"/>
          <w:highlight w:val="none"/>
        </w:rPr>
        <w:t>4</w:t>
      </w:r>
      <w:r>
        <w:rPr>
          <w:rFonts w:hint="eastAsia" w:eastAsia="宋体"/>
          <w:snapToGrid w:val="0"/>
          <w:color w:val="auto"/>
          <w:sz w:val="24"/>
          <w:highlight w:val="none"/>
          <w:lang w:val="en-US" w:eastAsia="zh-CN"/>
        </w:rPr>
        <w:t>1</w:t>
      </w:r>
      <w:r>
        <w:rPr>
          <w:rFonts w:hint="eastAsia" w:eastAsia="宋体"/>
          <w:snapToGrid w:val="0"/>
          <w:color w:val="auto"/>
          <w:sz w:val="24"/>
          <w:highlight w:val="none"/>
        </w:rPr>
        <w:t>.1除“投标人须知前附表”另有规定外，政府采购应当采购本国</w:t>
      </w:r>
      <w:r>
        <w:rPr>
          <w:rFonts w:hint="eastAsia" w:eastAsia="宋体"/>
          <w:snapToGrid w:val="0"/>
          <w:color w:val="auto"/>
          <w:sz w:val="24"/>
          <w:highlight w:val="none"/>
          <w:lang w:val="en-US" w:eastAsia="zh-CN"/>
        </w:rPr>
        <w:t>货物、工程和服务</w:t>
      </w:r>
      <w:r>
        <w:rPr>
          <w:rFonts w:hint="eastAsia" w:eastAsia="宋体"/>
          <w:snapToGrid w:val="0"/>
          <w:color w:val="auto"/>
          <w:sz w:val="24"/>
          <w:highlight w:val="none"/>
        </w:rPr>
        <w:t>，确需采购进口产品的，采购人应当按照</w:t>
      </w:r>
      <w:r>
        <w:rPr>
          <w:rFonts w:hint="eastAsia" w:eastAsia="宋体"/>
          <w:snapToGrid w:val="0"/>
          <w:color w:val="auto"/>
          <w:sz w:val="24"/>
          <w:highlight w:val="none"/>
          <w:lang w:val="en-US" w:eastAsia="zh-CN"/>
        </w:rPr>
        <w:t>《政府采购进口产品管理办法》（财库〔2007〕119 号文）、</w:t>
      </w:r>
      <w:r>
        <w:rPr>
          <w:rFonts w:hint="eastAsia" w:eastAsia="宋体"/>
          <w:snapToGrid w:val="0"/>
          <w:color w:val="auto"/>
          <w:sz w:val="24"/>
          <w:highlight w:val="none"/>
        </w:rPr>
        <w:t>《关于政府采购进口产品管理有关问题的通知》（财办库〔</w:t>
      </w:r>
      <w:r>
        <w:rPr>
          <w:rFonts w:eastAsia="宋体"/>
          <w:snapToGrid w:val="0"/>
          <w:color w:val="auto"/>
          <w:sz w:val="24"/>
          <w:highlight w:val="none"/>
        </w:rPr>
        <w:t>2008〕248号）规定执行（进口产品审批制，科研院所监管部门另有规定的从其规定）。</w:t>
      </w:r>
      <w:r>
        <w:rPr>
          <w:rFonts w:hint="eastAsia" w:eastAsia="宋体"/>
          <w:snapToGrid w:val="0"/>
          <w:color w:val="auto"/>
          <w:sz w:val="24"/>
          <w:highlight w:val="none"/>
        </w:rPr>
        <w:t>项目若涉及采购进口产品的，具体要求详见“第三章</w:t>
      </w:r>
      <w:r>
        <w:rPr>
          <w:rFonts w:eastAsia="宋体"/>
          <w:snapToGrid w:val="0"/>
          <w:color w:val="auto"/>
          <w:sz w:val="24"/>
          <w:highlight w:val="none"/>
        </w:rPr>
        <w:t xml:space="preserve"> 采购需求”</w:t>
      </w:r>
      <w:r>
        <w:rPr>
          <w:rFonts w:hint="eastAsia" w:eastAsia="宋体"/>
          <w:snapToGrid w:val="0"/>
          <w:color w:val="auto"/>
          <w:sz w:val="24"/>
          <w:highlight w:val="none"/>
        </w:rPr>
        <w:t>。</w:t>
      </w:r>
    </w:p>
    <w:p w14:paraId="201F13F9">
      <w:pPr>
        <w:pStyle w:val="40"/>
        <w:keepNext w:val="0"/>
        <w:keepLines w:val="0"/>
        <w:pageBreakBefore w:val="0"/>
        <w:widowControl w:val="0"/>
        <w:kinsoku/>
        <w:overflowPunct/>
        <w:topLinePunct w:val="0"/>
        <w:autoSpaceDE/>
        <w:autoSpaceDN/>
        <w:bidi w:val="0"/>
        <w:adjustRightInd/>
        <w:textAlignment w:val="auto"/>
        <w:rPr>
          <w:rFonts w:hint="eastAsia" w:eastAsia="宋体"/>
          <w:snapToGrid w:val="0"/>
          <w:color w:val="auto"/>
          <w:sz w:val="24"/>
          <w:highlight w:val="none"/>
          <w:lang w:val="en-US" w:eastAsia="zh-CN"/>
        </w:rPr>
      </w:pPr>
      <w:r>
        <w:rPr>
          <w:rFonts w:hint="eastAsia" w:eastAsia="宋体"/>
          <w:snapToGrid w:val="0"/>
          <w:color w:val="auto"/>
          <w:sz w:val="24"/>
          <w:highlight w:val="none"/>
          <w:lang w:val="en-US" w:eastAsia="zh-CN"/>
        </w:rPr>
        <w:t xml:space="preserve">41.2进口产品指通过中国海关报关验放进入中国境内且产自关境外的产品，包括已经进入中国境内的进口产品。 </w:t>
      </w:r>
    </w:p>
    <w:p w14:paraId="0C404CE2">
      <w:pPr>
        <w:pStyle w:val="40"/>
        <w:keepNext w:val="0"/>
        <w:keepLines w:val="0"/>
        <w:pageBreakBefore w:val="0"/>
        <w:widowControl w:val="0"/>
        <w:kinsoku/>
        <w:overflowPunct/>
        <w:topLinePunct w:val="0"/>
        <w:autoSpaceDE/>
        <w:autoSpaceDN/>
        <w:bidi w:val="0"/>
        <w:adjustRightInd/>
        <w:textAlignment w:val="auto"/>
        <w:rPr>
          <w:rFonts w:hint="eastAsia" w:eastAsia="宋体"/>
          <w:snapToGrid w:val="0"/>
          <w:color w:val="auto"/>
          <w:sz w:val="24"/>
          <w:highlight w:val="none"/>
          <w:lang w:val="en-US" w:eastAsia="zh-CN"/>
        </w:rPr>
      </w:pPr>
      <w:r>
        <w:rPr>
          <w:rFonts w:hint="eastAsia" w:eastAsia="宋体"/>
          <w:snapToGrid w:val="0"/>
          <w:color w:val="auto"/>
          <w:sz w:val="24"/>
          <w:highlight w:val="none"/>
          <w:lang w:val="en-US" w:eastAsia="zh-CN"/>
        </w:rPr>
        <w:t>41.3若采购需求中写明允许采购进口产品，投标人应保证所投产品可履行合法报通关手续进入中国关境内。</w:t>
      </w:r>
    </w:p>
    <w:p w14:paraId="50A8DE9A">
      <w:pPr>
        <w:pStyle w:val="40"/>
        <w:keepNext w:val="0"/>
        <w:keepLines w:val="0"/>
        <w:pageBreakBefore w:val="0"/>
        <w:widowControl w:val="0"/>
        <w:kinsoku/>
        <w:overflowPunct/>
        <w:topLinePunct w:val="0"/>
        <w:autoSpaceDE/>
        <w:autoSpaceDN/>
        <w:bidi w:val="0"/>
        <w:adjustRightInd/>
        <w:textAlignment w:val="auto"/>
        <w:rPr>
          <w:rFonts w:hint="eastAsia" w:eastAsia="宋体"/>
          <w:snapToGrid w:val="0"/>
          <w:color w:val="auto"/>
          <w:sz w:val="24"/>
          <w:highlight w:val="none"/>
          <w:lang w:val="en-US" w:eastAsia="zh-CN"/>
        </w:rPr>
      </w:pPr>
      <w:r>
        <w:rPr>
          <w:rFonts w:hint="eastAsia" w:eastAsia="宋体"/>
          <w:snapToGrid w:val="0"/>
          <w:color w:val="auto"/>
          <w:sz w:val="24"/>
          <w:highlight w:val="none"/>
          <w:lang w:val="en-US" w:eastAsia="zh-CN"/>
        </w:rPr>
        <w:t>41.4若采购需求中未写明允许采购进口产品，如投标人所投产品为进口产品，其投标将被认定为</w:t>
      </w:r>
      <w:r>
        <w:rPr>
          <w:rFonts w:hint="eastAsia" w:eastAsia="宋体"/>
          <w:b/>
          <w:bCs/>
          <w:snapToGrid w:val="0"/>
          <w:color w:val="auto"/>
          <w:sz w:val="24"/>
          <w:highlight w:val="none"/>
          <w:lang w:val="en-US" w:eastAsia="zh-CN"/>
        </w:rPr>
        <w:t>投标无效</w:t>
      </w:r>
      <w:r>
        <w:rPr>
          <w:rFonts w:hint="eastAsia" w:eastAsia="宋体"/>
          <w:snapToGrid w:val="0"/>
          <w:color w:val="auto"/>
          <w:sz w:val="24"/>
          <w:highlight w:val="none"/>
          <w:lang w:val="en-US" w:eastAsia="zh-CN"/>
        </w:rPr>
        <w:t>。</w:t>
      </w:r>
    </w:p>
    <w:p w14:paraId="6764F885">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color w:val="auto"/>
          <w:kern w:val="2"/>
          <w:sz w:val="24"/>
          <w:szCs w:val="28"/>
          <w:highlight w:val="none"/>
          <w:lang w:val="en-US" w:eastAsia="zh-CN" w:bidi="ar-SA"/>
        </w:rPr>
      </w:pPr>
      <w:bookmarkStart w:id="440" w:name="_Toc6874"/>
      <w:bookmarkStart w:id="441" w:name="_Toc18106"/>
      <w:bookmarkStart w:id="442" w:name="_Toc163492877"/>
      <w:bookmarkStart w:id="443" w:name="_Toc6934"/>
      <w:bookmarkStart w:id="444" w:name="_Toc9595"/>
      <w:r>
        <w:rPr>
          <w:rFonts w:hint="eastAsia" w:ascii="宋体" w:hAnsi="宋体" w:eastAsia="宋体" w:cs="宋体"/>
          <w:b/>
          <w:bCs/>
          <w:color w:val="auto"/>
          <w:kern w:val="2"/>
          <w:sz w:val="24"/>
          <w:szCs w:val="28"/>
          <w:highlight w:val="none"/>
          <w:lang w:val="en-US" w:eastAsia="zh-CN" w:bidi="ar-SA"/>
        </w:rPr>
        <w:t>42.中小企业、监狱企业及残疾人福利性单位</w:t>
      </w:r>
      <w:bookmarkEnd w:id="440"/>
      <w:bookmarkEnd w:id="441"/>
      <w:bookmarkEnd w:id="442"/>
      <w:bookmarkEnd w:id="443"/>
      <w:bookmarkEnd w:id="444"/>
    </w:p>
    <w:p w14:paraId="6CF3C244">
      <w:pPr>
        <w:pStyle w:val="40"/>
        <w:keepNext w:val="0"/>
        <w:keepLines w:val="0"/>
        <w:pageBreakBefore w:val="0"/>
        <w:widowControl w:val="0"/>
        <w:kinsoku/>
        <w:overflowPunct/>
        <w:topLinePunct w:val="0"/>
        <w:autoSpaceDE/>
        <w:autoSpaceDN/>
        <w:bidi w:val="0"/>
        <w:adjustRightInd/>
        <w:textAlignment w:val="auto"/>
        <w:rPr>
          <w:rFonts w:eastAsia="宋体"/>
          <w:snapToGrid w:val="0"/>
          <w:color w:val="auto"/>
          <w:sz w:val="24"/>
          <w:highlight w:val="none"/>
        </w:rPr>
      </w:pPr>
      <w:r>
        <w:rPr>
          <w:rFonts w:hint="eastAsia" w:eastAsia="宋体"/>
          <w:snapToGrid w:val="0"/>
          <w:color w:val="auto"/>
          <w:sz w:val="24"/>
          <w:highlight w:val="none"/>
          <w:lang w:val="en-US" w:eastAsia="zh-CN"/>
        </w:rPr>
        <w:t>42</w:t>
      </w:r>
      <w:r>
        <w:rPr>
          <w:rFonts w:hint="eastAsia" w:eastAsia="宋体"/>
          <w:snapToGrid w:val="0"/>
          <w:color w:val="auto"/>
          <w:sz w:val="24"/>
          <w:highlight w:val="none"/>
        </w:rPr>
        <w:t>.</w:t>
      </w:r>
      <w:r>
        <w:rPr>
          <w:rFonts w:hint="eastAsia" w:eastAsia="宋体"/>
          <w:snapToGrid w:val="0"/>
          <w:color w:val="auto"/>
          <w:sz w:val="24"/>
          <w:highlight w:val="none"/>
          <w:lang w:val="en-US" w:eastAsia="zh-CN"/>
        </w:rPr>
        <w:t>1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关于中小企业的相关规定依据《中华人民共和国中小企业促进法》、《关于进一步加大政府采购支持中小企业力度的通知》（财库〔</w:t>
      </w:r>
      <w:r>
        <w:rPr>
          <w:rFonts w:hint="default" w:eastAsia="宋体"/>
          <w:snapToGrid w:val="0"/>
          <w:color w:val="auto"/>
          <w:sz w:val="24"/>
          <w:highlight w:val="none"/>
          <w:lang w:val="en-US" w:eastAsia="zh-CN"/>
        </w:rPr>
        <w:t>2022</w:t>
      </w:r>
      <w:r>
        <w:rPr>
          <w:rFonts w:hint="eastAsia" w:eastAsia="宋体"/>
          <w:snapToGrid w:val="0"/>
          <w:color w:val="auto"/>
          <w:sz w:val="24"/>
          <w:highlight w:val="none"/>
          <w:lang w:val="en-US" w:eastAsia="zh-CN"/>
        </w:rPr>
        <w:t>〕</w:t>
      </w:r>
      <w:r>
        <w:rPr>
          <w:rFonts w:hint="default" w:eastAsia="宋体"/>
          <w:snapToGrid w:val="0"/>
          <w:color w:val="auto"/>
          <w:sz w:val="24"/>
          <w:highlight w:val="none"/>
          <w:lang w:val="en-US" w:eastAsia="zh-CN"/>
        </w:rPr>
        <w:t xml:space="preserve">19 </w:t>
      </w:r>
      <w:r>
        <w:rPr>
          <w:rFonts w:hint="eastAsia" w:eastAsia="宋体"/>
          <w:snapToGrid w:val="0"/>
          <w:color w:val="auto"/>
          <w:sz w:val="24"/>
          <w:highlight w:val="none"/>
          <w:lang w:val="en-US" w:eastAsia="zh-CN"/>
        </w:rPr>
        <w:t>号）、《政府采购促进中小企业发展管理办法》（财库〔</w:t>
      </w:r>
      <w:r>
        <w:rPr>
          <w:rFonts w:hint="default" w:eastAsia="宋体"/>
          <w:snapToGrid w:val="0"/>
          <w:color w:val="auto"/>
          <w:sz w:val="24"/>
          <w:highlight w:val="none"/>
          <w:lang w:val="en-US" w:eastAsia="zh-CN"/>
        </w:rPr>
        <w:t>2020</w:t>
      </w:r>
      <w:r>
        <w:rPr>
          <w:rFonts w:hint="eastAsia" w:eastAsia="宋体"/>
          <w:snapToGrid w:val="0"/>
          <w:color w:val="auto"/>
          <w:sz w:val="24"/>
          <w:highlight w:val="none"/>
          <w:lang w:val="en-US" w:eastAsia="zh-CN"/>
        </w:rPr>
        <w:t>〕</w:t>
      </w:r>
      <w:r>
        <w:rPr>
          <w:rFonts w:hint="default" w:eastAsia="宋体"/>
          <w:snapToGrid w:val="0"/>
          <w:color w:val="auto"/>
          <w:sz w:val="24"/>
          <w:highlight w:val="none"/>
          <w:lang w:val="en-US" w:eastAsia="zh-CN"/>
        </w:rPr>
        <w:t xml:space="preserve">46 </w:t>
      </w:r>
      <w:r>
        <w:rPr>
          <w:rFonts w:hint="eastAsia" w:eastAsia="宋体"/>
          <w:snapToGrid w:val="0"/>
          <w:color w:val="auto"/>
          <w:sz w:val="24"/>
          <w:highlight w:val="none"/>
          <w:lang w:val="en-US" w:eastAsia="zh-CN"/>
        </w:rPr>
        <w:t>号）、《关于印发中小企业划型标准规定的通知》（工信部联企业〔</w:t>
      </w:r>
      <w:r>
        <w:rPr>
          <w:rFonts w:hint="default" w:eastAsia="宋体"/>
          <w:snapToGrid w:val="0"/>
          <w:color w:val="auto"/>
          <w:sz w:val="24"/>
          <w:highlight w:val="none"/>
          <w:lang w:val="en-US" w:eastAsia="zh-CN"/>
        </w:rPr>
        <w:t>2011</w:t>
      </w:r>
      <w:r>
        <w:rPr>
          <w:rFonts w:hint="eastAsia" w:eastAsia="宋体"/>
          <w:snapToGrid w:val="0"/>
          <w:color w:val="auto"/>
          <w:sz w:val="24"/>
          <w:highlight w:val="none"/>
          <w:lang w:val="en-US" w:eastAsia="zh-CN"/>
        </w:rPr>
        <w:t>〕</w:t>
      </w:r>
      <w:r>
        <w:rPr>
          <w:rFonts w:hint="default" w:eastAsia="宋体"/>
          <w:snapToGrid w:val="0"/>
          <w:color w:val="auto"/>
          <w:sz w:val="24"/>
          <w:highlight w:val="none"/>
          <w:lang w:val="en-US" w:eastAsia="zh-CN"/>
        </w:rPr>
        <w:t xml:space="preserve">300 </w:t>
      </w:r>
      <w:r>
        <w:rPr>
          <w:rFonts w:hint="eastAsia" w:eastAsia="宋体"/>
          <w:snapToGrid w:val="0"/>
          <w:color w:val="auto"/>
          <w:sz w:val="24"/>
          <w:highlight w:val="none"/>
          <w:lang w:val="en-US" w:eastAsia="zh-CN"/>
        </w:rPr>
        <w:t xml:space="preserve">号）、《金融业企业划型标准规定》（〔2015〕309 号）等国务院批准的中小企业划分标准执行。 </w:t>
      </w:r>
    </w:p>
    <w:p w14:paraId="775C3158">
      <w:pPr>
        <w:pStyle w:val="40"/>
        <w:keepNext w:val="0"/>
        <w:keepLines w:val="0"/>
        <w:pageBreakBefore w:val="0"/>
        <w:widowControl w:val="0"/>
        <w:kinsoku/>
        <w:overflowPunct/>
        <w:topLinePunct w:val="0"/>
        <w:autoSpaceDE/>
        <w:autoSpaceDN/>
        <w:bidi w:val="0"/>
        <w:adjustRightInd/>
        <w:textAlignment w:val="auto"/>
        <w:rPr>
          <w:rFonts w:eastAsia="宋体"/>
          <w:snapToGrid w:val="0"/>
          <w:color w:val="auto"/>
          <w:sz w:val="24"/>
          <w:highlight w:val="none"/>
        </w:rPr>
      </w:pPr>
      <w:r>
        <w:rPr>
          <w:rFonts w:hint="eastAsia" w:eastAsia="宋体"/>
          <w:snapToGrid w:val="0"/>
          <w:color w:val="auto"/>
          <w:sz w:val="24"/>
          <w:highlight w:val="none"/>
          <w:lang w:val="en-US" w:eastAsia="zh-CN"/>
        </w:rPr>
        <w:t>42</w:t>
      </w:r>
      <w:r>
        <w:rPr>
          <w:rFonts w:hint="eastAsia" w:eastAsia="宋体"/>
          <w:snapToGrid w:val="0"/>
          <w:color w:val="auto"/>
          <w:sz w:val="24"/>
          <w:highlight w:val="none"/>
        </w:rPr>
        <w:t>.</w:t>
      </w:r>
      <w:r>
        <w:rPr>
          <w:rFonts w:hint="eastAsia" w:eastAsia="宋体"/>
          <w:snapToGrid w:val="0"/>
          <w:color w:val="auto"/>
          <w:sz w:val="24"/>
          <w:highlight w:val="none"/>
          <w:lang w:val="en-US" w:eastAsia="zh-CN"/>
        </w:rPr>
        <w:t>2</w:t>
      </w:r>
      <w:r>
        <w:rPr>
          <w:rFonts w:hint="eastAsia" w:eastAsia="宋体"/>
          <w:snapToGrid w:val="0"/>
          <w:color w:val="auto"/>
          <w:sz w:val="24"/>
          <w:highlight w:val="none"/>
        </w:rPr>
        <w:t>为促进中小企业发展，依据《关于印发&lt;政府采购促进中小企业发展管理办法&gt;的通知》（财库〔2020〕46号）、《财政部 司法部关于政府采购支持监狱企业发展有关问题的通知》（财库〔2014〕68号）、《关于促进残疾人就业政府采购政策的通知》（财库〔2017〕141号）的规定，本项目供应商如</w:t>
      </w:r>
      <w:r>
        <w:rPr>
          <w:rFonts w:hint="eastAsia" w:eastAsia="宋体"/>
          <w:snapToGrid w:val="0"/>
          <w:color w:val="auto"/>
          <w:sz w:val="24"/>
          <w:highlight w:val="none"/>
          <w:lang w:eastAsia="zh-CN"/>
        </w:rPr>
        <w:t>需享受中小企业相关政策的，且</w:t>
      </w:r>
      <w:r>
        <w:rPr>
          <w:rFonts w:hint="eastAsia" w:eastAsia="宋体"/>
          <w:snapToGrid w:val="0"/>
          <w:color w:val="auto"/>
          <w:sz w:val="24"/>
          <w:highlight w:val="none"/>
        </w:rPr>
        <w:t>符合上述文件规定的，</w:t>
      </w:r>
      <w:r>
        <w:rPr>
          <w:rFonts w:hint="eastAsia" w:eastAsia="宋体"/>
          <w:snapToGrid w:val="0"/>
          <w:color w:val="auto"/>
          <w:sz w:val="24"/>
          <w:highlight w:val="none"/>
          <w:lang w:eastAsia="zh-CN"/>
        </w:rPr>
        <w:t>应按本</w:t>
      </w:r>
      <w:r>
        <w:rPr>
          <w:rFonts w:hint="eastAsia" w:eastAsia="宋体"/>
          <w:snapToGrid w:val="0"/>
          <w:color w:val="auto"/>
          <w:sz w:val="24"/>
          <w:highlight w:val="none"/>
          <w:lang w:val="en-US" w:eastAsia="zh-CN"/>
        </w:rPr>
        <w:t>招标</w:t>
      </w:r>
      <w:r>
        <w:rPr>
          <w:rFonts w:hint="eastAsia" w:eastAsia="宋体"/>
          <w:snapToGrid w:val="0"/>
          <w:color w:val="auto"/>
          <w:sz w:val="24"/>
          <w:highlight w:val="none"/>
          <w:lang w:eastAsia="zh-CN"/>
        </w:rPr>
        <w:t>文件规定格式</w:t>
      </w:r>
      <w:r>
        <w:rPr>
          <w:rFonts w:hint="eastAsia" w:eastAsia="宋体"/>
          <w:snapToGrid w:val="0"/>
          <w:color w:val="auto"/>
          <w:sz w:val="24"/>
          <w:highlight w:val="none"/>
        </w:rPr>
        <w:t>提供</w:t>
      </w:r>
      <w:r>
        <w:rPr>
          <w:rFonts w:hint="eastAsia" w:eastAsia="宋体"/>
          <w:snapToGrid w:val="0"/>
          <w:color w:val="auto"/>
          <w:sz w:val="24"/>
          <w:highlight w:val="none"/>
          <w:lang w:eastAsia="zh-CN"/>
        </w:rPr>
        <w:t>“</w:t>
      </w:r>
      <w:r>
        <w:rPr>
          <w:rFonts w:hint="eastAsia" w:eastAsia="宋体"/>
          <w:snapToGrid w:val="0"/>
          <w:color w:val="auto"/>
          <w:sz w:val="24"/>
          <w:highlight w:val="none"/>
        </w:rPr>
        <w:t>中小企业声明函</w:t>
      </w:r>
      <w:r>
        <w:rPr>
          <w:rFonts w:hint="eastAsia" w:eastAsia="宋体"/>
          <w:snapToGrid w:val="0"/>
          <w:color w:val="auto"/>
          <w:sz w:val="24"/>
          <w:highlight w:val="none"/>
          <w:lang w:eastAsia="zh-CN"/>
        </w:rPr>
        <w:t>”</w:t>
      </w:r>
      <w:r>
        <w:rPr>
          <w:rFonts w:hint="eastAsia" w:eastAsia="宋体"/>
          <w:snapToGrid w:val="0"/>
          <w:color w:val="auto"/>
          <w:sz w:val="24"/>
          <w:highlight w:val="none"/>
          <w:lang w:val="en-US" w:eastAsia="zh-CN"/>
        </w:rPr>
        <w:t>或“</w:t>
      </w:r>
      <w:r>
        <w:rPr>
          <w:rFonts w:hint="eastAsia" w:eastAsia="宋体"/>
          <w:snapToGrid w:val="0"/>
          <w:color w:val="auto"/>
          <w:sz w:val="24"/>
          <w:highlight w:val="none"/>
        </w:rPr>
        <w:t>监狱企业证明文件</w:t>
      </w:r>
      <w:r>
        <w:rPr>
          <w:rFonts w:hint="eastAsia" w:eastAsia="宋体"/>
          <w:snapToGrid w:val="0"/>
          <w:color w:val="auto"/>
          <w:sz w:val="24"/>
          <w:highlight w:val="none"/>
          <w:lang w:eastAsia="zh-CN"/>
        </w:rPr>
        <w:t>”</w:t>
      </w:r>
      <w:r>
        <w:rPr>
          <w:rFonts w:hint="eastAsia" w:eastAsia="宋体"/>
          <w:snapToGrid w:val="0"/>
          <w:color w:val="auto"/>
          <w:sz w:val="24"/>
          <w:highlight w:val="none"/>
          <w:lang w:val="en-US" w:eastAsia="zh-CN"/>
        </w:rPr>
        <w:t>或</w:t>
      </w:r>
      <w:r>
        <w:rPr>
          <w:rFonts w:hint="eastAsia" w:eastAsia="宋体"/>
          <w:snapToGrid w:val="0"/>
          <w:color w:val="auto"/>
          <w:sz w:val="24"/>
          <w:highlight w:val="none"/>
          <w:lang w:eastAsia="zh-CN"/>
        </w:rPr>
        <w:t>“</w:t>
      </w:r>
      <w:r>
        <w:rPr>
          <w:rFonts w:hint="eastAsia" w:eastAsia="宋体"/>
          <w:snapToGrid w:val="0"/>
          <w:color w:val="auto"/>
          <w:sz w:val="24"/>
          <w:highlight w:val="none"/>
        </w:rPr>
        <w:t>残疾人福利性单位声明函</w:t>
      </w:r>
      <w:r>
        <w:rPr>
          <w:rFonts w:hint="eastAsia" w:eastAsia="宋体"/>
          <w:snapToGrid w:val="0"/>
          <w:color w:val="auto"/>
          <w:sz w:val="24"/>
          <w:highlight w:val="none"/>
          <w:lang w:eastAsia="zh-CN"/>
        </w:rPr>
        <w:t>”</w:t>
      </w:r>
      <w:r>
        <w:rPr>
          <w:rFonts w:hint="eastAsia" w:eastAsia="宋体"/>
          <w:snapToGrid w:val="0"/>
          <w:color w:val="auto"/>
          <w:sz w:val="24"/>
          <w:highlight w:val="none"/>
        </w:rPr>
        <w:t>，评审时，</w:t>
      </w:r>
      <w:r>
        <w:rPr>
          <w:rFonts w:hint="eastAsia" w:eastAsia="宋体"/>
          <w:snapToGrid w:val="0"/>
          <w:color w:val="auto"/>
          <w:sz w:val="24"/>
          <w:highlight w:val="none"/>
          <w:lang w:val="en-US" w:eastAsia="zh-CN"/>
        </w:rPr>
        <w:t>评标委员会</w:t>
      </w:r>
      <w:r>
        <w:rPr>
          <w:rFonts w:hint="eastAsia" w:eastAsia="宋体"/>
          <w:snapToGrid w:val="0"/>
          <w:color w:val="auto"/>
          <w:sz w:val="24"/>
          <w:highlight w:val="none"/>
        </w:rPr>
        <w:t>将依据</w:t>
      </w:r>
      <w:r>
        <w:rPr>
          <w:rFonts w:hint="eastAsia" w:eastAsia="宋体"/>
          <w:snapToGrid w:val="0"/>
          <w:color w:val="auto"/>
          <w:sz w:val="24"/>
          <w:highlight w:val="none"/>
          <w:lang w:eastAsia="zh-CN"/>
        </w:rPr>
        <w:t>本</w:t>
      </w:r>
      <w:r>
        <w:rPr>
          <w:rFonts w:hint="eastAsia" w:eastAsia="宋体"/>
          <w:snapToGrid w:val="0"/>
          <w:color w:val="auto"/>
          <w:sz w:val="24"/>
          <w:highlight w:val="none"/>
          <w:lang w:val="en-US" w:eastAsia="zh-CN"/>
        </w:rPr>
        <w:t>招标</w:t>
      </w:r>
      <w:r>
        <w:rPr>
          <w:rFonts w:hint="eastAsia" w:eastAsia="宋体"/>
          <w:snapToGrid w:val="0"/>
          <w:color w:val="auto"/>
          <w:sz w:val="24"/>
          <w:highlight w:val="none"/>
          <w:lang w:eastAsia="zh-CN"/>
        </w:rPr>
        <w:t>文件</w:t>
      </w:r>
      <w:r>
        <w:rPr>
          <w:rFonts w:hint="eastAsia" w:eastAsia="宋体"/>
          <w:snapToGrid w:val="0"/>
          <w:color w:val="auto"/>
          <w:sz w:val="24"/>
          <w:highlight w:val="none"/>
        </w:rPr>
        <w:t>“</w:t>
      </w:r>
      <w:r>
        <w:rPr>
          <w:rFonts w:hint="eastAsia" w:eastAsia="宋体"/>
          <w:snapToGrid w:val="0"/>
          <w:color w:val="auto"/>
          <w:sz w:val="24"/>
          <w:highlight w:val="none"/>
          <w:lang w:val="en-US" w:eastAsia="zh-CN"/>
        </w:rPr>
        <w:t>投标人</w:t>
      </w:r>
      <w:r>
        <w:rPr>
          <w:rFonts w:hint="eastAsia" w:eastAsia="宋体"/>
          <w:snapToGrid w:val="0"/>
          <w:color w:val="auto"/>
          <w:sz w:val="24"/>
          <w:highlight w:val="none"/>
        </w:rPr>
        <w:t>须知前附表”规定的报价扣除比例，对供应商报价进行价格扣除，用扣除后的价格参与评审</w:t>
      </w:r>
      <w:r>
        <w:rPr>
          <w:rFonts w:hint="eastAsia" w:eastAsia="宋体"/>
          <w:snapToGrid w:val="0"/>
          <w:color w:val="auto"/>
          <w:sz w:val="24"/>
          <w:highlight w:val="none"/>
          <w:lang w:eastAsia="zh-CN"/>
        </w:rPr>
        <w:t>；</w:t>
      </w:r>
      <w:r>
        <w:rPr>
          <w:rFonts w:hint="eastAsia" w:eastAsia="宋体"/>
          <w:snapToGrid w:val="0"/>
          <w:color w:val="auto"/>
          <w:sz w:val="24"/>
          <w:highlight w:val="none"/>
          <w:lang w:val="en-US" w:eastAsia="zh-CN"/>
        </w:rPr>
        <w:t>招标</w:t>
      </w:r>
      <w:r>
        <w:rPr>
          <w:rFonts w:hint="eastAsia" w:eastAsia="宋体"/>
          <w:snapToGrid w:val="0"/>
          <w:color w:val="auto"/>
          <w:sz w:val="24"/>
          <w:highlight w:val="none"/>
          <w:lang w:eastAsia="zh-CN"/>
        </w:rPr>
        <w:t>公告中明确项目专门面向中小企业采购的，“</w:t>
      </w:r>
      <w:r>
        <w:rPr>
          <w:rFonts w:hint="eastAsia" w:eastAsia="宋体"/>
          <w:snapToGrid w:val="0"/>
          <w:color w:val="auto"/>
          <w:sz w:val="24"/>
          <w:highlight w:val="none"/>
        </w:rPr>
        <w:t>中小企业声明函</w:t>
      </w:r>
      <w:r>
        <w:rPr>
          <w:rFonts w:hint="eastAsia" w:eastAsia="宋体"/>
          <w:snapToGrid w:val="0"/>
          <w:color w:val="auto"/>
          <w:sz w:val="24"/>
          <w:highlight w:val="none"/>
          <w:lang w:eastAsia="zh-CN"/>
        </w:rPr>
        <w:t>”为资格要求文件，</w:t>
      </w:r>
      <w:r>
        <w:rPr>
          <w:rFonts w:hint="eastAsia" w:eastAsia="宋体"/>
          <w:snapToGrid w:val="0"/>
          <w:color w:val="auto"/>
          <w:sz w:val="24"/>
          <w:highlight w:val="none"/>
        </w:rPr>
        <w:t>供应商</w:t>
      </w:r>
      <w:r>
        <w:rPr>
          <w:rFonts w:hint="eastAsia" w:eastAsia="宋体"/>
          <w:snapToGrid w:val="0"/>
          <w:color w:val="auto"/>
          <w:sz w:val="24"/>
          <w:highlight w:val="none"/>
          <w:lang w:eastAsia="zh-CN"/>
        </w:rPr>
        <w:t>参与</w:t>
      </w:r>
      <w:r>
        <w:rPr>
          <w:rFonts w:hint="eastAsia" w:eastAsia="宋体"/>
          <w:snapToGrid w:val="0"/>
          <w:color w:val="auto"/>
          <w:sz w:val="24"/>
          <w:highlight w:val="none"/>
          <w:lang w:val="en-US" w:eastAsia="zh-CN"/>
        </w:rPr>
        <w:t>投标</w:t>
      </w:r>
      <w:r>
        <w:rPr>
          <w:rFonts w:hint="eastAsia" w:eastAsia="宋体"/>
          <w:snapToGrid w:val="0"/>
          <w:color w:val="auto"/>
          <w:sz w:val="24"/>
          <w:highlight w:val="none"/>
          <w:lang w:eastAsia="zh-CN"/>
        </w:rPr>
        <w:t>须按本</w:t>
      </w:r>
      <w:r>
        <w:rPr>
          <w:rFonts w:hint="eastAsia" w:eastAsia="宋体"/>
          <w:snapToGrid w:val="0"/>
          <w:color w:val="auto"/>
          <w:sz w:val="24"/>
          <w:highlight w:val="none"/>
          <w:lang w:val="en-US" w:eastAsia="zh-CN"/>
        </w:rPr>
        <w:t>招标</w:t>
      </w:r>
      <w:r>
        <w:rPr>
          <w:rFonts w:hint="eastAsia" w:eastAsia="宋体"/>
          <w:snapToGrid w:val="0"/>
          <w:color w:val="auto"/>
          <w:sz w:val="24"/>
          <w:highlight w:val="none"/>
          <w:lang w:eastAsia="zh-CN"/>
        </w:rPr>
        <w:t>文件规定格式</w:t>
      </w:r>
      <w:r>
        <w:rPr>
          <w:rFonts w:hint="eastAsia" w:eastAsia="宋体"/>
          <w:snapToGrid w:val="0"/>
          <w:color w:val="auto"/>
          <w:sz w:val="24"/>
          <w:highlight w:val="none"/>
        </w:rPr>
        <w:t>提供</w:t>
      </w:r>
      <w:r>
        <w:rPr>
          <w:rFonts w:hint="eastAsia" w:eastAsia="宋体"/>
          <w:snapToGrid w:val="0"/>
          <w:color w:val="auto"/>
          <w:sz w:val="24"/>
          <w:highlight w:val="none"/>
          <w:lang w:eastAsia="zh-CN"/>
        </w:rPr>
        <w:t>“</w:t>
      </w:r>
      <w:r>
        <w:rPr>
          <w:rFonts w:hint="eastAsia" w:eastAsia="宋体"/>
          <w:snapToGrid w:val="0"/>
          <w:color w:val="auto"/>
          <w:sz w:val="24"/>
          <w:highlight w:val="none"/>
        </w:rPr>
        <w:t>中小企业声明函</w:t>
      </w:r>
      <w:r>
        <w:rPr>
          <w:rFonts w:hint="eastAsia" w:eastAsia="宋体"/>
          <w:snapToGrid w:val="0"/>
          <w:color w:val="auto"/>
          <w:sz w:val="24"/>
          <w:highlight w:val="none"/>
          <w:lang w:eastAsia="zh-CN"/>
        </w:rPr>
        <w:t>”</w:t>
      </w:r>
      <w:r>
        <w:rPr>
          <w:rFonts w:hint="eastAsia" w:eastAsia="宋体"/>
          <w:snapToGrid w:val="0"/>
          <w:color w:val="auto"/>
          <w:sz w:val="24"/>
          <w:highlight w:val="none"/>
          <w:lang w:val="en-US" w:eastAsia="zh-CN"/>
        </w:rPr>
        <w:t>或“</w:t>
      </w:r>
      <w:r>
        <w:rPr>
          <w:rFonts w:hint="eastAsia" w:eastAsia="宋体"/>
          <w:snapToGrid w:val="0"/>
          <w:color w:val="auto"/>
          <w:sz w:val="24"/>
          <w:highlight w:val="none"/>
        </w:rPr>
        <w:t>监狱企业证明文件</w:t>
      </w:r>
      <w:r>
        <w:rPr>
          <w:rFonts w:hint="eastAsia" w:eastAsia="宋体"/>
          <w:snapToGrid w:val="0"/>
          <w:color w:val="auto"/>
          <w:sz w:val="24"/>
          <w:highlight w:val="none"/>
          <w:lang w:eastAsia="zh-CN"/>
        </w:rPr>
        <w:t>”</w:t>
      </w:r>
      <w:r>
        <w:rPr>
          <w:rFonts w:hint="eastAsia" w:eastAsia="宋体"/>
          <w:snapToGrid w:val="0"/>
          <w:color w:val="auto"/>
          <w:sz w:val="24"/>
          <w:highlight w:val="none"/>
          <w:lang w:val="en-US" w:eastAsia="zh-CN"/>
        </w:rPr>
        <w:t>或</w:t>
      </w:r>
      <w:r>
        <w:rPr>
          <w:rFonts w:hint="eastAsia" w:eastAsia="宋体"/>
          <w:snapToGrid w:val="0"/>
          <w:color w:val="auto"/>
          <w:sz w:val="24"/>
          <w:highlight w:val="none"/>
          <w:lang w:eastAsia="zh-CN"/>
        </w:rPr>
        <w:t>“</w:t>
      </w:r>
      <w:r>
        <w:rPr>
          <w:rFonts w:hint="eastAsia" w:eastAsia="宋体"/>
          <w:snapToGrid w:val="0"/>
          <w:color w:val="auto"/>
          <w:sz w:val="24"/>
          <w:highlight w:val="none"/>
        </w:rPr>
        <w:t>残疾人福利性单位声明函</w:t>
      </w:r>
      <w:r>
        <w:rPr>
          <w:rFonts w:hint="eastAsia" w:eastAsia="宋体"/>
          <w:snapToGrid w:val="0"/>
          <w:color w:val="auto"/>
          <w:sz w:val="24"/>
          <w:highlight w:val="none"/>
          <w:lang w:eastAsia="zh-CN"/>
        </w:rPr>
        <w:t>”等作为资格证明文件。</w:t>
      </w:r>
      <w:r>
        <w:rPr>
          <w:rFonts w:hint="eastAsia" w:eastAsia="宋体"/>
          <w:snapToGrid w:val="0"/>
          <w:color w:val="auto"/>
          <w:sz w:val="24"/>
          <w:highlight w:val="none"/>
          <w:lang w:val="en-US" w:eastAsia="zh-CN"/>
        </w:rPr>
        <w:t xml:space="preserve"> </w:t>
      </w:r>
    </w:p>
    <w:p w14:paraId="743E5E0E">
      <w:pPr>
        <w:pStyle w:val="40"/>
        <w:keepNext w:val="0"/>
        <w:keepLines w:val="0"/>
        <w:pageBreakBefore w:val="0"/>
        <w:widowControl w:val="0"/>
        <w:kinsoku/>
        <w:overflowPunct/>
        <w:topLinePunct w:val="0"/>
        <w:autoSpaceDE/>
        <w:autoSpaceDN/>
        <w:bidi w:val="0"/>
        <w:adjustRightInd/>
        <w:textAlignment w:val="auto"/>
        <w:rPr>
          <w:rFonts w:eastAsia="宋体"/>
          <w:snapToGrid w:val="0"/>
          <w:color w:val="auto"/>
          <w:sz w:val="24"/>
          <w:highlight w:val="none"/>
        </w:rPr>
      </w:pPr>
      <w:r>
        <w:rPr>
          <w:rFonts w:hint="eastAsia" w:eastAsia="宋体"/>
          <w:snapToGrid w:val="0"/>
          <w:color w:val="auto"/>
          <w:sz w:val="24"/>
          <w:highlight w:val="none"/>
          <w:lang w:val="en-US" w:eastAsia="zh-CN"/>
        </w:rPr>
        <w:t>42</w:t>
      </w:r>
      <w:r>
        <w:rPr>
          <w:rFonts w:hint="default" w:eastAsia="宋体"/>
          <w:snapToGrid w:val="0"/>
          <w:color w:val="auto"/>
          <w:sz w:val="24"/>
          <w:highlight w:val="none"/>
          <w:lang w:val="en-US" w:eastAsia="zh-CN"/>
        </w:rPr>
        <w:t>.</w:t>
      </w:r>
      <w:r>
        <w:rPr>
          <w:rFonts w:hint="eastAsia" w:eastAsia="宋体"/>
          <w:snapToGrid w:val="0"/>
          <w:color w:val="auto"/>
          <w:sz w:val="24"/>
          <w:highlight w:val="none"/>
          <w:lang w:val="en-US" w:eastAsia="zh-CN"/>
        </w:rPr>
        <w:t>3</w:t>
      </w:r>
      <w:r>
        <w:rPr>
          <w:rFonts w:hint="default" w:eastAsia="宋体"/>
          <w:snapToGrid w:val="0"/>
          <w:color w:val="auto"/>
          <w:sz w:val="24"/>
          <w:highlight w:val="none"/>
          <w:lang w:val="en-US" w:eastAsia="zh-CN"/>
        </w:rPr>
        <w:t xml:space="preserve"> </w:t>
      </w:r>
      <w:r>
        <w:rPr>
          <w:rFonts w:hint="eastAsia" w:eastAsia="宋体"/>
          <w:snapToGrid w:val="0"/>
          <w:color w:val="auto"/>
          <w:sz w:val="24"/>
          <w:highlight w:val="none"/>
          <w:lang w:val="en-US" w:eastAsia="zh-CN"/>
        </w:rPr>
        <w:t xml:space="preserve">投标人提供的货物、工程或者服务符合下列情形的，享受中小企业扶持政策： </w:t>
      </w:r>
    </w:p>
    <w:p w14:paraId="07E7A00A">
      <w:pPr>
        <w:pStyle w:val="40"/>
        <w:keepNext w:val="0"/>
        <w:keepLines w:val="0"/>
        <w:pageBreakBefore w:val="0"/>
        <w:widowControl w:val="0"/>
        <w:kinsoku/>
        <w:overflowPunct/>
        <w:topLinePunct w:val="0"/>
        <w:autoSpaceDE/>
        <w:autoSpaceDN/>
        <w:bidi w:val="0"/>
        <w:adjustRightInd/>
        <w:textAlignment w:val="auto"/>
        <w:rPr>
          <w:rFonts w:eastAsia="宋体"/>
          <w:snapToGrid w:val="0"/>
          <w:color w:val="auto"/>
          <w:sz w:val="24"/>
          <w:highlight w:val="none"/>
        </w:rPr>
      </w:pPr>
      <w:r>
        <w:rPr>
          <w:rFonts w:hint="eastAsia" w:eastAsia="宋体"/>
          <w:snapToGrid w:val="0"/>
          <w:color w:val="auto"/>
          <w:sz w:val="24"/>
          <w:highlight w:val="none"/>
          <w:lang w:val="en-US" w:eastAsia="zh-CN"/>
        </w:rPr>
        <w:t>（</w:t>
      </w:r>
      <w:r>
        <w:rPr>
          <w:rFonts w:hint="default" w:eastAsia="宋体"/>
          <w:snapToGrid w:val="0"/>
          <w:color w:val="auto"/>
          <w:sz w:val="24"/>
          <w:highlight w:val="none"/>
          <w:lang w:val="en-US" w:eastAsia="zh-CN"/>
        </w:rPr>
        <w:t>1</w:t>
      </w:r>
      <w:r>
        <w:rPr>
          <w:rFonts w:hint="eastAsia" w:eastAsia="宋体"/>
          <w:snapToGrid w:val="0"/>
          <w:color w:val="auto"/>
          <w:sz w:val="24"/>
          <w:highlight w:val="none"/>
          <w:lang w:val="en-US" w:eastAsia="zh-CN"/>
        </w:rPr>
        <w:t xml:space="preserve">）在货物采购项目中，货物由中小企业制造，即货物由中小企业生产且使用该中小企业商号或者注册商标； </w:t>
      </w:r>
    </w:p>
    <w:p w14:paraId="128FB5A1">
      <w:pPr>
        <w:pStyle w:val="40"/>
        <w:keepNext w:val="0"/>
        <w:keepLines w:val="0"/>
        <w:pageBreakBefore w:val="0"/>
        <w:widowControl w:val="0"/>
        <w:kinsoku/>
        <w:overflowPunct/>
        <w:topLinePunct w:val="0"/>
        <w:autoSpaceDE/>
        <w:autoSpaceDN/>
        <w:bidi w:val="0"/>
        <w:adjustRightInd/>
        <w:textAlignment w:val="auto"/>
        <w:rPr>
          <w:rFonts w:eastAsia="宋体"/>
          <w:snapToGrid w:val="0"/>
          <w:color w:val="auto"/>
          <w:sz w:val="24"/>
          <w:highlight w:val="none"/>
        </w:rPr>
      </w:pPr>
      <w:r>
        <w:rPr>
          <w:rFonts w:hint="eastAsia" w:eastAsia="宋体"/>
          <w:snapToGrid w:val="0"/>
          <w:color w:val="auto"/>
          <w:sz w:val="24"/>
          <w:highlight w:val="none"/>
          <w:lang w:val="en-US" w:eastAsia="zh-CN"/>
        </w:rPr>
        <w:t>（</w:t>
      </w:r>
      <w:r>
        <w:rPr>
          <w:rFonts w:hint="default" w:eastAsia="宋体"/>
          <w:snapToGrid w:val="0"/>
          <w:color w:val="auto"/>
          <w:sz w:val="24"/>
          <w:highlight w:val="none"/>
          <w:lang w:val="en-US" w:eastAsia="zh-CN"/>
        </w:rPr>
        <w:t>2</w:t>
      </w:r>
      <w:r>
        <w:rPr>
          <w:rFonts w:hint="eastAsia" w:eastAsia="宋体"/>
          <w:snapToGrid w:val="0"/>
          <w:color w:val="auto"/>
          <w:sz w:val="24"/>
          <w:highlight w:val="none"/>
          <w:lang w:val="en-US" w:eastAsia="zh-CN"/>
        </w:rPr>
        <w:t xml:space="preserve">）在工程采购项目中，工程由中小企业承建，即工程施工单位为中小企业； </w:t>
      </w:r>
    </w:p>
    <w:p w14:paraId="4557B965">
      <w:pPr>
        <w:pStyle w:val="40"/>
        <w:keepNext w:val="0"/>
        <w:keepLines w:val="0"/>
        <w:pageBreakBefore w:val="0"/>
        <w:widowControl w:val="0"/>
        <w:kinsoku/>
        <w:overflowPunct/>
        <w:topLinePunct w:val="0"/>
        <w:autoSpaceDE/>
        <w:autoSpaceDN/>
        <w:bidi w:val="0"/>
        <w:adjustRightInd/>
        <w:textAlignment w:val="auto"/>
        <w:rPr>
          <w:rFonts w:eastAsia="宋体"/>
          <w:snapToGrid w:val="0"/>
          <w:color w:val="auto"/>
          <w:sz w:val="24"/>
          <w:highlight w:val="none"/>
        </w:rPr>
      </w:pPr>
      <w:r>
        <w:rPr>
          <w:rFonts w:hint="eastAsia" w:eastAsia="宋体"/>
          <w:snapToGrid w:val="0"/>
          <w:color w:val="auto"/>
          <w:sz w:val="24"/>
          <w:highlight w:val="none"/>
          <w:lang w:val="en-US" w:eastAsia="zh-CN"/>
        </w:rPr>
        <w:t>（</w:t>
      </w:r>
      <w:r>
        <w:rPr>
          <w:rFonts w:hint="default" w:eastAsia="宋体"/>
          <w:snapToGrid w:val="0"/>
          <w:color w:val="auto"/>
          <w:sz w:val="24"/>
          <w:highlight w:val="none"/>
          <w:lang w:val="en-US" w:eastAsia="zh-CN"/>
        </w:rPr>
        <w:t>3</w:t>
      </w:r>
      <w:r>
        <w:rPr>
          <w:rFonts w:hint="eastAsia" w:eastAsia="宋体"/>
          <w:snapToGrid w:val="0"/>
          <w:color w:val="auto"/>
          <w:sz w:val="24"/>
          <w:highlight w:val="none"/>
          <w:lang w:val="en-US" w:eastAsia="zh-CN"/>
        </w:rPr>
        <w:t>）在服务采购项目中，服务由中小企业承接，即提供服务的人员为中小企业依照《中华人民共和国劳动合同法》订立劳动合同的从业人员。</w:t>
      </w:r>
    </w:p>
    <w:p w14:paraId="5C38B69F">
      <w:pPr>
        <w:pStyle w:val="40"/>
        <w:keepNext w:val="0"/>
        <w:keepLines w:val="0"/>
        <w:pageBreakBefore w:val="0"/>
        <w:widowControl w:val="0"/>
        <w:kinsoku/>
        <w:overflowPunct/>
        <w:topLinePunct w:val="0"/>
        <w:autoSpaceDE/>
        <w:autoSpaceDN/>
        <w:bidi w:val="0"/>
        <w:adjustRightInd/>
        <w:textAlignment w:val="auto"/>
        <w:rPr>
          <w:rFonts w:eastAsia="宋体"/>
          <w:snapToGrid w:val="0"/>
          <w:color w:val="auto"/>
          <w:sz w:val="24"/>
          <w:highlight w:val="none"/>
        </w:rPr>
      </w:pPr>
      <w:r>
        <w:rPr>
          <w:rFonts w:hint="eastAsia" w:eastAsia="宋体"/>
          <w:snapToGrid w:val="0"/>
          <w:color w:val="auto"/>
          <w:sz w:val="24"/>
          <w:highlight w:val="none"/>
          <w:lang w:val="en-US" w:eastAsia="zh-CN"/>
        </w:rPr>
        <w:t>42</w:t>
      </w:r>
      <w:r>
        <w:rPr>
          <w:rFonts w:eastAsia="宋体"/>
          <w:snapToGrid w:val="0"/>
          <w:color w:val="auto"/>
          <w:sz w:val="24"/>
          <w:highlight w:val="none"/>
          <w:lang w:val="en-US" w:eastAsia="zh-CN"/>
        </w:rPr>
        <w:t>.</w:t>
      </w:r>
      <w:r>
        <w:rPr>
          <w:rFonts w:hint="eastAsia" w:eastAsia="宋体"/>
          <w:snapToGrid w:val="0"/>
          <w:color w:val="auto"/>
          <w:sz w:val="24"/>
          <w:highlight w:val="none"/>
          <w:lang w:val="en-US" w:eastAsia="zh-CN"/>
        </w:rPr>
        <w:t>4</w:t>
      </w:r>
      <w:r>
        <w:rPr>
          <w:rFonts w:eastAsia="宋体"/>
          <w:snapToGrid w:val="0"/>
          <w:color w:val="auto"/>
          <w:sz w:val="24"/>
          <w:highlight w:val="none"/>
          <w:lang w:val="en-US" w:eastAsia="zh-CN"/>
        </w:rPr>
        <w:t xml:space="preserve"> </w:t>
      </w:r>
      <w:r>
        <w:rPr>
          <w:rFonts w:hint="eastAsia" w:eastAsia="宋体"/>
          <w:snapToGrid w:val="0"/>
          <w:color w:val="auto"/>
          <w:sz w:val="24"/>
          <w:highlight w:val="none"/>
          <w:lang w:val="en-US" w:eastAsia="zh-CN"/>
        </w:rPr>
        <w:t xml:space="preserve">在货物采购项目中，投标人提供的货物既有中小企业制造货物，也有大型企业制造货物的，不享受中小企业扶持政策。 </w:t>
      </w:r>
    </w:p>
    <w:p w14:paraId="0B6C9A16">
      <w:pPr>
        <w:pStyle w:val="40"/>
        <w:keepNext w:val="0"/>
        <w:keepLines w:val="0"/>
        <w:pageBreakBefore w:val="0"/>
        <w:widowControl w:val="0"/>
        <w:kinsoku/>
        <w:overflowPunct/>
        <w:topLinePunct w:val="0"/>
        <w:autoSpaceDE/>
        <w:autoSpaceDN/>
        <w:bidi w:val="0"/>
        <w:adjustRightInd/>
        <w:textAlignment w:val="auto"/>
        <w:rPr>
          <w:rFonts w:hint="eastAsia" w:eastAsia="宋体"/>
          <w:snapToGrid w:val="0"/>
          <w:color w:val="auto"/>
          <w:sz w:val="24"/>
          <w:highlight w:val="none"/>
          <w:lang w:val="en-US" w:eastAsia="zh-CN"/>
        </w:rPr>
      </w:pPr>
      <w:r>
        <w:rPr>
          <w:rFonts w:hint="eastAsia" w:eastAsia="宋体"/>
          <w:snapToGrid w:val="0"/>
          <w:color w:val="auto"/>
          <w:sz w:val="24"/>
          <w:highlight w:val="none"/>
          <w:lang w:val="en-US" w:eastAsia="zh-CN"/>
        </w:rPr>
        <w:t>42</w:t>
      </w:r>
      <w:r>
        <w:rPr>
          <w:rFonts w:hint="default" w:eastAsia="宋体"/>
          <w:snapToGrid w:val="0"/>
          <w:color w:val="auto"/>
          <w:sz w:val="24"/>
          <w:highlight w:val="none"/>
          <w:lang w:val="en-US" w:eastAsia="zh-CN"/>
        </w:rPr>
        <w:t>.</w:t>
      </w:r>
      <w:r>
        <w:rPr>
          <w:rFonts w:hint="eastAsia" w:eastAsia="宋体"/>
          <w:snapToGrid w:val="0"/>
          <w:color w:val="auto"/>
          <w:sz w:val="24"/>
          <w:highlight w:val="none"/>
          <w:lang w:val="en-US" w:eastAsia="zh-CN"/>
        </w:rPr>
        <w:t>5</w:t>
      </w:r>
      <w:r>
        <w:rPr>
          <w:rFonts w:hint="default" w:eastAsia="宋体"/>
          <w:snapToGrid w:val="0"/>
          <w:color w:val="auto"/>
          <w:sz w:val="24"/>
          <w:highlight w:val="none"/>
          <w:lang w:val="en-US" w:eastAsia="zh-CN"/>
        </w:rPr>
        <w:t xml:space="preserve"> </w:t>
      </w:r>
      <w:r>
        <w:rPr>
          <w:rFonts w:hint="eastAsia" w:eastAsia="宋体"/>
          <w:snapToGrid w:val="0"/>
          <w:color w:val="auto"/>
          <w:sz w:val="24"/>
          <w:highlight w:val="none"/>
          <w:lang w:val="en-US" w:eastAsia="zh-CN"/>
        </w:rPr>
        <w:t xml:space="preserve">以联合体形式参加政府采购活动，联合体各方均为中小企业的，联合体视同中小企业。其中，联合体各方均为小微企业的，联合体视同小微企业。  </w:t>
      </w:r>
    </w:p>
    <w:p w14:paraId="589A89E3">
      <w:pPr>
        <w:pStyle w:val="40"/>
        <w:keepNext w:val="0"/>
        <w:keepLines w:val="0"/>
        <w:pageBreakBefore w:val="0"/>
        <w:widowControl w:val="0"/>
        <w:kinsoku/>
        <w:overflowPunct/>
        <w:topLinePunct w:val="0"/>
        <w:autoSpaceDE/>
        <w:autoSpaceDN/>
        <w:bidi w:val="0"/>
        <w:adjustRightInd/>
        <w:textAlignment w:val="auto"/>
        <w:rPr>
          <w:rFonts w:eastAsia="宋体"/>
          <w:snapToGrid w:val="0"/>
          <w:color w:val="auto"/>
          <w:sz w:val="24"/>
          <w:highlight w:val="none"/>
        </w:rPr>
      </w:pPr>
      <w:r>
        <w:rPr>
          <w:rFonts w:hint="eastAsia" w:eastAsia="宋体"/>
          <w:snapToGrid w:val="0"/>
          <w:color w:val="auto"/>
          <w:sz w:val="24"/>
          <w:highlight w:val="none"/>
          <w:lang w:val="en-US" w:eastAsia="zh-CN"/>
        </w:rPr>
        <w:t>42</w:t>
      </w:r>
      <w:r>
        <w:rPr>
          <w:rFonts w:hint="default" w:eastAsia="宋体"/>
          <w:snapToGrid w:val="0"/>
          <w:color w:val="auto"/>
          <w:sz w:val="24"/>
          <w:highlight w:val="none"/>
          <w:lang w:val="en-US" w:eastAsia="zh-CN"/>
        </w:rPr>
        <w:t>.</w:t>
      </w:r>
      <w:r>
        <w:rPr>
          <w:rFonts w:hint="eastAsia" w:eastAsia="宋体"/>
          <w:snapToGrid w:val="0"/>
          <w:color w:val="auto"/>
          <w:sz w:val="24"/>
          <w:highlight w:val="none"/>
          <w:lang w:val="en-US" w:eastAsia="zh-CN"/>
        </w:rPr>
        <w:t>6</w:t>
      </w:r>
      <w:r>
        <w:rPr>
          <w:rFonts w:hint="default" w:eastAsia="宋体"/>
          <w:snapToGrid w:val="0"/>
          <w:color w:val="auto"/>
          <w:sz w:val="24"/>
          <w:highlight w:val="none"/>
          <w:lang w:val="en-US" w:eastAsia="zh-CN"/>
        </w:rPr>
        <w:t xml:space="preserve"> </w:t>
      </w:r>
      <w:r>
        <w:rPr>
          <w:rFonts w:hint="eastAsia" w:eastAsia="宋体"/>
          <w:snapToGrid w:val="0"/>
          <w:color w:val="auto"/>
          <w:sz w:val="24"/>
          <w:highlight w:val="none"/>
          <w:lang w:val="en-US" w:eastAsia="zh-CN"/>
        </w:rPr>
        <w:t xml:space="preserve">在政府采购活动中，监狱企业视同小型、微型企业，享受预留份额、评审中价格扣除等政府采购促进中小企业发展的政府采购政策。监狱企业定义：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 </w:t>
      </w:r>
    </w:p>
    <w:p w14:paraId="1EF9D90B">
      <w:pPr>
        <w:pStyle w:val="40"/>
        <w:keepNext w:val="0"/>
        <w:keepLines w:val="0"/>
        <w:pageBreakBefore w:val="0"/>
        <w:widowControl w:val="0"/>
        <w:kinsoku/>
        <w:overflowPunct/>
        <w:topLinePunct w:val="0"/>
        <w:autoSpaceDE/>
        <w:autoSpaceDN/>
        <w:bidi w:val="0"/>
        <w:adjustRightInd/>
        <w:textAlignment w:val="auto"/>
        <w:rPr>
          <w:rFonts w:eastAsia="宋体"/>
          <w:snapToGrid w:val="0"/>
          <w:color w:val="auto"/>
          <w:sz w:val="24"/>
          <w:highlight w:val="none"/>
        </w:rPr>
      </w:pPr>
      <w:r>
        <w:rPr>
          <w:rFonts w:hint="eastAsia" w:eastAsia="宋体"/>
          <w:snapToGrid w:val="0"/>
          <w:color w:val="auto"/>
          <w:sz w:val="24"/>
          <w:highlight w:val="none"/>
          <w:lang w:val="en-US" w:eastAsia="zh-CN"/>
        </w:rPr>
        <w:t>42</w:t>
      </w:r>
      <w:r>
        <w:rPr>
          <w:rFonts w:hint="default" w:eastAsia="宋体"/>
          <w:snapToGrid w:val="0"/>
          <w:color w:val="auto"/>
          <w:sz w:val="24"/>
          <w:highlight w:val="none"/>
          <w:lang w:val="en-US" w:eastAsia="zh-CN"/>
        </w:rPr>
        <w:t>.</w:t>
      </w:r>
      <w:r>
        <w:rPr>
          <w:rFonts w:hint="eastAsia" w:eastAsia="宋体"/>
          <w:snapToGrid w:val="0"/>
          <w:color w:val="auto"/>
          <w:sz w:val="24"/>
          <w:highlight w:val="none"/>
          <w:lang w:val="en-US" w:eastAsia="zh-CN"/>
        </w:rPr>
        <w:t>7</w:t>
      </w:r>
      <w:r>
        <w:rPr>
          <w:rFonts w:hint="default" w:eastAsia="宋体"/>
          <w:snapToGrid w:val="0"/>
          <w:color w:val="auto"/>
          <w:sz w:val="24"/>
          <w:highlight w:val="none"/>
          <w:lang w:val="en-US" w:eastAsia="zh-CN"/>
        </w:rPr>
        <w:t xml:space="preserve"> </w:t>
      </w:r>
      <w:r>
        <w:rPr>
          <w:rFonts w:hint="eastAsia" w:eastAsia="宋体"/>
          <w:snapToGrid w:val="0"/>
          <w:color w:val="auto"/>
          <w:sz w:val="24"/>
          <w:highlight w:val="none"/>
          <w:lang w:val="en-US" w:eastAsia="zh-CN"/>
        </w:rPr>
        <w:t xml:space="preserve">在政府采购活动中，残疾人福利性单位视同小型、微型企业，享受预留份额、评审中价格扣除等促进中小企业发展的政府采购政策。残疾人福利性单位定义：享受政府采购支持政策的残疾人福利性单位应当同时满足以下条件： </w:t>
      </w:r>
    </w:p>
    <w:p w14:paraId="2EADF7DB">
      <w:pPr>
        <w:pStyle w:val="40"/>
        <w:keepNext w:val="0"/>
        <w:keepLines w:val="0"/>
        <w:pageBreakBefore w:val="0"/>
        <w:widowControl w:val="0"/>
        <w:kinsoku/>
        <w:overflowPunct/>
        <w:topLinePunct w:val="0"/>
        <w:autoSpaceDE/>
        <w:autoSpaceDN/>
        <w:bidi w:val="0"/>
        <w:adjustRightInd/>
        <w:textAlignment w:val="auto"/>
        <w:rPr>
          <w:rFonts w:eastAsia="宋体"/>
          <w:snapToGrid w:val="0"/>
          <w:color w:val="auto"/>
          <w:sz w:val="24"/>
          <w:highlight w:val="none"/>
        </w:rPr>
      </w:pPr>
      <w:r>
        <w:rPr>
          <w:rFonts w:hint="eastAsia" w:eastAsia="宋体"/>
          <w:snapToGrid w:val="0"/>
          <w:color w:val="auto"/>
          <w:sz w:val="24"/>
          <w:highlight w:val="none"/>
          <w:lang w:val="en-US" w:eastAsia="zh-CN"/>
        </w:rPr>
        <w:t>42</w:t>
      </w:r>
      <w:r>
        <w:rPr>
          <w:rFonts w:hint="default" w:eastAsia="宋体"/>
          <w:snapToGrid w:val="0"/>
          <w:color w:val="auto"/>
          <w:sz w:val="24"/>
          <w:highlight w:val="none"/>
          <w:lang w:val="en-US" w:eastAsia="zh-CN"/>
        </w:rPr>
        <w:t>.</w:t>
      </w:r>
      <w:r>
        <w:rPr>
          <w:rFonts w:hint="eastAsia" w:eastAsia="宋体"/>
          <w:snapToGrid w:val="0"/>
          <w:color w:val="auto"/>
          <w:sz w:val="24"/>
          <w:highlight w:val="none"/>
          <w:lang w:val="en-US" w:eastAsia="zh-CN"/>
        </w:rPr>
        <w:t>7</w:t>
      </w:r>
      <w:r>
        <w:rPr>
          <w:rFonts w:hint="default" w:eastAsia="宋体"/>
          <w:snapToGrid w:val="0"/>
          <w:color w:val="auto"/>
          <w:sz w:val="24"/>
          <w:highlight w:val="none"/>
          <w:lang w:val="en-US" w:eastAsia="zh-CN"/>
        </w:rPr>
        <w:t xml:space="preserve">.1 </w:t>
      </w:r>
      <w:r>
        <w:rPr>
          <w:rFonts w:hint="eastAsia" w:eastAsia="宋体"/>
          <w:snapToGrid w:val="0"/>
          <w:color w:val="auto"/>
          <w:sz w:val="24"/>
          <w:highlight w:val="none"/>
          <w:lang w:val="en-US" w:eastAsia="zh-CN"/>
        </w:rPr>
        <w:t xml:space="preserve">安置的残疾人占本单位在职职工人数的比例不低于 </w:t>
      </w:r>
      <w:r>
        <w:rPr>
          <w:rFonts w:hint="default" w:eastAsia="宋体"/>
          <w:snapToGrid w:val="0"/>
          <w:color w:val="auto"/>
          <w:sz w:val="24"/>
          <w:highlight w:val="none"/>
          <w:lang w:val="en-US" w:eastAsia="zh-CN"/>
        </w:rPr>
        <w:t xml:space="preserve">25% </w:t>
      </w:r>
      <w:r>
        <w:rPr>
          <w:rFonts w:hint="eastAsia" w:eastAsia="宋体"/>
          <w:snapToGrid w:val="0"/>
          <w:color w:val="auto"/>
          <w:sz w:val="24"/>
          <w:highlight w:val="none"/>
          <w:lang w:val="en-US" w:eastAsia="zh-CN"/>
        </w:rPr>
        <w:t xml:space="preserve">（含 </w:t>
      </w:r>
      <w:r>
        <w:rPr>
          <w:rFonts w:hint="default" w:eastAsia="宋体"/>
          <w:snapToGrid w:val="0"/>
          <w:color w:val="auto"/>
          <w:sz w:val="24"/>
          <w:highlight w:val="none"/>
          <w:lang w:val="en-US" w:eastAsia="zh-CN"/>
        </w:rPr>
        <w:t>25%</w:t>
      </w:r>
      <w:r>
        <w:rPr>
          <w:rFonts w:hint="eastAsia" w:eastAsia="宋体"/>
          <w:snapToGrid w:val="0"/>
          <w:color w:val="auto"/>
          <w:sz w:val="24"/>
          <w:highlight w:val="none"/>
          <w:lang w:val="en-US" w:eastAsia="zh-CN"/>
        </w:rPr>
        <w:t xml:space="preserve">），并且安置的残疾人人数不少于 </w:t>
      </w:r>
      <w:r>
        <w:rPr>
          <w:rFonts w:hint="default" w:eastAsia="宋体"/>
          <w:snapToGrid w:val="0"/>
          <w:color w:val="auto"/>
          <w:sz w:val="24"/>
          <w:highlight w:val="none"/>
          <w:lang w:val="en-US" w:eastAsia="zh-CN"/>
        </w:rPr>
        <w:t xml:space="preserve">10 </w:t>
      </w:r>
      <w:r>
        <w:rPr>
          <w:rFonts w:hint="eastAsia" w:eastAsia="宋体"/>
          <w:snapToGrid w:val="0"/>
          <w:color w:val="auto"/>
          <w:sz w:val="24"/>
          <w:highlight w:val="none"/>
          <w:lang w:val="en-US" w:eastAsia="zh-CN"/>
        </w:rPr>
        <w:t xml:space="preserve">人（含 </w:t>
      </w:r>
      <w:r>
        <w:rPr>
          <w:rFonts w:hint="default" w:eastAsia="宋体"/>
          <w:snapToGrid w:val="0"/>
          <w:color w:val="auto"/>
          <w:sz w:val="24"/>
          <w:highlight w:val="none"/>
          <w:lang w:val="en-US" w:eastAsia="zh-CN"/>
        </w:rPr>
        <w:t>10</w:t>
      </w:r>
      <w:r>
        <w:rPr>
          <w:rFonts w:hint="eastAsia" w:eastAsia="宋体"/>
          <w:snapToGrid w:val="0"/>
          <w:color w:val="auto"/>
          <w:sz w:val="24"/>
          <w:highlight w:val="none"/>
          <w:lang w:val="en-US" w:eastAsia="zh-CN"/>
        </w:rPr>
        <w:t xml:space="preserve">人）； </w:t>
      </w:r>
    </w:p>
    <w:p w14:paraId="5B128E6C">
      <w:pPr>
        <w:pStyle w:val="40"/>
        <w:keepNext w:val="0"/>
        <w:keepLines w:val="0"/>
        <w:pageBreakBefore w:val="0"/>
        <w:widowControl w:val="0"/>
        <w:kinsoku/>
        <w:overflowPunct/>
        <w:topLinePunct w:val="0"/>
        <w:autoSpaceDE/>
        <w:autoSpaceDN/>
        <w:bidi w:val="0"/>
        <w:adjustRightInd/>
        <w:textAlignment w:val="auto"/>
        <w:rPr>
          <w:rFonts w:eastAsia="宋体"/>
          <w:snapToGrid w:val="0"/>
          <w:color w:val="auto"/>
          <w:sz w:val="24"/>
          <w:highlight w:val="none"/>
        </w:rPr>
      </w:pPr>
      <w:r>
        <w:rPr>
          <w:rFonts w:hint="eastAsia" w:eastAsia="宋体"/>
          <w:snapToGrid w:val="0"/>
          <w:color w:val="auto"/>
          <w:sz w:val="24"/>
          <w:highlight w:val="none"/>
          <w:lang w:val="en-US" w:eastAsia="zh-CN"/>
        </w:rPr>
        <w:t>42</w:t>
      </w:r>
      <w:r>
        <w:rPr>
          <w:rFonts w:hint="default" w:eastAsia="宋体"/>
          <w:snapToGrid w:val="0"/>
          <w:color w:val="auto"/>
          <w:sz w:val="24"/>
          <w:highlight w:val="none"/>
          <w:lang w:val="en-US" w:eastAsia="zh-CN"/>
        </w:rPr>
        <w:t>.</w:t>
      </w:r>
      <w:r>
        <w:rPr>
          <w:rFonts w:hint="eastAsia" w:eastAsia="宋体"/>
          <w:snapToGrid w:val="0"/>
          <w:color w:val="auto"/>
          <w:sz w:val="24"/>
          <w:highlight w:val="none"/>
          <w:lang w:val="en-US" w:eastAsia="zh-CN"/>
        </w:rPr>
        <w:t>7</w:t>
      </w:r>
      <w:r>
        <w:rPr>
          <w:rFonts w:hint="default" w:eastAsia="宋体"/>
          <w:snapToGrid w:val="0"/>
          <w:color w:val="auto"/>
          <w:sz w:val="24"/>
          <w:highlight w:val="none"/>
          <w:lang w:val="en-US" w:eastAsia="zh-CN"/>
        </w:rPr>
        <w:t xml:space="preserve">.2 </w:t>
      </w:r>
      <w:r>
        <w:rPr>
          <w:rFonts w:hint="eastAsia" w:eastAsia="宋体"/>
          <w:snapToGrid w:val="0"/>
          <w:color w:val="auto"/>
          <w:sz w:val="24"/>
          <w:highlight w:val="none"/>
          <w:lang w:val="en-US" w:eastAsia="zh-CN"/>
        </w:rPr>
        <w:t xml:space="preserve">依法与安置的每位残疾人签订了1年以上（含1年）的劳动合同或服务协议； </w:t>
      </w:r>
    </w:p>
    <w:p w14:paraId="750299D4">
      <w:pPr>
        <w:pStyle w:val="40"/>
        <w:keepNext w:val="0"/>
        <w:keepLines w:val="0"/>
        <w:pageBreakBefore w:val="0"/>
        <w:widowControl w:val="0"/>
        <w:kinsoku/>
        <w:overflowPunct/>
        <w:topLinePunct w:val="0"/>
        <w:autoSpaceDE/>
        <w:autoSpaceDN/>
        <w:bidi w:val="0"/>
        <w:adjustRightInd/>
        <w:textAlignment w:val="auto"/>
        <w:rPr>
          <w:rFonts w:eastAsia="宋体"/>
          <w:snapToGrid w:val="0"/>
          <w:color w:val="auto"/>
          <w:sz w:val="24"/>
          <w:highlight w:val="none"/>
        </w:rPr>
      </w:pPr>
      <w:r>
        <w:rPr>
          <w:rFonts w:hint="eastAsia" w:eastAsia="宋体"/>
          <w:snapToGrid w:val="0"/>
          <w:color w:val="auto"/>
          <w:sz w:val="24"/>
          <w:highlight w:val="none"/>
          <w:lang w:val="en-US" w:eastAsia="zh-CN"/>
        </w:rPr>
        <w:t>42</w:t>
      </w:r>
      <w:r>
        <w:rPr>
          <w:rFonts w:hint="default" w:eastAsia="宋体"/>
          <w:snapToGrid w:val="0"/>
          <w:color w:val="auto"/>
          <w:sz w:val="24"/>
          <w:highlight w:val="none"/>
          <w:lang w:val="en-US" w:eastAsia="zh-CN"/>
        </w:rPr>
        <w:t>.</w:t>
      </w:r>
      <w:r>
        <w:rPr>
          <w:rFonts w:hint="eastAsia" w:eastAsia="宋体"/>
          <w:snapToGrid w:val="0"/>
          <w:color w:val="auto"/>
          <w:sz w:val="24"/>
          <w:highlight w:val="none"/>
          <w:lang w:val="en-US" w:eastAsia="zh-CN"/>
        </w:rPr>
        <w:t>7</w:t>
      </w:r>
      <w:r>
        <w:rPr>
          <w:rFonts w:hint="default" w:eastAsia="宋体"/>
          <w:snapToGrid w:val="0"/>
          <w:color w:val="auto"/>
          <w:sz w:val="24"/>
          <w:highlight w:val="none"/>
          <w:lang w:val="en-US" w:eastAsia="zh-CN"/>
        </w:rPr>
        <w:t xml:space="preserve">.3 </w:t>
      </w:r>
      <w:r>
        <w:rPr>
          <w:rFonts w:hint="eastAsia" w:eastAsia="宋体"/>
          <w:snapToGrid w:val="0"/>
          <w:color w:val="auto"/>
          <w:sz w:val="24"/>
          <w:highlight w:val="none"/>
          <w:lang w:val="en-US" w:eastAsia="zh-CN"/>
        </w:rPr>
        <w:t xml:space="preserve">为安置的每位残疾人按月足额缴纳了基本养老保险、基本医疗保险、失业保险、工伤保险和生育保险等社会保险费； </w:t>
      </w:r>
    </w:p>
    <w:p w14:paraId="5494926D">
      <w:pPr>
        <w:pStyle w:val="40"/>
        <w:keepNext w:val="0"/>
        <w:keepLines w:val="0"/>
        <w:pageBreakBefore w:val="0"/>
        <w:widowControl w:val="0"/>
        <w:kinsoku/>
        <w:overflowPunct/>
        <w:topLinePunct w:val="0"/>
        <w:autoSpaceDE/>
        <w:autoSpaceDN/>
        <w:bidi w:val="0"/>
        <w:adjustRightInd/>
        <w:textAlignment w:val="auto"/>
        <w:rPr>
          <w:rFonts w:eastAsia="宋体"/>
          <w:snapToGrid w:val="0"/>
          <w:color w:val="auto"/>
          <w:sz w:val="24"/>
          <w:highlight w:val="none"/>
        </w:rPr>
      </w:pPr>
      <w:r>
        <w:rPr>
          <w:rFonts w:hint="eastAsia" w:eastAsia="宋体"/>
          <w:snapToGrid w:val="0"/>
          <w:color w:val="auto"/>
          <w:sz w:val="24"/>
          <w:highlight w:val="none"/>
          <w:lang w:val="en-US" w:eastAsia="zh-CN"/>
        </w:rPr>
        <w:t>42</w:t>
      </w:r>
      <w:r>
        <w:rPr>
          <w:rFonts w:hint="default" w:eastAsia="宋体"/>
          <w:snapToGrid w:val="0"/>
          <w:color w:val="auto"/>
          <w:sz w:val="24"/>
          <w:highlight w:val="none"/>
          <w:lang w:val="en-US" w:eastAsia="zh-CN"/>
        </w:rPr>
        <w:t>.</w:t>
      </w:r>
      <w:r>
        <w:rPr>
          <w:rFonts w:hint="eastAsia" w:eastAsia="宋体"/>
          <w:snapToGrid w:val="0"/>
          <w:color w:val="auto"/>
          <w:sz w:val="24"/>
          <w:highlight w:val="none"/>
          <w:lang w:val="en-US" w:eastAsia="zh-CN"/>
        </w:rPr>
        <w:t>7</w:t>
      </w:r>
      <w:r>
        <w:rPr>
          <w:rFonts w:hint="default" w:eastAsia="宋体"/>
          <w:snapToGrid w:val="0"/>
          <w:color w:val="auto"/>
          <w:sz w:val="24"/>
          <w:highlight w:val="none"/>
          <w:lang w:val="en-US" w:eastAsia="zh-CN"/>
        </w:rPr>
        <w:t xml:space="preserve">.4 </w:t>
      </w:r>
      <w:r>
        <w:rPr>
          <w:rFonts w:hint="eastAsia" w:eastAsia="宋体"/>
          <w:snapToGrid w:val="0"/>
          <w:color w:val="auto"/>
          <w:sz w:val="24"/>
          <w:highlight w:val="none"/>
          <w:lang w:val="en-US" w:eastAsia="zh-CN"/>
        </w:rPr>
        <w:t xml:space="preserve">通过银行等金融机构向安置的每位残疾人，按月支付了不低于单位所在区县适用的经省级人民政府批准的月最低工资标准的工资； </w:t>
      </w:r>
    </w:p>
    <w:p w14:paraId="6AD696D2">
      <w:pPr>
        <w:pStyle w:val="40"/>
        <w:keepNext w:val="0"/>
        <w:keepLines w:val="0"/>
        <w:pageBreakBefore w:val="0"/>
        <w:widowControl w:val="0"/>
        <w:kinsoku/>
        <w:overflowPunct/>
        <w:topLinePunct w:val="0"/>
        <w:autoSpaceDE/>
        <w:autoSpaceDN/>
        <w:bidi w:val="0"/>
        <w:adjustRightInd/>
        <w:textAlignment w:val="auto"/>
        <w:rPr>
          <w:rFonts w:eastAsia="宋体"/>
          <w:snapToGrid w:val="0"/>
          <w:color w:val="auto"/>
          <w:sz w:val="24"/>
          <w:highlight w:val="none"/>
        </w:rPr>
      </w:pPr>
      <w:r>
        <w:rPr>
          <w:rFonts w:hint="eastAsia" w:eastAsia="宋体"/>
          <w:snapToGrid w:val="0"/>
          <w:color w:val="auto"/>
          <w:sz w:val="24"/>
          <w:highlight w:val="none"/>
          <w:lang w:val="en-US" w:eastAsia="zh-CN"/>
        </w:rPr>
        <w:t>42</w:t>
      </w:r>
      <w:r>
        <w:rPr>
          <w:rFonts w:hint="default" w:eastAsia="宋体"/>
          <w:snapToGrid w:val="0"/>
          <w:color w:val="auto"/>
          <w:sz w:val="24"/>
          <w:highlight w:val="none"/>
          <w:lang w:val="en-US" w:eastAsia="zh-CN"/>
        </w:rPr>
        <w:t>.</w:t>
      </w:r>
      <w:r>
        <w:rPr>
          <w:rFonts w:hint="eastAsia" w:eastAsia="宋体"/>
          <w:snapToGrid w:val="0"/>
          <w:color w:val="auto"/>
          <w:sz w:val="24"/>
          <w:highlight w:val="none"/>
          <w:lang w:val="en-US" w:eastAsia="zh-CN"/>
        </w:rPr>
        <w:t>7</w:t>
      </w:r>
      <w:r>
        <w:rPr>
          <w:rFonts w:hint="default" w:eastAsia="宋体"/>
          <w:snapToGrid w:val="0"/>
          <w:color w:val="auto"/>
          <w:sz w:val="24"/>
          <w:highlight w:val="none"/>
          <w:lang w:val="en-US" w:eastAsia="zh-CN"/>
        </w:rPr>
        <w:t xml:space="preserve">.5 </w:t>
      </w:r>
      <w:r>
        <w:rPr>
          <w:rFonts w:hint="eastAsia" w:eastAsia="宋体"/>
          <w:snapToGrid w:val="0"/>
          <w:color w:val="auto"/>
          <w:sz w:val="24"/>
          <w:highlight w:val="none"/>
          <w:lang w:val="en-US" w:eastAsia="zh-CN"/>
        </w:rPr>
        <w:t xml:space="preserve">提供本单位制造的货物、承担的工程或者服务（以下简称产品），或者提供其他残疾人福利性单位制造的货物（不包括使用非残疾人福利性单位注册商标的货物）； </w:t>
      </w:r>
    </w:p>
    <w:p w14:paraId="6F6930A8">
      <w:pPr>
        <w:pStyle w:val="40"/>
        <w:keepNext w:val="0"/>
        <w:keepLines w:val="0"/>
        <w:pageBreakBefore w:val="0"/>
        <w:widowControl w:val="0"/>
        <w:kinsoku/>
        <w:overflowPunct/>
        <w:topLinePunct w:val="0"/>
        <w:autoSpaceDE/>
        <w:autoSpaceDN/>
        <w:bidi w:val="0"/>
        <w:adjustRightInd/>
        <w:textAlignment w:val="auto"/>
        <w:rPr>
          <w:rFonts w:eastAsia="宋体"/>
          <w:snapToGrid w:val="0"/>
          <w:color w:val="auto"/>
          <w:sz w:val="24"/>
          <w:highlight w:val="none"/>
        </w:rPr>
      </w:pPr>
      <w:r>
        <w:rPr>
          <w:rFonts w:hint="eastAsia" w:eastAsia="宋体"/>
          <w:snapToGrid w:val="0"/>
          <w:color w:val="auto"/>
          <w:sz w:val="24"/>
          <w:highlight w:val="none"/>
          <w:lang w:val="en-US" w:eastAsia="zh-CN"/>
        </w:rPr>
        <w:t>42</w:t>
      </w:r>
      <w:r>
        <w:rPr>
          <w:rFonts w:hint="default" w:eastAsia="宋体"/>
          <w:snapToGrid w:val="0"/>
          <w:color w:val="auto"/>
          <w:sz w:val="24"/>
          <w:highlight w:val="none"/>
          <w:lang w:val="en-US" w:eastAsia="zh-CN"/>
        </w:rPr>
        <w:t>.</w:t>
      </w:r>
      <w:r>
        <w:rPr>
          <w:rFonts w:hint="eastAsia" w:eastAsia="宋体"/>
          <w:snapToGrid w:val="0"/>
          <w:color w:val="auto"/>
          <w:sz w:val="24"/>
          <w:highlight w:val="none"/>
          <w:lang w:val="en-US" w:eastAsia="zh-CN"/>
        </w:rPr>
        <w:t>7</w:t>
      </w:r>
      <w:r>
        <w:rPr>
          <w:rFonts w:hint="default" w:eastAsia="宋体"/>
          <w:snapToGrid w:val="0"/>
          <w:color w:val="auto"/>
          <w:sz w:val="24"/>
          <w:highlight w:val="none"/>
          <w:lang w:val="en-US" w:eastAsia="zh-CN"/>
        </w:rPr>
        <w:t xml:space="preserve">.6 </w:t>
      </w:r>
      <w:r>
        <w:rPr>
          <w:rFonts w:hint="eastAsia" w:eastAsia="宋体"/>
          <w:snapToGrid w:val="0"/>
          <w:color w:val="auto"/>
          <w:sz w:val="24"/>
          <w:highlight w:val="none"/>
          <w:lang w:val="en-US" w:eastAsia="zh-CN"/>
        </w:rPr>
        <w:t>前款所称残疾人是指法定劳动年龄内，持有《中华人民共和国残疾人证》或者《中华人民共和国残疾军人证（</w:t>
      </w:r>
      <w:r>
        <w:rPr>
          <w:rFonts w:eastAsia="宋体"/>
          <w:snapToGrid w:val="0"/>
          <w:color w:val="auto"/>
          <w:sz w:val="24"/>
          <w:highlight w:val="none"/>
          <w:lang w:val="en-US" w:eastAsia="zh-CN"/>
        </w:rPr>
        <w:t xml:space="preserve">1 </w:t>
      </w:r>
      <w:r>
        <w:rPr>
          <w:rFonts w:hint="eastAsia" w:eastAsia="宋体"/>
          <w:snapToGrid w:val="0"/>
          <w:color w:val="auto"/>
          <w:sz w:val="24"/>
          <w:highlight w:val="none"/>
          <w:lang w:val="en-US" w:eastAsia="zh-CN"/>
        </w:rPr>
        <w:t xml:space="preserve">至 </w:t>
      </w:r>
      <w:r>
        <w:rPr>
          <w:rFonts w:hint="default" w:eastAsia="宋体"/>
          <w:snapToGrid w:val="0"/>
          <w:color w:val="auto"/>
          <w:sz w:val="24"/>
          <w:highlight w:val="none"/>
          <w:lang w:val="en-US" w:eastAsia="zh-CN"/>
        </w:rPr>
        <w:t xml:space="preserve">8 </w:t>
      </w:r>
      <w:r>
        <w:rPr>
          <w:rFonts w:hint="eastAsia" w:eastAsia="宋体"/>
          <w:snapToGrid w:val="0"/>
          <w:color w:val="auto"/>
          <w:sz w:val="24"/>
          <w:highlight w:val="none"/>
          <w:lang w:val="en-US" w:eastAsia="zh-CN"/>
        </w:rPr>
        <w:t xml:space="preserve">级）》的自然人，包括具有劳动条件和劳动意愿的精神残疾人。在职职工人数是指与残疾人福利性单位建立劳动关系并依法签订劳动合同或服务协议的雇员人数。 </w:t>
      </w:r>
    </w:p>
    <w:p w14:paraId="50A69BFA">
      <w:pPr>
        <w:pStyle w:val="40"/>
        <w:keepNext w:val="0"/>
        <w:keepLines w:val="0"/>
        <w:pageBreakBefore w:val="0"/>
        <w:widowControl w:val="0"/>
        <w:kinsoku/>
        <w:overflowPunct/>
        <w:topLinePunct w:val="0"/>
        <w:autoSpaceDE/>
        <w:autoSpaceDN/>
        <w:bidi w:val="0"/>
        <w:adjustRightInd/>
        <w:textAlignment w:val="auto"/>
        <w:rPr>
          <w:rFonts w:eastAsia="宋体"/>
          <w:snapToGrid w:val="0"/>
          <w:color w:val="auto"/>
          <w:sz w:val="24"/>
          <w:highlight w:val="none"/>
        </w:rPr>
      </w:pPr>
      <w:r>
        <w:rPr>
          <w:rFonts w:hint="eastAsia" w:eastAsia="宋体"/>
          <w:snapToGrid w:val="0"/>
          <w:color w:val="auto"/>
          <w:sz w:val="24"/>
          <w:highlight w:val="none"/>
          <w:lang w:val="en-US" w:eastAsia="zh-CN"/>
        </w:rPr>
        <w:t>42</w:t>
      </w:r>
      <w:r>
        <w:rPr>
          <w:rFonts w:hint="default" w:eastAsia="宋体"/>
          <w:snapToGrid w:val="0"/>
          <w:color w:val="auto"/>
          <w:sz w:val="24"/>
          <w:highlight w:val="none"/>
          <w:lang w:val="en-US" w:eastAsia="zh-CN"/>
        </w:rPr>
        <w:t>.</w:t>
      </w:r>
      <w:r>
        <w:rPr>
          <w:rFonts w:hint="eastAsia" w:eastAsia="宋体"/>
          <w:snapToGrid w:val="0"/>
          <w:color w:val="auto"/>
          <w:sz w:val="24"/>
          <w:highlight w:val="none"/>
          <w:lang w:val="en-US" w:eastAsia="zh-CN"/>
        </w:rPr>
        <w:t>8</w:t>
      </w:r>
      <w:r>
        <w:rPr>
          <w:rFonts w:hint="default" w:eastAsia="宋体"/>
          <w:snapToGrid w:val="0"/>
          <w:color w:val="auto"/>
          <w:sz w:val="24"/>
          <w:highlight w:val="none"/>
          <w:lang w:val="en-US" w:eastAsia="zh-CN"/>
        </w:rPr>
        <w:t xml:space="preserve"> </w:t>
      </w:r>
      <w:r>
        <w:rPr>
          <w:rFonts w:hint="eastAsia" w:eastAsia="宋体"/>
          <w:snapToGrid w:val="0"/>
          <w:color w:val="auto"/>
          <w:sz w:val="24"/>
          <w:highlight w:val="none"/>
          <w:lang w:val="en-US" w:eastAsia="zh-CN"/>
        </w:rPr>
        <w:t>本项目是否专门面向中小企业预留采购份额见“第一章 招标公告”。    42</w:t>
      </w:r>
      <w:r>
        <w:rPr>
          <w:rFonts w:hint="default" w:eastAsia="宋体"/>
          <w:snapToGrid w:val="0"/>
          <w:color w:val="auto"/>
          <w:sz w:val="24"/>
          <w:highlight w:val="none"/>
          <w:lang w:val="en-US" w:eastAsia="zh-CN"/>
        </w:rPr>
        <w:t>.</w:t>
      </w:r>
      <w:r>
        <w:rPr>
          <w:rFonts w:hint="eastAsia" w:eastAsia="宋体"/>
          <w:snapToGrid w:val="0"/>
          <w:color w:val="auto"/>
          <w:sz w:val="24"/>
          <w:highlight w:val="none"/>
          <w:lang w:val="en-US" w:eastAsia="zh-CN"/>
        </w:rPr>
        <w:t>9</w:t>
      </w:r>
      <w:r>
        <w:rPr>
          <w:rFonts w:hint="default" w:eastAsia="宋体"/>
          <w:snapToGrid w:val="0"/>
          <w:color w:val="auto"/>
          <w:sz w:val="24"/>
          <w:highlight w:val="none"/>
          <w:lang w:val="en-US" w:eastAsia="zh-CN"/>
        </w:rPr>
        <w:t xml:space="preserve"> </w:t>
      </w:r>
      <w:r>
        <w:rPr>
          <w:rFonts w:hint="eastAsia" w:eastAsia="宋体"/>
          <w:snapToGrid w:val="0"/>
          <w:color w:val="auto"/>
          <w:sz w:val="24"/>
          <w:highlight w:val="none"/>
          <w:lang w:val="en-US" w:eastAsia="zh-CN"/>
        </w:rPr>
        <w:t>采购标的对应的中小企业划分标准所属行业见“投标人须知前附表”。    42</w:t>
      </w:r>
      <w:r>
        <w:rPr>
          <w:rFonts w:hint="default" w:eastAsia="宋体"/>
          <w:snapToGrid w:val="0"/>
          <w:color w:val="auto"/>
          <w:sz w:val="24"/>
          <w:highlight w:val="none"/>
          <w:lang w:val="en-US" w:eastAsia="zh-CN"/>
        </w:rPr>
        <w:t>.</w:t>
      </w:r>
      <w:r>
        <w:rPr>
          <w:rFonts w:hint="eastAsia" w:eastAsia="宋体"/>
          <w:snapToGrid w:val="0"/>
          <w:color w:val="auto"/>
          <w:sz w:val="24"/>
          <w:highlight w:val="none"/>
          <w:lang w:val="en-US" w:eastAsia="zh-CN"/>
        </w:rPr>
        <w:t>10</w:t>
      </w:r>
      <w:r>
        <w:rPr>
          <w:rFonts w:hint="default" w:eastAsia="宋体"/>
          <w:snapToGrid w:val="0"/>
          <w:color w:val="auto"/>
          <w:sz w:val="24"/>
          <w:highlight w:val="none"/>
          <w:lang w:val="en-US" w:eastAsia="zh-CN"/>
        </w:rPr>
        <w:t xml:space="preserve"> </w:t>
      </w:r>
      <w:r>
        <w:rPr>
          <w:rFonts w:hint="eastAsia" w:eastAsia="宋体"/>
          <w:snapToGrid w:val="0"/>
          <w:color w:val="auto"/>
          <w:sz w:val="24"/>
          <w:highlight w:val="none"/>
          <w:lang w:val="en-US" w:eastAsia="zh-CN"/>
        </w:rPr>
        <w:t>小微企业价格评审优惠的政策调整：见“投标人须知前附表”及“第五章 评标方法及标准”。</w:t>
      </w:r>
    </w:p>
    <w:p w14:paraId="17DD5FF7">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color w:val="auto"/>
          <w:kern w:val="2"/>
          <w:sz w:val="24"/>
          <w:szCs w:val="28"/>
          <w:highlight w:val="none"/>
          <w:lang w:val="en-US" w:eastAsia="zh-CN" w:bidi="ar-SA"/>
        </w:rPr>
      </w:pPr>
      <w:bookmarkStart w:id="445" w:name="_Toc7407"/>
      <w:bookmarkStart w:id="446" w:name="_Toc163492878"/>
      <w:bookmarkStart w:id="447" w:name="_Toc5822"/>
      <w:bookmarkStart w:id="448" w:name="_Toc1808"/>
      <w:bookmarkStart w:id="449" w:name="_Toc9255"/>
      <w:r>
        <w:rPr>
          <w:rFonts w:hint="eastAsia" w:ascii="宋体" w:hAnsi="宋体" w:eastAsia="宋体" w:cs="宋体"/>
          <w:b/>
          <w:bCs/>
          <w:color w:val="auto"/>
          <w:kern w:val="2"/>
          <w:sz w:val="24"/>
          <w:szCs w:val="28"/>
          <w:highlight w:val="none"/>
          <w:lang w:val="en-US" w:eastAsia="zh-CN" w:bidi="ar-SA"/>
        </w:rPr>
        <w:t>43.政府采购节能产品、环境标志产品</w:t>
      </w:r>
      <w:bookmarkEnd w:id="445"/>
      <w:bookmarkEnd w:id="446"/>
      <w:bookmarkEnd w:id="447"/>
      <w:bookmarkEnd w:id="448"/>
      <w:bookmarkEnd w:id="449"/>
    </w:p>
    <w:p w14:paraId="741E7E7A">
      <w:pPr>
        <w:pStyle w:val="40"/>
        <w:keepNext w:val="0"/>
        <w:keepLines w:val="0"/>
        <w:pageBreakBefore w:val="0"/>
        <w:widowControl w:val="0"/>
        <w:kinsoku/>
        <w:overflowPunct/>
        <w:topLinePunct w:val="0"/>
        <w:autoSpaceDE/>
        <w:autoSpaceDN/>
        <w:bidi w:val="0"/>
        <w:adjustRightInd/>
        <w:textAlignment w:val="auto"/>
        <w:rPr>
          <w:rFonts w:eastAsia="宋体"/>
          <w:snapToGrid w:val="0"/>
          <w:color w:val="auto"/>
          <w:sz w:val="24"/>
          <w:highlight w:val="none"/>
        </w:rPr>
      </w:pPr>
      <w:r>
        <w:rPr>
          <w:rFonts w:hint="eastAsia" w:eastAsia="宋体"/>
          <w:snapToGrid w:val="0"/>
          <w:color w:val="auto"/>
          <w:sz w:val="24"/>
          <w:highlight w:val="none"/>
          <w:lang w:val="en-US" w:eastAsia="zh-CN"/>
        </w:rPr>
        <w:t>43</w:t>
      </w:r>
      <w:r>
        <w:rPr>
          <w:rFonts w:eastAsia="宋体"/>
          <w:snapToGrid w:val="0"/>
          <w:color w:val="auto"/>
          <w:sz w:val="24"/>
          <w:highlight w:val="none"/>
          <w:lang w:val="en-US" w:eastAsia="zh-CN"/>
        </w:rPr>
        <w:t xml:space="preserve">.1 </w:t>
      </w:r>
      <w:r>
        <w:rPr>
          <w:rFonts w:hint="eastAsia" w:eastAsia="宋体"/>
          <w:snapToGrid w:val="0"/>
          <w:color w:val="auto"/>
          <w:sz w:val="24"/>
          <w:highlight w:val="none"/>
          <w:lang w:val="en-US" w:eastAsia="zh-CN"/>
        </w:rPr>
        <w:t>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关于政府采购节能产品、环境标志产品的相关规定依据《关于调整优化节能产品、环境标志产品政府采购执行机制的通知》（财库〔</w:t>
      </w:r>
      <w:r>
        <w:rPr>
          <w:rFonts w:hint="default" w:eastAsia="宋体"/>
          <w:snapToGrid w:val="0"/>
          <w:color w:val="auto"/>
          <w:sz w:val="24"/>
          <w:highlight w:val="none"/>
          <w:lang w:val="en-US" w:eastAsia="zh-CN"/>
        </w:rPr>
        <w:t>2019</w:t>
      </w:r>
      <w:r>
        <w:rPr>
          <w:rFonts w:hint="eastAsia" w:eastAsia="宋体"/>
          <w:snapToGrid w:val="0"/>
          <w:color w:val="auto"/>
          <w:sz w:val="24"/>
          <w:highlight w:val="none"/>
          <w:lang w:val="en-US" w:eastAsia="zh-CN"/>
        </w:rPr>
        <w:t>〕</w:t>
      </w:r>
      <w:r>
        <w:rPr>
          <w:rFonts w:hint="default" w:eastAsia="宋体"/>
          <w:snapToGrid w:val="0"/>
          <w:color w:val="auto"/>
          <w:sz w:val="24"/>
          <w:highlight w:val="none"/>
          <w:lang w:val="en-US" w:eastAsia="zh-CN"/>
        </w:rPr>
        <w:t xml:space="preserve">9 </w:t>
      </w:r>
      <w:r>
        <w:rPr>
          <w:rFonts w:hint="eastAsia" w:eastAsia="宋体"/>
          <w:snapToGrid w:val="0"/>
          <w:color w:val="auto"/>
          <w:sz w:val="24"/>
          <w:highlight w:val="none"/>
          <w:lang w:val="en-US" w:eastAsia="zh-CN"/>
        </w:rPr>
        <w:t>号）、《关于印发环境标志产品政府采购品目清单的通知》（财库〔2019〕18号）、《关于印发节能产品政府采购品目清单的通知》（财库〔2019〕19号）的规定。</w:t>
      </w:r>
    </w:p>
    <w:p w14:paraId="2EC4C51A">
      <w:pPr>
        <w:pStyle w:val="40"/>
        <w:keepNext w:val="0"/>
        <w:keepLines w:val="0"/>
        <w:pageBreakBefore w:val="0"/>
        <w:widowControl w:val="0"/>
        <w:kinsoku/>
        <w:overflowPunct/>
        <w:topLinePunct w:val="0"/>
        <w:autoSpaceDE/>
        <w:autoSpaceDN/>
        <w:bidi w:val="0"/>
        <w:adjustRightInd/>
        <w:textAlignment w:val="auto"/>
        <w:rPr>
          <w:rFonts w:eastAsia="宋体"/>
          <w:snapToGrid w:val="0"/>
          <w:color w:val="auto"/>
          <w:sz w:val="24"/>
          <w:highlight w:val="none"/>
        </w:rPr>
      </w:pPr>
      <w:r>
        <w:rPr>
          <w:rFonts w:hint="eastAsia" w:eastAsia="宋体"/>
          <w:snapToGrid w:val="0"/>
          <w:color w:val="auto"/>
          <w:sz w:val="24"/>
          <w:highlight w:val="none"/>
          <w:lang w:val="en-US" w:eastAsia="zh-CN"/>
        </w:rPr>
        <w:t>43</w:t>
      </w:r>
      <w:r>
        <w:rPr>
          <w:rFonts w:hint="default" w:eastAsia="宋体"/>
          <w:snapToGrid w:val="0"/>
          <w:color w:val="auto"/>
          <w:sz w:val="24"/>
          <w:highlight w:val="none"/>
          <w:lang w:val="en-US" w:eastAsia="zh-CN"/>
        </w:rPr>
        <w:t xml:space="preserve">.2 </w:t>
      </w:r>
      <w:r>
        <w:rPr>
          <w:rFonts w:hint="eastAsia" w:eastAsia="宋体"/>
          <w:snapToGrid w:val="0"/>
          <w:color w:val="auto"/>
          <w:sz w:val="24"/>
          <w:highlight w:val="none"/>
          <w:lang w:val="en-US" w:eastAsia="zh-CN"/>
        </w:rPr>
        <w:t xml:space="preserve">采购人拟采购的产品属于品目清单范围的，采购人及其委托的采购代理机构依据国家确定的认证机构出具的、处于有效期之内的节能产品、环境标志产品认证证书，对获得证书的产品实施政府优先采购或强制采购。 </w:t>
      </w:r>
    </w:p>
    <w:p w14:paraId="25CFE0EE">
      <w:pPr>
        <w:pStyle w:val="40"/>
        <w:keepNext w:val="0"/>
        <w:keepLines w:val="0"/>
        <w:pageBreakBefore w:val="0"/>
        <w:widowControl w:val="0"/>
        <w:kinsoku/>
        <w:overflowPunct/>
        <w:topLinePunct w:val="0"/>
        <w:autoSpaceDE/>
        <w:autoSpaceDN/>
        <w:bidi w:val="0"/>
        <w:adjustRightInd/>
        <w:textAlignment w:val="auto"/>
        <w:rPr>
          <w:rFonts w:eastAsia="宋体"/>
          <w:snapToGrid w:val="0"/>
          <w:color w:val="auto"/>
          <w:sz w:val="24"/>
          <w:highlight w:val="none"/>
        </w:rPr>
      </w:pPr>
      <w:r>
        <w:rPr>
          <w:rFonts w:hint="eastAsia" w:eastAsia="宋体"/>
          <w:snapToGrid w:val="0"/>
          <w:color w:val="auto"/>
          <w:sz w:val="24"/>
          <w:highlight w:val="none"/>
          <w:lang w:val="en-US" w:eastAsia="zh-CN"/>
        </w:rPr>
        <w:t>43</w:t>
      </w:r>
      <w:r>
        <w:rPr>
          <w:rFonts w:hint="default" w:eastAsia="宋体"/>
          <w:snapToGrid w:val="0"/>
          <w:color w:val="auto"/>
          <w:sz w:val="24"/>
          <w:highlight w:val="none"/>
          <w:lang w:val="en-US" w:eastAsia="zh-CN"/>
        </w:rPr>
        <w:t xml:space="preserve">.3 </w:t>
      </w:r>
      <w:r>
        <w:rPr>
          <w:rFonts w:hint="eastAsia" w:eastAsia="宋体"/>
          <w:snapToGrid w:val="0"/>
          <w:color w:val="auto"/>
          <w:sz w:val="24"/>
          <w:highlight w:val="none"/>
          <w:lang w:val="en-US" w:eastAsia="zh-CN"/>
        </w:rPr>
        <w:t>如本项目采购产品属于实施政府强制采购品目清单范围的节能产品，则投标人所报产品必须获得国家确定的认证机构出具的、处于有效期之内的节能产品认证证书，否则</w:t>
      </w:r>
      <w:r>
        <w:rPr>
          <w:rFonts w:hint="eastAsia" w:eastAsia="宋体"/>
          <w:b/>
          <w:bCs/>
          <w:snapToGrid w:val="0"/>
          <w:color w:val="auto"/>
          <w:sz w:val="24"/>
          <w:highlight w:val="none"/>
          <w:lang w:val="en-US" w:eastAsia="zh-CN"/>
        </w:rPr>
        <w:t>投标无效</w:t>
      </w:r>
      <w:r>
        <w:rPr>
          <w:rFonts w:hint="eastAsia" w:eastAsia="宋体"/>
          <w:snapToGrid w:val="0"/>
          <w:color w:val="auto"/>
          <w:sz w:val="24"/>
          <w:highlight w:val="none"/>
          <w:lang w:val="en-US" w:eastAsia="zh-CN"/>
        </w:rPr>
        <w:t xml:space="preserve">。 </w:t>
      </w:r>
    </w:p>
    <w:p w14:paraId="04E599F1">
      <w:pPr>
        <w:pStyle w:val="40"/>
        <w:keepNext w:val="0"/>
        <w:keepLines w:val="0"/>
        <w:pageBreakBefore w:val="0"/>
        <w:widowControl w:val="0"/>
        <w:kinsoku/>
        <w:overflowPunct/>
        <w:topLinePunct w:val="0"/>
        <w:autoSpaceDE/>
        <w:autoSpaceDN/>
        <w:bidi w:val="0"/>
        <w:adjustRightInd/>
        <w:textAlignment w:val="auto"/>
        <w:rPr>
          <w:rFonts w:eastAsia="宋体"/>
          <w:snapToGrid w:val="0"/>
          <w:color w:val="auto"/>
          <w:sz w:val="24"/>
          <w:highlight w:val="none"/>
        </w:rPr>
      </w:pPr>
      <w:r>
        <w:rPr>
          <w:rFonts w:hint="eastAsia" w:eastAsia="宋体"/>
          <w:snapToGrid w:val="0"/>
          <w:color w:val="auto"/>
          <w:sz w:val="24"/>
          <w:highlight w:val="none"/>
          <w:lang w:val="en-US" w:eastAsia="zh-CN"/>
        </w:rPr>
        <w:t>43</w:t>
      </w:r>
      <w:r>
        <w:rPr>
          <w:rFonts w:hint="default" w:eastAsia="宋体"/>
          <w:snapToGrid w:val="0"/>
          <w:color w:val="auto"/>
          <w:sz w:val="24"/>
          <w:highlight w:val="none"/>
          <w:lang w:val="en-US" w:eastAsia="zh-CN"/>
        </w:rPr>
        <w:t xml:space="preserve">.4 </w:t>
      </w:r>
      <w:r>
        <w:rPr>
          <w:rFonts w:hint="eastAsia" w:eastAsia="宋体"/>
          <w:snapToGrid w:val="0"/>
          <w:color w:val="auto"/>
          <w:sz w:val="24"/>
          <w:highlight w:val="none"/>
          <w:lang w:val="en-US" w:eastAsia="zh-CN"/>
        </w:rPr>
        <w:t>非政府强制采购的节能产品或环境标志产品，依据品目清单和认证证书实施政府优先采购。优先采购的具体规定见“第五章 评标方法及标准”（如涉及）。</w:t>
      </w:r>
    </w:p>
    <w:p w14:paraId="51B3D928">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rPr>
      </w:pPr>
      <w:r>
        <w:rPr>
          <w:rFonts w:hint="eastAsia" w:eastAsia="宋体"/>
          <w:snapToGrid w:val="0"/>
          <w:color w:val="auto"/>
          <w:sz w:val="24"/>
          <w:highlight w:val="none"/>
          <w:lang w:val="en-US" w:eastAsia="zh-CN"/>
        </w:rPr>
        <w:t xml:space="preserve">43.5 </w:t>
      </w:r>
      <w:r>
        <w:rPr>
          <w:rFonts w:hint="eastAsia" w:eastAsia="宋体"/>
          <w:snapToGrid w:val="0"/>
          <w:color w:val="auto"/>
          <w:sz w:val="24"/>
          <w:highlight w:val="none"/>
        </w:rPr>
        <w:t>投标人所投产品如属于节能产品政府采购品目清单、环境标志产品政府采购品目清单范围的，须提供国家确定的认证机构出具的、处于有效期内的产品认证证书，认证证书的产品型号与所投产品不一致的，视为未提供。属于政府强制采购产品的，</w:t>
      </w:r>
      <w:r>
        <w:rPr>
          <w:rFonts w:eastAsia="宋体"/>
          <w:snapToGrid w:val="0"/>
          <w:color w:val="auto"/>
          <w:sz w:val="24"/>
          <w:highlight w:val="none"/>
        </w:rPr>
        <w:t>已作为投标时强制性要求不再给予</w:t>
      </w:r>
      <w:r>
        <w:rPr>
          <w:rFonts w:hint="eastAsia" w:eastAsia="宋体"/>
          <w:snapToGrid w:val="0"/>
          <w:color w:val="auto"/>
          <w:sz w:val="24"/>
          <w:highlight w:val="none"/>
          <w:lang w:val="en-US" w:eastAsia="zh-CN"/>
        </w:rPr>
        <w:t>价格评审优惠</w:t>
      </w:r>
      <w:r>
        <w:rPr>
          <w:rFonts w:hint="eastAsia" w:eastAsia="宋体"/>
          <w:snapToGrid w:val="0"/>
          <w:color w:val="auto"/>
          <w:sz w:val="24"/>
          <w:highlight w:val="none"/>
        </w:rPr>
        <w:t>，未提供认证证书的视为</w:t>
      </w:r>
      <w:r>
        <w:rPr>
          <w:rFonts w:hint="eastAsia" w:eastAsia="宋体"/>
          <w:b/>
          <w:bCs/>
          <w:snapToGrid w:val="0"/>
          <w:color w:val="auto"/>
          <w:sz w:val="24"/>
          <w:highlight w:val="none"/>
          <w:lang w:val="en-US" w:eastAsia="zh-CN"/>
        </w:rPr>
        <w:t>投标</w:t>
      </w:r>
      <w:r>
        <w:rPr>
          <w:rFonts w:hint="eastAsia" w:eastAsia="宋体"/>
          <w:b/>
          <w:bCs/>
          <w:snapToGrid w:val="0"/>
          <w:color w:val="auto"/>
          <w:sz w:val="24"/>
          <w:highlight w:val="none"/>
        </w:rPr>
        <w:t>无效</w:t>
      </w:r>
      <w:r>
        <w:rPr>
          <w:rFonts w:hint="eastAsia" w:eastAsia="宋体"/>
          <w:snapToGrid w:val="0"/>
          <w:color w:val="auto"/>
          <w:sz w:val="24"/>
          <w:highlight w:val="none"/>
        </w:rPr>
        <w:t>。属于</w:t>
      </w:r>
      <w:r>
        <w:rPr>
          <w:rFonts w:hint="eastAsia" w:eastAsia="宋体"/>
          <w:snapToGrid w:val="0"/>
          <w:color w:val="auto"/>
          <w:sz w:val="24"/>
          <w:highlight w:val="none"/>
          <w:lang w:val="en-US" w:eastAsia="zh-CN"/>
        </w:rPr>
        <w:t>优先采购</w:t>
      </w:r>
      <w:r>
        <w:rPr>
          <w:rFonts w:hint="eastAsia" w:eastAsia="宋体"/>
          <w:snapToGrid w:val="0"/>
          <w:color w:val="auto"/>
          <w:sz w:val="24"/>
          <w:highlight w:val="none"/>
        </w:rPr>
        <w:t>节能产品政府采购品目清单、环境标志产品政府采购品目清单</w:t>
      </w:r>
      <w:r>
        <w:rPr>
          <w:rFonts w:hint="eastAsia" w:eastAsia="宋体"/>
          <w:snapToGrid w:val="0"/>
          <w:color w:val="auto"/>
          <w:sz w:val="24"/>
          <w:highlight w:val="none"/>
          <w:lang w:eastAsia="zh-CN"/>
        </w:rPr>
        <w:t>、</w:t>
      </w:r>
      <w:r>
        <w:rPr>
          <w:rFonts w:hint="eastAsia" w:eastAsia="宋体"/>
          <w:snapToGrid w:val="0"/>
          <w:color w:val="auto"/>
          <w:sz w:val="24"/>
          <w:highlight w:val="none"/>
          <w:lang w:val="en-US" w:eastAsia="zh-CN"/>
        </w:rPr>
        <w:t>创新产品</w:t>
      </w:r>
      <w:r>
        <w:rPr>
          <w:rFonts w:hint="eastAsia" w:eastAsia="宋体"/>
          <w:snapToGrid w:val="0"/>
          <w:color w:val="auto"/>
          <w:sz w:val="24"/>
          <w:highlight w:val="none"/>
        </w:rPr>
        <w:t>范围的，按照“</w:t>
      </w:r>
      <w:r>
        <w:rPr>
          <w:rFonts w:hint="eastAsia" w:eastAsia="宋体"/>
          <w:color w:val="auto"/>
          <w:sz w:val="24"/>
          <w:highlight w:val="none"/>
          <w:lang w:val="en-US" w:eastAsia="zh-CN"/>
        </w:rPr>
        <w:t>第五章 评标方法及标准</w:t>
      </w:r>
      <w:r>
        <w:rPr>
          <w:rFonts w:hint="eastAsia" w:eastAsia="宋体"/>
          <w:snapToGrid w:val="0"/>
          <w:color w:val="auto"/>
          <w:sz w:val="24"/>
          <w:highlight w:val="none"/>
        </w:rPr>
        <w:t>”中相关规定</w:t>
      </w:r>
      <w:r>
        <w:rPr>
          <w:rFonts w:hint="eastAsia" w:eastAsia="宋体"/>
          <w:color w:val="auto"/>
          <w:sz w:val="24"/>
          <w:highlight w:val="none"/>
          <w:lang w:val="en-US" w:eastAsia="zh-CN"/>
        </w:rPr>
        <w:t>在评审时给予价格评审优惠，具体详见</w:t>
      </w:r>
      <w:r>
        <w:rPr>
          <w:rFonts w:hint="eastAsia" w:eastAsia="宋体"/>
          <w:snapToGrid w:val="0"/>
          <w:color w:val="auto"/>
          <w:sz w:val="24"/>
          <w:highlight w:val="none"/>
          <w:lang w:val="en-US" w:eastAsia="zh-CN"/>
        </w:rPr>
        <w:t>“投标人须知前附表”及</w:t>
      </w:r>
      <w:r>
        <w:rPr>
          <w:rFonts w:hint="eastAsia" w:eastAsia="宋体"/>
          <w:color w:val="auto"/>
          <w:sz w:val="24"/>
          <w:highlight w:val="none"/>
          <w:lang w:val="en-US" w:eastAsia="zh-CN"/>
        </w:rPr>
        <w:t>“第五章 评标方法及标准”</w:t>
      </w:r>
      <w:r>
        <w:rPr>
          <w:rFonts w:hint="eastAsia" w:eastAsia="宋体"/>
          <w:color w:val="auto"/>
          <w:sz w:val="24"/>
          <w:highlight w:val="none"/>
        </w:rPr>
        <w:t>。</w:t>
      </w:r>
    </w:p>
    <w:p w14:paraId="5F04C72A">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default" w:ascii="宋体" w:hAnsi="宋体" w:eastAsia="宋体" w:cs="宋体"/>
          <w:b/>
          <w:bCs/>
          <w:color w:val="auto"/>
          <w:kern w:val="2"/>
          <w:sz w:val="24"/>
          <w:szCs w:val="28"/>
          <w:highlight w:val="none"/>
          <w:lang w:val="en-US" w:eastAsia="zh-CN" w:bidi="ar-SA"/>
        </w:rPr>
      </w:pPr>
      <w:bookmarkStart w:id="450" w:name="_Toc27639"/>
      <w:bookmarkStart w:id="451" w:name="_Toc14967"/>
      <w:bookmarkStart w:id="452" w:name="_Toc27051"/>
      <w:bookmarkStart w:id="453" w:name="_Toc18587"/>
      <w:bookmarkStart w:id="454" w:name="_Toc163492879"/>
      <w:r>
        <w:rPr>
          <w:rFonts w:hint="eastAsia" w:ascii="宋体" w:hAnsi="宋体" w:eastAsia="宋体" w:cs="宋体"/>
          <w:b/>
          <w:bCs/>
          <w:color w:val="auto"/>
          <w:kern w:val="2"/>
          <w:sz w:val="24"/>
          <w:szCs w:val="28"/>
          <w:highlight w:val="none"/>
          <w:lang w:val="en-US" w:eastAsia="zh-CN" w:bidi="ar-SA"/>
        </w:rPr>
        <w:t>44.正版软件</w:t>
      </w:r>
      <w:bookmarkEnd w:id="450"/>
      <w:bookmarkEnd w:id="451"/>
      <w:bookmarkEnd w:id="452"/>
      <w:bookmarkEnd w:id="453"/>
      <w:r>
        <w:rPr>
          <w:rFonts w:hint="eastAsia" w:ascii="宋体" w:hAnsi="宋体" w:eastAsia="宋体" w:cs="宋体"/>
          <w:b/>
          <w:bCs/>
          <w:color w:val="auto"/>
          <w:kern w:val="2"/>
          <w:sz w:val="24"/>
          <w:szCs w:val="28"/>
          <w:highlight w:val="none"/>
          <w:lang w:val="en-US" w:eastAsia="zh-CN" w:bidi="ar-SA"/>
        </w:rPr>
        <w:t xml:space="preserve">  </w:t>
      </w:r>
    </w:p>
    <w:p w14:paraId="415973C1">
      <w:pPr>
        <w:pStyle w:val="40"/>
        <w:keepNext w:val="0"/>
        <w:keepLines w:val="0"/>
        <w:pageBreakBefore w:val="0"/>
        <w:widowControl w:val="0"/>
        <w:kinsoku/>
        <w:overflowPunct/>
        <w:topLinePunct w:val="0"/>
        <w:autoSpaceDE/>
        <w:autoSpaceDN/>
        <w:bidi w:val="0"/>
        <w:adjustRightInd/>
        <w:snapToGrid/>
        <w:textAlignment w:val="auto"/>
        <w:rPr>
          <w:rFonts w:hint="eastAsia" w:eastAsia="宋体"/>
          <w:snapToGrid w:val="0"/>
          <w:color w:val="auto"/>
          <w:sz w:val="24"/>
          <w:highlight w:val="none"/>
          <w:lang w:val="en-US" w:eastAsia="zh-CN"/>
        </w:rPr>
      </w:pPr>
      <w:r>
        <w:rPr>
          <w:rFonts w:hint="eastAsia" w:eastAsia="宋体"/>
          <w:snapToGrid w:val="0"/>
          <w:color w:val="auto"/>
          <w:sz w:val="24"/>
          <w:highlight w:val="none"/>
          <w:lang w:val="en-US" w:eastAsia="zh-CN"/>
        </w:rPr>
        <w:t>44.1 依据《财政部 国家发展改革委 信息产业部关于印发无线局域网产品政府采购实施意见的通知》（财库〔</w:t>
      </w:r>
      <w:r>
        <w:rPr>
          <w:rFonts w:hint="default" w:eastAsia="宋体"/>
          <w:snapToGrid w:val="0"/>
          <w:color w:val="auto"/>
          <w:sz w:val="24"/>
          <w:highlight w:val="none"/>
          <w:lang w:val="en-US" w:eastAsia="zh-CN"/>
        </w:rPr>
        <w:t>2005</w:t>
      </w:r>
      <w:r>
        <w:rPr>
          <w:rFonts w:hint="eastAsia" w:eastAsia="宋体"/>
          <w:snapToGrid w:val="0"/>
          <w:color w:val="auto"/>
          <w:sz w:val="24"/>
          <w:highlight w:val="none"/>
          <w:lang w:val="en-US" w:eastAsia="zh-CN"/>
        </w:rPr>
        <w:t>〕</w:t>
      </w:r>
      <w:r>
        <w:rPr>
          <w:rFonts w:hint="default" w:eastAsia="宋体"/>
          <w:snapToGrid w:val="0"/>
          <w:color w:val="auto"/>
          <w:sz w:val="24"/>
          <w:highlight w:val="none"/>
          <w:lang w:val="en-US" w:eastAsia="zh-CN"/>
        </w:rPr>
        <w:t xml:space="preserve">366 </w:t>
      </w:r>
      <w:r>
        <w:rPr>
          <w:rFonts w:hint="eastAsia" w:eastAsia="宋体"/>
          <w:snapToGrid w:val="0"/>
          <w:color w:val="auto"/>
          <w:sz w:val="24"/>
          <w:highlight w:val="none"/>
          <w:lang w:val="en-US" w:eastAsia="zh-CN"/>
        </w:rPr>
        <w:t>号），采购无线局域网产品和含有无线局域网功能的计算机、通信设备、打印机、复印机、投影仪等产品的，优先采购符合国家无线局域网安全标准（GB 15629.11/1102）并通过国家产品认证的产品。其中，国家有特殊信息安全要求的项目必须采购认证产品，否则</w:t>
      </w:r>
      <w:r>
        <w:rPr>
          <w:rFonts w:hint="eastAsia" w:eastAsia="宋体"/>
          <w:b/>
          <w:bCs/>
          <w:snapToGrid w:val="0"/>
          <w:color w:val="auto"/>
          <w:sz w:val="24"/>
          <w:highlight w:val="none"/>
          <w:lang w:val="en-US" w:eastAsia="zh-CN"/>
        </w:rPr>
        <w:t>投标无效</w:t>
      </w:r>
      <w:r>
        <w:rPr>
          <w:rFonts w:hint="eastAsia" w:eastAsia="宋体"/>
          <w:snapToGrid w:val="0"/>
          <w:color w:val="auto"/>
          <w:sz w:val="24"/>
          <w:highlight w:val="none"/>
          <w:lang w:val="en-US" w:eastAsia="zh-CN"/>
        </w:rPr>
        <w:t xml:space="preserve">。财政部、国家发展改革委、信息产业部根据政府采购改革进展和无线局域网产品技术及市场成熟等情况，从国家指定的认证机构认证的生产厂商和产品型号中确定优先采购的产品，并以“无线局域网认证产品政府采购清单”（以下简称清单）的形式公布。清单中新增认证产品厂商和型号，由财政部、国家发展改革委、信息产业部以文件形式确定、公布并适时调整。 </w:t>
      </w:r>
    </w:p>
    <w:p w14:paraId="7504E407">
      <w:pPr>
        <w:pStyle w:val="40"/>
        <w:keepNext w:val="0"/>
        <w:keepLines w:val="0"/>
        <w:pageBreakBefore w:val="0"/>
        <w:widowControl w:val="0"/>
        <w:kinsoku/>
        <w:overflowPunct/>
        <w:topLinePunct w:val="0"/>
        <w:autoSpaceDE/>
        <w:autoSpaceDN/>
        <w:bidi w:val="0"/>
        <w:adjustRightInd/>
        <w:textAlignment w:val="auto"/>
        <w:rPr>
          <w:rFonts w:hint="eastAsia" w:eastAsia="宋体"/>
          <w:snapToGrid w:val="0"/>
          <w:color w:val="auto"/>
          <w:sz w:val="24"/>
          <w:highlight w:val="none"/>
          <w:lang w:val="en-US" w:eastAsia="zh-CN"/>
        </w:rPr>
      </w:pPr>
      <w:r>
        <w:rPr>
          <w:rFonts w:hint="eastAsia" w:eastAsia="宋体"/>
          <w:snapToGrid w:val="0"/>
          <w:color w:val="auto"/>
          <w:sz w:val="24"/>
          <w:highlight w:val="none"/>
          <w:lang w:val="en-US" w:eastAsia="zh-CN"/>
        </w:rPr>
        <w:t>44.2 各级政府部门在购置计算机办公设备时，必须采购预装正版操作系统软件的计算机产品，相关规定依据《国家版权局、信息产业部、财政部、国务院机关事务管理局关于政府部门购置计算机办公设备必须采购已预装正版操作系统软件产品的通知》（国权联〔2006〕1 号）、《国务院办公厅关于进一步做好政府机关使用正版软件工作的通知》（国办发〔2010〕47 号）、《国务院办公厅关于印发政府机关使用正版软件管理办法的通知》国办发〔2013〕88号。</w:t>
      </w:r>
    </w:p>
    <w:p w14:paraId="139B1CB1">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default" w:ascii="宋体" w:hAnsi="宋体" w:eastAsia="宋体" w:cs="宋体"/>
          <w:b/>
          <w:bCs/>
          <w:color w:val="auto"/>
          <w:kern w:val="2"/>
          <w:sz w:val="24"/>
          <w:szCs w:val="28"/>
          <w:highlight w:val="none"/>
          <w:lang w:val="en-US" w:eastAsia="zh-CN" w:bidi="ar-SA"/>
        </w:rPr>
      </w:pPr>
      <w:bookmarkStart w:id="455" w:name="_Toc5754"/>
      <w:bookmarkStart w:id="456" w:name="_Toc23823"/>
      <w:bookmarkStart w:id="457" w:name="_Toc18124"/>
      <w:bookmarkStart w:id="458" w:name="_Toc9349"/>
      <w:r>
        <w:rPr>
          <w:rFonts w:hint="eastAsia" w:ascii="宋体" w:hAnsi="宋体" w:eastAsia="宋体" w:cs="宋体"/>
          <w:b/>
          <w:bCs/>
          <w:color w:val="auto"/>
          <w:kern w:val="2"/>
          <w:sz w:val="24"/>
          <w:szCs w:val="28"/>
          <w:highlight w:val="none"/>
          <w:lang w:val="en-US" w:eastAsia="zh-CN" w:bidi="ar-SA"/>
        </w:rPr>
        <w:t>45.网络安全专用产品</w:t>
      </w:r>
      <w:bookmarkEnd w:id="455"/>
      <w:bookmarkEnd w:id="456"/>
      <w:bookmarkEnd w:id="457"/>
      <w:bookmarkEnd w:id="458"/>
      <w:r>
        <w:rPr>
          <w:rFonts w:hint="eastAsia" w:ascii="宋体" w:hAnsi="宋体" w:eastAsia="宋体" w:cs="宋体"/>
          <w:b/>
          <w:bCs/>
          <w:color w:val="auto"/>
          <w:kern w:val="2"/>
          <w:sz w:val="24"/>
          <w:szCs w:val="28"/>
          <w:highlight w:val="none"/>
          <w:lang w:val="en-US" w:eastAsia="zh-CN" w:bidi="ar-SA"/>
        </w:rPr>
        <w:t xml:space="preserve">   </w:t>
      </w:r>
    </w:p>
    <w:p w14:paraId="13C08773">
      <w:pPr>
        <w:pStyle w:val="40"/>
        <w:keepNext w:val="0"/>
        <w:keepLines w:val="0"/>
        <w:pageBreakBefore w:val="0"/>
        <w:widowControl w:val="0"/>
        <w:kinsoku/>
        <w:overflowPunct/>
        <w:topLinePunct w:val="0"/>
        <w:autoSpaceDE/>
        <w:autoSpaceDN/>
        <w:bidi w:val="0"/>
        <w:adjustRightInd/>
        <w:textAlignment w:val="auto"/>
        <w:rPr>
          <w:rFonts w:hint="eastAsia" w:eastAsia="宋体"/>
          <w:snapToGrid w:val="0"/>
          <w:color w:val="auto"/>
          <w:sz w:val="24"/>
          <w:highlight w:val="none"/>
          <w:lang w:val="en-US" w:eastAsia="zh-CN"/>
        </w:rPr>
      </w:pPr>
      <w:r>
        <w:rPr>
          <w:rFonts w:hint="eastAsia" w:eastAsia="宋体"/>
          <w:snapToGrid w:val="0"/>
          <w:color w:val="auto"/>
          <w:sz w:val="24"/>
          <w:highlight w:val="none"/>
          <w:lang w:val="en-US" w:eastAsia="zh-CN"/>
        </w:rPr>
        <w:t>45.1本项目中如涉及网络关键设备或网络安全专用产品的，应严格执行国家互联网信息办公室、工业和信息化部、公安部、财政部和国家认证认可监督管理委员会 2023年第 1 号《关于调整网络安全专用产品安全管理有关事项的公告》及国家互联网信息办公室、工业和信息化部、公安部和国家认证认可监督管理委员会 2023 年第 2号《关于调整&lt;网络关键设备和网络安全专用产品目录&gt;的公告》等相关文件要求，所投标（响应）设备或产品至少符合以下条件之一：一是已由具备资格的机构安全认证合格或安全检测符合要求；二是已获得《计算机信息系统安全专用产品销售许可证》，且在有效期内。采购人、中标(成交)人双方签订合同及验收环节，应包含上述网络安全要求的条款。</w:t>
      </w:r>
    </w:p>
    <w:p w14:paraId="575DAF11">
      <w:pPr>
        <w:pStyle w:val="40"/>
        <w:keepNext w:val="0"/>
        <w:keepLines w:val="0"/>
        <w:pageBreakBefore w:val="0"/>
        <w:widowControl w:val="0"/>
        <w:kinsoku/>
        <w:overflowPunct/>
        <w:topLinePunct w:val="0"/>
        <w:autoSpaceDE/>
        <w:autoSpaceDN/>
        <w:bidi w:val="0"/>
        <w:adjustRightInd/>
        <w:textAlignment w:val="auto"/>
        <w:rPr>
          <w:rFonts w:hint="eastAsia" w:eastAsia="宋体"/>
          <w:snapToGrid w:val="0"/>
          <w:color w:val="auto"/>
          <w:sz w:val="24"/>
          <w:highlight w:val="none"/>
          <w:lang w:val="en-US" w:eastAsia="zh-CN"/>
        </w:rPr>
      </w:pPr>
      <w:r>
        <w:rPr>
          <w:rFonts w:hint="eastAsia" w:eastAsia="宋体"/>
          <w:snapToGrid w:val="0"/>
          <w:color w:val="auto"/>
          <w:sz w:val="24"/>
          <w:highlight w:val="none"/>
          <w:lang w:val="en-US" w:eastAsia="zh-CN"/>
        </w:rPr>
        <w:t xml:space="preserve">45.2本项目中如涉及国家强制性产品认证证书（CCC 认证证书）、电信设备进网许可证、无线电发射设备核准证等市场准入类资质的，应严格执行国家相关法律法规的要求。采购人、中标(成交)人双方签订合同及验收环节，应包含上述市场准入类资质要求的条款。 </w:t>
      </w:r>
    </w:p>
    <w:p w14:paraId="567E703D">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default" w:ascii="宋体" w:hAnsi="宋体" w:eastAsia="宋体" w:cs="宋体"/>
          <w:b/>
          <w:bCs/>
          <w:color w:val="auto"/>
          <w:kern w:val="2"/>
          <w:sz w:val="24"/>
          <w:szCs w:val="28"/>
          <w:highlight w:val="none"/>
          <w:lang w:val="en-US" w:eastAsia="zh-CN" w:bidi="ar-SA"/>
        </w:rPr>
      </w:pPr>
      <w:bookmarkStart w:id="459" w:name="_Toc30425"/>
      <w:bookmarkStart w:id="460" w:name="_Toc4141"/>
      <w:bookmarkStart w:id="461" w:name="_Toc26826"/>
      <w:bookmarkStart w:id="462" w:name="_Toc30358"/>
      <w:r>
        <w:rPr>
          <w:rFonts w:hint="eastAsia" w:ascii="宋体" w:hAnsi="宋体" w:eastAsia="宋体" w:cs="宋体"/>
          <w:b/>
          <w:bCs/>
          <w:color w:val="auto"/>
          <w:kern w:val="2"/>
          <w:sz w:val="24"/>
          <w:szCs w:val="28"/>
          <w:highlight w:val="none"/>
          <w:lang w:val="en-US" w:eastAsia="zh-CN" w:bidi="ar-SA"/>
        </w:rPr>
        <w:t>46.采购需求标准</w:t>
      </w:r>
      <w:bookmarkEnd w:id="459"/>
      <w:bookmarkEnd w:id="460"/>
      <w:bookmarkEnd w:id="461"/>
      <w:bookmarkEnd w:id="462"/>
      <w:r>
        <w:rPr>
          <w:rFonts w:hint="eastAsia" w:ascii="宋体" w:hAnsi="宋体" w:eastAsia="宋体" w:cs="宋体"/>
          <w:b/>
          <w:bCs/>
          <w:color w:val="auto"/>
          <w:kern w:val="2"/>
          <w:sz w:val="24"/>
          <w:szCs w:val="28"/>
          <w:highlight w:val="none"/>
          <w:lang w:val="en-US" w:eastAsia="zh-CN" w:bidi="ar-SA"/>
        </w:rPr>
        <w:t xml:space="preserve">   </w:t>
      </w:r>
    </w:p>
    <w:p w14:paraId="77C63652">
      <w:pPr>
        <w:pStyle w:val="40"/>
        <w:keepNext w:val="0"/>
        <w:keepLines w:val="0"/>
        <w:pageBreakBefore w:val="0"/>
        <w:widowControl w:val="0"/>
        <w:kinsoku/>
        <w:overflowPunct/>
        <w:topLinePunct w:val="0"/>
        <w:autoSpaceDE/>
        <w:autoSpaceDN/>
        <w:bidi w:val="0"/>
        <w:adjustRightInd/>
        <w:textAlignment w:val="auto"/>
        <w:rPr>
          <w:rFonts w:hint="eastAsia" w:eastAsia="宋体"/>
          <w:snapToGrid w:val="0"/>
          <w:color w:val="auto"/>
          <w:sz w:val="24"/>
          <w:highlight w:val="none"/>
          <w:lang w:val="en-US" w:eastAsia="zh-CN"/>
        </w:rPr>
      </w:pPr>
      <w:r>
        <w:rPr>
          <w:rFonts w:hint="eastAsia" w:eastAsia="宋体"/>
          <w:snapToGrid w:val="0"/>
          <w:color w:val="auto"/>
          <w:sz w:val="24"/>
          <w:highlight w:val="none"/>
          <w:lang w:val="en-US" w:eastAsia="zh-CN"/>
        </w:rPr>
        <w:t xml:space="preserve">46.1 商品包装、快递包装政府采购需求标准（试行） </w:t>
      </w:r>
    </w:p>
    <w:p w14:paraId="3DA94789">
      <w:pPr>
        <w:pStyle w:val="40"/>
        <w:keepNext w:val="0"/>
        <w:keepLines w:val="0"/>
        <w:pageBreakBefore w:val="0"/>
        <w:widowControl w:val="0"/>
        <w:kinsoku/>
        <w:overflowPunct/>
        <w:topLinePunct w:val="0"/>
        <w:autoSpaceDE/>
        <w:autoSpaceDN/>
        <w:bidi w:val="0"/>
        <w:adjustRightInd/>
        <w:textAlignment w:val="auto"/>
        <w:rPr>
          <w:rFonts w:hint="eastAsia" w:eastAsia="宋体"/>
          <w:snapToGrid w:val="0"/>
          <w:color w:val="auto"/>
          <w:sz w:val="24"/>
          <w:highlight w:val="none"/>
          <w:lang w:val="en-US" w:eastAsia="zh-CN"/>
        </w:rPr>
      </w:pPr>
      <w:r>
        <w:rPr>
          <w:rFonts w:hint="eastAsia" w:eastAsia="宋体"/>
          <w:snapToGrid w:val="0"/>
          <w:color w:val="auto"/>
          <w:sz w:val="24"/>
          <w:highlight w:val="none"/>
          <w:lang w:val="en-US" w:eastAsia="zh-CN"/>
        </w:rPr>
        <w:t xml:space="preserve">为助力打好污染防治攻坚战，推广使用绿色包装，根据财政部关于印发《商品包装政府采购需求标准（试行）》、《快递包装政府采购需求标准（试行）》的通知（财办库〔2020〕123 号），本项目如涉及商品包装和快递包装的，则其具体要求见第三章《采购需求》。 </w:t>
      </w:r>
    </w:p>
    <w:p w14:paraId="27B020C7">
      <w:pPr>
        <w:pStyle w:val="40"/>
        <w:keepNext w:val="0"/>
        <w:keepLines w:val="0"/>
        <w:pageBreakBefore w:val="0"/>
        <w:widowControl w:val="0"/>
        <w:kinsoku/>
        <w:overflowPunct/>
        <w:topLinePunct w:val="0"/>
        <w:autoSpaceDE/>
        <w:autoSpaceDN/>
        <w:bidi w:val="0"/>
        <w:adjustRightInd/>
        <w:textAlignment w:val="auto"/>
        <w:rPr>
          <w:rFonts w:hint="eastAsia" w:eastAsia="宋体"/>
          <w:snapToGrid w:val="0"/>
          <w:color w:val="auto"/>
          <w:sz w:val="24"/>
          <w:highlight w:val="none"/>
          <w:lang w:val="en-US" w:eastAsia="zh-CN"/>
        </w:rPr>
      </w:pPr>
      <w:r>
        <w:rPr>
          <w:rFonts w:hint="eastAsia" w:eastAsia="宋体"/>
          <w:snapToGrid w:val="0"/>
          <w:color w:val="auto"/>
          <w:sz w:val="24"/>
          <w:highlight w:val="none"/>
          <w:lang w:val="en-US" w:eastAsia="zh-CN"/>
        </w:rPr>
        <w:t xml:space="preserve">46.2 绿色数据中心政府采购需求标准（试行） </w:t>
      </w:r>
    </w:p>
    <w:p w14:paraId="16173830">
      <w:pPr>
        <w:pStyle w:val="40"/>
        <w:keepNext w:val="0"/>
        <w:keepLines w:val="0"/>
        <w:pageBreakBefore w:val="0"/>
        <w:widowControl w:val="0"/>
        <w:kinsoku/>
        <w:overflowPunct/>
        <w:topLinePunct w:val="0"/>
        <w:autoSpaceDE/>
        <w:autoSpaceDN/>
        <w:bidi w:val="0"/>
        <w:adjustRightInd/>
        <w:textAlignment w:val="auto"/>
        <w:rPr>
          <w:rFonts w:hint="eastAsia" w:eastAsia="宋体"/>
          <w:snapToGrid w:val="0"/>
          <w:color w:val="auto"/>
          <w:sz w:val="24"/>
          <w:highlight w:val="none"/>
          <w:lang w:val="en-US" w:eastAsia="zh-CN"/>
        </w:rPr>
      </w:pPr>
      <w:r>
        <w:rPr>
          <w:rFonts w:hint="eastAsia" w:eastAsia="宋体"/>
          <w:snapToGrid w:val="0"/>
          <w:color w:val="auto"/>
          <w:sz w:val="24"/>
          <w:highlight w:val="none"/>
          <w:lang w:val="en-US" w:eastAsia="zh-CN"/>
        </w:rPr>
        <w:t xml:space="preserve">为加快数据中心绿色转型，根据财政部 生态环境部 工业和信息化部关于印发《绿色数据中心政府采购需求标准（试行）》的通知（财库〔2023〕7 号），本项目如涉及绿色数据中心，则具体要求见第三章《采购需求》。 </w:t>
      </w:r>
    </w:p>
    <w:p w14:paraId="752FA939">
      <w:pPr>
        <w:pStyle w:val="40"/>
        <w:keepNext w:val="0"/>
        <w:keepLines w:val="0"/>
        <w:pageBreakBefore w:val="0"/>
        <w:widowControl w:val="0"/>
        <w:kinsoku/>
        <w:overflowPunct/>
        <w:topLinePunct w:val="0"/>
        <w:autoSpaceDE/>
        <w:autoSpaceDN/>
        <w:bidi w:val="0"/>
        <w:adjustRightInd/>
        <w:textAlignment w:val="auto"/>
        <w:rPr>
          <w:rFonts w:hint="default" w:eastAsia="宋体"/>
          <w:snapToGrid w:val="0"/>
          <w:color w:val="auto"/>
          <w:sz w:val="24"/>
          <w:highlight w:val="none"/>
          <w:lang w:val="en-US" w:eastAsia="zh-CN"/>
        </w:rPr>
      </w:pPr>
      <w:r>
        <w:rPr>
          <w:rFonts w:hint="eastAsia" w:eastAsia="宋体"/>
          <w:snapToGrid w:val="0"/>
          <w:color w:val="auto"/>
          <w:sz w:val="24"/>
          <w:highlight w:val="none"/>
          <w:lang w:val="en-US" w:eastAsia="zh-CN"/>
        </w:rPr>
        <w:t>46.3台式计算机政府采购需求标准</w:t>
      </w:r>
    </w:p>
    <w:p w14:paraId="3830872B">
      <w:pPr>
        <w:pStyle w:val="40"/>
        <w:keepNext w:val="0"/>
        <w:keepLines w:val="0"/>
        <w:pageBreakBefore w:val="0"/>
        <w:widowControl w:val="0"/>
        <w:kinsoku/>
        <w:overflowPunct/>
        <w:topLinePunct w:val="0"/>
        <w:autoSpaceDE/>
        <w:autoSpaceDN/>
        <w:bidi w:val="0"/>
        <w:adjustRightInd/>
        <w:textAlignment w:val="auto"/>
        <w:rPr>
          <w:rFonts w:hint="eastAsia" w:eastAsia="宋体"/>
          <w:snapToGrid w:val="0"/>
          <w:color w:val="auto"/>
          <w:sz w:val="24"/>
          <w:highlight w:val="none"/>
          <w:lang w:val="en-US" w:eastAsia="zh-CN"/>
        </w:rPr>
      </w:pPr>
      <w:r>
        <w:rPr>
          <w:rFonts w:hint="eastAsia" w:eastAsia="宋体"/>
          <w:snapToGrid w:val="0"/>
          <w:color w:val="auto"/>
          <w:sz w:val="24"/>
          <w:highlight w:val="none"/>
          <w:lang w:val="en-US" w:eastAsia="zh-CN"/>
        </w:rPr>
        <w:t>为提高台式计算机政府采购需求管理的科学化、规范化水平，进一步落实政府采购公平竞争原则，优化营商环境，营造良好的产业生态，财政部 工业和信息化部关于印发《台式计算机政府采购需求标准（2023年版）》的通知（财库〔2023〕29号），本项目如涉及台式计算机采购，则具体要求见第三章《采购需求》。</w:t>
      </w:r>
    </w:p>
    <w:p w14:paraId="3E8B3153">
      <w:pPr>
        <w:pStyle w:val="40"/>
        <w:keepNext w:val="0"/>
        <w:keepLines w:val="0"/>
        <w:pageBreakBefore w:val="0"/>
        <w:widowControl w:val="0"/>
        <w:kinsoku/>
        <w:overflowPunct/>
        <w:topLinePunct w:val="0"/>
        <w:autoSpaceDE/>
        <w:autoSpaceDN/>
        <w:bidi w:val="0"/>
        <w:adjustRightInd/>
        <w:textAlignment w:val="auto"/>
        <w:rPr>
          <w:rFonts w:hint="default" w:eastAsia="宋体"/>
          <w:snapToGrid w:val="0"/>
          <w:color w:val="auto"/>
          <w:sz w:val="24"/>
          <w:highlight w:val="none"/>
          <w:lang w:val="en-US" w:eastAsia="zh-CN"/>
        </w:rPr>
      </w:pPr>
      <w:r>
        <w:rPr>
          <w:rFonts w:hint="eastAsia" w:eastAsia="宋体"/>
          <w:snapToGrid w:val="0"/>
          <w:color w:val="auto"/>
          <w:sz w:val="24"/>
          <w:highlight w:val="none"/>
          <w:lang w:val="en-US" w:eastAsia="zh-CN"/>
        </w:rPr>
        <w:t>46.4便携式计算机政府采购需求标准</w:t>
      </w:r>
    </w:p>
    <w:p w14:paraId="2DDABA79">
      <w:pPr>
        <w:pStyle w:val="40"/>
        <w:keepNext w:val="0"/>
        <w:keepLines w:val="0"/>
        <w:pageBreakBefore w:val="0"/>
        <w:widowControl w:val="0"/>
        <w:kinsoku/>
        <w:overflowPunct/>
        <w:topLinePunct w:val="0"/>
        <w:autoSpaceDE/>
        <w:autoSpaceDN/>
        <w:bidi w:val="0"/>
        <w:adjustRightInd/>
        <w:textAlignment w:val="auto"/>
        <w:rPr>
          <w:rFonts w:hint="eastAsia" w:eastAsia="宋体"/>
          <w:snapToGrid w:val="0"/>
          <w:color w:val="auto"/>
          <w:sz w:val="24"/>
          <w:highlight w:val="none"/>
          <w:lang w:val="en-US" w:eastAsia="zh-CN"/>
        </w:rPr>
      </w:pPr>
      <w:r>
        <w:rPr>
          <w:rFonts w:hint="eastAsia" w:eastAsia="宋体"/>
          <w:snapToGrid w:val="0"/>
          <w:color w:val="auto"/>
          <w:sz w:val="24"/>
          <w:highlight w:val="none"/>
          <w:lang w:val="en-US" w:eastAsia="zh-CN"/>
        </w:rPr>
        <w:t>为提高便携式计算机政府采购需求管理的科学化、规范化水平，进一步落实政府采购公平竞争原则，优化营商环境，营造良好的产业生态，财政部 工业和信息化部关于印发《便携式计算机政府采购需求标准（2023年版）》的通知（财库〔2023〕30号），本项目如涉及便携式计算机采购，则具体要求见第三章《采购需求》。</w:t>
      </w:r>
    </w:p>
    <w:p w14:paraId="385FE90A">
      <w:pPr>
        <w:pStyle w:val="40"/>
        <w:keepNext w:val="0"/>
        <w:keepLines w:val="0"/>
        <w:pageBreakBefore w:val="0"/>
        <w:widowControl w:val="0"/>
        <w:kinsoku/>
        <w:overflowPunct/>
        <w:topLinePunct w:val="0"/>
        <w:autoSpaceDE/>
        <w:autoSpaceDN/>
        <w:bidi w:val="0"/>
        <w:adjustRightInd/>
        <w:textAlignment w:val="auto"/>
        <w:rPr>
          <w:rFonts w:hint="default" w:eastAsia="宋体"/>
          <w:snapToGrid w:val="0"/>
          <w:color w:val="auto"/>
          <w:sz w:val="24"/>
          <w:highlight w:val="none"/>
          <w:lang w:val="en-US" w:eastAsia="zh-CN"/>
        </w:rPr>
      </w:pPr>
      <w:r>
        <w:rPr>
          <w:rFonts w:hint="eastAsia" w:eastAsia="宋体"/>
          <w:snapToGrid w:val="0"/>
          <w:color w:val="auto"/>
          <w:sz w:val="24"/>
          <w:highlight w:val="none"/>
          <w:lang w:val="en-US" w:eastAsia="zh-CN"/>
        </w:rPr>
        <w:t>46.5一体式计算机政府采购需求标准</w:t>
      </w:r>
    </w:p>
    <w:p w14:paraId="30E81396">
      <w:pPr>
        <w:pStyle w:val="40"/>
        <w:keepNext w:val="0"/>
        <w:keepLines w:val="0"/>
        <w:pageBreakBefore w:val="0"/>
        <w:widowControl w:val="0"/>
        <w:kinsoku/>
        <w:overflowPunct/>
        <w:topLinePunct w:val="0"/>
        <w:autoSpaceDE/>
        <w:autoSpaceDN/>
        <w:bidi w:val="0"/>
        <w:adjustRightInd/>
        <w:textAlignment w:val="auto"/>
        <w:rPr>
          <w:rFonts w:hint="eastAsia" w:eastAsia="宋体"/>
          <w:snapToGrid w:val="0"/>
          <w:color w:val="auto"/>
          <w:sz w:val="24"/>
          <w:highlight w:val="none"/>
          <w:lang w:val="en-US" w:eastAsia="zh-CN"/>
        </w:rPr>
      </w:pPr>
      <w:r>
        <w:rPr>
          <w:rFonts w:hint="eastAsia" w:eastAsia="宋体"/>
          <w:snapToGrid w:val="0"/>
          <w:color w:val="auto"/>
          <w:sz w:val="24"/>
          <w:highlight w:val="none"/>
          <w:lang w:val="en-US" w:eastAsia="zh-CN"/>
        </w:rPr>
        <w:t>为提高一体式计算机政府采购需求管理的科学化、规范化水平，进一步落实政府采购公平竞争原则，优化营商环境，营造良好的产业生态，财政部 工业和信息化部关于印发《一体式计算机政府采购需求标准（2023年版）》的通知（财库〔2023〕31号），本项目如涉及一体式计算机采购，则具体要求见第三章《采购需求》。</w:t>
      </w:r>
    </w:p>
    <w:p w14:paraId="07FD3B31">
      <w:pPr>
        <w:pStyle w:val="40"/>
        <w:keepNext w:val="0"/>
        <w:keepLines w:val="0"/>
        <w:pageBreakBefore w:val="0"/>
        <w:widowControl w:val="0"/>
        <w:kinsoku/>
        <w:overflowPunct/>
        <w:topLinePunct w:val="0"/>
        <w:autoSpaceDE/>
        <w:autoSpaceDN/>
        <w:bidi w:val="0"/>
        <w:adjustRightInd/>
        <w:textAlignment w:val="auto"/>
        <w:rPr>
          <w:rFonts w:hint="default" w:eastAsia="宋体"/>
          <w:snapToGrid w:val="0"/>
          <w:color w:val="auto"/>
          <w:sz w:val="24"/>
          <w:highlight w:val="none"/>
          <w:lang w:val="en-US" w:eastAsia="zh-CN"/>
        </w:rPr>
      </w:pPr>
      <w:r>
        <w:rPr>
          <w:rFonts w:hint="eastAsia" w:eastAsia="宋体"/>
          <w:snapToGrid w:val="0"/>
          <w:color w:val="auto"/>
          <w:sz w:val="24"/>
          <w:highlight w:val="none"/>
          <w:lang w:val="en-US" w:eastAsia="zh-CN"/>
        </w:rPr>
        <w:t>46.6工作站政府采购需求标准</w:t>
      </w:r>
    </w:p>
    <w:p w14:paraId="23F8A15A">
      <w:pPr>
        <w:pStyle w:val="40"/>
        <w:keepNext w:val="0"/>
        <w:keepLines w:val="0"/>
        <w:pageBreakBefore w:val="0"/>
        <w:widowControl w:val="0"/>
        <w:kinsoku/>
        <w:overflowPunct/>
        <w:topLinePunct w:val="0"/>
        <w:autoSpaceDE/>
        <w:autoSpaceDN/>
        <w:bidi w:val="0"/>
        <w:adjustRightInd/>
        <w:textAlignment w:val="auto"/>
        <w:rPr>
          <w:rFonts w:hint="eastAsia" w:eastAsia="宋体"/>
          <w:snapToGrid w:val="0"/>
          <w:color w:val="auto"/>
          <w:sz w:val="24"/>
          <w:highlight w:val="none"/>
          <w:lang w:val="en-US" w:eastAsia="zh-CN"/>
        </w:rPr>
      </w:pPr>
      <w:r>
        <w:rPr>
          <w:rFonts w:hint="eastAsia" w:eastAsia="宋体"/>
          <w:snapToGrid w:val="0"/>
          <w:color w:val="auto"/>
          <w:sz w:val="24"/>
          <w:highlight w:val="none"/>
          <w:lang w:val="en-US" w:eastAsia="zh-CN"/>
        </w:rPr>
        <w:t>为提高工作站政府采购需求管理的科学化、规范化水平，进一步落实政府采购公平竞争原则，优化营商环境，营造良好的产业生态，财政部 工业和信息化部关于印发《工作站政府采购需求标准（2023年版）》的通知（财库〔2023〕32号），本项目如涉及工作站采购，则具体要求见第三章《采购需求》。</w:t>
      </w:r>
    </w:p>
    <w:p w14:paraId="6FE6E6D6">
      <w:pPr>
        <w:pStyle w:val="40"/>
        <w:keepNext w:val="0"/>
        <w:keepLines w:val="0"/>
        <w:pageBreakBefore w:val="0"/>
        <w:widowControl w:val="0"/>
        <w:kinsoku/>
        <w:overflowPunct/>
        <w:topLinePunct w:val="0"/>
        <w:autoSpaceDE/>
        <w:autoSpaceDN/>
        <w:bidi w:val="0"/>
        <w:adjustRightInd/>
        <w:textAlignment w:val="auto"/>
        <w:rPr>
          <w:rFonts w:hint="default" w:eastAsia="宋体"/>
          <w:snapToGrid w:val="0"/>
          <w:color w:val="auto"/>
          <w:sz w:val="24"/>
          <w:highlight w:val="none"/>
          <w:lang w:val="en-US" w:eastAsia="zh-CN"/>
        </w:rPr>
      </w:pPr>
      <w:r>
        <w:rPr>
          <w:rFonts w:hint="eastAsia" w:eastAsia="宋体"/>
          <w:snapToGrid w:val="0"/>
          <w:color w:val="auto"/>
          <w:sz w:val="24"/>
          <w:highlight w:val="none"/>
          <w:lang w:val="en-US" w:eastAsia="zh-CN"/>
        </w:rPr>
        <w:t>46.7通用服务器政府采购需求标准</w:t>
      </w:r>
    </w:p>
    <w:p w14:paraId="2DC5EFFC">
      <w:pPr>
        <w:pStyle w:val="40"/>
        <w:keepNext w:val="0"/>
        <w:keepLines w:val="0"/>
        <w:pageBreakBefore w:val="0"/>
        <w:widowControl w:val="0"/>
        <w:kinsoku/>
        <w:overflowPunct/>
        <w:topLinePunct w:val="0"/>
        <w:autoSpaceDE/>
        <w:autoSpaceDN/>
        <w:bidi w:val="0"/>
        <w:adjustRightInd/>
        <w:textAlignment w:val="auto"/>
        <w:rPr>
          <w:rFonts w:hint="eastAsia" w:eastAsia="宋体"/>
          <w:snapToGrid w:val="0"/>
          <w:color w:val="auto"/>
          <w:sz w:val="24"/>
          <w:highlight w:val="none"/>
          <w:lang w:val="en-US" w:eastAsia="zh-CN"/>
        </w:rPr>
      </w:pPr>
      <w:r>
        <w:rPr>
          <w:rFonts w:hint="eastAsia" w:eastAsia="宋体"/>
          <w:snapToGrid w:val="0"/>
          <w:color w:val="auto"/>
          <w:sz w:val="24"/>
          <w:highlight w:val="none"/>
          <w:lang w:val="en-US" w:eastAsia="zh-CN"/>
        </w:rPr>
        <w:t>为提高通用服务器政府采购需求管理的科学化、规范化水平，进一步落实政府采购公平竞争原则，优化营商环境，营造良好的产业生态，财政部 工业和信息化部关于印发《通用服务器政府采购需求标准（2023年版）》的通知（财库〔2023〕33号），本项目如涉及通用服务器采购，则具体要求见第三章《采购需求》。</w:t>
      </w:r>
    </w:p>
    <w:p w14:paraId="5822E475">
      <w:pPr>
        <w:pStyle w:val="40"/>
        <w:keepNext w:val="0"/>
        <w:keepLines w:val="0"/>
        <w:pageBreakBefore w:val="0"/>
        <w:widowControl w:val="0"/>
        <w:kinsoku/>
        <w:overflowPunct/>
        <w:topLinePunct w:val="0"/>
        <w:autoSpaceDE/>
        <w:autoSpaceDN/>
        <w:bidi w:val="0"/>
        <w:adjustRightInd/>
        <w:textAlignment w:val="auto"/>
        <w:rPr>
          <w:rFonts w:hint="default" w:eastAsia="宋体"/>
          <w:snapToGrid w:val="0"/>
          <w:color w:val="auto"/>
          <w:sz w:val="24"/>
          <w:highlight w:val="none"/>
          <w:lang w:val="en-US" w:eastAsia="zh-CN"/>
        </w:rPr>
      </w:pPr>
      <w:r>
        <w:rPr>
          <w:rFonts w:hint="eastAsia" w:eastAsia="宋体"/>
          <w:snapToGrid w:val="0"/>
          <w:color w:val="auto"/>
          <w:sz w:val="24"/>
          <w:highlight w:val="none"/>
          <w:lang w:val="en-US" w:eastAsia="zh-CN"/>
        </w:rPr>
        <w:t>46.8操作系统政府采购需求标准</w:t>
      </w:r>
    </w:p>
    <w:p w14:paraId="0C0F87EE">
      <w:pPr>
        <w:pStyle w:val="40"/>
        <w:keepNext w:val="0"/>
        <w:keepLines w:val="0"/>
        <w:pageBreakBefore w:val="0"/>
        <w:widowControl w:val="0"/>
        <w:kinsoku/>
        <w:overflowPunct/>
        <w:topLinePunct w:val="0"/>
        <w:autoSpaceDE/>
        <w:autoSpaceDN/>
        <w:bidi w:val="0"/>
        <w:adjustRightInd/>
        <w:textAlignment w:val="auto"/>
        <w:rPr>
          <w:rFonts w:hint="eastAsia" w:eastAsia="宋体"/>
          <w:snapToGrid w:val="0"/>
          <w:color w:val="auto"/>
          <w:sz w:val="24"/>
          <w:highlight w:val="none"/>
          <w:lang w:val="en-US" w:eastAsia="zh-CN"/>
        </w:rPr>
      </w:pPr>
      <w:r>
        <w:rPr>
          <w:rFonts w:hint="eastAsia" w:eastAsia="宋体"/>
          <w:snapToGrid w:val="0"/>
          <w:color w:val="auto"/>
          <w:sz w:val="24"/>
          <w:highlight w:val="none"/>
          <w:lang w:val="en-US" w:eastAsia="zh-CN"/>
        </w:rPr>
        <w:t>为提高操作系统政府采购需求管理的科学化、规范化水平，进一步落实政府采购公平竞争原则，优化营商环境，营造良好的产业生态，财政部 工业和信息化部关于印发《操作系统政府采购需求标准（2023年版）》的通知（财库〔2023〕34号），本项目如涉及操作系统采购，则具体要求见第三章《采购需求》。</w:t>
      </w:r>
    </w:p>
    <w:p w14:paraId="1177BDB0">
      <w:pPr>
        <w:pStyle w:val="40"/>
        <w:keepNext w:val="0"/>
        <w:keepLines w:val="0"/>
        <w:pageBreakBefore w:val="0"/>
        <w:widowControl w:val="0"/>
        <w:kinsoku/>
        <w:overflowPunct/>
        <w:topLinePunct w:val="0"/>
        <w:autoSpaceDE/>
        <w:autoSpaceDN/>
        <w:bidi w:val="0"/>
        <w:adjustRightInd/>
        <w:textAlignment w:val="auto"/>
        <w:rPr>
          <w:rFonts w:hint="default" w:eastAsia="宋体"/>
          <w:snapToGrid w:val="0"/>
          <w:color w:val="auto"/>
          <w:sz w:val="24"/>
          <w:highlight w:val="none"/>
          <w:lang w:val="en-US" w:eastAsia="zh-CN"/>
        </w:rPr>
      </w:pPr>
      <w:r>
        <w:rPr>
          <w:rFonts w:hint="eastAsia" w:eastAsia="宋体"/>
          <w:snapToGrid w:val="0"/>
          <w:color w:val="auto"/>
          <w:sz w:val="24"/>
          <w:highlight w:val="none"/>
          <w:lang w:val="en-US" w:eastAsia="zh-CN"/>
        </w:rPr>
        <w:t>46.9数据库政府采购需求标准</w:t>
      </w:r>
    </w:p>
    <w:p w14:paraId="45BE4E61">
      <w:pPr>
        <w:pStyle w:val="40"/>
        <w:keepNext w:val="0"/>
        <w:keepLines w:val="0"/>
        <w:pageBreakBefore w:val="0"/>
        <w:widowControl w:val="0"/>
        <w:kinsoku/>
        <w:overflowPunct/>
        <w:topLinePunct w:val="0"/>
        <w:autoSpaceDE/>
        <w:autoSpaceDN/>
        <w:bidi w:val="0"/>
        <w:adjustRightInd/>
        <w:textAlignment w:val="auto"/>
        <w:rPr>
          <w:rFonts w:hint="eastAsia" w:eastAsia="宋体"/>
          <w:snapToGrid w:val="0"/>
          <w:color w:val="auto"/>
          <w:sz w:val="24"/>
          <w:highlight w:val="none"/>
          <w:lang w:val="en-US" w:eastAsia="zh-CN"/>
        </w:rPr>
      </w:pPr>
      <w:r>
        <w:rPr>
          <w:rFonts w:hint="eastAsia" w:eastAsia="宋体"/>
          <w:snapToGrid w:val="0"/>
          <w:color w:val="auto"/>
          <w:sz w:val="24"/>
          <w:highlight w:val="none"/>
          <w:lang w:val="en-US" w:eastAsia="zh-CN"/>
        </w:rPr>
        <w:t>为提高数据库政府采购需求管理的科学化、规范化水平，进一步落实政府采购公平竞争原则，优化营商环境，营造良好的产业生态，财政部 工业和信息化部关于印发《数据库政府采购需求标准（2023年版）》的通知（财库〔2023〕35号），本项目如涉及数据库采购，则具体要求见第三章《采购需求》。</w:t>
      </w:r>
    </w:p>
    <w:p w14:paraId="116745F5">
      <w:pPr>
        <w:pStyle w:val="40"/>
        <w:keepNext w:val="0"/>
        <w:keepLines w:val="0"/>
        <w:pageBreakBefore w:val="0"/>
        <w:widowControl w:val="0"/>
        <w:kinsoku/>
        <w:overflowPunct/>
        <w:topLinePunct w:val="0"/>
        <w:autoSpaceDE/>
        <w:autoSpaceDN/>
        <w:bidi w:val="0"/>
        <w:adjustRightInd/>
        <w:textAlignment w:val="auto"/>
        <w:rPr>
          <w:rFonts w:hint="default" w:eastAsia="宋体"/>
          <w:snapToGrid w:val="0"/>
          <w:color w:val="auto"/>
          <w:sz w:val="24"/>
          <w:highlight w:val="none"/>
          <w:lang w:val="en-US" w:eastAsia="zh-CN"/>
        </w:rPr>
      </w:pPr>
      <w:r>
        <w:rPr>
          <w:rFonts w:hint="eastAsia" w:eastAsia="宋体"/>
          <w:snapToGrid w:val="0"/>
          <w:color w:val="auto"/>
          <w:sz w:val="24"/>
          <w:highlight w:val="none"/>
          <w:lang w:val="en-US" w:eastAsia="zh-CN"/>
        </w:rPr>
        <w:t>46.10物业管理服务政府采购需求标准（办公场所类）（试行）</w:t>
      </w:r>
    </w:p>
    <w:p w14:paraId="0169F247">
      <w:pPr>
        <w:pStyle w:val="40"/>
        <w:keepNext w:val="0"/>
        <w:keepLines w:val="0"/>
        <w:pageBreakBefore w:val="0"/>
        <w:widowControl w:val="0"/>
        <w:kinsoku/>
        <w:overflowPunct/>
        <w:topLinePunct w:val="0"/>
        <w:autoSpaceDE/>
        <w:autoSpaceDN/>
        <w:bidi w:val="0"/>
        <w:adjustRightInd/>
        <w:textAlignment w:val="auto"/>
        <w:rPr>
          <w:rFonts w:hint="eastAsia" w:eastAsia="宋体"/>
          <w:snapToGrid w:val="0"/>
          <w:color w:val="auto"/>
          <w:sz w:val="24"/>
          <w:highlight w:val="none"/>
          <w:lang w:val="en-US" w:eastAsia="zh-CN"/>
        </w:rPr>
      </w:pPr>
      <w:r>
        <w:rPr>
          <w:rFonts w:hint="eastAsia" w:eastAsia="宋体"/>
          <w:snapToGrid w:val="0"/>
          <w:color w:val="auto"/>
          <w:sz w:val="24"/>
          <w:highlight w:val="none"/>
          <w:lang w:val="en-US" w:eastAsia="zh-CN"/>
        </w:rPr>
        <w:t>为贯彻落实中央全面深化改革委员会审议通过的《深化政府采购制度改革方案》有关要求，推动政府采购需求标准建设，财政部办公厅关于印发《物业管理服务政府采购需求标准（办公场所类）（试行）》的通知（财办库〔2024〕113号），本项目如涉及物业管理服务采购，则具体要求见第三章《采购需求》。</w:t>
      </w:r>
    </w:p>
    <w:p w14:paraId="07C1DA2C">
      <w:pPr>
        <w:pStyle w:val="4"/>
        <w:keepNext w:val="0"/>
        <w:keepLines w:val="0"/>
        <w:pageBreakBefore w:val="0"/>
        <w:widowControl w:val="0"/>
        <w:numPr>
          <w:ilvl w:val="0"/>
          <w:numId w:val="0"/>
        </w:numPr>
        <w:kinsoku/>
        <w:wordWrap/>
        <w:overflowPunct/>
        <w:topLinePunct w:val="0"/>
        <w:autoSpaceDE/>
        <w:autoSpaceDN/>
        <w:bidi w:val="0"/>
        <w:adjustRightInd/>
        <w:snapToGrid/>
        <w:spacing w:before="100" w:after="100" w:line="240" w:lineRule="auto"/>
        <w:ind w:left="420" w:leftChars="0" w:hanging="420" w:firstLineChars="0"/>
        <w:textAlignment w:val="auto"/>
        <w:rPr>
          <w:rFonts w:hint="eastAsia" w:ascii="宋体" w:hAnsi="宋体" w:eastAsia="宋体" w:cstheme="minorBidi"/>
          <w:b/>
          <w:bCs/>
          <w:color w:val="auto"/>
          <w:kern w:val="2"/>
          <w:sz w:val="24"/>
          <w:szCs w:val="32"/>
          <w:highlight w:val="none"/>
          <w:lang w:val="en-US" w:eastAsia="zh-CN" w:bidi="ar-SA"/>
        </w:rPr>
      </w:pPr>
      <w:bookmarkStart w:id="463" w:name="_Toc14503"/>
      <w:bookmarkStart w:id="464" w:name="_Toc13631"/>
      <w:bookmarkStart w:id="465" w:name="_Toc7189"/>
      <w:bookmarkStart w:id="466" w:name="_Toc6544"/>
      <w:r>
        <w:rPr>
          <w:rFonts w:hint="eastAsia" w:ascii="宋体" w:hAnsi="宋体" w:eastAsia="宋体" w:cstheme="minorBidi"/>
          <w:b/>
          <w:bCs/>
          <w:color w:val="auto"/>
          <w:kern w:val="2"/>
          <w:sz w:val="24"/>
          <w:szCs w:val="32"/>
          <w:highlight w:val="none"/>
          <w:lang w:val="en-US" w:eastAsia="zh-CN" w:bidi="ar-SA"/>
        </w:rPr>
        <w:t>（十四）政府采购合同融资政策</w:t>
      </w:r>
      <w:bookmarkEnd w:id="433"/>
      <w:bookmarkEnd w:id="434"/>
      <w:bookmarkEnd w:id="454"/>
      <w:bookmarkEnd w:id="463"/>
      <w:bookmarkEnd w:id="464"/>
      <w:bookmarkEnd w:id="465"/>
      <w:bookmarkEnd w:id="466"/>
    </w:p>
    <w:p w14:paraId="7CF32745">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color w:val="auto"/>
          <w:kern w:val="2"/>
          <w:sz w:val="24"/>
          <w:szCs w:val="28"/>
          <w:highlight w:val="none"/>
          <w:lang w:val="en-US" w:eastAsia="zh-CN" w:bidi="ar-SA"/>
        </w:rPr>
      </w:pPr>
      <w:bookmarkStart w:id="467" w:name="_Toc163492880"/>
      <w:bookmarkStart w:id="468" w:name="_Toc19607"/>
      <w:bookmarkStart w:id="469" w:name="_Toc10536"/>
      <w:bookmarkStart w:id="470" w:name="_Toc6885"/>
      <w:bookmarkStart w:id="471" w:name="_Toc31455"/>
      <w:r>
        <w:rPr>
          <w:rFonts w:hint="eastAsia" w:ascii="宋体" w:hAnsi="宋体" w:eastAsia="宋体" w:cs="宋体"/>
          <w:b/>
          <w:bCs/>
          <w:color w:val="auto"/>
          <w:kern w:val="2"/>
          <w:sz w:val="24"/>
          <w:szCs w:val="28"/>
          <w:highlight w:val="none"/>
          <w:lang w:val="en-US" w:eastAsia="zh-CN" w:bidi="ar-SA"/>
        </w:rPr>
        <w:t>47.政府采购合同融资政策</w:t>
      </w:r>
      <w:bookmarkEnd w:id="467"/>
      <w:bookmarkEnd w:id="468"/>
      <w:bookmarkEnd w:id="469"/>
      <w:bookmarkEnd w:id="470"/>
      <w:bookmarkEnd w:id="471"/>
    </w:p>
    <w:p w14:paraId="2F908697">
      <w:pPr>
        <w:pStyle w:val="40"/>
        <w:keepNext w:val="0"/>
        <w:keepLines w:val="0"/>
        <w:pageBreakBefore w:val="0"/>
        <w:widowControl w:val="0"/>
        <w:kinsoku/>
        <w:overflowPunct/>
        <w:topLinePunct w:val="0"/>
        <w:autoSpaceDE/>
        <w:autoSpaceDN/>
        <w:bidi w:val="0"/>
        <w:adjustRightInd/>
        <w:textAlignment w:val="auto"/>
        <w:rPr>
          <w:rFonts w:hint="eastAsia" w:eastAsia="宋体"/>
          <w:color w:val="auto"/>
          <w:sz w:val="24"/>
          <w:highlight w:val="none"/>
        </w:rPr>
      </w:pPr>
      <w:r>
        <w:rPr>
          <w:rFonts w:hint="eastAsia" w:eastAsia="宋体"/>
          <w:color w:val="auto"/>
          <w:sz w:val="24"/>
          <w:highlight w:val="none"/>
        </w:rPr>
        <w:t>4</w:t>
      </w:r>
      <w:r>
        <w:rPr>
          <w:rFonts w:hint="eastAsia" w:eastAsia="宋体"/>
          <w:color w:val="auto"/>
          <w:sz w:val="24"/>
          <w:highlight w:val="none"/>
          <w:lang w:val="en-US" w:eastAsia="zh-CN"/>
        </w:rPr>
        <w:t>7</w:t>
      </w:r>
      <w:r>
        <w:rPr>
          <w:rFonts w:eastAsia="宋体"/>
          <w:color w:val="auto"/>
          <w:sz w:val="24"/>
          <w:highlight w:val="none"/>
        </w:rPr>
        <w:t>.</w:t>
      </w:r>
      <w:r>
        <w:rPr>
          <w:rFonts w:hint="eastAsia" w:eastAsia="宋体"/>
          <w:color w:val="auto"/>
          <w:sz w:val="24"/>
          <w:highlight w:val="none"/>
        </w:rPr>
        <w:t>1政府采购合同融资政策：见投标人须知前附表。</w:t>
      </w:r>
    </w:p>
    <w:p w14:paraId="198FC626">
      <w:pPr>
        <w:pStyle w:val="4"/>
        <w:keepNext w:val="0"/>
        <w:keepLines w:val="0"/>
        <w:pageBreakBefore w:val="0"/>
        <w:widowControl w:val="0"/>
        <w:numPr>
          <w:ilvl w:val="0"/>
          <w:numId w:val="0"/>
        </w:numPr>
        <w:kinsoku/>
        <w:wordWrap/>
        <w:overflowPunct/>
        <w:topLinePunct w:val="0"/>
        <w:autoSpaceDE/>
        <w:autoSpaceDN/>
        <w:bidi w:val="0"/>
        <w:adjustRightInd/>
        <w:snapToGrid/>
        <w:spacing w:before="100" w:after="100" w:line="240" w:lineRule="auto"/>
        <w:ind w:left="420" w:leftChars="0" w:hanging="420" w:firstLineChars="0"/>
        <w:textAlignment w:val="auto"/>
        <w:rPr>
          <w:rFonts w:hint="eastAsia" w:ascii="宋体" w:hAnsi="宋体" w:eastAsia="宋体" w:cstheme="minorBidi"/>
          <w:b/>
          <w:bCs/>
          <w:color w:val="auto"/>
          <w:kern w:val="2"/>
          <w:sz w:val="24"/>
          <w:szCs w:val="32"/>
          <w:highlight w:val="none"/>
          <w:lang w:val="en-US" w:eastAsia="zh-CN" w:bidi="ar-SA"/>
        </w:rPr>
      </w:pPr>
      <w:bookmarkStart w:id="472" w:name="_Toc2385"/>
      <w:bookmarkStart w:id="473" w:name="_Toc14730"/>
      <w:bookmarkStart w:id="474" w:name="_Toc28029"/>
      <w:bookmarkStart w:id="475" w:name="_Toc29894"/>
      <w:bookmarkStart w:id="476" w:name="_Toc163492881"/>
      <w:r>
        <w:rPr>
          <w:rFonts w:hint="eastAsia" w:ascii="宋体" w:hAnsi="宋体" w:eastAsia="宋体" w:cstheme="minorBidi"/>
          <w:b/>
          <w:bCs/>
          <w:color w:val="auto"/>
          <w:kern w:val="2"/>
          <w:sz w:val="24"/>
          <w:szCs w:val="32"/>
          <w:highlight w:val="none"/>
          <w:lang w:val="en-US" w:eastAsia="zh-CN" w:bidi="ar-SA"/>
        </w:rPr>
        <w:t>（十五）其他</w:t>
      </w:r>
      <w:bookmarkEnd w:id="472"/>
      <w:bookmarkEnd w:id="473"/>
      <w:bookmarkEnd w:id="474"/>
      <w:bookmarkEnd w:id="475"/>
      <w:bookmarkEnd w:id="476"/>
    </w:p>
    <w:p w14:paraId="370F802C">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color w:val="auto"/>
          <w:kern w:val="2"/>
          <w:sz w:val="24"/>
          <w:szCs w:val="28"/>
          <w:highlight w:val="none"/>
          <w:lang w:val="en-US" w:eastAsia="zh-CN" w:bidi="ar-SA"/>
        </w:rPr>
      </w:pPr>
      <w:bookmarkStart w:id="477" w:name="_Toc15832"/>
      <w:bookmarkStart w:id="478" w:name="_Toc7838"/>
      <w:bookmarkStart w:id="479" w:name="_Toc4822"/>
      <w:bookmarkStart w:id="480" w:name="_Toc163492882"/>
      <w:bookmarkStart w:id="481" w:name="_Toc25907"/>
      <w:r>
        <w:rPr>
          <w:rFonts w:hint="eastAsia" w:ascii="宋体" w:hAnsi="宋体" w:eastAsia="宋体" w:cs="宋体"/>
          <w:b/>
          <w:bCs/>
          <w:color w:val="auto"/>
          <w:kern w:val="2"/>
          <w:sz w:val="24"/>
          <w:szCs w:val="28"/>
          <w:highlight w:val="none"/>
          <w:lang w:val="en-US" w:eastAsia="zh-CN" w:bidi="ar-SA"/>
        </w:rPr>
        <w:t>48.需要补充的其他内容</w:t>
      </w:r>
      <w:bookmarkEnd w:id="477"/>
      <w:bookmarkEnd w:id="478"/>
      <w:bookmarkEnd w:id="479"/>
      <w:bookmarkEnd w:id="480"/>
      <w:bookmarkEnd w:id="481"/>
    </w:p>
    <w:p w14:paraId="32516407">
      <w:pPr>
        <w:pStyle w:val="40"/>
        <w:keepNext w:val="0"/>
        <w:keepLines w:val="0"/>
        <w:pageBreakBefore w:val="0"/>
        <w:widowControl w:val="0"/>
        <w:kinsoku/>
        <w:overflowPunct/>
        <w:topLinePunct w:val="0"/>
        <w:autoSpaceDE/>
        <w:autoSpaceDN/>
        <w:bidi w:val="0"/>
        <w:adjustRightInd/>
        <w:textAlignment w:val="auto"/>
        <w:rPr>
          <w:rFonts w:eastAsia="宋体"/>
          <w:color w:val="auto"/>
          <w:sz w:val="24"/>
          <w:highlight w:val="none"/>
        </w:rPr>
      </w:pPr>
      <w:r>
        <w:rPr>
          <w:rFonts w:hint="eastAsia" w:eastAsia="宋体"/>
          <w:color w:val="auto"/>
          <w:sz w:val="24"/>
          <w:highlight w:val="none"/>
        </w:rPr>
        <w:t>4</w:t>
      </w:r>
      <w:r>
        <w:rPr>
          <w:rFonts w:hint="eastAsia" w:eastAsia="宋体"/>
          <w:color w:val="auto"/>
          <w:sz w:val="24"/>
          <w:highlight w:val="none"/>
          <w:lang w:val="en-US" w:eastAsia="zh-CN"/>
        </w:rPr>
        <w:t>8</w:t>
      </w:r>
      <w:r>
        <w:rPr>
          <w:rFonts w:eastAsia="宋体"/>
          <w:color w:val="auto"/>
          <w:sz w:val="24"/>
          <w:highlight w:val="none"/>
        </w:rPr>
        <w:t>.1</w:t>
      </w:r>
      <w:r>
        <w:rPr>
          <w:rFonts w:hint="eastAsia" w:eastAsia="宋体"/>
          <w:color w:val="auto"/>
          <w:sz w:val="24"/>
          <w:highlight w:val="none"/>
        </w:rPr>
        <w:t>需要补充的其他内容：见投标人须知前附表。</w:t>
      </w:r>
    </w:p>
    <w:p w14:paraId="1BD29CBA">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color w:val="auto"/>
          <w:kern w:val="2"/>
          <w:sz w:val="24"/>
          <w:szCs w:val="28"/>
          <w:highlight w:val="none"/>
          <w:lang w:val="en-US" w:eastAsia="zh-CN" w:bidi="ar-SA"/>
        </w:rPr>
      </w:pPr>
      <w:bookmarkStart w:id="482" w:name="_Toc163492883"/>
      <w:bookmarkStart w:id="483" w:name="_Toc5587"/>
      <w:bookmarkStart w:id="484" w:name="_Toc140132810"/>
      <w:bookmarkStart w:id="485" w:name="_Toc16633"/>
      <w:bookmarkStart w:id="486" w:name="_Toc4492"/>
      <w:bookmarkStart w:id="487" w:name="_Toc155185886"/>
      <w:bookmarkStart w:id="488" w:name="_Toc5942"/>
      <w:r>
        <w:rPr>
          <w:rFonts w:hint="eastAsia" w:ascii="宋体" w:hAnsi="宋体" w:eastAsia="宋体" w:cs="宋体"/>
          <w:b/>
          <w:bCs/>
          <w:color w:val="auto"/>
          <w:kern w:val="2"/>
          <w:sz w:val="24"/>
          <w:szCs w:val="28"/>
          <w:highlight w:val="none"/>
          <w:lang w:val="en-US" w:eastAsia="zh-CN" w:bidi="ar-SA"/>
        </w:rPr>
        <w:t>49.适用法律</w:t>
      </w:r>
      <w:bookmarkEnd w:id="482"/>
      <w:bookmarkEnd w:id="483"/>
      <w:bookmarkEnd w:id="484"/>
      <w:bookmarkEnd w:id="485"/>
      <w:bookmarkEnd w:id="486"/>
      <w:bookmarkEnd w:id="487"/>
      <w:bookmarkEnd w:id="488"/>
    </w:p>
    <w:p w14:paraId="0953B8AD">
      <w:pPr>
        <w:pStyle w:val="40"/>
        <w:keepNext w:val="0"/>
        <w:keepLines w:val="0"/>
        <w:pageBreakBefore w:val="0"/>
        <w:widowControl w:val="0"/>
        <w:kinsoku/>
        <w:overflowPunct/>
        <w:topLinePunct w:val="0"/>
        <w:autoSpaceDE/>
        <w:autoSpaceDN/>
        <w:bidi w:val="0"/>
        <w:adjustRightInd/>
        <w:textAlignment w:val="auto"/>
        <w:rPr>
          <w:rFonts w:eastAsia="宋体"/>
          <w:snapToGrid w:val="0"/>
          <w:color w:val="auto"/>
          <w:sz w:val="24"/>
          <w:highlight w:val="none"/>
        </w:rPr>
      </w:pPr>
      <w:r>
        <w:rPr>
          <w:rFonts w:hint="eastAsia" w:eastAsia="宋体"/>
          <w:snapToGrid w:val="0"/>
          <w:color w:val="auto"/>
          <w:sz w:val="24"/>
          <w:highlight w:val="none"/>
          <w:lang w:val="en-US" w:eastAsia="zh-CN"/>
        </w:rPr>
        <w:t>49</w:t>
      </w:r>
      <w:r>
        <w:rPr>
          <w:rFonts w:eastAsia="宋体"/>
          <w:snapToGrid w:val="0"/>
          <w:color w:val="auto"/>
          <w:sz w:val="24"/>
          <w:highlight w:val="none"/>
        </w:rPr>
        <w:t>.1</w:t>
      </w:r>
      <w:r>
        <w:rPr>
          <w:rFonts w:hint="eastAsia" w:eastAsia="宋体"/>
          <w:snapToGrid w:val="0"/>
          <w:color w:val="auto"/>
          <w:sz w:val="24"/>
          <w:highlight w:val="none"/>
        </w:rPr>
        <w:t>采购人、采购代理机构及投标人的一切采购活动均适用《中华人民共和国政府采购法》、《中华人民共和国政府采购法实施条例》、《政府采购货物和服务招标投标管理办法》（财政部令第87号）及相关法律法规。</w:t>
      </w:r>
    </w:p>
    <w:p w14:paraId="6AD32247">
      <w:pPr>
        <w:pStyle w:val="40"/>
        <w:keepNext w:val="0"/>
        <w:keepLines w:val="0"/>
        <w:pageBreakBefore w:val="0"/>
        <w:widowControl w:val="0"/>
        <w:kinsoku/>
        <w:overflowPunct/>
        <w:topLinePunct w:val="0"/>
        <w:autoSpaceDE/>
        <w:autoSpaceDN/>
        <w:bidi w:val="0"/>
        <w:adjustRightInd/>
        <w:textAlignment w:val="auto"/>
        <w:rPr>
          <w:rFonts w:eastAsia="宋体"/>
          <w:color w:val="auto"/>
          <w:sz w:val="24"/>
          <w:highlight w:val="none"/>
        </w:rPr>
      </w:pPr>
      <w:r>
        <w:rPr>
          <w:rFonts w:hint="eastAsia" w:eastAsia="宋体"/>
          <w:snapToGrid w:val="0"/>
          <w:color w:val="auto"/>
          <w:sz w:val="24"/>
          <w:highlight w:val="none"/>
          <w:lang w:val="en-US" w:eastAsia="zh-CN"/>
        </w:rPr>
        <w:t>49</w:t>
      </w:r>
      <w:r>
        <w:rPr>
          <w:rFonts w:eastAsia="宋体"/>
          <w:snapToGrid w:val="0"/>
          <w:color w:val="auto"/>
          <w:sz w:val="24"/>
          <w:highlight w:val="none"/>
        </w:rPr>
        <w:t>.2</w:t>
      </w:r>
      <w:r>
        <w:rPr>
          <w:rFonts w:hint="eastAsia" w:eastAsia="宋体"/>
          <w:snapToGrid w:val="0"/>
          <w:color w:val="auto"/>
          <w:sz w:val="24"/>
          <w:highlight w:val="none"/>
        </w:rPr>
        <w:t>政府采购合同的履行、违约责任和解决争议的方法等适用《中华人民共和国民法典》。</w:t>
      </w:r>
    </w:p>
    <w:p w14:paraId="468836B9">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color w:val="auto"/>
          <w:kern w:val="2"/>
          <w:sz w:val="24"/>
          <w:szCs w:val="28"/>
          <w:highlight w:val="none"/>
          <w:lang w:val="en-US" w:eastAsia="zh-CN" w:bidi="ar-SA"/>
        </w:rPr>
      </w:pPr>
      <w:bookmarkStart w:id="489" w:name="_Toc155185887"/>
      <w:bookmarkStart w:id="490" w:name="_Toc163492884"/>
      <w:bookmarkStart w:id="491" w:name="_Toc26968"/>
      <w:bookmarkStart w:id="492" w:name="_Toc26457"/>
      <w:bookmarkStart w:id="493" w:name="_Toc18236"/>
      <w:bookmarkStart w:id="494" w:name="_Toc12709"/>
      <w:r>
        <w:rPr>
          <w:rFonts w:hint="eastAsia" w:ascii="宋体" w:hAnsi="宋体" w:eastAsia="宋体" w:cs="宋体"/>
          <w:b/>
          <w:bCs/>
          <w:color w:val="auto"/>
          <w:kern w:val="2"/>
          <w:sz w:val="24"/>
          <w:szCs w:val="28"/>
          <w:highlight w:val="none"/>
          <w:lang w:val="en-US" w:eastAsia="zh-CN" w:bidi="ar-SA"/>
        </w:rPr>
        <w:t>50.解释权</w:t>
      </w:r>
      <w:bookmarkEnd w:id="489"/>
      <w:bookmarkEnd w:id="490"/>
      <w:bookmarkEnd w:id="491"/>
      <w:bookmarkEnd w:id="492"/>
      <w:bookmarkEnd w:id="493"/>
      <w:bookmarkEnd w:id="494"/>
    </w:p>
    <w:p w14:paraId="5C6D27F8">
      <w:pPr>
        <w:pStyle w:val="40"/>
        <w:keepNext w:val="0"/>
        <w:keepLines w:val="0"/>
        <w:pageBreakBefore w:val="0"/>
        <w:widowControl w:val="0"/>
        <w:kinsoku/>
        <w:overflowPunct/>
        <w:topLinePunct w:val="0"/>
        <w:autoSpaceDE/>
        <w:autoSpaceDN/>
        <w:bidi w:val="0"/>
        <w:adjustRightInd/>
        <w:textAlignment w:val="auto"/>
        <w:rPr>
          <w:rFonts w:hint="eastAsia" w:eastAsia="宋体"/>
          <w:snapToGrid w:val="0"/>
          <w:color w:val="auto"/>
          <w:sz w:val="24"/>
          <w:highlight w:val="none"/>
        </w:rPr>
      </w:pPr>
      <w:r>
        <w:rPr>
          <w:rFonts w:hint="eastAsia" w:eastAsia="宋体"/>
          <w:snapToGrid w:val="0"/>
          <w:color w:val="auto"/>
          <w:sz w:val="24"/>
          <w:highlight w:val="none"/>
          <w:lang w:val="en-US" w:eastAsia="zh-CN"/>
        </w:rPr>
        <w:t>50</w:t>
      </w:r>
      <w:r>
        <w:rPr>
          <w:rFonts w:eastAsia="宋体"/>
          <w:snapToGrid w:val="0"/>
          <w:color w:val="auto"/>
          <w:sz w:val="24"/>
          <w:highlight w:val="none"/>
        </w:rPr>
        <w:t>.</w:t>
      </w:r>
      <w:r>
        <w:rPr>
          <w:rFonts w:hint="eastAsia" w:eastAsia="宋体"/>
          <w:snapToGrid w:val="0"/>
          <w:color w:val="auto"/>
          <w:sz w:val="24"/>
          <w:highlight w:val="none"/>
        </w:rPr>
        <w:t>1本招标文件最终解释权归采购人或采购代理机构所有。</w:t>
      </w:r>
    </w:p>
    <w:p w14:paraId="70704BD1">
      <w:pPr>
        <w:pStyle w:val="2"/>
        <w:keepNext/>
        <w:keepLines/>
        <w:pageBreakBefore w:val="0"/>
        <w:widowControl w:val="0"/>
        <w:numPr>
          <w:ilvl w:val="0"/>
          <w:numId w:val="0"/>
        </w:numPr>
        <w:kinsoku/>
        <w:wordWrap/>
        <w:overflowPunct/>
        <w:topLinePunct w:val="0"/>
        <w:autoSpaceDE/>
        <w:autoSpaceDN/>
        <w:bidi w:val="0"/>
        <w:adjustRightInd/>
        <w:snapToGrid/>
        <w:spacing w:before="220" w:after="220" w:line="480" w:lineRule="auto"/>
        <w:ind w:left="420" w:leftChars="0" w:hanging="420" w:firstLineChars="0"/>
        <w:textAlignment w:val="auto"/>
        <w:rPr>
          <w:rFonts w:hint="eastAsia" w:ascii="宋体" w:hAnsi="宋体" w:eastAsia="宋体" w:cs="宋体"/>
          <w:b/>
          <w:bCs/>
          <w:color w:val="auto"/>
          <w:kern w:val="44"/>
          <w:sz w:val="36"/>
          <w:szCs w:val="36"/>
          <w:highlight w:val="none"/>
          <w:lang w:val="en-US" w:eastAsia="zh-CN" w:bidi="ar-SA"/>
        </w:rPr>
      </w:pPr>
      <w:bookmarkStart w:id="495" w:name="_Toc155185888"/>
      <w:bookmarkStart w:id="496" w:name="_Toc18413"/>
      <w:r>
        <w:rPr>
          <w:rFonts w:hint="eastAsia" w:ascii="宋体" w:hAnsi="宋体" w:eastAsia="宋体" w:cs="宋体"/>
          <w:b/>
          <w:bCs/>
          <w:color w:val="auto"/>
          <w:kern w:val="44"/>
          <w:sz w:val="36"/>
          <w:szCs w:val="36"/>
          <w:highlight w:val="none"/>
          <w:lang w:val="en-US" w:eastAsia="zh-CN" w:bidi="ar-SA"/>
        </w:rPr>
        <w:t>第三章 采购需求</w:t>
      </w:r>
      <w:bookmarkEnd w:id="495"/>
      <w:bookmarkEnd w:id="496"/>
    </w:p>
    <w:p w14:paraId="2C43F922">
      <w:pPr>
        <w:pStyle w:val="40"/>
        <w:keepNext w:val="0"/>
        <w:keepLines w:val="0"/>
        <w:pageBreakBefore w:val="0"/>
        <w:widowControl w:val="0"/>
        <w:kinsoku/>
        <w:overflowPunct/>
        <w:topLinePunct w:val="0"/>
        <w:autoSpaceDE/>
        <w:autoSpaceDN/>
        <w:bidi w:val="0"/>
        <w:adjustRightInd/>
        <w:textAlignment w:val="auto"/>
        <w:rPr>
          <w:rFonts w:hint="eastAsia"/>
          <w:b/>
          <w:bCs/>
          <w:snapToGrid w:val="0"/>
          <w:color w:val="auto"/>
          <w:sz w:val="24"/>
          <w:szCs w:val="24"/>
          <w:highlight w:val="none"/>
          <w:lang w:val="en-US" w:eastAsia="zh-CN"/>
        </w:rPr>
      </w:pPr>
      <w:bookmarkStart w:id="497" w:name="_Toc155185889"/>
      <w:bookmarkStart w:id="498" w:name="_Toc140132812"/>
      <w:r>
        <w:rPr>
          <w:rFonts w:hint="eastAsia"/>
          <w:b/>
          <w:bCs/>
          <w:snapToGrid w:val="0"/>
          <w:color w:val="auto"/>
          <w:sz w:val="24"/>
          <w:szCs w:val="24"/>
          <w:highlight w:val="none"/>
          <w:lang w:val="en-US" w:eastAsia="zh-CN"/>
        </w:rPr>
        <w:t xml:space="preserve">说明： </w:t>
      </w:r>
    </w:p>
    <w:p w14:paraId="04A97FB9">
      <w:pPr>
        <w:pStyle w:val="40"/>
        <w:keepNext w:val="0"/>
        <w:keepLines w:val="0"/>
        <w:pageBreakBefore w:val="0"/>
        <w:widowControl w:val="0"/>
        <w:kinsoku/>
        <w:overflowPunct/>
        <w:topLinePunct w:val="0"/>
        <w:autoSpaceDE/>
        <w:autoSpaceDN/>
        <w:bidi w:val="0"/>
        <w:adjustRightInd/>
        <w:textAlignment w:val="auto"/>
        <w:rPr>
          <w:rFonts w:hint="eastAsia"/>
          <w:snapToGrid w:val="0"/>
          <w:color w:val="auto"/>
          <w:sz w:val="24"/>
          <w:szCs w:val="24"/>
          <w:highlight w:val="none"/>
          <w:lang w:val="en-US" w:eastAsia="zh-CN"/>
        </w:rPr>
      </w:pPr>
      <w:r>
        <w:rPr>
          <w:rFonts w:hint="eastAsia"/>
          <w:snapToGrid w:val="0"/>
          <w:color w:val="auto"/>
          <w:sz w:val="24"/>
          <w:szCs w:val="24"/>
          <w:highlight w:val="none"/>
          <w:lang w:val="en-US" w:eastAsia="zh-CN"/>
        </w:rPr>
        <w:t>1. 当采购项目涉及数据中心相关设备、运维服务时，采购需求应当符合《绿色数据中心政府采购需求标准（试行）》（财库〔</w:t>
      </w:r>
      <w:r>
        <w:rPr>
          <w:rFonts w:hint="default"/>
          <w:snapToGrid w:val="0"/>
          <w:color w:val="auto"/>
          <w:sz w:val="24"/>
          <w:szCs w:val="24"/>
          <w:highlight w:val="none"/>
          <w:lang w:val="en-US" w:eastAsia="zh-CN"/>
        </w:rPr>
        <w:t>2023</w:t>
      </w:r>
      <w:r>
        <w:rPr>
          <w:rFonts w:hint="eastAsia"/>
          <w:snapToGrid w:val="0"/>
          <w:color w:val="auto"/>
          <w:sz w:val="24"/>
          <w:szCs w:val="24"/>
          <w:highlight w:val="none"/>
          <w:lang w:val="en-US" w:eastAsia="zh-CN"/>
        </w:rPr>
        <w:t>〕</w:t>
      </w:r>
      <w:r>
        <w:rPr>
          <w:rFonts w:hint="default"/>
          <w:snapToGrid w:val="0"/>
          <w:color w:val="auto"/>
          <w:sz w:val="24"/>
          <w:szCs w:val="24"/>
          <w:highlight w:val="none"/>
          <w:lang w:val="en-US" w:eastAsia="zh-CN"/>
        </w:rPr>
        <w:t xml:space="preserve">7 </w:t>
      </w:r>
      <w:r>
        <w:rPr>
          <w:rFonts w:hint="eastAsia"/>
          <w:snapToGrid w:val="0"/>
          <w:color w:val="auto"/>
          <w:sz w:val="24"/>
          <w:szCs w:val="24"/>
          <w:highlight w:val="none"/>
          <w:lang w:val="en-US" w:eastAsia="zh-CN"/>
        </w:rPr>
        <w:t xml:space="preserve">号）的有关要求。 </w:t>
      </w:r>
    </w:p>
    <w:p w14:paraId="19609329">
      <w:pPr>
        <w:pStyle w:val="40"/>
        <w:keepNext w:val="0"/>
        <w:keepLines w:val="0"/>
        <w:pageBreakBefore w:val="0"/>
        <w:widowControl w:val="0"/>
        <w:kinsoku/>
        <w:overflowPunct/>
        <w:topLinePunct w:val="0"/>
        <w:autoSpaceDE/>
        <w:autoSpaceDN/>
        <w:bidi w:val="0"/>
        <w:adjustRightInd/>
        <w:spacing w:line="360" w:lineRule="auto"/>
        <w:textAlignment w:val="auto"/>
        <w:rPr>
          <w:rFonts w:hint="eastAsia"/>
          <w:snapToGrid w:val="0"/>
          <w:color w:val="auto"/>
          <w:sz w:val="24"/>
          <w:szCs w:val="24"/>
          <w:highlight w:val="none"/>
          <w:lang w:val="en-US" w:eastAsia="zh-CN"/>
        </w:rPr>
      </w:pPr>
      <w:r>
        <w:rPr>
          <w:rFonts w:hint="default"/>
          <w:snapToGrid w:val="0"/>
          <w:color w:val="auto"/>
          <w:sz w:val="24"/>
          <w:szCs w:val="24"/>
          <w:highlight w:val="none"/>
          <w:lang w:val="en-US" w:eastAsia="zh-CN"/>
        </w:rPr>
        <w:t xml:space="preserve">2. </w:t>
      </w:r>
      <w:r>
        <w:rPr>
          <w:rFonts w:hint="eastAsia"/>
          <w:snapToGrid w:val="0"/>
          <w:color w:val="auto"/>
          <w:sz w:val="24"/>
          <w:szCs w:val="24"/>
          <w:highlight w:val="none"/>
          <w:lang w:val="en-US" w:eastAsia="zh-CN"/>
        </w:rPr>
        <w:t>当采购项目涉及政务信息系统时，采购需求应当符合《政务信息系统政府采购管理暂行办法》（财库〔</w:t>
      </w:r>
      <w:r>
        <w:rPr>
          <w:rFonts w:hint="default"/>
          <w:snapToGrid w:val="0"/>
          <w:color w:val="auto"/>
          <w:sz w:val="24"/>
          <w:szCs w:val="24"/>
          <w:highlight w:val="none"/>
          <w:lang w:val="en-US" w:eastAsia="zh-CN"/>
        </w:rPr>
        <w:t>2017</w:t>
      </w:r>
      <w:r>
        <w:rPr>
          <w:rFonts w:hint="eastAsia"/>
          <w:snapToGrid w:val="0"/>
          <w:color w:val="auto"/>
          <w:sz w:val="24"/>
          <w:szCs w:val="24"/>
          <w:highlight w:val="none"/>
          <w:lang w:val="en-US" w:eastAsia="zh-CN"/>
        </w:rPr>
        <w:t>〕</w:t>
      </w:r>
      <w:r>
        <w:rPr>
          <w:rFonts w:hint="default"/>
          <w:snapToGrid w:val="0"/>
          <w:color w:val="auto"/>
          <w:sz w:val="24"/>
          <w:szCs w:val="24"/>
          <w:highlight w:val="none"/>
          <w:lang w:val="en-US" w:eastAsia="zh-CN"/>
        </w:rPr>
        <w:t xml:space="preserve">210 </w:t>
      </w:r>
      <w:r>
        <w:rPr>
          <w:rFonts w:hint="eastAsia"/>
          <w:snapToGrid w:val="0"/>
          <w:color w:val="auto"/>
          <w:sz w:val="24"/>
          <w:szCs w:val="24"/>
          <w:highlight w:val="none"/>
          <w:lang w:val="en-US" w:eastAsia="zh-CN"/>
        </w:rPr>
        <w:t xml:space="preserve">号）的相关要求。 </w:t>
      </w:r>
    </w:p>
    <w:p w14:paraId="74BCECBF">
      <w:pPr>
        <w:pStyle w:val="3"/>
        <w:bidi w:val="0"/>
        <w:spacing w:before="0" w:after="0" w:line="360" w:lineRule="auto"/>
        <w:rPr>
          <w:rFonts w:hint="eastAsia"/>
          <w:sz w:val="28"/>
          <w:szCs w:val="28"/>
          <w:lang w:val="en-US" w:eastAsia="zh-CN"/>
        </w:rPr>
      </w:pPr>
      <w:bookmarkStart w:id="499" w:name="_Toc2251"/>
      <w:r>
        <w:rPr>
          <w:rFonts w:hint="eastAsia"/>
          <w:sz w:val="28"/>
          <w:szCs w:val="28"/>
          <w:lang w:val="en-US" w:eastAsia="zh-CN"/>
        </w:rPr>
        <w:t>一、采购标的</w:t>
      </w:r>
      <w:bookmarkEnd w:id="499"/>
      <w:r>
        <w:rPr>
          <w:rFonts w:hint="eastAsia"/>
          <w:sz w:val="28"/>
          <w:szCs w:val="28"/>
          <w:lang w:val="en-US" w:eastAsia="zh-CN"/>
        </w:rPr>
        <w:t xml:space="preserve"> </w:t>
      </w:r>
    </w:p>
    <w:p w14:paraId="3E57EDE4">
      <w:pPr>
        <w:pStyle w:val="40"/>
        <w:keepNext w:val="0"/>
        <w:keepLines w:val="0"/>
        <w:pageBreakBefore w:val="0"/>
        <w:widowControl w:val="0"/>
        <w:kinsoku/>
        <w:overflowPunct/>
        <w:topLinePunct w:val="0"/>
        <w:autoSpaceDE/>
        <w:autoSpaceDN/>
        <w:bidi w:val="0"/>
        <w:adjustRightInd/>
        <w:spacing w:line="360" w:lineRule="auto"/>
        <w:textAlignment w:val="auto"/>
        <w:rPr>
          <w:rFonts w:hint="eastAsia"/>
          <w:snapToGrid w:val="0"/>
          <w:color w:val="auto"/>
          <w:sz w:val="24"/>
          <w:szCs w:val="24"/>
          <w:highlight w:val="none"/>
          <w:lang w:val="en-US" w:eastAsia="zh-CN"/>
        </w:rPr>
      </w:pPr>
      <w:r>
        <w:rPr>
          <w:rFonts w:hint="default"/>
          <w:snapToGrid w:val="0"/>
          <w:color w:val="auto"/>
          <w:sz w:val="24"/>
          <w:szCs w:val="24"/>
          <w:highlight w:val="none"/>
          <w:lang w:val="en-US" w:eastAsia="zh-CN"/>
        </w:rPr>
        <w:t xml:space="preserve">1. </w:t>
      </w:r>
      <w:r>
        <w:rPr>
          <w:rFonts w:hint="eastAsia"/>
          <w:snapToGrid w:val="0"/>
          <w:color w:val="auto"/>
          <w:sz w:val="24"/>
          <w:szCs w:val="24"/>
          <w:highlight w:val="none"/>
          <w:lang w:val="en-US" w:eastAsia="zh-CN"/>
        </w:rPr>
        <w:t xml:space="preserve">采购标的（货物需求一览表或简要服务内容及数量） </w:t>
      </w:r>
    </w:p>
    <w:tbl>
      <w:tblPr>
        <w:tblStyle w:val="31"/>
        <w:tblpPr w:leftFromText="180" w:rightFromText="180" w:vertAnchor="text" w:horzAnchor="page" w:tblpX="1786" w:tblpY="622"/>
        <w:tblOverlap w:val="never"/>
        <w:tblW w:w="4998"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566"/>
        <w:gridCol w:w="904"/>
        <w:gridCol w:w="2242"/>
        <w:gridCol w:w="1339"/>
        <w:gridCol w:w="1154"/>
        <w:gridCol w:w="1156"/>
        <w:gridCol w:w="1158"/>
      </w:tblGrid>
      <w:tr w14:paraId="1B2D7B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7" w:hRule="atLeast"/>
        </w:trPr>
        <w:tc>
          <w:tcPr>
            <w:tcW w:w="332" w:type="pct"/>
            <w:vMerge w:val="restart"/>
            <w:noWrap w:val="0"/>
            <w:vAlign w:val="center"/>
          </w:tcPr>
          <w:p w14:paraId="5CFFECB4">
            <w:pPr>
              <w:jc w:val="center"/>
              <w:rPr>
                <w:rFonts w:hint="eastAsia" w:ascii="宋体" w:hAnsi="宋体" w:eastAsia="宋体" w:cs="宋体"/>
                <w:sz w:val="21"/>
                <w:szCs w:val="21"/>
              </w:rPr>
            </w:pPr>
            <w:r>
              <w:rPr>
                <w:rFonts w:hint="eastAsia" w:ascii="宋体" w:hAnsi="宋体" w:eastAsia="宋体" w:cs="宋体"/>
                <w:sz w:val="21"/>
                <w:szCs w:val="21"/>
              </w:rPr>
              <w:t>序号</w:t>
            </w:r>
          </w:p>
        </w:tc>
        <w:tc>
          <w:tcPr>
            <w:tcW w:w="530" w:type="pct"/>
            <w:vMerge w:val="restart"/>
            <w:noWrap w:val="0"/>
            <w:vAlign w:val="center"/>
          </w:tcPr>
          <w:p w14:paraId="09DD114B">
            <w:pPr>
              <w:jc w:val="center"/>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包号</w:t>
            </w:r>
          </w:p>
        </w:tc>
        <w:tc>
          <w:tcPr>
            <w:tcW w:w="1315" w:type="pct"/>
            <w:vMerge w:val="restart"/>
            <w:noWrap w:val="0"/>
            <w:vAlign w:val="center"/>
          </w:tcPr>
          <w:p w14:paraId="536C443C">
            <w:pPr>
              <w:jc w:val="center"/>
              <w:rPr>
                <w:rFonts w:hint="default" w:ascii="宋体" w:hAnsi="宋体" w:eastAsia="宋体" w:cs="宋体"/>
                <w:sz w:val="21"/>
                <w:szCs w:val="21"/>
                <w:highlight w:val="none"/>
                <w:lang w:val="en-US" w:eastAsia="zh-CN"/>
              </w:rPr>
            </w:pPr>
            <w:r>
              <w:rPr>
                <w:rFonts w:hint="eastAsia" w:cs="宋体"/>
                <w:snapToGrid w:val="0"/>
                <w:color w:val="auto"/>
                <w:sz w:val="21"/>
                <w:szCs w:val="21"/>
                <w:highlight w:val="none"/>
                <w:lang w:val="en-US" w:eastAsia="zh-CN"/>
              </w:rPr>
              <w:t>产品名称</w:t>
            </w:r>
          </w:p>
        </w:tc>
        <w:tc>
          <w:tcPr>
            <w:tcW w:w="785" w:type="pct"/>
            <w:vMerge w:val="restart"/>
            <w:noWrap w:val="0"/>
            <w:vAlign w:val="center"/>
          </w:tcPr>
          <w:p w14:paraId="5F995294">
            <w:pPr>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数量</w:t>
            </w:r>
          </w:p>
        </w:tc>
        <w:tc>
          <w:tcPr>
            <w:tcW w:w="1355" w:type="pct"/>
            <w:gridSpan w:val="2"/>
            <w:noWrap w:val="0"/>
            <w:vAlign w:val="center"/>
          </w:tcPr>
          <w:p w14:paraId="1E65E857">
            <w:pPr>
              <w:jc w:val="center"/>
              <w:rPr>
                <w:rFonts w:hint="eastAsia" w:ascii="宋体" w:hAnsi="宋体" w:eastAsia="宋体" w:cs="宋体"/>
                <w:snapToGrid w:val="0"/>
                <w:color w:val="auto"/>
                <w:sz w:val="21"/>
                <w:szCs w:val="21"/>
                <w:highlight w:val="none"/>
                <w:lang w:val="en-US" w:eastAsia="zh-CN"/>
              </w:rPr>
            </w:pPr>
            <w:r>
              <w:rPr>
                <w:rFonts w:hint="eastAsia" w:cs="宋体"/>
                <w:sz w:val="21"/>
                <w:szCs w:val="21"/>
                <w:highlight w:val="none"/>
                <w:lang w:val="en-US" w:eastAsia="zh-CN"/>
              </w:rPr>
              <w:t>最高限价（万元）</w:t>
            </w:r>
          </w:p>
        </w:tc>
        <w:tc>
          <w:tcPr>
            <w:tcW w:w="679" w:type="pct"/>
            <w:vMerge w:val="restart"/>
            <w:shd w:val="clear" w:color="auto" w:fill="auto"/>
            <w:noWrap w:val="0"/>
            <w:vAlign w:val="center"/>
          </w:tcPr>
          <w:p w14:paraId="75E070EC">
            <w:pPr>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napToGrid w:val="0"/>
                <w:color w:val="auto"/>
                <w:sz w:val="21"/>
                <w:szCs w:val="21"/>
                <w:highlight w:val="none"/>
                <w:lang w:val="en-US" w:eastAsia="zh-CN"/>
              </w:rPr>
              <w:t>是否接受进口产品</w:t>
            </w:r>
          </w:p>
        </w:tc>
      </w:tr>
      <w:tr w14:paraId="220474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7" w:hRule="atLeast"/>
        </w:trPr>
        <w:tc>
          <w:tcPr>
            <w:tcW w:w="332" w:type="pct"/>
            <w:vMerge w:val="continue"/>
            <w:noWrap w:val="0"/>
            <w:vAlign w:val="center"/>
          </w:tcPr>
          <w:p w14:paraId="2CE6C253">
            <w:pPr>
              <w:jc w:val="center"/>
              <w:rPr>
                <w:rFonts w:hint="eastAsia" w:ascii="宋体" w:hAnsi="宋体" w:eastAsia="宋体" w:cs="宋体"/>
                <w:sz w:val="21"/>
                <w:szCs w:val="21"/>
                <w:lang w:eastAsia="zh-CN"/>
              </w:rPr>
            </w:pPr>
          </w:p>
        </w:tc>
        <w:tc>
          <w:tcPr>
            <w:tcW w:w="530" w:type="pct"/>
            <w:vMerge w:val="continue"/>
            <w:noWrap w:val="0"/>
            <w:vAlign w:val="center"/>
          </w:tcPr>
          <w:p w14:paraId="7232C30A">
            <w:pPr>
              <w:jc w:val="center"/>
              <w:rPr>
                <w:rFonts w:hint="eastAsia" w:ascii="宋体" w:hAnsi="宋体" w:eastAsia="宋体" w:cs="宋体"/>
                <w:sz w:val="21"/>
                <w:szCs w:val="21"/>
                <w:highlight w:val="none"/>
                <w:lang w:val="en-US" w:eastAsia="zh-CN"/>
              </w:rPr>
            </w:pPr>
          </w:p>
        </w:tc>
        <w:tc>
          <w:tcPr>
            <w:tcW w:w="1315" w:type="pct"/>
            <w:vMerge w:val="continue"/>
            <w:noWrap w:val="0"/>
            <w:vAlign w:val="center"/>
          </w:tcPr>
          <w:p w14:paraId="6A69618E">
            <w:pPr>
              <w:jc w:val="center"/>
              <w:rPr>
                <w:rFonts w:hint="default" w:ascii="宋体" w:hAnsi="宋体" w:eastAsia="宋体" w:cs="宋体"/>
                <w:sz w:val="21"/>
                <w:szCs w:val="21"/>
                <w:highlight w:val="none"/>
                <w:lang w:val="en-US" w:eastAsia="zh-CN"/>
              </w:rPr>
            </w:pPr>
          </w:p>
        </w:tc>
        <w:tc>
          <w:tcPr>
            <w:tcW w:w="785" w:type="pct"/>
            <w:vMerge w:val="continue"/>
            <w:noWrap w:val="0"/>
            <w:vAlign w:val="center"/>
          </w:tcPr>
          <w:p w14:paraId="3346DCD6">
            <w:pPr>
              <w:jc w:val="center"/>
              <w:rPr>
                <w:rFonts w:hint="default" w:ascii="宋体" w:hAnsi="宋体" w:eastAsia="宋体" w:cs="宋体"/>
                <w:sz w:val="21"/>
                <w:szCs w:val="21"/>
                <w:highlight w:val="none"/>
                <w:lang w:val="en-US" w:eastAsia="zh-CN"/>
              </w:rPr>
            </w:pPr>
          </w:p>
        </w:tc>
        <w:tc>
          <w:tcPr>
            <w:tcW w:w="677" w:type="pct"/>
            <w:noWrap w:val="0"/>
            <w:vAlign w:val="center"/>
          </w:tcPr>
          <w:p w14:paraId="3C35FF4B">
            <w:pPr>
              <w:jc w:val="center"/>
              <w:rPr>
                <w:rFonts w:hint="default" w:ascii="宋体" w:hAnsi="宋体" w:eastAsia="宋体" w:cs="宋体"/>
                <w:sz w:val="21"/>
                <w:szCs w:val="21"/>
                <w:highlight w:val="none"/>
                <w:lang w:val="en-US" w:eastAsia="zh-CN"/>
              </w:rPr>
            </w:pPr>
            <w:r>
              <w:rPr>
                <w:rFonts w:hint="eastAsia" w:cs="宋体"/>
                <w:sz w:val="21"/>
                <w:szCs w:val="21"/>
                <w:highlight w:val="none"/>
                <w:lang w:val="en-US" w:eastAsia="zh-CN"/>
              </w:rPr>
              <w:t>单价</w:t>
            </w:r>
          </w:p>
        </w:tc>
        <w:tc>
          <w:tcPr>
            <w:tcW w:w="678" w:type="pct"/>
            <w:noWrap w:val="0"/>
            <w:vAlign w:val="center"/>
          </w:tcPr>
          <w:p w14:paraId="01B5BFB7">
            <w:pPr>
              <w:jc w:val="center"/>
              <w:rPr>
                <w:rFonts w:hint="default" w:ascii="宋体" w:hAnsi="宋体" w:eastAsia="宋体" w:cs="宋体"/>
                <w:sz w:val="21"/>
                <w:szCs w:val="21"/>
                <w:highlight w:val="none"/>
                <w:lang w:val="en-US" w:eastAsia="zh-CN"/>
              </w:rPr>
            </w:pPr>
            <w:r>
              <w:rPr>
                <w:rFonts w:hint="eastAsia" w:cs="宋体"/>
                <w:sz w:val="21"/>
                <w:szCs w:val="21"/>
                <w:highlight w:val="none"/>
                <w:lang w:val="en-US" w:eastAsia="zh-CN"/>
              </w:rPr>
              <w:t>总价</w:t>
            </w:r>
          </w:p>
        </w:tc>
        <w:tc>
          <w:tcPr>
            <w:tcW w:w="679" w:type="pct"/>
            <w:vMerge w:val="continue"/>
            <w:shd w:val="clear" w:color="auto" w:fill="auto"/>
            <w:noWrap w:val="0"/>
            <w:vAlign w:val="center"/>
          </w:tcPr>
          <w:p w14:paraId="01D71929">
            <w:pPr>
              <w:jc w:val="center"/>
              <w:rPr>
                <w:rFonts w:hint="eastAsia" w:ascii="宋体" w:hAnsi="宋体" w:eastAsia="宋体" w:cs="宋体"/>
                <w:kern w:val="2"/>
                <w:sz w:val="21"/>
                <w:szCs w:val="21"/>
                <w:highlight w:val="none"/>
                <w:lang w:val="en-US" w:eastAsia="zh-CN" w:bidi="ar-SA"/>
              </w:rPr>
            </w:pPr>
          </w:p>
        </w:tc>
      </w:tr>
      <w:tr w14:paraId="023E70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7" w:hRule="atLeast"/>
        </w:trPr>
        <w:tc>
          <w:tcPr>
            <w:tcW w:w="332" w:type="pct"/>
            <w:noWrap w:val="0"/>
            <w:vAlign w:val="center"/>
          </w:tcPr>
          <w:p w14:paraId="3BC3FD02">
            <w:pPr>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w:t>
            </w:r>
          </w:p>
        </w:tc>
        <w:tc>
          <w:tcPr>
            <w:tcW w:w="530" w:type="pct"/>
            <w:shd w:val="clear" w:color="auto" w:fill="auto"/>
            <w:noWrap w:val="0"/>
            <w:vAlign w:val="center"/>
          </w:tcPr>
          <w:p w14:paraId="4495FE9B">
            <w:pPr>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lang w:val="en-US" w:eastAsia="zh-CN"/>
              </w:rPr>
              <w:t>/</w:t>
            </w:r>
          </w:p>
        </w:tc>
        <w:tc>
          <w:tcPr>
            <w:tcW w:w="1315" w:type="pct"/>
            <w:shd w:val="clear" w:color="auto" w:fill="auto"/>
            <w:noWrap w:val="0"/>
            <w:vAlign w:val="center"/>
          </w:tcPr>
          <w:p w14:paraId="457CC139">
            <w:pPr>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X线正电子发射断层扫描仪（PET-CT）</w:t>
            </w:r>
          </w:p>
        </w:tc>
        <w:tc>
          <w:tcPr>
            <w:tcW w:w="785" w:type="pct"/>
            <w:shd w:val="clear" w:color="auto" w:fill="auto"/>
            <w:noWrap w:val="0"/>
            <w:vAlign w:val="center"/>
          </w:tcPr>
          <w:p w14:paraId="654C1A5E">
            <w:pPr>
              <w:jc w:val="center"/>
              <w:rPr>
                <w:rFonts w:hint="eastAsia" w:ascii="宋体" w:hAnsi="宋体" w:eastAsia="宋体" w:cs="宋体"/>
                <w:kern w:val="2"/>
                <w:sz w:val="21"/>
                <w:szCs w:val="21"/>
                <w:highlight w:val="none"/>
                <w:lang w:val="en-US" w:eastAsia="zh-CN" w:bidi="ar-SA"/>
              </w:rPr>
            </w:pPr>
            <w:r>
              <w:rPr>
                <w:rFonts w:hint="eastAsia" w:cs="宋体"/>
                <w:sz w:val="21"/>
                <w:szCs w:val="21"/>
                <w:highlight w:val="none"/>
                <w:lang w:val="en-US" w:eastAsia="zh-CN"/>
              </w:rPr>
              <w:t>1</w:t>
            </w:r>
            <w:r>
              <w:rPr>
                <w:rFonts w:hint="eastAsia" w:ascii="宋体" w:hAnsi="宋体" w:eastAsia="宋体" w:cs="宋体"/>
                <w:sz w:val="21"/>
                <w:szCs w:val="21"/>
                <w:highlight w:val="none"/>
                <w:lang w:val="en-US" w:eastAsia="zh-CN"/>
              </w:rPr>
              <w:t>套</w:t>
            </w:r>
          </w:p>
        </w:tc>
        <w:tc>
          <w:tcPr>
            <w:tcW w:w="677" w:type="pct"/>
            <w:noWrap w:val="0"/>
            <w:vAlign w:val="center"/>
          </w:tcPr>
          <w:p w14:paraId="3E7A0D93">
            <w:pPr>
              <w:jc w:val="center"/>
              <w:rPr>
                <w:rFonts w:hint="default" w:ascii="宋体" w:hAnsi="宋体" w:eastAsia="宋体" w:cs="宋体"/>
                <w:sz w:val="21"/>
                <w:szCs w:val="21"/>
                <w:highlight w:val="none"/>
                <w:lang w:val="en-US" w:eastAsia="zh-CN"/>
              </w:rPr>
            </w:pPr>
            <w:r>
              <w:rPr>
                <w:rFonts w:hint="eastAsia" w:cs="宋体"/>
                <w:sz w:val="21"/>
                <w:szCs w:val="21"/>
                <w:highlight w:val="none"/>
                <w:lang w:val="en-US" w:eastAsia="zh-CN"/>
              </w:rPr>
              <w:t>2600</w:t>
            </w:r>
          </w:p>
        </w:tc>
        <w:tc>
          <w:tcPr>
            <w:tcW w:w="678" w:type="pct"/>
            <w:noWrap w:val="0"/>
            <w:vAlign w:val="center"/>
          </w:tcPr>
          <w:p w14:paraId="3B694C86">
            <w:pPr>
              <w:jc w:val="center"/>
              <w:rPr>
                <w:rFonts w:hint="default" w:ascii="宋体" w:hAnsi="宋体" w:eastAsia="宋体" w:cs="宋体"/>
                <w:sz w:val="21"/>
                <w:szCs w:val="21"/>
                <w:highlight w:val="none"/>
                <w:lang w:val="en-US" w:eastAsia="zh-CN"/>
              </w:rPr>
            </w:pPr>
            <w:r>
              <w:rPr>
                <w:rFonts w:hint="eastAsia" w:cs="宋体"/>
                <w:sz w:val="21"/>
                <w:szCs w:val="21"/>
                <w:highlight w:val="none"/>
                <w:lang w:val="en-US" w:eastAsia="zh-CN"/>
              </w:rPr>
              <w:t>2600</w:t>
            </w:r>
          </w:p>
        </w:tc>
        <w:tc>
          <w:tcPr>
            <w:tcW w:w="679" w:type="pct"/>
            <w:noWrap w:val="0"/>
            <w:vAlign w:val="center"/>
          </w:tcPr>
          <w:p w14:paraId="23115866">
            <w:pPr>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否</w:t>
            </w:r>
          </w:p>
        </w:tc>
      </w:tr>
    </w:tbl>
    <w:p w14:paraId="5D3DB5DF">
      <w:pPr>
        <w:pStyle w:val="40"/>
        <w:keepNext w:val="0"/>
        <w:keepLines w:val="0"/>
        <w:pageBreakBefore w:val="0"/>
        <w:widowControl w:val="0"/>
        <w:kinsoku/>
        <w:overflowPunct/>
        <w:topLinePunct w:val="0"/>
        <w:autoSpaceDE/>
        <w:autoSpaceDN/>
        <w:bidi w:val="0"/>
        <w:adjustRightInd/>
        <w:textAlignment w:val="auto"/>
        <w:rPr>
          <w:rFonts w:hint="default"/>
          <w:snapToGrid w:val="0"/>
          <w:color w:val="auto"/>
          <w:sz w:val="24"/>
          <w:szCs w:val="24"/>
          <w:highlight w:val="none"/>
          <w:lang w:val="en-US" w:eastAsia="zh-CN"/>
        </w:rPr>
      </w:pPr>
    </w:p>
    <w:p w14:paraId="2DE21D0D">
      <w:pPr>
        <w:pStyle w:val="40"/>
        <w:keepNext w:val="0"/>
        <w:keepLines w:val="0"/>
        <w:pageBreakBefore w:val="0"/>
        <w:widowControl w:val="0"/>
        <w:kinsoku/>
        <w:overflowPunct/>
        <w:topLinePunct w:val="0"/>
        <w:autoSpaceDE/>
        <w:autoSpaceDN/>
        <w:bidi w:val="0"/>
        <w:adjustRightInd/>
        <w:textAlignment w:val="auto"/>
        <w:rPr>
          <w:rFonts w:hint="default"/>
          <w:snapToGrid w:val="0"/>
          <w:color w:val="auto"/>
          <w:sz w:val="24"/>
          <w:szCs w:val="24"/>
          <w:highlight w:val="none"/>
          <w:lang w:val="en-US" w:eastAsia="zh-CN"/>
        </w:rPr>
      </w:pPr>
    </w:p>
    <w:p w14:paraId="6D523F8D">
      <w:pPr>
        <w:pStyle w:val="3"/>
        <w:bidi w:val="0"/>
        <w:spacing w:before="0" w:after="0" w:line="360" w:lineRule="auto"/>
        <w:rPr>
          <w:rFonts w:hint="eastAsia"/>
          <w:sz w:val="24"/>
          <w:szCs w:val="24"/>
          <w:highlight w:val="none"/>
          <w:lang w:val="en-US" w:eastAsia="zh-CN"/>
        </w:rPr>
      </w:pPr>
      <w:bookmarkStart w:id="500" w:name="_Toc17598"/>
      <w:r>
        <w:rPr>
          <w:rFonts w:hint="eastAsia"/>
          <w:sz w:val="28"/>
          <w:szCs w:val="28"/>
          <w:highlight w:val="none"/>
          <w:lang w:val="en-US" w:eastAsia="zh-CN"/>
        </w:rPr>
        <w:t>二、商务要求</w:t>
      </w:r>
      <w:bookmarkEnd w:id="500"/>
      <w:r>
        <w:rPr>
          <w:rFonts w:hint="eastAsia"/>
          <w:sz w:val="24"/>
          <w:szCs w:val="24"/>
          <w:highlight w:val="none"/>
          <w:lang w:val="en-US" w:eastAsia="zh-CN"/>
        </w:rPr>
        <w:t xml:space="preserve"> </w:t>
      </w:r>
    </w:p>
    <w:p w14:paraId="17527BBF">
      <w:pPr>
        <w:pStyle w:val="40"/>
        <w:keepNext w:val="0"/>
        <w:keepLines w:val="0"/>
        <w:pageBreakBefore w:val="0"/>
        <w:widowControl w:val="0"/>
        <w:kinsoku/>
        <w:overflowPunct/>
        <w:topLinePunct w:val="0"/>
        <w:autoSpaceDE/>
        <w:autoSpaceDN/>
        <w:bidi w:val="0"/>
        <w:adjustRightInd/>
        <w:textAlignment w:val="auto"/>
        <w:rPr>
          <w:rFonts w:hint="eastAsia"/>
          <w:snapToGrid w:val="0"/>
          <w:color w:val="auto"/>
          <w:sz w:val="24"/>
          <w:szCs w:val="24"/>
          <w:highlight w:val="none"/>
          <w:lang w:val="en-US" w:eastAsia="zh-CN"/>
        </w:rPr>
      </w:pPr>
      <w:r>
        <w:rPr>
          <w:rFonts w:hint="eastAsia" w:ascii="宋体" w:hAnsi="宋体" w:eastAsia="宋体" w:cs="宋体"/>
          <w:color w:val="auto"/>
          <w:sz w:val="21"/>
          <w:szCs w:val="21"/>
          <w:highlight w:val="none"/>
          <w:lang w:val="zh-CN" w:eastAsia="zh-CN"/>
        </w:rPr>
        <w:t>★</w:t>
      </w:r>
      <w:r>
        <w:rPr>
          <w:rFonts w:hint="default"/>
          <w:snapToGrid w:val="0"/>
          <w:color w:val="auto"/>
          <w:sz w:val="24"/>
          <w:szCs w:val="24"/>
          <w:highlight w:val="none"/>
          <w:lang w:val="en-US" w:eastAsia="zh-CN"/>
        </w:rPr>
        <w:t xml:space="preserve">1. </w:t>
      </w:r>
      <w:r>
        <w:rPr>
          <w:rFonts w:hint="eastAsia"/>
          <w:snapToGrid w:val="0"/>
          <w:color w:val="auto"/>
          <w:sz w:val="24"/>
          <w:szCs w:val="24"/>
          <w:highlight w:val="none"/>
          <w:lang w:val="en-US" w:eastAsia="zh-CN"/>
        </w:rPr>
        <w:t>交付（实施）的时间（期限）和地点（范围） ：</w:t>
      </w:r>
    </w:p>
    <w:p w14:paraId="35C23EFF">
      <w:pPr>
        <w:pStyle w:val="40"/>
        <w:keepNext w:val="0"/>
        <w:keepLines w:val="0"/>
        <w:pageBreakBefore w:val="0"/>
        <w:widowControl w:val="0"/>
        <w:kinsoku/>
        <w:overflowPunct/>
        <w:topLinePunct w:val="0"/>
        <w:autoSpaceDE/>
        <w:autoSpaceDN/>
        <w:bidi w:val="0"/>
        <w:adjustRightInd/>
        <w:textAlignment w:val="auto"/>
        <w:rPr>
          <w:rFonts w:hint="default"/>
          <w:snapToGrid w:val="0"/>
          <w:color w:val="auto"/>
          <w:sz w:val="24"/>
          <w:szCs w:val="24"/>
          <w:highlight w:val="none"/>
          <w:lang w:val="en-US" w:eastAsia="zh-CN"/>
        </w:rPr>
      </w:pPr>
      <w:r>
        <w:rPr>
          <w:rFonts w:hint="default"/>
          <w:snapToGrid w:val="0"/>
          <w:color w:val="auto"/>
          <w:sz w:val="24"/>
          <w:szCs w:val="24"/>
          <w:highlight w:val="none"/>
          <w:lang w:val="en-US" w:eastAsia="zh-CN"/>
        </w:rPr>
        <w:t>a）交货期：自合同签订之日起</w:t>
      </w:r>
      <w:r>
        <w:rPr>
          <w:rFonts w:hint="eastAsia"/>
          <w:snapToGrid w:val="0"/>
          <w:color w:val="auto"/>
          <w:sz w:val="24"/>
          <w:szCs w:val="24"/>
          <w:highlight w:val="none"/>
          <w:u w:val="single"/>
          <w:lang w:val="en-US" w:eastAsia="zh-CN"/>
        </w:rPr>
        <w:t>45</w:t>
      </w:r>
      <w:r>
        <w:rPr>
          <w:rFonts w:hint="default"/>
          <w:snapToGrid w:val="0"/>
          <w:color w:val="auto"/>
          <w:sz w:val="24"/>
          <w:szCs w:val="24"/>
          <w:highlight w:val="none"/>
          <w:lang w:val="en-US" w:eastAsia="zh-CN"/>
        </w:rPr>
        <w:t>天内（按合同签订之日算起），将标的物运送至甲方指定地点，并负责完成安装调试，配合甲方完成验收。</w:t>
      </w:r>
    </w:p>
    <w:p w14:paraId="05B22B09">
      <w:pPr>
        <w:pStyle w:val="40"/>
        <w:keepNext w:val="0"/>
        <w:keepLines w:val="0"/>
        <w:pageBreakBefore w:val="0"/>
        <w:widowControl w:val="0"/>
        <w:kinsoku/>
        <w:overflowPunct/>
        <w:topLinePunct w:val="0"/>
        <w:autoSpaceDE/>
        <w:autoSpaceDN/>
        <w:bidi w:val="0"/>
        <w:adjustRightInd/>
        <w:textAlignment w:val="auto"/>
        <w:rPr>
          <w:rFonts w:hint="default"/>
          <w:snapToGrid w:val="0"/>
          <w:color w:val="auto"/>
          <w:sz w:val="24"/>
          <w:szCs w:val="24"/>
          <w:highlight w:val="none"/>
          <w:lang w:val="en-US" w:eastAsia="zh-CN"/>
        </w:rPr>
      </w:pPr>
      <w:r>
        <w:rPr>
          <w:rFonts w:hint="default"/>
          <w:snapToGrid w:val="0"/>
          <w:color w:val="auto"/>
          <w:sz w:val="24"/>
          <w:szCs w:val="24"/>
          <w:highlight w:val="none"/>
          <w:lang w:val="en-US" w:eastAsia="zh-CN"/>
        </w:rPr>
        <w:t>b）交货地点：甲方指定。</w:t>
      </w:r>
    </w:p>
    <w:p w14:paraId="2017E928">
      <w:pPr>
        <w:pStyle w:val="40"/>
        <w:keepNext w:val="0"/>
        <w:keepLines w:val="0"/>
        <w:pageBreakBefore w:val="0"/>
        <w:widowControl w:val="0"/>
        <w:kinsoku/>
        <w:overflowPunct/>
        <w:topLinePunct w:val="0"/>
        <w:autoSpaceDE/>
        <w:autoSpaceDN/>
        <w:bidi w:val="0"/>
        <w:adjustRightInd/>
        <w:textAlignment w:val="auto"/>
        <w:rPr>
          <w:rFonts w:hint="eastAsia"/>
          <w:snapToGrid w:val="0"/>
          <w:color w:val="auto"/>
          <w:sz w:val="24"/>
          <w:szCs w:val="24"/>
          <w:highlight w:val="none"/>
          <w:lang w:val="en-US" w:eastAsia="zh-CN"/>
        </w:rPr>
      </w:pPr>
      <w:r>
        <w:rPr>
          <w:rFonts w:hint="eastAsia" w:ascii="宋体" w:hAnsi="宋体" w:eastAsia="宋体" w:cs="宋体"/>
          <w:color w:val="auto"/>
          <w:sz w:val="21"/>
          <w:szCs w:val="21"/>
          <w:highlight w:val="none"/>
          <w:lang w:val="zh-CN" w:eastAsia="zh-CN"/>
        </w:rPr>
        <w:t>★</w:t>
      </w:r>
      <w:r>
        <w:rPr>
          <w:rFonts w:hint="default"/>
          <w:snapToGrid w:val="0"/>
          <w:color w:val="auto"/>
          <w:sz w:val="24"/>
          <w:szCs w:val="24"/>
          <w:highlight w:val="none"/>
          <w:lang w:val="en-US" w:eastAsia="zh-CN"/>
        </w:rPr>
        <w:t xml:space="preserve">2. </w:t>
      </w:r>
      <w:r>
        <w:rPr>
          <w:rFonts w:hint="eastAsia"/>
          <w:snapToGrid w:val="0"/>
          <w:color w:val="auto"/>
          <w:sz w:val="24"/>
          <w:szCs w:val="24"/>
          <w:highlight w:val="none"/>
          <w:lang w:val="en-US" w:eastAsia="zh-CN"/>
        </w:rPr>
        <w:t>付款条件（进度和方式） ：</w:t>
      </w:r>
    </w:p>
    <w:p w14:paraId="28686DAC">
      <w:pPr>
        <w:pStyle w:val="40"/>
        <w:keepNext w:val="0"/>
        <w:keepLines w:val="0"/>
        <w:pageBreakBefore w:val="0"/>
        <w:widowControl w:val="0"/>
        <w:kinsoku/>
        <w:overflowPunct/>
        <w:topLinePunct w:val="0"/>
        <w:autoSpaceDE/>
        <w:autoSpaceDN/>
        <w:bidi w:val="0"/>
        <w:adjustRightInd/>
        <w:textAlignment w:val="auto"/>
        <w:rPr>
          <w:rFonts w:hint="eastAsia"/>
          <w:snapToGrid w:val="0"/>
          <w:color w:val="auto"/>
          <w:sz w:val="24"/>
          <w:szCs w:val="24"/>
          <w:highlight w:val="none"/>
          <w:lang w:val="en-US" w:eastAsia="zh-CN"/>
        </w:rPr>
      </w:pPr>
      <w:r>
        <w:rPr>
          <w:rFonts w:hint="default"/>
          <w:snapToGrid w:val="0"/>
          <w:color w:val="auto"/>
          <w:sz w:val="24"/>
          <w:szCs w:val="24"/>
          <w:highlight w:val="none"/>
          <w:lang w:val="en-US" w:eastAsia="zh-CN"/>
        </w:rPr>
        <w:t>a）</w:t>
      </w:r>
      <w:r>
        <w:rPr>
          <w:rFonts w:hint="eastAsia"/>
          <w:snapToGrid w:val="0"/>
          <w:color w:val="auto"/>
          <w:sz w:val="24"/>
          <w:szCs w:val="24"/>
          <w:highlight w:val="none"/>
          <w:lang w:val="en-US" w:eastAsia="zh-CN"/>
        </w:rPr>
        <w:t>合同签订后完成设备的到货、安装、调试，经甲方确认达到试运行标准后支付合同总金额的90%，达到验收标准后无息支付合同总金额10%。</w:t>
      </w:r>
    </w:p>
    <w:p w14:paraId="2BC77642">
      <w:pPr>
        <w:pStyle w:val="40"/>
        <w:keepNext w:val="0"/>
        <w:keepLines w:val="0"/>
        <w:pageBreakBefore w:val="0"/>
        <w:widowControl w:val="0"/>
        <w:kinsoku/>
        <w:overflowPunct/>
        <w:topLinePunct w:val="0"/>
        <w:autoSpaceDE/>
        <w:autoSpaceDN/>
        <w:bidi w:val="0"/>
        <w:adjustRightInd/>
        <w:textAlignment w:val="auto"/>
        <w:rPr>
          <w:rFonts w:hint="eastAsia"/>
          <w:snapToGrid w:val="0"/>
          <w:color w:val="auto"/>
          <w:sz w:val="24"/>
          <w:szCs w:val="24"/>
          <w:highlight w:val="none"/>
          <w:lang w:val="en-US" w:eastAsia="zh-CN"/>
        </w:rPr>
      </w:pPr>
      <w:r>
        <w:rPr>
          <w:rFonts w:hint="default"/>
          <w:snapToGrid w:val="0"/>
          <w:color w:val="auto"/>
          <w:sz w:val="24"/>
          <w:szCs w:val="24"/>
          <w:highlight w:val="none"/>
          <w:lang w:val="en-US" w:eastAsia="zh-CN"/>
        </w:rPr>
        <w:t>b）</w:t>
      </w:r>
      <w:r>
        <w:rPr>
          <w:rFonts w:hint="eastAsia"/>
          <w:snapToGrid w:val="0"/>
          <w:color w:val="auto"/>
          <w:sz w:val="24"/>
          <w:szCs w:val="24"/>
          <w:highlight w:val="none"/>
          <w:lang w:val="en-US" w:eastAsia="zh-CN"/>
        </w:rPr>
        <w:t>以上付款均需乙方在符合付款条件下，先向甲方提交真实合法有效且符合甲方财务做账要求的等额增值税发票并提出书面付款申请，由甲方财务审核通过后，按照甲方财务计划予以支付。否则甲方有权拒绝支付任何费用且不承担任何违约责任。</w:t>
      </w:r>
    </w:p>
    <w:p w14:paraId="4CD07220">
      <w:pPr>
        <w:pStyle w:val="40"/>
        <w:keepNext w:val="0"/>
        <w:keepLines w:val="0"/>
        <w:pageBreakBefore w:val="0"/>
        <w:widowControl w:val="0"/>
        <w:kinsoku/>
        <w:overflowPunct/>
        <w:topLinePunct w:val="0"/>
        <w:autoSpaceDE/>
        <w:autoSpaceDN/>
        <w:bidi w:val="0"/>
        <w:adjustRightInd/>
        <w:textAlignment w:val="auto"/>
        <w:rPr>
          <w:rFonts w:hint="eastAsia"/>
          <w:snapToGrid w:val="0"/>
          <w:color w:val="auto"/>
          <w:sz w:val="24"/>
          <w:szCs w:val="24"/>
          <w:highlight w:val="none"/>
          <w:lang w:val="en-US" w:eastAsia="zh-CN"/>
        </w:rPr>
      </w:pPr>
      <w:r>
        <w:rPr>
          <w:rFonts w:hint="default"/>
          <w:snapToGrid w:val="0"/>
          <w:color w:val="auto"/>
          <w:sz w:val="24"/>
          <w:szCs w:val="24"/>
          <w:highlight w:val="none"/>
          <w:lang w:val="en-US" w:eastAsia="zh-CN"/>
        </w:rPr>
        <w:t xml:space="preserve">3. </w:t>
      </w:r>
      <w:r>
        <w:rPr>
          <w:rFonts w:hint="eastAsia"/>
          <w:snapToGrid w:val="0"/>
          <w:color w:val="auto"/>
          <w:sz w:val="24"/>
          <w:szCs w:val="24"/>
          <w:highlight w:val="none"/>
          <w:lang w:val="en-US" w:eastAsia="zh-CN"/>
        </w:rPr>
        <w:t>包装和运输（如适用，须满足《关于印发〈商品包装政府采购需求标准（试行）〉、〈快递包装政府采购需求标准（试行）〉的通知》（财办库﹝</w:t>
      </w:r>
      <w:r>
        <w:rPr>
          <w:rFonts w:hint="default"/>
          <w:snapToGrid w:val="0"/>
          <w:color w:val="auto"/>
          <w:sz w:val="24"/>
          <w:szCs w:val="24"/>
          <w:highlight w:val="none"/>
          <w:lang w:val="en-US" w:eastAsia="zh-CN"/>
        </w:rPr>
        <w:t>2020</w:t>
      </w:r>
      <w:r>
        <w:rPr>
          <w:rFonts w:hint="eastAsia"/>
          <w:snapToGrid w:val="0"/>
          <w:color w:val="auto"/>
          <w:sz w:val="24"/>
          <w:szCs w:val="24"/>
          <w:highlight w:val="none"/>
          <w:lang w:val="en-US" w:eastAsia="zh-CN"/>
        </w:rPr>
        <w:t>﹞</w:t>
      </w:r>
      <w:r>
        <w:rPr>
          <w:rFonts w:hint="default"/>
          <w:snapToGrid w:val="0"/>
          <w:color w:val="auto"/>
          <w:sz w:val="24"/>
          <w:szCs w:val="24"/>
          <w:highlight w:val="none"/>
          <w:lang w:val="en-US" w:eastAsia="zh-CN"/>
        </w:rPr>
        <w:t xml:space="preserve">123 </w:t>
      </w:r>
      <w:r>
        <w:rPr>
          <w:rFonts w:hint="eastAsia"/>
          <w:snapToGrid w:val="0"/>
          <w:color w:val="auto"/>
          <w:sz w:val="24"/>
          <w:szCs w:val="24"/>
          <w:highlight w:val="none"/>
          <w:lang w:val="en-US" w:eastAsia="zh-CN"/>
        </w:rPr>
        <w:t xml:space="preserve">号）） </w:t>
      </w:r>
    </w:p>
    <w:p w14:paraId="68249201">
      <w:pPr>
        <w:pStyle w:val="40"/>
        <w:keepNext w:val="0"/>
        <w:keepLines w:val="0"/>
        <w:pageBreakBefore w:val="0"/>
        <w:widowControl w:val="0"/>
        <w:kinsoku/>
        <w:overflowPunct/>
        <w:topLinePunct w:val="0"/>
        <w:autoSpaceDE/>
        <w:autoSpaceDN/>
        <w:bidi w:val="0"/>
        <w:adjustRightInd/>
        <w:textAlignment w:val="auto"/>
        <w:rPr>
          <w:rFonts w:hint="eastAsia"/>
          <w:snapToGrid w:val="0"/>
          <w:color w:val="auto"/>
          <w:sz w:val="24"/>
          <w:szCs w:val="24"/>
          <w:highlight w:val="none"/>
          <w:lang w:val="en-US" w:eastAsia="zh-CN"/>
        </w:rPr>
      </w:pPr>
      <w:r>
        <w:rPr>
          <w:rFonts w:hint="eastAsia" w:ascii="宋体" w:hAnsi="宋体" w:eastAsia="宋体" w:cs="宋体"/>
          <w:color w:val="auto"/>
          <w:sz w:val="21"/>
          <w:szCs w:val="21"/>
          <w:highlight w:val="none"/>
          <w:lang w:val="zh-CN" w:eastAsia="zh-CN"/>
        </w:rPr>
        <w:t>★</w:t>
      </w:r>
      <w:r>
        <w:rPr>
          <w:rFonts w:hint="default"/>
          <w:snapToGrid w:val="0"/>
          <w:color w:val="auto"/>
          <w:sz w:val="24"/>
          <w:szCs w:val="24"/>
          <w:highlight w:val="none"/>
          <w:lang w:val="en-US" w:eastAsia="zh-CN"/>
        </w:rPr>
        <w:t>4. 原厂保修服务</w:t>
      </w:r>
      <w:r>
        <w:rPr>
          <w:rFonts w:hint="eastAsia"/>
          <w:snapToGrid w:val="0"/>
          <w:color w:val="auto"/>
          <w:sz w:val="24"/>
          <w:szCs w:val="24"/>
          <w:highlight w:val="none"/>
          <w:lang w:val="en-US" w:eastAsia="zh-CN"/>
        </w:rPr>
        <w:t>：</w:t>
      </w:r>
      <w:r>
        <w:rPr>
          <w:rFonts w:hint="default"/>
          <w:snapToGrid w:val="0"/>
          <w:color w:val="auto"/>
          <w:sz w:val="24"/>
          <w:szCs w:val="24"/>
          <w:highlight w:val="none"/>
          <w:lang w:val="en-US" w:eastAsia="zh-CN"/>
        </w:rPr>
        <w:t>自验收合格之日起计保修期，提供整机（包含球管、探测器、晶体等所有到货安装设备）原厂保修服务≥6年，承担保修期内设备任何故障产生的费用</w:t>
      </w:r>
      <w:r>
        <w:rPr>
          <w:rFonts w:hint="eastAsia"/>
          <w:snapToGrid w:val="0"/>
          <w:color w:val="auto"/>
          <w:sz w:val="24"/>
          <w:szCs w:val="24"/>
          <w:highlight w:val="none"/>
          <w:lang w:val="en-US" w:eastAsia="zh-CN"/>
        </w:rPr>
        <w:t xml:space="preserve">。        </w:t>
      </w:r>
    </w:p>
    <w:p w14:paraId="066E772B">
      <w:pPr>
        <w:pStyle w:val="3"/>
        <w:bidi w:val="0"/>
        <w:spacing w:before="0" w:after="0" w:line="360" w:lineRule="auto"/>
        <w:rPr>
          <w:rFonts w:hint="eastAsia"/>
          <w:sz w:val="28"/>
          <w:szCs w:val="28"/>
          <w:lang w:val="en-US" w:eastAsia="zh-CN"/>
        </w:rPr>
      </w:pPr>
      <w:bookmarkStart w:id="501" w:name="_Toc14386"/>
      <w:r>
        <w:rPr>
          <w:rFonts w:hint="eastAsia"/>
          <w:sz w:val="28"/>
          <w:szCs w:val="28"/>
          <w:lang w:val="en-US" w:eastAsia="zh-CN"/>
        </w:rPr>
        <w:t>三、技术要求</w:t>
      </w:r>
      <w:bookmarkEnd w:id="501"/>
    </w:p>
    <w:p w14:paraId="2F72A36B">
      <w:pPr>
        <w:spacing w:line="440" w:lineRule="exact"/>
        <w:jc w:val="center"/>
        <w:rPr>
          <w:rFonts w:hint="eastAsia" w:ascii="宋体" w:hAnsi="宋体" w:eastAsia="宋体" w:cs="宋体"/>
          <w:b/>
          <w:sz w:val="24"/>
          <w:szCs w:val="24"/>
        </w:rPr>
      </w:pPr>
      <w:r>
        <w:rPr>
          <w:rFonts w:hint="eastAsia" w:ascii="宋体" w:hAnsi="宋体" w:eastAsia="宋体" w:cs="宋体"/>
          <w:b/>
          <w:sz w:val="24"/>
          <w:szCs w:val="24"/>
        </w:rPr>
        <w:t>X线正电子发射断层扫描仪（PET-CT）技术参数要求</w:t>
      </w:r>
    </w:p>
    <w:p w14:paraId="75E5638C">
      <w:pPr>
        <w:keepNext w:val="0"/>
        <w:keepLines w:val="0"/>
        <w:pageBreakBefore w:val="0"/>
        <w:widowControl w:val="0"/>
        <w:numPr>
          <w:ilvl w:val="0"/>
          <w:numId w:val="6"/>
        </w:numPr>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整体</w:t>
      </w:r>
      <w:r>
        <w:rPr>
          <w:rFonts w:hint="eastAsia" w:ascii="宋体" w:hAnsi="宋体" w:eastAsia="宋体" w:cs="宋体"/>
          <w:sz w:val="24"/>
          <w:szCs w:val="24"/>
        </w:rPr>
        <w:t>要求：</w:t>
      </w:r>
    </w:p>
    <w:p w14:paraId="0B630BFE">
      <w:pPr>
        <w:keepNext w:val="0"/>
        <w:keepLines w:val="0"/>
        <w:pageBreakBefore w:val="0"/>
        <w:widowControl w:val="0"/>
        <w:numPr>
          <w:ilvl w:val="0"/>
          <w:numId w:val="7"/>
        </w:numPr>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b/>
          <w:bCs/>
          <w:sz w:val="24"/>
          <w:szCs w:val="24"/>
        </w:rPr>
        <w:t>*</w:t>
      </w:r>
      <w:r>
        <w:rPr>
          <w:rFonts w:hint="eastAsia" w:ascii="宋体" w:hAnsi="宋体" w:eastAsia="宋体" w:cs="宋体"/>
          <w:sz w:val="24"/>
          <w:szCs w:val="24"/>
        </w:rPr>
        <w:t>为保证技术的先进性，各厂家必须提供国内最新型的 PET/CT 型号，所投产品医疗器械注册证取得时间为 2023 年1月</w:t>
      </w:r>
      <w:r>
        <w:rPr>
          <w:rFonts w:hint="eastAsia" w:ascii="宋体" w:hAnsi="宋体" w:eastAsia="宋体" w:cs="宋体"/>
          <w:sz w:val="24"/>
          <w:szCs w:val="24"/>
          <w:lang w:val="en-US" w:eastAsia="zh-CN"/>
        </w:rPr>
        <w:t>之后</w:t>
      </w:r>
      <w:r>
        <w:rPr>
          <w:rFonts w:hint="eastAsia" w:ascii="宋体" w:hAnsi="宋体" w:eastAsia="宋体" w:cs="宋体"/>
          <w:sz w:val="24"/>
          <w:szCs w:val="24"/>
        </w:rPr>
        <w:t>，且为首次取得注册证的产品，核心软件与原厂保持一致。</w:t>
      </w:r>
    </w:p>
    <w:p w14:paraId="08619182">
      <w:pPr>
        <w:keepNext w:val="0"/>
        <w:keepLines w:val="0"/>
        <w:pageBreakBefore w:val="0"/>
        <w:widowControl w:val="0"/>
        <w:numPr>
          <w:ilvl w:val="0"/>
          <w:numId w:val="6"/>
        </w:numPr>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t>机架部分规格参数要求：</w:t>
      </w:r>
    </w:p>
    <w:p w14:paraId="7EF60036">
      <w:pPr>
        <w:keepNext w:val="0"/>
        <w:keepLines w:val="0"/>
        <w:pageBreakBefore w:val="0"/>
        <w:widowControl w:val="0"/>
        <w:numPr>
          <w:ilvl w:val="0"/>
          <w:numId w:val="8"/>
        </w:numPr>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t>内置激光定位系统</w:t>
      </w:r>
    </w:p>
    <w:p w14:paraId="3CB628E1">
      <w:pPr>
        <w:keepNext w:val="0"/>
        <w:keepLines w:val="0"/>
        <w:pageBreakBefore w:val="0"/>
        <w:widowControl w:val="0"/>
        <w:numPr>
          <w:ilvl w:val="0"/>
          <w:numId w:val="8"/>
        </w:numPr>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t>机架结构：一体化机架</w:t>
      </w:r>
    </w:p>
    <w:p w14:paraId="0F249EB7">
      <w:pPr>
        <w:keepNext w:val="0"/>
        <w:keepLines w:val="0"/>
        <w:pageBreakBefore w:val="0"/>
        <w:widowControl w:val="0"/>
        <w:numPr>
          <w:ilvl w:val="0"/>
          <w:numId w:val="8"/>
        </w:numPr>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机架内置一体化激光定位系统</w:t>
      </w:r>
    </w:p>
    <w:p w14:paraId="435CA6F1">
      <w:pPr>
        <w:keepNext w:val="0"/>
        <w:keepLines w:val="0"/>
        <w:pageBreakBefore w:val="0"/>
        <w:widowControl w:val="0"/>
        <w:numPr>
          <w:ilvl w:val="0"/>
          <w:numId w:val="8"/>
        </w:numPr>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t>机架内置交互式应答系统</w:t>
      </w:r>
    </w:p>
    <w:p w14:paraId="1CB90495">
      <w:pPr>
        <w:keepNext w:val="0"/>
        <w:keepLines w:val="0"/>
        <w:pageBreakBefore w:val="0"/>
        <w:widowControl w:val="0"/>
        <w:numPr>
          <w:ilvl w:val="0"/>
          <w:numId w:val="8"/>
        </w:numPr>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t>机架孔径（cm）：≥75</w:t>
      </w:r>
    </w:p>
    <w:p w14:paraId="775EEE20">
      <w:pPr>
        <w:keepNext w:val="0"/>
        <w:keepLines w:val="0"/>
        <w:pageBreakBefore w:val="0"/>
        <w:widowControl w:val="0"/>
        <w:numPr>
          <w:ilvl w:val="0"/>
          <w:numId w:val="8"/>
        </w:numPr>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t>机架重量（kg）：≤4700</w:t>
      </w:r>
    </w:p>
    <w:p w14:paraId="5036BC11">
      <w:pPr>
        <w:keepNext w:val="0"/>
        <w:keepLines w:val="0"/>
        <w:pageBreakBefore w:val="0"/>
        <w:widowControl w:val="0"/>
        <w:numPr>
          <w:ilvl w:val="0"/>
          <w:numId w:val="8"/>
        </w:numPr>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t>冷却方式：水冷或风冷。</w:t>
      </w:r>
    </w:p>
    <w:p w14:paraId="673B9683">
      <w:pPr>
        <w:keepNext w:val="0"/>
        <w:keepLines w:val="0"/>
        <w:pageBreakBefore w:val="0"/>
        <w:widowControl w:val="0"/>
        <w:numPr>
          <w:ilvl w:val="0"/>
          <w:numId w:val="6"/>
        </w:numPr>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t>扫描床规格参数要求：</w:t>
      </w:r>
    </w:p>
    <w:p w14:paraId="129A726B">
      <w:pPr>
        <w:keepNext w:val="0"/>
        <w:keepLines w:val="0"/>
        <w:pageBreakBefore w:val="0"/>
        <w:widowControl w:val="0"/>
        <w:numPr>
          <w:ilvl w:val="0"/>
          <w:numId w:val="9"/>
        </w:numPr>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t>驱动方式：</w:t>
      </w:r>
      <w:r>
        <w:rPr>
          <w:rFonts w:hint="eastAsia" w:ascii="宋体" w:hAnsi="宋体" w:eastAsia="宋体" w:cs="宋体"/>
          <w:sz w:val="24"/>
          <w:szCs w:val="24"/>
          <w:lang w:val="en-US" w:eastAsia="zh-CN"/>
        </w:rPr>
        <w:t>非手动</w:t>
      </w:r>
    </w:p>
    <w:p w14:paraId="3426A545">
      <w:pPr>
        <w:keepNext w:val="0"/>
        <w:keepLines w:val="0"/>
        <w:pageBreakBefore w:val="0"/>
        <w:widowControl w:val="0"/>
        <w:numPr>
          <w:ilvl w:val="0"/>
          <w:numId w:val="9"/>
        </w:numPr>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t>最大承重（Kg）：≥200</w:t>
      </w:r>
    </w:p>
    <w:p w14:paraId="78B04356">
      <w:pPr>
        <w:keepNext w:val="0"/>
        <w:keepLines w:val="0"/>
        <w:pageBreakBefore w:val="0"/>
        <w:widowControl w:val="0"/>
        <w:numPr>
          <w:ilvl w:val="0"/>
          <w:numId w:val="9"/>
        </w:numPr>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患者保护装置</w:t>
      </w:r>
    </w:p>
    <w:p w14:paraId="3C9BF0BE">
      <w:pPr>
        <w:keepNext w:val="0"/>
        <w:keepLines w:val="0"/>
        <w:pageBreakBefore w:val="0"/>
        <w:widowControl w:val="0"/>
        <w:numPr>
          <w:ilvl w:val="0"/>
          <w:numId w:val="9"/>
        </w:numPr>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低衰减头托、肢体支架及身体固定装置</w:t>
      </w:r>
    </w:p>
    <w:p w14:paraId="32B59602">
      <w:pPr>
        <w:keepNext w:val="0"/>
        <w:keepLines w:val="0"/>
        <w:pageBreakBefore w:val="0"/>
        <w:widowControl w:val="0"/>
        <w:numPr>
          <w:ilvl w:val="0"/>
          <w:numId w:val="6"/>
        </w:numPr>
        <w:kinsoku/>
        <w:wordWrap/>
        <w:overflowPunct/>
        <w:topLinePunct w:val="0"/>
        <w:autoSpaceDE/>
        <w:autoSpaceDN/>
        <w:bidi w:val="0"/>
        <w:adjustRightInd/>
        <w:snapToGrid/>
        <w:spacing w:line="360" w:lineRule="auto"/>
        <w:ind w:left="720" w:hanging="720"/>
        <w:textAlignment w:val="auto"/>
        <w:rPr>
          <w:rFonts w:hint="eastAsia" w:ascii="宋体" w:hAnsi="宋体" w:eastAsia="宋体" w:cs="宋体"/>
          <w:sz w:val="24"/>
          <w:szCs w:val="24"/>
        </w:rPr>
      </w:pPr>
      <w:r>
        <w:rPr>
          <w:rFonts w:hint="eastAsia" w:ascii="宋体" w:hAnsi="宋体" w:eastAsia="宋体" w:cs="宋体"/>
          <w:sz w:val="24"/>
          <w:szCs w:val="24"/>
        </w:rPr>
        <w:t>PET部分规格参数要求：</w:t>
      </w:r>
    </w:p>
    <w:p w14:paraId="39948BEB">
      <w:pPr>
        <w:keepNext w:val="0"/>
        <w:keepLines w:val="0"/>
        <w:pageBreakBefore w:val="0"/>
        <w:widowControl w:val="0"/>
        <w:numPr>
          <w:ilvl w:val="0"/>
          <w:numId w:val="10"/>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晶体材料: LYSO或LSO或LBS</w:t>
      </w:r>
    </w:p>
    <w:p w14:paraId="79C2FB60">
      <w:pPr>
        <w:keepNext w:val="0"/>
        <w:keepLines w:val="0"/>
        <w:pageBreakBefore w:val="0"/>
        <w:widowControl w:val="0"/>
        <w:numPr>
          <w:ilvl w:val="0"/>
          <w:numId w:val="10"/>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单个晶体尺寸长×宽(mm)：≤3.2x3.2</w:t>
      </w:r>
    </w:p>
    <w:p w14:paraId="4F78ED6F">
      <w:pPr>
        <w:keepNext w:val="0"/>
        <w:keepLines w:val="0"/>
        <w:pageBreakBefore w:val="0"/>
        <w:widowControl w:val="0"/>
        <w:numPr>
          <w:ilvl w:val="0"/>
          <w:numId w:val="10"/>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b/>
          <w:bCs/>
          <w:sz w:val="24"/>
          <w:szCs w:val="24"/>
        </w:rPr>
        <w:t>*</w:t>
      </w:r>
      <w:r>
        <w:rPr>
          <w:rFonts w:hint="eastAsia" w:ascii="宋体" w:hAnsi="宋体" w:eastAsia="宋体" w:cs="宋体"/>
          <w:sz w:val="24"/>
          <w:szCs w:val="24"/>
        </w:rPr>
        <w:t>晶体数量：≥45000</w:t>
      </w:r>
    </w:p>
    <w:p w14:paraId="1CD03380">
      <w:pPr>
        <w:keepNext w:val="0"/>
        <w:keepLines w:val="0"/>
        <w:pageBreakBefore w:val="0"/>
        <w:widowControl w:val="0"/>
        <w:numPr>
          <w:ilvl w:val="0"/>
          <w:numId w:val="10"/>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b/>
          <w:bCs/>
          <w:sz w:val="24"/>
          <w:szCs w:val="24"/>
        </w:rPr>
        <w:t>*</w:t>
      </w:r>
      <w:r>
        <w:rPr>
          <w:rFonts w:hint="eastAsia" w:ascii="宋体" w:hAnsi="宋体" w:eastAsia="宋体" w:cs="宋体"/>
          <w:sz w:val="24"/>
          <w:szCs w:val="24"/>
        </w:rPr>
        <w:t>晶体环数:≥70</w:t>
      </w:r>
    </w:p>
    <w:p w14:paraId="2B092DD1">
      <w:pPr>
        <w:keepNext w:val="0"/>
        <w:keepLines w:val="0"/>
        <w:pageBreakBefore w:val="0"/>
        <w:widowControl w:val="0"/>
        <w:numPr>
          <w:ilvl w:val="0"/>
          <w:numId w:val="6"/>
        </w:numPr>
        <w:kinsoku/>
        <w:wordWrap/>
        <w:overflowPunct/>
        <w:topLinePunct w:val="0"/>
        <w:autoSpaceDE/>
        <w:autoSpaceDN/>
        <w:bidi w:val="0"/>
        <w:adjustRightInd/>
        <w:snapToGrid/>
        <w:spacing w:line="360" w:lineRule="auto"/>
        <w:ind w:left="720" w:hanging="72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探测器</w:t>
      </w:r>
      <w:r>
        <w:rPr>
          <w:rFonts w:hint="eastAsia" w:ascii="宋体" w:hAnsi="宋体" w:eastAsia="宋体" w:cs="宋体"/>
          <w:sz w:val="24"/>
          <w:szCs w:val="24"/>
        </w:rPr>
        <w:t>规格参数要求：</w:t>
      </w:r>
    </w:p>
    <w:p w14:paraId="112D04AA">
      <w:pPr>
        <w:keepNext w:val="0"/>
        <w:keepLines w:val="0"/>
        <w:pageBreakBefore w:val="0"/>
        <w:widowControl w:val="0"/>
        <w:numPr>
          <w:ilvl w:val="0"/>
          <w:numId w:val="11"/>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探测器类型:SiPM（硅光电倍增管）</w:t>
      </w:r>
    </w:p>
    <w:p w14:paraId="45575433">
      <w:pPr>
        <w:keepNext w:val="0"/>
        <w:keepLines w:val="0"/>
        <w:pageBreakBefore w:val="0"/>
        <w:widowControl w:val="0"/>
        <w:numPr>
          <w:ilvl w:val="0"/>
          <w:numId w:val="11"/>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 xml:space="preserve"> SiPM（硅光电倍增管）覆盖率:≥90%</w:t>
      </w:r>
      <w:r>
        <w:rPr>
          <w:rFonts w:hint="eastAsia" w:ascii="宋体" w:hAnsi="宋体" w:eastAsia="宋体" w:cs="宋体"/>
          <w:sz w:val="24"/>
          <w:szCs w:val="24"/>
          <w:lang w:val="en-US" w:eastAsia="zh-CN"/>
        </w:rPr>
        <w:t>或采用光电传导技术</w:t>
      </w:r>
    </w:p>
    <w:p w14:paraId="6EFB6FD7">
      <w:pPr>
        <w:keepNext w:val="0"/>
        <w:keepLines w:val="0"/>
        <w:pageBreakBefore w:val="0"/>
        <w:widowControl w:val="0"/>
        <w:numPr>
          <w:ilvl w:val="0"/>
          <w:numId w:val="11"/>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总光电转换器数:≥29000</w:t>
      </w:r>
    </w:p>
    <w:p w14:paraId="76B23986">
      <w:pPr>
        <w:keepNext w:val="0"/>
        <w:keepLines w:val="0"/>
        <w:pageBreakBefore w:val="0"/>
        <w:widowControl w:val="0"/>
        <w:numPr>
          <w:ilvl w:val="0"/>
          <w:numId w:val="11"/>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探测器环直径（cm）:≥76</w:t>
      </w:r>
    </w:p>
    <w:p w14:paraId="6D819DBC">
      <w:pPr>
        <w:keepNext w:val="0"/>
        <w:keepLines w:val="0"/>
        <w:pageBreakBefore w:val="0"/>
        <w:widowControl w:val="0"/>
        <w:numPr>
          <w:ilvl w:val="0"/>
          <w:numId w:val="11"/>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衰减校正：CTAC</w:t>
      </w:r>
    </w:p>
    <w:p w14:paraId="1E08BB78">
      <w:pPr>
        <w:keepNext w:val="0"/>
        <w:keepLines w:val="0"/>
        <w:pageBreakBefore w:val="0"/>
        <w:widowControl w:val="0"/>
        <w:numPr>
          <w:ilvl w:val="0"/>
          <w:numId w:val="11"/>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PET飞行时间（TOF）技术（含软、硬件）</w:t>
      </w:r>
    </w:p>
    <w:p w14:paraId="2306BABE">
      <w:pPr>
        <w:keepNext w:val="0"/>
        <w:keepLines w:val="0"/>
        <w:pageBreakBefore w:val="0"/>
        <w:widowControl w:val="0"/>
        <w:numPr>
          <w:ilvl w:val="0"/>
          <w:numId w:val="11"/>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自动运动校正技术</w:t>
      </w:r>
    </w:p>
    <w:p w14:paraId="3AEF5D98">
      <w:pPr>
        <w:keepNext w:val="0"/>
        <w:keepLines w:val="0"/>
        <w:pageBreakBefore w:val="0"/>
        <w:widowControl w:val="0"/>
        <w:numPr>
          <w:ilvl w:val="0"/>
          <w:numId w:val="6"/>
        </w:numPr>
        <w:kinsoku/>
        <w:wordWrap/>
        <w:overflowPunct/>
        <w:topLinePunct w:val="0"/>
        <w:autoSpaceDE/>
        <w:autoSpaceDN/>
        <w:bidi w:val="0"/>
        <w:adjustRightInd/>
        <w:snapToGrid/>
        <w:spacing w:line="360" w:lineRule="auto"/>
        <w:ind w:left="720" w:hanging="72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CT部分</w:t>
      </w:r>
      <w:r>
        <w:rPr>
          <w:rFonts w:hint="eastAsia" w:ascii="宋体" w:hAnsi="宋体" w:eastAsia="宋体" w:cs="宋体"/>
          <w:sz w:val="24"/>
          <w:szCs w:val="24"/>
        </w:rPr>
        <w:t>规格参数要求：</w:t>
      </w:r>
    </w:p>
    <w:p w14:paraId="16D4DDDB">
      <w:pPr>
        <w:keepNext w:val="0"/>
        <w:keepLines w:val="0"/>
        <w:pageBreakBefore w:val="0"/>
        <w:widowControl w:val="0"/>
        <w:numPr>
          <w:ilvl w:val="0"/>
          <w:numId w:val="12"/>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探测器</w:t>
      </w:r>
      <w:r>
        <w:rPr>
          <w:rFonts w:hint="eastAsia" w:ascii="宋体" w:hAnsi="宋体" w:eastAsia="宋体" w:cs="宋体"/>
          <w:sz w:val="24"/>
          <w:szCs w:val="24"/>
          <w:lang w:val="en-US" w:eastAsia="zh-CN"/>
        </w:rPr>
        <w:t>要求：</w:t>
      </w:r>
    </w:p>
    <w:p w14:paraId="53D6E302">
      <w:pPr>
        <w:keepNext w:val="0"/>
        <w:keepLines w:val="0"/>
        <w:pageBreakBefore w:val="0"/>
        <w:widowControl w:val="0"/>
        <w:numPr>
          <w:ilvl w:val="0"/>
          <w:numId w:val="13"/>
        </w:numPr>
        <w:kinsoku/>
        <w:wordWrap/>
        <w:overflowPunct/>
        <w:topLinePunct w:val="0"/>
        <w:autoSpaceDE/>
        <w:autoSpaceDN/>
        <w:bidi w:val="0"/>
        <w:adjustRightInd/>
        <w:snapToGrid/>
        <w:spacing w:line="360" w:lineRule="auto"/>
        <w:ind w:left="84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采用</w:t>
      </w:r>
      <w:r>
        <w:rPr>
          <w:rFonts w:hint="eastAsia" w:ascii="宋体" w:hAnsi="宋体" w:eastAsia="宋体" w:cs="宋体"/>
          <w:sz w:val="24"/>
          <w:szCs w:val="24"/>
        </w:rPr>
        <w:t>材料: 固态稀土陶瓷</w:t>
      </w:r>
    </w:p>
    <w:p w14:paraId="11908D04">
      <w:pPr>
        <w:keepNext w:val="0"/>
        <w:keepLines w:val="0"/>
        <w:pageBreakBefore w:val="0"/>
        <w:widowControl w:val="0"/>
        <w:numPr>
          <w:ilvl w:val="0"/>
          <w:numId w:val="13"/>
        </w:numPr>
        <w:kinsoku/>
        <w:wordWrap/>
        <w:overflowPunct/>
        <w:topLinePunct w:val="0"/>
        <w:autoSpaceDE/>
        <w:autoSpaceDN/>
        <w:bidi w:val="0"/>
        <w:adjustRightInd/>
        <w:snapToGrid/>
        <w:spacing w:line="360" w:lineRule="auto"/>
        <w:ind w:left="840" w:leftChars="0" w:hanging="420" w:firstLineChars="0"/>
        <w:textAlignment w:val="auto"/>
        <w:rPr>
          <w:rFonts w:hint="eastAsia" w:ascii="宋体" w:hAnsi="宋体" w:eastAsia="宋体" w:cs="宋体"/>
          <w:sz w:val="24"/>
          <w:szCs w:val="24"/>
        </w:rPr>
      </w:pPr>
      <w:r>
        <w:rPr>
          <w:rFonts w:hint="eastAsia" w:ascii="宋体" w:hAnsi="宋体" w:eastAsia="宋体" w:cs="宋体"/>
          <w:b/>
          <w:bCs/>
          <w:sz w:val="24"/>
          <w:szCs w:val="24"/>
        </w:rPr>
        <w:t>*</w:t>
      </w:r>
      <w:r>
        <w:rPr>
          <w:rFonts w:hint="eastAsia" w:ascii="宋体" w:hAnsi="宋体" w:eastAsia="宋体" w:cs="宋体"/>
          <w:sz w:val="24"/>
          <w:szCs w:val="24"/>
        </w:rPr>
        <w:t>探测器物理排数：≥64</w:t>
      </w:r>
    </w:p>
    <w:p w14:paraId="3345170C">
      <w:pPr>
        <w:keepNext w:val="0"/>
        <w:keepLines w:val="0"/>
        <w:pageBreakBefore w:val="0"/>
        <w:widowControl w:val="0"/>
        <w:numPr>
          <w:ilvl w:val="0"/>
          <w:numId w:val="13"/>
        </w:numPr>
        <w:kinsoku/>
        <w:wordWrap/>
        <w:overflowPunct/>
        <w:topLinePunct w:val="0"/>
        <w:autoSpaceDE/>
        <w:autoSpaceDN/>
        <w:bidi w:val="0"/>
        <w:adjustRightInd/>
        <w:snapToGrid/>
        <w:spacing w:line="360" w:lineRule="auto"/>
        <w:ind w:left="84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探测器通道数量：≥64</w:t>
      </w:r>
    </w:p>
    <w:p w14:paraId="2F36709F">
      <w:pPr>
        <w:keepNext w:val="0"/>
        <w:keepLines w:val="0"/>
        <w:pageBreakBefore w:val="0"/>
        <w:widowControl w:val="0"/>
        <w:numPr>
          <w:ilvl w:val="0"/>
          <w:numId w:val="13"/>
        </w:numPr>
        <w:kinsoku/>
        <w:wordWrap/>
        <w:overflowPunct/>
        <w:topLinePunct w:val="0"/>
        <w:autoSpaceDE/>
        <w:autoSpaceDN/>
        <w:bidi w:val="0"/>
        <w:adjustRightInd/>
        <w:snapToGrid/>
        <w:spacing w:line="360" w:lineRule="auto"/>
        <w:ind w:left="84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探测器Z轴覆盖范围(mm)：≥40</w:t>
      </w:r>
    </w:p>
    <w:p w14:paraId="4462382E">
      <w:pPr>
        <w:keepNext w:val="0"/>
        <w:keepLines w:val="0"/>
        <w:pageBreakBefore w:val="0"/>
        <w:widowControl w:val="0"/>
        <w:numPr>
          <w:ilvl w:val="0"/>
          <w:numId w:val="13"/>
        </w:numPr>
        <w:kinsoku/>
        <w:wordWrap/>
        <w:overflowPunct/>
        <w:topLinePunct w:val="0"/>
        <w:autoSpaceDE/>
        <w:autoSpaceDN/>
        <w:bidi w:val="0"/>
        <w:adjustRightInd/>
        <w:snapToGrid/>
        <w:spacing w:line="360" w:lineRule="auto"/>
        <w:ind w:left="84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单圈扫描采集层数:≥128</w:t>
      </w:r>
    </w:p>
    <w:p w14:paraId="65DA0351">
      <w:pPr>
        <w:keepNext w:val="0"/>
        <w:keepLines w:val="0"/>
        <w:pageBreakBefore w:val="0"/>
        <w:widowControl w:val="0"/>
        <w:numPr>
          <w:ilvl w:val="0"/>
          <w:numId w:val="13"/>
        </w:numPr>
        <w:kinsoku/>
        <w:wordWrap/>
        <w:overflowPunct/>
        <w:topLinePunct w:val="0"/>
        <w:autoSpaceDE/>
        <w:autoSpaceDN/>
        <w:bidi w:val="0"/>
        <w:adjustRightInd/>
        <w:snapToGrid/>
        <w:spacing w:line="360" w:lineRule="auto"/>
        <w:ind w:left="84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单圈扫描图像重建层数:≥128</w:t>
      </w:r>
    </w:p>
    <w:p w14:paraId="2619D624">
      <w:pPr>
        <w:keepNext w:val="0"/>
        <w:keepLines w:val="0"/>
        <w:pageBreakBefore w:val="0"/>
        <w:widowControl w:val="0"/>
        <w:numPr>
          <w:ilvl w:val="0"/>
          <w:numId w:val="12"/>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球管</w:t>
      </w:r>
      <w:r>
        <w:rPr>
          <w:rFonts w:hint="eastAsia" w:ascii="宋体" w:hAnsi="宋体" w:eastAsia="宋体" w:cs="宋体"/>
          <w:sz w:val="24"/>
          <w:szCs w:val="24"/>
          <w:lang w:val="en-US" w:eastAsia="zh-CN"/>
        </w:rPr>
        <w:t>要求：</w:t>
      </w:r>
    </w:p>
    <w:p w14:paraId="28D48287">
      <w:pPr>
        <w:keepNext w:val="0"/>
        <w:keepLines w:val="0"/>
        <w:pageBreakBefore w:val="0"/>
        <w:widowControl w:val="0"/>
        <w:numPr>
          <w:ilvl w:val="0"/>
          <w:numId w:val="14"/>
        </w:numPr>
        <w:kinsoku/>
        <w:wordWrap/>
        <w:overflowPunct/>
        <w:topLinePunct w:val="0"/>
        <w:autoSpaceDE/>
        <w:autoSpaceDN/>
        <w:bidi w:val="0"/>
        <w:adjustRightInd/>
        <w:snapToGrid/>
        <w:spacing w:line="360" w:lineRule="auto"/>
        <w:ind w:left="84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有效阳极热容量(MHU):≥30</w:t>
      </w:r>
    </w:p>
    <w:p w14:paraId="3ACD8F83">
      <w:pPr>
        <w:keepNext w:val="0"/>
        <w:keepLines w:val="0"/>
        <w:pageBreakBefore w:val="0"/>
        <w:widowControl w:val="0"/>
        <w:numPr>
          <w:ilvl w:val="0"/>
          <w:numId w:val="14"/>
        </w:numPr>
        <w:kinsoku/>
        <w:wordWrap/>
        <w:overflowPunct/>
        <w:topLinePunct w:val="0"/>
        <w:autoSpaceDE/>
        <w:autoSpaceDN/>
        <w:bidi w:val="0"/>
        <w:adjustRightInd/>
        <w:snapToGrid/>
        <w:spacing w:line="360" w:lineRule="auto"/>
        <w:ind w:left="84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小焦点尺寸(mm²):≤0.5</w:t>
      </w:r>
    </w:p>
    <w:p w14:paraId="165D9A47">
      <w:pPr>
        <w:keepNext w:val="0"/>
        <w:keepLines w:val="0"/>
        <w:pageBreakBefore w:val="0"/>
        <w:widowControl w:val="0"/>
        <w:numPr>
          <w:ilvl w:val="0"/>
          <w:numId w:val="14"/>
        </w:numPr>
        <w:kinsoku/>
        <w:wordWrap/>
        <w:overflowPunct/>
        <w:topLinePunct w:val="0"/>
        <w:autoSpaceDE/>
        <w:autoSpaceDN/>
        <w:bidi w:val="0"/>
        <w:adjustRightInd/>
        <w:snapToGrid/>
        <w:spacing w:line="360" w:lineRule="auto"/>
        <w:ind w:left="84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大焦点尺寸(mm²):≤1.0</w:t>
      </w:r>
    </w:p>
    <w:p w14:paraId="08A5305C">
      <w:pPr>
        <w:keepNext w:val="0"/>
        <w:keepLines w:val="0"/>
        <w:pageBreakBefore w:val="0"/>
        <w:widowControl w:val="0"/>
        <w:numPr>
          <w:ilvl w:val="0"/>
          <w:numId w:val="14"/>
        </w:numPr>
        <w:kinsoku/>
        <w:wordWrap/>
        <w:overflowPunct/>
        <w:topLinePunct w:val="0"/>
        <w:autoSpaceDE/>
        <w:autoSpaceDN/>
        <w:bidi w:val="0"/>
        <w:adjustRightInd/>
        <w:snapToGrid/>
        <w:spacing w:line="360" w:lineRule="auto"/>
        <w:ind w:left="84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超低剂量扫描技术</w:t>
      </w:r>
    </w:p>
    <w:p w14:paraId="498B7F1F">
      <w:pPr>
        <w:keepNext w:val="0"/>
        <w:keepLines w:val="0"/>
        <w:pageBreakBefore w:val="0"/>
        <w:widowControl w:val="0"/>
        <w:numPr>
          <w:ilvl w:val="0"/>
          <w:numId w:val="14"/>
        </w:numPr>
        <w:kinsoku/>
        <w:wordWrap/>
        <w:overflowPunct/>
        <w:topLinePunct w:val="0"/>
        <w:autoSpaceDE/>
        <w:autoSpaceDN/>
        <w:bidi w:val="0"/>
        <w:adjustRightInd/>
        <w:snapToGrid/>
        <w:spacing w:line="360" w:lineRule="auto"/>
        <w:ind w:left="84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连续扫描时长(s)：≥120</w:t>
      </w:r>
    </w:p>
    <w:p w14:paraId="31FF0DE3">
      <w:pPr>
        <w:keepNext w:val="0"/>
        <w:keepLines w:val="0"/>
        <w:pageBreakBefore w:val="0"/>
        <w:widowControl w:val="0"/>
        <w:numPr>
          <w:ilvl w:val="0"/>
          <w:numId w:val="6"/>
        </w:numPr>
        <w:kinsoku/>
        <w:wordWrap/>
        <w:overflowPunct/>
        <w:topLinePunct w:val="0"/>
        <w:autoSpaceDE/>
        <w:autoSpaceDN/>
        <w:bidi w:val="0"/>
        <w:adjustRightInd/>
        <w:snapToGrid/>
        <w:spacing w:line="360" w:lineRule="auto"/>
        <w:ind w:left="720" w:hanging="72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PET性能</w:t>
      </w:r>
      <w:r>
        <w:rPr>
          <w:rFonts w:hint="eastAsia" w:ascii="宋体" w:hAnsi="宋体" w:eastAsia="宋体" w:cs="宋体"/>
          <w:sz w:val="24"/>
          <w:szCs w:val="24"/>
        </w:rPr>
        <w:t>参数要求：</w:t>
      </w:r>
    </w:p>
    <w:p w14:paraId="0A2AFCC4">
      <w:pPr>
        <w:keepNext w:val="0"/>
        <w:keepLines w:val="0"/>
        <w:pageBreakBefore w:val="0"/>
        <w:widowControl w:val="0"/>
        <w:numPr>
          <w:ilvl w:val="0"/>
          <w:numId w:val="15"/>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系统灵敏度(cps/kBq)(不包含等效灵敏度）：≥13.0</w:t>
      </w:r>
    </w:p>
    <w:p w14:paraId="4D1E29C8">
      <w:pPr>
        <w:keepNext w:val="0"/>
        <w:keepLines w:val="0"/>
        <w:pageBreakBefore w:val="0"/>
        <w:widowControl w:val="0"/>
        <w:numPr>
          <w:ilvl w:val="0"/>
          <w:numId w:val="15"/>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轴向扫描视野(cm) ：≥28</w:t>
      </w:r>
    </w:p>
    <w:p w14:paraId="1679A2E9">
      <w:pPr>
        <w:keepNext w:val="0"/>
        <w:keepLines w:val="0"/>
        <w:pageBreakBefore w:val="0"/>
        <w:widowControl w:val="0"/>
        <w:numPr>
          <w:ilvl w:val="0"/>
          <w:numId w:val="15"/>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横向扫描视野（cm）：≥70</w:t>
      </w:r>
    </w:p>
    <w:p w14:paraId="76F9F517">
      <w:pPr>
        <w:keepNext w:val="0"/>
        <w:keepLines w:val="0"/>
        <w:pageBreakBefore w:val="0"/>
        <w:widowControl w:val="0"/>
        <w:numPr>
          <w:ilvl w:val="0"/>
          <w:numId w:val="15"/>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符合时间窗(ns)：≤4.2</w:t>
      </w:r>
    </w:p>
    <w:p w14:paraId="100786EC">
      <w:pPr>
        <w:keepNext w:val="0"/>
        <w:keepLines w:val="0"/>
        <w:pageBreakBefore w:val="0"/>
        <w:widowControl w:val="0"/>
        <w:numPr>
          <w:ilvl w:val="0"/>
          <w:numId w:val="15"/>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NEMA空间分辨率(FWHM mm, FBP, NEMA-2012标准）</w:t>
      </w:r>
      <w:r>
        <w:rPr>
          <w:rFonts w:hint="eastAsia" w:ascii="宋体" w:hAnsi="宋体" w:eastAsia="宋体" w:cs="宋体"/>
          <w:sz w:val="24"/>
          <w:szCs w:val="24"/>
          <w:lang w:eastAsia="zh-CN"/>
        </w:rPr>
        <w:t>：</w:t>
      </w:r>
    </w:p>
    <w:p w14:paraId="34B2A1B3">
      <w:pPr>
        <w:keepNext w:val="0"/>
        <w:keepLines w:val="0"/>
        <w:pageBreakBefore w:val="0"/>
        <w:widowControl w:val="0"/>
        <w:numPr>
          <w:ilvl w:val="0"/>
          <w:numId w:val="16"/>
        </w:numPr>
        <w:kinsoku/>
        <w:wordWrap/>
        <w:overflowPunct/>
        <w:topLinePunct w:val="0"/>
        <w:autoSpaceDE/>
        <w:autoSpaceDN/>
        <w:bidi w:val="0"/>
        <w:adjustRightInd/>
        <w:snapToGrid/>
        <w:spacing w:line="360" w:lineRule="auto"/>
        <w:ind w:left="84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横向</w:t>
      </w:r>
      <w:r>
        <w:rPr>
          <w:rFonts w:hint="eastAsia" w:ascii="宋体" w:hAnsi="宋体" w:eastAsia="宋体" w:cs="宋体"/>
          <w:sz w:val="24"/>
          <w:szCs w:val="24"/>
          <w:lang w:eastAsia="zh-CN"/>
        </w:rPr>
        <w:t>：</w:t>
      </w:r>
    </w:p>
    <w:p w14:paraId="060AFE07">
      <w:pPr>
        <w:keepNext w:val="0"/>
        <w:keepLines w:val="0"/>
        <w:pageBreakBefore w:val="0"/>
        <w:widowControl w:val="0"/>
        <w:numPr>
          <w:ilvl w:val="1"/>
          <w:numId w:val="16"/>
        </w:numPr>
        <w:tabs>
          <w:tab w:val="clear" w:pos="840"/>
        </w:tabs>
        <w:kinsoku/>
        <w:wordWrap/>
        <w:overflowPunct/>
        <w:topLinePunct w:val="0"/>
        <w:autoSpaceDE/>
        <w:autoSpaceDN/>
        <w:bidi w:val="0"/>
        <w:adjustRightInd/>
        <w:snapToGrid/>
        <w:spacing w:line="360" w:lineRule="auto"/>
        <w:ind w:left="126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距中心1cm：≤3.4</w:t>
      </w:r>
    </w:p>
    <w:p w14:paraId="21D2B3AB">
      <w:pPr>
        <w:keepNext w:val="0"/>
        <w:keepLines w:val="0"/>
        <w:pageBreakBefore w:val="0"/>
        <w:widowControl w:val="0"/>
        <w:numPr>
          <w:ilvl w:val="1"/>
          <w:numId w:val="16"/>
        </w:numPr>
        <w:tabs>
          <w:tab w:val="clear" w:pos="840"/>
        </w:tabs>
        <w:kinsoku/>
        <w:wordWrap/>
        <w:overflowPunct/>
        <w:topLinePunct w:val="0"/>
        <w:autoSpaceDE/>
        <w:autoSpaceDN/>
        <w:bidi w:val="0"/>
        <w:adjustRightInd/>
        <w:snapToGrid/>
        <w:spacing w:line="360" w:lineRule="auto"/>
        <w:ind w:left="126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距中心10cm：≤3.8</w:t>
      </w:r>
    </w:p>
    <w:p w14:paraId="3A05A75B">
      <w:pPr>
        <w:keepNext w:val="0"/>
        <w:keepLines w:val="0"/>
        <w:pageBreakBefore w:val="0"/>
        <w:widowControl w:val="0"/>
        <w:numPr>
          <w:ilvl w:val="0"/>
          <w:numId w:val="16"/>
        </w:numPr>
        <w:kinsoku/>
        <w:wordWrap/>
        <w:overflowPunct/>
        <w:topLinePunct w:val="0"/>
        <w:autoSpaceDE/>
        <w:autoSpaceDN/>
        <w:bidi w:val="0"/>
        <w:adjustRightInd/>
        <w:snapToGrid/>
        <w:spacing w:line="360" w:lineRule="auto"/>
        <w:ind w:left="84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轴向</w:t>
      </w:r>
      <w:r>
        <w:rPr>
          <w:rFonts w:hint="eastAsia" w:ascii="宋体" w:hAnsi="宋体" w:eastAsia="宋体" w:cs="宋体"/>
          <w:sz w:val="24"/>
          <w:szCs w:val="24"/>
          <w:lang w:eastAsia="zh-CN"/>
        </w:rPr>
        <w:t>：</w:t>
      </w:r>
    </w:p>
    <w:p w14:paraId="7F036272">
      <w:pPr>
        <w:keepNext w:val="0"/>
        <w:keepLines w:val="0"/>
        <w:pageBreakBefore w:val="0"/>
        <w:widowControl w:val="0"/>
        <w:numPr>
          <w:ilvl w:val="1"/>
          <w:numId w:val="16"/>
        </w:numPr>
        <w:tabs>
          <w:tab w:val="clear" w:pos="840"/>
        </w:tabs>
        <w:kinsoku/>
        <w:wordWrap/>
        <w:overflowPunct/>
        <w:topLinePunct w:val="0"/>
        <w:autoSpaceDE/>
        <w:autoSpaceDN/>
        <w:bidi w:val="0"/>
        <w:adjustRightInd/>
        <w:snapToGrid/>
        <w:spacing w:line="360" w:lineRule="auto"/>
        <w:ind w:left="126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距中心1cm：≤3.4</w:t>
      </w:r>
    </w:p>
    <w:p w14:paraId="466AAC78">
      <w:pPr>
        <w:keepNext w:val="0"/>
        <w:keepLines w:val="0"/>
        <w:pageBreakBefore w:val="0"/>
        <w:widowControl w:val="0"/>
        <w:numPr>
          <w:ilvl w:val="1"/>
          <w:numId w:val="16"/>
        </w:numPr>
        <w:tabs>
          <w:tab w:val="clear" w:pos="840"/>
        </w:tabs>
        <w:kinsoku/>
        <w:wordWrap/>
        <w:overflowPunct/>
        <w:topLinePunct w:val="0"/>
        <w:autoSpaceDE/>
        <w:autoSpaceDN/>
        <w:bidi w:val="0"/>
        <w:adjustRightInd/>
        <w:snapToGrid/>
        <w:spacing w:line="360" w:lineRule="auto"/>
        <w:ind w:left="126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距中心10cm：≤3.7</w:t>
      </w:r>
    </w:p>
    <w:p w14:paraId="73C55161">
      <w:pPr>
        <w:keepNext w:val="0"/>
        <w:keepLines w:val="0"/>
        <w:pageBreakBefore w:val="0"/>
        <w:widowControl w:val="0"/>
        <w:numPr>
          <w:ilvl w:val="0"/>
          <w:numId w:val="15"/>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最优空间分辨率(FWHM mm, NEMA-2012, 可采用算法优化，如VUE point HD算法、HI-REZ processing算法、HYPER UVT重建算法等)</w:t>
      </w:r>
      <w:r>
        <w:rPr>
          <w:rFonts w:hint="eastAsia" w:ascii="宋体" w:hAnsi="宋体" w:eastAsia="宋体" w:cs="宋体"/>
          <w:sz w:val="24"/>
          <w:szCs w:val="24"/>
          <w:lang w:eastAsia="zh-CN"/>
        </w:rPr>
        <w:t>：</w:t>
      </w:r>
    </w:p>
    <w:p w14:paraId="0C2C6425">
      <w:pPr>
        <w:keepNext w:val="0"/>
        <w:keepLines w:val="0"/>
        <w:pageBreakBefore w:val="0"/>
        <w:widowControl w:val="0"/>
        <w:numPr>
          <w:ilvl w:val="0"/>
          <w:numId w:val="17"/>
        </w:numPr>
        <w:kinsoku/>
        <w:wordWrap/>
        <w:overflowPunct/>
        <w:topLinePunct w:val="0"/>
        <w:autoSpaceDE/>
        <w:autoSpaceDN/>
        <w:bidi w:val="0"/>
        <w:adjustRightInd/>
        <w:snapToGrid/>
        <w:spacing w:line="360" w:lineRule="auto"/>
        <w:ind w:left="84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横向</w:t>
      </w:r>
      <w:r>
        <w:rPr>
          <w:rFonts w:hint="eastAsia" w:ascii="宋体" w:hAnsi="宋体" w:eastAsia="宋体" w:cs="宋体"/>
          <w:sz w:val="24"/>
          <w:szCs w:val="24"/>
          <w:lang w:eastAsia="zh-CN"/>
        </w:rPr>
        <w:t>：</w:t>
      </w:r>
    </w:p>
    <w:p w14:paraId="14B6E59E">
      <w:pPr>
        <w:keepNext w:val="0"/>
        <w:keepLines w:val="0"/>
        <w:pageBreakBefore w:val="0"/>
        <w:widowControl w:val="0"/>
        <w:numPr>
          <w:ilvl w:val="1"/>
          <w:numId w:val="17"/>
        </w:numPr>
        <w:tabs>
          <w:tab w:val="clear" w:pos="840"/>
        </w:tabs>
        <w:kinsoku/>
        <w:wordWrap/>
        <w:overflowPunct/>
        <w:topLinePunct w:val="0"/>
        <w:autoSpaceDE/>
        <w:autoSpaceDN/>
        <w:bidi w:val="0"/>
        <w:adjustRightInd/>
        <w:snapToGrid/>
        <w:spacing w:line="360" w:lineRule="auto"/>
        <w:ind w:left="126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距中心1cm：≤2.0</w:t>
      </w:r>
    </w:p>
    <w:p w14:paraId="571C38F2">
      <w:pPr>
        <w:keepNext w:val="0"/>
        <w:keepLines w:val="0"/>
        <w:pageBreakBefore w:val="0"/>
        <w:widowControl w:val="0"/>
        <w:numPr>
          <w:ilvl w:val="1"/>
          <w:numId w:val="17"/>
        </w:numPr>
        <w:tabs>
          <w:tab w:val="clear" w:pos="840"/>
        </w:tabs>
        <w:kinsoku/>
        <w:wordWrap/>
        <w:overflowPunct/>
        <w:topLinePunct w:val="0"/>
        <w:autoSpaceDE/>
        <w:autoSpaceDN/>
        <w:bidi w:val="0"/>
        <w:adjustRightInd/>
        <w:snapToGrid/>
        <w:spacing w:line="360" w:lineRule="auto"/>
        <w:ind w:left="126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距中心10cm：≤2.0</w:t>
      </w:r>
    </w:p>
    <w:p w14:paraId="39DF95C9">
      <w:pPr>
        <w:keepNext w:val="0"/>
        <w:keepLines w:val="0"/>
        <w:pageBreakBefore w:val="0"/>
        <w:widowControl w:val="0"/>
        <w:numPr>
          <w:ilvl w:val="0"/>
          <w:numId w:val="17"/>
        </w:numPr>
        <w:kinsoku/>
        <w:wordWrap/>
        <w:overflowPunct/>
        <w:topLinePunct w:val="0"/>
        <w:autoSpaceDE/>
        <w:autoSpaceDN/>
        <w:bidi w:val="0"/>
        <w:adjustRightInd/>
        <w:snapToGrid/>
        <w:spacing w:line="360" w:lineRule="auto"/>
        <w:ind w:left="84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轴向</w:t>
      </w:r>
      <w:r>
        <w:rPr>
          <w:rFonts w:hint="eastAsia" w:ascii="宋体" w:hAnsi="宋体" w:eastAsia="宋体" w:cs="宋体"/>
          <w:sz w:val="24"/>
          <w:szCs w:val="24"/>
          <w:lang w:eastAsia="zh-CN"/>
        </w:rPr>
        <w:t>：</w:t>
      </w:r>
    </w:p>
    <w:p w14:paraId="6DA758A7">
      <w:pPr>
        <w:keepNext w:val="0"/>
        <w:keepLines w:val="0"/>
        <w:pageBreakBefore w:val="0"/>
        <w:widowControl w:val="0"/>
        <w:numPr>
          <w:ilvl w:val="1"/>
          <w:numId w:val="17"/>
        </w:numPr>
        <w:tabs>
          <w:tab w:val="clear" w:pos="840"/>
        </w:tabs>
        <w:kinsoku/>
        <w:wordWrap/>
        <w:overflowPunct/>
        <w:topLinePunct w:val="0"/>
        <w:autoSpaceDE/>
        <w:autoSpaceDN/>
        <w:bidi w:val="0"/>
        <w:adjustRightInd/>
        <w:snapToGrid/>
        <w:spacing w:line="360" w:lineRule="auto"/>
        <w:ind w:left="126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距中心1cm：≤2.0</w:t>
      </w:r>
    </w:p>
    <w:p w14:paraId="5BEE6F3F">
      <w:pPr>
        <w:keepNext w:val="0"/>
        <w:keepLines w:val="0"/>
        <w:pageBreakBefore w:val="0"/>
        <w:widowControl w:val="0"/>
        <w:numPr>
          <w:ilvl w:val="1"/>
          <w:numId w:val="17"/>
        </w:numPr>
        <w:tabs>
          <w:tab w:val="clear" w:pos="840"/>
        </w:tabs>
        <w:kinsoku/>
        <w:wordWrap/>
        <w:overflowPunct/>
        <w:topLinePunct w:val="0"/>
        <w:autoSpaceDE/>
        <w:autoSpaceDN/>
        <w:bidi w:val="0"/>
        <w:adjustRightInd/>
        <w:snapToGrid/>
        <w:spacing w:line="360" w:lineRule="auto"/>
        <w:ind w:left="126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距中心10cm：≤2.0</w:t>
      </w:r>
    </w:p>
    <w:p w14:paraId="763C4486">
      <w:pPr>
        <w:keepNext w:val="0"/>
        <w:keepLines w:val="0"/>
        <w:pageBreakBefore w:val="0"/>
        <w:widowControl w:val="0"/>
        <w:numPr>
          <w:ilvl w:val="0"/>
          <w:numId w:val="15"/>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 xml:space="preserve"> 散射分数(%)：≤40%</w:t>
      </w:r>
    </w:p>
    <w:p w14:paraId="37451A51">
      <w:pPr>
        <w:keepNext w:val="0"/>
        <w:keepLines w:val="0"/>
        <w:pageBreakBefore w:val="0"/>
        <w:widowControl w:val="0"/>
        <w:numPr>
          <w:ilvl w:val="0"/>
          <w:numId w:val="15"/>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系统达到峰值时的噪声等效计数率：≥200</w:t>
      </w:r>
    </w:p>
    <w:p w14:paraId="7127E485">
      <w:pPr>
        <w:keepNext w:val="0"/>
        <w:keepLines w:val="0"/>
        <w:pageBreakBefore w:val="0"/>
        <w:widowControl w:val="0"/>
        <w:numPr>
          <w:ilvl w:val="0"/>
          <w:numId w:val="15"/>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b/>
          <w:bCs/>
          <w:sz w:val="24"/>
          <w:szCs w:val="24"/>
        </w:rPr>
        <w:t>*</w:t>
      </w:r>
      <w:r>
        <w:rPr>
          <w:rFonts w:hint="eastAsia" w:ascii="宋体" w:hAnsi="宋体" w:eastAsia="宋体" w:cs="宋体"/>
          <w:sz w:val="24"/>
          <w:szCs w:val="24"/>
        </w:rPr>
        <w:t>系统TOF时间分辨率(ps)：≤</w:t>
      </w:r>
      <w:r>
        <w:rPr>
          <w:rFonts w:hint="eastAsia" w:ascii="宋体" w:hAnsi="宋体" w:eastAsia="宋体" w:cs="宋体"/>
          <w:sz w:val="24"/>
          <w:szCs w:val="24"/>
          <w:lang w:val="en-US" w:eastAsia="zh-CN"/>
        </w:rPr>
        <w:t>30</w:t>
      </w:r>
      <w:r>
        <w:rPr>
          <w:rFonts w:hint="eastAsia" w:ascii="宋体" w:hAnsi="宋体" w:eastAsia="宋体" w:cs="宋体"/>
          <w:sz w:val="24"/>
          <w:szCs w:val="24"/>
        </w:rPr>
        <w:t>0</w:t>
      </w:r>
    </w:p>
    <w:p w14:paraId="6BE0A0EB">
      <w:pPr>
        <w:keepNext w:val="0"/>
        <w:keepLines w:val="0"/>
        <w:pageBreakBefore w:val="0"/>
        <w:widowControl w:val="0"/>
        <w:numPr>
          <w:ilvl w:val="0"/>
          <w:numId w:val="15"/>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重建矩阵（PET矩阵，非显示屏矩阵）:≥880x880</w:t>
      </w:r>
    </w:p>
    <w:p w14:paraId="19B3FF88">
      <w:pPr>
        <w:keepNext w:val="0"/>
        <w:keepLines w:val="0"/>
        <w:pageBreakBefore w:val="0"/>
        <w:widowControl w:val="0"/>
        <w:numPr>
          <w:ilvl w:val="0"/>
          <w:numId w:val="15"/>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最小采样厚度(mm)：≤1.65</w:t>
      </w:r>
    </w:p>
    <w:p w14:paraId="117858ED">
      <w:pPr>
        <w:keepNext w:val="0"/>
        <w:keepLines w:val="0"/>
        <w:pageBreakBefore w:val="0"/>
        <w:widowControl w:val="0"/>
        <w:numPr>
          <w:ilvl w:val="0"/>
          <w:numId w:val="15"/>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系统能量分辨率(%)：≤10%</w:t>
      </w:r>
    </w:p>
    <w:p w14:paraId="6861B699">
      <w:pPr>
        <w:keepNext w:val="0"/>
        <w:keepLines w:val="0"/>
        <w:pageBreakBefore w:val="0"/>
        <w:widowControl w:val="0"/>
        <w:numPr>
          <w:ilvl w:val="0"/>
          <w:numId w:val="6"/>
        </w:numPr>
        <w:kinsoku/>
        <w:wordWrap/>
        <w:overflowPunct/>
        <w:topLinePunct w:val="0"/>
        <w:autoSpaceDE/>
        <w:autoSpaceDN/>
        <w:bidi w:val="0"/>
        <w:adjustRightInd/>
        <w:snapToGrid/>
        <w:spacing w:line="360" w:lineRule="auto"/>
        <w:ind w:left="720" w:hanging="72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CT性能</w:t>
      </w:r>
      <w:r>
        <w:rPr>
          <w:rFonts w:hint="eastAsia" w:ascii="宋体" w:hAnsi="宋体" w:eastAsia="宋体" w:cs="宋体"/>
          <w:sz w:val="24"/>
          <w:szCs w:val="24"/>
        </w:rPr>
        <w:t>参数要求：</w:t>
      </w:r>
    </w:p>
    <w:p w14:paraId="5BD58427">
      <w:pPr>
        <w:keepNext w:val="0"/>
        <w:keepLines w:val="0"/>
        <w:pageBreakBefore w:val="0"/>
        <w:widowControl w:val="0"/>
        <w:numPr>
          <w:ilvl w:val="0"/>
          <w:numId w:val="18"/>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最快转速(s/360°) ：≤0.35</w:t>
      </w:r>
    </w:p>
    <w:p w14:paraId="77F8951C">
      <w:pPr>
        <w:keepNext w:val="0"/>
        <w:keepLines w:val="0"/>
        <w:pageBreakBefore w:val="0"/>
        <w:widowControl w:val="0"/>
        <w:numPr>
          <w:ilvl w:val="0"/>
          <w:numId w:val="18"/>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最薄扫描层厚(mm) ：≤0.625</w:t>
      </w:r>
    </w:p>
    <w:p w14:paraId="147DAB2C">
      <w:pPr>
        <w:keepNext w:val="0"/>
        <w:keepLines w:val="0"/>
        <w:pageBreakBefore w:val="0"/>
        <w:widowControl w:val="0"/>
        <w:numPr>
          <w:ilvl w:val="0"/>
          <w:numId w:val="18"/>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每层数据采样率(Hz/圈)：≥4800</w:t>
      </w:r>
    </w:p>
    <w:p w14:paraId="74BD9440">
      <w:pPr>
        <w:keepNext w:val="0"/>
        <w:keepLines w:val="0"/>
        <w:pageBreakBefore w:val="0"/>
        <w:widowControl w:val="0"/>
        <w:numPr>
          <w:ilvl w:val="0"/>
          <w:numId w:val="18"/>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高压发生器功率(KW) ：≥80kw</w:t>
      </w:r>
    </w:p>
    <w:p w14:paraId="0970AA8F">
      <w:pPr>
        <w:keepNext w:val="0"/>
        <w:keepLines w:val="0"/>
        <w:pageBreakBefore w:val="0"/>
        <w:widowControl w:val="0"/>
        <w:numPr>
          <w:ilvl w:val="0"/>
          <w:numId w:val="18"/>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最大管电流(mA)：≥660</w:t>
      </w:r>
    </w:p>
    <w:p w14:paraId="138DA53B">
      <w:pPr>
        <w:keepNext w:val="0"/>
        <w:keepLines w:val="0"/>
        <w:pageBreakBefore w:val="0"/>
        <w:widowControl w:val="0"/>
        <w:numPr>
          <w:ilvl w:val="0"/>
          <w:numId w:val="18"/>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空间分辨率( LP/cm@10% MTF)：≥17</w:t>
      </w:r>
    </w:p>
    <w:p w14:paraId="470857CB">
      <w:pPr>
        <w:keepNext w:val="0"/>
        <w:keepLines w:val="0"/>
        <w:pageBreakBefore w:val="0"/>
        <w:widowControl w:val="0"/>
        <w:numPr>
          <w:ilvl w:val="0"/>
          <w:numId w:val="18"/>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密度分辨率(mm@0.3%)：≤4</w:t>
      </w:r>
    </w:p>
    <w:p w14:paraId="579A674E">
      <w:pPr>
        <w:keepNext w:val="0"/>
        <w:keepLines w:val="0"/>
        <w:pageBreakBefore w:val="0"/>
        <w:widowControl w:val="0"/>
        <w:numPr>
          <w:ilvl w:val="0"/>
          <w:numId w:val="18"/>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超高清采集矩阵：≥512×512</w:t>
      </w:r>
    </w:p>
    <w:p w14:paraId="2DE61D41">
      <w:pPr>
        <w:keepNext w:val="0"/>
        <w:keepLines w:val="0"/>
        <w:pageBreakBefore w:val="0"/>
        <w:widowControl w:val="0"/>
        <w:numPr>
          <w:ilvl w:val="0"/>
          <w:numId w:val="18"/>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超高清重建矩阵：≥1024×1024</w:t>
      </w:r>
    </w:p>
    <w:p w14:paraId="5A600E7B">
      <w:pPr>
        <w:keepNext w:val="0"/>
        <w:keepLines w:val="0"/>
        <w:pageBreakBefore w:val="0"/>
        <w:widowControl w:val="0"/>
        <w:numPr>
          <w:ilvl w:val="0"/>
          <w:numId w:val="18"/>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CT图像重建FOV范围(mm)：≥760</w:t>
      </w:r>
    </w:p>
    <w:p w14:paraId="403FE14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textAlignment w:val="auto"/>
        <w:rPr>
          <w:rFonts w:hint="eastAsia" w:ascii="宋体" w:hAnsi="宋体" w:eastAsia="宋体" w:cs="宋体"/>
          <w:sz w:val="24"/>
          <w:szCs w:val="24"/>
        </w:rPr>
      </w:pPr>
    </w:p>
    <w:p w14:paraId="6020A7E4">
      <w:pPr>
        <w:keepNext w:val="0"/>
        <w:keepLines w:val="0"/>
        <w:pageBreakBefore w:val="0"/>
        <w:widowControl w:val="0"/>
        <w:numPr>
          <w:ilvl w:val="0"/>
          <w:numId w:val="6"/>
        </w:numPr>
        <w:kinsoku/>
        <w:wordWrap/>
        <w:overflowPunct/>
        <w:topLinePunct w:val="0"/>
        <w:autoSpaceDE/>
        <w:autoSpaceDN/>
        <w:bidi w:val="0"/>
        <w:adjustRightInd/>
        <w:snapToGrid/>
        <w:spacing w:line="360" w:lineRule="auto"/>
        <w:ind w:left="720" w:hanging="72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CT质控</w:t>
      </w:r>
      <w:r>
        <w:rPr>
          <w:rFonts w:hint="eastAsia" w:ascii="宋体" w:hAnsi="宋体" w:eastAsia="宋体" w:cs="宋体"/>
          <w:sz w:val="24"/>
          <w:szCs w:val="24"/>
        </w:rPr>
        <w:t>参数要求：</w:t>
      </w:r>
    </w:p>
    <w:p w14:paraId="2771DB84">
      <w:pPr>
        <w:keepNext w:val="0"/>
        <w:keepLines w:val="0"/>
        <w:pageBreakBefore w:val="0"/>
        <w:widowControl w:val="0"/>
        <w:numPr>
          <w:ilvl w:val="0"/>
          <w:numId w:val="19"/>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具备CT自动质控软件</w:t>
      </w:r>
      <w:r>
        <w:rPr>
          <w:rFonts w:hint="eastAsia" w:ascii="宋体" w:hAnsi="宋体" w:eastAsia="宋体" w:cs="宋体"/>
          <w:sz w:val="24"/>
          <w:szCs w:val="24"/>
        </w:rPr>
        <w:t>。</w:t>
      </w:r>
    </w:p>
    <w:p w14:paraId="20A09F87">
      <w:pPr>
        <w:keepNext w:val="0"/>
        <w:keepLines w:val="0"/>
        <w:pageBreakBefore w:val="0"/>
        <w:widowControl w:val="0"/>
        <w:numPr>
          <w:ilvl w:val="0"/>
          <w:numId w:val="19"/>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具备X射线球管预热功能</w:t>
      </w:r>
      <w:r>
        <w:rPr>
          <w:rFonts w:hint="eastAsia" w:ascii="宋体" w:hAnsi="宋体" w:eastAsia="宋体" w:cs="宋体"/>
          <w:sz w:val="24"/>
          <w:szCs w:val="24"/>
        </w:rPr>
        <w:t>。</w:t>
      </w:r>
    </w:p>
    <w:p w14:paraId="0218EE35">
      <w:pPr>
        <w:keepNext w:val="0"/>
        <w:keepLines w:val="0"/>
        <w:pageBreakBefore w:val="0"/>
        <w:widowControl w:val="0"/>
        <w:numPr>
          <w:ilvl w:val="0"/>
          <w:numId w:val="19"/>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探测器空气校正</w:t>
      </w:r>
      <w:r>
        <w:rPr>
          <w:rFonts w:hint="eastAsia" w:ascii="宋体" w:hAnsi="宋体" w:eastAsia="宋体" w:cs="宋体"/>
          <w:sz w:val="24"/>
          <w:szCs w:val="24"/>
          <w:lang w:val="en-US" w:eastAsia="zh-CN"/>
        </w:rPr>
        <w:t>功能</w:t>
      </w:r>
      <w:r>
        <w:rPr>
          <w:rFonts w:hint="eastAsia" w:ascii="宋体" w:hAnsi="宋体" w:eastAsia="宋体" w:cs="宋体"/>
          <w:sz w:val="24"/>
          <w:szCs w:val="24"/>
        </w:rPr>
        <w:t>。</w:t>
      </w:r>
    </w:p>
    <w:p w14:paraId="4DB8D2E7">
      <w:pPr>
        <w:keepNext w:val="0"/>
        <w:keepLines w:val="0"/>
        <w:pageBreakBefore w:val="0"/>
        <w:widowControl w:val="0"/>
        <w:numPr>
          <w:ilvl w:val="0"/>
          <w:numId w:val="19"/>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探测器坏通道检测</w:t>
      </w:r>
      <w:r>
        <w:rPr>
          <w:rFonts w:hint="eastAsia" w:ascii="宋体" w:hAnsi="宋体" w:eastAsia="宋体" w:cs="宋体"/>
          <w:sz w:val="24"/>
          <w:szCs w:val="24"/>
          <w:lang w:val="en-US" w:eastAsia="zh-CN"/>
        </w:rPr>
        <w:t>功能</w:t>
      </w:r>
      <w:r>
        <w:rPr>
          <w:rFonts w:hint="eastAsia" w:ascii="宋体" w:hAnsi="宋体" w:eastAsia="宋体" w:cs="宋体"/>
          <w:sz w:val="24"/>
          <w:szCs w:val="24"/>
        </w:rPr>
        <w:t>。</w:t>
      </w:r>
    </w:p>
    <w:p w14:paraId="650BF8D8">
      <w:pPr>
        <w:keepNext w:val="0"/>
        <w:keepLines w:val="0"/>
        <w:pageBreakBefore w:val="0"/>
        <w:widowControl w:val="0"/>
        <w:numPr>
          <w:ilvl w:val="0"/>
          <w:numId w:val="6"/>
        </w:numPr>
        <w:kinsoku/>
        <w:wordWrap/>
        <w:overflowPunct/>
        <w:topLinePunct w:val="0"/>
        <w:autoSpaceDE/>
        <w:autoSpaceDN/>
        <w:bidi w:val="0"/>
        <w:adjustRightInd/>
        <w:snapToGrid/>
        <w:spacing w:line="360" w:lineRule="auto"/>
        <w:ind w:left="720" w:hanging="72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PET质控</w:t>
      </w:r>
      <w:r>
        <w:rPr>
          <w:rFonts w:hint="eastAsia" w:ascii="宋体" w:hAnsi="宋体" w:eastAsia="宋体" w:cs="宋体"/>
          <w:sz w:val="24"/>
          <w:szCs w:val="24"/>
        </w:rPr>
        <w:t>参数要求：</w:t>
      </w:r>
    </w:p>
    <w:p w14:paraId="48121F35">
      <w:pPr>
        <w:keepNext w:val="0"/>
        <w:keepLines w:val="0"/>
        <w:pageBreakBefore w:val="0"/>
        <w:widowControl w:val="0"/>
        <w:numPr>
          <w:ilvl w:val="0"/>
          <w:numId w:val="20"/>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PET自动质控软件</w:t>
      </w:r>
      <w:r>
        <w:rPr>
          <w:rFonts w:hint="eastAsia" w:ascii="宋体" w:hAnsi="宋体" w:eastAsia="宋体" w:cs="宋体"/>
          <w:sz w:val="24"/>
          <w:szCs w:val="24"/>
          <w:lang w:eastAsia="zh-CN"/>
        </w:rPr>
        <w:t>。</w:t>
      </w:r>
    </w:p>
    <w:p w14:paraId="40B7FE3D">
      <w:pPr>
        <w:keepNext w:val="0"/>
        <w:keepLines w:val="0"/>
        <w:pageBreakBefore w:val="0"/>
        <w:widowControl w:val="0"/>
        <w:numPr>
          <w:ilvl w:val="0"/>
          <w:numId w:val="20"/>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Ge68标准质控源：棒源或桶源</w:t>
      </w:r>
    </w:p>
    <w:p w14:paraId="438C7DAC">
      <w:pPr>
        <w:keepNext w:val="0"/>
        <w:keepLines w:val="0"/>
        <w:pageBreakBefore w:val="0"/>
        <w:widowControl w:val="0"/>
        <w:numPr>
          <w:ilvl w:val="0"/>
          <w:numId w:val="20"/>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无源日常质控</w:t>
      </w:r>
    </w:p>
    <w:p w14:paraId="4AE1A627">
      <w:pPr>
        <w:keepNext w:val="0"/>
        <w:keepLines w:val="0"/>
        <w:pageBreakBefore w:val="0"/>
        <w:widowControl w:val="0"/>
        <w:numPr>
          <w:ilvl w:val="0"/>
          <w:numId w:val="20"/>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探测器噪声监测</w:t>
      </w:r>
      <w:r>
        <w:rPr>
          <w:rFonts w:hint="eastAsia" w:ascii="宋体" w:hAnsi="宋体" w:eastAsia="宋体" w:cs="宋体"/>
          <w:sz w:val="24"/>
          <w:szCs w:val="24"/>
          <w:lang w:val="en-US" w:eastAsia="zh-CN"/>
        </w:rPr>
        <w:t>功能</w:t>
      </w:r>
      <w:r>
        <w:rPr>
          <w:rFonts w:hint="eastAsia" w:ascii="宋体" w:hAnsi="宋体" w:eastAsia="宋体" w:cs="宋体"/>
          <w:sz w:val="24"/>
          <w:szCs w:val="24"/>
        </w:rPr>
        <w:t xml:space="preserve"> </w:t>
      </w:r>
    </w:p>
    <w:p w14:paraId="034C4FF0">
      <w:pPr>
        <w:keepNext w:val="0"/>
        <w:keepLines w:val="0"/>
        <w:pageBreakBefore w:val="0"/>
        <w:widowControl w:val="0"/>
        <w:numPr>
          <w:ilvl w:val="0"/>
          <w:numId w:val="20"/>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探测器模块效率监测</w:t>
      </w:r>
      <w:r>
        <w:rPr>
          <w:rFonts w:hint="eastAsia" w:ascii="宋体" w:hAnsi="宋体" w:eastAsia="宋体" w:cs="宋体"/>
          <w:sz w:val="24"/>
          <w:szCs w:val="24"/>
          <w:lang w:val="en-US" w:eastAsia="zh-CN"/>
        </w:rPr>
        <w:t>功能</w:t>
      </w:r>
      <w:r>
        <w:rPr>
          <w:rFonts w:hint="eastAsia" w:ascii="宋体" w:hAnsi="宋体" w:eastAsia="宋体" w:cs="宋体"/>
          <w:sz w:val="24"/>
          <w:szCs w:val="24"/>
        </w:rPr>
        <w:t xml:space="preserve"> </w:t>
      </w:r>
    </w:p>
    <w:p w14:paraId="305E7311">
      <w:pPr>
        <w:keepNext w:val="0"/>
        <w:keepLines w:val="0"/>
        <w:pageBreakBefore w:val="0"/>
        <w:widowControl w:val="0"/>
        <w:numPr>
          <w:ilvl w:val="0"/>
          <w:numId w:val="20"/>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探测器系统效率监测</w:t>
      </w:r>
      <w:r>
        <w:rPr>
          <w:rFonts w:hint="eastAsia" w:ascii="宋体" w:hAnsi="宋体" w:eastAsia="宋体" w:cs="宋体"/>
          <w:sz w:val="24"/>
          <w:szCs w:val="24"/>
          <w:lang w:val="en-US" w:eastAsia="zh-CN"/>
        </w:rPr>
        <w:t>功能</w:t>
      </w:r>
      <w:r>
        <w:rPr>
          <w:rFonts w:hint="eastAsia" w:ascii="宋体" w:hAnsi="宋体" w:eastAsia="宋体" w:cs="宋体"/>
          <w:sz w:val="24"/>
          <w:szCs w:val="24"/>
        </w:rPr>
        <w:t xml:space="preserve"> </w:t>
      </w:r>
    </w:p>
    <w:p w14:paraId="7E61BD86">
      <w:pPr>
        <w:keepNext w:val="0"/>
        <w:keepLines w:val="0"/>
        <w:pageBreakBefore w:val="0"/>
        <w:widowControl w:val="0"/>
        <w:numPr>
          <w:ilvl w:val="0"/>
          <w:numId w:val="20"/>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随机事件计算</w:t>
      </w:r>
      <w:r>
        <w:rPr>
          <w:rFonts w:hint="eastAsia" w:ascii="宋体" w:hAnsi="宋体" w:eastAsia="宋体" w:cs="宋体"/>
          <w:sz w:val="24"/>
          <w:szCs w:val="24"/>
          <w:lang w:val="en-US" w:eastAsia="zh-CN"/>
        </w:rPr>
        <w:t>功能</w:t>
      </w:r>
      <w:r>
        <w:rPr>
          <w:rFonts w:hint="eastAsia" w:ascii="宋体" w:hAnsi="宋体" w:eastAsia="宋体" w:cs="宋体"/>
          <w:sz w:val="24"/>
          <w:szCs w:val="24"/>
        </w:rPr>
        <w:t xml:space="preserve"> </w:t>
      </w:r>
    </w:p>
    <w:p w14:paraId="44EF6BE3">
      <w:pPr>
        <w:keepNext w:val="0"/>
        <w:keepLines w:val="0"/>
        <w:pageBreakBefore w:val="0"/>
        <w:widowControl w:val="0"/>
        <w:numPr>
          <w:ilvl w:val="0"/>
          <w:numId w:val="20"/>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散射比率计算</w:t>
      </w:r>
      <w:r>
        <w:rPr>
          <w:rFonts w:hint="eastAsia" w:ascii="宋体" w:hAnsi="宋体" w:eastAsia="宋体" w:cs="宋体"/>
          <w:sz w:val="24"/>
          <w:szCs w:val="24"/>
          <w:lang w:val="en-US" w:eastAsia="zh-CN"/>
        </w:rPr>
        <w:t>功能</w:t>
      </w:r>
      <w:r>
        <w:rPr>
          <w:rFonts w:hint="eastAsia" w:ascii="宋体" w:hAnsi="宋体" w:eastAsia="宋体" w:cs="宋体"/>
          <w:sz w:val="24"/>
          <w:szCs w:val="24"/>
        </w:rPr>
        <w:t xml:space="preserve"> </w:t>
      </w:r>
    </w:p>
    <w:p w14:paraId="31D86F5E">
      <w:pPr>
        <w:keepNext w:val="0"/>
        <w:keepLines w:val="0"/>
        <w:pageBreakBefore w:val="0"/>
        <w:widowControl w:val="0"/>
        <w:numPr>
          <w:ilvl w:val="0"/>
          <w:numId w:val="20"/>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探测器定量探测效率校正</w:t>
      </w:r>
      <w:r>
        <w:rPr>
          <w:rFonts w:hint="eastAsia" w:ascii="宋体" w:hAnsi="宋体" w:eastAsia="宋体" w:cs="宋体"/>
          <w:sz w:val="24"/>
          <w:szCs w:val="24"/>
          <w:lang w:val="en-US" w:eastAsia="zh-CN"/>
        </w:rPr>
        <w:t>功能</w:t>
      </w:r>
      <w:r>
        <w:rPr>
          <w:rFonts w:hint="eastAsia" w:ascii="宋体" w:hAnsi="宋体" w:eastAsia="宋体" w:cs="宋体"/>
          <w:sz w:val="24"/>
          <w:szCs w:val="24"/>
        </w:rPr>
        <w:t xml:space="preserve"> ：提供</w:t>
      </w:r>
    </w:p>
    <w:p w14:paraId="161377BA">
      <w:pPr>
        <w:keepNext w:val="0"/>
        <w:keepLines w:val="0"/>
        <w:pageBreakBefore w:val="0"/>
        <w:widowControl w:val="0"/>
        <w:numPr>
          <w:ilvl w:val="0"/>
          <w:numId w:val="20"/>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探测器模块时间位移和宽度监测</w:t>
      </w:r>
      <w:r>
        <w:rPr>
          <w:rFonts w:hint="eastAsia" w:ascii="宋体" w:hAnsi="宋体" w:eastAsia="宋体" w:cs="宋体"/>
          <w:sz w:val="24"/>
          <w:szCs w:val="24"/>
          <w:lang w:val="en-US" w:eastAsia="zh-CN"/>
        </w:rPr>
        <w:t>功能</w:t>
      </w:r>
    </w:p>
    <w:p w14:paraId="165C1344">
      <w:pPr>
        <w:keepNext w:val="0"/>
        <w:keepLines w:val="0"/>
        <w:pageBreakBefore w:val="0"/>
        <w:widowControl w:val="0"/>
        <w:numPr>
          <w:ilvl w:val="0"/>
          <w:numId w:val="20"/>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探测器模块TOF准确性和差值监测</w:t>
      </w:r>
      <w:r>
        <w:rPr>
          <w:rFonts w:hint="eastAsia" w:ascii="宋体" w:hAnsi="宋体" w:eastAsia="宋体" w:cs="宋体"/>
          <w:sz w:val="24"/>
          <w:szCs w:val="24"/>
          <w:lang w:val="en-US" w:eastAsia="zh-CN"/>
        </w:rPr>
        <w:t>功能</w:t>
      </w:r>
    </w:p>
    <w:p w14:paraId="36AEA604">
      <w:pPr>
        <w:keepNext w:val="0"/>
        <w:keepLines w:val="0"/>
        <w:pageBreakBefore w:val="0"/>
        <w:widowControl w:val="0"/>
        <w:numPr>
          <w:ilvl w:val="0"/>
          <w:numId w:val="6"/>
        </w:numPr>
        <w:kinsoku/>
        <w:wordWrap/>
        <w:overflowPunct/>
        <w:topLinePunct w:val="0"/>
        <w:autoSpaceDE/>
        <w:autoSpaceDN/>
        <w:bidi w:val="0"/>
        <w:adjustRightInd/>
        <w:snapToGrid/>
        <w:spacing w:line="360" w:lineRule="auto"/>
        <w:ind w:left="720" w:hanging="72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计算机采集和后处理工作站</w:t>
      </w:r>
      <w:r>
        <w:rPr>
          <w:rFonts w:hint="eastAsia" w:ascii="宋体" w:hAnsi="宋体" w:eastAsia="宋体" w:cs="宋体"/>
          <w:sz w:val="24"/>
          <w:szCs w:val="24"/>
        </w:rPr>
        <w:t>参数要求：</w:t>
      </w:r>
    </w:p>
    <w:p w14:paraId="667469C8">
      <w:pPr>
        <w:keepNext w:val="0"/>
        <w:keepLines w:val="0"/>
        <w:pageBreakBefore w:val="0"/>
        <w:widowControl w:val="0"/>
        <w:numPr>
          <w:ilvl w:val="0"/>
          <w:numId w:val="21"/>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原厂采集工作站硬件</w:t>
      </w:r>
      <w:r>
        <w:rPr>
          <w:rFonts w:hint="eastAsia" w:ascii="宋体" w:hAnsi="宋体" w:eastAsia="宋体" w:cs="宋体"/>
          <w:sz w:val="24"/>
          <w:szCs w:val="24"/>
          <w:lang w:val="en-US" w:eastAsia="zh-CN"/>
        </w:rPr>
        <w:t>要求：</w:t>
      </w:r>
    </w:p>
    <w:p w14:paraId="434A9BA5">
      <w:pPr>
        <w:keepNext w:val="0"/>
        <w:keepLines w:val="0"/>
        <w:pageBreakBefore w:val="0"/>
        <w:widowControl w:val="0"/>
        <w:numPr>
          <w:ilvl w:val="0"/>
          <w:numId w:val="22"/>
        </w:numPr>
        <w:kinsoku/>
        <w:wordWrap/>
        <w:overflowPunct/>
        <w:topLinePunct w:val="0"/>
        <w:autoSpaceDE/>
        <w:autoSpaceDN/>
        <w:bidi w:val="0"/>
        <w:adjustRightInd/>
        <w:snapToGrid/>
        <w:spacing w:line="360" w:lineRule="auto"/>
        <w:ind w:left="84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主</w:t>
      </w:r>
      <w:r>
        <w:rPr>
          <w:rFonts w:hint="eastAsia" w:ascii="宋体" w:hAnsi="宋体" w:eastAsia="宋体" w:cs="宋体"/>
          <w:sz w:val="24"/>
          <w:szCs w:val="24"/>
          <w:lang w:val="en-US" w:eastAsia="zh-CN"/>
        </w:rPr>
        <w:t>CUP频率</w:t>
      </w:r>
      <w:r>
        <w:rPr>
          <w:rFonts w:hint="eastAsia" w:ascii="宋体" w:hAnsi="宋体" w:eastAsia="宋体" w:cs="宋体"/>
          <w:sz w:val="24"/>
          <w:szCs w:val="24"/>
        </w:rPr>
        <w:t>：≥3.0（GHz）</w:t>
      </w:r>
    </w:p>
    <w:p w14:paraId="11D1C8EE">
      <w:pPr>
        <w:keepNext w:val="0"/>
        <w:keepLines w:val="0"/>
        <w:pageBreakBefore w:val="0"/>
        <w:widowControl w:val="0"/>
        <w:numPr>
          <w:ilvl w:val="0"/>
          <w:numId w:val="22"/>
        </w:numPr>
        <w:kinsoku/>
        <w:wordWrap/>
        <w:overflowPunct/>
        <w:topLinePunct w:val="0"/>
        <w:autoSpaceDE/>
        <w:autoSpaceDN/>
        <w:bidi w:val="0"/>
        <w:adjustRightInd/>
        <w:snapToGrid/>
        <w:spacing w:line="360" w:lineRule="auto"/>
        <w:ind w:left="84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内存：≥24（GB）</w:t>
      </w:r>
    </w:p>
    <w:p w14:paraId="761C2A71">
      <w:pPr>
        <w:keepNext w:val="0"/>
        <w:keepLines w:val="0"/>
        <w:pageBreakBefore w:val="0"/>
        <w:widowControl w:val="0"/>
        <w:numPr>
          <w:ilvl w:val="0"/>
          <w:numId w:val="22"/>
        </w:numPr>
        <w:kinsoku/>
        <w:wordWrap/>
        <w:overflowPunct/>
        <w:topLinePunct w:val="0"/>
        <w:autoSpaceDE/>
        <w:autoSpaceDN/>
        <w:bidi w:val="0"/>
        <w:adjustRightInd/>
        <w:snapToGrid/>
        <w:spacing w:line="360" w:lineRule="auto"/>
        <w:ind w:left="84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硬盘：≥4（TB）</w:t>
      </w:r>
    </w:p>
    <w:p w14:paraId="763A6F3E">
      <w:pPr>
        <w:keepNext w:val="0"/>
        <w:keepLines w:val="0"/>
        <w:pageBreakBefore w:val="0"/>
        <w:widowControl w:val="0"/>
        <w:numPr>
          <w:ilvl w:val="0"/>
          <w:numId w:val="22"/>
        </w:numPr>
        <w:kinsoku/>
        <w:wordWrap/>
        <w:overflowPunct/>
        <w:topLinePunct w:val="0"/>
        <w:autoSpaceDE/>
        <w:autoSpaceDN/>
        <w:bidi w:val="0"/>
        <w:adjustRightInd/>
        <w:snapToGrid/>
        <w:spacing w:line="360" w:lineRule="auto"/>
        <w:ind w:left="84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LED双平</w:t>
      </w:r>
      <w:r>
        <w:rPr>
          <w:rFonts w:hint="eastAsia" w:ascii="宋体" w:hAnsi="宋体" w:eastAsia="宋体" w:cs="宋体"/>
          <w:sz w:val="24"/>
          <w:szCs w:val="24"/>
        </w:rPr>
        <w:t>显示器：≥24</w:t>
      </w:r>
      <w:r>
        <w:rPr>
          <w:rFonts w:hint="eastAsia" w:ascii="宋体" w:hAnsi="宋体" w:eastAsia="宋体" w:cs="宋体"/>
          <w:sz w:val="24"/>
          <w:szCs w:val="24"/>
          <w:lang w:val="en-US" w:eastAsia="zh-CN"/>
        </w:rPr>
        <w:t>寸</w:t>
      </w:r>
    </w:p>
    <w:p w14:paraId="29BA5E47">
      <w:pPr>
        <w:keepNext w:val="0"/>
        <w:keepLines w:val="0"/>
        <w:pageBreakBefore w:val="0"/>
        <w:widowControl w:val="0"/>
        <w:numPr>
          <w:ilvl w:val="0"/>
          <w:numId w:val="21"/>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原厂后处理工作站硬件</w:t>
      </w:r>
      <w:r>
        <w:rPr>
          <w:rFonts w:hint="eastAsia" w:ascii="宋体" w:hAnsi="宋体" w:eastAsia="宋体" w:cs="宋体"/>
          <w:sz w:val="24"/>
          <w:szCs w:val="24"/>
          <w:lang w:val="en-US" w:eastAsia="zh-CN"/>
        </w:rPr>
        <w:t>要求：</w:t>
      </w:r>
    </w:p>
    <w:p w14:paraId="7C96DFA1">
      <w:pPr>
        <w:keepNext w:val="0"/>
        <w:keepLines w:val="0"/>
        <w:pageBreakBefore w:val="0"/>
        <w:widowControl w:val="0"/>
        <w:numPr>
          <w:ilvl w:val="0"/>
          <w:numId w:val="23"/>
        </w:numPr>
        <w:kinsoku/>
        <w:wordWrap/>
        <w:overflowPunct/>
        <w:topLinePunct w:val="0"/>
        <w:autoSpaceDE/>
        <w:autoSpaceDN/>
        <w:bidi w:val="0"/>
        <w:adjustRightInd/>
        <w:snapToGrid/>
        <w:spacing w:line="360" w:lineRule="auto"/>
        <w:ind w:left="84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主</w:t>
      </w:r>
      <w:r>
        <w:rPr>
          <w:rFonts w:hint="eastAsia" w:ascii="宋体" w:hAnsi="宋体" w:eastAsia="宋体" w:cs="宋体"/>
          <w:sz w:val="24"/>
          <w:szCs w:val="24"/>
          <w:lang w:val="en-US" w:eastAsia="zh-CN"/>
        </w:rPr>
        <w:t>CUP频率</w:t>
      </w:r>
      <w:r>
        <w:rPr>
          <w:rFonts w:hint="eastAsia" w:ascii="宋体" w:hAnsi="宋体" w:eastAsia="宋体" w:cs="宋体"/>
          <w:sz w:val="24"/>
          <w:szCs w:val="24"/>
        </w:rPr>
        <w:t>≥2.4（GHz）</w:t>
      </w:r>
    </w:p>
    <w:p w14:paraId="3C727C95">
      <w:pPr>
        <w:keepNext w:val="0"/>
        <w:keepLines w:val="0"/>
        <w:pageBreakBefore w:val="0"/>
        <w:widowControl w:val="0"/>
        <w:numPr>
          <w:ilvl w:val="0"/>
          <w:numId w:val="23"/>
        </w:numPr>
        <w:kinsoku/>
        <w:wordWrap/>
        <w:overflowPunct/>
        <w:topLinePunct w:val="0"/>
        <w:autoSpaceDE/>
        <w:autoSpaceDN/>
        <w:bidi w:val="0"/>
        <w:adjustRightInd/>
        <w:snapToGrid/>
        <w:spacing w:line="360" w:lineRule="auto"/>
        <w:ind w:left="84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内存≥64（GB）</w:t>
      </w:r>
    </w:p>
    <w:p w14:paraId="53433E5F">
      <w:pPr>
        <w:keepNext w:val="0"/>
        <w:keepLines w:val="0"/>
        <w:pageBreakBefore w:val="0"/>
        <w:widowControl w:val="0"/>
        <w:numPr>
          <w:ilvl w:val="0"/>
          <w:numId w:val="23"/>
        </w:numPr>
        <w:kinsoku/>
        <w:wordWrap/>
        <w:overflowPunct/>
        <w:topLinePunct w:val="0"/>
        <w:autoSpaceDE/>
        <w:autoSpaceDN/>
        <w:bidi w:val="0"/>
        <w:adjustRightInd/>
        <w:snapToGrid/>
        <w:spacing w:line="360" w:lineRule="auto"/>
        <w:ind w:left="84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硬盘≥5（TB）</w:t>
      </w:r>
    </w:p>
    <w:p w14:paraId="23EFD978">
      <w:pPr>
        <w:keepNext w:val="0"/>
        <w:keepLines w:val="0"/>
        <w:pageBreakBefore w:val="0"/>
        <w:widowControl w:val="0"/>
        <w:numPr>
          <w:ilvl w:val="0"/>
          <w:numId w:val="23"/>
        </w:numPr>
        <w:kinsoku/>
        <w:wordWrap/>
        <w:overflowPunct/>
        <w:topLinePunct w:val="0"/>
        <w:autoSpaceDE/>
        <w:autoSpaceDN/>
        <w:bidi w:val="0"/>
        <w:adjustRightInd/>
        <w:snapToGrid/>
        <w:spacing w:line="360" w:lineRule="auto"/>
        <w:ind w:left="84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LED双屏</w:t>
      </w:r>
      <w:r>
        <w:rPr>
          <w:rFonts w:hint="eastAsia" w:ascii="宋体" w:hAnsi="宋体" w:eastAsia="宋体" w:cs="宋体"/>
          <w:sz w:val="24"/>
          <w:szCs w:val="24"/>
        </w:rPr>
        <w:t>显示器≥24</w:t>
      </w:r>
      <w:r>
        <w:rPr>
          <w:rFonts w:hint="eastAsia" w:ascii="宋体" w:hAnsi="宋体" w:eastAsia="宋体" w:cs="宋体"/>
          <w:sz w:val="24"/>
          <w:szCs w:val="24"/>
          <w:lang w:val="en-US" w:eastAsia="zh-CN"/>
        </w:rPr>
        <w:t>寸</w:t>
      </w:r>
    </w:p>
    <w:p w14:paraId="7CA8F992">
      <w:pPr>
        <w:keepNext w:val="0"/>
        <w:keepLines w:val="0"/>
        <w:pageBreakBefore w:val="0"/>
        <w:widowControl w:val="0"/>
        <w:numPr>
          <w:ilvl w:val="0"/>
          <w:numId w:val="6"/>
        </w:numPr>
        <w:kinsoku/>
        <w:wordWrap/>
        <w:overflowPunct/>
        <w:topLinePunct w:val="0"/>
        <w:autoSpaceDE/>
        <w:autoSpaceDN/>
        <w:bidi w:val="0"/>
        <w:adjustRightInd/>
        <w:snapToGrid/>
        <w:spacing w:line="360" w:lineRule="auto"/>
        <w:ind w:left="720" w:hanging="720"/>
        <w:textAlignment w:val="auto"/>
        <w:rPr>
          <w:rFonts w:hint="eastAsia" w:ascii="宋体" w:hAnsi="宋体" w:eastAsia="宋体" w:cs="宋体"/>
          <w:sz w:val="24"/>
          <w:szCs w:val="24"/>
        </w:rPr>
      </w:pPr>
      <w:r>
        <w:rPr>
          <w:rFonts w:hint="eastAsia" w:ascii="宋体" w:hAnsi="宋体" w:eastAsia="宋体" w:cs="宋体"/>
          <w:sz w:val="24"/>
          <w:szCs w:val="24"/>
        </w:rPr>
        <w:t>PET应用软件参数要求：</w:t>
      </w:r>
    </w:p>
    <w:p w14:paraId="64D00DFD">
      <w:pPr>
        <w:keepNext w:val="0"/>
        <w:keepLines w:val="0"/>
        <w:pageBreakBefore w:val="0"/>
        <w:widowControl w:val="0"/>
        <w:numPr>
          <w:ilvl w:val="0"/>
          <w:numId w:val="24"/>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图像采集软件</w:t>
      </w:r>
      <w:r>
        <w:rPr>
          <w:rFonts w:hint="eastAsia" w:ascii="宋体" w:hAnsi="宋体" w:eastAsia="宋体" w:cs="宋体"/>
          <w:sz w:val="24"/>
          <w:szCs w:val="24"/>
          <w:lang w:eastAsia="zh-CN"/>
        </w:rPr>
        <w:t>，</w:t>
      </w:r>
      <w:r>
        <w:rPr>
          <w:rFonts w:hint="eastAsia" w:ascii="宋体" w:hAnsi="宋体" w:eastAsia="宋体" w:cs="宋体"/>
          <w:sz w:val="24"/>
          <w:szCs w:val="24"/>
        </w:rPr>
        <w:t>包含</w:t>
      </w:r>
      <w:r>
        <w:rPr>
          <w:rFonts w:hint="eastAsia" w:ascii="宋体" w:hAnsi="宋体" w:eastAsia="宋体" w:cs="宋体"/>
          <w:sz w:val="24"/>
          <w:szCs w:val="24"/>
          <w:lang w:eastAsia="zh-CN"/>
        </w:rPr>
        <w:t>：</w:t>
      </w:r>
      <w:r>
        <w:rPr>
          <w:rFonts w:hint="eastAsia" w:ascii="宋体" w:hAnsi="宋体" w:eastAsia="宋体" w:cs="宋体"/>
          <w:sz w:val="24"/>
          <w:szCs w:val="24"/>
        </w:rPr>
        <w:t>静态, 动态、3D,List mode, 脑，心脏专用等</w:t>
      </w:r>
    </w:p>
    <w:p w14:paraId="2E3CAB52">
      <w:pPr>
        <w:keepNext w:val="0"/>
        <w:keepLines w:val="0"/>
        <w:pageBreakBefore w:val="0"/>
        <w:widowControl w:val="0"/>
        <w:numPr>
          <w:ilvl w:val="0"/>
          <w:numId w:val="24"/>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图像处理（重建）软件</w:t>
      </w:r>
    </w:p>
    <w:p w14:paraId="6030174A">
      <w:pPr>
        <w:keepNext w:val="0"/>
        <w:keepLines w:val="0"/>
        <w:pageBreakBefore w:val="0"/>
        <w:widowControl w:val="0"/>
        <w:numPr>
          <w:ilvl w:val="0"/>
          <w:numId w:val="24"/>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图像显示软件</w:t>
      </w:r>
    </w:p>
    <w:p w14:paraId="53C308BB">
      <w:pPr>
        <w:keepNext w:val="0"/>
        <w:keepLines w:val="0"/>
        <w:pageBreakBefore w:val="0"/>
        <w:widowControl w:val="0"/>
        <w:numPr>
          <w:ilvl w:val="0"/>
          <w:numId w:val="24"/>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定量分析软件</w:t>
      </w:r>
    </w:p>
    <w:p w14:paraId="1C941112">
      <w:pPr>
        <w:keepNext w:val="0"/>
        <w:keepLines w:val="0"/>
        <w:pageBreakBefore w:val="0"/>
        <w:widowControl w:val="0"/>
        <w:numPr>
          <w:ilvl w:val="0"/>
          <w:numId w:val="24"/>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校正软件</w:t>
      </w:r>
    </w:p>
    <w:p w14:paraId="5B4DCCB7">
      <w:pPr>
        <w:keepNext w:val="0"/>
        <w:keepLines w:val="0"/>
        <w:pageBreakBefore w:val="0"/>
        <w:widowControl w:val="0"/>
        <w:numPr>
          <w:ilvl w:val="0"/>
          <w:numId w:val="24"/>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质量控制软件</w:t>
      </w:r>
    </w:p>
    <w:p w14:paraId="6DDABA06">
      <w:pPr>
        <w:keepNext w:val="0"/>
        <w:keepLines w:val="0"/>
        <w:pageBreakBefore w:val="0"/>
        <w:widowControl w:val="0"/>
        <w:numPr>
          <w:ilvl w:val="0"/>
          <w:numId w:val="24"/>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NEMA测试软件</w:t>
      </w:r>
    </w:p>
    <w:p w14:paraId="27C27E3E">
      <w:pPr>
        <w:keepNext w:val="0"/>
        <w:keepLines w:val="0"/>
        <w:pageBreakBefore w:val="0"/>
        <w:widowControl w:val="0"/>
        <w:numPr>
          <w:ilvl w:val="0"/>
          <w:numId w:val="24"/>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3D迭代重建软件</w:t>
      </w:r>
    </w:p>
    <w:p w14:paraId="19E7428C">
      <w:pPr>
        <w:keepNext w:val="0"/>
        <w:keepLines w:val="0"/>
        <w:pageBreakBefore w:val="0"/>
        <w:widowControl w:val="0"/>
        <w:numPr>
          <w:ilvl w:val="0"/>
          <w:numId w:val="6"/>
        </w:numPr>
        <w:kinsoku/>
        <w:wordWrap/>
        <w:overflowPunct/>
        <w:topLinePunct w:val="0"/>
        <w:autoSpaceDE/>
        <w:autoSpaceDN/>
        <w:bidi w:val="0"/>
        <w:adjustRightInd/>
        <w:snapToGrid/>
        <w:spacing w:line="360" w:lineRule="auto"/>
        <w:ind w:left="720" w:hanging="720"/>
        <w:textAlignment w:val="auto"/>
        <w:rPr>
          <w:rFonts w:hint="eastAsia" w:ascii="宋体" w:hAnsi="宋体" w:eastAsia="宋体" w:cs="宋体"/>
          <w:sz w:val="24"/>
          <w:szCs w:val="24"/>
        </w:rPr>
      </w:pPr>
      <w:r>
        <w:rPr>
          <w:rFonts w:hint="eastAsia" w:ascii="宋体" w:hAnsi="宋体" w:eastAsia="宋体" w:cs="宋体"/>
          <w:sz w:val="24"/>
          <w:szCs w:val="24"/>
        </w:rPr>
        <w:t>PET高级动态采集及分析软件包参数要求：</w:t>
      </w:r>
    </w:p>
    <w:p w14:paraId="0702BBED">
      <w:pPr>
        <w:keepNext w:val="0"/>
        <w:keepLines w:val="0"/>
        <w:pageBreakBefore w:val="0"/>
        <w:widowControl w:val="0"/>
        <w:numPr>
          <w:ilvl w:val="0"/>
          <w:numId w:val="25"/>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支持进行PET动态采集，观察放射性摄取随时间变化并进行定量分析和计算</w:t>
      </w:r>
    </w:p>
    <w:p w14:paraId="5C443B24">
      <w:pPr>
        <w:keepNext w:val="0"/>
        <w:keepLines w:val="0"/>
        <w:pageBreakBefore w:val="0"/>
        <w:widowControl w:val="0"/>
        <w:numPr>
          <w:ilvl w:val="0"/>
          <w:numId w:val="25"/>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示踪剂的放射性活度随时间的变化绘制时间活度曲线图</w:t>
      </w:r>
      <w:r>
        <w:rPr>
          <w:rFonts w:hint="eastAsia" w:ascii="宋体" w:hAnsi="宋体" w:eastAsia="宋体" w:cs="宋体"/>
          <w:sz w:val="24"/>
          <w:szCs w:val="24"/>
          <w:lang w:val="en-US" w:eastAsia="zh-CN"/>
        </w:rPr>
        <w:t>功能</w:t>
      </w:r>
    </w:p>
    <w:p w14:paraId="5A42DD83">
      <w:pPr>
        <w:keepNext w:val="0"/>
        <w:keepLines w:val="0"/>
        <w:pageBreakBefore w:val="0"/>
        <w:widowControl w:val="0"/>
        <w:numPr>
          <w:ilvl w:val="0"/>
          <w:numId w:val="25"/>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快捷有效的查看PET动态、门控数据和CT数据的工具</w:t>
      </w:r>
    </w:p>
    <w:p w14:paraId="4D5BDC8E">
      <w:pPr>
        <w:keepNext w:val="0"/>
        <w:keepLines w:val="0"/>
        <w:pageBreakBefore w:val="0"/>
        <w:widowControl w:val="0"/>
        <w:numPr>
          <w:ilvl w:val="0"/>
          <w:numId w:val="25"/>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动态采集的PET数据可以以矩阵模式平铺显示，按照不同时间、不同位置模式自动电影播放</w:t>
      </w:r>
    </w:p>
    <w:p w14:paraId="198E3332">
      <w:pPr>
        <w:keepNext w:val="0"/>
        <w:keepLines w:val="0"/>
        <w:pageBreakBefore w:val="0"/>
        <w:widowControl w:val="0"/>
        <w:numPr>
          <w:ilvl w:val="0"/>
          <w:numId w:val="6"/>
        </w:numPr>
        <w:kinsoku/>
        <w:wordWrap/>
        <w:overflowPunct/>
        <w:topLinePunct w:val="0"/>
        <w:autoSpaceDE/>
        <w:autoSpaceDN/>
        <w:bidi w:val="0"/>
        <w:adjustRightInd/>
        <w:snapToGrid/>
        <w:spacing w:line="360" w:lineRule="auto"/>
        <w:ind w:left="720" w:hanging="720"/>
        <w:textAlignment w:val="auto"/>
        <w:rPr>
          <w:rFonts w:hint="eastAsia" w:ascii="宋体" w:hAnsi="宋体" w:eastAsia="宋体" w:cs="宋体"/>
          <w:sz w:val="24"/>
          <w:szCs w:val="24"/>
        </w:rPr>
      </w:pPr>
      <w:r>
        <w:rPr>
          <w:rFonts w:hint="eastAsia" w:ascii="宋体" w:hAnsi="宋体" w:eastAsia="宋体" w:cs="宋体"/>
          <w:sz w:val="24"/>
          <w:szCs w:val="24"/>
        </w:rPr>
        <w:t>CT应用软件参数要求：</w:t>
      </w:r>
    </w:p>
    <w:p w14:paraId="6FD67289">
      <w:pPr>
        <w:keepNext w:val="0"/>
        <w:keepLines w:val="0"/>
        <w:pageBreakBefore w:val="0"/>
        <w:widowControl w:val="0"/>
        <w:numPr>
          <w:ilvl w:val="0"/>
          <w:numId w:val="26"/>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图像采集软件</w:t>
      </w:r>
      <w:r>
        <w:rPr>
          <w:rFonts w:hint="eastAsia" w:ascii="宋体" w:hAnsi="宋体" w:eastAsia="宋体" w:cs="宋体"/>
          <w:sz w:val="24"/>
          <w:szCs w:val="24"/>
          <w:lang w:val="en-US" w:eastAsia="zh-CN"/>
        </w:rPr>
        <w:t>功能</w:t>
      </w:r>
    </w:p>
    <w:p w14:paraId="4C5EAC7E">
      <w:pPr>
        <w:keepNext w:val="0"/>
        <w:keepLines w:val="0"/>
        <w:pageBreakBefore w:val="0"/>
        <w:widowControl w:val="0"/>
        <w:numPr>
          <w:ilvl w:val="0"/>
          <w:numId w:val="26"/>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造影剂智能动态跟踪</w:t>
      </w:r>
      <w:r>
        <w:rPr>
          <w:rFonts w:hint="eastAsia" w:ascii="宋体" w:hAnsi="宋体" w:eastAsia="宋体" w:cs="宋体"/>
          <w:sz w:val="24"/>
          <w:szCs w:val="24"/>
          <w:lang w:val="en-US" w:eastAsia="zh-CN"/>
        </w:rPr>
        <w:t>功能</w:t>
      </w:r>
    </w:p>
    <w:p w14:paraId="60E8283A">
      <w:pPr>
        <w:keepNext w:val="0"/>
        <w:keepLines w:val="0"/>
        <w:pageBreakBefore w:val="0"/>
        <w:widowControl w:val="0"/>
        <w:numPr>
          <w:ilvl w:val="0"/>
          <w:numId w:val="26"/>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毫安自动调节功能</w:t>
      </w:r>
    </w:p>
    <w:p w14:paraId="3B94CA20">
      <w:pPr>
        <w:keepNext w:val="0"/>
        <w:keepLines w:val="0"/>
        <w:pageBreakBefore w:val="0"/>
        <w:widowControl w:val="0"/>
        <w:numPr>
          <w:ilvl w:val="0"/>
          <w:numId w:val="26"/>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低剂量软件</w:t>
      </w:r>
    </w:p>
    <w:p w14:paraId="0C1D72C3">
      <w:pPr>
        <w:keepNext w:val="0"/>
        <w:keepLines w:val="0"/>
        <w:pageBreakBefore w:val="0"/>
        <w:widowControl w:val="0"/>
        <w:numPr>
          <w:ilvl w:val="0"/>
          <w:numId w:val="26"/>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辐射剂量计算软件</w:t>
      </w:r>
    </w:p>
    <w:p w14:paraId="2A2E2972">
      <w:pPr>
        <w:keepNext w:val="0"/>
        <w:keepLines w:val="0"/>
        <w:pageBreakBefore w:val="0"/>
        <w:widowControl w:val="0"/>
        <w:numPr>
          <w:ilvl w:val="0"/>
          <w:numId w:val="26"/>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呼吸导航系统</w:t>
      </w:r>
    </w:p>
    <w:p w14:paraId="2B19E820">
      <w:pPr>
        <w:keepNext w:val="0"/>
        <w:keepLines w:val="0"/>
        <w:pageBreakBefore w:val="0"/>
        <w:widowControl w:val="0"/>
        <w:numPr>
          <w:ilvl w:val="0"/>
          <w:numId w:val="26"/>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图像处理（重建）软件</w:t>
      </w:r>
    </w:p>
    <w:p w14:paraId="00437E3B">
      <w:pPr>
        <w:keepNext w:val="0"/>
        <w:keepLines w:val="0"/>
        <w:pageBreakBefore w:val="0"/>
        <w:widowControl w:val="0"/>
        <w:numPr>
          <w:ilvl w:val="0"/>
          <w:numId w:val="26"/>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最大密度投影</w:t>
      </w:r>
      <w:r>
        <w:rPr>
          <w:rFonts w:hint="eastAsia" w:ascii="宋体" w:hAnsi="宋体" w:eastAsia="宋体" w:cs="宋体"/>
          <w:sz w:val="24"/>
          <w:szCs w:val="24"/>
          <w:lang w:val="en-US" w:eastAsia="zh-CN"/>
        </w:rPr>
        <w:t>功能</w:t>
      </w:r>
    </w:p>
    <w:p w14:paraId="3D50202A">
      <w:pPr>
        <w:keepNext w:val="0"/>
        <w:keepLines w:val="0"/>
        <w:pageBreakBefore w:val="0"/>
        <w:widowControl w:val="0"/>
        <w:numPr>
          <w:ilvl w:val="0"/>
          <w:numId w:val="26"/>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最小密度投影</w:t>
      </w:r>
      <w:r>
        <w:rPr>
          <w:rFonts w:hint="eastAsia" w:ascii="宋体" w:hAnsi="宋体" w:eastAsia="宋体" w:cs="宋体"/>
          <w:sz w:val="24"/>
          <w:szCs w:val="24"/>
          <w:lang w:val="en-US" w:eastAsia="zh-CN"/>
        </w:rPr>
        <w:t>功能</w:t>
      </w:r>
    </w:p>
    <w:p w14:paraId="7A37D639">
      <w:pPr>
        <w:keepNext w:val="0"/>
        <w:keepLines w:val="0"/>
        <w:pageBreakBefore w:val="0"/>
        <w:widowControl w:val="0"/>
        <w:numPr>
          <w:ilvl w:val="0"/>
          <w:numId w:val="26"/>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表面三维</w:t>
      </w:r>
      <w:r>
        <w:rPr>
          <w:rFonts w:hint="eastAsia" w:ascii="宋体" w:hAnsi="宋体" w:eastAsia="宋体" w:cs="宋体"/>
          <w:sz w:val="24"/>
          <w:szCs w:val="24"/>
          <w:lang w:val="en-US" w:eastAsia="zh-CN"/>
        </w:rPr>
        <w:t>功能</w:t>
      </w:r>
    </w:p>
    <w:p w14:paraId="317B74BC">
      <w:pPr>
        <w:keepNext w:val="0"/>
        <w:keepLines w:val="0"/>
        <w:pageBreakBefore w:val="0"/>
        <w:widowControl w:val="0"/>
        <w:numPr>
          <w:ilvl w:val="0"/>
          <w:numId w:val="26"/>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透明技术</w:t>
      </w:r>
    </w:p>
    <w:p w14:paraId="66892BB2">
      <w:pPr>
        <w:keepNext w:val="0"/>
        <w:keepLines w:val="0"/>
        <w:pageBreakBefore w:val="0"/>
        <w:widowControl w:val="0"/>
        <w:numPr>
          <w:ilvl w:val="0"/>
          <w:numId w:val="26"/>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多平面重建</w:t>
      </w:r>
      <w:r>
        <w:rPr>
          <w:rFonts w:hint="eastAsia" w:ascii="宋体" w:hAnsi="宋体" w:eastAsia="宋体" w:cs="宋体"/>
          <w:sz w:val="24"/>
          <w:szCs w:val="24"/>
          <w:lang w:val="en-US" w:eastAsia="zh-CN"/>
        </w:rPr>
        <w:t>功能</w:t>
      </w:r>
    </w:p>
    <w:p w14:paraId="62493C2A">
      <w:pPr>
        <w:keepNext w:val="0"/>
        <w:keepLines w:val="0"/>
        <w:pageBreakBefore w:val="0"/>
        <w:widowControl w:val="0"/>
        <w:numPr>
          <w:ilvl w:val="0"/>
          <w:numId w:val="26"/>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曲面重建</w:t>
      </w:r>
      <w:r>
        <w:rPr>
          <w:rFonts w:hint="eastAsia" w:ascii="宋体" w:hAnsi="宋体" w:eastAsia="宋体" w:cs="宋体"/>
          <w:sz w:val="24"/>
          <w:szCs w:val="24"/>
          <w:lang w:val="en-US" w:eastAsia="zh-CN"/>
        </w:rPr>
        <w:t>功能</w:t>
      </w:r>
    </w:p>
    <w:p w14:paraId="1FCA389E">
      <w:pPr>
        <w:keepNext w:val="0"/>
        <w:keepLines w:val="0"/>
        <w:pageBreakBefore w:val="0"/>
        <w:widowControl w:val="0"/>
        <w:numPr>
          <w:ilvl w:val="0"/>
          <w:numId w:val="26"/>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CT三维容积重建</w:t>
      </w:r>
      <w:r>
        <w:rPr>
          <w:rFonts w:hint="eastAsia" w:ascii="宋体" w:hAnsi="宋体" w:eastAsia="宋体" w:cs="宋体"/>
          <w:sz w:val="24"/>
          <w:szCs w:val="24"/>
          <w:lang w:val="en-US" w:eastAsia="zh-CN"/>
        </w:rPr>
        <w:t>功能</w:t>
      </w:r>
    </w:p>
    <w:p w14:paraId="4DBFC45F">
      <w:pPr>
        <w:keepNext w:val="0"/>
        <w:keepLines w:val="0"/>
        <w:pageBreakBefore w:val="0"/>
        <w:widowControl w:val="0"/>
        <w:numPr>
          <w:ilvl w:val="0"/>
          <w:numId w:val="26"/>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3D软件包</w:t>
      </w:r>
    </w:p>
    <w:p w14:paraId="1727E704">
      <w:pPr>
        <w:keepNext w:val="0"/>
        <w:keepLines w:val="0"/>
        <w:pageBreakBefore w:val="0"/>
        <w:widowControl w:val="0"/>
        <w:numPr>
          <w:ilvl w:val="0"/>
          <w:numId w:val="26"/>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三维多组织融合显示软件</w:t>
      </w:r>
      <w:r>
        <w:rPr>
          <w:rFonts w:hint="eastAsia" w:ascii="宋体" w:hAnsi="宋体" w:eastAsia="宋体" w:cs="宋体"/>
          <w:sz w:val="24"/>
          <w:szCs w:val="24"/>
          <w:lang w:val="en-US" w:eastAsia="zh-CN"/>
        </w:rPr>
        <w:t xml:space="preserve"> </w:t>
      </w:r>
    </w:p>
    <w:p w14:paraId="115A060C">
      <w:pPr>
        <w:keepNext w:val="0"/>
        <w:keepLines w:val="0"/>
        <w:pageBreakBefore w:val="0"/>
        <w:widowControl w:val="0"/>
        <w:numPr>
          <w:ilvl w:val="0"/>
          <w:numId w:val="26"/>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图像显示软件</w:t>
      </w:r>
      <w:r>
        <w:rPr>
          <w:rFonts w:hint="eastAsia" w:ascii="宋体" w:hAnsi="宋体" w:eastAsia="宋体" w:cs="宋体"/>
          <w:sz w:val="24"/>
          <w:szCs w:val="24"/>
          <w:lang w:val="en-US" w:eastAsia="zh-CN"/>
        </w:rPr>
        <w:t xml:space="preserve"> </w:t>
      </w:r>
    </w:p>
    <w:p w14:paraId="2174543C">
      <w:pPr>
        <w:keepNext w:val="0"/>
        <w:keepLines w:val="0"/>
        <w:pageBreakBefore w:val="0"/>
        <w:widowControl w:val="0"/>
        <w:numPr>
          <w:ilvl w:val="0"/>
          <w:numId w:val="26"/>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高级融骨和血管分析软件包</w:t>
      </w:r>
      <w:r>
        <w:rPr>
          <w:rFonts w:hint="eastAsia" w:ascii="宋体" w:hAnsi="宋体" w:eastAsia="宋体" w:cs="宋体"/>
          <w:sz w:val="24"/>
          <w:szCs w:val="24"/>
          <w:lang w:val="en-US" w:eastAsia="zh-CN"/>
        </w:rPr>
        <w:t xml:space="preserve"> </w:t>
      </w:r>
    </w:p>
    <w:p w14:paraId="4E7C7AE5">
      <w:pPr>
        <w:keepNext w:val="0"/>
        <w:keepLines w:val="0"/>
        <w:pageBreakBefore w:val="0"/>
        <w:widowControl w:val="0"/>
        <w:numPr>
          <w:ilvl w:val="0"/>
          <w:numId w:val="26"/>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高级心脏钙化积分软件包</w:t>
      </w:r>
      <w:r>
        <w:rPr>
          <w:rFonts w:hint="eastAsia" w:ascii="宋体" w:hAnsi="宋体" w:eastAsia="宋体" w:cs="宋体"/>
          <w:sz w:val="24"/>
          <w:szCs w:val="24"/>
          <w:lang w:val="en-US" w:eastAsia="zh-CN"/>
        </w:rPr>
        <w:t xml:space="preserve"> </w:t>
      </w:r>
    </w:p>
    <w:p w14:paraId="05B4AC31">
      <w:pPr>
        <w:keepNext w:val="0"/>
        <w:keepLines w:val="0"/>
        <w:pageBreakBefore w:val="0"/>
        <w:widowControl w:val="0"/>
        <w:numPr>
          <w:ilvl w:val="0"/>
          <w:numId w:val="26"/>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图像分析软件</w:t>
      </w:r>
      <w:r>
        <w:rPr>
          <w:rFonts w:hint="eastAsia" w:ascii="宋体" w:hAnsi="宋体" w:eastAsia="宋体" w:cs="宋体"/>
          <w:sz w:val="24"/>
          <w:szCs w:val="24"/>
          <w:lang w:val="en-US" w:eastAsia="zh-CN"/>
        </w:rPr>
        <w:t xml:space="preserve"> </w:t>
      </w:r>
    </w:p>
    <w:p w14:paraId="452CE0BB">
      <w:pPr>
        <w:keepNext w:val="0"/>
        <w:keepLines w:val="0"/>
        <w:pageBreakBefore w:val="0"/>
        <w:widowControl w:val="0"/>
        <w:numPr>
          <w:ilvl w:val="0"/>
          <w:numId w:val="26"/>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去金属伪影技术</w:t>
      </w:r>
      <w:r>
        <w:rPr>
          <w:rFonts w:hint="eastAsia" w:ascii="宋体" w:hAnsi="宋体" w:eastAsia="宋体" w:cs="宋体"/>
          <w:sz w:val="24"/>
          <w:szCs w:val="24"/>
          <w:lang w:val="en-US" w:eastAsia="zh-CN"/>
        </w:rPr>
        <w:t xml:space="preserve"> </w:t>
      </w:r>
    </w:p>
    <w:p w14:paraId="6E0ADA30">
      <w:pPr>
        <w:keepNext w:val="0"/>
        <w:keepLines w:val="0"/>
        <w:pageBreakBefore w:val="0"/>
        <w:widowControl w:val="0"/>
        <w:numPr>
          <w:ilvl w:val="0"/>
          <w:numId w:val="6"/>
        </w:numPr>
        <w:kinsoku/>
        <w:wordWrap/>
        <w:overflowPunct/>
        <w:topLinePunct w:val="0"/>
        <w:autoSpaceDE/>
        <w:autoSpaceDN/>
        <w:bidi w:val="0"/>
        <w:adjustRightInd/>
        <w:snapToGrid/>
        <w:spacing w:line="360" w:lineRule="auto"/>
        <w:ind w:left="720" w:hanging="720"/>
        <w:textAlignment w:val="auto"/>
        <w:rPr>
          <w:rFonts w:hint="eastAsia" w:ascii="宋体" w:hAnsi="宋体" w:eastAsia="宋体" w:cs="宋体"/>
          <w:sz w:val="24"/>
          <w:szCs w:val="24"/>
        </w:rPr>
      </w:pPr>
      <w:r>
        <w:rPr>
          <w:rFonts w:hint="eastAsia" w:ascii="宋体" w:hAnsi="宋体" w:eastAsia="宋体" w:cs="宋体"/>
          <w:sz w:val="24"/>
          <w:szCs w:val="24"/>
        </w:rPr>
        <w:t>PET-CT应用软件参数要求：</w:t>
      </w:r>
    </w:p>
    <w:p w14:paraId="75CECB12">
      <w:pPr>
        <w:keepNext w:val="0"/>
        <w:keepLines w:val="0"/>
        <w:pageBreakBefore w:val="0"/>
        <w:widowControl w:val="0"/>
        <w:numPr>
          <w:ilvl w:val="0"/>
          <w:numId w:val="27"/>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同机图像融合软件</w:t>
      </w:r>
    </w:p>
    <w:p w14:paraId="01B006C2">
      <w:pPr>
        <w:keepNext w:val="0"/>
        <w:keepLines w:val="0"/>
        <w:pageBreakBefore w:val="0"/>
        <w:widowControl w:val="0"/>
        <w:numPr>
          <w:ilvl w:val="0"/>
          <w:numId w:val="27"/>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图像处理软件</w:t>
      </w:r>
    </w:p>
    <w:p w14:paraId="25B004A0">
      <w:pPr>
        <w:keepNext w:val="0"/>
        <w:keepLines w:val="0"/>
        <w:pageBreakBefore w:val="0"/>
        <w:widowControl w:val="0"/>
        <w:numPr>
          <w:ilvl w:val="0"/>
          <w:numId w:val="27"/>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图像显示软件</w:t>
      </w:r>
    </w:p>
    <w:p w14:paraId="6AE43C55">
      <w:pPr>
        <w:keepNext w:val="0"/>
        <w:keepLines w:val="0"/>
        <w:pageBreakBefore w:val="0"/>
        <w:widowControl w:val="0"/>
        <w:numPr>
          <w:ilvl w:val="0"/>
          <w:numId w:val="27"/>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图像分析软件</w:t>
      </w:r>
    </w:p>
    <w:p w14:paraId="1535A943">
      <w:pPr>
        <w:keepNext w:val="0"/>
        <w:keepLines w:val="0"/>
        <w:pageBreakBefore w:val="0"/>
        <w:widowControl w:val="0"/>
        <w:numPr>
          <w:ilvl w:val="0"/>
          <w:numId w:val="27"/>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校正软件</w:t>
      </w:r>
    </w:p>
    <w:p w14:paraId="260DF308">
      <w:pPr>
        <w:keepNext w:val="0"/>
        <w:keepLines w:val="0"/>
        <w:pageBreakBefore w:val="0"/>
        <w:widowControl w:val="0"/>
        <w:numPr>
          <w:ilvl w:val="0"/>
          <w:numId w:val="27"/>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质量控制软件</w:t>
      </w:r>
    </w:p>
    <w:p w14:paraId="3634A6CF">
      <w:pPr>
        <w:keepNext w:val="0"/>
        <w:keepLines w:val="0"/>
        <w:pageBreakBefore w:val="0"/>
        <w:widowControl w:val="0"/>
        <w:numPr>
          <w:ilvl w:val="0"/>
          <w:numId w:val="27"/>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图像传输软件</w:t>
      </w:r>
    </w:p>
    <w:p w14:paraId="798F5109">
      <w:pPr>
        <w:keepNext w:val="0"/>
        <w:keepLines w:val="0"/>
        <w:pageBreakBefore w:val="0"/>
        <w:widowControl w:val="0"/>
        <w:numPr>
          <w:ilvl w:val="0"/>
          <w:numId w:val="27"/>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脑专用采集显像</w:t>
      </w:r>
    </w:p>
    <w:p w14:paraId="0E3023B2">
      <w:pPr>
        <w:keepNext w:val="0"/>
        <w:keepLines w:val="0"/>
        <w:pageBreakBefore w:val="0"/>
        <w:widowControl w:val="0"/>
        <w:numPr>
          <w:ilvl w:val="0"/>
          <w:numId w:val="27"/>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可自动进行患者观察和辅助摆位</w:t>
      </w:r>
      <w:r>
        <w:rPr>
          <w:rFonts w:hint="eastAsia" w:ascii="宋体" w:hAnsi="宋体" w:eastAsia="宋体" w:cs="宋体"/>
          <w:sz w:val="24"/>
          <w:szCs w:val="24"/>
          <w:lang w:val="en-US" w:eastAsia="zh-CN"/>
        </w:rPr>
        <w:t>功能</w:t>
      </w:r>
    </w:p>
    <w:p w14:paraId="43F5D1A6">
      <w:pPr>
        <w:keepNext w:val="0"/>
        <w:keepLines w:val="0"/>
        <w:pageBreakBefore w:val="0"/>
        <w:widowControl w:val="0"/>
        <w:numPr>
          <w:ilvl w:val="0"/>
          <w:numId w:val="27"/>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根据扫描协议，</w:t>
      </w:r>
      <w:r>
        <w:rPr>
          <w:rFonts w:hint="eastAsia" w:ascii="宋体" w:hAnsi="宋体" w:eastAsia="宋体" w:cs="宋体"/>
          <w:sz w:val="24"/>
          <w:szCs w:val="24"/>
          <w:lang w:val="en-US" w:eastAsia="zh-CN"/>
        </w:rPr>
        <w:t>具备</w:t>
      </w:r>
      <w:r>
        <w:rPr>
          <w:rFonts w:hint="eastAsia" w:ascii="宋体" w:hAnsi="宋体" w:eastAsia="宋体" w:cs="宋体"/>
          <w:sz w:val="24"/>
          <w:szCs w:val="24"/>
        </w:rPr>
        <w:t>自动规划CT及PET的扫描范围</w:t>
      </w:r>
      <w:r>
        <w:rPr>
          <w:rFonts w:hint="eastAsia" w:ascii="宋体" w:hAnsi="宋体" w:eastAsia="宋体" w:cs="宋体"/>
          <w:sz w:val="24"/>
          <w:szCs w:val="24"/>
          <w:lang w:val="en-US" w:eastAsia="zh-CN"/>
        </w:rPr>
        <w:t>功能</w:t>
      </w:r>
    </w:p>
    <w:p w14:paraId="7008E68B">
      <w:pPr>
        <w:keepNext w:val="0"/>
        <w:keepLines w:val="0"/>
        <w:pageBreakBefore w:val="0"/>
        <w:widowControl w:val="0"/>
        <w:numPr>
          <w:ilvl w:val="0"/>
          <w:numId w:val="27"/>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自动识别病人摆位及实时遥控扫描</w:t>
      </w:r>
      <w:r>
        <w:rPr>
          <w:rFonts w:hint="eastAsia" w:ascii="宋体" w:hAnsi="宋体" w:eastAsia="宋体" w:cs="宋体"/>
          <w:sz w:val="24"/>
          <w:szCs w:val="24"/>
          <w:lang w:val="en-US" w:eastAsia="zh-CN"/>
        </w:rPr>
        <w:t>功能</w:t>
      </w:r>
    </w:p>
    <w:p w14:paraId="60F89686">
      <w:pPr>
        <w:keepNext w:val="0"/>
        <w:keepLines w:val="0"/>
        <w:pageBreakBefore w:val="0"/>
        <w:widowControl w:val="0"/>
        <w:numPr>
          <w:ilvl w:val="0"/>
          <w:numId w:val="6"/>
        </w:numPr>
        <w:kinsoku/>
        <w:wordWrap/>
        <w:overflowPunct/>
        <w:topLinePunct w:val="0"/>
        <w:autoSpaceDE/>
        <w:autoSpaceDN/>
        <w:bidi w:val="0"/>
        <w:adjustRightInd/>
        <w:snapToGrid/>
        <w:spacing w:line="360" w:lineRule="auto"/>
        <w:ind w:left="720" w:hanging="720"/>
        <w:textAlignment w:val="auto"/>
        <w:rPr>
          <w:rFonts w:hint="eastAsia" w:ascii="宋体" w:hAnsi="宋体" w:eastAsia="宋体" w:cs="宋体"/>
          <w:sz w:val="24"/>
          <w:szCs w:val="24"/>
        </w:rPr>
      </w:pPr>
      <w:r>
        <w:rPr>
          <w:rFonts w:hint="eastAsia" w:ascii="宋体" w:hAnsi="宋体" w:eastAsia="宋体" w:cs="宋体"/>
          <w:sz w:val="24"/>
          <w:szCs w:val="24"/>
        </w:rPr>
        <w:t>高级肿瘤疗效评估平台参数要求：</w:t>
      </w:r>
    </w:p>
    <w:p w14:paraId="63F221EE">
      <w:pPr>
        <w:keepNext w:val="0"/>
        <w:keepLines w:val="0"/>
        <w:pageBreakBefore w:val="0"/>
        <w:widowControl w:val="0"/>
        <w:numPr>
          <w:ilvl w:val="0"/>
          <w:numId w:val="28"/>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智能流程准备系统，自动核对患者PET检查历史数据并精准质控</w:t>
      </w:r>
    </w:p>
    <w:p w14:paraId="3E81C2C2">
      <w:pPr>
        <w:keepNext w:val="0"/>
        <w:keepLines w:val="0"/>
        <w:pageBreakBefore w:val="0"/>
        <w:widowControl w:val="0"/>
        <w:numPr>
          <w:ilvl w:val="0"/>
          <w:numId w:val="28"/>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智能流程监测系统，核对患者采集/重建条件、准备情况、肝脏参考VOI等参数</w:t>
      </w:r>
    </w:p>
    <w:p w14:paraId="47F6D46B">
      <w:pPr>
        <w:keepNext w:val="0"/>
        <w:keepLines w:val="0"/>
        <w:pageBreakBefore w:val="0"/>
        <w:widowControl w:val="0"/>
        <w:numPr>
          <w:ilvl w:val="0"/>
          <w:numId w:val="28"/>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设备系统内嵌PERCIST/RECIST/EORTC国际实体瘤疗效评估标准，可自动调用</w:t>
      </w:r>
    </w:p>
    <w:p w14:paraId="5F3B4156">
      <w:pPr>
        <w:keepNext w:val="0"/>
        <w:keepLines w:val="0"/>
        <w:pageBreakBefore w:val="0"/>
        <w:widowControl w:val="0"/>
        <w:numPr>
          <w:ilvl w:val="0"/>
          <w:numId w:val="28"/>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系统可自动测算SULpeak，SULmax，SULmean，以及基于bsa的SUVpeak，SUVmax，SUVmean值</w:t>
      </w:r>
      <w:r>
        <w:rPr>
          <w:rFonts w:hint="eastAsia" w:ascii="宋体" w:hAnsi="宋体" w:eastAsia="宋体" w:cs="宋体"/>
          <w:sz w:val="24"/>
          <w:szCs w:val="24"/>
          <w:lang w:val="en-US" w:eastAsia="zh-CN"/>
        </w:rPr>
        <w:t>等数据</w:t>
      </w:r>
    </w:p>
    <w:p w14:paraId="11921FEF">
      <w:pPr>
        <w:keepNext w:val="0"/>
        <w:keepLines w:val="0"/>
        <w:pageBreakBefore w:val="0"/>
        <w:widowControl w:val="0"/>
        <w:numPr>
          <w:ilvl w:val="0"/>
          <w:numId w:val="28"/>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系统可自动测算GN Max 血糖归一化最大值、GN Mean 血糖归一化平均值、GN TLG 血糖归一化糖酵解值、BN Max 背景归一化最大值、BN Mean 背景归一化平均值</w:t>
      </w:r>
      <w:r>
        <w:rPr>
          <w:rFonts w:hint="eastAsia" w:ascii="宋体" w:hAnsi="宋体" w:eastAsia="宋体" w:cs="宋体"/>
          <w:sz w:val="24"/>
          <w:szCs w:val="24"/>
          <w:lang w:val="en-US" w:eastAsia="zh-CN"/>
        </w:rPr>
        <w:t>等数据</w:t>
      </w:r>
    </w:p>
    <w:p w14:paraId="3456E68E">
      <w:pPr>
        <w:keepNext w:val="0"/>
        <w:keepLines w:val="0"/>
        <w:pageBreakBefore w:val="0"/>
        <w:widowControl w:val="0"/>
        <w:numPr>
          <w:ilvl w:val="0"/>
          <w:numId w:val="28"/>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智能全身肿瘤骨负荷测定平台</w:t>
      </w:r>
    </w:p>
    <w:p w14:paraId="104C9448">
      <w:pPr>
        <w:keepNext w:val="0"/>
        <w:keepLines w:val="0"/>
        <w:pageBreakBefore w:val="0"/>
        <w:widowControl w:val="0"/>
        <w:numPr>
          <w:ilvl w:val="0"/>
          <w:numId w:val="28"/>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一键生成PERCIST/RECIST/EORTC评估结果报告</w:t>
      </w:r>
      <w:r>
        <w:rPr>
          <w:rFonts w:hint="eastAsia" w:ascii="宋体" w:hAnsi="宋体" w:eastAsia="宋体" w:cs="宋体"/>
          <w:sz w:val="24"/>
          <w:szCs w:val="24"/>
          <w:lang w:val="en-US" w:eastAsia="zh-CN"/>
        </w:rPr>
        <w:t>功能</w:t>
      </w:r>
    </w:p>
    <w:p w14:paraId="662C01CE">
      <w:pPr>
        <w:keepNext w:val="0"/>
        <w:keepLines w:val="0"/>
        <w:pageBreakBefore w:val="0"/>
        <w:widowControl w:val="0"/>
        <w:numPr>
          <w:ilvl w:val="0"/>
          <w:numId w:val="28"/>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具备图像</w:t>
      </w:r>
      <w:r>
        <w:rPr>
          <w:rFonts w:hint="eastAsia" w:ascii="宋体" w:hAnsi="宋体" w:eastAsia="宋体" w:cs="宋体"/>
          <w:sz w:val="24"/>
          <w:szCs w:val="24"/>
        </w:rPr>
        <w:t>自动</w:t>
      </w:r>
      <w:r>
        <w:rPr>
          <w:rFonts w:hint="eastAsia" w:ascii="宋体" w:hAnsi="宋体" w:eastAsia="宋体" w:cs="宋体"/>
          <w:sz w:val="24"/>
          <w:szCs w:val="24"/>
          <w:lang w:val="en-US" w:eastAsia="zh-CN"/>
        </w:rPr>
        <w:t>配准</w:t>
      </w:r>
      <w:r>
        <w:rPr>
          <w:rFonts w:hint="eastAsia" w:ascii="宋体" w:hAnsi="宋体" w:eastAsia="宋体" w:cs="宋体"/>
          <w:sz w:val="24"/>
          <w:szCs w:val="24"/>
        </w:rPr>
        <w:t>功能</w:t>
      </w:r>
      <w:r>
        <w:rPr>
          <w:rFonts w:hint="eastAsia" w:ascii="宋体" w:hAnsi="宋体" w:eastAsia="宋体" w:cs="宋体"/>
          <w:sz w:val="24"/>
          <w:szCs w:val="24"/>
          <w:lang w:eastAsia="zh-CN"/>
        </w:rPr>
        <w:t>（Registration）</w:t>
      </w:r>
      <w:r>
        <w:rPr>
          <w:rFonts w:hint="eastAsia" w:ascii="宋体" w:hAnsi="宋体" w:eastAsia="宋体" w:cs="宋体"/>
          <w:sz w:val="24"/>
          <w:szCs w:val="24"/>
        </w:rPr>
        <w:t>， 一键智能配准，治疗前后图像一键映射</w:t>
      </w:r>
    </w:p>
    <w:p w14:paraId="75B79301">
      <w:pPr>
        <w:keepNext w:val="0"/>
        <w:keepLines w:val="0"/>
        <w:pageBreakBefore w:val="0"/>
        <w:widowControl w:val="0"/>
        <w:numPr>
          <w:ilvl w:val="0"/>
          <w:numId w:val="28"/>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可实现一键映射后的病灶靶区勾画的ROI和阈值修改</w:t>
      </w:r>
    </w:p>
    <w:p w14:paraId="171E461B">
      <w:pPr>
        <w:keepNext w:val="0"/>
        <w:keepLines w:val="0"/>
        <w:pageBreakBefore w:val="0"/>
        <w:widowControl w:val="0"/>
        <w:numPr>
          <w:ilvl w:val="0"/>
          <w:numId w:val="28"/>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智能病灶自动分割功能</w:t>
      </w:r>
    </w:p>
    <w:p w14:paraId="5B77F7C2">
      <w:pPr>
        <w:keepNext w:val="0"/>
        <w:keepLines w:val="0"/>
        <w:pageBreakBefore w:val="0"/>
        <w:widowControl w:val="0"/>
        <w:numPr>
          <w:ilvl w:val="0"/>
          <w:numId w:val="28"/>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肿瘤系统治疗指导定量化流程监控平台</w:t>
      </w:r>
    </w:p>
    <w:p w14:paraId="1DF12DC9">
      <w:pPr>
        <w:keepNext w:val="0"/>
        <w:keepLines w:val="0"/>
        <w:pageBreakBefore w:val="0"/>
        <w:widowControl w:val="0"/>
        <w:numPr>
          <w:ilvl w:val="0"/>
          <w:numId w:val="28"/>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肝脏参考区域自动识别</w:t>
      </w:r>
      <w:r>
        <w:rPr>
          <w:rFonts w:hint="eastAsia" w:ascii="宋体" w:hAnsi="宋体" w:eastAsia="宋体" w:cs="宋体"/>
          <w:sz w:val="24"/>
          <w:szCs w:val="24"/>
          <w:lang w:val="en-US" w:eastAsia="zh-CN"/>
        </w:rPr>
        <w:t>功能</w:t>
      </w:r>
      <w:r>
        <w:rPr>
          <w:rFonts w:hint="eastAsia" w:ascii="宋体" w:hAnsi="宋体" w:eastAsia="宋体" w:cs="宋体"/>
          <w:sz w:val="24"/>
          <w:szCs w:val="24"/>
        </w:rPr>
        <w:t>（PERCIST标准）</w:t>
      </w:r>
    </w:p>
    <w:p w14:paraId="38F738BC">
      <w:pPr>
        <w:keepNext w:val="0"/>
        <w:keepLines w:val="0"/>
        <w:pageBreakBefore w:val="0"/>
        <w:widowControl w:val="0"/>
        <w:numPr>
          <w:ilvl w:val="0"/>
          <w:numId w:val="28"/>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主动脉弓参考区域自动识别</w:t>
      </w:r>
      <w:r>
        <w:rPr>
          <w:rFonts w:hint="eastAsia" w:ascii="宋体" w:hAnsi="宋体" w:eastAsia="宋体" w:cs="宋体"/>
          <w:sz w:val="24"/>
          <w:szCs w:val="24"/>
          <w:lang w:val="en-US" w:eastAsia="zh-CN"/>
        </w:rPr>
        <w:t>功能</w:t>
      </w:r>
      <w:r>
        <w:rPr>
          <w:rFonts w:hint="eastAsia" w:ascii="宋体" w:hAnsi="宋体" w:eastAsia="宋体" w:cs="宋体"/>
          <w:sz w:val="24"/>
          <w:szCs w:val="24"/>
        </w:rPr>
        <w:t>（PERCIST标准）</w:t>
      </w:r>
    </w:p>
    <w:p w14:paraId="19D46EE8">
      <w:pPr>
        <w:keepNext w:val="0"/>
        <w:keepLines w:val="0"/>
        <w:pageBreakBefore w:val="0"/>
        <w:widowControl w:val="0"/>
        <w:numPr>
          <w:ilvl w:val="0"/>
          <w:numId w:val="28"/>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肝脏+纵隔参考区域自动识别</w:t>
      </w:r>
      <w:r>
        <w:rPr>
          <w:rFonts w:hint="eastAsia" w:ascii="宋体" w:hAnsi="宋体" w:eastAsia="宋体" w:cs="宋体"/>
          <w:sz w:val="24"/>
          <w:szCs w:val="24"/>
          <w:lang w:val="en-US" w:eastAsia="zh-CN"/>
        </w:rPr>
        <w:t>功能</w:t>
      </w:r>
      <w:r>
        <w:rPr>
          <w:rFonts w:hint="eastAsia" w:ascii="宋体" w:hAnsi="宋体" w:eastAsia="宋体" w:cs="宋体"/>
          <w:sz w:val="24"/>
          <w:szCs w:val="24"/>
        </w:rPr>
        <w:t>（多维尔评分）</w:t>
      </w:r>
    </w:p>
    <w:p w14:paraId="17D9479C">
      <w:pPr>
        <w:keepNext w:val="0"/>
        <w:keepLines w:val="0"/>
        <w:pageBreakBefore w:val="0"/>
        <w:widowControl w:val="0"/>
        <w:numPr>
          <w:ilvl w:val="0"/>
          <w:numId w:val="28"/>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全身高代谢病灶自动识别</w:t>
      </w:r>
      <w:r>
        <w:rPr>
          <w:rFonts w:hint="eastAsia" w:ascii="宋体" w:hAnsi="宋体" w:eastAsia="宋体" w:cs="宋体"/>
          <w:sz w:val="24"/>
          <w:szCs w:val="24"/>
          <w:lang w:val="en-US" w:eastAsia="zh-CN"/>
        </w:rPr>
        <w:t>功能</w:t>
      </w:r>
    </w:p>
    <w:p w14:paraId="4A8D2DC8">
      <w:pPr>
        <w:keepNext w:val="0"/>
        <w:keepLines w:val="0"/>
        <w:pageBreakBefore w:val="0"/>
        <w:widowControl w:val="0"/>
        <w:numPr>
          <w:ilvl w:val="0"/>
          <w:numId w:val="28"/>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自动/手动病灶勾画</w:t>
      </w:r>
      <w:r>
        <w:rPr>
          <w:rFonts w:hint="eastAsia" w:ascii="宋体" w:hAnsi="宋体" w:eastAsia="宋体" w:cs="宋体"/>
          <w:sz w:val="24"/>
          <w:szCs w:val="24"/>
          <w:lang w:val="en-US" w:eastAsia="zh-CN"/>
        </w:rPr>
        <w:t>功能</w:t>
      </w:r>
    </w:p>
    <w:p w14:paraId="06A712A8">
      <w:pPr>
        <w:keepNext w:val="0"/>
        <w:keepLines w:val="0"/>
        <w:pageBreakBefore w:val="0"/>
        <w:widowControl w:val="0"/>
        <w:numPr>
          <w:ilvl w:val="0"/>
          <w:numId w:val="28"/>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最大病灶自动识别数量：≥50</w:t>
      </w:r>
    </w:p>
    <w:p w14:paraId="102DD6FB">
      <w:pPr>
        <w:keepNext w:val="0"/>
        <w:keepLines w:val="0"/>
        <w:pageBreakBefore w:val="0"/>
        <w:widowControl w:val="0"/>
        <w:numPr>
          <w:ilvl w:val="0"/>
          <w:numId w:val="28"/>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全自动病灶定量测量</w:t>
      </w:r>
      <w:r>
        <w:rPr>
          <w:rFonts w:hint="eastAsia" w:ascii="宋体" w:hAnsi="宋体" w:eastAsia="宋体" w:cs="宋体"/>
          <w:sz w:val="24"/>
          <w:szCs w:val="24"/>
          <w:lang w:val="en-US" w:eastAsia="zh-CN"/>
        </w:rPr>
        <w:t>功能</w:t>
      </w:r>
    </w:p>
    <w:p w14:paraId="616EE267">
      <w:pPr>
        <w:keepNext w:val="0"/>
        <w:keepLines w:val="0"/>
        <w:pageBreakBefore w:val="0"/>
        <w:widowControl w:val="0"/>
        <w:numPr>
          <w:ilvl w:val="0"/>
          <w:numId w:val="28"/>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病灶MTV以及全身MTV负荷自动计算</w:t>
      </w:r>
      <w:r>
        <w:rPr>
          <w:rFonts w:hint="eastAsia" w:ascii="宋体" w:hAnsi="宋体" w:eastAsia="宋体" w:cs="宋体"/>
          <w:sz w:val="24"/>
          <w:szCs w:val="24"/>
          <w:lang w:val="en-US" w:eastAsia="zh-CN"/>
        </w:rPr>
        <w:t>功能</w:t>
      </w:r>
    </w:p>
    <w:p w14:paraId="1A9AA85A">
      <w:pPr>
        <w:keepNext w:val="0"/>
        <w:keepLines w:val="0"/>
        <w:pageBreakBefore w:val="0"/>
        <w:widowControl w:val="0"/>
        <w:numPr>
          <w:ilvl w:val="0"/>
          <w:numId w:val="28"/>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病灶TLG以及全身TLG负荷自动计算</w:t>
      </w:r>
      <w:r>
        <w:rPr>
          <w:rFonts w:hint="eastAsia" w:ascii="宋体" w:hAnsi="宋体" w:eastAsia="宋体" w:cs="宋体"/>
          <w:sz w:val="24"/>
          <w:szCs w:val="24"/>
          <w:lang w:val="en-US" w:eastAsia="zh-CN"/>
        </w:rPr>
        <w:t>功能</w:t>
      </w:r>
    </w:p>
    <w:p w14:paraId="483689EE">
      <w:pPr>
        <w:keepNext w:val="0"/>
        <w:keepLines w:val="0"/>
        <w:pageBreakBefore w:val="0"/>
        <w:widowControl w:val="0"/>
        <w:numPr>
          <w:ilvl w:val="0"/>
          <w:numId w:val="28"/>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淋巴瘤多维尔评分自动计算</w:t>
      </w:r>
      <w:r>
        <w:rPr>
          <w:rFonts w:hint="eastAsia" w:ascii="宋体" w:hAnsi="宋体" w:eastAsia="宋体" w:cs="宋体"/>
          <w:sz w:val="24"/>
          <w:szCs w:val="24"/>
          <w:lang w:val="en-US" w:eastAsia="zh-CN"/>
        </w:rPr>
        <w:t>功能</w:t>
      </w:r>
    </w:p>
    <w:p w14:paraId="5337FB6E">
      <w:pPr>
        <w:keepNext w:val="0"/>
        <w:keepLines w:val="0"/>
        <w:pageBreakBefore w:val="0"/>
        <w:widowControl w:val="0"/>
        <w:numPr>
          <w:ilvl w:val="0"/>
          <w:numId w:val="28"/>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多期图像自动配准</w:t>
      </w:r>
      <w:r>
        <w:rPr>
          <w:rFonts w:hint="eastAsia" w:ascii="宋体" w:hAnsi="宋体" w:eastAsia="宋体" w:cs="宋体"/>
          <w:sz w:val="24"/>
          <w:szCs w:val="24"/>
          <w:lang w:val="en-US" w:eastAsia="zh-CN"/>
        </w:rPr>
        <w:t>功能</w:t>
      </w:r>
    </w:p>
    <w:p w14:paraId="61A5F762">
      <w:pPr>
        <w:keepNext w:val="0"/>
        <w:keepLines w:val="0"/>
        <w:pageBreakBefore w:val="0"/>
        <w:widowControl w:val="0"/>
        <w:numPr>
          <w:ilvl w:val="0"/>
          <w:numId w:val="28"/>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八时点对比功能</w:t>
      </w:r>
    </w:p>
    <w:p w14:paraId="6D6FCA9A">
      <w:pPr>
        <w:keepNext w:val="0"/>
        <w:keepLines w:val="0"/>
        <w:pageBreakBefore w:val="0"/>
        <w:widowControl w:val="0"/>
        <w:numPr>
          <w:ilvl w:val="0"/>
          <w:numId w:val="28"/>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全自动肿瘤随访曲线</w:t>
      </w:r>
      <w:r>
        <w:rPr>
          <w:rFonts w:hint="eastAsia" w:ascii="宋体" w:hAnsi="宋体" w:eastAsia="宋体" w:cs="宋体"/>
          <w:sz w:val="24"/>
          <w:szCs w:val="24"/>
          <w:lang w:val="en-US" w:eastAsia="zh-CN"/>
        </w:rPr>
        <w:t>功能</w:t>
      </w:r>
    </w:p>
    <w:p w14:paraId="2C535F06">
      <w:pPr>
        <w:keepNext w:val="0"/>
        <w:keepLines w:val="0"/>
        <w:pageBreakBefore w:val="0"/>
        <w:widowControl w:val="0"/>
        <w:numPr>
          <w:ilvl w:val="0"/>
          <w:numId w:val="28"/>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全自动疗效评估</w:t>
      </w:r>
      <w:r>
        <w:rPr>
          <w:rFonts w:hint="eastAsia" w:ascii="宋体" w:hAnsi="宋体" w:eastAsia="宋体" w:cs="宋体"/>
          <w:sz w:val="24"/>
          <w:szCs w:val="24"/>
          <w:lang w:val="en-US" w:eastAsia="zh-CN"/>
        </w:rPr>
        <w:t>功能</w:t>
      </w:r>
      <w:r>
        <w:rPr>
          <w:rFonts w:hint="eastAsia" w:ascii="宋体" w:hAnsi="宋体" w:eastAsia="宋体" w:cs="宋体"/>
          <w:sz w:val="24"/>
          <w:szCs w:val="24"/>
        </w:rPr>
        <w:t>（PERCIST标准）</w:t>
      </w:r>
    </w:p>
    <w:p w14:paraId="201F673F">
      <w:pPr>
        <w:keepNext w:val="0"/>
        <w:keepLines w:val="0"/>
        <w:pageBreakBefore w:val="0"/>
        <w:widowControl w:val="0"/>
        <w:numPr>
          <w:ilvl w:val="0"/>
          <w:numId w:val="28"/>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提供SUV校正系统和以PERCIST1.0为标准的治疗反应评价报告系统。</w:t>
      </w:r>
    </w:p>
    <w:p w14:paraId="2BFFD6B8">
      <w:pPr>
        <w:keepNext w:val="0"/>
        <w:keepLines w:val="0"/>
        <w:pageBreakBefore w:val="0"/>
        <w:widowControl w:val="0"/>
        <w:numPr>
          <w:ilvl w:val="0"/>
          <w:numId w:val="6"/>
        </w:numPr>
        <w:kinsoku/>
        <w:wordWrap/>
        <w:overflowPunct/>
        <w:topLinePunct w:val="0"/>
        <w:autoSpaceDE/>
        <w:autoSpaceDN/>
        <w:bidi w:val="0"/>
        <w:adjustRightInd/>
        <w:snapToGrid/>
        <w:spacing w:line="360" w:lineRule="auto"/>
        <w:ind w:left="720" w:hanging="720"/>
        <w:textAlignment w:val="auto"/>
        <w:rPr>
          <w:rFonts w:hint="eastAsia" w:ascii="宋体" w:hAnsi="宋体" w:eastAsia="宋体" w:cs="宋体"/>
          <w:sz w:val="24"/>
          <w:szCs w:val="24"/>
        </w:rPr>
      </w:pPr>
      <w:r>
        <w:rPr>
          <w:rFonts w:hint="eastAsia" w:ascii="宋体" w:hAnsi="宋体" w:eastAsia="宋体" w:cs="宋体"/>
          <w:sz w:val="24"/>
          <w:szCs w:val="24"/>
        </w:rPr>
        <w:t>神经系统定量分析参数要求：</w:t>
      </w:r>
    </w:p>
    <w:p w14:paraId="17978DE8">
      <w:pPr>
        <w:keepNext w:val="0"/>
        <w:keepLines w:val="0"/>
        <w:pageBreakBefore w:val="0"/>
        <w:widowControl w:val="0"/>
        <w:numPr>
          <w:ilvl w:val="0"/>
          <w:numId w:val="29"/>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PET神经系统定量分析功能（18F-FDG，18F-Flutementamol )</w:t>
      </w:r>
    </w:p>
    <w:p w14:paraId="28CF5015">
      <w:pPr>
        <w:keepNext w:val="0"/>
        <w:keepLines w:val="0"/>
        <w:pageBreakBefore w:val="0"/>
        <w:widowControl w:val="0"/>
        <w:numPr>
          <w:ilvl w:val="0"/>
          <w:numId w:val="29"/>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PET神经系统定量分析功能（11C-PIB)</w:t>
      </w:r>
    </w:p>
    <w:p w14:paraId="033E31DA">
      <w:pPr>
        <w:keepNext w:val="0"/>
        <w:keepLines w:val="0"/>
        <w:pageBreakBefore w:val="0"/>
        <w:widowControl w:val="0"/>
        <w:numPr>
          <w:ilvl w:val="0"/>
          <w:numId w:val="29"/>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配准到标准模板图像，并可选择配准迭代参数</w:t>
      </w:r>
      <w:r>
        <w:rPr>
          <w:rFonts w:hint="eastAsia" w:ascii="宋体" w:hAnsi="宋体" w:eastAsia="宋体" w:cs="宋体"/>
          <w:sz w:val="24"/>
          <w:szCs w:val="24"/>
          <w:lang w:val="en-US" w:eastAsia="zh-CN"/>
        </w:rPr>
        <w:t>功能</w:t>
      </w:r>
    </w:p>
    <w:p w14:paraId="220844FE">
      <w:pPr>
        <w:keepNext w:val="0"/>
        <w:keepLines w:val="0"/>
        <w:pageBreakBefore w:val="0"/>
        <w:widowControl w:val="0"/>
        <w:numPr>
          <w:ilvl w:val="0"/>
          <w:numId w:val="29"/>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量化分析包括同一病人的两组数据对比，脑分区显示，非正常区域检测，表格统计</w:t>
      </w:r>
      <w:r>
        <w:rPr>
          <w:rFonts w:hint="eastAsia" w:ascii="宋体" w:hAnsi="宋体" w:eastAsia="宋体" w:cs="宋体"/>
          <w:sz w:val="24"/>
          <w:szCs w:val="24"/>
          <w:lang w:val="en-US" w:eastAsia="zh-CN"/>
        </w:rPr>
        <w:t>等功能</w:t>
      </w:r>
    </w:p>
    <w:p w14:paraId="26FDB5B5">
      <w:pPr>
        <w:keepNext w:val="0"/>
        <w:keepLines w:val="0"/>
        <w:pageBreakBefore w:val="0"/>
        <w:widowControl w:val="0"/>
        <w:numPr>
          <w:ilvl w:val="0"/>
          <w:numId w:val="29"/>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淀粉样蛋白分析、癫痫疾病对称性分析以及多组数据对比分析</w:t>
      </w:r>
      <w:r>
        <w:rPr>
          <w:rFonts w:hint="eastAsia" w:ascii="宋体" w:hAnsi="宋体" w:eastAsia="宋体" w:cs="宋体"/>
          <w:sz w:val="24"/>
          <w:szCs w:val="24"/>
          <w:lang w:val="en-US" w:eastAsia="zh-CN"/>
        </w:rPr>
        <w:t>等功能</w:t>
      </w:r>
    </w:p>
    <w:p w14:paraId="275E97E9">
      <w:pPr>
        <w:keepNext w:val="0"/>
        <w:keepLines w:val="0"/>
        <w:pageBreakBefore w:val="0"/>
        <w:widowControl w:val="0"/>
        <w:numPr>
          <w:ilvl w:val="0"/>
          <w:numId w:val="29"/>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自建数据库</w:t>
      </w:r>
      <w:r>
        <w:rPr>
          <w:rFonts w:hint="eastAsia" w:ascii="宋体" w:hAnsi="宋体" w:eastAsia="宋体" w:cs="宋体"/>
          <w:sz w:val="24"/>
          <w:szCs w:val="24"/>
          <w:lang w:val="en-US" w:eastAsia="zh-CN"/>
        </w:rPr>
        <w:t>功能</w:t>
      </w:r>
      <w:r>
        <w:rPr>
          <w:rFonts w:hint="eastAsia" w:ascii="宋体" w:hAnsi="宋体" w:eastAsia="宋体" w:cs="宋体"/>
          <w:sz w:val="24"/>
          <w:szCs w:val="24"/>
        </w:rPr>
        <w:t>,支持FDG、AV-45、AV-1等多种药物。</w:t>
      </w:r>
    </w:p>
    <w:p w14:paraId="756586D4">
      <w:pPr>
        <w:keepNext w:val="0"/>
        <w:keepLines w:val="0"/>
        <w:pageBreakBefore w:val="0"/>
        <w:widowControl w:val="0"/>
        <w:numPr>
          <w:ilvl w:val="0"/>
          <w:numId w:val="6"/>
        </w:numPr>
        <w:kinsoku/>
        <w:wordWrap/>
        <w:overflowPunct/>
        <w:topLinePunct w:val="0"/>
        <w:autoSpaceDE/>
        <w:autoSpaceDN/>
        <w:bidi w:val="0"/>
        <w:adjustRightInd/>
        <w:snapToGrid/>
        <w:spacing w:line="360" w:lineRule="auto"/>
        <w:ind w:left="720" w:hanging="720"/>
        <w:textAlignment w:val="auto"/>
        <w:rPr>
          <w:rFonts w:hint="eastAsia" w:ascii="宋体" w:hAnsi="宋体" w:eastAsia="宋体" w:cs="宋体"/>
          <w:sz w:val="24"/>
          <w:szCs w:val="24"/>
        </w:rPr>
      </w:pPr>
      <w:r>
        <w:rPr>
          <w:rFonts w:hint="eastAsia" w:ascii="宋体" w:hAnsi="宋体" w:eastAsia="宋体" w:cs="宋体"/>
          <w:sz w:val="24"/>
          <w:szCs w:val="24"/>
        </w:rPr>
        <w:t>心脏融合平台</w:t>
      </w:r>
      <w:r>
        <w:rPr>
          <w:rFonts w:hint="eastAsia" w:ascii="宋体" w:hAnsi="宋体" w:eastAsia="宋体" w:cs="宋体"/>
          <w:sz w:val="24"/>
          <w:szCs w:val="24"/>
          <w:lang w:eastAsia="zh-CN"/>
        </w:rPr>
        <w:t>（</w:t>
      </w:r>
      <w:r>
        <w:rPr>
          <w:rFonts w:hint="eastAsia" w:ascii="宋体" w:hAnsi="宋体" w:eastAsia="宋体" w:cs="宋体"/>
          <w:sz w:val="24"/>
          <w:szCs w:val="24"/>
        </w:rPr>
        <w:t>Emory Cardiac Toolbox或Cedar</w:t>
      </w:r>
      <w:r>
        <w:rPr>
          <w:rFonts w:hint="eastAsia" w:ascii="宋体" w:hAnsi="宋体" w:eastAsia="宋体" w:cs="宋体"/>
          <w:sz w:val="24"/>
          <w:szCs w:val="24"/>
          <w:lang w:eastAsia="zh-CN"/>
        </w:rPr>
        <w:t>）</w:t>
      </w:r>
      <w:r>
        <w:rPr>
          <w:rFonts w:hint="eastAsia" w:ascii="宋体" w:hAnsi="宋体" w:eastAsia="宋体" w:cs="宋体"/>
          <w:sz w:val="24"/>
          <w:szCs w:val="24"/>
        </w:rPr>
        <w:t>参数要求：</w:t>
      </w:r>
    </w:p>
    <w:p w14:paraId="00B24183">
      <w:pPr>
        <w:keepNext w:val="0"/>
        <w:keepLines w:val="0"/>
        <w:pageBreakBefore w:val="0"/>
        <w:widowControl w:val="0"/>
        <w:numPr>
          <w:ilvl w:val="0"/>
          <w:numId w:val="30"/>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可</w:t>
      </w:r>
      <w:r>
        <w:rPr>
          <w:rFonts w:hint="eastAsia" w:ascii="宋体" w:hAnsi="宋体" w:eastAsia="宋体" w:cs="宋体"/>
          <w:sz w:val="24"/>
          <w:szCs w:val="24"/>
        </w:rPr>
        <w:t>实现心脏多种数据包括心肌存活和血流灌注的定量分析</w:t>
      </w:r>
    </w:p>
    <w:p w14:paraId="5DFD8910">
      <w:pPr>
        <w:keepNext w:val="0"/>
        <w:keepLines w:val="0"/>
        <w:pageBreakBefore w:val="0"/>
        <w:widowControl w:val="0"/>
        <w:numPr>
          <w:ilvl w:val="0"/>
          <w:numId w:val="30"/>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心脏范围的选取，心脏长短轴确定，心脏短轴，水平长轴和垂直长轴的重建</w:t>
      </w:r>
      <w:r>
        <w:rPr>
          <w:rFonts w:hint="eastAsia" w:ascii="宋体" w:hAnsi="宋体" w:eastAsia="宋体" w:cs="宋体"/>
          <w:sz w:val="24"/>
          <w:szCs w:val="24"/>
          <w:lang w:val="en-US" w:eastAsia="zh-CN"/>
        </w:rPr>
        <w:t>功能</w:t>
      </w:r>
    </w:p>
    <w:p w14:paraId="79E75D5C">
      <w:pPr>
        <w:keepNext w:val="0"/>
        <w:keepLines w:val="0"/>
        <w:pageBreakBefore w:val="0"/>
        <w:widowControl w:val="0"/>
        <w:numPr>
          <w:ilvl w:val="0"/>
          <w:numId w:val="30"/>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心灌注分析，显示牛眼图、灌注图、动/静态参图对比等分析</w:t>
      </w:r>
      <w:r>
        <w:rPr>
          <w:rFonts w:hint="eastAsia" w:ascii="宋体" w:hAnsi="宋体" w:eastAsia="宋体" w:cs="宋体"/>
          <w:sz w:val="24"/>
          <w:szCs w:val="24"/>
          <w:lang w:val="en-US" w:eastAsia="zh-CN"/>
        </w:rPr>
        <w:t>功能</w:t>
      </w:r>
    </w:p>
    <w:p w14:paraId="54985FDE">
      <w:pPr>
        <w:keepNext w:val="0"/>
        <w:keepLines w:val="0"/>
        <w:pageBreakBefore w:val="0"/>
        <w:widowControl w:val="0"/>
        <w:numPr>
          <w:ilvl w:val="0"/>
          <w:numId w:val="30"/>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心活性分析，包括显示静息灌注参数图、压力灌注参数图、活性质量统计等</w:t>
      </w:r>
      <w:r>
        <w:rPr>
          <w:rFonts w:hint="eastAsia" w:ascii="宋体" w:hAnsi="宋体" w:eastAsia="宋体" w:cs="宋体"/>
          <w:sz w:val="24"/>
          <w:szCs w:val="24"/>
          <w:lang w:val="en-US" w:eastAsia="zh-CN"/>
        </w:rPr>
        <w:t>功能</w:t>
      </w:r>
    </w:p>
    <w:p w14:paraId="034DD5C9">
      <w:pPr>
        <w:keepNext w:val="0"/>
        <w:keepLines w:val="0"/>
        <w:pageBreakBefore w:val="0"/>
        <w:widowControl w:val="0"/>
        <w:numPr>
          <w:ilvl w:val="0"/>
          <w:numId w:val="30"/>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PET高级重建算法：uExcel DPR或超级迭代平台或Ultra HD PET</w:t>
      </w:r>
    </w:p>
    <w:p w14:paraId="0D624443">
      <w:pPr>
        <w:keepNext w:val="0"/>
        <w:keepLines w:val="0"/>
        <w:pageBreakBefore w:val="0"/>
        <w:widowControl w:val="0"/>
        <w:numPr>
          <w:ilvl w:val="0"/>
          <w:numId w:val="30"/>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异机恒准定量平台</w:t>
      </w:r>
      <w:r>
        <w:rPr>
          <w:rFonts w:hint="eastAsia" w:ascii="宋体" w:hAnsi="宋体" w:eastAsia="宋体" w:cs="宋体"/>
          <w:sz w:val="24"/>
          <w:szCs w:val="24"/>
          <w:lang w:val="en-US" w:eastAsia="zh-CN"/>
        </w:rPr>
        <w:t>要求：</w:t>
      </w:r>
    </w:p>
    <w:p w14:paraId="583C602D">
      <w:pPr>
        <w:keepNext w:val="0"/>
        <w:keepLines w:val="0"/>
        <w:pageBreakBefore w:val="0"/>
        <w:widowControl w:val="0"/>
        <w:numPr>
          <w:ilvl w:val="0"/>
          <w:numId w:val="31"/>
        </w:numPr>
        <w:kinsoku/>
        <w:wordWrap/>
        <w:overflowPunct/>
        <w:topLinePunct w:val="0"/>
        <w:autoSpaceDE/>
        <w:autoSpaceDN/>
        <w:bidi w:val="0"/>
        <w:adjustRightInd/>
        <w:snapToGrid/>
        <w:spacing w:line="360" w:lineRule="auto"/>
        <w:ind w:left="84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在不影响图像质量的前提下，实现不同设备不同重建方式下，PET定量的一致性</w:t>
      </w:r>
    </w:p>
    <w:p w14:paraId="1986A481">
      <w:pPr>
        <w:keepNext w:val="0"/>
        <w:keepLines w:val="0"/>
        <w:pageBreakBefore w:val="0"/>
        <w:widowControl w:val="0"/>
        <w:numPr>
          <w:ilvl w:val="0"/>
          <w:numId w:val="31"/>
        </w:numPr>
        <w:kinsoku/>
        <w:wordWrap/>
        <w:overflowPunct/>
        <w:topLinePunct w:val="0"/>
        <w:autoSpaceDE/>
        <w:autoSpaceDN/>
        <w:bidi w:val="0"/>
        <w:adjustRightInd/>
        <w:snapToGrid/>
        <w:spacing w:line="360" w:lineRule="auto"/>
        <w:ind w:left="84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对比度还原曲线（RC）自动测量</w:t>
      </w:r>
      <w:r>
        <w:rPr>
          <w:rFonts w:hint="eastAsia" w:ascii="宋体" w:hAnsi="宋体" w:eastAsia="宋体" w:cs="宋体"/>
          <w:sz w:val="24"/>
          <w:szCs w:val="24"/>
          <w:lang w:val="en-US" w:eastAsia="zh-CN"/>
        </w:rPr>
        <w:t>功能</w:t>
      </w:r>
    </w:p>
    <w:p w14:paraId="10D2B8FD">
      <w:pPr>
        <w:keepNext w:val="0"/>
        <w:keepLines w:val="0"/>
        <w:pageBreakBefore w:val="0"/>
        <w:widowControl w:val="0"/>
        <w:numPr>
          <w:ilvl w:val="0"/>
          <w:numId w:val="31"/>
        </w:numPr>
        <w:kinsoku/>
        <w:wordWrap/>
        <w:overflowPunct/>
        <w:topLinePunct w:val="0"/>
        <w:autoSpaceDE/>
        <w:autoSpaceDN/>
        <w:bidi w:val="0"/>
        <w:adjustRightInd/>
        <w:snapToGrid/>
        <w:spacing w:line="360" w:lineRule="auto"/>
        <w:ind w:left="84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跨设备图像归一化滤波器</w:t>
      </w:r>
      <w:r>
        <w:rPr>
          <w:rFonts w:hint="eastAsia" w:ascii="宋体" w:hAnsi="宋体" w:eastAsia="宋体" w:cs="宋体"/>
          <w:sz w:val="24"/>
          <w:szCs w:val="24"/>
          <w:lang w:val="en-US" w:eastAsia="zh-CN"/>
        </w:rPr>
        <w:t>功能</w:t>
      </w:r>
    </w:p>
    <w:p w14:paraId="599C8E38">
      <w:pPr>
        <w:keepNext w:val="0"/>
        <w:keepLines w:val="0"/>
        <w:pageBreakBefore w:val="0"/>
        <w:widowControl w:val="0"/>
        <w:numPr>
          <w:ilvl w:val="0"/>
          <w:numId w:val="31"/>
        </w:numPr>
        <w:kinsoku/>
        <w:wordWrap/>
        <w:overflowPunct/>
        <w:topLinePunct w:val="0"/>
        <w:autoSpaceDE/>
        <w:autoSpaceDN/>
        <w:bidi w:val="0"/>
        <w:adjustRightInd/>
        <w:snapToGrid/>
        <w:spacing w:line="360" w:lineRule="auto"/>
        <w:ind w:left="84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跨设备图像归一化重建引擎</w:t>
      </w:r>
      <w:r>
        <w:rPr>
          <w:rFonts w:hint="eastAsia" w:ascii="宋体" w:hAnsi="宋体" w:eastAsia="宋体" w:cs="宋体"/>
          <w:sz w:val="24"/>
          <w:szCs w:val="24"/>
          <w:lang w:val="en-US" w:eastAsia="zh-CN"/>
        </w:rPr>
        <w:t>功能</w:t>
      </w:r>
    </w:p>
    <w:p w14:paraId="742CC658">
      <w:pPr>
        <w:keepNext w:val="0"/>
        <w:keepLines w:val="0"/>
        <w:pageBreakBefore w:val="0"/>
        <w:widowControl w:val="0"/>
        <w:numPr>
          <w:ilvl w:val="0"/>
          <w:numId w:val="6"/>
        </w:numPr>
        <w:kinsoku/>
        <w:wordWrap/>
        <w:overflowPunct/>
        <w:topLinePunct w:val="0"/>
        <w:autoSpaceDE/>
        <w:autoSpaceDN/>
        <w:bidi w:val="0"/>
        <w:adjustRightInd/>
        <w:snapToGrid/>
        <w:spacing w:line="360" w:lineRule="auto"/>
        <w:ind w:left="720" w:hanging="720"/>
        <w:textAlignment w:val="auto"/>
        <w:rPr>
          <w:rFonts w:hint="eastAsia" w:ascii="宋体" w:hAnsi="宋体" w:eastAsia="宋体" w:cs="宋体"/>
          <w:sz w:val="24"/>
          <w:szCs w:val="24"/>
        </w:rPr>
      </w:pPr>
      <w:r>
        <w:rPr>
          <w:rFonts w:hint="eastAsia" w:ascii="宋体" w:hAnsi="宋体" w:eastAsia="宋体" w:cs="宋体"/>
          <w:sz w:val="24"/>
          <w:szCs w:val="24"/>
        </w:rPr>
        <w:t>高级成像及后处理技术参数要求：</w:t>
      </w:r>
    </w:p>
    <w:p w14:paraId="7C0C3480">
      <w:pPr>
        <w:keepNext w:val="0"/>
        <w:keepLines w:val="0"/>
        <w:pageBreakBefore w:val="0"/>
        <w:widowControl w:val="0"/>
        <w:numPr>
          <w:ilvl w:val="0"/>
          <w:numId w:val="32"/>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具备Q-Freeze、Motion Free技术平台或 Easy Range，uExcel Focus技术平台或 Flow Motion、OncoFreeze技术平台</w:t>
      </w:r>
      <w:r>
        <w:rPr>
          <w:rFonts w:hint="eastAsia" w:ascii="宋体" w:hAnsi="宋体" w:eastAsia="宋体" w:cs="宋体"/>
          <w:sz w:val="24"/>
          <w:szCs w:val="24"/>
        </w:rPr>
        <w:t>。</w:t>
      </w:r>
    </w:p>
    <w:p w14:paraId="4C66008A">
      <w:pPr>
        <w:keepNext w:val="0"/>
        <w:keepLines w:val="0"/>
        <w:pageBreakBefore w:val="0"/>
        <w:widowControl w:val="0"/>
        <w:numPr>
          <w:ilvl w:val="0"/>
          <w:numId w:val="6"/>
        </w:numPr>
        <w:kinsoku/>
        <w:wordWrap/>
        <w:overflowPunct/>
        <w:topLinePunct w:val="0"/>
        <w:autoSpaceDE/>
        <w:autoSpaceDN/>
        <w:bidi w:val="0"/>
        <w:adjustRightInd/>
        <w:snapToGrid/>
        <w:spacing w:line="360" w:lineRule="auto"/>
        <w:ind w:left="720" w:hanging="720"/>
        <w:textAlignment w:val="auto"/>
        <w:rPr>
          <w:rFonts w:hint="eastAsia" w:ascii="宋体" w:hAnsi="宋体" w:eastAsia="宋体" w:cs="宋体"/>
          <w:sz w:val="24"/>
          <w:szCs w:val="24"/>
        </w:rPr>
      </w:pPr>
      <w:r>
        <w:rPr>
          <w:rFonts w:hint="eastAsia" w:ascii="宋体" w:hAnsi="宋体" w:eastAsia="宋体" w:cs="宋体"/>
          <w:sz w:val="24"/>
          <w:szCs w:val="24"/>
        </w:rPr>
        <w:t>肺结节CT影像辅助检测软件参数要求：</w:t>
      </w:r>
    </w:p>
    <w:p w14:paraId="3F0F985D">
      <w:pPr>
        <w:keepNext w:val="0"/>
        <w:keepLines w:val="0"/>
        <w:pageBreakBefore w:val="0"/>
        <w:widowControl w:val="0"/>
        <w:numPr>
          <w:ilvl w:val="0"/>
          <w:numId w:val="33"/>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需具备第三类管理类别中华人民共和国医疗器械注册证</w:t>
      </w:r>
    </w:p>
    <w:p w14:paraId="6202D7D7">
      <w:pPr>
        <w:keepNext w:val="0"/>
        <w:keepLines w:val="0"/>
        <w:pageBreakBefore w:val="0"/>
        <w:widowControl w:val="0"/>
        <w:numPr>
          <w:ilvl w:val="0"/>
          <w:numId w:val="33"/>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良恶性预测：提供结节良恶性预测结果，并对概率值高的结节重点提示</w:t>
      </w:r>
    </w:p>
    <w:p w14:paraId="7083D083">
      <w:pPr>
        <w:keepNext w:val="0"/>
        <w:keepLines w:val="0"/>
        <w:pageBreakBefore w:val="0"/>
        <w:widowControl w:val="0"/>
        <w:numPr>
          <w:ilvl w:val="0"/>
          <w:numId w:val="33"/>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良恶性预测准确率：肺结节良恶性预测准确率不低于91%，需提供</w:t>
      </w:r>
      <w:r>
        <w:rPr>
          <w:rFonts w:hint="eastAsia" w:ascii="宋体" w:hAnsi="宋体" w:eastAsia="宋体" w:cs="宋体"/>
          <w:sz w:val="24"/>
          <w:szCs w:val="24"/>
          <w:lang w:val="en-US" w:eastAsia="zh-CN"/>
        </w:rPr>
        <w:t>证明文件</w:t>
      </w:r>
    </w:p>
    <w:p w14:paraId="04D79706">
      <w:pPr>
        <w:keepNext w:val="0"/>
        <w:keepLines w:val="0"/>
        <w:pageBreakBefore w:val="0"/>
        <w:widowControl w:val="0"/>
        <w:numPr>
          <w:ilvl w:val="0"/>
          <w:numId w:val="33"/>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良恶性预测AUC曲线性能：肺结节良恶性预测AUC曲线下面积不低于96%，需提供</w:t>
      </w:r>
      <w:r>
        <w:rPr>
          <w:rFonts w:hint="eastAsia" w:ascii="宋体" w:hAnsi="宋体" w:eastAsia="宋体" w:cs="宋体"/>
          <w:sz w:val="24"/>
          <w:szCs w:val="24"/>
          <w:lang w:val="en-US" w:eastAsia="zh-CN"/>
        </w:rPr>
        <w:t>证明文件</w:t>
      </w:r>
    </w:p>
    <w:p w14:paraId="0F796D30">
      <w:pPr>
        <w:keepNext w:val="0"/>
        <w:keepLines w:val="0"/>
        <w:pageBreakBefore w:val="0"/>
        <w:widowControl w:val="0"/>
        <w:numPr>
          <w:ilvl w:val="0"/>
          <w:numId w:val="33"/>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结节整体风险评估</w:t>
      </w:r>
      <w:r>
        <w:rPr>
          <w:rFonts w:hint="eastAsia" w:ascii="宋体" w:hAnsi="宋体" w:eastAsia="宋体" w:cs="宋体"/>
          <w:sz w:val="24"/>
          <w:szCs w:val="24"/>
          <w:lang w:val="en-US" w:eastAsia="zh-CN"/>
        </w:rPr>
        <w:t>功能</w:t>
      </w:r>
      <w:r>
        <w:rPr>
          <w:rFonts w:hint="eastAsia" w:ascii="宋体" w:hAnsi="宋体" w:eastAsia="宋体" w:cs="宋体"/>
          <w:sz w:val="24"/>
          <w:szCs w:val="24"/>
        </w:rPr>
        <w:t>： 提供6mm以上的结节的风险分析列表，列表包含结节的良恶性预测风险值、浸润性预测、基于Lungrads指南的等级评估、基于Lungrads指南的随访建议</w:t>
      </w:r>
    </w:p>
    <w:p w14:paraId="1AD454E8">
      <w:pPr>
        <w:keepNext w:val="0"/>
        <w:keepLines w:val="0"/>
        <w:pageBreakBefore w:val="0"/>
        <w:widowControl w:val="0"/>
        <w:numPr>
          <w:ilvl w:val="0"/>
          <w:numId w:val="33"/>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腺癌风险评估</w:t>
      </w:r>
      <w:r>
        <w:rPr>
          <w:rFonts w:hint="eastAsia" w:ascii="宋体" w:hAnsi="宋体" w:eastAsia="宋体" w:cs="宋体"/>
          <w:sz w:val="24"/>
          <w:szCs w:val="24"/>
          <w:lang w:val="en-US" w:eastAsia="zh-CN"/>
        </w:rPr>
        <w:t>功能</w:t>
      </w:r>
      <w:r>
        <w:rPr>
          <w:rFonts w:hint="eastAsia" w:ascii="宋体" w:hAnsi="宋体" w:eastAsia="宋体" w:cs="宋体"/>
          <w:sz w:val="24"/>
          <w:szCs w:val="24"/>
          <w:lang w:eastAsia="zh-CN"/>
        </w:rPr>
        <w:t>：</w:t>
      </w:r>
      <w:r>
        <w:rPr>
          <w:rFonts w:hint="eastAsia" w:ascii="宋体" w:hAnsi="宋体" w:eastAsia="宋体" w:cs="宋体"/>
          <w:sz w:val="24"/>
          <w:szCs w:val="24"/>
        </w:rPr>
        <w:t>提供显示列表中结节的浸润性风险、气道内播散(STAS)风险、胸膜侵犯 (VPI) 风险、淋巴结转移风险、远端转移风险的风险概率值和风险等级预测结果。</w:t>
      </w:r>
    </w:p>
    <w:p w14:paraId="5A714BEB">
      <w:pPr>
        <w:keepNext w:val="0"/>
        <w:keepLines w:val="0"/>
        <w:pageBreakBefore w:val="0"/>
        <w:widowControl w:val="0"/>
        <w:numPr>
          <w:ilvl w:val="0"/>
          <w:numId w:val="6"/>
        </w:numPr>
        <w:kinsoku/>
        <w:wordWrap/>
        <w:overflowPunct/>
        <w:topLinePunct w:val="0"/>
        <w:autoSpaceDE/>
        <w:autoSpaceDN/>
        <w:bidi w:val="0"/>
        <w:adjustRightInd/>
        <w:snapToGrid/>
        <w:spacing w:line="360" w:lineRule="auto"/>
        <w:ind w:left="720" w:hanging="720"/>
        <w:textAlignment w:val="auto"/>
        <w:rPr>
          <w:rFonts w:hint="eastAsia" w:ascii="宋体" w:hAnsi="宋体" w:eastAsia="宋体" w:cs="宋体"/>
          <w:sz w:val="24"/>
          <w:szCs w:val="24"/>
        </w:rPr>
      </w:pPr>
      <w:r>
        <w:rPr>
          <w:rFonts w:hint="eastAsia" w:ascii="宋体" w:hAnsi="宋体" w:eastAsia="宋体" w:cs="宋体"/>
          <w:sz w:val="24"/>
          <w:szCs w:val="24"/>
        </w:rPr>
        <w:t>PET/CT AI检测软件参数要求：</w:t>
      </w:r>
    </w:p>
    <w:p w14:paraId="432677F5">
      <w:pPr>
        <w:keepNext w:val="0"/>
        <w:keepLines w:val="0"/>
        <w:pageBreakBefore w:val="0"/>
        <w:widowControl w:val="0"/>
        <w:numPr>
          <w:ilvl w:val="0"/>
          <w:numId w:val="34"/>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自动CT病灶检出</w:t>
      </w:r>
      <w:r>
        <w:rPr>
          <w:rFonts w:hint="eastAsia" w:ascii="宋体" w:hAnsi="宋体" w:eastAsia="宋体" w:cs="宋体"/>
          <w:sz w:val="24"/>
          <w:szCs w:val="24"/>
          <w:lang w:val="en-US" w:eastAsia="zh-CN"/>
        </w:rPr>
        <w:t>功能</w:t>
      </w:r>
      <w:r>
        <w:rPr>
          <w:rFonts w:hint="eastAsia" w:ascii="宋体" w:hAnsi="宋体" w:eastAsia="宋体" w:cs="宋体"/>
          <w:sz w:val="24"/>
          <w:szCs w:val="24"/>
        </w:rPr>
        <w:t>：CT模态下全自动病灶检出及量化分析</w:t>
      </w:r>
    </w:p>
    <w:p w14:paraId="6344518C">
      <w:pPr>
        <w:keepNext w:val="0"/>
        <w:keepLines w:val="0"/>
        <w:pageBreakBefore w:val="0"/>
        <w:widowControl w:val="0"/>
        <w:numPr>
          <w:ilvl w:val="0"/>
          <w:numId w:val="34"/>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自动PET病灶检出</w:t>
      </w:r>
      <w:r>
        <w:rPr>
          <w:rFonts w:hint="eastAsia" w:ascii="宋体" w:hAnsi="宋体" w:eastAsia="宋体" w:cs="宋体"/>
          <w:sz w:val="24"/>
          <w:szCs w:val="24"/>
          <w:lang w:val="en-US" w:eastAsia="zh-CN"/>
        </w:rPr>
        <w:t>功能</w:t>
      </w:r>
      <w:r>
        <w:rPr>
          <w:rFonts w:hint="eastAsia" w:ascii="宋体" w:hAnsi="宋体" w:eastAsia="宋体" w:cs="宋体"/>
          <w:sz w:val="24"/>
          <w:szCs w:val="24"/>
        </w:rPr>
        <w:t>：提供PET模态下全自动异常高代谢检出及量化分析；</w:t>
      </w:r>
    </w:p>
    <w:p w14:paraId="0CFA8C07">
      <w:pPr>
        <w:keepNext w:val="0"/>
        <w:keepLines w:val="0"/>
        <w:pageBreakBefore w:val="0"/>
        <w:widowControl w:val="0"/>
        <w:numPr>
          <w:ilvl w:val="0"/>
          <w:numId w:val="34"/>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自动PET病灶分类</w:t>
      </w:r>
      <w:r>
        <w:rPr>
          <w:rFonts w:hint="eastAsia" w:ascii="宋体" w:hAnsi="宋体" w:eastAsia="宋体" w:cs="宋体"/>
          <w:sz w:val="24"/>
          <w:szCs w:val="24"/>
          <w:lang w:val="en-US" w:eastAsia="zh-CN"/>
        </w:rPr>
        <w:t>功能</w:t>
      </w:r>
      <w:r>
        <w:rPr>
          <w:rFonts w:hint="eastAsia" w:ascii="宋体" w:hAnsi="宋体" w:eastAsia="宋体" w:cs="宋体"/>
          <w:sz w:val="24"/>
          <w:szCs w:val="24"/>
        </w:rPr>
        <w:t>：提供PET生理性病灶和生理性病灶的分类</w:t>
      </w:r>
    </w:p>
    <w:p w14:paraId="000E8568">
      <w:pPr>
        <w:keepNext w:val="0"/>
        <w:keepLines w:val="0"/>
        <w:pageBreakBefore w:val="0"/>
        <w:widowControl w:val="0"/>
        <w:numPr>
          <w:ilvl w:val="0"/>
          <w:numId w:val="34"/>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肺结节病灶检出</w:t>
      </w:r>
      <w:r>
        <w:rPr>
          <w:rFonts w:hint="eastAsia" w:ascii="宋体" w:hAnsi="宋体" w:eastAsia="宋体" w:cs="宋体"/>
          <w:sz w:val="24"/>
          <w:szCs w:val="24"/>
          <w:lang w:val="en-US" w:eastAsia="zh-CN"/>
        </w:rPr>
        <w:t>功能</w:t>
      </w:r>
      <w:r>
        <w:rPr>
          <w:rFonts w:hint="eastAsia" w:ascii="宋体" w:hAnsi="宋体" w:eastAsia="宋体" w:cs="宋体"/>
          <w:sz w:val="24"/>
          <w:szCs w:val="24"/>
        </w:rPr>
        <w:t>：自动配准并融合肺脏CT与PET图像，自动检出CT肺结节病灶，包括肺结节的长短高三径、密度、征象、PET的SUV max，肺结节可定位至具体肺段</w:t>
      </w:r>
    </w:p>
    <w:p w14:paraId="4E4F53A3">
      <w:pPr>
        <w:keepNext w:val="0"/>
        <w:keepLines w:val="0"/>
        <w:pageBreakBefore w:val="0"/>
        <w:widowControl w:val="0"/>
        <w:numPr>
          <w:ilvl w:val="0"/>
          <w:numId w:val="34"/>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具备</w:t>
      </w:r>
      <w:r>
        <w:rPr>
          <w:rFonts w:hint="eastAsia" w:ascii="宋体" w:hAnsi="宋体" w:eastAsia="宋体" w:cs="宋体"/>
          <w:sz w:val="24"/>
          <w:szCs w:val="24"/>
        </w:rPr>
        <w:t>肺结节病灶列表排序</w:t>
      </w:r>
      <w:r>
        <w:rPr>
          <w:rFonts w:hint="eastAsia" w:ascii="宋体" w:hAnsi="宋体" w:eastAsia="宋体" w:cs="宋体"/>
          <w:sz w:val="24"/>
          <w:szCs w:val="24"/>
          <w:lang w:val="en-US" w:eastAsia="zh-CN"/>
        </w:rPr>
        <w:t>功能</w:t>
      </w:r>
      <w:r>
        <w:rPr>
          <w:rFonts w:hint="eastAsia" w:ascii="宋体" w:hAnsi="宋体" w:eastAsia="宋体" w:cs="宋体"/>
          <w:sz w:val="24"/>
          <w:szCs w:val="24"/>
        </w:rPr>
        <w:t>：支持设置病灶检出灵敏度、病灶大小、IM号进行排序。</w:t>
      </w:r>
    </w:p>
    <w:p w14:paraId="0E32E6F4">
      <w:pPr>
        <w:keepNext w:val="0"/>
        <w:keepLines w:val="0"/>
        <w:pageBreakBefore w:val="0"/>
        <w:widowControl w:val="0"/>
        <w:numPr>
          <w:ilvl w:val="0"/>
          <w:numId w:val="6"/>
        </w:numPr>
        <w:kinsoku/>
        <w:wordWrap/>
        <w:overflowPunct/>
        <w:topLinePunct w:val="0"/>
        <w:autoSpaceDE/>
        <w:autoSpaceDN/>
        <w:bidi w:val="0"/>
        <w:adjustRightInd/>
        <w:snapToGrid/>
        <w:spacing w:line="360" w:lineRule="auto"/>
        <w:ind w:left="720" w:hanging="72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其他配置</w:t>
      </w:r>
      <w:r>
        <w:rPr>
          <w:rFonts w:hint="eastAsia" w:ascii="宋体" w:hAnsi="宋体" w:eastAsia="宋体" w:cs="宋体"/>
          <w:sz w:val="24"/>
          <w:szCs w:val="24"/>
        </w:rPr>
        <w:t>要求：</w:t>
      </w:r>
    </w:p>
    <w:p w14:paraId="0A44FBA0">
      <w:pPr>
        <w:keepNext w:val="0"/>
        <w:keepLines w:val="0"/>
        <w:pageBreakBefore w:val="0"/>
        <w:widowControl w:val="0"/>
        <w:numPr>
          <w:ilvl w:val="0"/>
          <w:numId w:val="35"/>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配备2套满足医院全生命周期管理系统的有源设备物联网监测硬件</w:t>
      </w:r>
    </w:p>
    <w:p w14:paraId="371CB3F1">
      <w:pPr>
        <w:keepNext w:val="0"/>
        <w:keepLines w:val="0"/>
        <w:pageBreakBefore w:val="0"/>
        <w:widowControl w:val="0"/>
        <w:numPr>
          <w:ilvl w:val="0"/>
          <w:numId w:val="35"/>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配备全流程中文报告系统1套：</w:t>
      </w:r>
    </w:p>
    <w:p w14:paraId="69D2B334">
      <w:pPr>
        <w:keepNext w:val="0"/>
        <w:keepLines w:val="0"/>
        <w:pageBreakBefore w:val="0"/>
        <w:widowControl w:val="0"/>
        <w:numPr>
          <w:ilvl w:val="0"/>
          <w:numId w:val="36"/>
        </w:numPr>
        <w:kinsoku/>
        <w:wordWrap/>
        <w:overflowPunct/>
        <w:topLinePunct w:val="0"/>
        <w:autoSpaceDE/>
        <w:autoSpaceDN/>
        <w:bidi w:val="0"/>
        <w:adjustRightInd/>
        <w:snapToGrid/>
        <w:spacing w:line="360" w:lineRule="auto"/>
        <w:ind w:left="84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包括13台诊断报告</w:t>
      </w:r>
      <w:r>
        <w:rPr>
          <w:rFonts w:hint="eastAsia" w:ascii="宋体" w:hAnsi="宋体" w:eastAsia="宋体" w:cs="宋体"/>
          <w:color w:val="auto"/>
          <w:sz w:val="24"/>
          <w:szCs w:val="24"/>
          <w:lang w:val="en-US" w:eastAsia="zh-CN"/>
        </w:rPr>
        <w:t>工作站（配置要求：CPU: I7十四代以上；内存：≥32G；硬盘：≥SSD512G+2T），配备4M医用显示屏</w:t>
      </w:r>
      <w:r>
        <w:rPr>
          <w:rFonts w:hint="eastAsia" w:ascii="宋体" w:hAnsi="宋体" w:eastAsia="宋体" w:cs="宋体"/>
          <w:sz w:val="24"/>
          <w:szCs w:val="24"/>
          <w:lang w:val="en-US" w:eastAsia="zh-CN"/>
        </w:rPr>
        <w:t>。全流程软件包含预约登记系统、问诊系统、护士注射管理、技师采集管理、叫号系统、药物管理及设备管理系统及配套计算机、叫号屏硬件。远程报告会诊系统1套、支持院内与院外诊断系统一体化联动。核素治疗效果评估系统1套、支持与院内系统对接、支持对患者进行DTC-TNM分期动态评估、DTC复发危险度分层评估、VTE风险评估等的各类动态评估表单设计，用药记录、疗效评价及随访管理。具备核医学科云影像系统一套，支持患者扫码查看图像及报告。支持与医院HIS、PACS、电子病历等系统对接实现互联互通，满足医院电子病历评级、智慧医院评级需求。具备核医学影像处理相关医疗器械注册证。配备登记、问诊、药物管理工作站电脑4套，配置要求：CPU: I7十四代及以上；内存：≥16G；硬盘：≥1T；显示器≥23寸；配备注射管理电脑（一体机）1套，配置要求：类型：触控一体机；CPU: I7十二代以上；内存：≥16G；硬盘≥512G SSD；显示器≥23寸触摸屏，含壁挂、支架；配备影像采集工作站电脑2套：CPU: I7十四代及以上；内存：≥16G；硬盘：≥1T；显示器≥23寸；配备叫号网络一体机2套，配置要求：尺寸≥55寸；操作系统：Windows系统或其他；CPU: i5四代以上；内存≥4G；硬盘≥128G；网络：千兆网卡；壁挂支架及安装。</w:t>
      </w:r>
    </w:p>
    <w:p w14:paraId="49AF4CBF">
      <w:pPr>
        <w:keepNext w:val="0"/>
        <w:keepLines w:val="0"/>
        <w:pageBreakBefore w:val="0"/>
        <w:widowControl w:val="0"/>
        <w:numPr>
          <w:ilvl w:val="0"/>
          <w:numId w:val="36"/>
        </w:numPr>
        <w:kinsoku/>
        <w:wordWrap/>
        <w:overflowPunct/>
        <w:topLinePunct w:val="0"/>
        <w:autoSpaceDE/>
        <w:autoSpaceDN/>
        <w:bidi w:val="0"/>
        <w:adjustRightInd/>
        <w:snapToGrid/>
        <w:spacing w:line="360" w:lineRule="auto"/>
        <w:ind w:left="84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服务器要求：（2套）</w:t>
      </w:r>
    </w:p>
    <w:p w14:paraId="41D37777">
      <w:pPr>
        <w:keepNext w:val="0"/>
        <w:keepLines w:val="0"/>
        <w:pageBreakBefore w:val="0"/>
        <w:widowControl w:val="0"/>
        <w:numPr>
          <w:ilvl w:val="1"/>
          <w:numId w:val="36"/>
        </w:numPr>
        <w:tabs>
          <w:tab w:val="clear" w:pos="840"/>
        </w:tabs>
        <w:kinsoku/>
        <w:wordWrap/>
        <w:overflowPunct/>
        <w:topLinePunct w:val="0"/>
        <w:autoSpaceDE/>
        <w:autoSpaceDN/>
        <w:bidi w:val="0"/>
        <w:adjustRightInd/>
        <w:snapToGrid/>
        <w:spacing w:line="360" w:lineRule="auto"/>
        <w:ind w:left="126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机架式≥2U，标配原厂导轨；</w:t>
      </w:r>
    </w:p>
    <w:p w14:paraId="2322304A">
      <w:pPr>
        <w:keepNext w:val="0"/>
        <w:keepLines w:val="0"/>
        <w:pageBreakBefore w:val="0"/>
        <w:widowControl w:val="0"/>
        <w:numPr>
          <w:ilvl w:val="1"/>
          <w:numId w:val="36"/>
        </w:numPr>
        <w:tabs>
          <w:tab w:val="clear" w:pos="840"/>
        </w:tabs>
        <w:kinsoku/>
        <w:wordWrap/>
        <w:overflowPunct/>
        <w:topLinePunct w:val="0"/>
        <w:autoSpaceDE/>
        <w:autoSpaceDN/>
        <w:bidi w:val="0"/>
        <w:adjustRightInd/>
        <w:snapToGrid/>
        <w:spacing w:line="360" w:lineRule="auto"/>
        <w:ind w:left="126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配置≥2颗CPU处理器 ，单颗CPU主频≥2.1GHz，核数≥32核；</w:t>
      </w:r>
    </w:p>
    <w:p w14:paraId="60063BB5">
      <w:pPr>
        <w:keepNext w:val="0"/>
        <w:keepLines w:val="0"/>
        <w:pageBreakBefore w:val="0"/>
        <w:widowControl w:val="0"/>
        <w:numPr>
          <w:ilvl w:val="1"/>
          <w:numId w:val="36"/>
        </w:numPr>
        <w:tabs>
          <w:tab w:val="clear" w:pos="840"/>
        </w:tabs>
        <w:kinsoku/>
        <w:wordWrap/>
        <w:overflowPunct/>
        <w:topLinePunct w:val="0"/>
        <w:autoSpaceDE/>
        <w:autoSpaceDN/>
        <w:bidi w:val="0"/>
        <w:adjustRightInd/>
        <w:snapToGrid/>
        <w:spacing w:line="360" w:lineRule="auto"/>
        <w:ind w:left="126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配置≥4根32GB 5600MHz DDR5，最大支持32根DDR4内存；</w:t>
      </w:r>
    </w:p>
    <w:p w14:paraId="5845269F">
      <w:pPr>
        <w:keepNext w:val="0"/>
        <w:keepLines w:val="0"/>
        <w:pageBreakBefore w:val="0"/>
        <w:widowControl w:val="0"/>
        <w:numPr>
          <w:ilvl w:val="1"/>
          <w:numId w:val="36"/>
        </w:numPr>
        <w:tabs>
          <w:tab w:val="clear" w:pos="840"/>
        </w:tabs>
        <w:kinsoku/>
        <w:wordWrap/>
        <w:overflowPunct/>
        <w:topLinePunct w:val="0"/>
        <w:autoSpaceDE/>
        <w:autoSpaceDN/>
        <w:bidi w:val="0"/>
        <w:adjustRightInd/>
        <w:snapToGrid/>
        <w:spacing w:line="360" w:lineRule="auto"/>
        <w:ind w:left="126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配置≥2块960GB SATA SSD硬盘，支持SAS/SATA HDD/SSD硬盘：</w:t>
      </w:r>
    </w:p>
    <w:p w14:paraId="48DBFC95">
      <w:pPr>
        <w:keepNext w:val="0"/>
        <w:keepLines w:val="0"/>
        <w:pageBreakBefore w:val="0"/>
        <w:widowControl w:val="0"/>
        <w:numPr>
          <w:ilvl w:val="1"/>
          <w:numId w:val="36"/>
        </w:numPr>
        <w:tabs>
          <w:tab w:val="clear" w:pos="840"/>
        </w:tabs>
        <w:kinsoku/>
        <w:wordWrap/>
        <w:overflowPunct/>
        <w:topLinePunct w:val="0"/>
        <w:autoSpaceDE/>
        <w:autoSpaceDN/>
        <w:bidi w:val="0"/>
        <w:adjustRightInd/>
        <w:snapToGrid/>
        <w:spacing w:line="360" w:lineRule="auto"/>
        <w:ind w:left="126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≥1个RAID阵列卡，支持RAID0/1/10/5/6/50/60/1E/Simple Volume；≥4GB缓存，支持缓存数据保护，且后备保护时间不受限制；</w:t>
      </w:r>
    </w:p>
    <w:p w14:paraId="44A56FCA">
      <w:pPr>
        <w:keepNext w:val="0"/>
        <w:keepLines w:val="0"/>
        <w:pageBreakBefore w:val="0"/>
        <w:widowControl w:val="0"/>
        <w:numPr>
          <w:ilvl w:val="1"/>
          <w:numId w:val="36"/>
        </w:numPr>
        <w:tabs>
          <w:tab w:val="clear" w:pos="840"/>
        </w:tabs>
        <w:kinsoku/>
        <w:wordWrap/>
        <w:overflowPunct/>
        <w:topLinePunct w:val="0"/>
        <w:autoSpaceDE/>
        <w:autoSpaceDN/>
        <w:bidi w:val="0"/>
        <w:adjustRightInd/>
        <w:snapToGrid/>
        <w:spacing w:line="360" w:lineRule="auto"/>
        <w:ind w:left="126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配置≥4个千兆电口，≥2个万兆光口（满配光模块）,≥1个双端口16Gb HBA卡（含光模块）；</w:t>
      </w:r>
    </w:p>
    <w:p w14:paraId="37122D4C">
      <w:pPr>
        <w:keepNext w:val="0"/>
        <w:keepLines w:val="0"/>
        <w:pageBreakBefore w:val="0"/>
        <w:widowControl w:val="0"/>
        <w:numPr>
          <w:ilvl w:val="1"/>
          <w:numId w:val="36"/>
        </w:numPr>
        <w:tabs>
          <w:tab w:val="clear" w:pos="840"/>
        </w:tabs>
        <w:kinsoku/>
        <w:wordWrap/>
        <w:overflowPunct/>
        <w:topLinePunct w:val="0"/>
        <w:autoSpaceDE/>
        <w:autoSpaceDN/>
        <w:bidi w:val="0"/>
        <w:adjustRightInd/>
        <w:snapToGrid/>
        <w:spacing w:line="360" w:lineRule="auto"/>
        <w:ind w:left="126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 xml:space="preserve">2个热插拔冗余电源，≥96%能效比； </w:t>
      </w:r>
    </w:p>
    <w:p w14:paraId="565B0837">
      <w:pPr>
        <w:keepNext w:val="0"/>
        <w:keepLines w:val="0"/>
        <w:pageBreakBefore w:val="0"/>
        <w:widowControl w:val="0"/>
        <w:numPr>
          <w:ilvl w:val="1"/>
          <w:numId w:val="36"/>
        </w:numPr>
        <w:tabs>
          <w:tab w:val="clear" w:pos="840"/>
        </w:tabs>
        <w:kinsoku/>
        <w:wordWrap/>
        <w:overflowPunct/>
        <w:topLinePunct w:val="0"/>
        <w:autoSpaceDE/>
        <w:autoSpaceDN/>
        <w:bidi w:val="0"/>
        <w:adjustRightInd/>
        <w:snapToGrid/>
        <w:spacing w:line="360" w:lineRule="auto"/>
        <w:ind w:left="126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提供安装服务，三年原厂维保服务。</w:t>
      </w:r>
    </w:p>
    <w:p w14:paraId="3A5546A7">
      <w:pPr>
        <w:keepNext w:val="0"/>
        <w:keepLines w:val="0"/>
        <w:pageBreakBefore w:val="0"/>
        <w:widowControl w:val="0"/>
        <w:numPr>
          <w:ilvl w:val="0"/>
          <w:numId w:val="36"/>
        </w:numPr>
        <w:kinsoku/>
        <w:wordWrap/>
        <w:overflowPunct/>
        <w:topLinePunct w:val="0"/>
        <w:autoSpaceDE/>
        <w:autoSpaceDN/>
        <w:bidi w:val="0"/>
        <w:adjustRightInd/>
        <w:snapToGrid/>
        <w:spacing w:line="360" w:lineRule="auto"/>
        <w:ind w:left="84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存储服务器要求：（1套）</w:t>
      </w:r>
    </w:p>
    <w:p w14:paraId="0D1646B6">
      <w:pPr>
        <w:keepNext w:val="0"/>
        <w:keepLines w:val="0"/>
        <w:pageBreakBefore w:val="0"/>
        <w:widowControl w:val="0"/>
        <w:numPr>
          <w:ilvl w:val="1"/>
          <w:numId w:val="36"/>
        </w:numPr>
        <w:tabs>
          <w:tab w:val="clear" w:pos="840"/>
        </w:tabs>
        <w:kinsoku/>
        <w:wordWrap/>
        <w:overflowPunct/>
        <w:topLinePunct w:val="0"/>
        <w:autoSpaceDE/>
        <w:autoSpaceDN/>
        <w:bidi w:val="0"/>
        <w:adjustRightInd/>
        <w:snapToGrid/>
        <w:spacing w:line="360" w:lineRule="auto"/>
        <w:ind w:left="126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所投存储产品使用国产品牌CPU，提供投标产品使用CPU型号、主频等提供相关证明材料；</w:t>
      </w:r>
    </w:p>
    <w:p w14:paraId="5E98D0A1">
      <w:pPr>
        <w:keepNext w:val="0"/>
        <w:keepLines w:val="0"/>
        <w:pageBreakBefore w:val="0"/>
        <w:widowControl w:val="0"/>
        <w:numPr>
          <w:ilvl w:val="1"/>
          <w:numId w:val="36"/>
        </w:numPr>
        <w:tabs>
          <w:tab w:val="clear" w:pos="840"/>
        </w:tabs>
        <w:kinsoku/>
        <w:wordWrap/>
        <w:overflowPunct/>
        <w:topLinePunct w:val="0"/>
        <w:autoSpaceDE/>
        <w:autoSpaceDN/>
        <w:bidi w:val="0"/>
        <w:adjustRightInd/>
        <w:snapToGrid/>
        <w:spacing w:line="360" w:lineRule="auto"/>
        <w:ind w:left="126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控制器采用Active-Active架构，LUN不归属于某一个控制器，业务负载均衡到≥2个控制器；</w:t>
      </w:r>
    </w:p>
    <w:p w14:paraId="2C08A31B">
      <w:pPr>
        <w:keepNext w:val="0"/>
        <w:keepLines w:val="0"/>
        <w:pageBreakBefore w:val="0"/>
        <w:widowControl w:val="0"/>
        <w:numPr>
          <w:ilvl w:val="1"/>
          <w:numId w:val="36"/>
        </w:numPr>
        <w:tabs>
          <w:tab w:val="clear" w:pos="840"/>
        </w:tabs>
        <w:kinsoku/>
        <w:wordWrap/>
        <w:overflowPunct/>
        <w:topLinePunct w:val="0"/>
        <w:autoSpaceDE/>
        <w:autoSpaceDN/>
        <w:bidi w:val="0"/>
        <w:adjustRightInd/>
        <w:snapToGrid/>
        <w:spacing w:line="360" w:lineRule="auto"/>
        <w:ind w:left="126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支持控制器扩展，最大支持≥8控；</w:t>
      </w:r>
    </w:p>
    <w:p w14:paraId="287A5AE4">
      <w:pPr>
        <w:keepNext w:val="0"/>
        <w:keepLines w:val="0"/>
        <w:pageBreakBefore w:val="0"/>
        <w:widowControl w:val="0"/>
        <w:numPr>
          <w:ilvl w:val="1"/>
          <w:numId w:val="36"/>
        </w:numPr>
        <w:tabs>
          <w:tab w:val="clear" w:pos="840"/>
        </w:tabs>
        <w:kinsoku/>
        <w:wordWrap/>
        <w:overflowPunct/>
        <w:topLinePunct w:val="0"/>
        <w:autoSpaceDE/>
        <w:autoSpaceDN/>
        <w:bidi w:val="0"/>
        <w:adjustRightInd/>
        <w:snapToGrid/>
        <w:spacing w:line="360" w:lineRule="auto"/>
        <w:ind w:left="126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配置2个控制器，控制器采用多核处理器，且单控控制器处理器核心数≥20核，CPU主频率≥2.1GHz；</w:t>
      </w:r>
    </w:p>
    <w:p w14:paraId="4317B6A4">
      <w:pPr>
        <w:keepNext w:val="0"/>
        <w:keepLines w:val="0"/>
        <w:pageBreakBefore w:val="0"/>
        <w:widowControl w:val="0"/>
        <w:numPr>
          <w:ilvl w:val="1"/>
          <w:numId w:val="36"/>
        </w:numPr>
        <w:tabs>
          <w:tab w:val="clear" w:pos="840"/>
        </w:tabs>
        <w:kinsoku/>
        <w:wordWrap/>
        <w:overflowPunct/>
        <w:topLinePunct w:val="0"/>
        <w:autoSpaceDE/>
        <w:autoSpaceDN/>
        <w:bidi w:val="0"/>
        <w:adjustRightInd/>
        <w:snapToGrid/>
        <w:spacing w:line="360" w:lineRule="auto"/>
        <w:ind w:left="126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系统内总一级缓存容量配置≥128GB，且任意控制器一级缓存容量≥64GB；</w:t>
      </w:r>
    </w:p>
    <w:p w14:paraId="160E2F65">
      <w:pPr>
        <w:keepNext w:val="0"/>
        <w:keepLines w:val="0"/>
        <w:pageBreakBefore w:val="0"/>
        <w:widowControl w:val="0"/>
        <w:numPr>
          <w:ilvl w:val="1"/>
          <w:numId w:val="36"/>
        </w:numPr>
        <w:tabs>
          <w:tab w:val="clear" w:pos="840"/>
        </w:tabs>
        <w:kinsoku/>
        <w:wordWrap/>
        <w:overflowPunct/>
        <w:topLinePunct w:val="0"/>
        <w:autoSpaceDE/>
        <w:autoSpaceDN/>
        <w:bidi w:val="0"/>
        <w:adjustRightInd/>
        <w:snapToGrid/>
        <w:spacing w:line="360" w:lineRule="auto"/>
        <w:ind w:left="126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配置 ≥4*10Gbps Ethernet接口（满配多模光模块），≥4*1Gbps Ethernet接口;</w:t>
      </w:r>
    </w:p>
    <w:p w14:paraId="0AC8EE2C">
      <w:pPr>
        <w:keepNext w:val="0"/>
        <w:keepLines w:val="0"/>
        <w:pageBreakBefore w:val="0"/>
        <w:widowControl w:val="0"/>
        <w:numPr>
          <w:ilvl w:val="1"/>
          <w:numId w:val="36"/>
        </w:numPr>
        <w:tabs>
          <w:tab w:val="clear" w:pos="840"/>
        </w:tabs>
        <w:kinsoku/>
        <w:wordWrap/>
        <w:overflowPunct/>
        <w:topLinePunct w:val="0"/>
        <w:autoSpaceDE/>
        <w:autoSpaceDN/>
        <w:bidi w:val="0"/>
        <w:adjustRightInd/>
        <w:snapToGrid/>
        <w:spacing w:line="360" w:lineRule="auto"/>
        <w:ind w:left="126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配置≥20块3.84 TB 企业级双端口  SAS SSD，最大支持磁盘插槽个数 ≥ 350.</w:t>
      </w:r>
    </w:p>
    <w:p w14:paraId="0710BEF5">
      <w:pPr>
        <w:keepNext w:val="0"/>
        <w:keepLines w:val="0"/>
        <w:pageBreakBefore w:val="0"/>
        <w:widowControl w:val="0"/>
        <w:numPr>
          <w:ilvl w:val="1"/>
          <w:numId w:val="36"/>
        </w:numPr>
        <w:tabs>
          <w:tab w:val="clear" w:pos="840"/>
        </w:tabs>
        <w:kinsoku/>
        <w:wordWrap/>
        <w:overflowPunct/>
        <w:topLinePunct w:val="0"/>
        <w:autoSpaceDE/>
        <w:autoSpaceDN/>
        <w:bidi w:val="0"/>
        <w:adjustRightInd/>
        <w:snapToGrid/>
        <w:spacing w:line="360" w:lineRule="auto"/>
        <w:ind w:left="126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支持RAID 5, RAID 6, and RAID-TP. RAID-TP，在同一个RAID组内容忍任意3盘同时失效。（提供官网或功能截图）；</w:t>
      </w:r>
    </w:p>
    <w:p w14:paraId="3E93DEFC">
      <w:pPr>
        <w:keepNext w:val="0"/>
        <w:keepLines w:val="0"/>
        <w:pageBreakBefore w:val="0"/>
        <w:widowControl w:val="0"/>
        <w:numPr>
          <w:ilvl w:val="1"/>
          <w:numId w:val="36"/>
        </w:numPr>
        <w:tabs>
          <w:tab w:val="clear" w:pos="840"/>
        </w:tabs>
        <w:kinsoku/>
        <w:wordWrap/>
        <w:overflowPunct/>
        <w:topLinePunct w:val="0"/>
        <w:autoSpaceDE/>
        <w:autoSpaceDN/>
        <w:bidi w:val="0"/>
        <w:adjustRightInd/>
        <w:snapToGrid/>
        <w:spacing w:line="360" w:lineRule="auto"/>
        <w:ind w:left="126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提供安装服务，三年原厂维保服务；</w:t>
      </w:r>
    </w:p>
    <w:p w14:paraId="6C43A7B1">
      <w:pPr>
        <w:keepNext w:val="0"/>
        <w:keepLines w:val="0"/>
        <w:pageBreakBefore w:val="0"/>
        <w:widowControl w:val="0"/>
        <w:numPr>
          <w:ilvl w:val="0"/>
          <w:numId w:val="35"/>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配备</w:t>
      </w:r>
      <w:r>
        <w:rPr>
          <w:rFonts w:hint="eastAsia" w:ascii="宋体" w:hAnsi="宋体" w:eastAsia="宋体" w:cs="宋体"/>
          <w:color w:val="auto"/>
          <w:sz w:val="24"/>
          <w:szCs w:val="24"/>
        </w:rPr>
        <w:t>18F药</w:t>
      </w:r>
      <w:r>
        <w:rPr>
          <w:rFonts w:hint="eastAsia" w:ascii="宋体" w:hAnsi="宋体" w:eastAsia="宋体" w:cs="宋体"/>
          <w:sz w:val="24"/>
          <w:szCs w:val="24"/>
        </w:rPr>
        <w:t>物全自动分装仪1台</w:t>
      </w:r>
      <w:r>
        <w:rPr>
          <w:rFonts w:hint="eastAsia" w:ascii="宋体" w:hAnsi="宋体" w:eastAsia="宋体" w:cs="宋体"/>
          <w:sz w:val="24"/>
          <w:szCs w:val="24"/>
          <w:lang w:val="en-US" w:eastAsia="zh-CN"/>
        </w:rPr>
        <w:t>及</w:t>
      </w:r>
      <w:r>
        <w:rPr>
          <w:rFonts w:hint="eastAsia" w:ascii="宋体" w:hAnsi="宋体" w:eastAsia="宋体" w:cs="宋体"/>
          <w:sz w:val="24"/>
          <w:szCs w:val="24"/>
        </w:rPr>
        <w:t>配套带防护的通风橱</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至少10个mmpb</w:t>
      </w:r>
      <w:r>
        <w:rPr>
          <w:rFonts w:hint="eastAsia" w:ascii="宋体" w:hAnsi="宋体" w:eastAsia="宋体" w:cs="宋体"/>
          <w:sz w:val="24"/>
          <w:szCs w:val="24"/>
          <w:lang w:eastAsia="zh-CN"/>
        </w:rPr>
        <w:t>）</w:t>
      </w:r>
    </w:p>
    <w:p w14:paraId="5F086431">
      <w:pPr>
        <w:keepNext w:val="0"/>
        <w:keepLines w:val="0"/>
        <w:pageBreakBefore w:val="0"/>
        <w:widowControl w:val="0"/>
        <w:numPr>
          <w:ilvl w:val="0"/>
          <w:numId w:val="35"/>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配备</w:t>
      </w:r>
      <w:r>
        <w:rPr>
          <w:rFonts w:hint="eastAsia" w:ascii="宋体" w:hAnsi="宋体" w:eastAsia="宋体" w:cs="宋体"/>
          <w:sz w:val="24"/>
          <w:szCs w:val="24"/>
        </w:rPr>
        <w:t>药物分装、转运、注射及储存防护用品及放射性废物桶</w:t>
      </w:r>
      <w:r>
        <w:rPr>
          <w:rFonts w:hint="eastAsia" w:ascii="宋体" w:hAnsi="宋体" w:eastAsia="宋体" w:cs="宋体"/>
          <w:sz w:val="24"/>
          <w:szCs w:val="24"/>
          <w:lang w:eastAsia="zh-CN"/>
        </w:rPr>
        <w:t>：</w:t>
      </w:r>
      <w:r>
        <w:rPr>
          <w:rFonts w:hint="eastAsia" w:ascii="宋体" w:hAnsi="宋体" w:eastAsia="宋体" w:cs="宋体"/>
          <w:sz w:val="24"/>
          <w:szCs w:val="24"/>
        </w:rPr>
        <w:t> </w:t>
      </w:r>
    </w:p>
    <w:p w14:paraId="24EEA2D5">
      <w:pPr>
        <w:keepNext w:val="0"/>
        <w:keepLines w:val="0"/>
        <w:pageBreakBefore w:val="0"/>
        <w:widowControl w:val="0"/>
        <w:numPr>
          <w:ilvl w:val="0"/>
          <w:numId w:val="37"/>
        </w:numPr>
        <w:kinsoku/>
        <w:wordWrap/>
        <w:overflowPunct/>
        <w:topLinePunct w:val="0"/>
        <w:autoSpaceDE/>
        <w:autoSpaceDN/>
        <w:bidi w:val="0"/>
        <w:adjustRightInd/>
        <w:snapToGrid/>
        <w:spacing w:line="360" w:lineRule="auto"/>
        <w:ind w:left="84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PET-18F手工快速分装防护罐60mmpb(2个）</w:t>
      </w:r>
    </w:p>
    <w:p w14:paraId="19C854D0">
      <w:pPr>
        <w:keepNext w:val="0"/>
        <w:keepLines w:val="0"/>
        <w:pageBreakBefore w:val="0"/>
        <w:widowControl w:val="0"/>
        <w:numPr>
          <w:ilvl w:val="0"/>
          <w:numId w:val="37"/>
        </w:numPr>
        <w:kinsoku/>
        <w:wordWrap/>
        <w:overflowPunct/>
        <w:topLinePunct w:val="0"/>
        <w:autoSpaceDE/>
        <w:autoSpaceDN/>
        <w:bidi w:val="0"/>
        <w:adjustRightInd/>
        <w:snapToGrid/>
        <w:spacing w:line="360" w:lineRule="auto"/>
        <w:ind w:left="84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锝标药小钨罐12mmpb(</w:t>
      </w:r>
      <w:r>
        <w:rPr>
          <w:rFonts w:hint="eastAsia" w:ascii="宋体" w:hAnsi="宋体" w:eastAsia="宋体" w:cs="宋体"/>
          <w:sz w:val="24"/>
          <w:szCs w:val="24"/>
          <w:lang w:val="en-US" w:eastAsia="zh-CN"/>
        </w:rPr>
        <w:t>5</w:t>
      </w:r>
      <w:r>
        <w:rPr>
          <w:rFonts w:hint="eastAsia" w:ascii="宋体" w:hAnsi="宋体" w:eastAsia="宋体" w:cs="宋体"/>
          <w:sz w:val="24"/>
          <w:szCs w:val="24"/>
        </w:rPr>
        <w:t>个）</w:t>
      </w:r>
    </w:p>
    <w:p w14:paraId="40A0AB3B">
      <w:pPr>
        <w:keepNext w:val="0"/>
        <w:keepLines w:val="0"/>
        <w:pageBreakBefore w:val="0"/>
        <w:widowControl w:val="0"/>
        <w:numPr>
          <w:ilvl w:val="0"/>
          <w:numId w:val="37"/>
        </w:numPr>
        <w:kinsoku/>
        <w:wordWrap/>
        <w:overflowPunct/>
        <w:topLinePunct w:val="0"/>
        <w:autoSpaceDE/>
        <w:autoSpaceDN/>
        <w:bidi w:val="0"/>
        <w:adjustRightInd/>
        <w:snapToGrid/>
        <w:spacing w:line="360" w:lineRule="auto"/>
        <w:ind w:left="84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18F注射器防护套15mmpb(4个）</w:t>
      </w:r>
    </w:p>
    <w:p w14:paraId="24429D1A">
      <w:pPr>
        <w:keepNext w:val="0"/>
        <w:keepLines w:val="0"/>
        <w:pageBreakBefore w:val="0"/>
        <w:widowControl w:val="0"/>
        <w:numPr>
          <w:ilvl w:val="0"/>
          <w:numId w:val="37"/>
        </w:numPr>
        <w:kinsoku/>
        <w:wordWrap/>
        <w:overflowPunct/>
        <w:topLinePunct w:val="0"/>
        <w:autoSpaceDE/>
        <w:autoSpaceDN/>
        <w:bidi w:val="0"/>
        <w:adjustRightInd/>
        <w:snapToGrid/>
        <w:spacing w:line="360" w:lineRule="auto"/>
        <w:ind w:left="84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Tc-99m注射器防护套4mmpb(10个）</w:t>
      </w:r>
    </w:p>
    <w:p w14:paraId="57553AD6">
      <w:pPr>
        <w:keepNext w:val="0"/>
        <w:keepLines w:val="0"/>
        <w:pageBreakBefore w:val="0"/>
        <w:widowControl w:val="0"/>
        <w:numPr>
          <w:ilvl w:val="0"/>
          <w:numId w:val="37"/>
        </w:numPr>
        <w:kinsoku/>
        <w:wordWrap/>
        <w:overflowPunct/>
        <w:topLinePunct w:val="0"/>
        <w:autoSpaceDE/>
        <w:autoSpaceDN/>
        <w:bidi w:val="0"/>
        <w:adjustRightInd/>
        <w:snapToGrid/>
        <w:spacing w:line="360" w:lineRule="auto"/>
        <w:ind w:left="84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18F高活废物防护桶30mmpb(2个）</w:t>
      </w:r>
    </w:p>
    <w:p w14:paraId="76A2E5AC">
      <w:pPr>
        <w:keepNext w:val="0"/>
        <w:keepLines w:val="0"/>
        <w:pageBreakBefore w:val="0"/>
        <w:widowControl w:val="0"/>
        <w:numPr>
          <w:ilvl w:val="0"/>
          <w:numId w:val="37"/>
        </w:numPr>
        <w:kinsoku/>
        <w:wordWrap/>
        <w:overflowPunct/>
        <w:topLinePunct w:val="0"/>
        <w:autoSpaceDE/>
        <w:autoSpaceDN/>
        <w:bidi w:val="0"/>
        <w:adjustRightInd/>
        <w:snapToGrid/>
        <w:spacing w:line="360" w:lineRule="auto"/>
        <w:ind w:left="84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放射性低活废物防护桶25L10mmpb(4个）</w:t>
      </w:r>
    </w:p>
    <w:p w14:paraId="56598CEB">
      <w:pPr>
        <w:keepNext w:val="0"/>
        <w:keepLines w:val="0"/>
        <w:pageBreakBefore w:val="0"/>
        <w:widowControl w:val="0"/>
        <w:numPr>
          <w:ilvl w:val="0"/>
          <w:numId w:val="37"/>
        </w:numPr>
        <w:kinsoku/>
        <w:wordWrap/>
        <w:overflowPunct/>
        <w:topLinePunct w:val="0"/>
        <w:autoSpaceDE/>
        <w:autoSpaceDN/>
        <w:bidi w:val="0"/>
        <w:adjustRightInd/>
        <w:snapToGrid/>
        <w:spacing w:line="360" w:lineRule="auto"/>
        <w:ind w:left="84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rPr>
        <w:t>锐器分离防护桶8L10mmpb(4个）</w:t>
      </w:r>
    </w:p>
    <w:p w14:paraId="766C710B">
      <w:pPr>
        <w:keepNext w:val="0"/>
        <w:keepLines w:val="0"/>
        <w:pageBreakBefore w:val="0"/>
        <w:widowControl w:val="0"/>
        <w:numPr>
          <w:ilvl w:val="0"/>
          <w:numId w:val="37"/>
        </w:numPr>
        <w:kinsoku/>
        <w:wordWrap/>
        <w:overflowPunct/>
        <w:topLinePunct w:val="0"/>
        <w:autoSpaceDE/>
        <w:autoSpaceDN/>
        <w:bidi w:val="0"/>
        <w:adjustRightInd/>
        <w:snapToGrid/>
        <w:spacing w:line="360" w:lineRule="auto"/>
        <w:ind w:left="840" w:leftChars="0" w:hanging="420" w:firstLineChars="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TC-</w:t>
      </w:r>
      <w:r>
        <w:rPr>
          <w:rFonts w:hint="eastAsia" w:ascii="宋体" w:hAnsi="宋体" w:eastAsia="宋体" w:cs="宋体"/>
          <w:sz w:val="24"/>
          <w:szCs w:val="24"/>
        </w:rPr>
        <w:t>99m防护铅盒6mmpb(2个）</w:t>
      </w:r>
    </w:p>
    <w:p w14:paraId="247D3E60">
      <w:pPr>
        <w:keepNext w:val="0"/>
        <w:keepLines w:val="0"/>
        <w:pageBreakBefore w:val="0"/>
        <w:widowControl w:val="0"/>
        <w:numPr>
          <w:ilvl w:val="0"/>
          <w:numId w:val="35"/>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个人防护用品20套0.5mmpb（含</w:t>
      </w:r>
      <w:r>
        <w:rPr>
          <w:rFonts w:hint="eastAsia" w:ascii="宋体" w:hAnsi="宋体" w:eastAsia="宋体" w:cs="宋体"/>
          <w:sz w:val="24"/>
          <w:szCs w:val="24"/>
          <w:lang w:val="en-US" w:eastAsia="zh-CN"/>
        </w:rPr>
        <w:t>无铅</w:t>
      </w:r>
      <w:r>
        <w:rPr>
          <w:rFonts w:hint="eastAsia" w:ascii="宋体" w:hAnsi="宋体" w:eastAsia="宋体" w:cs="宋体"/>
          <w:sz w:val="24"/>
          <w:szCs w:val="24"/>
        </w:rPr>
        <w:t>铅衣、</w:t>
      </w:r>
      <w:r>
        <w:rPr>
          <w:rFonts w:hint="eastAsia" w:ascii="宋体" w:hAnsi="宋体" w:eastAsia="宋体" w:cs="宋体"/>
          <w:sz w:val="24"/>
          <w:szCs w:val="24"/>
          <w:lang w:val="en-US" w:eastAsia="zh-CN"/>
        </w:rPr>
        <w:t>无铅</w:t>
      </w:r>
      <w:r>
        <w:rPr>
          <w:rFonts w:hint="eastAsia" w:ascii="宋体" w:hAnsi="宋体" w:eastAsia="宋体" w:cs="宋体"/>
          <w:sz w:val="24"/>
          <w:szCs w:val="24"/>
        </w:rPr>
        <w:t>铅帽、</w:t>
      </w:r>
      <w:r>
        <w:rPr>
          <w:rFonts w:hint="eastAsia" w:ascii="宋体" w:hAnsi="宋体" w:eastAsia="宋体" w:cs="宋体"/>
          <w:sz w:val="24"/>
          <w:szCs w:val="24"/>
          <w:lang w:val="en-US" w:eastAsia="zh-CN"/>
        </w:rPr>
        <w:t>无铅</w:t>
      </w:r>
      <w:r>
        <w:rPr>
          <w:rFonts w:hint="eastAsia" w:ascii="宋体" w:hAnsi="宋体" w:eastAsia="宋体" w:cs="宋体"/>
          <w:sz w:val="24"/>
          <w:szCs w:val="24"/>
        </w:rPr>
        <w:t>铅围脖、铅眼镜、铅手套）</w:t>
      </w:r>
    </w:p>
    <w:p w14:paraId="1E6C96F9">
      <w:pPr>
        <w:keepNext w:val="0"/>
        <w:keepLines w:val="0"/>
        <w:pageBreakBefore w:val="0"/>
        <w:widowControl w:val="0"/>
        <w:numPr>
          <w:ilvl w:val="0"/>
          <w:numId w:val="35"/>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18F短途运输注射防护装置5ml（2个）</w:t>
      </w:r>
    </w:p>
    <w:p w14:paraId="60EA9412">
      <w:pPr>
        <w:keepNext w:val="0"/>
        <w:keepLines w:val="0"/>
        <w:pageBreakBefore w:val="0"/>
        <w:widowControl w:val="0"/>
        <w:numPr>
          <w:ilvl w:val="0"/>
          <w:numId w:val="35"/>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18F短途运输注射防护装置2.5ml（2个）</w:t>
      </w:r>
    </w:p>
    <w:p w14:paraId="08A87EE0">
      <w:pPr>
        <w:keepNext w:val="0"/>
        <w:keepLines w:val="0"/>
        <w:pageBreakBefore w:val="0"/>
        <w:widowControl w:val="0"/>
        <w:numPr>
          <w:ilvl w:val="0"/>
          <w:numId w:val="35"/>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配备</w:t>
      </w:r>
      <w:r>
        <w:rPr>
          <w:rFonts w:hint="eastAsia" w:ascii="宋体" w:hAnsi="宋体" w:eastAsia="宋体" w:cs="宋体"/>
          <w:color w:val="auto"/>
          <w:sz w:val="24"/>
          <w:szCs w:val="24"/>
        </w:rPr>
        <w:t>数字化辐射剂量监控系统（≥25个监测点）</w:t>
      </w:r>
    </w:p>
    <w:p w14:paraId="5F784339">
      <w:pPr>
        <w:keepNext w:val="0"/>
        <w:keepLines w:val="0"/>
        <w:pageBreakBefore w:val="0"/>
        <w:widowControl w:val="0"/>
        <w:numPr>
          <w:ilvl w:val="0"/>
          <w:numId w:val="35"/>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配备</w:t>
      </w:r>
      <w:r>
        <w:rPr>
          <w:rFonts w:hint="eastAsia" w:ascii="宋体" w:hAnsi="宋体" w:eastAsia="宋体" w:cs="宋体"/>
          <w:color w:val="auto"/>
          <w:sz w:val="24"/>
          <w:szCs w:val="24"/>
        </w:rPr>
        <w:t>精密空调1台</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制冷量≥13KW</w:t>
      </w:r>
    </w:p>
    <w:p w14:paraId="4C63F024">
      <w:pPr>
        <w:keepNext w:val="0"/>
        <w:keepLines w:val="0"/>
        <w:pageBreakBefore w:val="0"/>
        <w:widowControl w:val="0"/>
        <w:numPr>
          <w:ilvl w:val="0"/>
          <w:numId w:val="35"/>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sz w:val="24"/>
          <w:szCs w:val="24"/>
        </w:rPr>
        <w:t>配备三维激光定位系统</w:t>
      </w:r>
    </w:p>
    <w:p w14:paraId="3EB38EB5">
      <w:pPr>
        <w:keepNext w:val="0"/>
        <w:keepLines w:val="0"/>
        <w:pageBreakBefore w:val="0"/>
        <w:widowControl w:val="0"/>
        <w:numPr>
          <w:ilvl w:val="0"/>
          <w:numId w:val="35"/>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b/>
          <w:bCs/>
          <w:sz w:val="24"/>
          <w:szCs w:val="24"/>
          <w:lang w:val="en-US" w:eastAsia="zh-CN"/>
        </w:rPr>
        <w:t>*</w:t>
      </w:r>
      <w:r>
        <w:rPr>
          <w:rFonts w:hint="eastAsia" w:ascii="宋体" w:hAnsi="宋体" w:eastAsia="宋体" w:cs="宋体"/>
          <w:sz w:val="24"/>
          <w:szCs w:val="24"/>
          <w:lang w:val="en-US" w:eastAsia="zh-CN"/>
        </w:rPr>
        <w:t>对</w:t>
      </w:r>
      <w:r>
        <w:rPr>
          <w:rFonts w:hint="eastAsia" w:ascii="宋体" w:hAnsi="宋体" w:eastAsia="宋体" w:cs="宋体"/>
          <w:sz w:val="24"/>
          <w:szCs w:val="24"/>
        </w:rPr>
        <w:t>PET/CT机房</w:t>
      </w:r>
      <w:r>
        <w:rPr>
          <w:rFonts w:hint="eastAsia" w:ascii="宋体" w:hAnsi="宋体" w:eastAsia="宋体" w:cs="宋体"/>
          <w:sz w:val="24"/>
          <w:szCs w:val="24"/>
          <w:lang w:eastAsia="zh-CN"/>
        </w:rPr>
        <w:t>、候诊室</w:t>
      </w:r>
      <w:r>
        <w:rPr>
          <w:rFonts w:hint="eastAsia" w:ascii="宋体" w:hAnsi="宋体" w:eastAsia="宋体" w:cs="宋体"/>
          <w:sz w:val="24"/>
          <w:szCs w:val="24"/>
          <w:lang w:val="en-US" w:eastAsia="zh-CN"/>
        </w:rPr>
        <w:t>进行防护</w:t>
      </w:r>
      <w:r>
        <w:rPr>
          <w:rFonts w:hint="eastAsia" w:ascii="宋体" w:hAnsi="宋体" w:eastAsia="宋体" w:cs="宋体"/>
          <w:sz w:val="24"/>
          <w:szCs w:val="24"/>
        </w:rPr>
        <w:t>装修（吊顶、地胶）</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电气</w:t>
      </w:r>
      <w:r>
        <w:rPr>
          <w:rFonts w:hint="eastAsia" w:ascii="宋体" w:hAnsi="宋体" w:eastAsia="宋体" w:cs="宋体"/>
          <w:sz w:val="24"/>
          <w:szCs w:val="24"/>
        </w:rPr>
        <w:t>改造；</w:t>
      </w:r>
    </w:p>
    <w:p w14:paraId="10403E35">
      <w:pPr>
        <w:keepNext w:val="0"/>
        <w:keepLines w:val="0"/>
        <w:pageBreakBefore w:val="0"/>
        <w:widowControl w:val="0"/>
        <w:numPr>
          <w:ilvl w:val="0"/>
          <w:numId w:val="35"/>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color w:val="auto"/>
          <w:sz w:val="24"/>
          <w:szCs w:val="24"/>
        </w:rPr>
      </w:pPr>
      <w:r>
        <w:rPr>
          <w:rFonts w:hint="eastAsia" w:ascii="宋体" w:hAnsi="宋体" w:eastAsia="宋体" w:cs="宋体"/>
          <w:sz w:val="24"/>
          <w:szCs w:val="24"/>
          <w:lang w:val="en-US" w:eastAsia="zh-CN"/>
        </w:rPr>
        <w:t>配备</w:t>
      </w:r>
      <w:r>
        <w:rPr>
          <w:rFonts w:hint="eastAsia" w:ascii="宋体" w:hAnsi="宋体" w:eastAsia="宋体" w:cs="宋体"/>
          <w:sz w:val="24"/>
          <w:szCs w:val="24"/>
        </w:rPr>
        <w:t>核纯度</w:t>
      </w:r>
      <w:r>
        <w:rPr>
          <w:rFonts w:hint="eastAsia" w:ascii="宋体" w:hAnsi="宋体" w:eastAsia="宋体" w:cs="宋体"/>
          <w:color w:val="auto"/>
          <w:sz w:val="24"/>
          <w:szCs w:val="24"/>
        </w:rPr>
        <w:t>检测仪1台</w:t>
      </w:r>
      <w:r>
        <w:rPr>
          <w:rFonts w:hint="eastAsia" w:ascii="宋体" w:hAnsi="宋体" w:eastAsia="宋体" w:cs="宋体"/>
          <w:color w:val="auto"/>
          <w:sz w:val="24"/>
          <w:szCs w:val="24"/>
          <w:lang w:eastAsia="zh-CN"/>
        </w:rPr>
        <w:t>，（需满足锝99mTc 各类注射液进行放射性化学纯度的测定；探测效率：≥60%）</w:t>
      </w:r>
    </w:p>
    <w:p w14:paraId="4FEE4283">
      <w:pPr>
        <w:keepNext w:val="0"/>
        <w:keepLines w:val="0"/>
        <w:pageBreakBefore w:val="0"/>
        <w:widowControl w:val="0"/>
        <w:numPr>
          <w:ilvl w:val="0"/>
          <w:numId w:val="35"/>
        </w:numPr>
        <w:kinsoku/>
        <w:wordWrap/>
        <w:overflowPunct/>
        <w:topLinePunct w:val="0"/>
        <w:autoSpaceDE/>
        <w:autoSpaceDN/>
        <w:bidi w:val="0"/>
        <w:adjustRightInd/>
        <w:snapToGrid/>
        <w:spacing w:line="360" w:lineRule="auto"/>
        <w:ind w:left="360" w:hanging="360"/>
        <w:textAlignment w:val="auto"/>
        <w:rPr>
          <w:rFonts w:hint="eastAsia" w:ascii="宋体" w:hAnsi="宋体" w:eastAsia="宋体" w:cs="宋体"/>
          <w:sz w:val="24"/>
          <w:szCs w:val="24"/>
        </w:rPr>
      </w:pPr>
      <w:r>
        <w:rPr>
          <w:rFonts w:hint="eastAsia" w:ascii="宋体" w:hAnsi="宋体" w:eastAsia="宋体" w:cs="宋体"/>
          <w:b/>
          <w:bCs/>
          <w:color w:val="auto"/>
          <w:sz w:val="24"/>
          <w:szCs w:val="24"/>
          <w:lang w:val="en-US" w:eastAsia="zh-CN"/>
        </w:rPr>
        <w:t>*</w:t>
      </w:r>
      <w:r>
        <w:rPr>
          <w:rFonts w:hint="eastAsia" w:ascii="宋体" w:hAnsi="宋体" w:eastAsia="宋体" w:cs="宋体"/>
          <w:color w:val="auto"/>
          <w:sz w:val="24"/>
          <w:szCs w:val="24"/>
          <w:lang w:val="en-US" w:eastAsia="zh-CN"/>
        </w:rPr>
        <w:t>负责旧设备的拆除工作，并运送到指</w:t>
      </w:r>
      <w:r>
        <w:rPr>
          <w:rFonts w:hint="eastAsia" w:ascii="宋体" w:hAnsi="宋体" w:eastAsia="宋体" w:cs="宋体"/>
          <w:sz w:val="24"/>
          <w:szCs w:val="24"/>
          <w:lang w:val="en-US" w:eastAsia="zh-CN"/>
        </w:rPr>
        <w:t>定库房，含激光定位灯</w:t>
      </w:r>
      <w:r>
        <w:rPr>
          <w:rFonts w:hint="eastAsia" w:ascii="宋体" w:hAnsi="宋体" w:eastAsia="宋体" w:cs="宋体"/>
          <w:sz w:val="24"/>
          <w:szCs w:val="24"/>
        </w:rPr>
        <w:t>。</w:t>
      </w:r>
    </w:p>
    <w:p w14:paraId="16E594E5">
      <w:pPr>
        <w:keepNext w:val="0"/>
        <w:keepLines w:val="0"/>
        <w:pageBreakBefore w:val="0"/>
        <w:widowControl w:val="0"/>
        <w:numPr>
          <w:ilvl w:val="0"/>
          <w:numId w:val="6"/>
        </w:numPr>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t>其他技术性要求：</w:t>
      </w:r>
    </w:p>
    <w:p w14:paraId="69C7208C">
      <w:pPr>
        <w:keepNext w:val="0"/>
        <w:keepLines w:val="0"/>
        <w:pageBreakBefore w:val="0"/>
        <w:widowControl w:val="0"/>
        <w:numPr>
          <w:ilvl w:val="0"/>
          <w:numId w:val="38"/>
        </w:numPr>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t>负责设备的安装、调试、培训等工作。</w:t>
      </w:r>
    </w:p>
    <w:p w14:paraId="3262FACA">
      <w:pPr>
        <w:keepNext w:val="0"/>
        <w:keepLines w:val="0"/>
        <w:pageBreakBefore w:val="0"/>
        <w:widowControl w:val="0"/>
        <w:numPr>
          <w:ilvl w:val="0"/>
          <w:numId w:val="38"/>
        </w:numPr>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须列出所有设备易损件清单及价格。</w:t>
      </w:r>
    </w:p>
    <w:p w14:paraId="69D75918">
      <w:pPr>
        <w:keepNext w:val="0"/>
        <w:keepLines w:val="0"/>
        <w:pageBreakBefore w:val="0"/>
        <w:widowControl w:val="0"/>
        <w:numPr>
          <w:ilvl w:val="0"/>
          <w:numId w:val="38"/>
        </w:numPr>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须列出所有设备维保服务类型及价格。</w:t>
      </w:r>
    </w:p>
    <w:p w14:paraId="234948B0">
      <w:pPr>
        <w:keepNext w:val="0"/>
        <w:keepLines w:val="0"/>
        <w:pageBreakBefore w:val="0"/>
        <w:widowControl w:val="0"/>
        <w:numPr>
          <w:ilvl w:val="0"/>
          <w:numId w:val="38"/>
        </w:numPr>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t>如标配中含有打印机的，要求配置医院现有品牌（所用耗材需与医院现有耗材一致）。</w:t>
      </w:r>
    </w:p>
    <w:p w14:paraId="6A0B6473">
      <w:pPr>
        <w:keepNext w:val="0"/>
        <w:keepLines w:val="0"/>
        <w:pageBreakBefore w:val="0"/>
        <w:widowControl w:val="0"/>
        <w:numPr>
          <w:ilvl w:val="0"/>
          <w:numId w:val="38"/>
        </w:numPr>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t>如具有数据存储功能，产生信息数据的设备必须终生免费开放各类数据接口，包含但不限于DICOM、WEBservice等数据接口格式，以保证与我院现有信息系统的数据对接。</w:t>
      </w:r>
    </w:p>
    <w:p w14:paraId="302EB744">
      <w:pPr>
        <w:keepNext w:val="0"/>
        <w:keepLines w:val="0"/>
        <w:pageBreakBefore w:val="0"/>
        <w:widowControl w:val="0"/>
        <w:numPr>
          <w:ilvl w:val="0"/>
          <w:numId w:val="38"/>
        </w:numPr>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t xml:space="preserve">如具备工作站或相关操作系统，厂商应具备系统接口定制化开发能力，并免费完成我院信息化接口开发、测试及对接上线，包含但不限于HIS、LIS、PACS、CA数字签名、无纸化归档、专科应用系统等医院生产系统接口开发。新增数据接口应完全满足医院信息化业务流程需求。 </w:t>
      </w:r>
    </w:p>
    <w:p w14:paraId="50E7791E">
      <w:pPr>
        <w:keepNext w:val="0"/>
        <w:keepLines w:val="0"/>
        <w:pageBreakBefore w:val="0"/>
        <w:widowControl w:val="0"/>
        <w:numPr>
          <w:ilvl w:val="0"/>
          <w:numId w:val="38"/>
        </w:numPr>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t xml:space="preserve">如具有工作站或相关操作系统，其中包含的所有软件，无年度维护费用；软件中涉及到存储病人就诊信息的，无单独就诊卡或芯片类存储介质。 </w:t>
      </w:r>
    </w:p>
    <w:p w14:paraId="251170AB">
      <w:pPr>
        <w:keepNext w:val="0"/>
        <w:keepLines w:val="0"/>
        <w:pageBreakBefore w:val="0"/>
        <w:widowControl w:val="0"/>
        <w:numPr>
          <w:ilvl w:val="0"/>
          <w:numId w:val="38"/>
        </w:numPr>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color w:val="auto"/>
          <w:sz w:val="21"/>
          <w:szCs w:val="21"/>
          <w:highlight w:val="none"/>
          <w:lang w:val="zh-CN" w:eastAsia="zh-CN"/>
        </w:rPr>
        <w:t>★</w:t>
      </w:r>
      <w:r>
        <w:rPr>
          <w:rFonts w:hint="eastAsia" w:ascii="宋体" w:hAnsi="宋体" w:eastAsia="宋体" w:cs="宋体"/>
          <w:sz w:val="24"/>
          <w:szCs w:val="24"/>
        </w:rPr>
        <w:t>自验收合格</w:t>
      </w:r>
      <w:r>
        <w:rPr>
          <w:rFonts w:hint="eastAsia" w:ascii="宋体" w:hAnsi="宋体" w:eastAsia="宋体" w:cs="宋体"/>
          <w:color w:val="auto"/>
          <w:sz w:val="24"/>
          <w:szCs w:val="24"/>
        </w:rPr>
        <w:t>之日起计保修期，提供整机（包含</w:t>
      </w:r>
      <w:r>
        <w:rPr>
          <w:rFonts w:hint="eastAsia" w:ascii="宋体" w:hAnsi="宋体" w:eastAsia="宋体" w:cs="宋体"/>
          <w:color w:val="auto"/>
          <w:sz w:val="24"/>
          <w:szCs w:val="24"/>
          <w:lang w:val="en-US" w:eastAsia="zh-CN"/>
        </w:rPr>
        <w:t>球管、探测器、晶体</w:t>
      </w:r>
      <w:r>
        <w:rPr>
          <w:rFonts w:hint="eastAsia" w:ascii="宋体" w:hAnsi="宋体" w:eastAsia="宋体" w:cs="宋体"/>
          <w:color w:val="auto"/>
          <w:sz w:val="24"/>
          <w:szCs w:val="24"/>
        </w:rPr>
        <w:t>等</w:t>
      </w:r>
      <w:r>
        <w:rPr>
          <w:rFonts w:hint="eastAsia" w:ascii="宋体" w:hAnsi="宋体" w:eastAsia="宋体" w:cs="宋体"/>
          <w:color w:val="auto"/>
          <w:sz w:val="24"/>
          <w:szCs w:val="24"/>
          <w:lang w:val="en-US" w:eastAsia="zh-CN"/>
        </w:rPr>
        <w:t>所有到货安装设备</w:t>
      </w:r>
      <w:r>
        <w:rPr>
          <w:rFonts w:hint="eastAsia" w:ascii="宋体" w:hAnsi="宋体" w:eastAsia="宋体" w:cs="宋体"/>
          <w:color w:val="auto"/>
          <w:sz w:val="24"/>
          <w:szCs w:val="24"/>
        </w:rPr>
        <w:t>）</w:t>
      </w:r>
      <w:r>
        <w:rPr>
          <w:rFonts w:hint="eastAsia" w:ascii="宋体" w:hAnsi="宋体" w:eastAsia="宋体" w:cs="宋体"/>
          <w:sz w:val="24"/>
          <w:szCs w:val="24"/>
        </w:rPr>
        <w:t>原厂保修服务≥</w:t>
      </w:r>
      <w:r>
        <w:rPr>
          <w:rFonts w:hint="eastAsia" w:ascii="宋体" w:hAnsi="宋体" w:eastAsia="宋体" w:cs="宋体"/>
          <w:sz w:val="24"/>
          <w:szCs w:val="24"/>
          <w:lang w:val="en-US" w:eastAsia="zh-CN"/>
        </w:rPr>
        <w:t>6</w:t>
      </w:r>
      <w:r>
        <w:rPr>
          <w:rFonts w:hint="eastAsia" w:ascii="宋体" w:hAnsi="宋体" w:eastAsia="宋体" w:cs="宋体"/>
          <w:sz w:val="24"/>
          <w:szCs w:val="24"/>
        </w:rPr>
        <w:t>年，承担保修期内设备任何故障产生的费用。</w:t>
      </w:r>
    </w:p>
    <w:p w14:paraId="7E642DE0">
      <w:pPr>
        <w:keepNext w:val="0"/>
        <w:keepLines w:val="0"/>
        <w:pageBreakBefore w:val="0"/>
        <w:widowControl w:val="0"/>
        <w:numPr>
          <w:ilvl w:val="0"/>
          <w:numId w:val="38"/>
        </w:numPr>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t>保修期内每季度定期由专业工程师对设备进行巡检，并出具相应工单交使用科室及医学工程科备案。</w:t>
      </w:r>
    </w:p>
    <w:p w14:paraId="0876B14F">
      <w:pPr>
        <w:pStyle w:val="40"/>
        <w:keepNext w:val="0"/>
        <w:keepLines w:val="0"/>
        <w:pageBreakBefore w:val="0"/>
        <w:widowControl w:val="0"/>
        <w:kinsoku/>
        <w:wordWrap w:val="0"/>
        <w:overflowPunct/>
        <w:topLinePunct w:val="0"/>
        <w:autoSpaceDE/>
        <w:autoSpaceDN/>
        <w:bidi w:val="0"/>
        <w:adjustRightInd/>
        <w:snapToGrid/>
        <w:spacing w:before="157" w:beforeLines="50" w:after="157" w:afterLines="50"/>
        <w:ind w:firstLine="482"/>
        <w:textAlignment w:val="auto"/>
        <w:rPr>
          <w:rStyle w:val="45"/>
          <w:rFonts w:hint="eastAsia" w:ascii="宋体" w:hAnsi="宋体" w:eastAsia="宋体" w:cs="宋体"/>
          <w:sz w:val="24"/>
          <w:szCs w:val="24"/>
          <w:lang w:val="en-US" w:eastAsia="zh-CN"/>
        </w:rPr>
      </w:pPr>
    </w:p>
    <w:bookmarkEnd w:id="497"/>
    <w:bookmarkEnd w:id="498"/>
    <w:p w14:paraId="3BE37253">
      <w:pPr>
        <w:rPr>
          <w:rFonts w:hint="eastAsia" w:ascii="宋体" w:hAnsi="宋体" w:eastAsia="宋体" w:cs="宋体"/>
          <w:b/>
          <w:bCs/>
          <w:color w:val="auto"/>
          <w:kern w:val="44"/>
          <w:sz w:val="36"/>
          <w:szCs w:val="36"/>
          <w:highlight w:val="none"/>
          <w:lang w:val="en-US" w:eastAsia="zh-CN" w:bidi="ar-SA"/>
        </w:rPr>
      </w:pPr>
      <w:bookmarkStart w:id="502" w:name="_Toc155185895"/>
      <w:bookmarkStart w:id="503" w:name="_Toc16160"/>
      <w:r>
        <w:rPr>
          <w:rFonts w:hint="eastAsia" w:ascii="宋体" w:hAnsi="宋体" w:eastAsia="宋体" w:cs="宋体"/>
          <w:b/>
          <w:bCs/>
          <w:color w:val="auto"/>
          <w:kern w:val="44"/>
          <w:sz w:val="36"/>
          <w:szCs w:val="36"/>
          <w:highlight w:val="none"/>
          <w:lang w:val="en-US" w:eastAsia="zh-CN" w:bidi="ar-SA"/>
        </w:rPr>
        <w:br w:type="page"/>
      </w:r>
    </w:p>
    <w:p w14:paraId="11B227F7">
      <w:pPr>
        <w:pStyle w:val="2"/>
        <w:keepNext/>
        <w:keepLines/>
        <w:pageBreakBefore w:val="0"/>
        <w:widowControl w:val="0"/>
        <w:numPr>
          <w:ilvl w:val="0"/>
          <w:numId w:val="0"/>
        </w:numPr>
        <w:kinsoku/>
        <w:wordWrap/>
        <w:overflowPunct/>
        <w:topLinePunct w:val="0"/>
        <w:autoSpaceDE/>
        <w:autoSpaceDN/>
        <w:bidi w:val="0"/>
        <w:adjustRightInd/>
        <w:snapToGrid/>
        <w:spacing w:before="100" w:after="100" w:line="480" w:lineRule="auto"/>
        <w:ind w:left="420" w:leftChars="0" w:hanging="420" w:firstLineChars="0"/>
        <w:textAlignment w:val="auto"/>
        <w:rPr>
          <w:rFonts w:hint="eastAsia" w:ascii="宋体" w:hAnsi="宋体" w:eastAsia="宋体" w:cs="宋体"/>
          <w:b/>
          <w:bCs/>
          <w:color w:val="auto"/>
          <w:kern w:val="44"/>
          <w:sz w:val="36"/>
          <w:szCs w:val="36"/>
          <w:highlight w:val="none"/>
          <w:lang w:val="en-US" w:eastAsia="zh-CN" w:bidi="ar-SA"/>
        </w:rPr>
      </w:pPr>
      <w:r>
        <w:rPr>
          <w:rFonts w:hint="eastAsia" w:ascii="宋体" w:hAnsi="宋体" w:eastAsia="宋体" w:cs="宋体"/>
          <w:b/>
          <w:bCs/>
          <w:color w:val="auto"/>
          <w:kern w:val="44"/>
          <w:sz w:val="36"/>
          <w:szCs w:val="36"/>
          <w:highlight w:val="none"/>
          <w:lang w:val="en-US" w:eastAsia="zh-CN" w:bidi="ar-SA"/>
        </w:rPr>
        <w:t>第四章 资格审查</w:t>
      </w:r>
      <w:bookmarkEnd w:id="502"/>
      <w:bookmarkEnd w:id="503"/>
    </w:p>
    <w:p w14:paraId="2133133E">
      <w:pPr>
        <w:pStyle w:val="3"/>
        <w:keepNext/>
        <w:keepLines/>
        <w:pageBreakBefore w:val="0"/>
        <w:widowControl w:val="0"/>
        <w:numPr>
          <w:ilvl w:val="0"/>
          <w:numId w:val="0"/>
        </w:numPr>
        <w:kinsoku/>
        <w:wordWrap/>
        <w:overflowPunct/>
        <w:topLinePunct w:val="0"/>
        <w:autoSpaceDE/>
        <w:autoSpaceDN/>
        <w:bidi w:val="0"/>
        <w:adjustRightInd/>
        <w:snapToGrid/>
        <w:spacing w:before="60" w:after="60" w:line="360" w:lineRule="auto"/>
        <w:ind w:left="420" w:leftChars="0" w:hanging="420" w:firstLineChars="0"/>
        <w:textAlignment w:val="auto"/>
        <w:rPr>
          <w:rFonts w:hint="eastAsia"/>
          <w:color w:val="auto"/>
          <w:sz w:val="28"/>
          <w:szCs w:val="28"/>
          <w:highlight w:val="none"/>
          <w:lang w:val="zh-CN" w:eastAsia="zh-CN"/>
        </w:rPr>
      </w:pPr>
      <w:bookmarkStart w:id="504" w:name="_Toc16612"/>
      <w:r>
        <w:rPr>
          <w:rFonts w:hint="eastAsia"/>
          <w:color w:val="auto"/>
          <w:sz w:val="28"/>
          <w:szCs w:val="28"/>
          <w:highlight w:val="none"/>
          <w:lang w:val="en-US" w:eastAsia="zh-CN"/>
        </w:rPr>
        <w:t>一、资格审查程序</w:t>
      </w:r>
      <w:bookmarkEnd w:id="504"/>
      <w:r>
        <w:rPr>
          <w:rFonts w:hint="eastAsia"/>
          <w:color w:val="auto"/>
          <w:sz w:val="28"/>
          <w:szCs w:val="28"/>
          <w:highlight w:val="none"/>
          <w:lang w:val="en-US" w:eastAsia="zh-CN"/>
        </w:rPr>
        <w:t xml:space="preserve"> </w:t>
      </w:r>
    </w:p>
    <w:p w14:paraId="4E4090D3">
      <w:pPr>
        <w:pStyle w:val="40"/>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 开标结束后，采购人或采购代理机构将根据《资格审查要求》中的规定，对投标人进行资格审查，并形成资格审查结果。 </w:t>
      </w:r>
    </w:p>
    <w:p w14:paraId="62799CDE">
      <w:pPr>
        <w:pStyle w:val="40"/>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 投标人《资格证明文件》有任何一项不符合《资格审查要求》的，资格审查不合格，其</w:t>
      </w:r>
      <w:r>
        <w:rPr>
          <w:rFonts w:hint="eastAsia" w:ascii="宋体" w:hAnsi="宋体" w:eastAsia="宋体" w:cs="宋体"/>
          <w:b/>
          <w:bCs/>
          <w:color w:val="auto"/>
          <w:sz w:val="24"/>
          <w:szCs w:val="24"/>
          <w:highlight w:val="none"/>
          <w:lang w:val="en-US" w:eastAsia="zh-CN"/>
        </w:rPr>
        <w:t>投标无效</w:t>
      </w:r>
      <w:r>
        <w:rPr>
          <w:rFonts w:hint="eastAsia" w:ascii="宋体" w:hAnsi="宋体" w:eastAsia="宋体" w:cs="宋体"/>
          <w:color w:val="auto"/>
          <w:sz w:val="24"/>
          <w:szCs w:val="24"/>
          <w:highlight w:val="none"/>
          <w:lang w:val="en-US" w:eastAsia="zh-CN"/>
        </w:rPr>
        <w:t xml:space="preserve">。 </w:t>
      </w:r>
    </w:p>
    <w:p w14:paraId="37E914D8">
      <w:pPr>
        <w:pStyle w:val="40"/>
        <w:keepNext w:val="0"/>
        <w:keepLines w:val="0"/>
        <w:pageBreakBefore w:val="0"/>
        <w:widowControl w:val="0"/>
        <w:kinsoku/>
        <w:wordWrap w:val="0"/>
        <w:overflowPunct/>
        <w:topLinePunct w:val="0"/>
        <w:autoSpaceDE/>
        <w:autoSpaceDN/>
        <w:bidi w:val="0"/>
        <w:adjustRightInd/>
        <w:snapToGrid/>
        <w:spacing w:line="400" w:lineRule="exact"/>
        <w:ind w:firstLine="482"/>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 资格审查合格的投标人不足 3 家的，不进行评标。 </w:t>
      </w:r>
    </w:p>
    <w:p w14:paraId="1720E868">
      <w:pPr>
        <w:pStyle w:val="3"/>
        <w:keepNext/>
        <w:keepLines/>
        <w:pageBreakBefore w:val="0"/>
        <w:widowControl w:val="0"/>
        <w:numPr>
          <w:ilvl w:val="0"/>
          <w:numId w:val="0"/>
        </w:numPr>
        <w:kinsoku/>
        <w:wordWrap/>
        <w:overflowPunct/>
        <w:topLinePunct w:val="0"/>
        <w:autoSpaceDE/>
        <w:autoSpaceDN/>
        <w:bidi w:val="0"/>
        <w:adjustRightInd/>
        <w:snapToGrid/>
        <w:spacing w:before="60" w:after="60" w:line="360" w:lineRule="auto"/>
        <w:ind w:left="420" w:leftChars="0" w:hanging="420" w:firstLineChars="0"/>
        <w:textAlignment w:val="auto"/>
        <w:rPr>
          <w:rFonts w:hint="eastAsia"/>
          <w:color w:val="auto"/>
          <w:sz w:val="28"/>
          <w:szCs w:val="28"/>
          <w:highlight w:val="none"/>
          <w:lang w:val="en-US" w:eastAsia="zh-CN"/>
        </w:rPr>
      </w:pPr>
      <w:bookmarkStart w:id="505" w:name="_Toc2211"/>
      <w:r>
        <w:rPr>
          <w:rFonts w:hint="eastAsia"/>
          <w:color w:val="auto"/>
          <w:sz w:val="28"/>
          <w:szCs w:val="28"/>
          <w:highlight w:val="none"/>
          <w:lang w:val="en-US" w:eastAsia="zh-CN"/>
        </w:rPr>
        <w:t>二、资格审查要求</w:t>
      </w:r>
      <w:bookmarkEnd w:id="505"/>
      <w:r>
        <w:rPr>
          <w:rFonts w:hint="eastAsia"/>
          <w:color w:val="auto"/>
          <w:sz w:val="28"/>
          <w:szCs w:val="28"/>
          <w:highlight w:val="none"/>
          <w:lang w:val="en-US" w:eastAsia="zh-CN"/>
        </w:rPr>
        <w:t xml:space="preserve"> </w:t>
      </w:r>
    </w:p>
    <w:tbl>
      <w:tblPr>
        <w:tblStyle w:val="31"/>
        <w:tblW w:w="547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57" w:type="dxa"/>
          <w:left w:w="108" w:type="dxa"/>
          <w:bottom w:w="57" w:type="dxa"/>
          <w:right w:w="108" w:type="dxa"/>
        </w:tblCellMar>
      </w:tblPr>
      <w:tblGrid>
        <w:gridCol w:w="821"/>
        <w:gridCol w:w="1864"/>
        <w:gridCol w:w="5156"/>
        <w:gridCol w:w="1496"/>
      </w:tblGrid>
      <w:tr w14:paraId="4C40C3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538" w:hRule="atLeast"/>
          <w:jc w:val="center"/>
        </w:trPr>
        <w:tc>
          <w:tcPr>
            <w:tcW w:w="439" w:type="pct"/>
            <w:shd w:val="clear" w:color="auto" w:fill="D8D8D8" w:themeFill="background1" w:themeFillShade="D9"/>
            <w:vAlign w:val="center"/>
          </w:tcPr>
          <w:p w14:paraId="31F150F3">
            <w:pPr>
              <w:pStyle w:val="52"/>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序号</w:t>
            </w:r>
          </w:p>
        </w:tc>
        <w:tc>
          <w:tcPr>
            <w:tcW w:w="998" w:type="pct"/>
            <w:shd w:val="clear" w:color="auto" w:fill="D8D8D8" w:themeFill="background1" w:themeFillShade="D9"/>
            <w:vAlign w:val="center"/>
          </w:tcPr>
          <w:p w14:paraId="29694278">
            <w:pPr>
              <w:pStyle w:val="52"/>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审查因素</w:t>
            </w:r>
          </w:p>
        </w:tc>
        <w:tc>
          <w:tcPr>
            <w:tcW w:w="2760" w:type="pct"/>
            <w:shd w:val="clear" w:color="auto" w:fill="D8D8D8" w:themeFill="background1" w:themeFillShade="D9"/>
            <w:vAlign w:val="center"/>
          </w:tcPr>
          <w:p w14:paraId="635BC09B">
            <w:pPr>
              <w:pStyle w:val="52"/>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审查内容</w:t>
            </w:r>
          </w:p>
        </w:tc>
        <w:tc>
          <w:tcPr>
            <w:tcW w:w="801" w:type="pct"/>
            <w:shd w:val="clear" w:color="auto" w:fill="D8D8D8" w:themeFill="background1" w:themeFillShade="D9"/>
            <w:vAlign w:val="center"/>
          </w:tcPr>
          <w:p w14:paraId="6075A15A">
            <w:pPr>
              <w:pStyle w:val="52"/>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格式要求</w:t>
            </w:r>
          </w:p>
        </w:tc>
      </w:tr>
      <w:tr w14:paraId="69698E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076" w:hRule="atLeast"/>
          <w:jc w:val="center"/>
        </w:trPr>
        <w:tc>
          <w:tcPr>
            <w:tcW w:w="439" w:type="pct"/>
            <w:shd w:val="clear" w:color="auto" w:fill="FFFFFF" w:themeFill="background1"/>
            <w:vAlign w:val="center"/>
          </w:tcPr>
          <w:p w14:paraId="636EB3B4">
            <w:pPr>
              <w:pStyle w:val="52"/>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w:t>
            </w:r>
          </w:p>
        </w:tc>
        <w:tc>
          <w:tcPr>
            <w:tcW w:w="998" w:type="pct"/>
            <w:shd w:val="clear" w:color="auto" w:fill="FFFFFF" w:themeFill="background1"/>
            <w:vAlign w:val="center"/>
          </w:tcPr>
          <w:p w14:paraId="267C1675">
            <w:pPr>
              <w:pStyle w:val="52"/>
              <w:keepNext w:val="0"/>
              <w:keepLines w:val="0"/>
              <w:pageBreakBefore w:val="0"/>
              <w:kinsoku/>
              <w:wordWrap/>
              <w:overflowPunct/>
              <w:topLinePunct w:val="0"/>
              <w:autoSpaceDE/>
              <w:autoSpaceDN/>
              <w:bidi w:val="0"/>
              <w:adjustRightInd/>
              <w:snapToGrid/>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满足《政府采购 </w:t>
            </w:r>
          </w:p>
          <w:p w14:paraId="58A237A7">
            <w:pPr>
              <w:pStyle w:val="52"/>
              <w:keepNext w:val="0"/>
              <w:keepLines w:val="0"/>
              <w:pageBreakBefore w:val="0"/>
              <w:kinsoku/>
              <w:wordWrap/>
              <w:overflowPunct/>
              <w:topLinePunct w:val="0"/>
              <w:autoSpaceDE/>
              <w:autoSpaceDN/>
              <w:bidi w:val="0"/>
              <w:adjustRightInd/>
              <w:snapToGrid/>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法》第二十二条 </w:t>
            </w:r>
          </w:p>
          <w:p w14:paraId="4DBD5590">
            <w:pPr>
              <w:pStyle w:val="52"/>
              <w:keepNext w:val="0"/>
              <w:keepLines w:val="0"/>
              <w:pageBreakBefore w:val="0"/>
              <w:kinsoku/>
              <w:wordWrap/>
              <w:overflowPunct/>
              <w:topLinePunct w:val="0"/>
              <w:autoSpaceDE/>
              <w:autoSpaceDN/>
              <w:bidi w:val="0"/>
              <w:adjustRightInd/>
              <w:snapToGrid/>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规定</w:t>
            </w:r>
          </w:p>
        </w:tc>
        <w:tc>
          <w:tcPr>
            <w:tcW w:w="2760" w:type="pct"/>
            <w:shd w:val="clear" w:color="auto" w:fill="FFFFFF" w:themeFill="background1"/>
            <w:vAlign w:val="center"/>
          </w:tcPr>
          <w:p w14:paraId="215E0855">
            <w:pPr>
              <w:pStyle w:val="52"/>
              <w:keepNext w:val="0"/>
              <w:keepLines w:val="0"/>
              <w:pageBreakBefore w:val="0"/>
              <w:kinsoku/>
              <w:wordWrap/>
              <w:overflowPunct/>
              <w:topLinePunct w:val="0"/>
              <w:autoSpaceDE/>
              <w:autoSpaceDN/>
              <w:bidi w:val="0"/>
              <w:adjustRightInd/>
              <w:snapToGrid/>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具体规定见“第一章 招标公告”</w:t>
            </w:r>
          </w:p>
        </w:tc>
        <w:tc>
          <w:tcPr>
            <w:tcW w:w="801" w:type="pct"/>
            <w:shd w:val="clear" w:color="auto" w:fill="FFFFFF" w:themeFill="background1"/>
            <w:vAlign w:val="center"/>
          </w:tcPr>
          <w:p w14:paraId="24AF5599">
            <w:pPr>
              <w:pStyle w:val="52"/>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b/>
                <w:bCs/>
                <w:color w:val="auto"/>
                <w:sz w:val="24"/>
                <w:szCs w:val="24"/>
                <w:highlight w:val="none"/>
              </w:rPr>
            </w:pPr>
          </w:p>
        </w:tc>
      </w:tr>
      <w:tr w14:paraId="26E76C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949" w:hRule="atLeast"/>
          <w:jc w:val="center"/>
        </w:trPr>
        <w:tc>
          <w:tcPr>
            <w:tcW w:w="439" w:type="pct"/>
            <w:shd w:val="clear" w:color="auto" w:fill="FFFFFF" w:themeFill="background1"/>
            <w:vAlign w:val="center"/>
          </w:tcPr>
          <w:p w14:paraId="1AF8CF7F">
            <w:pPr>
              <w:pStyle w:val="52"/>
              <w:jc w:val="center"/>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sz w:val="24"/>
                <w:szCs w:val="24"/>
                <w:highlight w:val="none"/>
                <w:lang w:val="en-US" w:eastAsia="zh-CN"/>
              </w:rPr>
              <w:t>1-1</w:t>
            </w:r>
          </w:p>
        </w:tc>
        <w:tc>
          <w:tcPr>
            <w:tcW w:w="998" w:type="pct"/>
            <w:shd w:val="clear" w:color="auto" w:fill="FFFFFF" w:themeFill="background1"/>
            <w:vAlign w:val="center"/>
          </w:tcPr>
          <w:p w14:paraId="055CD5DC">
            <w:pPr>
              <w:pStyle w:val="52"/>
              <w:keepNext w:val="0"/>
              <w:keepLines w:val="0"/>
              <w:pageBreakBefore w:val="0"/>
              <w:kinsoku/>
              <w:wordWrap/>
              <w:overflowPunct/>
              <w:topLinePunct w:val="0"/>
              <w:autoSpaceDE/>
              <w:autoSpaceDN/>
              <w:bidi w:val="0"/>
              <w:adjustRightInd/>
              <w:snapToGrid/>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具有独立承担民事责任的能力</w:t>
            </w:r>
          </w:p>
        </w:tc>
        <w:tc>
          <w:tcPr>
            <w:tcW w:w="2760" w:type="pct"/>
            <w:shd w:val="clear" w:color="auto" w:fill="FFFFFF" w:themeFill="background1"/>
            <w:vAlign w:val="center"/>
          </w:tcPr>
          <w:p w14:paraId="3CB6034C">
            <w:pPr>
              <w:pStyle w:val="52"/>
              <w:keepNext w:val="0"/>
              <w:keepLines w:val="0"/>
              <w:pageBreakBefore w:val="0"/>
              <w:kinsoku/>
              <w:wordWrap/>
              <w:overflowPunct/>
              <w:topLinePunct w:val="0"/>
              <w:autoSpaceDE/>
              <w:autoSpaceDN/>
              <w:bidi w:val="0"/>
              <w:adjustRightInd/>
              <w:snapToGrid/>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如投标人是企业，应提供“营业执照”；如投标人是事业单位，应提供 “事业单位法人证书”；如投标人是社会团体，应提供“社会团体法人登记证书”；如投标人是个体工商户，应提供有效的“个体工商户营业执照”；如投标人是自然人，应提供有效的自然人身份证明。</w:t>
            </w:r>
          </w:p>
        </w:tc>
        <w:tc>
          <w:tcPr>
            <w:tcW w:w="801" w:type="pct"/>
            <w:shd w:val="clear" w:color="auto" w:fill="FFFFFF" w:themeFill="background1"/>
            <w:vAlign w:val="center"/>
          </w:tcPr>
          <w:p w14:paraId="60CD4B85">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auto"/>
                <w:kern w:val="0"/>
                <w:sz w:val="24"/>
                <w:szCs w:val="24"/>
                <w:highlight w:val="none"/>
                <w:lang w:val="en-US" w:eastAsia="zh-CN" w:bidi="ar"/>
              </w:rPr>
            </w:pPr>
            <w:r>
              <w:rPr>
                <w:rFonts w:hint="eastAsia" w:ascii="宋体" w:hAnsi="宋体" w:eastAsia="宋体" w:cs="宋体"/>
                <w:i w:val="0"/>
                <w:iCs w:val="0"/>
                <w:color w:val="auto"/>
                <w:kern w:val="0"/>
                <w:sz w:val="24"/>
                <w:szCs w:val="24"/>
                <w:highlight w:val="none"/>
                <w:lang w:val="en-US" w:eastAsia="zh-CN" w:bidi="ar"/>
              </w:rPr>
              <w:t>格式见《第六章 响应文件格式》</w:t>
            </w:r>
          </w:p>
        </w:tc>
      </w:tr>
      <w:tr w14:paraId="5486F2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439" w:type="pct"/>
            <w:shd w:val="clear" w:color="auto" w:fill="FFFFFF" w:themeFill="background1"/>
            <w:vAlign w:val="center"/>
          </w:tcPr>
          <w:p w14:paraId="1B6B10C6">
            <w:pPr>
              <w:pStyle w:val="52"/>
              <w:jc w:val="center"/>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sz w:val="24"/>
                <w:szCs w:val="24"/>
                <w:highlight w:val="none"/>
                <w:lang w:val="en-US" w:eastAsia="zh-CN"/>
              </w:rPr>
              <w:t>1-2</w:t>
            </w:r>
          </w:p>
        </w:tc>
        <w:tc>
          <w:tcPr>
            <w:tcW w:w="998" w:type="pct"/>
            <w:shd w:val="clear" w:color="auto" w:fill="FFFFFF" w:themeFill="background1"/>
            <w:vAlign w:val="center"/>
          </w:tcPr>
          <w:p w14:paraId="1BD0E12D">
            <w:pPr>
              <w:pStyle w:val="52"/>
              <w:keepNext w:val="0"/>
              <w:keepLines w:val="0"/>
              <w:pageBreakBefore w:val="0"/>
              <w:kinsoku/>
              <w:wordWrap/>
              <w:overflowPunct/>
              <w:topLinePunct w:val="0"/>
              <w:autoSpaceDE/>
              <w:autoSpaceDN/>
              <w:bidi w:val="0"/>
              <w:adjustRightInd/>
              <w:snapToGrid/>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具有良好的商业信誉和健全的财务会计制度</w:t>
            </w:r>
          </w:p>
        </w:tc>
        <w:tc>
          <w:tcPr>
            <w:tcW w:w="2760" w:type="pct"/>
            <w:shd w:val="clear" w:color="auto" w:fill="FFFFFF" w:themeFill="background1"/>
            <w:vAlign w:val="center"/>
          </w:tcPr>
          <w:p w14:paraId="041E784F">
            <w:pPr>
              <w:pStyle w:val="52"/>
              <w:keepNext w:val="0"/>
              <w:keepLines w:val="0"/>
              <w:pageBreakBefore w:val="0"/>
              <w:kinsoku/>
              <w:wordWrap/>
              <w:overflowPunct/>
              <w:topLinePunct w:val="0"/>
              <w:autoSpaceDE/>
              <w:autoSpaceDN/>
              <w:bidi w:val="0"/>
              <w:adjustRightInd/>
              <w:snapToGrid/>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时，若投标人成立超过一年需提供2021年、2022年、2023年度任意一年的财务状况报表或经第三方审计出具的审计报告复印件/扫描件并加盖公章，投标人成立不足一年（含一年）需提供近三个月内任意一个月的财务报告复印件/扫描件并加盖公章（需包含资产负债表、现金流量表、利润表）或近三个月内任意一个月的银行资信证明材料复印件/扫描件并加盖公章；</w:t>
            </w:r>
          </w:p>
        </w:tc>
        <w:tc>
          <w:tcPr>
            <w:tcW w:w="801" w:type="pct"/>
            <w:shd w:val="clear" w:color="auto" w:fill="FFFFFF" w:themeFill="background1"/>
            <w:vAlign w:val="center"/>
          </w:tcPr>
          <w:p w14:paraId="1422A2B6">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auto"/>
                <w:kern w:val="0"/>
                <w:sz w:val="24"/>
                <w:szCs w:val="24"/>
                <w:highlight w:val="none"/>
                <w:lang w:val="en-US" w:eastAsia="zh-CN" w:bidi="ar"/>
              </w:rPr>
            </w:pPr>
            <w:r>
              <w:rPr>
                <w:rFonts w:hint="eastAsia" w:ascii="宋体" w:hAnsi="宋体" w:eastAsia="宋体" w:cs="宋体"/>
                <w:i w:val="0"/>
                <w:iCs w:val="0"/>
                <w:color w:val="auto"/>
                <w:kern w:val="0"/>
                <w:sz w:val="24"/>
                <w:szCs w:val="24"/>
                <w:highlight w:val="none"/>
                <w:lang w:val="en-US" w:eastAsia="zh-CN" w:bidi="ar"/>
              </w:rPr>
              <w:t>格式见《第六章 响应文件格式》</w:t>
            </w:r>
          </w:p>
        </w:tc>
      </w:tr>
      <w:tr w14:paraId="4AED1B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439" w:type="pct"/>
            <w:shd w:val="clear" w:color="auto" w:fill="FFFFFF" w:themeFill="background1"/>
            <w:vAlign w:val="center"/>
          </w:tcPr>
          <w:p w14:paraId="30F3F645">
            <w:pPr>
              <w:pStyle w:val="52"/>
              <w:jc w:val="center"/>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sz w:val="24"/>
                <w:szCs w:val="24"/>
                <w:highlight w:val="none"/>
                <w:lang w:val="en-US" w:eastAsia="zh-CN"/>
              </w:rPr>
              <w:t>1-3</w:t>
            </w:r>
          </w:p>
        </w:tc>
        <w:tc>
          <w:tcPr>
            <w:tcW w:w="998" w:type="pct"/>
            <w:shd w:val="clear" w:color="auto" w:fill="FFFFFF" w:themeFill="background1"/>
            <w:vAlign w:val="center"/>
          </w:tcPr>
          <w:p w14:paraId="4E591147">
            <w:pPr>
              <w:pStyle w:val="52"/>
              <w:keepNext w:val="0"/>
              <w:keepLines w:val="0"/>
              <w:pageBreakBefore w:val="0"/>
              <w:kinsoku/>
              <w:wordWrap/>
              <w:overflowPunct/>
              <w:topLinePunct w:val="0"/>
              <w:autoSpaceDE/>
              <w:autoSpaceDN/>
              <w:bidi w:val="0"/>
              <w:adjustRightInd/>
              <w:snapToGrid/>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有依法缴纳税收和社会保障资金的良好记录</w:t>
            </w:r>
          </w:p>
        </w:tc>
        <w:tc>
          <w:tcPr>
            <w:tcW w:w="2760" w:type="pct"/>
            <w:shd w:val="clear" w:color="auto" w:fill="FFFFFF" w:themeFill="background1"/>
            <w:vAlign w:val="center"/>
          </w:tcPr>
          <w:p w14:paraId="765DA8AF">
            <w:pPr>
              <w:pStyle w:val="52"/>
              <w:keepNext w:val="0"/>
              <w:keepLines w:val="0"/>
              <w:pageBreakBefore w:val="0"/>
              <w:kinsoku/>
              <w:wordWrap/>
              <w:overflowPunct/>
              <w:topLinePunct w:val="0"/>
              <w:autoSpaceDE/>
              <w:autoSpaceDN/>
              <w:bidi w:val="0"/>
              <w:adjustRightInd/>
              <w:snapToGrid/>
              <w:jc w:val="both"/>
              <w:textAlignment w:val="auto"/>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投标人</w:t>
            </w:r>
            <w:r>
              <w:rPr>
                <w:rFonts w:hint="eastAsia" w:ascii="宋体" w:hAnsi="宋体" w:eastAsia="宋体" w:cs="宋体"/>
                <w:color w:val="auto"/>
                <w:sz w:val="24"/>
                <w:szCs w:val="24"/>
                <w:highlight w:val="none"/>
                <w:lang w:val="en-US" w:eastAsia="zh-CN"/>
              </w:rPr>
              <w:t xml:space="preserve">依法缴纳税收的证明材料：本项目响应截止时间前 6 个月内（至少提供1个月）缴纳税收的凭据（完税证、缴款书、印花税票、银行代扣（代缴）转账凭证等均可）； </w:t>
            </w:r>
          </w:p>
          <w:p w14:paraId="5BDA0931">
            <w:pPr>
              <w:pStyle w:val="52"/>
              <w:keepNext w:val="0"/>
              <w:keepLines w:val="0"/>
              <w:pageBreakBefore w:val="0"/>
              <w:kinsoku/>
              <w:wordWrap/>
              <w:overflowPunct/>
              <w:topLinePunct w:val="0"/>
              <w:autoSpaceDE/>
              <w:autoSpaceDN/>
              <w:bidi w:val="0"/>
              <w:adjustRightInd/>
              <w:snapToGrid/>
              <w:jc w:val="both"/>
              <w:textAlignment w:val="auto"/>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投标人</w:t>
            </w:r>
            <w:r>
              <w:rPr>
                <w:rFonts w:hint="eastAsia" w:ascii="宋体" w:hAnsi="宋体" w:eastAsia="宋体" w:cs="宋体"/>
                <w:color w:val="auto"/>
                <w:sz w:val="24"/>
                <w:szCs w:val="24"/>
                <w:highlight w:val="none"/>
                <w:lang w:val="en-US" w:eastAsia="zh-CN"/>
              </w:rPr>
              <w:t xml:space="preserve">依法缴纳社会保障资金的证明材料：本项目响应截止时间时间前 6个月内（至少提供1个月）缴纳社会保险的凭据（专用收据或社会保险交纳清单）； </w:t>
            </w:r>
          </w:p>
          <w:p w14:paraId="2754365B">
            <w:pPr>
              <w:pStyle w:val="52"/>
              <w:keepNext w:val="0"/>
              <w:keepLines w:val="0"/>
              <w:pageBreakBefore w:val="0"/>
              <w:kinsoku/>
              <w:wordWrap/>
              <w:overflowPunct/>
              <w:topLinePunct w:val="0"/>
              <w:autoSpaceDE/>
              <w:autoSpaceDN/>
              <w:bidi w:val="0"/>
              <w:adjustRightInd/>
              <w:snapToGrid/>
              <w:jc w:val="both"/>
              <w:textAlignment w:val="auto"/>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投标人</w:t>
            </w:r>
            <w:r>
              <w:rPr>
                <w:rFonts w:hint="eastAsia" w:ascii="宋体" w:hAnsi="宋体" w:eastAsia="宋体" w:cs="宋体"/>
                <w:color w:val="auto"/>
                <w:sz w:val="24"/>
                <w:szCs w:val="24"/>
                <w:highlight w:val="none"/>
                <w:lang w:val="en-US" w:eastAsia="zh-CN"/>
              </w:rPr>
              <w:t>为其他组织或自然人的，也需要按此项规定提供缴纳税收的凭据和交纳社会保险的凭据。如</w:t>
            </w:r>
            <w:r>
              <w:rPr>
                <w:rFonts w:hint="eastAsia" w:cs="宋体"/>
                <w:color w:val="auto"/>
                <w:sz w:val="24"/>
                <w:szCs w:val="24"/>
                <w:highlight w:val="none"/>
                <w:lang w:val="en-US" w:eastAsia="zh-CN"/>
              </w:rPr>
              <w:t>投标人</w:t>
            </w:r>
            <w:r>
              <w:rPr>
                <w:rFonts w:hint="eastAsia" w:ascii="宋体" w:hAnsi="宋体" w:eastAsia="宋体" w:cs="宋体"/>
                <w:color w:val="auto"/>
                <w:sz w:val="24"/>
                <w:szCs w:val="24"/>
                <w:highlight w:val="none"/>
                <w:lang w:val="en-US" w:eastAsia="zh-CN"/>
              </w:rPr>
              <w:t>的社会保险为委托第三方代缴，还需同时提供</w:t>
            </w:r>
            <w:r>
              <w:rPr>
                <w:rFonts w:hint="eastAsia" w:cs="宋体"/>
                <w:color w:val="auto"/>
                <w:sz w:val="24"/>
                <w:szCs w:val="24"/>
                <w:highlight w:val="none"/>
                <w:lang w:val="en-US" w:eastAsia="zh-CN"/>
              </w:rPr>
              <w:t>投标人</w:t>
            </w:r>
            <w:r>
              <w:rPr>
                <w:rFonts w:hint="eastAsia" w:ascii="宋体" w:hAnsi="宋体" w:eastAsia="宋体" w:cs="宋体"/>
                <w:color w:val="auto"/>
                <w:sz w:val="24"/>
                <w:szCs w:val="24"/>
                <w:highlight w:val="none"/>
                <w:lang w:val="en-US" w:eastAsia="zh-CN"/>
              </w:rPr>
              <w:t>与第三方服务机构签署的服务合同（合同中应明确写明第三方为</w:t>
            </w:r>
            <w:r>
              <w:rPr>
                <w:rFonts w:hint="eastAsia" w:cs="宋体"/>
                <w:color w:val="auto"/>
                <w:sz w:val="24"/>
                <w:szCs w:val="24"/>
                <w:highlight w:val="none"/>
                <w:lang w:val="en-US" w:eastAsia="zh-CN"/>
              </w:rPr>
              <w:t>投标人</w:t>
            </w:r>
            <w:r>
              <w:rPr>
                <w:rFonts w:hint="eastAsia" w:ascii="宋体" w:hAnsi="宋体" w:eastAsia="宋体" w:cs="宋体"/>
                <w:color w:val="auto"/>
                <w:sz w:val="24"/>
                <w:szCs w:val="24"/>
                <w:highlight w:val="none"/>
                <w:lang w:val="en-US" w:eastAsia="zh-CN"/>
              </w:rPr>
              <w:t>代缴其社会保险）。</w:t>
            </w:r>
          </w:p>
          <w:p w14:paraId="793C0D11">
            <w:pPr>
              <w:pStyle w:val="52"/>
              <w:keepNext w:val="0"/>
              <w:keepLines w:val="0"/>
              <w:pageBreakBefore w:val="0"/>
              <w:kinsoku/>
              <w:wordWrap/>
              <w:overflowPunct/>
              <w:topLinePunct w:val="0"/>
              <w:autoSpaceDE/>
              <w:autoSpaceDN/>
              <w:bidi w:val="0"/>
              <w:adjustRightInd/>
              <w:snapToGrid/>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依法不需要缴纳社会保障资金的</w:t>
            </w:r>
            <w:r>
              <w:rPr>
                <w:rFonts w:hint="eastAsia" w:cs="宋体"/>
                <w:color w:val="auto"/>
                <w:sz w:val="24"/>
                <w:szCs w:val="24"/>
                <w:highlight w:val="none"/>
                <w:lang w:val="en-US" w:eastAsia="zh-CN"/>
              </w:rPr>
              <w:t>投标人</w:t>
            </w:r>
            <w:r>
              <w:rPr>
                <w:rFonts w:hint="eastAsia" w:ascii="宋体" w:hAnsi="宋体" w:eastAsia="宋体" w:cs="宋体"/>
                <w:color w:val="auto"/>
                <w:sz w:val="24"/>
                <w:szCs w:val="24"/>
                <w:highlight w:val="none"/>
                <w:lang w:val="en-US" w:eastAsia="zh-CN"/>
              </w:rPr>
              <w:t>，须提供相应文件证明其依法不需要缴纳社会保障资金。</w:t>
            </w:r>
          </w:p>
        </w:tc>
        <w:tc>
          <w:tcPr>
            <w:tcW w:w="801" w:type="pct"/>
            <w:shd w:val="clear" w:color="auto" w:fill="FFFFFF" w:themeFill="background1"/>
            <w:vAlign w:val="center"/>
          </w:tcPr>
          <w:p w14:paraId="77A69C15">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auto"/>
                <w:kern w:val="0"/>
                <w:sz w:val="24"/>
                <w:szCs w:val="24"/>
                <w:highlight w:val="none"/>
                <w:lang w:val="en-US" w:eastAsia="zh-CN" w:bidi="ar"/>
              </w:rPr>
            </w:pPr>
            <w:r>
              <w:rPr>
                <w:rFonts w:hint="eastAsia" w:ascii="宋体" w:hAnsi="宋体" w:eastAsia="宋体" w:cs="宋体"/>
                <w:i w:val="0"/>
                <w:iCs w:val="0"/>
                <w:color w:val="auto"/>
                <w:kern w:val="0"/>
                <w:sz w:val="24"/>
                <w:szCs w:val="24"/>
                <w:highlight w:val="none"/>
                <w:lang w:val="en-US" w:eastAsia="zh-CN" w:bidi="ar"/>
              </w:rPr>
              <w:t>格式见《第六章 响应文件格式》</w:t>
            </w:r>
          </w:p>
        </w:tc>
      </w:tr>
      <w:tr w14:paraId="76A181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439" w:type="pct"/>
            <w:shd w:val="clear" w:color="auto" w:fill="FFFFFF" w:themeFill="background1"/>
            <w:vAlign w:val="center"/>
          </w:tcPr>
          <w:p w14:paraId="440E932D">
            <w:pPr>
              <w:pStyle w:val="52"/>
              <w:jc w:val="center"/>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sz w:val="24"/>
                <w:szCs w:val="24"/>
                <w:highlight w:val="none"/>
                <w:lang w:val="en-US" w:eastAsia="zh-CN"/>
              </w:rPr>
              <w:t>1-4</w:t>
            </w:r>
          </w:p>
        </w:tc>
        <w:tc>
          <w:tcPr>
            <w:tcW w:w="998" w:type="pct"/>
            <w:shd w:val="clear" w:color="auto" w:fill="FFFFFF" w:themeFill="background1"/>
            <w:vAlign w:val="center"/>
          </w:tcPr>
          <w:p w14:paraId="358C8A99">
            <w:pPr>
              <w:pStyle w:val="52"/>
              <w:jc w:val="both"/>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具有履行合同所必需的设备和专业技术能力</w:t>
            </w:r>
          </w:p>
        </w:tc>
        <w:tc>
          <w:tcPr>
            <w:tcW w:w="2760" w:type="pct"/>
            <w:shd w:val="clear" w:color="auto" w:fill="FFFFFF" w:themeFill="background1"/>
            <w:vAlign w:val="center"/>
          </w:tcPr>
          <w:p w14:paraId="5E32CC25">
            <w:pPr>
              <w:pStyle w:val="52"/>
              <w:jc w:val="both"/>
              <w:rPr>
                <w:rFonts w:hint="eastAsia" w:ascii="宋体" w:hAnsi="宋体" w:eastAsia="宋体" w:cs="宋体"/>
                <w:i w:val="0"/>
                <w:iCs w:val="0"/>
                <w:color w:val="auto"/>
                <w:sz w:val="24"/>
                <w:szCs w:val="24"/>
                <w:highlight w:val="none"/>
                <w:lang w:val="en-US" w:eastAsia="zh-CN"/>
              </w:rPr>
            </w:pPr>
            <w:r>
              <w:rPr>
                <w:rFonts w:hint="eastAsia" w:cs="宋体"/>
                <w:i w:val="0"/>
                <w:iCs w:val="0"/>
                <w:color w:val="auto"/>
                <w:sz w:val="24"/>
                <w:szCs w:val="24"/>
                <w:highlight w:val="none"/>
                <w:lang w:val="en-US" w:eastAsia="zh-CN"/>
              </w:rPr>
              <w:t>投标人</w:t>
            </w:r>
            <w:r>
              <w:rPr>
                <w:rFonts w:hint="eastAsia" w:ascii="宋体" w:hAnsi="宋体" w:eastAsia="宋体" w:cs="宋体"/>
                <w:i w:val="0"/>
                <w:iCs w:val="0"/>
                <w:color w:val="auto"/>
                <w:sz w:val="24"/>
                <w:szCs w:val="24"/>
                <w:highlight w:val="none"/>
                <w:lang w:val="en-US" w:eastAsia="zh-CN"/>
              </w:rPr>
              <w:t>履行合同所必须的设备和专业技术能力的证明材料或声明。</w:t>
            </w:r>
          </w:p>
        </w:tc>
        <w:tc>
          <w:tcPr>
            <w:tcW w:w="801" w:type="pct"/>
            <w:shd w:val="clear" w:color="auto" w:fill="FFFFFF" w:themeFill="background1"/>
            <w:vAlign w:val="center"/>
          </w:tcPr>
          <w:p w14:paraId="64EA189D">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auto"/>
                <w:kern w:val="0"/>
                <w:sz w:val="24"/>
                <w:szCs w:val="24"/>
                <w:highlight w:val="none"/>
                <w:lang w:val="en-US" w:eastAsia="zh-CN" w:bidi="ar"/>
              </w:rPr>
            </w:pPr>
            <w:r>
              <w:rPr>
                <w:rFonts w:hint="eastAsia" w:ascii="宋体" w:hAnsi="宋体" w:eastAsia="宋体" w:cs="宋体"/>
                <w:i w:val="0"/>
                <w:iCs w:val="0"/>
                <w:color w:val="auto"/>
                <w:kern w:val="0"/>
                <w:sz w:val="24"/>
                <w:szCs w:val="24"/>
                <w:highlight w:val="none"/>
                <w:lang w:val="en-US" w:eastAsia="zh-CN" w:bidi="ar"/>
              </w:rPr>
              <w:t>格式见《第六章 响应文件格式》</w:t>
            </w:r>
          </w:p>
        </w:tc>
      </w:tr>
      <w:tr w14:paraId="26F545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439" w:type="pct"/>
            <w:shd w:val="clear" w:color="auto" w:fill="FFFFFF" w:themeFill="background1"/>
            <w:vAlign w:val="center"/>
          </w:tcPr>
          <w:p w14:paraId="44C4A633">
            <w:pPr>
              <w:pStyle w:val="52"/>
              <w:jc w:val="center"/>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sz w:val="24"/>
                <w:szCs w:val="24"/>
                <w:highlight w:val="none"/>
                <w:lang w:val="en-US" w:eastAsia="zh-CN"/>
              </w:rPr>
              <w:t>1-5</w:t>
            </w:r>
          </w:p>
        </w:tc>
        <w:tc>
          <w:tcPr>
            <w:tcW w:w="998" w:type="pct"/>
            <w:shd w:val="clear" w:color="auto" w:fill="FFFFFF" w:themeFill="background1"/>
            <w:vAlign w:val="center"/>
          </w:tcPr>
          <w:p w14:paraId="486470A7">
            <w:pPr>
              <w:pStyle w:val="52"/>
              <w:jc w:val="both"/>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参加政府采购活动前三年内，在经营活动中没有重大违法记录</w:t>
            </w:r>
          </w:p>
        </w:tc>
        <w:tc>
          <w:tcPr>
            <w:tcW w:w="2760" w:type="pct"/>
            <w:shd w:val="clear" w:color="auto" w:fill="FFFFFF" w:themeFill="background1"/>
            <w:vAlign w:val="center"/>
          </w:tcPr>
          <w:p w14:paraId="277CC54D">
            <w:pPr>
              <w:pStyle w:val="52"/>
              <w:jc w:val="both"/>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参加政府采购活动前3年内在经营活动中没有重大违法记录的书面声明。</w:t>
            </w:r>
          </w:p>
        </w:tc>
        <w:tc>
          <w:tcPr>
            <w:tcW w:w="801" w:type="pct"/>
            <w:shd w:val="clear" w:color="auto" w:fill="FFFFFF" w:themeFill="background1"/>
            <w:vAlign w:val="center"/>
          </w:tcPr>
          <w:p w14:paraId="0A8D27E8">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auto"/>
                <w:kern w:val="0"/>
                <w:sz w:val="24"/>
                <w:szCs w:val="24"/>
                <w:highlight w:val="none"/>
                <w:lang w:val="en-US" w:eastAsia="zh-CN" w:bidi="ar"/>
              </w:rPr>
            </w:pPr>
            <w:r>
              <w:rPr>
                <w:rFonts w:hint="eastAsia" w:ascii="宋体" w:hAnsi="宋体" w:eastAsia="宋体" w:cs="宋体"/>
                <w:i w:val="0"/>
                <w:iCs w:val="0"/>
                <w:color w:val="auto"/>
                <w:kern w:val="0"/>
                <w:sz w:val="24"/>
                <w:szCs w:val="24"/>
                <w:highlight w:val="none"/>
                <w:lang w:val="en-US" w:eastAsia="zh-CN" w:bidi="ar"/>
              </w:rPr>
              <w:t>格式见《第六章 响应文件格式》</w:t>
            </w:r>
          </w:p>
        </w:tc>
      </w:tr>
      <w:tr w14:paraId="196FDC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439" w:type="pct"/>
            <w:shd w:val="clear" w:color="auto" w:fill="FFFFFF" w:themeFill="background1"/>
            <w:vAlign w:val="center"/>
          </w:tcPr>
          <w:p w14:paraId="14E2C268">
            <w:pPr>
              <w:pStyle w:val="52"/>
              <w:jc w:val="center"/>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sz w:val="24"/>
                <w:szCs w:val="24"/>
                <w:highlight w:val="none"/>
                <w:lang w:val="en-US" w:eastAsia="zh-CN"/>
              </w:rPr>
              <w:t>1-6</w:t>
            </w:r>
          </w:p>
        </w:tc>
        <w:tc>
          <w:tcPr>
            <w:tcW w:w="998" w:type="pct"/>
            <w:shd w:val="clear" w:color="auto" w:fill="FFFFFF" w:themeFill="background1"/>
            <w:vAlign w:val="center"/>
          </w:tcPr>
          <w:p w14:paraId="599105D9">
            <w:pPr>
              <w:pStyle w:val="52"/>
              <w:jc w:val="both"/>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未列入失信被执行人、重大税收违法案件当事人名单、政府采购严重违法失信行为记录名单</w:t>
            </w:r>
          </w:p>
        </w:tc>
        <w:tc>
          <w:tcPr>
            <w:tcW w:w="2760" w:type="pct"/>
            <w:shd w:val="clear" w:color="auto" w:fill="FFFFFF" w:themeFill="background1"/>
            <w:vAlign w:val="center"/>
          </w:tcPr>
          <w:p w14:paraId="37FD2AA6">
            <w:pPr>
              <w:pStyle w:val="52"/>
              <w:jc w:val="both"/>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“信用中国”网站或“中国政府采购网”查询信息：1、未被列入失信被执行人；2、不是重大税收违法案件当事人名单的</w:t>
            </w:r>
            <w:r>
              <w:rPr>
                <w:rFonts w:hint="eastAsia" w:cs="宋体"/>
                <w:i w:val="0"/>
                <w:iCs w:val="0"/>
                <w:color w:val="auto"/>
                <w:sz w:val="24"/>
                <w:szCs w:val="24"/>
                <w:highlight w:val="none"/>
                <w:lang w:val="en-US" w:eastAsia="zh-CN"/>
              </w:rPr>
              <w:t>投标人</w:t>
            </w:r>
            <w:r>
              <w:rPr>
                <w:rFonts w:hint="eastAsia" w:ascii="宋体" w:hAnsi="宋体" w:eastAsia="宋体" w:cs="宋体"/>
                <w:i w:val="0"/>
                <w:iCs w:val="0"/>
                <w:color w:val="auto"/>
                <w:sz w:val="24"/>
                <w:szCs w:val="24"/>
                <w:highlight w:val="none"/>
                <w:lang w:val="en-US" w:eastAsia="zh-CN"/>
              </w:rPr>
              <w:t>；3、未被列入政府采购严重违法失信行为记录名单。</w:t>
            </w:r>
          </w:p>
        </w:tc>
        <w:tc>
          <w:tcPr>
            <w:tcW w:w="801" w:type="pct"/>
            <w:shd w:val="clear" w:color="auto" w:fill="FFFFFF" w:themeFill="background1"/>
            <w:vAlign w:val="center"/>
          </w:tcPr>
          <w:p w14:paraId="136A816F">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auto"/>
                <w:kern w:val="0"/>
                <w:sz w:val="24"/>
                <w:szCs w:val="24"/>
                <w:highlight w:val="none"/>
                <w:lang w:val="en-US" w:eastAsia="zh-CN" w:bidi="ar"/>
              </w:rPr>
            </w:pPr>
            <w:r>
              <w:rPr>
                <w:rFonts w:hint="eastAsia" w:ascii="宋体" w:hAnsi="宋体" w:eastAsia="宋体" w:cs="宋体"/>
                <w:i w:val="0"/>
                <w:iCs w:val="0"/>
                <w:color w:val="auto"/>
                <w:kern w:val="0"/>
                <w:sz w:val="24"/>
                <w:szCs w:val="24"/>
                <w:highlight w:val="none"/>
                <w:lang w:val="en-US" w:eastAsia="zh-CN" w:bidi="ar"/>
              </w:rPr>
              <w:t>格式见《第六章 响应文件格式》</w:t>
            </w:r>
          </w:p>
        </w:tc>
      </w:tr>
      <w:tr w14:paraId="0881D8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439" w:type="pct"/>
            <w:shd w:val="clear" w:color="auto" w:fill="FFFFFF" w:themeFill="background1"/>
            <w:vAlign w:val="center"/>
          </w:tcPr>
          <w:p w14:paraId="0A4E48AD">
            <w:pPr>
              <w:pStyle w:val="52"/>
              <w:jc w:val="center"/>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sz w:val="24"/>
                <w:szCs w:val="24"/>
                <w:highlight w:val="none"/>
                <w:lang w:val="en-US" w:eastAsia="zh-CN"/>
              </w:rPr>
              <w:t>1-</w:t>
            </w:r>
            <w:r>
              <w:rPr>
                <w:rFonts w:hint="eastAsia" w:cs="宋体"/>
                <w:b/>
                <w:bCs/>
                <w:i w:val="0"/>
                <w:iCs w:val="0"/>
                <w:color w:val="auto"/>
                <w:sz w:val="24"/>
                <w:szCs w:val="24"/>
                <w:highlight w:val="none"/>
                <w:lang w:val="en-US" w:eastAsia="zh-CN"/>
              </w:rPr>
              <w:t>7</w:t>
            </w:r>
          </w:p>
        </w:tc>
        <w:tc>
          <w:tcPr>
            <w:tcW w:w="998" w:type="pct"/>
            <w:shd w:val="clear" w:color="auto" w:fill="FFFFFF" w:themeFill="background1"/>
            <w:vAlign w:val="center"/>
          </w:tcPr>
          <w:p w14:paraId="6F347850">
            <w:pPr>
              <w:pStyle w:val="52"/>
              <w:jc w:val="both"/>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法律、行政法规规定的其他条件</w:t>
            </w:r>
          </w:p>
        </w:tc>
        <w:tc>
          <w:tcPr>
            <w:tcW w:w="2760" w:type="pct"/>
            <w:shd w:val="clear" w:color="auto" w:fill="FFFFFF" w:themeFill="background1"/>
            <w:vAlign w:val="center"/>
          </w:tcPr>
          <w:p w14:paraId="1A0058F5">
            <w:pPr>
              <w:pStyle w:val="52"/>
              <w:jc w:val="both"/>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法律、行政法规规定的其他条件</w:t>
            </w:r>
          </w:p>
        </w:tc>
        <w:tc>
          <w:tcPr>
            <w:tcW w:w="801" w:type="pct"/>
            <w:shd w:val="clear" w:color="auto" w:fill="FFFFFF" w:themeFill="background1"/>
            <w:vAlign w:val="center"/>
          </w:tcPr>
          <w:p w14:paraId="0D14032D">
            <w:pPr>
              <w:pStyle w:val="52"/>
              <w:jc w:val="center"/>
              <w:rPr>
                <w:rFonts w:hint="eastAsia" w:ascii="宋体" w:hAnsi="宋体" w:eastAsia="宋体" w:cs="宋体"/>
                <w:b/>
                <w:bCs/>
                <w:i w:val="0"/>
                <w:iCs w:val="0"/>
                <w:color w:val="auto"/>
                <w:kern w:val="2"/>
                <w:sz w:val="24"/>
                <w:szCs w:val="24"/>
                <w:highlight w:val="none"/>
                <w:lang w:val="en-US" w:eastAsia="zh-CN" w:bidi="ar-SA"/>
              </w:rPr>
            </w:pPr>
          </w:p>
        </w:tc>
      </w:tr>
      <w:tr w14:paraId="5B37E2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076" w:hRule="atLeast"/>
          <w:jc w:val="center"/>
        </w:trPr>
        <w:tc>
          <w:tcPr>
            <w:tcW w:w="439" w:type="pct"/>
            <w:shd w:val="clear" w:color="auto" w:fill="FFFFFF" w:themeFill="background1"/>
            <w:vAlign w:val="center"/>
          </w:tcPr>
          <w:p w14:paraId="45F0574F">
            <w:pPr>
              <w:pStyle w:val="52"/>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w:t>
            </w:r>
          </w:p>
        </w:tc>
        <w:tc>
          <w:tcPr>
            <w:tcW w:w="998" w:type="pct"/>
            <w:shd w:val="clear" w:color="auto" w:fill="FFFFFF" w:themeFill="background1"/>
            <w:vAlign w:val="center"/>
          </w:tcPr>
          <w:p w14:paraId="004158CF">
            <w:pPr>
              <w:pStyle w:val="52"/>
              <w:keepNext w:val="0"/>
              <w:keepLines w:val="0"/>
              <w:pageBreakBefore w:val="0"/>
              <w:kinsoku/>
              <w:wordWrap/>
              <w:overflowPunct/>
              <w:topLinePunct w:val="0"/>
              <w:autoSpaceDE/>
              <w:autoSpaceDN/>
              <w:bidi w:val="0"/>
              <w:adjustRightInd/>
              <w:snapToGrid/>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落实政府采购政策需满足的资格要求</w:t>
            </w:r>
          </w:p>
        </w:tc>
        <w:tc>
          <w:tcPr>
            <w:tcW w:w="2760" w:type="pct"/>
            <w:shd w:val="clear" w:color="auto" w:fill="FFFFFF" w:themeFill="background1"/>
            <w:vAlign w:val="center"/>
          </w:tcPr>
          <w:p w14:paraId="3E10D772">
            <w:pPr>
              <w:pStyle w:val="52"/>
              <w:keepNext w:val="0"/>
              <w:keepLines w:val="0"/>
              <w:pageBreakBefore w:val="0"/>
              <w:kinsoku/>
              <w:wordWrap/>
              <w:overflowPunct/>
              <w:topLinePunct w:val="0"/>
              <w:autoSpaceDE/>
              <w:autoSpaceDN/>
              <w:bidi w:val="0"/>
              <w:adjustRightInd/>
              <w:snapToGrid/>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具体要求见“第一章 招标公告”</w:t>
            </w:r>
          </w:p>
        </w:tc>
        <w:tc>
          <w:tcPr>
            <w:tcW w:w="801" w:type="pct"/>
            <w:shd w:val="clear" w:color="auto" w:fill="FFFFFF" w:themeFill="background1"/>
            <w:vAlign w:val="center"/>
          </w:tcPr>
          <w:p w14:paraId="0BFAF045">
            <w:pPr>
              <w:pStyle w:val="52"/>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b/>
                <w:bCs/>
                <w:color w:val="auto"/>
                <w:sz w:val="24"/>
                <w:szCs w:val="24"/>
                <w:highlight w:val="none"/>
              </w:rPr>
            </w:pPr>
          </w:p>
        </w:tc>
      </w:tr>
      <w:tr w14:paraId="1F030E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14" w:hRule="atLeast"/>
          <w:jc w:val="center"/>
        </w:trPr>
        <w:tc>
          <w:tcPr>
            <w:tcW w:w="439" w:type="pct"/>
            <w:shd w:val="clear" w:color="auto" w:fill="FFFFFF" w:themeFill="background1"/>
            <w:vAlign w:val="center"/>
          </w:tcPr>
          <w:p w14:paraId="61B9AA42">
            <w:pPr>
              <w:pStyle w:val="52"/>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2-1</w:t>
            </w:r>
          </w:p>
        </w:tc>
        <w:tc>
          <w:tcPr>
            <w:tcW w:w="998" w:type="pct"/>
            <w:shd w:val="clear" w:color="auto" w:fill="FFFFFF" w:themeFill="background1"/>
            <w:vAlign w:val="center"/>
          </w:tcPr>
          <w:p w14:paraId="4524F3DA">
            <w:pPr>
              <w:pStyle w:val="52"/>
              <w:keepNext w:val="0"/>
              <w:keepLines w:val="0"/>
              <w:pageBreakBefore w:val="0"/>
              <w:kinsoku/>
              <w:wordWrap/>
              <w:overflowPunct/>
              <w:topLinePunct w:val="0"/>
              <w:autoSpaceDE/>
              <w:autoSpaceDN/>
              <w:bidi w:val="0"/>
              <w:adjustRightInd/>
              <w:snapToGrid/>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中小企业政策</w:t>
            </w:r>
          </w:p>
        </w:tc>
        <w:tc>
          <w:tcPr>
            <w:tcW w:w="2760" w:type="pct"/>
            <w:shd w:val="clear" w:color="auto" w:fill="FFFFFF" w:themeFill="background1"/>
            <w:vAlign w:val="center"/>
          </w:tcPr>
          <w:p w14:paraId="3BC7BED9">
            <w:pPr>
              <w:pStyle w:val="52"/>
              <w:keepNext w:val="0"/>
              <w:keepLines w:val="0"/>
              <w:pageBreakBefore w:val="0"/>
              <w:kinsoku/>
              <w:wordWrap/>
              <w:overflowPunct/>
              <w:topLinePunct w:val="0"/>
              <w:autoSpaceDE/>
              <w:autoSpaceDN/>
              <w:bidi w:val="0"/>
              <w:adjustRightInd/>
              <w:snapToGrid/>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具体要求见</w:t>
            </w:r>
            <w:r>
              <w:rPr>
                <w:rFonts w:hint="eastAsia" w:ascii="宋体" w:hAnsi="宋体" w:eastAsia="宋体" w:cs="宋体"/>
                <w:color w:val="auto"/>
                <w:sz w:val="24"/>
                <w:szCs w:val="24"/>
                <w:highlight w:val="none"/>
                <w:lang w:val="en-US" w:eastAsia="zh-CN"/>
              </w:rPr>
              <w:t>“第一章 招标公告”</w:t>
            </w:r>
          </w:p>
        </w:tc>
        <w:tc>
          <w:tcPr>
            <w:tcW w:w="801" w:type="pct"/>
            <w:shd w:val="clear" w:color="auto" w:fill="FFFFFF" w:themeFill="background1"/>
            <w:vAlign w:val="center"/>
          </w:tcPr>
          <w:p w14:paraId="1657D6EE">
            <w:pPr>
              <w:pStyle w:val="52"/>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b/>
                <w:bCs/>
                <w:color w:val="auto"/>
                <w:sz w:val="24"/>
                <w:szCs w:val="24"/>
                <w:highlight w:val="none"/>
              </w:rPr>
            </w:pPr>
          </w:p>
        </w:tc>
      </w:tr>
      <w:tr w14:paraId="375328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4562" w:hRule="atLeast"/>
          <w:jc w:val="center"/>
        </w:trPr>
        <w:tc>
          <w:tcPr>
            <w:tcW w:w="439" w:type="pct"/>
            <w:shd w:val="clear" w:color="auto" w:fill="FFFFFF" w:themeFill="background1"/>
            <w:vAlign w:val="center"/>
          </w:tcPr>
          <w:p w14:paraId="35001BC1">
            <w:pPr>
              <w:pStyle w:val="52"/>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2-1-1</w:t>
            </w:r>
          </w:p>
        </w:tc>
        <w:tc>
          <w:tcPr>
            <w:tcW w:w="998" w:type="pct"/>
            <w:shd w:val="clear" w:color="auto" w:fill="FFFFFF" w:themeFill="background1"/>
            <w:vAlign w:val="center"/>
          </w:tcPr>
          <w:p w14:paraId="33B8D761">
            <w:pPr>
              <w:pStyle w:val="52"/>
              <w:keepNext w:val="0"/>
              <w:keepLines w:val="0"/>
              <w:pageBreakBefore w:val="0"/>
              <w:kinsoku/>
              <w:wordWrap/>
              <w:overflowPunct/>
              <w:topLinePunct w:val="0"/>
              <w:autoSpaceDE/>
              <w:autoSpaceDN/>
              <w:bidi w:val="0"/>
              <w:adjustRightInd/>
              <w:snapToGrid/>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中小企业证明文件</w:t>
            </w:r>
          </w:p>
        </w:tc>
        <w:tc>
          <w:tcPr>
            <w:tcW w:w="2760" w:type="pct"/>
            <w:shd w:val="clear" w:color="auto" w:fill="FFFFFF" w:themeFill="background1"/>
            <w:vAlign w:val="center"/>
          </w:tcPr>
          <w:p w14:paraId="0E14C7FF">
            <w:pPr>
              <w:pStyle w:val="52"/>
              <w:keepNext w:val="0"/>
              <w:keepLines w:val="0"/>
              <w:pageBreakBefore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当本项目（包）涉及预留份额专门面向中小企业采购，此时建议在《资格证明文件》中提供。</w:t>
            </w:r>
          </w:p>
          <w:p w14:paraId="363BBCEC">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1、投标人单独投标的，应提供“中小企业声明函”或“残疾人福利性单位声明函”或由省级以上监狱管理局、戒毒管理局（含新疆生产建设兵团）出具的属于监狱企业的证明文件。 </w:t>
            </w:r>
          </w:p>
          <w:p w14:paraId="48EEE38E">
            <w:pPr>
              <w:pStyle w:val="52"/>
              <w:keepNext w:val="0"/>
              <w:keepLines w:val="0"/>
              <w:pageBreakBefore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2、</w:t>
            </w:r>
            <w:r>
              <w:rPr>
                <w:rFonts w:hint="eastAsia" w:ascii="宋体" w:hAnsi="宋体" w:eastAsia="宋体" w:cs="宋体"/>
                <w:color w:val="auto"/>
                <w:spacing w:val="-6"/>
                <w:kern w:val="0"/>
                <w:sz w:val="24"/>
                <w:szCs w:val="24"/>
                <w:highlight w:val="none"/>
                <w:lang w:val="en-US" w:eastAsia="zh-CN" w:bidi="ar"/>
              </w:rPr>
              <w:t>如招标文件要求以联合体形式参加或者要求合同分包的，且投标人为联合体或拟进行合同分包的，则联合体中的中小企业、签订分包意向协议书的中小企业具体情况须在“中小企业声明函”或“残疾人福利性单位声明函”或由省级以上监狱管理局、戒毒管理局（含新疆生产建设兵团）出具的属于监狱企业的证明文件中如实填报，且满足招标文件关于预留份额的要求。</w:t>
            </w:r>
          </w:p>
        </w:tc>
        <w:tc>
          <w:tcPr>
            <w:tcW w:w="801" w:type="pct"/>
            <w:shd w:val="clear" w:color="auto" w:fill="FFFFFF" w:themeFill="background1"/>
            <w:vAlign w:val="center"/>
          </w:tcPr>
          <w:p w14:paraId="0DDB66CC">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格式见《第七章 投标文件格式》</w:t>
            </w:r>
          </w:p>
        </w:tc>
      </w:tr>
      <w:tr w14:paraId="6BE4F2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344" w:hRule="atLeast"/>
          <w:jc w:val="center"/>
        </w:trPr>
        <w:tc>
          <w:tcPr>
            <w:tcW w:w="439" w:type="pct"/>
            <w:shd w:val="clear" w:color="auto" w:fill="FFFFFF" w:themeFill="background1"/>
            <w:vAlign w:val="center"/>
          </w:tcPr>
          <w:p w14:paraId="2121275C">
            <w:pPr>
              <w:pStyle w:val="52"/>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2-1-2</w:t>
            </w:r>
          </w:p>
        </w:tc>
        <w:tc>
          <w:tcPr>
            <w:tcW w:w="998" w:type="pct"/>
            <w:shd w:val="clear" w:color="auto" w:fill="FFFFFF" w:themeFill="background1"/>
            <w:vAlign w:val="center"/>
          </w:tcPr>
          <w:p w14:paraId="05DA12DF">
            <w:pPr>
              <w:pStyle w:val="52"/>
              <w:keepNext w:val="0"/>
              <w:keepLines w:val="0"/>
              <w:pageBreakBefore w:val="0"/>
              <w:kinsoku/>
              <w:wordWrap/>
              <w:overflowPunct/>
              <w:topLinePunct w:val="0"/>
              <w:autoSpaceDE/>
              <w:autoSpaceDN/>
              <w:bidi w:val="0"/>
              <w:adjustRightInd/>
              <w:snapToGrid/>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拟分包情况说明及分包意向协议书</w:t>
            </w:r>
            <w:r>
              <w:rPr>
                <w:rFonts w:hint="eastAsia" w:cs="宋体"/>
                <w:color w:val="auto"/>
                <w:kern w:val="0"/>
                <w:sz w:val="24"/>
                <w:szCs w:val="24"/>
                <w:highlight w:val="none"/>
                <w:lang w:val="en-US" w:eastAsia="zh-CN" w:bidi="ar"/>
              </w:rPr>
              <w:t>（本项目不适用）</w:t>
            </w:r>
          </w:p>
        </w:tc>
        <w:tc>
          <w:tcPr>
            <w:tcW w:w="2760" w:type="pct"/>
            <w:shd w:val="clear" w:color="auto" w:fill="FFFFFF" w:themeFill="background1"/>
            <w:vAlign w:val="center"/>
          </w:tcPr>
          <w:p w14:paraId="542AC51F">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如本项目（包）要求通过分包措施预留部分采购份额面向中小企业采购、且投标人因落实政府采购政策拟进行分包的，必须提供；否则无须提供。 </w:t>
            </w:r>
          </w:p>
          <w:p w14:paraId="30B1D5CE">
            <w:pPr>
              <w:pStyle w:val="52"/>
              <w:keepNext w:val="0"/>
              <w:keepLines w:val="0"/>
              <w:pageBreakBefore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对于预留份额专门面向中小企业采购的项目（包），组成联合体或者接受分包合同的中小企业与联合体内其他企业、分包企业之间不得存在直接控股、管理关系。</w:t>
            </w:r>
          </w:p>
        </w:tc>
        <w:tc>
          <w:tcPr>
            <w:tcW w:w="801" w:type="pct"/>
            <w:shd w:val="clear" w:color="auto" w:fill="FFFFFF" w:themeFill="background1"/>
            <w:vAlign w:val="center"/>
          </w:tcPr>
          <w:p w14:paraId="08F65920">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格式见《第七章 投标文件格式》</w:t>
            </w:r>
          </w:p>
          <w:p w14:paraId="280335EE">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kern w:val="0"/>
                <w:sz w:val="24"/>
                <w:szCs w:val="24"/>
                <w:highlight w:val="none"/>
                <w:lang w:val="en-US" w:eastAsia="zh-CN" w:bidi="ar"/>
              </w:rPr>
            </w:pPr>
          </w:p>
        </w:tc>
      </w:tr>
      <w:tr w14:paraId="397AFC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076" w:hRule="atLeast"/>
          <w:jc w:val="center"/>
        </w:trPr>
        <w:tc>
          <w:tcPr>
            <w:tcW w:w="439" w:type="pct"/>
            <w:shd w:val="clear" w:color="auto" w:fill="FFFFFF" w:themeFill="background1"/>
            <w:vAlign w:val="center"/>
          </w:tcPr>
          <w:p w14:paraId="7BE5DE51">
            <w:pPr>
              <w:pStyle w:val="52"/>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2-2</w:t>
            </w:r>
          </w:p>
        </w:tc>
        <w:tc>
          <w:tcPr>
            <w:tcW w:w="998" w:type="pct"/>
            <w:shd w:val="clear" w:color="auto" w:fill="FFFFFF" w:themeFill="background1"/>
            <w:vAlign w:val="center"/>
          </w:tcPr>
          <w:p w14:paraId="1B3A099F">
            <w:pPr>
              <w:pStyle w:val="52"/>
              <w:keepNext w:val="0"/>
              <w:keepLines w:val="0"/>
              <w:pageBreakBefore w:val="0"/>
              <w:kinsoku/>
              <w:wordWrap/>
              <w:overflowPunct/>
              <w:topLinePunct w:val="0"/>
              <w:autoSpaceDE/>
              <w:autoSpaceDN/>
              <w:bidi w:val="0"/>
              <w:adjustRightInd/>
              <w:snapToGrid/>
              <w:jc w:val="both"/>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pacing w:val="-6"/>
                <w:kern w:val="0"/>
                <w:sz w:val="24"/>
                <w:szCs w:val="24"/>
                <w:highlight w:val="none"/>
                <w:lang w:val="en-US" w:eastAsia="zh-CN" w:bidi="ar"/>
              </w:rPr>
              <w:t>其它落实政府采购政策的资格要求</w:t>
            </w:r>
          </w:p>
        </w:tc>
        <w:tc>
          <w:tcPr>
            <w:tcW w:w="2760" w:type="pct"/>
            <w:shd w:val="clear" w:color="auto" w:fill="FFFFFF" w:themeFill="background1"/>
            <w:vAlign w:val="center"/>
          </w:tcPr>
          <w:p w14:paraId="07B78A6F">
            <w:pPr>
              <w:pStyle w:val="52"/>
              <w:keepNext w:val="0"/>
              <w:keepLines w:val="0"/>
              <w:pageBreakBefore w:val="0"/>
              <w:kinsoku/>
              <w:wordWrap/>
              <w:overflowPunct/>
              <w:topLinePunct w:val="0"/>
              <w:autoSpaceDE/>
              <w:autoSpaceDN/>
              <w:bidi w:val="0"/>
              <w:adjustRightInd/>
              <w:snapToGrid/>
              <w:jc w:val="both"/>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如有，见</w:t>
            </w:r>
            <w:r>
              <w:rPr>
                <w:rFonts w:hint="eastAsia" w:ascii="宋体" w:hAnsi="宋体" w:eastAsia="宋体" w:cs="宋体"/>
                <w:color w:val="auto"/>
                <w:sz w:val="24"/>
                <w:szCs w:val="24"/>
                <w:highlight w:val="none"/>
                <w:lang w:val="en-US" w:eastAsia="zh-CN"/>
              </w:rPr>
              <w:t>“第一章 招标公告”</w:t>
            </w:r>
          </w:p>
        </w:tc>
        <w:tc>
          <w:tcPr>
            <w:tcW w:w="801" w:type="pct"/>
            <w:shd w:val="clear" w:color="auto" w:fill="FFFFFF" w:themeFill="background1"/>
            <w:vAlign w:val="center"/>
          </w:tcPr>
          <w:p w14:paraId="7BB55995">
            <w:pPr>
              <w:pStyle w:val="52"/>
              <w:keepNext w:val="0"/>
              <w:keepLines w:val="0"/>
              <w:pageBreakBefore w:val="0"/>
              <w:kinsoku/>
              <w:wordWrap/>
              <w:overflowPunct/>
              <w:topLinePunct w:val="0"/>
              <w:autoSpaceDE/>
              <w:autoSpaceDN/>
              <w:bidi w:val="0"/>
              <w:adjustRightInd/>
              <w:snapToGrid/>
              <w:jc w:val="both"/>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提供证明文件的电子件或电子证照</w:t>
            </w:r>
          </w:p>
        </w:tc>
      </w:tr>
      <w:tr w14:paraId="17E9C9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845" w:hRule="atLeast"/>
          <w:jc w:val="center"/>
        </w:trPr>
        <w:tc>
          <w:tcPr>
            <w:tcW w:w="439" w:type="pct"/>
            <w:shd w:val="clear" w:color="auto" w:fill="FFFFFF" w:themeFill="background1"/>
            <w:vAlign w:val="center"/>
          </w:tcPr>
          <w:p w14:paraId="146FC928">
            <w:pPr>
              <w:pStyle w:val="52"/>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3</w:t>
            </w:r>
          </w:p>
        </w:tc>
        <w:tc>
          <w:tcPr>
            <w:tcW w:w="998" w:type="pct"/>
            <w:shd w:val="clear" w:color="auto" w:fill="FFFFFF" w:themeFill="background1"/>
            <w:vAlign w:val="center"/>
          </w:tcPr>
          <w:p w14:paraId="2D441054">
            <w:pPr>
              <w:pStyle w:val="52"/>
              <w:keepNext w:val="0"/>
              <w:keepLines w:val="0"/>
              <w:pageBreakBefore w:val="0"/>
              <w:kinsoku/>
              <w:wordWrap/>
              <w:overflowPunct/>
              <w:topLinePunct w:val="0"/>
              <w:autoSpaceDE/>
              <w:autoSpaceDN/>
              <w:bidi w:val="0"/>
              <w:adjustRightInd/>
              <w:snapToGrid/>
              <w:jc w:val="both"/>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本项目的特定资格要求</w:t>
            </w:r>
          </w:p>
        </w:tc>
        <w:tc>
          <w:tcPr>
            <w:tcW w:w="2760" w:type="pct"/>
            <w:shd w:val="clear" w:color="auto" w:fill="FFFFFF" w:themeFill="background1"/>
            <w:vAlign w:val="center"/>
          </w:tcPr>
          <w:p w14:paraId="192E4791">
            <w:pPr>
              <w:pStyle w:val="52"/>
              <w:keepNext w:val="0"/>
              <w:keepLines w:val="0"/>
              <w:pageBreakBefore w:val="0"/>
              <w:kinsoku/>
              <w:wordWrap/>
              <w:overflowPunct/>
              <w:topLinePunct w:val="0"/>
              <w:autoSpaceDE/>
              <w:autoSpaceDN/>
              <w:bidi w:val="0"/>
              <w:adjustRightInd/>
              <w:snapToGrid/>
              <w:jc w:val="both"/>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如有，见</w:t>
            </w:r>
            <w:r>
              <w:rPr>
                <w:rFonts w:hint="eastAsia" w:ascii="宋体" w:hAnsi="宋体" w:eastAsia="宋体" w:cs="宋体"/>
                <w:color w:val="auto"/>
                <w:sz w:val="24"/>
                <w:szCs w:val="24"/>
                <w:highlight w:val="none"/>
                <w:lang w:val="en-US" w:eastAsia="zh-CN"/>
              </w:rPr>
              <w:t>“第一章 招标公告”</w:t>
            </w:r>
          </w:p>
        </w:tc>
        <w:tc>
          <w:tcPr>
            <w:tcW w:w="801" w:type="pct"/>
            <w:shd w:val="clear" w:color="auto" w:fill="FFFFFF" w:themeFill="background1"/>
            <w:vAlign w:val="center"/>
          </w:tcPr>
          <w:p w14:paraId="7EC0AFB6">
            <w:pPr>
              <w:pStyle w:val="52"/>
              <w:keepNext w:val="0"/>
              <w:keepLines w:val="0"/>
              <w:pageBreakBefore w:val="0"/>
              <w:kinsoku/>
              <w:wordWrap/>
              <w:overflowPunct/>
              <w:topLinePunct w:val="0"/>
              <w:autoSpaceDE/>
              <w:autoSpaceDN/>
              <w:bidi w:val="0"/>
              <w:adjustRightInd/>
              <w:snapToGrid/>
              <w:jc w:val="both"/>
              <w:textAlignment w:val="auto"/>
              <w:rPr>
                <w:rFonts w:hint="default" w:ascii="宋体" w:hAnsi="宋体" w:eastAsia="宋体" w:cs="宋体"/>
                <w:color w:val="auto"/>
                <w:kern w:val="0"/>
                <w:sz w:val="24"/>
                <w:szCs w:val="24"/>
                <w:highlight w:val="none"/>
                <w:lang w:val="en-US" w:eastAsia="zh-CN" w:bidi="ar"/>
              </w:rPr>
            </w:pPr>
            <w:r>
              <w:rPr>
                <w:rFonts w:hint="eastAsia" w:cs="宋体"/>
                <w:color w:val="auto"/>
                <w:kern w:val="0"/>
                <w:sz w:val="24"/>
                <w:szCs w:val="24"/>
                <w:highlight w:val="none"/>
                <w:lang w:val="en-US" w:eastAsia="zh-CN" w:bidi="ar"/>
              </w:rPr>
              <w:t>根据公告要求提交相关资料</w:t>
            </w:r>
          </w:p>
        </w:tc>
      </w:tr>
      <w:tr w14:paraId="219A6D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7731" w:hRule="atLeast"/>
          <w:jc w:val="center"/>
        </w:trPr>
        <w:tc>
          <w:tcPr>
            <w:tcW w:w="439" w:type="pct"/>
            <w:shd w:val="clear" w:color="auto" w:fill="FFFFFF" w:themeFill="background1"/>
            <w:vAlign w:val="center"/>
          </w:tcPr>
          <w:p w14:paraId="56F1A5D1">
            <w:pPr>
              <w:pStyle w:val="52"/>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3-1</w:t>
            </w:r>
          </w:p>
        </w:tc>
        <w:tc>
          <w:tcPr>
            <w:tcW w:w="998" w:type="pct"/>
            <w:shd w:val="clear" w:color="auto" w:fill="FFFFFF" w:themeFill="background1"/>
            <w:vAlign w:val="center"/>
          </w:tcPr>
          <w:p w14:paraId="102A97A0">
            <w:pPr>
              <w:pStyle w:val="52"/>
              <w:keepNext w:val="0"/>
              <w:keepLines w:val="0"/>
              <w:pageBreakBefore w:val="0"/>
              <w:kinsoku/>
              <w:wordWrap/>
              <w:overflowPunct/>
              <w:topLinePunct w:val="0"/>
              <w:autoSpaceDE/>
              <w:autoSpaceDN/>
              <w:bidi w:val="0"/>
              <w:adjustRightInd/>
              <w:snapToGrid/>
              <w:jc w:val="both"/>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本项目对于联合体的要求</w:t>
            </w:r>
            <w:r>
              <w:rPr>
                <w:rFonts w:hint="eastAsia" w:cs="宋体"/>
                <w:color w:val="auto"/>
                <w:kern w:val="0"/>
                <w:sz w:val="24"/>
                <w:szCs w:val="24"/>
                <w:highlight w:val="none"/>
                <w:lang w:val="en-US" w:eastAsia="zh-CN" w:bidi="ar"/>
              </w:rPr>
              <w:t>（本项目不适用）</w:t>
            </w:r>
          </w:p>
        </w:tc>
        <w:tc>
          <w:tcPr>
            <w:tcW w:w="2760" w:type="pct"/>
            <w:shd w:val="clear" w:color="auto" w:fill="FFFFFF" w:themeFill="background1"/>
            <w:vAlign w:val="center"/>
          </w:tcPr>
          <w:p w14:paraId="32C90847">
            <w:pPr>
              <w:pStyle w:val="52"/>
              <w:keepNext w:val="0"/>
              <w:keepLines w:val="0"/>
              <w:pageBreakBefore w:val="0"/>
              <w:kinsoku/>
              <w:wordWrap/>
              <w:overflowPunct/>
              <w:topLinePunct w:val="0"/>
              <w:autoSpaceDE/>
              <w:autoSpaceDN/>
              <w:bidi w:val="0"/>
              <w:adjustRightInd/>
              <w:snapToGrid/>
              <w:jc w:val="both"/>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1、如本项目接受联合体投标，且投标人为联合体时必须提供《联合体协议书》，明确各方拟承担的工作和责任，并指定联合体牵头人，授权其代表所有联合体成员负责本项目投标和合同实施阶段的牵头、协调工作。该联合体协议书应当作为投标文件的组成部分，与投标文件其他内容同时递交。 </w:t>
            </w:r>
          </w:p>
          <w:p w14:paraId="07297771">
            <w:pPr>
              <w:pStyle w:val="52"/>
              <w:keepNext w:val="0"/>
              <w:keepLines w:val="0"/>
              <w:pageBreakBefore w:val="0"/>
              <w:kinsoku/>
              <w:wordWrap/>
              <w:overflowPunct/>
              <w:topLinePunct w:val="0"/>
              <w:autoSpaceDE/>
              <w:autoSpaceDN/>
              <w:bidi w:val="0"/>
              <w:adjustRightInd/>
              <w:snapToGrid/>
              <w:jc w:val="both"/>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2、联合体各成员单位均须提供本表中序号1-1、1-2 的证明文件。联合体各成员单位均应满足本表 1-3 及 1-4 项规定。 </w:t>
            </w:r>
          </w:p>
          <w:p w14:paraId="3D553F99">
            <w:pPr>
              <w:pStyle w:val="52"/>
              <w:keepNext w:val="0"/>
              <w:keepLines w:val="0"/>
              <w:pageBreakBefore w:val="0"/>
              <w:kinsoku/>
              <w:wordWrap/>
              <w:overflowPunct/>
              <w:topLinePunct w:val="0"/>
              <w:autoSpaceDE/>
              <w:autoSpaceDN/>
              <w:bidi w:val="0"/>
              <w:adjustRightInd/>
              <w:snapToGrid/>
              <w:jc w:val="both"/>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3、</w:t>
            </w:r>
            <w:r>
              <w:rPr>
                <w:rFonts w:hint="eastAsia" w:ascii="宋体" w:hAnsi="宋体" w:eastAsia="宋体" w:cs="宋体"/>
                <w:color w:val="auto"/>
                <w:spacing w:val="-6"/>
                <w:kern w:val="0"/>
                <w:sz w:val="24"/>
                <w:szCs w:val="24"/>
                <w:highlight w:val="none"/>
                <w:lang w:val="en-US" w:eastAsia="zh-CN" w:bidi="ar"/>
              </w:rPr>
              <w:t>本表序号 3-2项规定的其他特定资格要求中的每一小项要求，按照《联合体协议书》的分工，联合体各方应具备承担工作所需的特定资格要求并提供证明材料。</w:t>
            </w:r>
            <w:r>
              <w:rPr>
                <w:rFonts w:hint="eastAsia" w:ascii="宋体" w:hAnsi="宋体" w:eastAsia="宋体" w:cs="宋体"/>
                <w:color w:val="auto"/>
                <w:kern w:val="0"/>
                <w:sz w:val="24"/>
                <w:szCs w:val="24"/>
                <w:highlight w:val="none"/>
                <w:lang w:val="en-US" w:eastAsia="zh-CN" w:bidi="ar"/>
              </w:rPr>
              <w:t xml:space="preserve"> </w:t>
            </w:r>
          </w:p>
          <w:p w14:paraId="30B35282">
            <w:pPr>
              <w:pStyle w:val="52"/>
              <w:keepNext w:val="0"/>
              <w:keepLines w:val="0"/>
              <w:pageBreakBefore w:val="0"/>
              <w:kinsoku/>
              <w:wordWrap/>
              <w:overflowPunct/>
              <w:topLinePunct w:val="0"/>
              <w:autoSpaceDE/>
              <w:autoSpaceDN/>
              <w:bidi w:val="0"/>
              <w:adjustRightInd/>
              <w:snapToGrid/>
              <w:jc w:val="both"/>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4、联合体中有同类资质的</w:t>
            </w:r>
            <w:r>
              <w:rPr>
                <w:rFonts w:hint="eastAsia" w:cs="宋体"/>
                <w:color w:val="auto"/>
                <w:kern w:val="0"/>
                <w:sz w:val="24"/>
                <w:szCs w:val="24"/>
                <w:highlight w:val="none"/>
                <w:lang w:val="en-US" w:eastAsia="zh-CN" w:bidi="ar"/>
              </w:rPr>
              <w:t>投标人</w:t>
            </w:r>
            <w:r>
              <w:rPr>
                <w:rFonts w:hint="eastAsia" w:ascii="宋体" w:hAnsi="宋体" w:eastAsia="宋体" w:cs="宋体"/>
                <w:color w:val="auto"/>
                <w:kern w:val="0"/>
                <w:sz w:val="24"/>
                <w:szCs w:val="24"/>
                <w:highlight w:val="none"/>
                <w:lang w:val="en-US" w:eastAsia="zh-CN" w:bidi="ar"/>
              </w:rPr>
              <w:t>按照联合体分工承担相同工作的，应当按照资质等级较低的</w:t>
            </w:r>
            <w:r>
              <w:rPr>
                <w:rFonts w:hint="eastAsia" w:cs="宋体"/>
                <w:color w:val="auto"/>
                <w:kern w:val="0"/>
                <w:sz w:val="24"/>
                <w:szCs w:val="24"/>
                <w:highlight w:val="none"/>
                <w:lang w:val="en-US" w:eastAsia="zh-CN" w:bidi="ar"/>
              </w:rPr>
              <w:t>投标人</w:t>
            </w:r>
            <w:r>
              <w:rPr>
                <w:rFonts w:hint="eastAsia" w:ascii="宋体" w:hAnsi="宋体" w:eastAsia="宋体" w:cs="宋体"/>
                <w:color w:val="auto"/>
                <w:kern w:val="0"/>
                <w:sz w:val="24"/>
                <w:szCs w:val="24"/>
                <w:highlight w:val="none"/>
                <w:lang w:val="en-US" w:eastAsia="zh-CN" w:bidi="ar"/>
              </w:rPr>
              <w:t xml:space="preserve">确定资质等级。 </w:t>
            </w:r>
          </w:p>
          <w:p w14:paraId="672B5E7E">
            <w:pPr>
              <w:pStyle w:val="52"/>
              <w:keepNext w:val="0"/>
              <w:keepLines w:val="0"/>
              <w:pageBreakBefore w:val="0"/>
              <w:kinsoku/>
              <w:wordWrap/>
              <w:overflowPunct/>
              <w:topLinePunct w:val="0"/>
              <w:autoSpaceDE/>
              <w:autoSpaceDN/>
              <w:bidi w:val="0"/>
              <w:adjustRightInd/>
              <w:snapToGrid/>
              <w:jc w:val="both"/>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5、以联合体形式参加政府采购活动的，联合体各方不得再单独参加或者与其他</w:t>
            </w:r>
            <w:r>
              <w:rPr>
                <w:rFonts w:hint="eastAsia" w:cs="宋体"/>
                <w:color w:val="auto"/>
                <w:kern w:val="0"/>
                <w:sz w:val="24"/>
                <w:szCs w:val="24"/>
                <w:highlight w:val="none"/>
                <w:lang w:val="en-US" w:eastAsia="zh-CN" w:bidi="ar"/>
              </w:rPr>
              <w:t>投标人</w:t>
            </w:r>
            <w:r>
              <w:rPr>
                <w:rFonts w:hint="eastAsia" w:ascii="宋体" w:hAnsi="宋体" w:eastAsia="宋体" w:cs="宋体"/>
                <w:color w:val="auto"/>
                <w:kern w:val="0"/>
                <w:sz w:val="24"/>
                <w:szCs w:val="24"/>
                <w:highlight w:val="none"/>
                <w:lang w:val="en-US" w:eastAsia="zh-CN" w:bidi="ar"/>
              </w:rPr>
              <w:t xml:space="preserve">另外组成联合体参加同一合同项下的政府采购活动。 </w:t>
            </w:r>
          </w:p>
          <w:p w14:paraId="5E18183F">
            <w:pPr>
              <w:pStyle w:val="52"/>
              <w:keepNext w:val="0"/>
              <w:keepLines w:val="0"/>
              <w:pageBreakBefore w:val="0"/>
              <w:kinsoku/>
              <w:wordWrap/>
              <w:overflowPunct/>
              <w:topLinePunct w:val="0"/>
              <w:autoSpaceDE/>
              <w:autoSpaceDN/>
              <w:bidi w:val="0"/>
              <w:adjustRightInd/>
              <w:snapToGrid/>
              <w:jc w:val="both"/>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6、若联合体中任一成员单位中途退出，则该联合体的投标无效。 </w:t>
            </w:r>
          </w:p>
          <w:p w14:paraId="61148C33">
            <w:pPr>
              <w:pStyle w:val="52"/>
              <w:keepNext w:val="0"/>
              <w:keepLines w:val="0"/>
              <w:pageBreakBefore w:val="0"/>
              <w:kinsoku/>
              <w:wordWrap/>
              <w:overflowPunct/>
              <w:topLinePunct w:val="0"/>
              <w:autoSpaceDE/>
              <w:autoSpaceDN/>
              <w:bidi w:val="0"/>
              <w:adjustRightInd/>
              <w:snapToGrid/>
              <w:jc w:val="both"/>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7、本项目不接受联合体投标时，投标人不得为联合体。</w:t>
            </w:r>
          </w:p>
        </w:tc>
        <w:tc>
          <w:tcPr>
            <w:tcW w:w="801" w:type="pct"/>
            <w:shd w:val="clear" w:color="auto" w:fill="FFFFFF" w:themeFill="background1"/>
            <w:vAlign w:val="center"/>
          </w:tcPr>
          <w:p w14:paraId="5004830C">
            <w:pPr>
              <w:pStyle w:val="52"/>
              <w:keepNext w:val="0"/>
              <w:keepLines w:val="0"/>
              <w:pageBreakBefore w:val="0"/>
              <w:kinsoku/>
              <w:wordWrap/>
              <w:overflowPunct/>
              <w:topLinePunct w:val="0"/>
              <w:autoSpaceDE/>
              <w:autoSpaceDN/>
              <w:bidi w:val="0"/>
              <w:adjustRightInd/>
              <w:snapToGrid/>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提供《联合体协议书》原件的电子件 </w:t>
            </w:r>
          </w:p>
          <w:p w14:paraId="16CD91D6">
            <w:pPr>
              <w:pStyle w:val="52"/>
              <w:keepNext w:val="0"/>
              <w:keepLines w:val="0"/>
              <w:pageBreakBefore w:val="0"/>
              <w:kinsoku/>
              <w:wordWrap/>
              <w:overflowPunct/>
              <w:topLinePunct w:val="0"/>
              <w:autoSpaceDE/>
              <w:autoSpaceDN/>
              <w:bidi w:val="0"/>
              <w:adjustRightInd/>
              <w:snapToGrid/>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格式见《第七章 投标文件格式》</w:t>
            </w:r>
          </w:p>
        </w:tc>
      </w:tr>
      <w:tr w14:paraId="7D7148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143" w:hRule="atLeast"/>
          <w:jc w:val="center"/>
        </w:trPr>
        <w:tc>
          <w:tcPr>
            <w:tcW w:w="439" w:type="pct"/>
            <w:shd w:val="clear" w:color="auto" w:fill="FFFFFF" w:themeFill="background1"/>
            <w:vAlign w:val="center"/>
          </w:tcPr>
          <w:p w14:paraId="1D042B53">
            <w:pPr>
              <w:pStyle w:val="52"/>
              <w:keepNext w:val="0"/>
              <w:keepLines w:val="0"/>
              <w:pageBreakBefore w:val="0"/>
              <w:kinsoku/>
              <w:wordWrap/>
              <w:overflowPunct/>
              <w:topLinePunct w:val="0"/>
              <w:autoSpaceDE/>
              <w:autoSpaceDN/>
              <w:bidi w:val="0"/>
              <w:adjustRightInd/>
              <w:snapToGrid/>
              <w:jc w:val="center"/>
              <w:textAlignment w:val="auto"/>
              <w:rPr>
                <w:rFonts w:hint="eastAsia" w:ascii="宋体" w:hAnsi="宋体" w:eastAsia="宋体" w:cs="宋体"/>
                <w:b/>
                <w:bCs/>
                <w:color w:val="auto"/>
                <w:sz w:val="24"/>
                <w:szCs w:val="24"/>
                <w:highlight w:val="none"/>
                <w:lang w:val="en-US" w:eastAsia="zh-CN"/>
              </w:rPr>
            </w:pPr>
            <w:r>
              <w:rPr>
                <w:rFonts w:hint="eastAsia" w:cs="宋体"/>
                <w:b/>
                <w:bCs/>
                <w:color w:val="auto"/>
                <w:sz w:val="24"/>
                <w:szCs w:val="24"/>
                <w:highlight w:val="none"/>
                <w:lang w:val="en-US" w:eastAsia="zh-CN"/>
              </w:rPr>
              <w:t>4</w:t>
            </w:r>
          </w:p>
        </w:tc>
        <w:tc>
          <w:tcPr>
            <w:tcW w:w="998" w:type="pct"/>
            <w:shd w:val="clear" w:color="auto" w:fill="FFFFFF" w:themeFill="background1"/>
            <w:vAlign w:val="center"/>
          </w:tcPr>
          <w:p w14:paraId="193A54A9">
            <w:pPr>
              <w:pStyle w:val="52"/>
              <w:keepNext w:val="0"/>
              <w:keepLines w:val="0"/>
              <w:pageBreakBefore w:val="0"/>
              <w:kinsoku/>
              <w:wordWrap/>
              <w:overflowPunct/>
              <w:topLinePunct w:val="0"/>
              <w:autoSpaceDE/>
              <w:autoSpaceDN/>
              <w:bidi w:val="0"/>
              <w:adjustRightInd/>
              <w:snapToGrid/>
              <w:jc w:val="both"/>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z w:val="24"/>
                <w:highlight w:val="none"/>
                <w:lang w:val="en-US" w:eastAsia="zh-CN"/>
              </w:rPr>
              <w:t>其他资格要求</w:t>
            </w:r>
          </w:p>
        </w:tc>
        <w:tc>
          <w:tcPr>
            <w:tcW w:w="2760" w:type="pct"/>
            <w:shd w:val="clear" w:color="auto" w:fill="FFFFFF" w:themeFill="background1"/>
            <w:vAlign w:val="center"/>
          </w:tcPr>
          <w:p w14:paraId="33E32190">
            <w:pPr>
              <w:pStyle w:val="52"/>
              <w:keepNext w:val="0"/>
              <w:keepLines w:val="0"/>
              <w:pageBreakBefore w:val="0"/>
              <w:kinsoku/>
              <w:wordWrap/>
              <w:overflowPunct/>
              <w:topLinePunct w:val="0"/>
              <w:autoSpaceDE/>
              <w:autoSpaceDN/>
              <w:bidi w:val="0"/>
              <w:adjustRightInd/>
              <w:snapToGrid/>
              <w:jc w:val="both"/>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如有，见</w:t>
            </w:r>
            <w:r>
              <w:rPr>
                <w:rFonts w:hint="eastAsia" w:ascii="宋体" w:hAnsi="宋体" w:eastAsia="宋体" w:cs="宋体"/>
                <w:color w:val="auto"/>
                <w:sz w:val="24"/>
                <w:szCs w:val="24"/>
                <w:highlight w:val="none"/>
                <w:lang w:val="en-US" w:eastAsia="zh-CN"/>
              </w:rPr>
              <w:t>“第一章 招标公告”</w:t>
            </w:r>
          </w:p>
        </w:tc>
        <w:tc>
          <w:tcPr>
            <w:tcW w:w="801" w:type="pct"/>
            <w:shd w:val="clear" w:color="auto" w:fill="FFFFFF" w:themeFill="background1"/>
            <w:vAlign w:val="center"/>
          </w:tcPr>
          <w:p w14:paraId="73C95705">
            <w:pPr>
              <w:pStyle w:val="52"/>
              <w:keepNext w:val="0"/>
              <w:keepLines w:val="0"/>
              <w:pageBreakBefore w:val="0"/>
              <w:kinsoku/>
              <w:wordWrap/>
              <w:overflowPunct/>
              <w:topLinePunct w:val="0"/>
              <w:autoSpaceDE/>
              <w:autoSpaceDN/>
              <w:bidi w:val="0"/>
              <w:adjustRightInd/>
              <w:snapToGrid/>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提供证明文件的电子件或电子证照</w:t>
            </w:r>
          </w:p>
        </w:tc>
      </w:tr>
    </w:tbl>
    <w:p w14:paraId="6E5E6F7A">
      <w:pPr>
        <w:rPr>
          <w:rFonts w:hint="eastAsia" w:ascii="宋体" w:hAnsi="宋体" w:eastAsia="宋体" w:cs="宋体"/>
          <w:b/>
          <w:bCs/>
          <w:color w:val="auto"/>
          <w:kern w:val="44"/>
          <w:sz w:val="36"/>
          <w:szCs w:val="36"/>
          <w:highlight w:val="none"/>
          <w:lang w:val="en-US" w:eastAsia="zh-CN" w:bidi="ar-SA"/>
        </w:rPr>
      </w:pPr>
      <w:bookmarkStart w:id="506" w:name="_Toc155185903"/>
      <w:bookmarkStart w:id="507" w:name="_Toc22582"/>
      <w:r>
        <w:rPr>
          <w:rFonts w:hint="eastAsia" w:ascii="宋体" w:hAnsi="宋体" w:eastAsia="宋体" w:cs="宋体"/>
          <w:b/>
          <w:bCs/>
          <w:color w:val="auto"/>
          <w:kern w:val="44"/>
          <w:sz w:val="36"/>
          <w:szCs w:val="36"/>
          <w:highlight w:val="none"/>
          <w:lang w:val="en-US" w:eastAsia="zh-CN" w:bidi="ar-SA"/>
        </w:rPr>
        <w:br w:type="page"/>
      </w:r>
    </w:p>
    <w:p w14:paraId="21B53EAD">
      <w:pPr>
        <w:pStyle w:val="2"/>
        <w:keepNext/>
        <w:keepLines/>
        <w:pageBreakBefore w:val="0"/>
        <w:widowControl w:val="0"/>
        <w:numPr>
          <w:ilvl w:val="0"/>
          <w:numId w:val="0"/>
        </w:numPr>
        <w:kinsoku/>
        <w:wordWrap/>
        <w:overflowPunct/>
        <w:topLinePunct w:val="0"/>
        <w:autoSpaceDE/>
        <w:autoSpaceDN/>
        <w:bidi w:val="0"/>
        <w:adjustRightInd/>
        <w:snapToGrid/>
        <w:spacing w:before="220" w:after="220" w:line="480" w:lineRule="auto"/>
        <w:ind w:left="420" w:leftChars="0" w:hanging="420" w:firstLineChars="0"/>
        <w:textAlignment w:val="auto"/>
        <w:rPr>
          <w:rFonts w:hint="eastAsia" w:ascii="宋体" w:hAnsi="宋体" w:eastAsia="宋体" w:cs="宋体"/>
          <w:b/>
          <w:bCs/>
          <w:color w:val="auto"/>
          <w:kern w:val="44"/>
          <w:sz w:val="36"/>
          <w:szCs w:val="36"/>
          <w:highlight w:val="none"/>
          <w:lang w:val="en-US" w:eastAsia="zh-CN" w:bidi="ar-SA"/>
        </w:rPr>
      </w:pPr>
      <w:bookmarkStart w:id="508" w:name="_Ref10413"/>
      <w:r>
        <w:rPr>
          <w:rFonts w:hint="eastAsia" w:ascii="宋体" w:hAnsi="宋体" w:eastAsia="宋体" w:cs="宋体"/>
          <w:b/>
          <w:bCs/>
          <w:color w:val="auto"/>
          <w:kern w:val="44"/>
          <w:sz w:val="36"/>
          <w:szCs w:val="36"/>
          <w:highlight w:val="none"/>
          <w:lang w:val="en-US" w:eastAsia="zh-CN" w:bidi="ar-SA"/>
        </w:rPr>
        <w:t>第五章 评标方法</w:t>
      </w:r>
      <w:bookmarkEnd w:id="506"/>
      <w:r>
        <w:rPr>
          <w:rFonts w:hint="eastAsia" w:ascii="宋体" w:hAnsi="宋体" w:eastAsia="宋体" w:cs="宋体"/>
          <w:b/>
          <w:bCs/>
          <w:color w:val="auto"/>
          <w:kern w:val="44"/>
          <w:sz w:val="36"/>
          <w:szCs w:val="36"/>
          <w:highlight w:val="none"/>
          <w:lang w:val="en-US" w:eastAsia="zh-CN" w:bidi="ar-SA"/>
        </w:rPr>
        <w:t>及标准(综合评分法)</w:t>
      </w:r>
      <w:bookmarkEnd w:id="507"/>
      <w:bookmarkEnd w:id="508"/>
    </w:p>
    <w:p w14:paraId="2BB6F8A4">
      <w:pPr>
        <w:pStyle w:val="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根据《中华人民共和国政府采购法》及其实施条例、《政府采购货物和服务招标投标管理办法》</w:t>
      </w:r>
      <w:r>
        <w:rPr>
          <w:rFonts w:hint="eastAsia" w:ascii="宋体" w:hAnsi="宋体" w:eastAsia="宋体" w:cs="宋体"/>
          <w:color w:val="auto"/>
          <w:sz w:val="24"/>
          <w:szCs w:val="24"/>
          <w:highlight w:val="none"/>
          <w:lang w:val="en-US" w:eastAsia="zh-CN"/>
        </w:rPr>
        <w:t>及</w:t>
      </w:r>
      <w:r>
        <w:rPr>
          <w:rFonts w:hint="eastAsia" w:ascii="宋体" w:hAnsi="宋体" w:eastAsia="宋体" w:cs="宋体"/>
          <w:color w:val="auto"/>
          <w:sz w:val="24"/>
          <w:szCs w:val="24"/>
          <w:highlight w:val="none"/>
        </w:rPr>
        <w:t>相关法律法规确定以下评标</w:t>
      </w:r>
      <w:r>
        <w:rPr>
          <w:rFonts w:hint="eastAsia" w:ascii="宋体" w:hAnsi="宋体" w:eastAsia="宋体" w:cs="宋体"/>
          <w:color w:val="auto"/>
          <w:sz w:val="24"/>
          <w:szCs w:val="24"/>
          <w:highlight w:val="none"/>
          <w:lang w:val="en-US" w:eastAsia="zh-CN"/>
        </w:rPr>
        <w:t>方</w:t>
      </w:r>
      <w:r>
        <w:rPr>
          <w:rFonts w:hint="eastAsia" w:ascii="宋体" w:hAnsi="宋体" w:eastAsia="宋体" w:cs="宋体"/>
          <w:color w:val="auto"/>
          <w:sz w:val="24"/>
          <w:szCs w:val="24"/>
          <w:highlight w:val="none"/>
        </w:rPr>
        <w:t>法及标准。</w:t>
      </w:r>
    </w:p>
    <w:p w14:paraId="040C2DF7">
      <w:pPr>
        <w:pStyle w:val="3"/>
        <w:keepNext/>
        <w:keepLines/>
        <w:pageBreakBefore w:val="0"/>
        <w:widowControl w:val="0"/>
        <w:numPr>
          <w:ilvl w:val="0"/>
          <w:numId w:val="0"/>
        </w:numPr>
        <w:kinsoku/>
        <w:wordWrap/>
        <w:overflowPunct/>
        <w:topLinePunct w:val="0"/>
        <w:autoSpaceDE/>
        <w:autoSpaceDN/>
        <w:bidi w:val="0"/>
        <w:adjustRightInd/>
        <w:snapToGrid/>
        <w:spacing w:before="160" w:after="160" w:line="360" w:lineRule="auto"/>
        <w:ind w:left="420" w:leftChars="0" w:hanging="420" w:firstLineChars="0"/>
        <w:textAlignment w:val="auto"/>
        <w:rPr>
          <w:rFonts w:hint="eastAsia" w:ascii="宋体" w:hAnsi="宋体" w:eastAsia="宋体" w:cs="宋体"/>
          <w:color w:val="auto"/>
          <w:sz w:val="28"/>
          <w:szCs w:val="28"/>
          <w:highlight w:val="none"/>
          <w:lang w:val="zh-CN" w:eastAsia="zh-CN"/>
        </w:rPr>
      </w:pPr>
      <w:bookmarkStart w:id="509" w:name="_Toc2878"/>
      <w:bookmarkStart w:id="510" w:name="_Toc109899484"/>
      <w:bookmarkStart w:id="511" w:name="_Toc140132826"/>
      <w:bookmarkStart w:id="512" w:name="_Toc61280402"/>
      <w:bookmarkStart w:id="513" w:name="_Toc272247709"/>
      <w:bookmarkStart w:id="514" w:name="_Toc109899903"/>
      <w:bookmarkStart w:id="515" w:name="_Toc511894518"/>
      <w:bookmarkStart w:id="516" w:name="_Toc155185905"/>
      <w:bookmarkStart w:id="517" w:name="_Toc494561962"/>
      <w:bookmarkStart w:id="518" w:name="_Toc278891606"/>
      <w:bookmarkStart w:id="519" w:name="_Toc109900322"/>
      <w:r>
        <w:rPr>
          <w:rFonts w:hint="eastAsia" w:ascii="宋体" w:hAnsi="宋体" w:eastAsia="宋体" w:cs="宋体"/>
          <w:color w:val="auto"/>
          <w:sz w:val="28"/>
          <w:szCs w:val="28"/>
          <w:highlight w:val="none"/>
          <w:lang w:val="zh-CN" w:eastAsia="zh-CN"/>
        </w:rPr>
        <w:t>一、评标</w:t>
      </w:r>
      <w:r>
        <w:rPr>
          <w:rFonts w:hint="eastAsia" w:ascii="宋体" w:hAnsi="宋体" w:eastAsia="宋体" w:cs="宋体"/>
          <w:color w:val="auto"/>
          <w:sz w:val="28"/>
          <w:szCs w:val="28"/>
          <w:highlight w:val="none"/>
          <w:lang w:val="en-US" w:eastAsia="zh-CN"/>
        </w:rPr>
        <w:t>方</w:t>
      </w:r>
      <w:r>
        <w:rPr>
          <w:rFonts w:hint="eastAsia" w:ascii="宋体" w:hAnsi="宋体" w:eastAsia="宋体" w:cs="宋体"/>
          <w:color w:val="auto"/>
          <w:sz w:val="28"/>
          <w:szCs w:val="28"/>
          <w:highlight w:val="none"/>
          <w:lang w:val="zh-CN" w:eastAsia="zh-CN"/>
        </w:rPr>
        <w:t>法</w:t>
      </w:r>
      <w:bookmarkEnd w:id="509"/>
    </w:p>
    <w:p w14:paraId="40F9AE81">
      <w:pPr>
        <w:pStyle w:val="40"/>
        <w:rPr>
          <w:color w:val="auto"/>
          <w:highlight w:val="none"/>
        </w:rPr>
      </w:pPr>
      <w:r>
        <w:rPr>
          <w:rFonts w:hint="eastAsia"/>
          <w:color w:val="auto"/>
          <w:highlight w:val="none"/>
        </w:rPr>
        <w:t>1.</w:t>
      </w:r>
      <w:r>
        <w:rPr>
          <w:rFonts w:hint="eastAsia"/>
          <w:b/>
          <w:bCs/>
          <w:color w:val="auto"/>
          <w:highlight w:val="none"/>
        </w:rPr>
        <w:t>本项目采用综合评分法</w:t>
      </w:r>
      <w:r>
        <w:rPr>
          <w:rFonts w:hint="eastAsia"/>
          <w:color w:val="auto"/>
          <w:highlight w:val="none"/>
        </w:rPr>
        <w:t>。综合评分法，是指投标文件满足招标文件全部实质性要求，且按照评审因素的量化指标评审得分最高的投标人为中标候选人的评标方法。</w:t>
      </w:r>
    </w:p>
    <w:p w14:paraId="5EC2DCA1">
      <w:pPr>
        <w:pStyle w:val="3"/>
        <w:keepNext/>
        <w:keepLines/>
        <w:pageBreakBefore w:val="0"/>
        <w:widowControl w:val="0"/>
        <w:numPr>
          <w:ilvl w:val="0"/>
          <w:numId w:val="0"/>
        </w:numPr>
        <w:kinsoku/>
        <w:wordWrap/>
        <w:overflowPunct/>
        <w:topLinePunct w:val="0"/>
        <w:autoSpaceDE/>
        <w:autoSpaceDN/>
        <w:bidi w:val="0"/>
        <w:adjustRightInd/>
        <w:snapToGrid/>
        <w:spacing w:before="160" w:after="160" w:line="360" w:lineRule="auto"/>
        <w:ind w:left="420" w:leftChars="0" w:hanging="420" w:firstLineChars="0"/>
        <w:textAlignment w:val="auto"/>
        <w:rPr>
          <w:rFonts w:hint="eastAsia" w:ascii="宋体" w:hAnsi="宋体" w:eastAsia="宋体" w:cs="宋体"/>
          <w:color w:val="auto"/>
          <w:sz w:val="28"/>
          <w:szCs w:val="28"/>
          <w:highlight w:val="none"/>
          <w:lang w:val="zh-CN" w:eastAsia="zh-CN"/>
        </w:rPr>
      </w:pPr>
      <w:bookmarkStart w:id="520" w:name="_Toc2644"/>
      <w:r>
        <w:rPr>
          <w:rFonts w:hint="eastAsia" w:ascii="宋体" w:hAnsi="宋体" w:eastAsia="宋体" w:cs="宋体"/>
          <w:color w:val="auto"/>
          <w:sz w:val="28"/>
          <w:szCs w:val="28"/>
          <w:highlight w:val="none"/>
          <w:lang w:val="en-US" w:eastAsia="zh-CN"/>
        </w:rPr>
        <w:t>二</w:t>
      </w:r>
      <w:r>
        <w:rPr>
          <w:rFonts w:hint="eastAsia" w:ascii="宋体" w:hAnsi="宋体" w:eastAsia="宋体" w:cs="宋体"/>
          <w:color w:val="auto"/>
          <w:sz w:val="28"/>
          <w:szCs w:val="28"/>
          <w:highlight w:val="none"/>
          <w:lang w:val="zh-CN" w:eastAsia="zh-CN"/>
        </w:rPr>
        <w:t>、评标程序</w:t>
      </w:r>
      <w:bookmarkEnd w:id="520"/>
    </w:p>
    <w:p w14:paraId="2CEA851A">
      <w:pPr>
        <w:pStyle w:val="4"/>
        <w:keepNext/>
        <w:keepLines/>
        <w:pageBreakBefore w:val="0"/>
        <w:widowControl w:val="0"/>
        <w:numPr>
          <w:ilvl w:val="0"/>
          <w:numId w:val="0"/>
        </w:numPr>
        <w:kinsoku/>
        <w:wordWrap/>
        <w:overflowPunct/>
        <w:topLinePunct w:val="0"/>
        <w:autoSpaceDE/>
        <w:autoSpaceDN/>
        <w:bidi w:val="0"/>
        <w:adjustRightInd/>
        <w:snapToGrid/>
        <w:spacing w:before="160" w:after="160" w:line="360" w:lineRule="auto"/>
        <w:ind w:left="420" w:leftChars="0" w:hanging="420" w:firstLineChars="0"/>
        <w:textAlignment w:val="auto"/>
        <w:rPr>
          <w:rFonts w:hint="eastAsia" w:ascii="宋体" w:hAnsi="宋体" w:eastAsia="宋体" w:cs="宋体"/>
          <w:b/>
          <w:bCs/>
          <w:color w:val="auto"/>
          <w:kern w:val="2"/>
          <w:sz w:val="24"/>
          <w:szCs w:val="24"/>
          <w:highlight w:val="none"/>
          <w:lang w:val="zh-CN" w:eastAsia="zh-CN" w:bidi="ar-SA"/>
        </w:rPr>
      </w:pPr>
      <w:bookmarkStart w:id="521" w:name="_Toc9847"/>
      <w:bookmarkStart w:id="522" w:name="_Toc3127"/>
      <w:r>
        <w:rPr>
          <w:rFonts w:hint="eastAsia" w:ascii="宋体" w:hAnsi="宋体" w:eastAsia="宋体" w:cs="宋体"/>
          <w:b/>
          <w:bCs/>
          <w:color w:val="auto"/>
          <w:kern w:val="2"/>
          <w:sz w:val="24"/>
          <w:szCs w:val="24"/>
          <w:highlight w:val="none"/>
          <w:lang w:val="zh-CN" w:eastAsia="zh-CN" w:bidi="ar-SA"/>
        </w:rPr>
        <w:t>（一）符合性审查</w:t>
      </w:r>
      <w:bookmarkEnd w:id="521"/>
      <w:bookmarkEnd w:id="522"/>
    </w:p>
    <w:p w14:paraId="0D55CFD2">
      <w:pPr>
        <w:pStyle w:val="4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评标委员会应当对</w:t>
      </w:r>
      <w:r>
        <w:rPr>
          <w:rFonts w:hint="eastAsia" w:ascii="宋体" w:hAnsi="宋体" w:eastAsia="宋体" w:cs="宋体"/>
          <w:color w:val="auto"/>
          <w:sz w:val="24"/>
          <w:szCs w:val="24"/>
          <w:highlight w:val="none"/>
          <w:lang w:val="en-US" w:eastAsia="zh-CN"/>
        </w:rPr>
        <w:t>通过</w:t>
      </w:r>
      <w:r>
        <w:rPr>
          <w:rFonts w:hint="eastAsia" w:ascii="宋体" w:hAnsi="宋体" w:eastAsia="宋体" w:cs="宋体"/>
          <w:color w:val="auto"/>
          <w:sz w:val="24"/>
          <w:szCs w:val="24"/>
          <w:highlight w:val="none"/>
        </w:rPr>
        <w:t>资格</w:t>
      </w:r>
      <w:r>
        <w:rPr>
          <w:rFonts w:hint="eastAsia" w:ascii="宋体" w:hAnsi="宋体" w:eastAsia="宋体" w:cs="宋体"/>
          <w:color w:val="auto"/>
          <w:sz w:val="24"/>
          <w:szCs w:val="24"/>
          <w:highlight w:val="none"/>
          <w:lang w:val="en-US" w:eastAsia="zh-CN"/>
        </w:rPr>
        <w:t>审查</w:t>
      </w:r>
      <w:r>
        <w:rPr>
          <w:rFonts w:hint="eastAsia" w:ascii="宋体" w:hAnsi="宋体" w:eastAsia="宋体" w:cs="宋体"/>
          <w:color w:val="auto"/>
          <w:sz w:val="24"/>
          <w:szCs w:val="24"/>
          <w:highlight w:val="none"/>
        </w:rPr>
        <w:t>的投标人的投标文件进行符合性审查，以确定其是否满足招标文件的实质性要求。投标人必须通过符合性审查的全部评审指标</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不满足招标文件的实质性要求的，</w:t>
      </w:r>
      <w:r>
        <w:rPr>
          <w:rFonts w:hint="eastAsia" w:ascii="宋体" w:hAnsi="宋体" w:eastAsia="宋体" w:cs="宋体"/>
          <w:color w:val="auto"/>
          <w:sz w:val="24"/>
          <w:szCs w:val="24"/>
          <w:highlight w:val="none"/>
          <w:lang w:val="en-US" w:eastAsia="zh-CN"/>
        </w:rPr>
        <w:t>其</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具体内容详</w:t>
      </w:r>
      <w:r>
        <w:rPr>
          <w:rFonts w:hint="eastAsia" w:ascii="宋体" w:hAnsi="宋体" w:eastAsia="宋体" w:cs="宋体"/>
          <w:color w:val="auto"/>
          <w:sz w:val="24"/>
          <w:szCs w:val="24"/>
          <w:highlight w:val="none"/>
          <w:lang w:val="zh-CN"/>
        </w:rPr>
        <w:t>本章“</w:t>
      </w:r>
      <w:r>
        <w:rPr>
          <w:rFonts w:hint="eastAsia" w:ascii="宋体" w:hAnsi="宋体" w:eastAsia="宋体" w:cs="宋体"/>
          <w:color w:val="auto"/>
          <w:sz w:val="24"/>
          <w:szCs w:val="24"/>
          <w:highlight w:val="none"/>
          <w:lang w:val="en-US" w:eastAsia="zh-CN"/>
        </w:rPr>
        <w:t>四</w:t>
      </w:r>
      <w:r>
        <w:rPr>
          <w:rFonts w:hint="eastAsia" w:ascii="宋体" w:hAnsi="宋体" w:eastAsia="宋体" w:cs="宋体"/>
          <w:color w:val="auto"/>
          <w:sz w:val="24"/>
          <w:szCs w:val="24"/>
          <w:highlight w:val="none"/>
          <w:lang w:val="zh-CN"/>
        </w:rPr>
        <w:t>、评标标准”中</w:t>
      </w:r>
      <w:r>
        <w:rPr>
          <w:rFonts w:hint="eastAsia" w:ascii="宋体" w:hAnsi="宋体" w:eastAsia="宋体" w:cs="宋体"/>
          <w:color w:val="auto"/>
          <w:sz w:val="24"/>
          <w:szCs w:val="24"/>
          <w:highlight w:val="none"/>
          <w:lang w:val="en-US" w:eastAsia="zh-CN"/>
        </w:rPr>
        <w:t>的</w:t>
      </w:r>
      <w:r>
        <w:rPr>
          <w:rFonts w:hint="eastAsia" w:ascii="宋体" w:hAnsi="宋体" w:eastAsia="宋体" w:cs="宋体"/>
          <w:color w:val="auto"/>
          <w:sz w:val="24"/>
          <w:szCs w:val="24"/>
          <w:highlight w:val="none"/>
          <w:lang w:val="zh-CN"/>
        </w:rPr>
        <w:t>“（一）符合性审查”。</w:t>
      </w:r>
    </w:p>
    <w:p w14:paraId="4E726315">
      <w:pPr>
        <w:pStyle w:val="4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通过</w:t>
      </w:r>
      <w:r>
        <w:rPr>
          <w:rFonts w:hint="eastAsia" w:ascii="宋体" w:hAnsi="宋体" w:eastAsia="宋体" w:cs="宋体"/>
          <w:color w:val="auto"/>
          <w:sz w:val="24"/>
          <w:szCs w:val="24"/>
          <w:highlight w:val="none"/>
        </w:rPr>
        <w:t>符合性审查</w:t>
      </w:r>
      <w:r>
        <w:rPr>
          <w:rFonts w:hint="eastAsia" w:ascii="宋体" w:hAnsi="宋体" w:eastAsia="宋体" w:cs="宋体"/>
          <w:color w:val="auto"/>
          <w:sz w:val="24"/>
          <w:szCs w:val="24"/>
          <w:highlight w:val="none"/>
          <w:lang w:val="en-US" w:eastAsia="zh-CN"/>
        </w:rPr>
        <w:t>的</w:t>
      </w:r>
      <w:r>
        <w:rPr>
          <w:rFonts w:hint="eastAsia" w:ascii="宋体" w:hAnsi="宋体" w:eastAsia="宋体" w:cs="宋体"/>
          <w:color w:val="auto"/>
          <w:sz w:val="24"/>
          <w:szCs w:val="24"/>
          <w:highlight w:val="none"/>
        </w:rPr>
        <w:t>有效</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不足3家的应当终止采购活动，发布项目终止公告并说明原因，重新开展采购活动。</w:t>
      </w:r>
    </w:p>
    <w:p w14:paraId="34580356">
      <w:pPr>
        <w:pStyle w:val="4"/>
        <w:keepNext/>
        <w:keepLines/>
        <w:pageBreakBefore w:val="0"/>
        <w:widowControl w:val="0"/>
        <w:numPr>
          <w:ilvl w:val="0"/>
          <w:numId w:val="0"/>
        </w:numPr>
        <w:kinsoku/>
        <w:wordWrap/>
        <w:overflowPunct/>
        <w:topLinePunct w:val="0"/>
        <w:autoSpaceDE/>
        <w:autoSpaceDN/>
        <w:bidi w:val="0"/>
        <w:adjustRightInd/>
        <w:snapToGrid/>
        <w:spacing w:before="160" w:after="160" w:line="360" w:lineRule="auto"/>
        <w:ind w:left="420" w:leftChars="0" w:hanging="420" w:firstLineChars="0"/>
        <w:textAlignment w:val="auto"/>
        <w:rPr>
          <w:rFonts w:hint="eastAsia" w:ascii="宋体" w:hAnsi="宋体" w:eastAsia="宋体" w:cs="宋体"/>
          <w:b/>
          <w:bCs/>
          <w:color w:val="auto"/>
          <w:kern w:val="2"/>
          <w:sz w:val="24"/>
          <w:szCs w:val="24"/>
          <w:highlight w:val="none"/>
          <w:lang w:val="zh-CN" w:eastAsia="zh-CN" w:bidi="ar-SA"/>
        </w:rPr>
      </w:pPr>
      <w:bookmarkStart w:id="523" w:name="_Toc102116048"/>
      <w:bookmarkStart w:id="524" w:name="_Toc102114946"/>
      <w:bookmarkStart w:id="525" w:name="_Toc102116178"/>
      <w:bookmarkStart w:id="526" w:name="_Toc102057744"/>
      <w:bookmarkStart w:id="527" w:name="_Toc102119879"/>
      <w:bookmarkStart w:id="528" w:name="_Toc155185907"/>
      <w:bookmarkStart w:id="529" w:name="_Toc102056244"/>
      <w:bookmarkStart w:id="530" w:name="_Toc29198"/>
      <w:bookmarkStart w:id="531" w:name="_Toc163492903"/>
      <w:bookmarkStart w:id="532" w:name="_Toc14312"/>
      <w:r>
        <w:rPr>
          <w:rFonts w:hint="eastAsia" w:ascii="宋体" w:hAnsi="宋体" w:eastAsia="宋体" w:cs="宋体"/>
          <w:b/>
          <w:bCs/>
          <w:color w:val="auto"/>
          <w:kern w:val="2"/>
          <w:sz w:val="24"/>
          <w:szCs w:val="24"/>
          <w:highlight w:val="none"/>
          <w:lang w:val="zh-CN" w:eastAsia="zh-CN" w:bidi="ar-SA"/>
        </w:rPr>
        <w:t>（</w:t>
      </w:r>
      <w:r>
        <w:rPr>
          <w:rFonts w:hint="eastAsia" w:ascii="宋体" w:hAnsi="宋体" w:eastAsia="宋体" w:cs="宋体"/>
          <w:b/>
          <w:bCs/>
          <w:color w:val="auto"/>
          <w:kern w:val="2"/>
          <w:sz w:val="24"/>
          <w:szCs w:val="24"/>
          <w:highlight w:val="none"/>
          <w:lang w:val="en-US" w:eastAsia="zh-CN" w:bidi="ar-SA"/>
        </w:rPr>
        <w:t>二</w:t>
      </w:r>
      <w:r>
        <w:rPr>
          <w:rFonts w:hint="eastAsia" w:ascii="宋体" w:hAnsi="宋体" w:eastAsia="宋体" w:cs="宋体"/>
          <w:b/>
          <w:bCs/>
          <w:color w:val="auto"/>
          <w:kern w:val="2"/>
          <w:sz w:val="24"/>
          <w:szCs w:val="24"/>
          <w:highlight w:val="none"/>
          <w:lang w:val="zh-CN" w:eastAsia="zh-CN" w:bidi="ar-SA"/>
        </w:rPr>
        <w:t>）投标文件澄清</w:t>
      </w:r>
      <w:bookmarkEnd w:id="523"/>
      <w:bookmarkEnd w:id="524"/>
      <w:bookmarkEnd w:id="525"/>
      <w:bookmarkEnd w:id="526"/>
      <w:bookmarkEnd w:id="527"/>
      <w:bookmarkEnd w:id="528"/>
      <w:bookmarkEnd w:id="529"/>
      <w:r>
        <w:rPr>
          <w:rFonts w:hint="eastAsia" w:ascii="宋体" w:hAnsi="宋体" w:eastAsia="宋体" w:cs="宋体"/>
          <w:b/>
          <w:bCs/>
          <w:color w:val="auto"/>
          <w:kern w:val="2"/>
          <w:sz w:val="24"/>
          <w:szCs w:val="24"/>
          <w:highlight w:val="none"/>
          <w:lang w:val="zh-CN" w:eastAsia="zh-CN" w:bidi="ar-SA"/>
        </w:rPr>
        <w:t>及修正</w:t>
      </w:r>
      <w:bookmarkEnd w:id="530"/>
      <w:bookmarkEnd w:id="531"/>
      <w:bookmarkEnd w:id="532"/>
    </w:p>
    <w:p w14:paraId="0EC9197C">
      <w:pPr>
        <w:pStyle w:val="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.评标期间，对于投标文件中含义不明确、同类问题表述不一致或者有明显文字和计算错误的内容需要投标人作出必要的澄清、说明或者补正的，评标委员会应当在</w:t>
      </w:r>
      <w:r>
        <w:rPr>
          <w:rFonts w:hint="eastAsia" w:ascii="宋体" w:hAnsi="宋体" w:eastAsia="宋体" w:cs="宋体"/>
          <w:color w:val="auto"/>
          <w:sz w:val="24"/>
          <w:szCs w:val="24"/>
          <w:highlight w:val="none"/>
          <w:lang w:val="en-US" w:eastAsia="zh-CN"/>
        </w:rPr>
        <w:t>政采云平台评标</w:t>
      </w:r>
      <w:r>
        <w:rPr>
          <w:rFonts w:hint="eastAsia" w:ascii="宋体" w:hAnsi="宋体" w:eastAsia="宋体" w:cs="宋体"/>
          <w:color w:val="auto"/>
          <w:sz w:val="24"/>
          <w:szCs w:val="24"/>
          <w:highlight w:val="none"/>
        </w:rPr>
        <w:t>系统中以书面形式要求投标人作出必要的澄清、说明或者补正。</w:t>
      </w:r>
    </w:p>
    <w:p w14:paraId="079329DA">
      <w:pPr>
        <w:pStyle w:val="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.投标人应按照评标委员会要求在规定时间内作出澄清、说明或者补正，澄清、说明或者补正不得超出投标文件的范围或者改变投标文件的实质性内容。</w:t>
      </w:r>
    </w:p>
    <w:p w14:paraId="591A6455">
      <w:pPr>
        <w:pStyle w:val="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.投标人的澄清、说明或者补正是其投标文件的有效组成部分，澄清、说明或者补正应当在</w:t>
      </w:r>
      <w:r>
        <w:rPr>
          <w:rFonts w:hint="eastAsia" w:ascii="宋体" w:hAnsi="宋体" w:eastAsia="宋体" w:cs="宋体"/>
          <w:color w:val="auto"/>
          <w:sz w:val="24"/>
          <w:szCs w:val="24"/>
          <w:highlight w:val="none"/>
          <w:lang w:val="en-US" w:eastAsia="zh-CN"/>
        </w:rPr>
        <w:t>政采云平台评标</w:t>
      </w:r>
      <w:r>
        <w:rPr>
          <w:rFonts w:hint="eastAsia" w:ascii="宋体" w:hAnsi="宋体" w:eastAsia="宋体" w:cs="宋体"/>
          <w:color w:val="auto"/>
          <w:sz w:val="24"/>
          <w:szCs w:val="24"/>
          <w:highlight w:val="none"/>
        </w:rPr>
        <w:t>系统中加盖电子印章后提交。</w:t>
      </w:r>
    </w:p>
    <w:p w14:paraId="3B466024">
      <w:pPr>
        <w:pStyle w:val="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.报价合理性说明：评标委员会认为投标人的报价明显低于其他通过符合性审查投标人的报价，有可能影响</w:t>
      </w:r>
      <w:r>
        <w:rPr>
          <w:rFonts w:hint="eastAsia" w:ascii="宋体" w:hAnsi="宋体" w:eastAsia="宋体" w:cs="宋体"/>
          <w:color w:val="auto"/>
          <w:sz w:val="24"/>
          <w:szCs w:val="24"/>
          <w:highlight w:val="none"/>
          <w:lang w:val="en-US" w:eastAsia="zh-CN"/>
        </w:rPr>
        <w:t>货物</w:t>
      </w:r>
      <w:r>
        <w:rPr>
          <w:rFonts w:hint="eastAsia" w:ascii="宋体" w:hAnsi="宋体" w:eastAsia="宋体" w:cs="宋体"/>
          <w:color w:val="auto"/>
          <w:sz w:val="24"/>
          <w:szCs w:val="24"/>
          <w:highlight w:val="none"/>
        </w:rPr>
        <w:t>质量或者不能诚信履约的，</w:t>
      </w:r>
      <w:r>
        <w:rPr>
          <w:rFonts w:hint="eastAsia" w:ascii="宋体" w:hAnsi="宋体" w:eastAsia="宋体" w:cs="宋体"/>
          <w:color w:val="auto"/>
          <w:sz w:val="24"/>
          <w:szCs w:val="24"/>
          <w:highlight w:val="none"/>
          <w:lang w:val="en-US" w:eastAsia="zh-CN"/>
        </w:rPr>
        <w:t>应当</w:t>
      </w:r>
      <w:r>
        <w:rPr>
          <w:rFonts w:hint="eastAsia" w:ascii="宋体" w:hAnsi="宋体" w:eastAsia="宋体" w:cs="宋体"/>
          <w:color w:val="auto"/>
          <w:sz w:val="24"/>
          <w:szCs w:val="24"/>
          <w:highlight w:val="none"/>
        </w:rPr>
        <w:t>要求</w:t>
      </w:r>
      <w:r>
        <w:rPr>
          <w:rFonts w:hint="eastAsia" w:ascii="宋体" w:hAnsi="宋体" w:eastAsia="宋体" w:cs="宋体"/>
          <w:color w:val="auto"/>
          <w:sz w:val="24"/>
          <w:szCs w:val="24"/>
          <w:highlight w:val="none"/>
          <w:lang w:val="en-US" w:eastAsia="zh-CN"/>
        </w:rPr>
        <w:t>该投标人</w:t>
      </w:r>
      <w:r>
        <w:rPr>
          <w:rFonts w:hint="eastAsia" w:ascii="宋体" w:hAnsi="宋体" w:eastAsia="宋体" w:cs="宋体"/>
          <w:color w:val="auto"/>
          <w:sz w:val="24"/>
          <w:szCs w:val="24"/>
          <w:highlight w:val="none"/>
        </w:rPr>
        <w:t>在合理的时间内提供说明，必要时提交相关证明材料；</w:t>
      </w:r>
      <w:r>
        <w:rPr>
          <w:rFonts w:hint="eastAsia" w:ascii="宋体" w:hAnsi="宋体" w:eastAsia="宋体" w:cs="宋体"/>
          <w:color w:val="auto"/>
          <w:sz w:val="24"/>
          <w:szCs w:val="24"/>
          <w:highlight w:val="none"/>
          <w:lang w:val="en-US" w:eastAsia="zh-CN"/>
        </w:rPr>
        <w:t>若</w:t>
      </w:r>
      <w:r>
        <w:rPr>
          <w:rFonts w:hint="eastAsia" w:ascii="宋体" w:hAnsi="宋体" w:eastAsia="宋体" w:cs="宋体"/>
          <w:color w:val="auto"/>
          <w:sz w:val="24"/>
          <w:szCs w:val="24"/>
          <w:highlight w:val="none"/>
        </w:rPr>
        <w:t>投标人不能证明其报价合理性的，评标委员</w:t>
      </w:r>
      <w:r>
        <w:rPr>
          <w:rFonts w:hint="eastAsia" w:ascii="宋体" w:hAnsi="宋体" w:eastAsia="宋体" w:cs="宋体"/>
          <w:color w:val="auto"/>
          <w:sz w:val="24"/>
          <w:szCs w:val="24"/>
          <w:highlight w:val="none"/>
          <w:lang w:val="en-US" w:eastAsia="zh-CN"/>
        </w:rPr>
        <w:t>会应当</w:t>
      </w:r>
      <w:r>
        <w:rPr>
          <w:rFonts w:hint="eastAsia" w:ascii="宋体" w:hAnsi="宋体" w:eastAsia="宋体" w:cs="宋体"/>
          <w:color w:val="auto"/>
          <w:sz w:val="24"/>
          <w:szCs w:val="24"/>
          <w:highlight w:val="none"/>
        </w:rPr>
        <w:t>将其作</w:t>
      </w:r>
      <w:r>
        <w:rPr>
          <w:rFonts w:hint="eastAsia" w:ascii="宋体" w:hAnsi="宋体" w:eastAsia="宋体" w:cs="宋体"/>
          <w:b/>
          <w:bCs/>
          <w:color w:val="auto"/>
          <w:sz w:val="24"/>
          <w:szCs w:val="24"/>
          <w:highlight w:val="none"/>
        </w:rPr>
        <w:t>无效投标</w:t>
      </w:r>
      <w:r>
        <w:rPr>
          <w:rFonts w:hint="eastAsia" w:ascii="宋体" w:hAnsi="宋体" w:eastAsia="宋体" w:cs="宋体"/>
          <w:color w:val="auto"/>
          <w:sz w:val="24"/>
          <w:szCs w:val="24"/>
          <w:highlight w:val="none"/>
        </w:rPr>
        <w:t>处理。</w:t>
      </w:r>
    </w:p>
    <w:p w14:paraId="4FD6345C">
      <w:pPr>
        <w:pStyle w:val="40"/>
        <w:ind w:left="0" w:leftChars="0"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投标报价须包含招标文件全部内容，如分项报价表有缺漏视为已含在其他各项报价中，将不对投标总价进行调整。评标委员会有权要求投标人在评标现场合理的时间内对此进行书面确认，投标人不确认的，视为将一个采购包中的内容拆分投标，其</w:t>
      </w:r>
      <w:r>
        <w:rPr>
          <w:rFonts w:hint="eastAsia" w:ascii="宋体" w:hAnsi="宋体" w:eastAsia="宋体" w:cs="宋体"/>
          <w:b/>
          <w:bCs/>
          <w:color w:val="auto"/>
          <w:sz w:val="24"/>
          <w:szCs w:val="24"/>
          <w:highlight w:val="none"/>
          <w:lang w:val="en-US" w:eastAsia="zh-CN"/>
        </w:rPr>
        <w:t>投标无效</w:t>
      </w:r>
      <w:r>
        <w:rPr>
          <w:rFonts w:hint="eastAsia" w:ascii="宋体" w:hAnsi="宋体" w:eastAsia="宋体" w:cs="宋体"/>
          <w:color w:val="auto"/>
          <w:sz w:val="24"/>
          <w:szCs w:val="24"/>
          <w:highlight w:val="none"/>
          <w:lang w:val="en-US" w:eastAsia="zh-CN"/>
        </w:rPr>
        <w:t>。</w:t>
      </w:r>
    </w:p>
    <w:p w14:paraId="015D7E7F">
      <w:pPr>
        <w:pStyle w:val="40"/>
        <w:ind w:left="0" w:leftChars="0"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8.投标文件报价出现前后不一致的，除招标文件另有规定外，按照下列规定修正：</w:t>
      </w:r>
    </w:p>
    <w:p w14:paraId="4D967018">
      <w:pPr>
        <w:pStyle w:val="40"/>
        <w:ind w:left="0" w:leftChars="0"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8.1投标文件中开标一览表（报价表）内容与投标文件中相应内容不一致的，以开标一览表（报价表）为准；</w:t>
      </w:r>
    </w:p>
    <w:p w14:paraId="657B9F51">
      <w:pPr>
        <w:pStyle w:val="40"/>
        <w:ind w:left="0" w:leftChars="0"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8.2大写金额和小写金额不一致的，以大写金额为准；</w:t>
      </w:r>
    </w:p>
    <w:p w14:paraId="628E9D79">
      <w:pPr>
        <w:pStyle w:val="40"/>
        <w:ind w:left="0" w:leftChars="0"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8.3单价金额小数点或者百分比有明显错位的，以开标一览表的总价为准，并修改单价；</w:t>
      </w:r>
    </w:p>
    <w:p w14:paraId="3D45997F">
      <w:pPr>
        <w:pStyle w:val="40"/>
        <w:ind w:left="0" w:leftChars="0"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8.4总价金额与按单价汇总金额不一致的，以单价金额计算结果为准。</w:t>
      </w:r>
    </w:p>
    <w:p w14:paraId="4E5FFFFF">
      <w:pPr>
        <w:pStyle w:val="40"/>
        <w:ind w:left="0" w:leftChars="0"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同时出现两种以上不一致的，按照8.1—8.4的顺序修正。修正后的报价采用书面形式，并加盖公章，或者由法定代表人或其授权的代表签字，经投标人确认后产生约束力，投标人不确认的，其</w:t>
      </w:r>
      <w:r>
        <w:rPr>
          <w:rFonts w:hint="eastAsia" w:ascii="宋体" w:hAnsi="宋体" w:eastAsia="宋体" w:cs="宋体"/>
          <w:b/>
          <w:bCs/>
          <w:color w:val="auto"/>
          <w:sz w:val="24"/>
          <w:szCs w:val="24"/>
          <w:highlight w:val="none"/>
          <w:lang w:val="en-US" w:eastAsia="zh-CN"/>
        </w:rPr>
        <w:t>投标无效</w:t>
      </w:r>
      <w:r>
        <w:rPr>
          <w:rFonts w:hint="eastAsia" w:ascii="宋体" w:hAnsi="宋体" w:eastAsia="宋体" w:cs="宋体"/>
          <w:color w:val="auto"/>
          <w:sz w:val="24"/>
          <w:szCs w:val="24"/>
          <w:highlight w:val="none"/>
          <w:lang w:val="en-US" w:eastAsia="zh-CN"/>
        </w:rPr>
        <w:t>。</w:t>
      </w:r>
    </w:p>
    <w:p w14:paraId="33748C4F">
      <w:pPr>
        <w:pStyle w:val="4"/>
        <w:keepNext/>
        <w:keepLines/>
        <w:pageBreakBefore w:val="0"/>
        <w:widowControl w:val="0"/>
        <w:numPr>
          <w:ilvl w:val="0"/>
          <w:numId w:val="0"/>
        </w:numPr>
        <w:kinsoku/>
        <w:wordWrap/>
        <w:overflowPunct/>
        <w:topLinePunct w:val="0"/>
        <w:autoSpaceDE/>
        <w:autoSpaceDN/>
        <w:bidi w:val="0"/>
        <w:adjustRightInd/>
        <w:snapToGrid/>
        <w:spacing w:before="160" w:after="160" w:line="360" w:lineRule="auto"/>
        <w:ind w:left="420" w:leftChars="0" w:hanging="420" w:firstLineChars="0"/>
        <w:textAlignment w:val="auto"/>
        <w:rPr>
          <w:rFonts w:hint="eastAsia" w:ascii="宋体" w:hAnsi="宋体" w:eastAsia="宋体" w:cs="宋体"/>
          <w:b/>
          <w:bCs/>
          <w:color w:val="auto"/>
          <w:kern w:val="2"/>
          <w:sz w:val="24"/>
          <w:szCs w:val="24"/>
          <w:highlight w:val="none"/>
          <w:lang w:val="zh-CN" w:eastAsia="zh-CN" w:bidi="ar-SA"/>
        </w:rPr>
      </w:pPr>
      <w:bookmarkStart w:id="533" w:name="_Toc826"/>
      <w:bookmarkStart w:id="534" w:name="_Toc26244"/>
      <w:r>
        <w:rPr>
          <w:rFonts w:hint="eastAsia" w:ascii="宋体" w:hAnsi="宋体" w:eastAsia="宋体" w:cs="宋体"/>
          <w:b/>
          <w:bCs/>
          <w:color w:val="auto"/>
          <w:kern w:val="2"/>
          <w:sz w:val="24"/>
          <w:szCs w:val="24"/>
          <w:highlight w:val="none"/>
          <w:lang w:val="zh-CN" w:eastAsia="zh-CN" w:bidi="ar-SA"/>
        </w:rPr>
        <w:t>（</w:t>
      </w:r>
      <w:r>
        <w:rPr>
          <w:rFonts w:hint="eastAsia" w:ascii="宋体" w:hAnsi="宋体" w:eastAsia="宋体" w:cs="宋体"/>
          <w:b/>
          <w:bCs/>
          <w:color w:val="auto"/>
          <w:kern w:val="2"/>
          <w:sz w:val="24"/>
          <w:szCs w:val="24"/>
          <w:highlight w:val="none"/>
          <w:lang w:val="en-US" w:eastAsia="zh-CN" w:bidi="ar-SA"/>
        </w:rPr>
        <w:t>三</w:t>
      </w:r>
      <w:r>
        <w:rPr>
          <w:rFonts w:hint="eastAsia" w:ascii="宋体" w:hAnsi="宋体" w:eastAsia="宋体" w:cs="宋体"/>
          <w:b/>
          <w:bCs/>
          <w:color w:val="auto"/>
          <w:kern w:val="2"/>
          <w:sz w:val="24"/>
          <w:szCs w:val="24"/>
          <w:highlight w:val="none"/>
          <w:lang w:val="zh-CN" w:eastAsia="zh-CN" w:bidi="ar-SA"/>
        </w:rPr>
        <w:t>）比较与评价</w:t>
      </w:r>
      <w:bookmarkEnd w:id="533"/>
      <w:bookmarkEnd w:id="534"/>
    </w:p>
    <w:p w14:paraId="2BE6ECB2">
      <w:pPr>
        <w:pStyle w:val="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评标委员会应当按照招标文件中规定的评标方法和标准，对符合性审查合格的投标文件进行商务和技术评</w:t>
      </w:r>
      <w:r>
        <w:rPr>
          <w:rFonts w:hint="eastAsia" w:ascii="宋体" w:hAnsi="宋体" w:eastAsia="宋体" w:cs="宋体"/>
          <w:color w:val="auto"/>
          <w:sz w:val="24"/>
          <w:szCs w:val="24"/>
          <w:highlight w:val="none"/>
          <w:lang w:val="en-US" w:eastAsia="zh-CN"/>
        </w:rPr>
        <w:t>估</w:t>
      </w:r>
      <w:r>
        <w:rPr>
          <w:rFonts w:hint="eastAsia" w:ascii="宋体" w:hAnsi="宋体" w:eastAsia="宋体" w:cs="宋体"/>
          <w:color w:val="auto"/>
          <w:sz w:val="24"/>
          <w:szCs w:val="24"/>
          <w:highlight w:val="none"/>
        </w:rPr>
        <w:t>，综合比较与评价</w:t>
      </w:r>
      <w:r>
        <w:rPr>
          <w:rFonts w:hint="eastAsia" w:ascii="宋体" w:hAnsi="宋体" w:eastAsia="宋体" w:cs="宋体"/>
          <w:color w:val="auto"/>
          <w:sz w:val="24"/>
          <w:szCs w:val="24"/>
          <w:highlight w:val="none"/>
          <w:lang w:val="en-US" w:eastAsia="zh-CN"/>
        </w:rPr>
        <w:t>；未通过符合性审查的投标文件不得进入比较与评价</w:t>
      </w:r>
      <w:r>
        <w:rPr>
          <w:rFonts w:hint="eastAsia" w:ascii="宋体" w:hAnsi="宋体" w:eastAsia="宋体" w:cs="宋体"/>
          <w:color w:val="auto"/>
          <w:sz w:val="24"/>
          <w:szCs w:val="24"/>
          <w:highlight w:val="none"/>
        </w:rPr>
        <w:t>。评审因素包括投标报价、商务技术以及落实政府采购政策。评审因素及标准见本章</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四、</w:t>
      </w:r>
      <w:r>
        <w:rPr>
          <w:rFonts w:hint="eastAsia" w:ascii="宋体" w:hAnsi="宋体" w:eastAsia="宋体" w:cs="宋体"/>
          <w:color w:val="auto"/>
          <w:sz w:val="24"/>
          <w:szCs w:val="24"/>
          <w:highlight w:val="none"/>
        </w:rPr>
        <w:t>评</w:t>
      </w:r>
      <w:r>
        <w:rPr>
          <w:rFonts w:hint="eastAsia" w:ascii="宋体" w:hAnsi="宋体" w:eastAsia="宋体" w:cs="宋体"/>
          <w:color w:val="auto"/>
          <w:sz w:val="24"/>
          <w:szCs w:val="24"/>
          <w:highlight w:val="none"/>
          <w:lang w:val="en-US" w:eastAsia="zh-CN"/>
        </w:rPr>
        <w:t>标</w:t>
      </w:r>
      <w:r>
        <w:rPr>
          <w:rFonts w:hint="eastAsia" w:ascii="宋体" w:hAnsi="宋体" w:eastAsia="宋体" w:cs="宋体"/>
          <w:color w:val="auto"/>
          <w:sz w:val="24"/>
          <w:szCs w:val="24"/>
          <w:highlight w:val="none"/>
        </w:rPr>
        <w:t>标准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p>
    <w:p w14:paraId="635A5086">
      <w:pPr>
        <w:pStyle w:val="40"/>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10.相同品牌处理原则</w:t>
      </w:r>
    </w:p>
    <w:p w14:paraId="7EDACD8A">
      <w:pPr>
        <w:pStyle w:val="40"/>
        <w:keepNext w:val="0"/>
        <w:keepLines w:val="0"/>
        <w:pageBreakBefore w:val="0"/>
        <w:widowControl w:val="0"/>
        <w:kinsoku/>
        <w:overflowPunct/>
        <w:topLinePunct w:val="0"/>
        <w:autoSpaceDE/>
        <w:autoSpaceDN/>
        <w:bidi w:val="0"/>
        <w:adjustRightInd/>
        <w:snapToGrid/>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.1单一产品采购（或非单一产品采购中的核心产品），提供相同品牌产品且通过资格审查、符合性审查的不同投标人参加同一合同项下投标的，按一家投标人计算。</w:t>
      </w:r>
    </w:p>
    <w:p w14:paraId="6B4B1667">
      <w:pPr>
        <w:pStyle w:val="40"/>
        <w:keepNext w:val="0"/>
        <w:keepLines w:val="0"/>
        <w:pageBreakBefore w:val="0"/>
        <w:widowControl w:val="0"/>
        <w:kinsoku/>
        <w:overflowPunct/>
        <w:topLinePunct w:val="0"/>
        <w:autoSpaceDE/>
        <w:autoSpaceDN/>
        <w:bidi w:val="0"/>
        <w:adjustRightInd/>
        <w:snapToGrid/>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.2非单一产品采购项目，采购人应当根据采购项目技术构成、产品价格比重等合理确定</w:t>
      </w:r>
      <w:r>
        <w:rPr>
          <w:rFonts w:hint="eastAsia" w:ascii="宋体" w:hAnsi="宋体" w:eastAsia="宋体" w:cs="宋体"/>
          <w:color w:val="auto"/>
          <w:sz w:val="24"/>
          <w:szCs w:val="24"/>
          <w:highlight w:val="none"/>
          <w:lang w:eastAsia="zh-CN"/>
        </w:rPr>
        <w:t>核心产品</w:t>
      </w:r>
      <w:r>
        <w:rPr>
          <w:rFonts w:hint="eastAsia" w:ascii="宋体" w:hAnsi="宋体" w:eastAsia="宋体" w:cs="宋体"/>
          <w:color w:val="auto"/>
          <w:sz w:val="24"/>
          <w:szCs w:val="24"/>
          <w:highlight w:val="none"/>
        </w:rPr>
        <w:t>（采购清单中作“与核心产品相同〈或同一〉品牌”实质性要求的产品，视为</w:t>
      </w:r>
      <w:r>
        <w:rPr>
          <w:rFonts w:hint="eastAsia" w:ascii="宋体" w:hAnsi="宋体" w:eastAsia="宋体" w:cs="宋体"/>
          <w:color w:val="auto"/>
          <w:sz w:val="24"/>
          <w:szCs w:val="24"/>
          <w:highlight w:val="none"/>
          <w:lang w:eastAsia="zh-CN"/>
        </w:rPr>
        <w:t>核心产品</w:t>
      </w:r>
      <w:r>
        <w:rPr>
          <w:rFonts w:hint="eastAsia" w:ascii="宋体" w:hAnsi="宋体" w:eastAsia="宋体" w:cs="宋体"/>
          <w:color w:val="auto"/>
          <w:sz w:val="24"/>
          <w:szCs w:val="24"/>
          <w:highlight w:val="none"/>
        </w:rPr>
        <w:t>），并以“核心产品”在“投标人须知前附表”中载明，评审时按前款规定处理。</w:t>
      </w:r>
    </w:p>
    <w:p w14:paraId="384D833B">
      <w:pPr>
        <w:pStyle w:val="40"/>
        <w:keepNext w:val="0"/>
        <w:keepLines w:val="0"/>
        <w:pageBreakBefore w:val="0"/>
        <w:widowControl w:val="0"/>
        <w:kinsoku/>
        <w:overflowPunct/>
        <w:topLinePunct w:val="0"/>
        <w:autoSpaceDE/>
        <w:autoSpaceDN/>
        <w:bidi w:val="0"/>
        <w:adjustRightInd/>
        <w:snapToGrid/>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.3有效投标品牌不足3家的应按</w:t>
      </w:r>
      <w:r>
        <w:rPr>
          <w:rFonts w:hint="eastAsia" w:ascii="宋体" w:hAnsi="宋体" w:eastAsia="宋体" w:cs="宋体"/>
          <w:b/>
          <w:bCs/>
          <w:color w:val="auto"/>
          <w:sz w:val="24"/>
          <w:szCs w:val="24"/>
          <w:highlight w:val="none"/>
        </w:rPr>
        <w:t>废标</w:t>
      </w:r>
      <w:r>
        <w:rPr>
          <w:rFonts w:hint="eastAsia" w:ascii="宋体" w:hAnsi="宋体" w:eastAsia="宋体" w:cs="宋体"/>
          <w:color w:val="auto"/>
          <w:sz w:val="24"/>
          <w:szCs w:val="24"/>
          <w:highlight w:val="none"/>
        </w:rPr>
        <w:t>处理。</w:t>
      </w:r>
    </w:p>
    <w:p w14:paraId="7C54BD9F">
      <w:pPr>
        <w:pStyle w:val="4"/>
        <w:keepNext/>
        <w:keepLines/>
        <w:pageBreakBefore w:val="0"/>
        <w:widowControl w:val="0"/>
        <w:numPr>
          <w:ilvl w:val="0"/>
          <w:numId w:val="0"/>
        </w:numPr>
        <w:kinsoku/>
        <w:wordWrap/>
        <w:overflowPunct/>
        <w:topLinePunct w:val="0"/>
        <w:autoSpaceDE/>
        <w:autoSpaceDN/>
        <w:bidi w:val="0"/>
        <w:adjustRightInd/>
        <w:snapToGrid/>
        <w:spacing w:before="160" w:after="160" w:line="360" w:lineRule="auto"/>
        <w:ind w:left="420" w:leftChars="0" w:hanging="420" w:firstLineChars="0"/>
        <w:textAlignment w:val="auto"/>
        <w:rPr>
          <w:rFonts w:hint="eastAsia" w:ascii="宋体" w:hAnsi="宋体" w:eastAsia="宋体" w:cs="宋体"/>
          <w:b/>
          <w:bCs/>
          <w:color w:val="auto"/>
          <w:kern w:val="2"/>
          <w:sz w:val="24"/>
          <w:szCs w:val="24"/>
          <w:highlight w:val="none"/>
          <w:lang w:val="zh-CN" w:eastAsia="zh-CN" w:bidi="ar-SA"/>
        </w:rPr>
      </w:pPr>
      <w:bookmarkStart w:id="535" w:name="_Toc22424"/>
      <w:bookmarkStart w:id="536" w:name="_Toc14352"/>
      <w:r>
        <w:rPr>
          <w:rFonts w:hint="eastAsia" w:ascii="宋体" w:hAnsi="宋体" w:eastAsia="宋体" w:cs="宋体"/>
          <w:b/>
          <w:bCs/>
          <w:color w:val="auto"/>
          <w:kern w:val="2"/>
          <w:sz w:val="24"/>
          <w:szCs w:val="24"/>
          <w:highlight w:val="none"/>
          <w:lang w:val="zh-CN" w:eastAsia="zh-CN" w:bidi="ar-SA"/>
        </w:rPr>
        <w:t>（</w:t>
      </w:r>
      <w:r>
        <w:rPr>
          <w:rFonts w:hint="eastAsia" w:ascii="宋体" w:hAnsi="宋体" w:eastAsia="宋体" w:cs="宋体"/>
          <w:b/>
          <w:bCs/>
          <w:color w:val="auto"/>
          <w:kern w:val="2"/>
          <w:sz w:val="24"/>
          <w:szCs w:val="24"/>
          <w:highlight w:val="none"/>
          <w:lang w:val="en-US" w:eastAsia="zh-CN" w:bidi="ar-SA"/>
        </w:rPr>
        <w:t>四</w:t>
      </w:r>
      <w:r>
        <w:rPr>
          <w:rFonts w:hint="eastAsia" w:ascii="宋体" w:hAnsi="宋体" w:eastAsia="宋体" w:cs="宋体"/>
          <w:b/>
          <w:bCs/>
          <w:color w:val="auto"/>
          <w:kern w:val="2"/>
          <w:sz w:val="24"/>
          <w:szCs w:val="24"/>
          <w:highlight w:val="none"/>
          <w:lang w:val="zh-CN" w:eastAsia="zh-CN" w:bidi="ar-SA"/>
        </w:rPr>
        <w:t>）报价评审</w:t>
      </w:r>
      <w:bookmarkEnd w:id="535"/>
      <w:bookmarkEnd w:id="536"/>
    </w:p>
    <w:p w14:paraId="21874171">
      <w:pPr>
        <w:pStyle w:val="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11.</w:t>
      </w:r>
      <w:r>
        <w:rPr>
          <w:rFonts w:hint="eastAsia" w:ascii="宋体" w:hAnsi="宋体" w:eastAsia="宋体" w:cs="宋体"/>
          <w:color w:val="auto"/>
          <w:sz w:val="24"/>
          <w:szCs w:val="24"/>
          <w:highlight w:val="none"/>
        </w:rPr>
        <w:t>投标报价评审</w:t>
      </w:r>
    </w:p>
    <w:p w14:paraId="266BD854">
      <w:pPr>
        <w:pStyle w:val="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11.</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货物项目的价格分值占总分值的比重不得低于30%。执行国家统一定价标准和采用固定价格采购的项目，其价格不列为评审因素。</w:t>
      </w:r>
      <w:r>
        <w:rPr>
          <w:rFonts w:hint="eastAsia" w:ascii="宋体" w:hAnsi="宋体" w:eastAsia="宋体" w:cs="宋体"/>
          <w:color w:val="auto"/>
          <w:sz w:val="24"/>
          <w:szCs w:val="24"/>
          <w:highlight w:val="none"/>
        </w:rPr>
        <w:t>价格分应当采用低价优先法计算，即满足招标文件要求且投标价格最低的投标报价为评标基准价，其价格分为满分。其他投标人的价格分统一按照下列公式计算：</w:t>
      </w:r>
    </w:p>
    <w:p w14:paraId="2D86B7AD">
      <w:pPr>
        <w:pStyle w:val="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投标报价得分=(评标基准价／投标报价)×价格分值</w:t>
      </w:r>
    </w:p>
    <w:p w14:paraId="0CCB2E48">
      <w:pPr>
        <w:pStyle w:val="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评标过程中，不得去掉报价中的最高报价和最低报价。</w:t>
      </w:r>
    </w:p>
    <w:p w14:paraId="14E623B0">
      <w:pPr>
        <w:pStyle w:val="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11.</w:t>
      </w:r>
      <w:r>
        <w:rPr>
          <w:rFonts w:hint="eastAsia" w:ascii="宋体" w:hAnsi="宋体" w:eastAsia="宋体" w:cs="宋体"/>
          <w:color w:val="auto"/>
          <w:sz w:val="24"/>
          <w:szCs w:val="24"/>
          <w:highlight w:val="none"/>
        </w:rPr>
        <w:t>2</w:t>
      </w:r>
      <w:r>
        <w:rPr>
          <w:rFonts w:hint="eastAsia" w:ascii="宋体" w:hAnsi="宋体" w:eastAsia="宋体" w:cs="宋体"/>
          <w:iCs/>
          <w:color w:val="auto"/>
          <w:spacing w:val="-6"/>
          <w:sz w:val="24"/>
          <w:szCs w:val="24"/>
          <w:highlight w:val="none"/>
        </w:rPr>
        <w:t>除算术修正和落实政府采购政策的价格扣除外，不对投标报价进行调整；</w:t>
      </w:r>
    </w:p>
    <w:p w14:paraId="6DDDADCE">
      <w:pPr>
        <w:pStyle w:val="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11.</w:t>
      </w:r>
      <w:r>
        <w:rPr>
          <w:rFonts w:hint="eastAsia" w:ascii="宋体" w:hAnsi="宋体" w:eastAsia="宋体" w:cs="宋体"/>
          <w:color w:val="auto"/>
          <w:sz w:val="24"/>
          <w:szCs w:val="24"/>
          <w:highlight w:val="none"/>
        </w:rPr>
        <w:t>3价格</w:t>
      </w:r>
      <w:r>
        <w:rPr>
          <w:rFonts w:hint="eastAsia" w:ascii="宋体" w:hAnsi="宋体" w:eastAsia="宋体" w:cs="宋体"/>
          <w:color w:val="auto"/>
          <w:sz w:val="24"/>
          <w:szCs w:val="24"/>
          <w:highlight w:val="none"/>
          <w:lang w:eastAsia="zh-CN"/>
        </w:rPr>
        <w:t>分值</w:t>
      </w:r>
      <w:r>
        <w:rPr>
          <w:rFonts w:hint="eastAsia" w:ascii="宋体" w:hAnsi="宋体" w:eastAsia="宋体" w:cs="宋体"/>
          <w:color w:val="auto"/>
          <w:sz w:val="24"/>
          <w:szCs w:val="24"/>
          <w:highlight w:val="none"/>
        </w:rPr>
        <w:t>见本章</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四、</w:t>
      </w:r>
      <w:r>
        <w:rPr>
          <w:rFonts w:hint="eastAsia" w:ascii="宋体" w:hAnsi="宋体" w:eastAsia="宋体" w:cs="宋体"/>
          <w:color w:val="auto"/>
          <w:sz w:val="24"/>
          <w:szCs w:val="24"/>
          <w:highlight w:val="none"/>
        </w:rPr>
        <w:t>评</w:t>
      </w:r>
      <w:r>
        <w:rPr>
          <w:rFonts w:hint="eastAsia" w:ascii="宋体" w:hAnsi="宋体" w:eastAsia="宋体" w:cs="宋体"/>
          <w:color w:val="auto"/>
          <w:sz w:val="24"/>
          <w:szCs w:val="24"/>
          <w:highlight w:val="none"/>
          <w:lang w:val="en-US" w:eastAsia="zh-CN"/>
        </w:rPr>
        <w:t>标</w:t>
      </w:r>
      <w:r>
        <w:rPr>
          <w:rFonts w:hint="eastAsia" w:ascii="宋体" w:hAnsi="宋体" w:eastAsia="宋体" w:cs="宋体"/>
          <w:color w:val="auto"/>
          <w:sz w:val="24"/>
          <w:szCs w:val="24"/>
          <w:highlight w:val="none"/>
        </w:rPr>
        <w:t>标准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p>
    <w:p w14:paraId="30866637">
      <w:pPr>
        <w:pStyle w:val="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.政府采购政策评审</w:t>
      </w:r>
    </w:p>
    <w:p w14:paraId="7D57744F">
      <w:pPr>
        <w:pStyle w:val="40"/>
        <w:numPr>
          <w:ilvl w:val="0"/>
          <w:numId w:val="0"/>
        </w:numPr>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.1非专门面向中小企业的采购项目或采购包，对符合规定的小微企业（</w:t>
      </w:r>
      <w:r>
        <w:rPr>
          <w:rFonts w:hint="eastAsia" w:ascii="宋体" w:hAnsi="宋体" w:eastAsia="宋体" w:cs="宋体"/>
          <w:color w:val="auto"/>
          <w:sz w:val="24"/>
          <w:szCs w:val="24"/>
          <w:highlight w:val="none"/>
          <w:lang w:val="en-US" w:eastAsia="zh-CN"/>
        </w:rPr>
        <w:t>含</w:t>
      </w:r>
      <w:r>
        <w:rPr>
          <w:rFonts w:hint="eastAsia" w:ascii="宋体" w:hAnsi="宋体" w:eastAsia="宋体" w:cs="宋体"/>
          <w:color w:val="auto"/>
          <w:sz w:val="24"/>
          <w:szCs w:val="24"/>
          <w:highlight w:val="none"/>
        </w:rPr>
        <w:t>监狱企业、残疾人福利性单位、联合体各方均为小微企业的联合体、符合小微企业划分标准的个体工商户视同小微企业）报价按照本招标文件</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投标人须知前附表”中的规定扣除，对小微企业中的监狱企业、残疾人福利性单位、采购产品纳入创新产品应用示范推荐目录内企业、采购产品获得节能产品或环境标志产品认证证书的企业报价按照本</w:t>
      </w:r>
      <w:r>
        <w:rPr>
          <w:rFonts w:hint="eastAsia" w:ascii="宋体" w:hAnsi="宋体" w:eastAsia="宋体" w:cs="宋体"/>
          <w:color w:val="auto"/>
          <w:sz w:val="24"/>
          <w:szCs w:val="24"/>
          <w:highlight w:val="none"/>
          <w:lang w:val="en-US" w:eastAsia="zh-CN"/>
        </w:rPr>
        <w:t>招标</w:t>
      </w:r>
      <w:r>
        <w:rPr>
          <w:rFonts w:hint="eastAsia" w:ascii="宋体" w:hAnsi="宋体" w:eastAsia="宋体" w:cs="宋体"/>
          <w:color w:val="auto"/>
          <w:sz w:val="24"/>
          <w:szCs w:val="24"/>
          <w:highlight w:val="none"/>
        </w:rPr>
        <w:t>文件</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投标人</w:t>
      </w:r>
      <w:r>
        <w:rPr>
          <w:rFonts w:hint="eastAsia" w:ascii="宋体" w:hAnsi="宋体" w:eastAsia="宋体" w:cs="宋体"/>
          <w:color w:val="auto"/>
          <w:sz w:val="24"/>
          <w:szCs w:val="24"/>
          <w:highlight w:val="none"/>
        </w:rPr>
        <w:t>须知前附表”中的规定扣除，用扣除后的价格计算评审基准价</w:t>
      </w:r>
      <w:r>
        <w:rPr>
          <w:rFonts w:hint="eastAsia" w:ascii="宋体" w:hAnsi="宋体" w:eastAsia="宋体" w:cs="宋体"/>
          <w:color w:val="auto"/>
          <w:sz w:val="24"/>
          <w:szCs w:val="24"/>
          <w:highlight w:val="none"/>
          <w:lang w:eastAsia="zh-CN"/>
        </w:rPr>
        <w:t>。</w:t>
      </w:r>
    </w:p>
    <w:p w14:paraId="1E5F4E03">
      <w:pPr>
        <w:pStyle w:val="40"/>
        <w:numPr>
          <w:ilvl w:val="0"/>
          <w:numId w:val="0"/>
        </w:numPr>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lang w:val="zh-CN" w:eastAsia="zh-CN"/>
        </w:rPr>
        <w:t>2</w:t>
      </w:r>
      <w:r>
        <w:rPr>
          <w:rFonts w:hint="eastAsia" w:ascii="宋体" w:hAnsi="宋体" w:eastAsia="宋体" w:cs="宋体"/>
          <w:color w:val="auto"/>
          <w:sz w:val="24"/>
          <w:szCs w:val="24"/>
          <w:highlight w:val="none"/>
        </w:rPr>
        <w:t>参加政府采购活动的小微企业（含节能环保、创新产品企业）未提供“中小企业声明函”的；监狱企业未提供“监狱企业证明文件”的；残疾人福利性单位未提供“残疾人福利性单位声明函”的；不得享受相应的价格扣除优惠。组成联合体或者接受分包的小微企业与联合体内其他企业、分包企业之间存在直接控股、管理关系的，不得享受价格扣除优惠。</w:t>
      </w:r>
      <w:r>
        <w:rPr>
          <w:rFonts w:hint="eastAsia" w:ascii="宋体" w:hAnsi="宋体" w:eastAsia="宋体" w:cs="宋体"/>
          <w:color w:val="auto"/>
          <w:sz w:val="24"/>
          <w:szCs w:val="24"/>
          <w:highlight w:val="none"/>
          <w:lang w:val="en-US" w:eastAsia="zh-CN"/>
        </w:rPr>
        <w:t>若供应商同时属于小型或微型企业、监狱企业、残疾人福利性单位 中的两种及以上，将不重复享受小微企业价格扣减的优惠政策。</w:t>
      </w:r>
    </w:p>
    <w:p w14:paraId="1A495953">
      <w:pPr>
        <w:pStyle w:val="40"/>
        <w:numPr>
          <w:ilvl w:val="0"/>
          <w:numId w:val="0"/>
        </w:numPr>
        <w:shd w:val="clear" w:color="auto" w:fill="FFFFFF" w:themeFill="background1"/>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组成联合体或者接受分包的小微企业与联合体内其他企业、分包企业之间存在直接控股、管理关系的，不享受价格扣除优惠政策。</w:t>
      </w:r>
    </w:p>
    <w:p w14:paraId="74F2F1A2">
      <w:pPr>
        <w:pStyle w:val="40"/>
        <w:numPr>
          <w:ilvl w:val="0"/>
          <w:numId w:val="0"/>
        </w:numPr>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highlight w:val="none"/>
          <w:lang w:val="en-US" w:eastAsia="zh-CN" w:bidi="ar-SA"/>
        </w:rPr>
        <w:t>价格扣除比例对小型企业和微型企业同等对待，不作区分。</w:t>
      </w:r>
    </w:p>
    <w:p w14:paraId="71DD10A8">
      <w:pPr>
        <w:pStyle w:val="40"/>
        <w:rPr>
          <w:rFonts w:hint="eastAsia" w:ascii="宋体" w:hAnsi="宋体" w:eastAsia="宋体" w:cs="宋体"/>
          <w:color w:val="auto"/>
          <w:sz w:val="24"/>
          <w:szCs w:val="24"/>
          <w:highlight w:val="none"/>
        </w:rPr>
      </w:pPr>
      <w:r>
        <w:rPr>
          <w:rFonts w:hint="eastAsia" w:ascii="宋体" w:hAnsi="宋体" w:eastAsia="宋体" w:cs="宋体"/>
          <w:iCs/>
          <w:color w:val="auto"/>
          <w:kern w:val="2"/>
          <w:sz w:val="24"/>
          <w:szCs w:val="24"/>
          <w:highlight w:val="none"/>
          <w:shd w:val="clear" w:fill="FFFFFF" w:themeFill="background1"/>
          <w:lang w:val="en-US" w:eastAsia="zh-CN" w:bidi="ar-SA"/>
        </w:rPr>
        <w:t>12.</w:t>
      </w:r>
      <w:r>
        <w:rPr>
          <w:rFonts w:hint="eastAsia" w:ascii="宋体" w:hAnsi="宋体" w:eastAsia="宋体" w:cs="宋体"/>
          <w:iCs/>
          <w:color w:val="auto"/>
          <w:kern w:val="2"/>
          <w:sz w:val="24"/>
          <w:szCs w:val="24"/>
          <w:highlight w:val="none"/>
          <w:shd w:val="clear" w:fill="FFFFFF" w:themeFill="background1"/>
          <w:lang w:val="zh-CN" w:eastAsia="zh-CN" w:bidi="ar-SA"/>
        </w:rPr>
        <w:t>3</w:t>
      </w:r>
      <w:r>
        <w:rPr>
          <w:rFonts w:hint="eastAsia" w:ascii="宋体" w:hAnsi="宋体" w:eastAsia="宋体" w:cs="宋体"/>
          <w:color w:val="auto"/>
          <w:sz w:val="24"/>
          <w:szCs w:val="24"/>
          <w:highlight w:val="none"/>
        </w:rPr>
        <w:t>专门面向中小企业、预留部分采购份额面向中小企业采购的项目或采购包，评审时不再进行价格扣除。</w:t>
      </w:r>
    </w:p>
    <w:p w14:paraId="3874ED83">
      <w:pPr>
        <w:pStyle w:val="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12.4</w:t>
      </w:r>
      <w:r>
        <w:rPr>
          <w:rFonts w:hint="eastAsia" w:ascii="宋体" w:hAnsi="宋体" w:eastAsia="宋体" w:cs="宋体"/>
          <w:color w:val="auto"/>
          <w:sz w:val="24"/>
          <w:szCs w:val="24"/>
          <w:highlight w:val="none"/>
        </w:rPr>
        <w:t>对于未预留份额专门面向中小企业的政府采购项目，以及预留份额政府采购项目中的非预留部分标项，对小型和微型企业的投标报价给予10%-20%的扣除，用扣除后的价格参与评审。接受大中型企业与小微企业组成联合体或者允许大中型企业向一家或者多家小微企业分包的政府采购项目，对于联合</w:t>
      </w:r>
      <w:r>
        <w:rPr>
          <w:rFonts w:hint="eastAsia" w:ascii="宋体" w:hAnsi="宋体" w:eastAsia="宋体" w:cs="宋体"/>
          <w:color w:val="auto"/>
          <w:sz w:val="24"/>
          <w:szCs w:val="24"/>
          <w:highlight w:val="none"/>
          <w:lang w:val="en-US" w:eastAsia="zh-CN"/>
        </w:rPr>
        <w:t>体</w:t>
      </w:r>
      <w:r>
        <w:rPr>
          <w:rFonts w:hint="eastAsia" w:ascii="宋体" w:hAnsi="宋体" w:eastAsia="宋体" w:cs="宋体"/>
          <w:color w:val="auto"/>
          <w:sz w:val="24"/>
          <w:szCs w:val="24"/>
          <w:highlight w:val="none"/>
        </w:rPr>
        <w:t>协议</w:t>
      </w:r>
      <w:r>
        <w:rPr>
          <w:rFonts w:hint="eastAsia" w:ascii="宋体" w:hAnsi="宋体" w:eastAsia="宋体" w:cs="宋体"/>
          <w:color w:val="auto"/>
          <w:sz w:val="24"/>
          <w:szCs w:val="24"/>
          <w:highlight w:val="none"/>
          <w:lang w:val="en-US" w:eastAsia="zh-CN"/>
        </w:rPr>
        <w:t>书</w:t>
      </w:r>
      <w:r>
        <w:rPr>
          <w:rFonts w:hint="eastAsia" w:ascii="宋体" w:hAnsi="宋体" w:eastAsia="宋体" w:cs="宋体"/>
          <w:color w:val="auto"/>
          <w:sz w:val="24"/>
          <w:szCs w:val="24"/>
          <w:highlight w:val="none"/>
        </w:rPr>
        <w:t>或者分包意向协议</w:t>
      </w:r>
      <w:r>
        <w:rPr>
          <w:rFonts w:hint="eastAsia" w:ascii="宋体" w:hAnsi="宋体" w:eastAsia="宋体" w:cs="宋体"/>
          <w:color w:val="auto"/>
          <w:sz w:val="24"/>
          <w:szCs w:val="24"/>
          <w:highlight w:val="none"/>
          <w:lang w:val="en-US" w:eastAsia="zh-CN"/>
        </w:rPr>
        <w:t>书</w:t>
      </w:r>
      <w:r>
        <w:rPr>
          <w:rFonts w:hint="eastAsia" w:ascii="宋体" w:hAnsi="宋体" w:eastAsia="宋体" w:cs="宋体"/>
          <w:color w:val="auto"/>
          <w:sz w:val="24"/>
          <w:szCs w:val="24"/>
          <w:highlight w:val="none"/>
        </w:rPr>
        <w:t>约定小微企业的合同份额占到合同总金额</w:t>
      </w:r>
      <w:r>
        <w:rPr>
          <w:rFonts w:hint="eastAsia" w:cs="宋体"/>
          <w:color w:val="auto"/>
          <w:sz w:val="24"/>
          <w:szCs w:val="24"/>
          <w:highlight w:val="none"/>
          <w:lang w:val="en-US" w:eastAsia="zh-CN"/>
        </w:rPr>
        <w:t>3</w:t>
      </w:r>
      <w:r>
        <w:rPr>
          <w:rFonts w:hint="eastAsia" w:ascii="宋体" w:hAnsi="宋体" w:eastAsia="宋体" w:cs="宋体"/>
          <w:color w:val="auto"/>
          <w:sz w:val="24"/>
          <w:szCs w:val="24"/>
          <w:highlight w:val="none"/>
        </w:rPr>
        <w:t>0%以上的，对联合体或者大中型企业的报价给予4%-6%的扣除，用扣除后的价格参加评审。组成联合体或者接受分包的小微企业与联合体内其他企业、分包企业之间存在直接控股、管理关系的，不享受价格扣除优惠政策。</w:t>
      </w:r>
    </w:p>
    <w:p w14:paraId="548FFFDB">
      <w:pPr>
        <w:pStyle w:val="4"/>
        <w:keepNext/>
        <w:keepLines/>
        <w:pageBreakBefore w:val="0"/>
        <w:widowControl w:val="0"/>
        <w:numPr>
          <w:ilvl w:val="0"/>
          <w:numId w:val="0"/>
        </w:numPr>
        <w:kinsoku/>
        <w:wordWrap/>
        <w:overflowPunct/>
        <w:topLinePunct w:val="0"/>
        <w:autoSpaceDE/>
        <w:autoSpaceDN/>
        <w:bidi w:val="0"/>
        <w:adjustRightInd/>
        <w:snapToGrid/>
        <w:spacing w:before="160" w:after="160" w:line="360" w:lineRule="auto"/>
        <w:ind w:left="420" w:leftChars="0" w:hanging="420" w:firstLineChars="0"/>
        <w:textAlignment w:val="auto"/>
        <w:rPr>
          <w:rFonts w:hint="eastAsia" w:ascii="宋体" w:hAnsi="宋体" w:eastAsia="宋体" w:cs="宋体"/>
          <w:b/>
          <w:bCs/>
          <w:color w:val="auto"/>
          <w:kern w:val="2"/>
          <w:sz w:val="24"/>
          <w:szCs w:val="24"/>
          <w:highlight w:val="none"/>
          <w:lang w:val="zh-CN" w:eastAsia="zh-CN" w:bidi="ar-SA"/>
        </w:rPr>
      </w:pPr>
      <w:bookmarkStart w:id="537" w:name="_Toc3883"/>
      <w:bookmarkStart w:id="538" w:name="_Toc23703"/>
      <w:r>
        <w:rPr>
          <w:rFonts w:hint="eastAsia" w:ascii="宋体" w:hAnsi="宋体" w:eastAsia="宋体" w:cs="宋体"/>
          <w:b/>
          <w:bCs/>
          <w:color w:val="auto"/>
          <w:kern w:val="2"/>
          <w:sz w:val="24"/>
          <w:szCs w:val="24"/>
          <w:highlight w:val="none"/>
          <w:lang w:val="zh-CN" w:eastAsia="zh-CN" w:bidi="ar-SA"/>
        </w:rPr>
        <w:t>（</w:t>
      </w:r>
      <w:r>
        <w:rPr>
          <w:rFonts w:hint="eastAsia" w:ascii="宋体" w:hAnsi="宋体" w:eastAsia="宋体" w:cs="宋体"/>
          <w:b/>
          <w:bCs/>
          <w:color w:val="auto"/>
          <w:kern w:val="2"/>
          <w:sz w:val="24"/>
          <w:szCs w:val="24"/>
          <w:highlight w:val="none"/>
          <w:lang w:val="en-US" w:eastAsia="zh-CN" w:bidi="ar-SA"/>
        </w:rPr>
        <w:t>五</w:t>
      </w:r>
      <w:r>
        <w:rPr>
          <w:rFonts w:hint="eastAsia" w:ascii="宋体" w:hAnsi="宋体" w:eastAsia="宋体" w:cs="宋体"/>
          <w:b/>
          <w:bCs/>
          <w:color w:val="auto"/>
          <w:kern w:val="2"/>
          <w:sz w:val="24"/>
          <w:szCs w:val="24"/>
          <w:highlight w:val="none"/>
          <w:lang w:val="zh-CN" w:eastAsia="zh-CN" w:bidi="ar-SA"/>
        </w:rPr>
        <w:t>）评标得分及复核</w:t>
      </w:r>
      <w:bookmarkEnd w:id="537"/>
      <w:bookmarkEnd w:id="538"/>
    </w:p>
    <w:p w14:paraId="073A56A5">
      <w:pPr>
        <w:pStyle w:val="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13.</w:t>
      </w:r>
      <w:r>
        <w:rPr>
          <w:rFonts w:hint="eastAsia" w:ascii="宋体" w:hAnsi="宋体" w:eastAsia="宋体" w:cs="宋体"/>
          <w:color w:val="auto"/>
          <w:sz w:val="24"/>
          <w:szCs w:val="24"/>
          <w:highlight w:val="none"/>
        </w:rPr>
        <w:t>评标过程中，各项分值一般精确到小数点后两位，评标得分应为商务评分、技术评分、报价评分之和。评标委员会各成员应汇总每个投标人的得分。</w:t>
      </w:r>
    </w:p>
    <w:p w14:paraId="0BE80DC7">
      <w:pPr>
        <w:pStyle w:val="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14.</w:t>
      </w:r>
      <w:r>
        <w:rPr>
          <w:rFonts w:hint="eastAsia" w:ascii="宋体" w:hAnsi="宋体" w:eastAsia="宋体" w:cs="宋体"/>
          <w:iCs/>
          <w:color w:val="auto"/>
          <w:spacing w:val="-6"/>
          <w:sz w:val="24"/>
          <w:szCs w:val="24"/>
          <w:highlight w:val="none"/>
        </w:rPr>
        <w:t>评标结果汇总完成后，采购代理机构应对评标结果进行复核。经复核发现存在以下情形之一的，评标委员会应当当场修改评标结果，并在评标报告中记载：</w:t>
      </w:r>
    </w:p>
    <w:p w14:paraId="427128F3">
      <w:pPr>
        <w:pStyle w:val="40"/>
        <w:numPr>
          <w:ilvl w:val="0"/>
          <w:numId w:val="0"/>
        </w:numPr>
        <w:ind w:left="900" w:leftChars="0" w:hanging="420" w:firstLineChars="0"/>
        <w:rPr>
          <w:rFonts w:hint="eastAsia" w:ascii="宋体" w:hAnsi="宋体" w:eastAsia="宋体" w:cs="宋体"/>
          <w:color w:val="auto"/>
          <w:sz w:val="24"/>
          <w:szCs w:val="24"/>
          <w:highlight w:val="none"/>
        </w:rPr>
      </w:pPr>
      <w:r>
        <w:rPr>
          <w:rFonts w:hint="eastAsia" w:ascii="宋体" w:hAnsi="宋体" w:eastAsia="宋体" w:cs="宋体"/>
          <w:iCs/>
          <w:color w:val="auto"/>
          <w:kern w:val="2"/>
          <w:sz w:val="24"/>
          <w:szCs w:val="24"/>
          <w:highlight w:val="none"/>
          <w:shd w:val="clear" w:fill="FFFFFF" w:themeFill="background1"/>
          <w:lang w:val="en-US" w:eastAsia="zh-CN" w:bidi="ar-SA"/>
        </w:rPr>
        <w:t>14.1</w:t>
      </w:r>
      <w:r>
        <w:rPr>
          <w:rFonts w:hint="eastAsia" w:ascii="宋体" w:hAnsi="宋体" w:eastAsia="宋体" w:cs="宋体"/>
          <w:color w:val="auto"/>
          <w:sz w:val="24"/>
          <w:szCs w:val="24"/>
          <w:highlight w:val="none"/>
        </w:rPr>
        <w:t>分值汇总计算错误的；</w:t>
      </w:r>
    </w:p>
    <w:p w14:paraId="4404F7B4">
      <w:pPr>
        <w:pStyle w:val="40"/>
        <w:numPr>
          <w:ilvl w:val="0"/>
          <w:numId w:val="0"/>
        </w:numPr>
        <w:ind w:left="900" w:leftChars="0" w:hanging="420" w:firstLineChars="0"/>
        <w:rPr>
          <w:rFonts w:hint="eastAsia" w:ascii="宋体" w:hAnsi="宋体" w:eastAsia="宋体" w:cs="宋体"/>
          <w:color w:val="auto"/>
          <w:sz w:val="24"/>
          <w:szCs w:val="24"/>
          <w:highlight w:val="none"/>
        </w:rPr>
      </w:pPr>
      <w:r>
        <w:rPr>
          <w:rFonts w:hint="eastAsia" w:ascii="宋体" w:hAnsi="宋体" w:eastAsia="宋体" w:cs="宋体"/>
          <w:iCs/>
          <w:color w:val="auto"/>
          <w:kern w:val="2"/>
          <w:sz w:val="24"/>
          <w:szCs w:val="24"/>
          <w:highlight w:val="none"/>
          <w:shd w:val="clear" w:fill="FFFFFF" w:themeFill="background1"/>
          <w:lang w:val="en-US" w:eastAsia="zh-CN" w:bidi="ar-SA"/>
        </w:rPr>
        <w:t>14.2</w:t>
      </w:r>
      <w:r>
        <w:rPr>
          <w:rFonts w:hint="eastAsia" w:ascii="宋体" w:hAnsi="宋体" w:eastAsia="宋体" w:cs="宋体"/>
          <w:color w:val="auto"/>
          <w:sz w:val="24"/>
          <w:szCs w:val="24"/>
          <w:highlight w:val="none"/>
        </w:rPr>
        <w:t>分项评分超出评分标准范围的；</w:t>
      </w:r>
    </w:p>
    <w:p w14:paraId="18150CA8">
      <w:pPr>
        <w:pStyle w:val="40"/>
        <w:numPr>
          <w:ilvl w:val="0"/>
          <w:numId w:val="0"/>
        </w:numPr>
        <w:ind w:left="900" w:leftChars="0" w:hanging="420" w:firstLineChars="0"/>
        <w:rPr>
          <w:rFonts w:hint="eastAsia" w:ascii="宋体" w:hAnsi="宋体" w:eastAsia="宋体" w:cs="宋体"/>
          <w:color w:val="auto"/>
          <w:sz w:val="24"/>
          <w:szCs w:val="24"/>
          <w:highlight w:val="none"/>
        </w:rPr>
      </w:pPr>
      <w:r>
        <w:rPr>
          <w:rFonts w:hint="eastAsia" w:ascii="宋体" w:hAnsi="宋体" w:eastAsia="宋体" w:cs="宋体"/>
          <w:iCs/>
          <w:color w:val="auto"/>
          <w:kern w:val="2"/>
          <w:sz w:val="24"/>
          <w:szCs w:val="24"/>
          <w:highlight w:val="none"/>
          <w:shd w:val="clear" w:fill="FFFFFF" w:themeFill="background1"/>
          <w:lang w:val="en-US" w:eastAsia="zh-CN" w:bidi="ar-SA"/>
        </w:rPr>
        <w:t>14.3</w:t>
      </w:r>
      <w:r>
        <w:rPr>
          <w:rFonts w:hint="eastAsia" w:ascii="宋体" w:hAnsi="宋体" w:eastAsia="宋体" w:cs="宋体"/>
          <w:color w:val="auto"/>
          <w:sz w:val="24"/>
          <w:szCs w:val="24"/>
          <w:highlight w:val="none"/>
        </w:rPr>
        <w:t>评标委员会成员对客观评审因素评分不一致的；</w:t>
      </w:r>
    </w:p>
    <w:p w14:paraId="6BFAB3DA">
      <w:pPr>
        <w:pStyle w:val="40"/>
        <w:numPr>
          <w:ilvl w:val="0"/>
          <w:numId w:val="0"/>
        </w:numPr>
        <w:ind w:left="900" w:leftChars="0" w:hanging="420" w:firstLineChars="0"/>
        <w:rPr>
          <w:rFonts w:hint="eastAsia" w:ascii="宋体" w:hAnsi="宋体" w:eastAsia="宋体" w:cs="宋体"/>
          <w:color w:val="auto"/>
          <w:sz w:val="24"/>
          <w:szCs w:val="24"/>
          <w:highlight w:val="none"/>
        </w:rPr>
      </w:pPr>
      <w:r>
        <w:rPr>
          <w:rFonts w:hint="eastAsia" w:ascii="宋体" w:hAnsi="宋体" w:eastAsia="宋体" w:cs="宋体"/>
          <w:iCs/>
          <w:color w:val="auto"/>
          <w:kern w:val="2"/>
          <w:sz w:val="24"/>
          <w:szCs w:val="24"/>
          <w:highlight w:val="none"/>
          <w:shd w:val="clear" w:fill="FFFFFF" w:themeFill="background1"/>
          <w:lang w:val="en-US" w:eastAsia="zh-CN" w:bidi="ar-SA"/>
        </w:rPr>
        <w:t>14.4</w:t>
      </w:r>
      <w:r>
        <w:rPr>
          <w:rFonts w:hint="eastAsia" w:ascii="宋体" w:hAnsi="宋体" w:eastAsia="宋体" w:cs="宋体"/>
          <w:color w:val="auto"/>
          <w:sz w:val="24"/>
          <w:szCs w:val="24"/>
          <w:highlight w:val="none"/>
        </w:rPr>
        <w:t>经评标委员会认定评分畸高、畸低的。</w:t>
      </w:r>
    </w:p>
    <w:p w14:paraId="0FD26D1C">
      <w:pPr>
        <w:pStyle w:val="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15.</w:t>
      </w:r>
      <w:r>
        <w:rPr>
          <w:rFonts w:hint="eastAsia" w:ascii="宋体" w:hAnsi="宋体" w:eastAsia="宋体" w:cs="宋体"/>
          <w:color w:val="auto"/>
          <w:sz w:val="24"/>
          <w:szCs w:val="24"/>
          <w:highlight w:val="none"/>
        </w:rPr>
        <w:t>各投标人的最终得分为评标委员会所有成员对各投标人评标得分汇总后的算术平均值。</w:t>
      </w:r>
    </w:p>
    <w:p w14:paraId="1FD846A7">
      <w:pPr>
        <w:pStyle w:val="4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15.1除资格性检查认定错误、分值汇总计算错误、分项评分超出评分标准范围、客观分评分不一致、经评标委员会一致认定评分畸高、畸低的情形外，采购人或者采购代理机构不得以任何理由组织重新评审。采购人、采购代理机构发现评标委员会未按照招标文件规定的评审标准进行评审的，应当重新开展采购活动，并同时书面报告本级财政部门。</w:t>
      </w:r>
    </w:p>
    <w:p w14:paraId="125C5D08">
      <w:pPr>
        <w:pStyle w:val="4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15.2采购人或者采购代理机构不得通过对样品进行检测、对投标人进行考察等方式改变评审结果。</w:t>
      </w:r>
    </w:p>
    <w:p w14:paraId="5AB9E04E">
      <w:pPr>
        <w:pStyle w:val="4"/>
        <w:keepNext/>
        <w:keepLines/>
        <w:pageBreakBefore w:val="0"/>
        <w:widowControl w:val="0"/>
        <w:numPr>
          <w:ilvl w:val="0"/>
          <w:numId w:val="0"/>
        </w:numPr>
        <w:kinsoku/>
        <w:wordWrap/>
        <w:overflowPunct/>
        <w:topLinePunct w:val="0"/>
        <w:autoSpaceDE/>
        <w:autoSpaceDN/>
        <w:bidi w:val="0"/>
        <w:adjustRightInd/>
        <w:snapToGrid/>
        <w:spacing w:before="160" w:after="160" w:line="360" w:lineRule="auto"/>
        <w:ind w:left="420" w:leftChars="0" w:hanging="420" w:firstLineChars="0"/>
        <w:textAlignment w:val="auto"/>
        <w:rPr>
          <w:rFonts w:hint="eastAsia" w:ascii="宋体" w:hAnsi="宋体" w:eastAsia="宋体" w:cs="宋体"/>
          <w:b/>
          <w:bCs/>
          <w:color w:val="auto"/>
          <w:kern w:val="2"/>
          <w:sz w:val="24"/>
          <w:szCs w:val="24"/>
          <w:highlight w:val="none"/>
          <w:lang w:val="zh-CN" w:eastAsia="zh-CN" w:bidi="ar-SA"/>
        </w:rPr>
      </w:pPr>
      <w:bookmarkStart w:id="539" w:name="_Toc23798"/>
      <w:bookmarkStart w:id="540" w:name="_Toc6168"/>
      <w:r>
        <w:rPr>
          <w:rFonts w:hint="eastAsia" w:ascii="宋体" w:hAnsi="宋体" w:eastAsia="宋体" w:cs="宋体"/>
          <w:b/>
          <w:bCs/>
          <w:color w:val="auto"/>
          <w:kern w:val="2"/>
          <w:sz w:val="24"/>
          <w:szCs w:val="24"/>
          <w:highlight w:val="none"/>
          <w:lang w:val="zh-CN" w:eastAsia="zh-CN" w:bidi="ar-SA"/>
        </w:rPr>
        <w:t>（</w:t>
      </w:r>
      <w:r>
        <w:rPr>
          <w:rFonts w:hint="eastAsia" w:ascii="宋体" w:hAnsi="宋体" w:eastAsia="宋体" w:cs="宋体"/>
          <w:b/>
          <w:bCs/>
          <w:color w:val="auto"/>
          <w:kern w:val="2"/>
          <w:sz w:val="24"/>
          <w:szCs w:val="24"/>
          <w:highlight w:val="none"/>
          <w:lang w:val="en-US" w:eastAsia="zh-CN" w:bidi="ar-SA"/>
        </w:rPr>
        <w:t>六</w:t>
      </w:r>
      <w:r>
        <w:rPr>
          <w:rFonts w:hint="eastAsia" w:ascii="宋体" w:hAnsi="宋体" w:eastAsia="宋体" w:cs="宋体"/>
          <w:b/>
          <w:bCs/>
          <w:color w:val="auto"/>
          <w:kern w:val="2"/>
          <w:sz w:val="24"/>
          <w:szCs w:val="24"/>
          <w:highlight w:val="none"/>
          <w:lang w:val="zh-CN" w:eastAsia="zh-CN" w:bidi="ar-SA"/>
        </w:rPr>
        <w:t>）排序与推荐</w:t>
      </w:r>
      <w:bookmarkEnd w:id="539"/>
      <w:bookmarkEnd w:id="540"/>
    </w:p>
    <w:p w14:paraId="514ADBD8">
      <w:pPr>
        <w:pStyle w:val="40"/>
        <w:keepNext w:val="0"/>
        <w:keepLines w:val="0"/>
        <w:pageBreakBefore w:val="0"/>
        <w:widowControl w:val="0"/>
        <w:kinsoku/>
        <w:overflowPunct/>
        <w:topLinePunct w:val="0"/>
        <w:autoSpaceDE/>
        <w:autoSpaceDN/>
        <w:bidi w:val="0"/>
        <w:adjustRightInd/>
        <w:snapToGrid/>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16.评标结果按评审后得分由高到低顺序排列。投标文件满足招标文件全部实质性要求，且按照评审因素的量化指标评审得分最高的投标人为排名第一的中标候选人。得分相同的，按投标报价由低到高顺序排列。得分且投标报价相同的，按技术指标优劣顺序排列。</w:t>
      </w:r>
    </w:p>
    <w:p w14:paraId="7B12FA4F">
      <w:pPr>
        <w:pStyle w:val="40"/>
        <w:keepNext w:val="0"/>
        <w:keepLines w:val="0"/>
        <w:pageBreakBefore w:val="0"/>
        <w:widowControl w:val="0"/>
        <w:kinsoku/>
        <w:overflowPunct/>
        <w:topLinePunct w:val="0"/>
        <w:autoSpaceDE/>
        <w:autoSpaceDN/>
        <w:bidi w:val="0"/>
        <w:adjustRightInd/>
        <w:snapToGrid/>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17.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由采购人或者采购人委托评标委员会按照“投标人须知前附表”规定的方式确定一个投标人获得中标人推荐资格，招标文件未规定的采取随机抽取方式确定，其他同品牌投标人不作为中标候选人。</w:t>
      </w:r>
    </w:p>
    <w:p w14:paraId="3B1F6C1A">
      <w:pPr>
        <w:pStyle w:val="4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18.中标候选人推荐家数详见“投标人须知前附表”。</w:t>
      </w:r>
    </w:p>
    <w:p w14:paraId="1F98E10E">
      <w:pPr>
        <w:pStyle w:val="4"/>
        <w:keepNext/>
        <w:keepLines/>
        <w:pageBreakBefore w:val="0"/>
        <w:widowControl w:val="0"/>
        <w:numPr>
          <w:ilvl w:val="0"/>
          <w:numId w:val="0"/>
        </w:numPr>
        <w:kinsoku/>
        <w:wordWrap/>
        <w:overflowPunct/>
        <w:topLinePunct w:val="0"/>
        <w:autoSpaceDE/>
        <w:autoSpaceDN/>
        <w:bidi w:val="0"/>
        <w:adjustRightInd/>
        <w:snapToGrid/>
        <w:spacing w:before="160" w:after="160" w:line="360" w:lineRule="auto"/>
        <w:ind w:left="420" w:leftChars="0" w:hanging="420" w:firstLineChars="0"/>
        <w:textAlignment w:val="auto"/>
        <w:rPr>
          <w:rFonts w:hint="eastAsia" w:ascii="宋体" w:hAnsi="宋体" w:eastAsia="宋体" w:cs="宋体"/>
          <w:b/>
          <w:bCs/>
          <w:color w:val="auto"/>
          <w:kern w:val="2"/>
          <w:sz w:val="24"/>
          <w:szCs w:val="24"/>
          <w:highlight w:val="none"/>
          <w:lang w:val="zh-CN" w:eastAsia="zh-CN" w:bidi="ar-SA"/>
        </w:rPr>
      </w:pPr>
      <w:bookmarkStart w:id="541" w:name="_Toc7794"/>
      <w:bookmarkStart w:id="542" w:name="_Toc19594"/>
      <w:r>
        <w:rPr>
          <w:rFonts w:hint="eastAsia" w:ascii="宋体" w:hAnsi="宋体" w:eastAsia="宋体" w:cs="宋体"/>
          <w:b/>
          <w:bCs/>
          <w:color w:val="auto"/>
          <w:kern w:val="2"/>
          <w:sz w:val="24"/>
          <w:szCs w:val="24"/>
          <w:highlight w:val="none"/>
          <w:lang w:val="zh-CN" w:eastAsia="zh-CN" w:bidi="ar-SA"/>
        </w:rPr>
        <w:t>（</w:t>
      </w:r>
      <w:r>
        <w:rPr>
          <w:rFonts w:hint="eastAsia" w:ascii="宋体" w:hAnsi="宋体" w:eastAsia="宋体" w:cs="宋体"/>
          <w:b/>
          <w:bCs/>
          <w:color w:val="auto"/>
          <w:kern w:val="2"/>
          <w:sz w:val="24"/>
          <w:szCs w:val="24"/>
          <w:highlight w:val="none"/>
          <w:lang w:val="en-US" w:eastAsia="zh-CN" w:bidi="ar-SA"/>
        </w:rPr>
        <w:t>七</w:t>
      </w:r>
      <w:r>
        <w:rPr>
          <w:rFonts w:hint="eastAsia" w:ascii="宋体" w:hAnsi="宋体" w:eastAsia="宋体" w:cs="宋体"/>
          <w:b/>
          <w:bCs/>
          <w:color w:val="auto"/>
          <w:kern w:val="2"/>
          <w:sz w:val="24"/>
          <w:szCs w:val="24"/>
          <w:highlight w:val="none"/>
          <w:lang w:val="zh-CN" w:eastAsia="zh-CN" w:bidi="ar-SA"/>
        </w:rPr>
        <w:t>）编写评标报告</w:t>
      </w:r>
      <w:bookmarkEnd w:id="541"/>
      <w:bookmarkEnd w:id="542"/>
    </w:p>
    <w:p w14:paraId="3576CABA">
      <w:pPr>
        <w:pStyle w:val="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19.</w:t>
      </w:r>
      <w:r>
        <w:rPr>
          <w:rFonts w:hint="eastAsia" w:ascii="宋体" w:hAnsi="宋体" w:eastAsia="宋体" w:cs="宋体"/>
          <w:color w:val="auto"/>
          <w:sz w:val="24"/>
          <w:szCs w:val="24"/>
          <w:highlight w:val="none"/>
        </w:rPr>
        <w:t>评标委员会根据全体评标成员签字的原始评标记录和评标结果编写评标报告。评标委员会应当在评标报告上签名，对自己的评审意见承担法律责任。评标委员会成员对需要共同认定的事项存在争议的，应当按照少数服从多数的原则作出结论。持不同意见的评标委员会成员应当在评标报告上签署不同意见，并说明理由，否则视为同意评标报告。</w:t>
      </w:r>
    </w:p>
    <w:p w14:paraId="29512443">
      <w:pPr>
        <w:pStyle w:val="4"/>
        <w:keepNext/>
        <w:keepLines/>
        <w:pageBreakBefore w:val="0"/>
        <w:widowControl w:val="0"/>
        <w:numPr>
          <w:ilvl w:val="0"/>
          <w:numId w:val="0"/>
        </w:numPr>
        <w:kinsoku/>
        <w:wordWrap/>
        <w:overflowPunct/>
        <w:topLinePunct w:val="0"/>
        <w:autoSpaceDE/>
        <w:autoSpaceDN/>
        <w:bidi w:val="0"/>
        <w:adjustRightInd/>
        <w:snapToGrid/>
        <w:spacing w:before="160" w:after="160" w:line="360" w:lineRule="auto"/>
        <w:ind w:left="420" w:leftChars="0" w:hanging="420" w:firstLineChars="0"/>
        <w:textAlignment w:val="auto"/>
        <w:rPr>
          <w:rFonts w:hint="eastAsia" w:ascii="宋体" w:hAnsi="宋体" w:eastAsia="宋体" w:cs="宋体"/>
          <w:b/>
          <w:bCs/>
          <w:color w:val="auto"/>
          <w:kern w:val="2"/>
          <w:sz w:val="24"/>
          <w:szCs w:val="24"/>
          <w:highlight w:val="none"/>
          <w:lang w:val="zh-CN" w:eastAsia="zh-CN" w:bidi="ar-SA"/>
        </w:rPr>
      </w:pPr>
      <w:bookmarkStart w:id="543" w:name="_Toc155185913"/>
      <w:bookmarkStart w:id="544" w:name="_Toc26377"/>
      <w:bookmarkStart w:id="545" w:name="_Toc102119852"/>
      <w:bookmarkStart w:id="546" w:name="_Toc102114919"/>
      <w:bookmarkStart w:id="547" w:name="_Toc163492906"/>
      <w:bookmarkStart w:id="548" w:name="_Toc102056217"/>
      <w:bookmarkStart w:id="549" w:name="_Toc102057717"/>
      <w:bookmarkStart w:id="550" w:name="_Toc11477"/>
      <w:bookmarkStart w:id="551" w:name="_Toc102116021"/>
      <w:bookmarkStart w:id="552" w:name="_Toc102116151"/>
      <w:r>
        <w:rPr>
          <w:rFonts w:hint="eastAsia" w:ascii="宋体" w:hAnsi="宋体" w:eastAsia="宋体" w:cs="宋体"/>
          <w:b/>
          <w:bCs/>
          <w:color w:val="auto"/>
          <w:kern w:val="2"/>
          <w:sz w:val="24"/>
          <w:szCs w:val="24"/>
          <w:highlight w:val="none"/>
          <w:lang w:val="zh-CN" w:eastAsia="zh-CN" w:bidi="ar-SA"/>
        </w:rPr>
        <w:t>（</w:t>
      </w:r>
      <w:r>
        <w:rPr>
          <w:rFonts w:hint="eastAsia" w:ascii="宋体" w:hAnsi="宋体" w:eastAsia="宋体" w:cs="宋体"/>
          <w:b/>
          <w:bCs/>
          <w:color w:val="auto"/>
          <w:kern w:val="2"/>
          <w:sz w:val="24"/>
          <w:szCs w:val="24"/>
          <w:highlight w:val="none"/>
          <w:lang w:val="en-US" w:eastAsia="zh-CN" w:bidi="ar-SA"/>
        </w:rPr>
        <w:t>八</w:t>
      </w:r>
      <w:r>
        <w:rPr>
          <w:rFonts w:hint="eastAsia" w:ascii="宋体" w:hAnsi="宋体" w:eastAsia="宋体" w:cs="宋体"/>
          <w:b/>
          <w:bCs/>
          <w:color w:val="auto"/>
          <w:kern w:val="2"/>
          <w:sz w:val="24"/>
          <w:szCs w:val="24"/>
          <w:highlight w:val="none"/>
          <w:lang w:val="zh-CN" w:eastAsia="zh-CN" w:bidi="ar-SA"/>
        </w:rPr>
        <w:t>）</w:t>
      </w:r>
      <w:r>
        <w:rPr>
          <w:rFonts w:hint="eastAsia" w:ascii="宋体" w:hAnsi="宋体" w:eastAsia="宋体" w:cs="宋体"/>
          <w:b/>
          <w:bCs/>
          <w:color w:val="auto"/>
          <w:kern w:val="2"/>
          <w:sz w:val="24"/>
          <w:szCs w:val="24"/>
          <w:highlight w:val="none"/>
          <w:lang w:val="en-US" w:eastAsia="zh-CN" w:bidi="ar-SA"/>
        </w:rPr>
        <w:t>投标无效及</w:t>
      </w:r>
      <w:r>
        <w:rPr>
          <w:rFonts w:hint="eastAsia" w:ascii="宋体" w:hAnsi="宋体" w:eastAsia="宋体" w:cs="宋体"/>
          <w:b/>
          <w:bCs/>
          <w:color w:val="auto"/>
          <w:kern w:val="2"/>
          <w:sz w:val="24"/>
          <w:szCs w:val="24"/>
          <w:highlight w:val="none"/>
          <w:lang w:val="zh-CN" w:eastAsia="zh-CN" w:bidi="ar-SA"/>
        </w:rPr>
        <w:t>应予废标的情形</w:t>
      </w:r>
      <w:bookmarkEnd w:id="543"/>
      <w:bookmarkEnd w:id="544"/>
      <w:bookmarkEnd w:id="545"/>
      <w:bookmarkEnd w:id="546"/>
      <w:bookmarkEnd w:id="547"/>
      <w:bookmarkEnd w:id="548"/>
      <w:bookmarkEnd w:id="549"/>
      <w:bookmarkEnd w:id="550"/>
      <w:bookmarkEnd w:id="551"/>
      <w:bookmarkEnd w:id="552"/>
    </w:p>
    <w:p w14:paraId="38B935D1">
      <w:pPr>
        <w:pStyle w:val="4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20.投标人存在下列情形之一的，</w:t>
      </w:r>
      <w:r>
        <w:rPr>
          <w:rFonts w:hint="eastAsia" w:ascii="宋体" w:hAnsi="宋体" w:eastAsia="宋体" w:cs="宋体"/>
          <w:b/>
          <w:bCs/>
          <w:color w:val="auto"/>
          <w:sz w:val="24"/>
          <w:szCs w:val="24"/>
          <w:highlight w:val="none"/>
          <w:lang w:val="en-US" w:eastAsia="zh-CN"/>
        </w:rPr>
        <w:t>投标无效</w:t>
      </w:r>
      <w:r>
        <w:rPr>
          <w:rFonts w:hint="eastAsia" w:ascii="宋体" w:hAnsi="宋体" w:eastAsia="宋体" w:cs="宋体"/>
          <w:color w:val="auto"/>
          <w:sz w:val="24"/>
          <w:szCs w:val="24"/>
          <w:highlight w:val="none"/>
          <w:lang w:val="en-US" w:eastAsia="zh-CN"/>
        </w:rPr>
        <w:t>：</w:t>
      </w:r>
    </w:p>
    <w:p w14:paraId="5C1B2C98">
      <w:pPr>
        <w:pStyle w:val="40"/>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20.</w:t>
      </w:r>
      <w:r>
        <w:rPr>
          <w:rFonts w:hint="eastAsia" w:ascii="宋体" w:hAnsi="宋体" w:eastAsia="宋体" w:cs="宋体"/>
          <w:color w:val="auto"/>
          <w:sz w:val="24"/>
          <w:szCs w:val="24"/>
          <w:highlight w:val="none"/>
          <w:lang w:val="zh-CN" w:eastAsia="zh-CN"/>
        </w:rPr>
        <w:t>1</w:t>
      </w:r>
      <w:r>
        <w:rPr>
          <w:rFonts w:hint="eastAsia" w:ascii="宋体" w:hAnsi="宋体" w:eastAsia="宋体" w:cs="宋体"/>
          <w:color w:val="auto"/>
          <w:sz w:val="24"/>
          <w:szCs w:val="24"/>
          <w:highlight w:val="none"/>
          <w:lang w:val="en-US" w:eastAsia="zh-CN"/>
        </w:rPr>
        <w:t>投标人</w:t>
      </w:r>
      <w:r>
        <w:rPr>
          <w:rFonts w:hint="eastAsia" w:ascii="宋体" w:hAnsi="宋体" w:eastAsia="宋体" w:cs="宋体"/>
          <w:color w:val="auto"/>
          <w:sz w:val="24"/>
          <w:szCs w:val="24"/>
          <w:highlight w:val="none"/>
          <w:lang w:val="zh-CN" w:eastAsia="zh-CN"/>
        </w:rPr>
        <w:t>不具备《中华人民共和国政府采购法》第二十二条规定条件</w:t>
      </w:r>
      <w:r>
        <w:rPr>
          <w:rFonts w:hint="eastAsia" w:ascii="宋体" w:hAnsi="宋体" w:eastAsia="宋体" w:cs="宋体"/>
          <w:color w:val="auto"/>
          <w:sz w:val="24"/>
          <w:szCs w:val="24"/>
          <w:highlight w:val="none"/>
          <w:lang w:val="en-US" w:eastAsia="zh-CN"/>
        </w:rPr>
        <w:t>；</w:t>
      </w:r>
    </w:p>
    <w:p w14:paraId="15C939E8">
      <w:pPr>
        <w:pStyle w:val="4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w:t>
      </w:r>
      <w:r>
        <w:rPr>
          <w:rFonts w:hint="eastAsia" w:ascii="宋体" w:hAnsi="宋体" w:eastAsia="宋体" w:cs="宋体"/>
          <w:color w:val="auto"/>
          <w:sz w:val="24"/>
          <w:szCs w:val="24"/>
          <w:highlight w:val="none"/>
          <w:lang w:val="zh-CN" w:eastAsia="zh-CN"/>
        </w:rPr>
        <w:t>2</w:t>
      </w:r>
      <w:r>
        <w:rPr>
          <w:rFonts w:hint="eastAsia" w:ascii="宋体" w:hAnsi="宋体" w:eastAsia="宋体" w:cs="宋体"/>
          <w:color w:val="auto"/>
          <w:sz w:val="24"/>
          <w:szCs w:val="24"/>
          <w:highlight w:val="none"/>
        </w:rPr>
        <w:t>投标文件未按招标文件要求签署、盖章的</w:t>
      </w:r>
      <w:r>
        <w:rPr>
          <w:rFonts w:hint="eastAsia" w:ascii="宋体" w:hAnsi="宋体" w:eastAsia="宋体" w:cs="宋体"/>
          <w:color w:val="auto"/>
          <w:sz w:val="24"/>
          <w:szCs w:val="24"/>
          <w:highlight w:val="none"/>
          <w:lang w:val="en-US" w:eastAsia="zh-CN"/>
        </w:rPr>
        <w:t>；</w:t>
      </w:r>
    </w:p>
    <w:p w14:paraId="0A936FC6">
      <w:pPr>
        <w:pStyle w:val="4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w:t>
      </w:r>
      <w:r>
        <w:rPr>
          <w:rFonts w:hint="eastAsia" w:ascii="宋体" w:hAnsi="宋体" w:eastAsia="宋体" w:cs="宋体"/>
          <w:color w:val="auto"/>
          <w:sz w:val="24"/>
          <w:szCs w:val="24"/>
          <w:highlight w:val="none"/>
          <w:lang w:val="zh-CN" w:eastAsia="zh-CN"/>
        </w:rPr>
        <w:t>3</w:t>
      </w:r>
      <w:r>
        <w:rPr>
          <w:rFonts w:hint="eastAsia" w:ascii="宋体" w:hAnsi="宋体" w:eastAsia="宋体" w:cs="宋体"/>
          <w:color w:val="auto"/>
          <w:sz w:val="24"/>
          <w:szCs w:val="24"/>
          <w:highlight w:val="none"/>
          <w:lang w:val="en-US" w:eastAsia="zh-CN"/>
        </w:rPr>
        <w:t>不具备招标文件中规定的资格要求的（投标人未提供有效资格文件的，视为投标人不具备招标文件中规定的资格要求）；</w:t>
      </w:r>
    </w:p>
    <w:p w14:paraId="0C68E355">
      <w:pPr>
        <w:pStyle w:val="40"/>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20.</w:t>
      </w:r>
      <w:r>
        <w:rPr>
          <w:rFonts w:hint="eastAsia" w:ascii="宋体" w:hAnsi="宋体" w:eastAsia="宋体" w:cs="宋体"/>
          <w:color w:val="auto"/>
          <w:sz w:val="24"/>
          <w:szCs w:val="24"/>
          <w:highlight w:val="none"/>
          <w:lang w:val="zh-CN" w:eastAsia="zh-CN"/>
        </w:rPr>
        <w:t>4</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lang w:val="zh-CN" w:eastAsia="zh-CN"/>
        </w:rPr>
        <w:t>文件提供虚假材料的</w:t>
      </w:r>
      <w:r>
        <w:rPr>
          <w:rFonts w:hint="eastAsia" w:ascii="宋体" w:hAnsi="宋体" w:eastAsia="宋体" w:cs="宋体"/>
          <w:color w:val="auto"/>
          <w:sz w:val="24"/>
          <w:szCs w:val="24"/>
          <w:highlight w:val="none"/>
          <w:lang w:val="en-US" w:eastAsia="zh-CN"/>
        </w:rPr>
        <w:t>；</w:t>
      </w:r>
    </w:p>
    <w:p w14:paraId="3FDAE166">
      <w:pPr>
        <w:pStyle w:val="40"/>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20.</w:t>
      </w:r>
      <w:r>
        <w:rPr>
          <w:rFonts w:hint="eastAsia" w:ascii="宋体" w:hAnsi="宋体" w:eastAsia="宋体" w:cs="宋体"/>
          <w:color w:val="auto"/>
          <w:sz w:val="24"/>
          <w:szCs w:val="24"/>
          <w:highlight w:val="none"/>
          <w:lang w:val="zh-CN" w:eastAsia="zh-CN"/>
        </w:rPr>
        <w:t>5</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lang w:val="zh-CN" w:eastAsia="zh-CN"/>
        </w:rPr>
        <w:t>文件不满足</w:t>
      </w:r>
      <w:r>
        <w:rPr>
          <w:rFonts w:hint="eastAsia" w:ascii="宋体" w:hAnsi="宋体" w:eastAsia="宋体" w:cs="宋体"/>
          <w:color w:val="auto"/>
          <w:sz w:val="24"/>
          <w:szCs w:val="24"/>
          <w:highlight w:val="none"/>
          <w:lang w:val="en-US" w:eastAsia="zh-CN"/>
        </w:rPr>
        <w:t>招标</w:t>
      </w:r>
      <w:r>
        <w:rPr>
          <w:rFonts w:hint="eastAsia" w:ascii="宋体" w:hAnsi="宋体" w:eastAsia="宋体" w:cs="宋体"/>
          <w:color w:val="auto"/>
          <w:sz w:val="24"/>
          <w:szCs w:val="24"/>
          <w:highlight w:val="none"/>
          <w:lang w:val="zh-CN" w:eastAsia="zh-CN"/>
        </w:rPr>
        <w:t>文件中标注“★”号的实质性条款（或指标）要求的</w:t>
      </w:r>
      <w:r>
        <w:rPr>
          <w:rFonts w:hint="eastAsia" w:ascii="宋体" w:hAnsi="宋体" w:eastAsia="宋体" w:cs="宋体"/>
          <w:color w:val="auto"/>
          <w:sz w:val="24"/>
          <w:szCs w:val="24"/>
          <w:highlight w:val="none"/>
          <w:lang w:val="en-US" w:eastAsia="zh-CN"/>
        </w:rPr>
        <w:t>；</w:t>
      </w:r>
    </w:p>
    <w:p w14:paraId="2C5FC304">
      <w:pPr>
        <w:pStyle w:val="4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w:t>
      </w:r>
      <w:r>
        <w:rPr>
          <w:rFonts w:hint="eastAsia" w:ascii="宋体" w:hAnsi="宋体" w:eastAsia="宋体" w:cs="宋体"/>
          <w:color w:val="auto"/>
          <w:sz w:val="24"/>
          <w:szCs w:val="24"/>
          <w:highlight w:val="none"/>
          <w:lang w:val="zh-CN" w:eastAsia="zh-CN"/>
        </w:rPr>
        <w:t>6</w:t>
      </w:r>
      <w:r>
        <w:rPr>
          <w:rFonts w:hint="eastAsia" w:ascii="宋体" w:hAnsi="宋体" w:eastAsia="宋体" w:cs="宋体"/>
          <w:color w:val="auto"/>
          <w:sz w:val="24"/>
          <w:szCs w:val="24"/>
          <w:highlight w:val="none"/>
          <w:lang w:val="en-US" w:eastAsia="zh-CN"/>
        </w:rPr>
        <w:t>投标人</w:t>
      </w:r>
      <w:r>
        <w:rPr>
          <w:rFonts w:hint="eastAsia" w:ascii="宋体" w:hAnsi="宋体" w:eastAsia="宋体" w:cs="宋体"/>
          <w:color w:val="auto"/>
          <w:sz w:val="24"/>
          <w:szCs w:val="24"/>
          <w:highlight w:val="none"/>
          <w:lang w:val="zh-CN" w:eastAsia="zh-CN"/>
        </w:rPr>
        <w:t>报价超过招标文件中规定的最高限价或者预算金额的</w:t>
      </w:r>
      <w:r>
        <w:rPr>
          <w:rFonts w:hint="eastAsia" w:ascii="宋体" w:hAnsi="宋体" w:eastAsia="宋体" w:cs="宋体"/>
          <w:color w:val="auto"/>
          <w:sz w:val="24"/>
          <w:szCs w:val="24"/>
          <w:highlight w:val="none"/>
          <w:lang w:val="en-US" w:eastAsia="zh-CN"/>
        </w:rPr>
        <w:t>；</w:t>
      </w:r>
    </w:p>
    <w:p w14:paraId="6FC2A54F">
      <w:pPr>
        <w:pStyle w:val="40"/>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20.</w:t>
      </w:r>
      <w:r>
        <w:rPr>
          <w:rFonts w:hint="eastAsia" w:ascii="宋体" w:hAnsi="宋体" w:eastAsia="宋体" w:cs="宋体"/>
          <w:color w:val="auto"/>
          <w:sz w:val="24"/>
          <w:szCs w:val="24"/>
          <w:highlight w:val="none"/>
          <w:lang w:val="zh-CN" w:eastAsia="zh-CN"/>
        </w:rPr>
        <w:t>7联合体的供应商未提交各方共同签署的</w:t>
      </w:r>
      <w:r>
        <w:rPr>
          <w:rFonts w:hint="eastAsia" w:ascii="宋体" w:hAnsi="宋体" w:eastAsia="宋体" w:cs="宋体"/>
          <w:color w:val="auto"/>
          <w:sz w:val="24"/>
          <w:szCs w:val="24"/>
          <w:highlight w:val="none"/>
          <w:lang w:val="en-US" w:eastAsia="zh-CN"/>
        </w:rPr>
        <w:t>联合体</w:t>
      </w:r>
      <w:r>
        <w:rPr>
          <w:rFonts w:hint="eastAsia" w:ascii="宋体" w:hAnsi="宋体" w:eastAsia="宋体" w:cs="宋体"/>
          <w:color w:val="auto"/>
          <w:sz w:val="24"/>
          <w:szCs w:val="24"/>
          <w:highlight w:val="none"/>
          <w:lang w:val="zh-CN" w:eastAsia="zh-CN"/>
        </w:rPr>
        <w:t>协议</w:t>
      </w:r>
      <w:r>
        <w:rPr>
          <w:rFonts w:hint="eastAsia" w:ascii="宋体" w:hAnsi="宋体" w:eastAsia="宋体" w:cs="宋体"/>
          <w:color w:val="auto"/>
          <w:sz w:val="24"/>
          <w:szCs w:val="24"/>
          <w:highlight w:val="none"/>
          <w:lang w:val="en-US" w:eastAsia="zh-CN"/>
        </w:rPr>
        <w:t>的；</w:t>
      </w:r>
    </w:p>
    <w:p w14:paraId="4D1E7850">
      <w:pPr>
        <w:pStyle w:val="40"/>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20.</w:t>
      </w:r>
      <w:r>
        <w:rPr>
          <w:rFonts w:hint="eastAsia" w:ascii="宋体" w:hAnsi="宋体" w:eastAsia="宋体" w:cs="宋体"/>
          <w:color w:val="auto"/>
          <w:sz w:val="24"/>
          <w:szCs w:val="24"/>
          <w:highlight w:val="none"/>
          <w:lang w:val="zh-CN" w:eastAsia="zh-CN"/>
        </w:rPr>
        <w:t>8</w:t>
      </w:r>
      <w:r>
        <w:rPr>
          <w:rFonts w:hint="eastAsia" w:ascii="宋体" w:hAnsi="宋体" w:eastAsia="宋体" w:cs="宋体"/>
          <w:color w:val="auto"/>
          <w:sz w:val="24"/>
          <w:szCs w:val="24"/>
          <w:highlight w:val="none"/>
          <w:lang w:val="en-US" w:eastAsia="zh-CN"/>
        </w:rPr>
        <w:t>投标人</w:t>
      </w:r>
      <w:r>
        <w:rPr>
          <w:rFonts w:hint="eastAsia" w:ascii="宋体" w:hAnsi="宋体" w:eastAsia="宋体" w:cs="宋体"/>
          <w:color w:val="auto"/>
          <w:sz w:val="24"/>
          <w:szCs w:val="24"/>
          <w:highlight w:val="none"/>
          <w:lang w:val="zh-CN" w:eastAsia="zh-CN"/>
        </w:rPr>
        <w:t>未按</w:t>
      </w:r>
      <w:r>
        <w:rPr>
          <w:rFonts w:hint="eastAsia" w:ascii="宋体" w:hAnsi="宋体" w:eastAsia="宋体" w:cs="宋体"/>
          <w:color w:val="auto"/>
          <w:sz w:val="24"/>
          <w:szCs w:val="24"/>
          <w:highlight w:val="none"/>
          <w:lang w:val="en-US" w:eastAsia="zh-CN"/>
        </w:rPr>
        <w:t>招标</w:t>
      </w:r>
      <w:r>
        <w:rPr>
          <w:rFonts w:hint="eastAsia" w:ascii="宋体" w:hAnsi="宋体" w:eastAsia="宋体" w:cs="宋体"/>
          <w:color w:val="auto"/>
          <w:sz w:val="24"/>
          <w:szCs w:val="24"/>
          <w:highlight w:val="none"/>
          <w:lang w:val="zh-CN" w:eastAsia="zh-CN"/>
        </w:rPr>
        <w:t>文件</w:t>
      </w:r>
      <w:r>
        <w:rPr>
          <w:rFonts w:hint="eastAsia" w:ascii="宋体" w:hAnsi="宋体" w:eastAsia="宋体" w:cs="宋体"/>
          <w:color w:val="auto"/>
          <w:sz w:val="24"/>
          <w:szCs w:val="24"/>
          <w:highlight w:val="none"/>
          <w:lang w:val="en-US" w:eastAsia="zh-CN"/>
        </w:rPr>
        <w:t>的规定</w:t>
      </w:r>
      <w:r>
        <w:rPr>
          <w:rFonts w:hint="eastAsia" w:ascii="宋体" w:hAnsi="宋体" w:eastAsia="宋体" w:cs="宋体"/>
          <w:color w:val="auto"/>
          <w:sz w:val="24"/>
          <w:szCs w:val="24"/>
          <w:highlight w:val="none"/>
          <w:lang w:val="zh-CN" w:eastAsia="zh-CN"/>
        </w:rPr>
        <w:t>交纳投标保证金</w:t>
      </w:r>
      <w:r>
        <w:rPr>
          <w:rFonts w:hint="eastAsia" w:ascii="宋体" w:hAnsi="宋体" w:eastAsia="宋体" w:cs="宋体"/>
          <w:color w:val="auto"/>
          <w:sz w:val="24"/>
          <w:szCs w:val="24"/>
          <w:highlight w:val="none"/>
          <w:lang w:val="en-US" w:eastAsia="zh-CN"/>
        </w:rPr>
        <w:t>的；</w:t>
      </w:r>
    </w:p>
    <w:p w14:paraId="149A35CB">
      <w:pPr>
        <w:pStyle w:val="40"/>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20.</w:t>
      </w:r>
      <w:r>
        <w:rPr>
          <w:rFonts w:hint="eastAsia" w:ascii="宋体" w:hAnsi="宋体" w:eastAsia="宋体" w:cs="宋体"/>
          <w:color w:val="auto"/>
          <w:sz w:val="24"/>
          <w:szCs w:val="24"/>
          <w:highlight w:val="none"/>
          <w:lang w:val="zh-CN" w:eastAsia="zh-CN"/>
        </w:rPr>
        <w:t>9评审期间,</w:t>
      </w:r>
      <w:r>
        <w:rPr>
          <w:rFonts w:hint="eastAsia" w:ascii="宋体" w:hAnsi="宋体" w:eastAsia="宋体" w:cs="宋体"/>
          <w:color w:val="auto"/>
          <w:sz w:val="24"/>
          <w:szCs w:val="24"/>
          <w:highlight w:val="none"/>
          <w:lang w:val="en-US" w:eastAsia="zh-CN"/>
        </w:rPr>
        <w:t>投标人</w:t>
      </w:r>
      <w:r>
        <w:rPr>
          <w:rFonts w:hint="eastAsia" w:ascii="宋体" w:hAnsi="宋体" w:eastAsia="宋体" w:cs="宋体"/>
          <w:color w:val="auto"/>
          <w:sz w:val="24"/>
          <w:szCs w:val="24"/>
          <w:highlight w:val="none"/>
          <w:lang w:val="zh-CN" w:eastAsia="zh-CN"/>
        </w:rPr>
        <w:t>没有按评标委员会的要求提交经授权代表签字的澄清、说明、补正或改变了</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lang w:val="zh-CN" w:eastAsia="zh-CN"/>
        </w:rPr>
        <w:t>文件的实质性内容</w:t>
      </w:r>
      <w:r>
        <w:rPr>
          <w:rFonts w:hint="eastAsia" w:ascii="宋体" w:hAnsi="宋体" w:eastAsia="宋体" w:cs="宋体"/>
          <w:color w:val="auto"/>
          <w:sz w:val="24"/>
          <w:szCs w:val="24"/>
          <w:highlight w:val="none"/>
          <w:lang w:val="en-US" w:eastAsia="zh-CN"/>
        </w:rPr>
        <w:t>的；</w:t>
      </w:r>
    </w:p>
    <w:p w14:paraId="19EFB935">
      <w:pPr>
        <w:pStyle w:val="4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w:t>
      </w:r>
      <w:r>
        <w:rPr>
          <w:rFonts w:hint="eastAsia" w:ascii="宋体" w:hAnsi="宋体" w:eastAsia="宋体" w:cs="宋体"/>
          <w:color w:val="auto"/>
          <w:sz w:val="24"/>
          <w:szCs w:val="24"/>
          <w:highlight w:val="none"/>
          <w:lang w:val="zh-CN" w:eastAsia="zh-CN"/>
        </w:rPr>
        <w:t>10</w:t>
      </w:r>
      <w:r>
        <w:rPr>
          <w:rFonts w:hint="eastAsia" w:ascii="宋体" w:hAnsi="宋体" w:eastAsia="宋体" w:cs="宋体"/>
          <w:color w:val="auto"/>
          <w:sz w:val="24"/>
          <w:szCs w:val="24"/>
          <w:highlight w:val="none"/>
          <w:lang w:val="en-US" w:eastAsia="zh-CN"/>
        </w:rPr>
        <w:t>投标人</w:t>
      </w:r>
      <w:r>
        <w:rPr>
          <w:rFonts w:hint="eastAsia" w:ascii="宋体" w:hAnsi="宋体" w:eastAsia="宋体" w:cs="宋体"/>
          <w:color w:val="auto"/>
          <w:sz w:val="24"/>
          <w:szCs w:val="24"/>
          <w:highlight w:val="none"/>
          <w:lang w:val="zh-CN" w:eastAsia="zh-CN"/>
        </w:rPr>
        <w:t>对采购人、采购代理机构、评标委员会及其工作人员施加影响,有碍公平、公正</w:t>
      </w:r>
      <w:r>
        <w:rPr>
          <w:rFonts w:hint="eastAsia" w:ascii="宋体" w:hAnsi="宋体" w:eastAsia="宋体" w:cs="宋体"/>
          <w:color w:val="auto"/>
          <w:sz w:val="24"/>
          <w:szCs w:val="24"/>
          <w:highlight w:val="none"/>
          <w:lang w:val="en-US" w:eastAsia="zh-CN"/>
        </w:rPr>
        <w:t>的；</w:t>
      </w:r>
    </w:p>
    <w:p w14:paraId="3A6B2386">
      <w:pPr>
        <w:pStyle w:val="4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20.11投标文件含有采购人不能接受的附加条件的；</w:t>
      </w:r>
    </w:p>
    <w:p w14:paraId="3764E979">
      <w:pPr>
        <w:pStyle w:val="4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w:t>
      </w:r>
      <w:r>
        <w:rPr>
          <w:rFonts w:hint="eastAsia" w:ascii="宋体" w:hAnsi="宋体" w:eastAsia="宋体" w:cs="宋体"/>
          <w:color w:val="auto"/>
          <w:sz w:val="24"/>
          <w:szCs w:val="24"/>
          <w:highlight w:val="none"/>
          <w:lang w:val="zh-CN" w:eastAsia="zh-CN"/>
        </w:rPr>
        <w:t>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val="zh-CN" w:eastAsia="zh-CN"/>
        </w:rPr>
        <w:t>法律、法规、规章规定属于</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lang w:val="zh-CN" w:eastAsia="zh-CN"/>
        </w:rPr>
        <w:t>无效的其他情形。</w:t>
      </w:r>
    </w:p>
    <w:p w14:paraId="601D7976">
      <w:pPr>
        <w:pStyle w:val="4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21.有下列情形之一的，视为投标人串通投标，其</w:t>
      </w:r>
      <w:r>
        <w:rPr>
          <w:rFonts w:hint="eastAsia" w:ascii="宋体" w:hAnsi="宋体" w:eastAsia="宋体" w:cs="宋体"/>
          <w:b/>
          <w:bCs/>
          <w:color w:val="auto"/>
          <w:sz w:val="24"/>
          <w:szCs w:val="24"/>
          <w:highlight w:val="none"/>
          <w:lang w:val="en-US" w:eastAsia="zh-CN"/>
        </w:rPr>
        <w:t>投标无效</w:t>
      </w:r>
      <w:r>
        <w:rPr>
          <w:rFonts w:hint="eastAsia" w:ascii="宋体" w:hAnsi="宋体" w:eastAsia="宋体" w:cs="宋体"/>
          <w:color w:val="auto"/>
          <w:sz w:val="24"/>
          <w:szCs w:val="24"/>
          <w:highlight w:val="none"/>
          <w:lang w:val="en-US" w:eastAsia="zh-CN"/>
        </w:rPr>
        <w:t>：</w:t>
      </w:r>
    </w:p>
    <w:p w14:paraId="0BD50610">
      <w:pPr>
        <w:pStyle w:val="4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21.1不同投标人的投标文件由同一单位或者个人编制；</w:t>
      </w:r>
    </w:p>
    <w:p w14:paraId="31815558">
      <w:pPr>
        <w:pStyle w:val="4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21.2不同投标人委托同一单位或者个人办理投标事宜；</w:t>
      </w:r>
    </w:p>
    <w:p w14:paraId="3AD20378">
      <w:pPr>
        <w:pStyle w:val="4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21.3不同投标人的投标文件载明的项目管理成员或者联系人员为同一人；</w:t>
      </w:r>
    </w:p>
    <w:p w14:paraId="3F168EA2">
      <w:pPr>
        <w:pStyle w:val="4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21.4不同投标人的投标文件异常一致或者投标报价呈规律性差异；</w:t>
      </w:r>
    </w:p>
    <w:p w14:paraId="634E7939">
      <w:pPr>
        <w:pStyle w:val="4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21.5不同投标人的投标文件相互混装；</w:t>
      </w:r>
    </w:p>
    <w:p w14:paraId="3B078CE3">
      <w:pPr>
        <w:pStyle w:val="4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21.6不同投标人的投标保证金从同一单位或者个人的账户转出；</w:t>
      </w:r>
    </w:p>
    <w:p w14:paraId="749F838F">
      <w:pPr>
        <w:pStyle w:val="4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21.7</w:t>
      </w:r>
      <w:r>
        <w:rPr>
          <w:rFonts w:hint="eastAsia" w:ascii="宋体" w:hAnsi="宋体" w:eastAsia="宋体" w:cs="宋体"/>
          <w:color w:val="auto"/>
          <w:sz w:val="24"/>
          <w:szCs w:val="24"/>
          <w:highlight w:val="none"/>
          <w:lang w:val="zh-CN" w:eastAsia="zh-CN"/>
        </w:rPr>
        <w:t>不同投标人使用同一电脑（机器特征值一致：如MAC地址等）或使用同一电子密钥，编制或上传电子投标文件</w:t>
      </w:r>
      <w:r>
        <w:rPr>
          <w:rFonts w:hint="eastAsia" w:ascii="宋体" w:hAnsi="宋体" w:eastAsia="宋体" w:cs="宋体"/>
          <w:color w:val="auto"/>
          <w:sz w:val="24"/>
          <w:szCs w:val="24"/>
          <w:highlight w:val="none"/>
          <w:lang w:val="en-US" w:eastAsia="zh-CN"/>
        </w:rPr>
        <w:t>；</w:t>
      </w:r>
    </w:p>
    <w:p w14:paraId="2A1BC50E">
      <w:pPr>
        <w:pStyle w:val="4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21.8法律、法规、规章规定属于投标人串通投标的其他情形</w:t>
      </w:r>
      <w:r>
        <w:rPr>
          <w:rFonts w:hint="eastAsia" w:ascii="宋体" w:hAnsi="宋体" w:eastAsia="宋体" w:cs="宋体"/>
          <w:color w:val="auto"/>
          <w:sz w:val="24"/>
          <w:szCs w:val="24"/>
          <w:highlight w:val="none"/>
          <w:lang w:val="zh-CN" w:eastAsia="zh-CN"/>
        </w:rPr>
        <w:t>。</w:t>
      </w:r>
    </w:p>
    <w:p w14:paraId="737FAF06">
      <w:pPr>
        <w:pStyle w:val="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22</w:t>
      </w:r>
      <w:r>
        <w:rPr>
          <w:rFonts w:hint="eastAsia" w:ascii="宋体" w:hAnsi="宋体" w:eastAsia="宋体" w:cs="宋体"/>
          <w:color w:val="auto"/>
          <w:sz w:val="24"/>
          <w:szCs w:val="24"/>
          <w:highlight w:val="none"/>
        </w:rPr>
        <w:t>.根据《中华人民共和国政府采购法》第三十六条之规定，在招标采购过程中，出现下列情形之一的，应予</w:t>
      </w:r>
      <w:r>
        <w:rPr>
          <w:rFonts w:hint="eastAsia" w:ascii="宋体" w:hAnsi="宋体" w:eastAsia="宋体" w:cs="宋体"/>
          <w:b/>
          <w:bCs/>
          <w:color w:val="auto"/>
          <w:sz w:val="24"/>
          <w:szCs w:val="24"/>
          <w:highlight w:val="none"/>
        </w:rPr>
        <w:t>废标</w:t>
      </w:r>
      <w:r>
        <w:rPr>
          <w:rFonts w:hint="eastAsia" w:ascii="宋体" w:hAnsi="宋体" w:eastAsia="宋体" w:cs="宋体"/>
          <w:color w:val="auto"/>
          <w:sz w:val="24"/>
          <w:szCs w:val="24"/>
          <w:highlight w:val="none"/>
        </w:rPr>
        <w:t>：</w:t>
      </w:r>
    </w:p>
    <w:p w14:paraId="2C92042A">
      <w:pPr>
        <w:pStyle w:val="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22</w:t>
      </w:r>
      <w:r>
        <w:rPr>
          <w:rFonts w:hint="eastAsia" w:ascii="宋体" w:hAnsi="宋体" w:eastAsia="宋体" w:cs="宋体"/>
          <w:color w:val="auto"/>
          <w:sz w:val="24"/>
          <w:szCs w:val="24"/>
          <w:highlight w:val="none"/>
        </w:rPr>
        <w:t>.1符合专业条件的供应商或者对招标文件作实质响应的供应商不足3家的；</w:t>
      </w:r>
    </w:p>
    <w:p w14:paraId="34ECD7A2">
      <w:pPr>
        <w:pStyle w:val="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22</w:t>
      </w:r>
      <w:r>
        <w:rPr>
          <w:rFonts w:hint="eastAsia" w:ascii="宋体" w:hAnsi="宋体" w:eastAsia="宋体" w:cs="宋体"/>
          <w:color w:val="auto"/>
          <w:sz w:val="24"/>
          <w:szCs w:val="24"/>
          <w:highlight w:val="none"/>
        </w:rPr>
        <w:t>.2出现影响采购公正的违法、违规行为的；</w:t>
      </w:r>
    </w:p>
    <w:p w14:paraId="55223AA1">
      <w:pPr>
        <w:pStyle w:val="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22</w:t>
      </w:r>
      <w:r>
        <w:rPr>
          <w:rFonts w:hint="eastAsia" w:ascii="宋体" w:hAnsi="宋体" w:eastAsia="宋体" w:cs="宋体"/>
          <w:color w:val="auto"/>
          <w:sz w:val="24"/>
          <w:szCs w:val="24"/>
          <w:highlight w:val="none"/>
        </w:rPr>
        <w:t>.3投标人的报价均超过了采购预算，采购人不能支付的；</w:t>
      </w:r>
    </w:p>
    <w:p w14:paraId="7E486B60">
      <w:pPr>
        <w:pStyle w:val="4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22</w:t>
      </w:r>
      <w:r>
        <w:rPr>
          <w:rFonts w:hint="eastAsia" w:ascii="宋体" w:hAnsi="宋体" w:eastAsia="宋体" w:cs="宋体"/>
          <w:color w:val="auto"/>
          <w:sz w:val="24"/>
          <w:szCs w:val="24"/>
          <w:highlight w:val="none"/>
        </w:rPr>
        <w:t>.4因重大变故，采购任务取消的</w:t>
      </w:r>
      <w:r>
        <w:rPr>
          <w:rFonts w:hint="eastAsia" w:ascii="宋体" w:hAnsi="宋体" w:eastAsia="宋体" w:cs="宋体"/>
          <w:color w:val="auto"/>
          <w:sz w:val="24"/>
          <w:szCs w:val="24"/>
          <w:highlight w:val="none"/>
          <w:lang w:val="en-US" w:eastAsia="zh-CN"/>
        </w:rPr>
        <w:t>；</w:t>
      </w:r>
    </w:p>
    <w:p w14:paraId="42948BC7">
      <w:pPr>
        <w:pStyle w:val="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22.5 </w:t>
      </w:r>
      <w:r>
        <w:rPr>
          <w:rFonts w:hint="eastAsia" w:ascii="宋体" w:hAnsi="宋体" w:eastAsia="宋体" w:cs="宋体"/>
          <w:color w:val="auto"/>
          <w:sz w:val="24"/>
          <w:szCs w:val="24"/>
          <w:highlight w:val="none"/>
        </w:rPr>
        <w:t>法律、法规、规章规定属于</w:t>
      </w:r>
      <w:r>
        <w:rPr>
          <w:rFonts w:hint="eastAsia" w:ascii="宋体" w:hAnsi="宋体" w:eastAsia="宋体" w:cs="宋体"/>
          <w:color w:val="auto"/>
          <w:sz w:val="24"/>
          <w:szCs w:val="24"/>
          <w:highlight w:val="none"/>
          <w:lang w:val="en-US" w:eastAsia="zh-CN"/>
        </w:rPr>
        <w:t>废标</w:t>
      </w:r>
      <w:r>
        <w:rPr>
          <w:rFonts w:hint="eastAsia" w:ascii="宋体" w:hAnsi="宋体" w:eastAsia="宋体" w:cs="宋体"/>
          <w:color w:val="auto"/>
          <w:sz w:val="24"/>
          <w:szCs w:val="24"/>
          <w:highlight w:val="none"/>
        </w:rPr>
        <w:t>的其他情形。</w:t>
      </w:r>
    </w:p>
    <w:p w14:paraId="3EE39131">
      <w:pPr>
        <w:pStyle w:val="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23.</w:t>
      </w:r>
      <w:r>
        <w:rPr>
          <w:rFonts w:hint="eastAsia" w:ascii="宋体" w:hAnsi="宋体" w:eastAsia="宋体" w:cs="宋体"/>
          <w:color w:val="auto"/>
          <w:sz w:val="24"/>
          <w:szCs w:val="24"/>
          <w:highlight w:val="none"/>
        </w:rPr>
        <w:t>废标后，采购人应当将废标理由通知所有投标人。</w:t>
      </w:r>
    </w:p>
    <w:p w14:paraId="05AB6DCD">
      <w:pPr>
        <w:pStyle w:val="4"/>
        <w:keepNext/>
        <w:keepLines/>
        <w:pageBreakBefore w:val="0"/>
        <w:widowControl w:val="0"/>
        <w:numPr>
          <w:ilvl w:val="0"/>
          <w:numId w:val="0"/>
        </w:numPr>
        <w:kinsoku/>
        <w:wordWrap/>
        <w:overflowPunct/>
        <w:topLinePunct w:val="0"/>
        <w:autoSpaceDE/>
        <w:autoSpaceDN/>
        <w:bidi w:val="0"/>
        <w:adjustRightInd/>
        <w:snapToGrid/>
        <w:spacing w:before="160" w:after="160" w:line="360" w:lineRule="auto"/>
        <w:ind w:left="420" w:leftChars="0" w:hanging="420" w:firstLineChars="0"/>
        <w:textAlignment w:val="auto"/>
        <w:rPr>
          <w:rFonts w:hint="eastAsia" w:ascii="宋体" w:hAnsi="宋体" w:eastAsia="宋体" w:cs="宋体"/>
          <w:b/>
          <w:bCs/>
          <w:color w:val="auto"/>
          <w:kern w:val="2"/>
          <w:sz w:val="24"/>
          <w:szCs w:val="24"/>
          <w:highlight w:val="none"/>
          <w:lang w:val="zh-CN" w:eastAsia="zh-CN" w:bidi="ar-SA"/>
        </w:rPr>
      </w:pPr>
      <w:bookmarkStart w:id="553" w:name="_Toc102119853"/>
      <w:bookmarkStart w:id="554" w:name="_Toc102057718"/>
      <w:bookmarkStart w:id="555" w:name="_Toc102116022"/>
      <w:bookmarkStart w:id="556" w:name="_Toc20186"/>
      <w:bookmarkStart w:id="557" w:name="_Toc102116152"/>
      <w:bookmarkStart w:id="558" w:name="_Toc155185914"/>
      <w:bookmarkStart w:id="559" w:name="_Toc163492907"/>
      <w:bookmarkStart w:id="560" w:name="_Toc27130"/>
      <w:bookmarkStart w:id="561" w:name="_Toc102056218"/>
      <w:bookmarkStart w:id="562" w:name="_Toc102114920"/>
      <w:r>
        <w:rPr>
          <w:rFonts w:hint="eastAsia" w:ascii="宋体" w:hAnsi="宋体" w:eastAsia="宋体" w:cs="宋体"/>
          <w:b/>
          <w:bCs/>
          <w:color w:val="auto"/>
          <w:kern w:val="2"/>
          <w:sz w:val="24"/>
          <w:szCs w:val="24"/>
          <w:highlight w:val="none"/>
          <w:lang w:val="zh-CN" w:eastAsia="zh-CN" w:bidi="ar-SA"/>
        </w:rPr>
        <w:t>（</w:t>
      </w:r>
      <w:r>
        <w:rPr>
          <w:rFonts w:hint="eastAsia" w:ascii="宋体" w:hAnsi="宋体" w:eastAsia="宋体" w:cs="宋体"/>
          <w:b/>
          <w:bCs/>
          <w:color w:val="auto"/>
          <w:kern w:val="2"/>
          <w:sz w:val="24"/>
          <w:szCs w:val="24"/>
          <w:highlight w:val="none"/>
          <w:lang w:val="en-US" w:eastAsia="zh-CN" w:bidi="ar-SA"/>
        </w:rPr>
        <w:t>九</w:t>
      </w:r>
      <w:r>
        <w:rPr>
          <w:rFonts w:hint="eastAsia" w:ascii="宋体" w:hAnsi="宋体" w:eastAsia="宋体" w:cs="宋体"/>
          <w:b/>
          <w:bCs/>
          <w:color w:val="auto"/>
          <w:kern w:val="2"/>
          <w:sz w:val="24"/>
          <w:szCs w:val="24"/>
          <w:highlight w:val="none"/>
          <w:lang w:val="zh-CN" w:eastAsia="zh-CN" w:bidi="ar-SA"/>
        </w:rPr>
        <w:t>）停止评标的情形</w:t>
      </w:r>
      <w:bookmarkEnd w:id="553"/>
      <w:bookmarkEnd w:id="554"/>
      <w:bookmarkEnd w:id="555"/>
      <w:bookmarkEnd w:id="556"/>
      <w:bookmarkEnd w:id="557"/>
      <w:bookmarkEnd w:id="558"/>
      <w:bookmarkEnd w:id="559"/>
      <w:bookmarkEnd w:id="560"/>
      <w:bookmarkEnd w:id="561"/>
      <w:bookmarkEnd w:id="562"/>
    </w:p>
    <w:p w14:paraId="190044DE">
      <w:pPr>
        <w:pStyle w:val="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24</w:t>
      </w:r>
      <w:r>
        <w:rPr>
          <w:rFonts w:hint="eastAsia" w:ascii="宋体" w:hAnsi="宋体" w:eastAsia="宋体" w:cs="宋体"/>
          <w:color w:val="auto"/>
          <w:sz w:val="24"/>
          <w:szCs w:val="24"/>
          <w:highlight w:val="none"/>
        </w:rPr>
        <w:t>.评标委员会发现招标文件存在歧义、重大缺陷导致评标工作无法进行，或者招标文件内容违反国家有关强制性规定的，应当停止评标工作，与采购人或者采购代理机构沟通并作书面记录。采购人或者采购代理机构确认后，应当修改招标文件，重新组织采购活动。</w:t>
      </w:r>
    </w:p>
    <w:p w14:paraId="2CDB1955">
      <w:pPr>
        <w:pStyle w:val="4"/>
        <w:keepNext/>
        <w:keepLines/>
        <w:pageBreakBefore w:val="0"/>
        <w:widowControl w:val="0"/>
        <w:numPr>
          <w:ilvl w:val="0"/>
          <w:numId w:val="0"/>
        </w:numPr>
        <w:kinsoku/>
        <w:wordWrap/>
        <w:overflowPunct/>
        <w:topLinePunct w:val="0"/>
        <w:autoSpaceDE/>
        <w:autoSpaceDN/>
        <w:bidi w:val="0"/>
        <w:adjustRightInd/>
        <w:snapToGrid/>
        <w:spacing w:before="160" w:after="160" w:line="360" w:lineRule="auto"/>
        <w:ind w:left="420" w:leftChars="0" w:hanging="420" w:firstLineChars="0"/>
        <w:textAlignment w:val="auto"/>
        <w:rPr>
          <w:rFonts w:hint="eastAsia" w:ascii="宋体" w:hAnsi="宋体" w:eastAsia="宋体" w:cs="宋体"/>
          <w:b/>
          <w:bCs/>
          <w:color w:val="auto"/>
          <w:kern w:val="2"/>
          <w:sz w:val="24"/>
          <w:szCs w:val="24"/>
          <w:highlight w:val="none"/>
          <w:lang w:val="zh-CN" w:eastAsia="zh-CN" w:bidi="ar-SA"/>
        </w:rPr>
      </w:pPr>
      <w:bookmarkStart w:id="563" w:name="_Toc28717"/>
      <w:bookmarkStart w:id="564" w:name="_Toc15371"/>
      <w:r>
        <w:rPr>
          <w:rFonts w:hint="eastAsia" w:ascii="宋体" w:hAnsi="宋体" w:eastAsia="宋体" w:cs="宋体"/>
          <w:b/>
          <w:bCs/>
          <w:color w:val="auto"/>
          <w:kern w:val="2"/>
          <w:sz w:val="24"/>
          <w:szCs w:val="24"/>
          <w:highlight w:val="none"/>
          <w:lang w:val="zh-CN" w:eastAsia="zh-CN" w:bidi="ar-SA"/>
        </w:rPr>
        <w:t>（</w:t>
      </w:r>
      <w:r>
        <w:rPr>
          <w:rFonts w:hint="eastAsia" w:ascii="宋体" w:hAnsi="宋体" w:eastAsia="宋体" w:cs="宋体"/>
          <w:b/>
          <w:bCs/>
          <w:color w:val="auto"/>
          <w:kern w:val="2"/>
          <w:sz w:val="24"/>
          <w:szCs w:val="24"/>
          <w:highlight w:val="none"/>
          <w:lang w:val="en-US" w:eastAsia="zh-CN" w:bidi="ar-SA"/>
        </w:rPr>
        <w:t>十</w:t>
      </w:r>
      <w:r>
        <w:rPr>
          <w:rFonts w:hint="eastAsia" w:ascii="宋体" w:hAnsi="宋体" w:eastAsia="宋体" w:cs="宋体"/>
          <w:b/>
          <w:bCs/>
          <w:color w:val="auto"/>
          <w:kern w:val="2"/>
          <w:sz w:val="24"/>
          <w:szCs w:val="24"/>
          <w:highlight w:val="none"/>
          <w:lang w:val="zh-CN" w:eastAsia="zh-CN" w:bidi="ar-SA"/>
        </w:rPr>
        <w:t>）重新开展采购</w:t>
      </w:r>
      <w:bookmarkEnd w:id="563"/>
      <w:bookmarkEnd w:id="564"/>
    </w:p>
    <w:p w14:paraId="461B653A">
      <w:pPr>
        <w:pStyle w:val="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25.</w:t>
      </w:r>
      <w:r>
        <w:rPr>
          <w:rFonts w:hint="eastAsia" w:ascii="宋体" w:hAnsi="宋体" w:eastAsia="宋体" w:cs="宋体"/>
          <w:color w:val="auto"/>
          <w:sz w:val="24"/>
          <w:szCs w:val="24"/>
          <w:highlight w:val="none"/>
        </w:rPr>
        <w:t>有</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中华人民共和国政府采购法</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第七十一条、第七十二条规定的违法行为之一，影响或者可能影响中标结果的，依照下列规定处理：</w:t>
      </w:r>
    </w:p>
    <w:p w14:paraId="7AA5C7C3">
      <w:pPr>
        <w:pStyle w:val="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25</w:t>
      </w:r>
      <w:r>
        <w:rPr>
          <w:rFonts w:hint="eastAsia" w:ascii="宋体" w:hAnsi="宋体" w:eastAsia="宋体" w:cs="宋体"/>
          <w:color w:val="auto"/>
          <w:sz w:val="24"/>
          <w:szCs w:val="24"/>
          <w:highlight w:val="none"/>
        </w:rPr>
        <w:t>.1未确定中标供应商的，终止本次政府采购活动，重新开展政府采购活动。</w:t>
      </w:r>
    </w:p>
    <w:p w14:paraId="3A794890">
      <w:pPr>
        <w:pStyle w:val="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25</w:t>
      </w:r>
      <w:r>
        <w:rPr>
          <w:rFonts w:hint="eastAsia" w:ascii="宋体" w:hAnsi="宋体" w:eastAsia="宋体" w:cs="宋体"/>
          <w:color w:val="auto"/>
          <w:sz w:val="24"/>
          <w:szCs w:val="24"/>
          <w:highlight w:val="none"/>
        </w:rPr>
        <w:t>.2已确定中标供应商但尚未签订政府采购合同的，中标结果无效，从合格的中标候选人中另行确定中标供应商；没有合格的中标候选人的，重新开展政府采购活动。</w:t>
      </w:r>
    </w:p>
    <w:p w14:paraId="595100CC">
      <w:pPr>
        <w:pStyle w:val="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25</w:t>
      </w:r>
      <w:r>
        <w:rPr>
          <w:rFonts w:hint="eastAsia" w:ascii="宋体" w:hAnsi="宋体" w:eastAsia="宋体" w:cs="宋体"/>
          <w:color w:val="auto"/>
          <w:sz w:val="24"/>
          <w:szCs w:val="24"/>
          <w:highlight w:val="none"/>
        </w:rPr>
        <w:t>.3政府采购合同已签订但尚未履行的，撤销合同，从合格的中标候选人中另行确定中标供应商；没有合格的中标候选人的，重新开展政府采购活动。</w:t>
      </w:r>
    </w:p>
    <w:p w14:paraId="45E078B1">
      <w:pPr>
        <w:pStyle w:val="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25</w:t>
      </w:r>
      <w:r>
        <w:rPr>
          <w:rFonts w:hint="eastAsia" w:ascii="宋体" w:hAnsi="宋体" w:eastAsia="宋体" w:cs="宋体"/>
          <w:color w:val="auto"/>
          <w:sz w:val="24"/>
          <w:szCs w:val="24"/>
          <w:highlight w:val="none"/>
        </w:rPr>
        <w:t>.4政府采购合同已经履行，给采购人、供应商造成损失的，由责任人承担赔偿责任。</w:t>
      </w:r>
    </w:p>
    <w:p w14:paraId="43A428E9">
      <w:pPr>
        <w:pStyle w:val="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25</w:t>
      </w:r>
      <w:r>
        <w:rPr>
          <w:rFonts w:hint="eastAsia" w:ascii="宋体" w:hAnsi="宋体" w:eastAsia="宋体" w:cs="宋体"/>
          <w:color w:val="auto"/>
          <w:sz w:val="24"/>
          <w:szCs w:val="24"/>
          <w:highlight w:val="none"/>
        </w:rPr>
        <w:t>.5政府采购当事人有其他违反</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中华人民共和国政府采购法</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或者</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中华人民共和国政府采购法实施条例</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等法律法规规定的行为，经改正后仍然影响或者可能影响中标结果或者依法被认定为中标无效的，依照</w:t>
      </w:r>
      <w:r>
        <w:rPr>
          <w:rFonts w:hint="eastAsia" w:ascii="宋体" w:hAnsi="宋体" w:eastAsia="宋体" w:cs="宋体"/>
          <w:color w:val="auto"/>
          <w:sz w:val="24"/>
          <w:szCs w:val="24"/>
          <w:highlight w:val="none"/>
          <w:lang w:val="en-US" w:eastAsia="zh-CN"/>
        </w:rPr>
        <w:t>24</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24</w:t>
      </w:r>
      <w:r>
        <w:rPr>
          <w:rFonts w:hint="eastAsia" w:ascii="宋体" w:hAnsi="宋体" w:eastAsia="宋体" w:cs="宋体"/>
          <w:color w:val="auto"/>
          <w:sz w:val="24"/>
          <w:szCs w:val="24"/>
          <w:highlight w:val="none"/>
        </w:rPr>
        <w:t>.4规定处理。</w:t>
      </w:r>
    </w:p>
    <w:bookmarkEnd w:id="510"/>
    <w:bookmarkEnd w:id="511"/>
    <w:bookmarkEnd w:id="512"/>
    <w:bookmarkEnd w:id="513"/>
    <w:bookmarkEnd w:id="514"/>
    <w:bookmarkEnd w:id="515"/>
    <w:bookmarkEnd w:id="516"/>
    <w:bookmarkEnd w:id="517"/>
    <w:bookmarkEnd w:id="518"/>
    <w:bookmarkEnd w:id="519"/>
    <w:p w14:paraId="6AD5E432">
      <w:pPr>
        <w:pStyle w:val="3"/>
        <w:keepNext/>
        <w:keepLines/>
        <w:pageBreakBefore w:val="0"/>
        <w:widowControl w:val="0"/>
        <w:numPr>
          <w:ilvl w:val="0"/>
          <w:numId w:val="0"/>
        </w:numPr>
        <w:kinsoku/>
        <w:wordWrap/>
        <w:overflowPunct/>
        <w:topLinePunct w:val="0"/>
        <w:autoSpaceDE/>
        <w:autoSpaceDN/>
        <w:bidi w:val="0"/>
        <w:adjustRightInd/>
        <w:snapToGrid/>
        <w:spacing w:before="160" w:after="160" w:line="360" w:lineRule="auto"/>
        <w:ind w:left="420" w:leftChars="0" w:hanging="420" w:firstLineChars="0"/>
        <w:textAlignment w:val="auto"/>
        <w:rPr>
          <w:rFonts w:hint="default" w:ascii="宋体" w:hAnsi="宋体" w:eastAsia="宋体" w:cs="宋体"/>
          <w:color w:val="auto"/>
          <w:sz w:val="28"/>
          <w:szCs w:val="28"/>
          <w:highlight w:val="none"/>
          <w:lang w:val="en-US" w:eastAsia="zh-CN"/>
        </w:rPr>
      </w:pPr>
      <w:bookmarkStart w:id="565" w:name="_Toc26940"/>
      <w:r>
        <w:rPr>
          <w:rFonts w:hint="eastAsia" w:ascii="宋体" w:hAnsi="宋体" w:eastAsia="宋体" w:cs="宋体"/>
          <w:color w:val="auto"/>
          <w:sz w:val="28"/>
          <w:szCs w:val="28"/>
          <w:highlight w:val="none"/>
          <w:lang w:val="zh-CN" w:eastAsia="zh-CN"/>
        </w:rPr>
        <w:t>三、评标</w:t>
      </w:r>
      <w:r>
        <w:rPr>
          <w:rFonts w:hint="eastAsia" w:ascii="宋体" w:hAnsi="宋体" w:eastAsia="宋体" w:cs="宋体"/>
          <w:color w:val="auto"/>
          <w:sz w:val="28"/>
          <w:szCs w:val="28"/>
          <w:highlight w:val="none"/>
          <w:lang w:val="en-US" w:eastAsia="zh-CN"/>
        </w:rPr>
        <w:t>其他要求</w:t>
      </w:r>
      <w:bookmarkEnd w:id="565"/>
    </w:p>
    <w:p w14:paraId="555D6B49">
      <w:pPr>
        <w:pStyle w:val="40"/>
        <w:pageBreakBefore w:val="0"/>
        <w:widowControl w:val="0"/>
        <w:kinsoku/>
        <w:overflowPunct/>
        <w:topLinePunct w:val="0"/>
        <w:autoSpaceDE/>
        <w:autoSpaceDN/>
        <w:bidi w:val="0"/>
        <w:adjustRightInd/>
        <w:snapToGrid/>
        <w:textAlignment w:val="auto"/>
        <w:rPr>
          <w:rFonts w:hint="eastAsia"/>
          <w:color w:val="auto"/>
          <w:highlight w:val="none"/>
          <w:lang w:eastAsia="zh-CN"/>
        </w:rPr>
      </w:pPr>
      <w:r>
        <w:rPr>
          <w:rFonts w:hint="eastAsia"/>
          <w:color w:val="auto"/>
          <w:highlight w:val="none"/>
          <w:lang w:eastAsia="zh-CN"/>
        </w:rPr>
        <w:t>【</w:t>
      </w:r>
      <w:r>
        <w:rPr>
          <w:rFonts w:hint="eastAsia"/>
          <w:color w:val="auto"/>
          <w:highlight w:val="none"/>
          <w:lang w:val="en-US" w:eastAsia="zh-CN"/>
        </w:rPr>
        <w:t>/</w:t>
      </w:r>
      <w:r>
        <w:rPr>
          <w:rFonts w:hint="eastAsia"/>
          <w:color w:val="auto"/>
          <w:highlight w:val="none"/>
          <w:lang w:eastAsia="zh-CN"/>
        </w:rPr>
        <w:t>】</w:t>
      </w:r>
    </w:p>
    <w:p w14:paraId="32B5EED4">
      <w:pPr>
        <w:keepNext w:val="0"/>
        <w:keepLines w:val="0"/>
        <w:pageBreakBefore w:val="0"/>
        <w:widowControl w:val="0"/>
        <w:numPr>
          <w:ilvl w:val="0"/>
          <w:numId w:val="0"/>
        </w:numPr>
        <w:kinsoku/>
        <w:wordWrap/>
        <w:overflowPunct/>
        <w:topLinePunct w:val="0"/>
        <w:autoSpaceDE/>
        <w:autoSpaceDN/>
        <w:bidi w:val="0"/>
        <w:adjustRightInd/>
        <w:snapToGrid/>
        <w:spacing w:before="160" w:after="160" w:line="360" w:lineRule="auto"/>
        <w:ind w:left="420" w:leftChars="0" w:hanging="420" w:firstLineChars="0"/>
        <w:textAlignment w:val="auto"/>
        <w:outlineLvl w:val="9"/>
        <w:rPr>
          <w:rFonts w:hint="eastAsia" w:ascii="宋体" w:hAnsi="宋体" w:eastAsia="宋体" w:cs="宋体"/>
          <w:color w:val="auto"/>
          <w:sz w:val="28"/>
          <w:szCs w:val="28"/>
          <w:highlight w:val="none"/>
          <w:lang w:val="en-US" w:eastAsia="zh-CN"/>
        </w:rPr>
      </w:pPr>
      <w:bookmarkStart w:id="566" w:name="_Toc155185915"/>
    </w:p>
    <w:p w14:paraId="2D5D2532">
      <w:pPr>
        <w:keepNext w:val="0"/>
        <w:keepLines w:val="0"/>
        <w:pageBreakBefore w:val="0"/>
        <w:widowControl w:val="0"/>
        <w:numPr>
          <w:ilvl w:val="0"/>
          <w:numId w:val="0"/>
        </w:numPr>
        <w:kinsoku/>
        <w:wordWrap/>
        <w:overflowPunct/>
        <w:topLinePunct w:val="0"/>
        <w:autoSpaceDE/>
        <w:autoSpaceDN/>
        <w:bidi w:val="0"/>
        <w:adjustRightInd/>
        <w:snapToGrid/>
        <w:spacing w:before="160" w:after="160" w:line="360" w:lineRule="auto"/>
        <w:ind w:left="420" w:leftChars="0" w:hanging="420" w:firstLineChars="0"/>
        <w:textAlignment w:val="auto"/>
        <w:outlineLvl w:val="9"/>
        <w:rPr>
          <w:rFonts w:hint="eastAsia" w:ascii="宋体" w:hAnsi="宋体" w:eastAsia="宋体" w:cs="宋体"/>
          <w:color w:val="auto"/>
          <w:sz w:val="28"/>
          <w:szCs w:val="28"/>
          <w:highlight w:val="none"/>
          <w:lang w:val="en-US" w:eastAsia="zh-CN"/>
        </w:rPr>
      </w:pPr>
    </w:p>
    <w:p w14:paraId="42E9B2C3">
      <w:pPr>
        <w:keepNext w:val="0"/>
        <w:keepLines w:val="0"/>
        <w:pageBreakBefore w:val="0"/>
        <w:widowControl w:val="0"/>
        <w:numPr>
          <w:ilvl w:val="0"/>
          <w:numId w:val="0"/>
        </w:numPr>
        <w:kinsoku/>
        <w:wordWrap/>
        <w:overflowPunct/>
        <w:topLinePunct w:val="0"/>
        <w:autoSpaceDE/>
        <w:autoSpaceDN/>
        <w:bidi w:val="0"/>
        <w:adjustRightInd/>
        <w:snapToGrid/>
        <w:spacing w:before="160" w:after="160" w:line="360" w:lineRule="auto"/>
        <w:ind w:left="420" w:leftChars="0" w:hanging="420" w:firstLineChars="0"/>
        <w:textAlignment w:val="auto"/>
        <w:outlineLvl w:val="9"/>
        <w:rPr>
          <w:rFonts w:hint="eastAsia" w:ascii="宋体" w:hAnsi="宋体" w:eastAsia="宋体" w:cs="宋体"/>
          <w:color w:val="auto"/>
          <w:sz w:val="28"/>
          <w:szCs w:val="28"/>
          <w:highlight w:val="none"/>
          <w:lang w:val="en-US" w:eastAsia="zh-CN"/>
        </w:rPr>
      </w:pPr>
    </w:p>
    <w:p w14:paraId="0EA4DBB5">
      <w:pPr>
        <w:keepNext w:val="0"/>
        <w:keepLines w:val="0"/>
        <w:pageBreakBefore w:val="0"/>
        <w:widowControl w:val="0"/>
        <w:numPr>
          <w:ilvl w:val="0"/>
          <w:numId w:val="0"/>
        </w:numPr>
        <w:kinsoku/>
        <w:wordWrap/>
        <w:overflowPunct/>
        <w:topLinePunct w:val="0"/>
        <w:autoSpaceDE/>
        <w:autoSpaceDN/>
        <w:bidi w:val="0"/>
        <w:adjustRightInd/>
        <w:snapToGrid/>
        <w:spacing w:before="160" w:after="160" w:line="360" w:lineRule="auto"/>
        <w:ind w:left="420" w:leftChars="0" w:hanging="420" w:firstLineChars="0"/>
        <w:textAlignment w:val="auto"/>
        <w:outlineLvl w:val="9"/>
        <w:rPr>
          <w:rFonts w:hint="eastAsia" w:ascii="宋体" w:hAnsi="宋体" w:eastAsia="宋体" w:cs="宋体"/>
          <w:color w:val="auto"/>
          <w:sz w:val="28"/>
          <w:szCs w:val="28"/>
          <w:highlight w:val="none"/>
          <w:lang w:val="en-US" w:eastAsia="zh-CN"/>
        </w:rPr>
      </w:pPr>
    </w:p>
    <w:p w14:paraId="4D3415E5">
      <w:pPr>
        <w:pStyle w:val="3"/>
        <w:keepNext w:val="0"/>
        <w:keepLines w:val="0"/>
        <w:pageBreakBefore w:val="0"/>
        <w:widowControl w:val="0"/>
        <w:numPr>
          <w:ilvl w:val="0"/>
          <w:numId w:val="0"/>
        </w:numPr>
        <w:kinsoku/>
        <w:wordWrap/>
        <w:overflowPunct/>
        <w:topLinePunct w:val="0"/>
        <w:autoSpaceDE/>
        <w:autoSpaceDN/>
        <w:bidi w:val="0"/>
        <w:adjustRightInd/>
        <w:snapToGrid/>
        <w:spacing w:before="160" w:after="160" w:line="360" w:lineRule="auto"/>
        <w:ind w:left="420" w:leftChars="0" w:hanging="420" w:firstLineChars="0"/>
        <w:textAlignment w:val="auto"/>
        <w:rPr>
          <w:rFonts w:hint="eastAsia" w:ascii="宋体" w:hAnsi="宋体" w:eastAsia="宋体" w:cs="宋体"/>
          <w:color w:val="auto"/>
          <w:sz w:val="28"/>
          <w:szCs w:val="28"/>
          <w:highlight w:val="none"/>
          <w:lang w:val="zh-CN" w:eastAsia="zh-CN"/>
        </w:rPr>
      </w:pPr>
      <w:bookmarkStart w:id="567" w:name="_Toc19817"/>
      <w:r>
        <w:rPr>
          <w:rFonts w:hint="eastAsia" w:ascii="宋体" w:hAnsi="宋体" w:eastAsia="宋体" w:cs="宋体"/>
          <w:color w:val="auto"/>
          <w:sz w:val="28"/>
          <w:szCs w:val="28"/>
          <w:highlight w:val="none"/>
          <w:lang w:val="en-US" w:eastAsia="zh-CN"/>
        </w:rPr>
        <w:t>四</w:t>
      </w:r>
      <w:r>
        <w:rPr>
          <w:rFonts w:hint="eastAsia" w:ascii="宋体" w:hAnsi="宋体" w:eastAsia="宋体" w:cs="宋体"/>
          <w:color w:val="auto"/>
          <w:sz w:val="28"/>
          <w:szCs w:val="28"/>
          <w:highlight w:val="none"/>
          <w:lang w:val="zh-CN" w:eastAsia="zh-CN"/>
        </w:rPr>
        <w:t>、评标标准</w:t>
      </w:r>
      <w:bookmarkEnd w:id="566"/>
      <w:bookmarkEnd w:id="567"/>
    </w:p>
    <w:p w14:paraId="6FC1DEBE">
      <w:pPr>
        <w:pStyle w:val="4"/>
        <w:keepNext w:val="0"/>
        <w:keepLines w:val="0"/>
        <w:pageBreakBefore w:val="0"/>
        <w:widowControl w:val="0"/>
        <w:numPr>
          <w:ilvl w:val="0"/>
          <w:numId w:val="0"/>
        </w:numPr>
        <w:kinsoku/>
        <w:wordWrap/>
        <w:overflowPunct/>
        <w:topLinePunct w:val="0"/>
        <w:autoSpaceDE/>
        <w:autoSpaceDN/>
        <w:bidi w:val="0"/>
        <w:adjustRightInd/>
        <w:snapToGrid/>
        <w:spacing w:before="160" w:after="160" w:line="360" w:lineRule="auto"/>
        <w:ind w:left="420" w:leftChars="0" w:hanging="420" w:firstLineChars="0"/>
        <w:textAlignment w:val="auto"/>
        <w:rPr>
          <w:rFonts w:hint="eastAsia" w:ascii="宋体" w:hAnsi="宋体" w:eastAsia="宋体" w:cs="宋体"/>
          <w:b/>
          <w:bCs/>
          <w:color w:val="auto"/>
          <w:kern w:val="2"/>
          <w:sz w:val="24"/>
          <w:szCs w:val="24"/>
          <w:highlight w:val="none"/>
          <w:lang w:val="zh-CN" w:eastAsia="zh-CN" w:bidi="ar-SA"/>
        </w:rPr>
      </w:pPr>
      <w:bookmarkStart w:id="568" w:name="_Toc1043"/>
      <w:bookmarkStart w:id="569" w:name="_Toc16256"/>
      <w:bookmarkStart w:id="570" w:name="_Toc163492909"/>
      <w:r>
        <w:rPr>
          <w:rFonts w:hint="eastAsia" w:ascii="宋体" w:hAnsi="宋体" w:eastAsia="宋体" w:cs="宋体"/>
          <w:b/>
          <w:bCs/>
          <w:color w:val="auto"/>
          <w:kern w:val="2"/>
          <w:sz w:val="24"/>
          <w:szCs w:val="24"/>
          <w:highlight w:val="none"/>
          <w:lang w:val="zh-CN" w:eastAsia="zh-CN" w:bidi="ar-SA"/>
        </w:rPr>
        <w:t>（一）符合性审查表</w:t>
      </w:r>
      <w:bookmarkEnd w:id="568"/>
      <w:bookmarkEnd w:id="569"/>
      <w:bookmarkEnd w:id="570"/>
    </w:p>
    <w:tbl>
      <w:tblPr>
        <w:tblStyle w:val="31"/>
        <w:tblW w:w="5513" w:type="pct"/>
        <w:tblInd w:w="-34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492"/>
        <w:gridCol w:w="1579"/>
        <w:gridCol w:w="5678"/>
        <w:gridCol w:w="728"/>
        <w:gridCol w:w="919"/>
      </w:tblGrid>
      <w:tr w14:paraId="6867D0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4" w:hRule="atLeast"/>
        </w:trPr>
        <w:tc>
          <w:tcPr>
            <w:tcW w:w="262" w:type="pct"/>
            <w:vMerge w:val="restart"/>
            <w:shd w:val="clear" w:color="auto" w:fill="D8D8D8" w:themeFill="background1" w:themeFillShade="D9"/>
            <w:vAlign w:val="center"/>
          </w:tcPr>
          <w:p w14:paraId="3B188FC3">
            <w:pPr>
              <w:pStyle w:val="52"/>
              <w:jc w:val="center"/>
              <w:rPr>
                <w:rFonts w:hint="eastAsia" w:ascii="宋体" w:hAnsi="宋体" w:eastAsia="宋体" w:cs="宋体"/>
                <w:b/>
                <w:bCs/>
                <w:color w:val="auto"/>
                <w:sz w:val="21"/>
                <w:szCs w:val="21"/>
                <w:highlight w:val="none"/>
                <w:lang w:val="zh-CN"/>
              </w:rPr>
            </w:pPr>
            <w:r>
              <w:rPr>
                <w:rFonts w:hint="eastAsia" w:ascii="宋体" w:hAnsi="宋体" w:eastAsia="宋体" w:cs="宋体"/>
                <w:b/>
                <w:bCs/>
                <w:color w:val="auto"/>
                <w:sz w:val="21"/>
                <w:szCs w:val="21"/>
                <w:highlight w:val="none"/>
                <w:lang w:val="zh-CN"/>
              </w:rPr>
              <w:t>序号</w:t>
            </w:r>
          </w:p>
        </w:tc>
        <w:tc>
          <w:tcPr>
            <w:tcW w:w="840" w:type="pct"/>
            <w:vMerge w:val="restart"/>
            <w:shd w:val="clear" w:color="auto" w:fill="D8D8D8" w:themeFill="background1" w:themeFillShade="D9"/>
            <w:vAlign w:val="center"/>
          </w:tcPr>
          <w:p w14:paraId="316B5F87">
            <w:pPr>
              <w:pStyle w:val="52"/>
              <w:jc w:val="center"/>
              <w:rPr>
                <w:rFonts w:hint="eastAsia" w:ascii="宋体" w:hAnsi="宋体" w:eastAsia="宋体" w:cs="宋体"/>
                <w:b/>
                <w:bCs/>
                <w:color w:val="auto"/>
                <w:sz w:val="21"/>
                <w:szCs w:val="21"/>
                <w:highlight w:val="none"/>
                <w:lang w:val="zh-CN"/>
              </w:rPr>
            </w:pPr>
            <w:r>
              <w:rPr>
                <w:rFonts w:hint="eastAsia" w:ascii="宋体" w:hAnsi="宋体" w:eastAsia="宋体" w:cs="宋体"/>
                <w:b/>
                <w:bCs/>
                <w:color w:val="auto"/>
                <w:sz w:val="21"/>
                <w:szCs w:val="21"/>
                <w:highlight w:val="none"/>
                <w:lang w:val="zh-CN"/>
              </w:rPr>
              <w:t>审查项名称</w:t>
            </w:r>
          </w:p>
        </w:tc>
        <w:tc>
          <w:tcPr>
            <w:tcW w:w="3020" w:type="pct"/>
            <w:vMerge w:val="restart"/>
            <w:shd w:val="clear" w:color="auto" w:fill="D8D8D8" w:themeFill="background1" w:themeFillShade="D9"/>
            <w:vAlign w:val="center"/>
          </w:tcPr>
          <w:p w14:paraId="44B32FDC">
            <w:pPr>
              <w:pStyle w:val="52"/>
              <w:jc w:val="center"/>
              <w:rPr>
                <w:rFonts w:hint="eastAsia" w:ascii="宋体" w:hAnsi="宋体" w:eastAsia="宋体" w:cs="宋体"/>
                <w:b/>
                <w:bCs/>
                <w:color w:val="auto"/>
                <w:sz w:val="21"/>
                <w:szCs w:val="21"/>
                <w:highlight w:val="none"/>
                <w:lang w:val="zh-CN"/>
              </w:rPr>
            </w:pPr>
            <w:r>
              <w:rPr>
                <w:rFonts w:hint="eastAsia" w:ascii="宋体" w:hAnsi="宋体" w:eastAsia="宋体" w:cs="宋体"/>
                <w:b/>
                <w:bCs/>
                <w:color w:val="auto"/>
                <w:sz w:val="21"/>
                <w:szCs w:val="21"/>
                <w:highlight w:val="none"/>
                <w:lang w:val="zh-CN"/>
              </w:rPr>
              <w:t>审查内容</w:t>
            </w:r>
          </w:p>
        </w:tc>
        <w:tc>
          <w:tcPr>
            <w:tcW w:w="876" w:type="pct"/>
            <w:gridSpan w:val="2"/>
            <w:shd w:val="clear" w:color="auto" w:fill="D8D8D8" w:themeFill="background1" w:themeFillShade="D9"/>
            <w:vAlign w:val="center"/>
          </w:tcPr>
          <w:p w14:paraId="2724C461">
            <w:pPr>
              <w:pStyle w:val="52"/>
              <w:jc w:val="center"/>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审查结果</w:t>
            </w:r>
          </w:p>
        </w:tc>
      </w:tr>
      <w:tr w14:paraId="6963BE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9" w:hRule="atLeast"/>
        </w:trPr>
        <w:tc>
          <w:tcPr>
            <w:tcW w:w="262" w:type="pct"/>
            <w:vMerge w:val="continue"/>
            <w:shd w:val="clear" w:color="auto" w:fill="D8D8D8" w:themeFill="background1" w:themeFillShade="D9"/>
            <w:vAlign w:val="center"/>
          </w:tcPr>
          <w:p w14:paraId="1859AA86">
            <w:pPr>
              <w:pStyle w:val="52"/>
              <w:jc w:val="center"/>
              <w:rPr>
                <w:rFonts w:hint="eastAsia" w:ascii="宋体" w:hAnsi="宋体" w:eastAsia="宋体" w:cs="宋体"/>
                <w:b/>
                <w:bCs/>
                <w:color w:val="auto"/>
                <w:sz w:val="21"/>
                <w:szCs w:val="21"/>
                <w:highlight w:val="none"/>
                <w:lang w:val="zh-CN"/>
              </w:rPr>
            </w:pPr>
          </w:p>
        </w:tc>
        <w:tc>
          <w:tcPr>
            <w:tcW w:w="840" w:type="pct"/>
            <w:vMerge w:val="continue"/>
            <w:shd w:val="clear" w:color="auto" w:fill="D8D8D8" w:themeFill="background1" w:themeFillShade="D9"/>
            <w:vAlign w:val="center"/>
          </w:tcPr>
          <w:p w14:paraId="51EF0565">
            <w:pPr>
              <w:pStyle w:val="52"/>
              <w:jc w:val="center"/>
              <w:rPr>
                <w:rFonts w:hint="eastAsia" w:ascii="宋体" w:hAnsi="宋体" w:eastAsia="宋体" w:cs="宋体"/>
                <w:b/>
                <w:bCs/>
                <w:color w:val="auto"/>
                <w:sz w:val="21"/>
                <w:szCs w:val="21"/>
                <w:highlight w:val="none"/>
                <w:lang w:val="zh-CN"/>
              </w:rPr>
            </w:pPr>
          </w:p>
        </w:tc>
        <w:tc>
          <w:tcPr>
            <w:tcW w:w="3020" w:type="pct"/>
            <w:vMerge w:val="continue"/>
            <w:shd w:val="clear" w:color="auto" w:fill="D8D8D8" w:themeFill="background1" w:themeFillShade="D9"/>
            <w:vAlign w:val="center"/>
          </w:tcPr>
          <w:p w14:paraId="2128C077">
            <w:pPr>
              <w:pStyle w:val="52"/>
              <w:jc w:val="center"/>
              <w:rPr>
                <w:rFonts w:hint="eastAsia" w:ascii="宋体" w:hAnsi="宋体" w:eastAsia="宋体" w:cs="宋体"/>
                <w:b/>
                <w:bCs/>
                <w:color w:val="auto"/>
                <w:sz w:val="21"/>
                <w:szCs w:val="21"/>
                <w:highlight w:val="none"/>
                <w:lang w:val="zh-CN"/>
              </w:rPr>
            </w:pPr>
          </w:p>
        </w:tc>
        <w:tc>
          <w:tcPr>
            <w:tcW w:w="387" w:type="pct"/>
            <w:shd w:val="clear" w:color="auto" w:fill="D8D8D8" w:themeFill="background1" w:themeFillShade="D9"/>
            <w:vAlign w:val="center"/>
          </w:tcPr>
          <w:p w14:paraId="0CAA21D7">
            <w:pPr>
              <w:pStyle w:val="52"/>
              <w:jc w:val="center"/>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符合</w:t>
            </w:r>
          </w:p>
        </w:tc>
        <w:tc>
          <w:tcPr>
            <w:tcW w:w="488" w:type="pct"/>
            <w:shd w:val="clear" w:color="auto" w:fill="D8D8D8" w:themeFill="background1" w:themeFillShade="D9"/>
            <w:vAlign w:val="center"/>
          </w:tcPr>
          <w:p w14:paraId="15D1F439">
            <w:pPr>
              <w:pStyle w:val="52"/>
              <w:jc w:val="center"/>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不符合</w:t>
            </w:r>
          </w:p>
        </w:tc>
      </w:tr>
      <w:tr w14:paraId="233AF5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24" w:hRule="atLeast"/>
        </w:trPr>
        <w:tc>
          <w:tcPr>
            <w:tcW w:w="262" w:type="pct"/>
            <w:shd w:val="clear" w:color="auto" w:fill="auto"/>
            <w:vAlign w:val="center"/>
          </w:tcPr>
          <w:p w14:paraId="4A515C07">
            <w:pPr>
              <w:pStyle w:val="52"/>
              <w:numPr>
                <w:ilvl w:val="0"/>
                <w:numId w:val="0"/>
              </w:numPr>
              <w:ind w:left="420" w:leftChars="0" w:hanging="420" w:firstLineChars="0"/>
              <w:jc w:val="center"/>
              <w:rPr>
                <w:rFonts w:hint="eastAsia" w:ascii="宋体" w:hAnsi="宋体" w:eastAsia="宋体" w:cs="宋体"/>
                <w:color w:val="auto"/>
                <w:sz w:val="21"/>
                <w:szCs w:val="21"/>
                <w:highlight w:val="none"/>
                <w:lang w:val="zh-CN"/>
              </w:rPr>
            </w:pPr>
            <w:r>
              <w:rPr>
                <w:rFonts w:hint="eastAsia" w:ascii="宋体" w:hAnsi="宋体" w:eastAsia="宋体" w:cs="宋体"/>
                <w:color w:val="auto"/>
                <w:kern w:val="2"/>
                <w:sz w:val="21"/>
                <w:szCs w:val="21"/>
                <w:highlight w:val="none"/>
                <w:lang w:val="zh-CN" w:eastAsia="zh-CN" w:bidi="ar-SA"/>
              </w:rPr>
              <w:t>1</w:t>
            </w:r>
          </w:p>
        </w:tc>
        <w:tc>
          <w:tcPr>
            <w:tcW w:w="840" w:type="pct"/>
            <w:vAlign w:val="center"/>
          </w:tcPr>
          <w:p w14:paraId="5E0E3062">
            <w:pPr>
              <w:pStyle w:val="52"/>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投标文件</w:t>
            </w:r>
            <w:r>
              <w:rPr>
                <w:rFonts w:hint="eastAsia" w:ascii="宋体" w:hAnsi="宋体" w:eastAsia="宋体" w:cs="宋体"/>
                <w:color w:val="auto"/>
                <w:sz w:val="21"/>
                <w:szCs w:val="21"/>
                <w:highlight w:val="none"/>
              </w:rPr>
              <w:t>签署</w:t>
            </w:r>
          </w:p>
        </w:tc>
        <w:tc>
          <w:tcPr>
            <w:tcW w:w="3020" w:type="pct"/>
            <w:shd w:val="clear" w:color="auto" w:fill="auto"/>
            <w:vAlign w:val="center"/>
          </w:tcPr>
          <w:p w14:paraId="0FA4ED80">
            <w:pPr>
              <w:pStyle w:val="52"/>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en-US" w:eastAsia="zh-CN"/>
              </w:rPr>
              <w:t>投标文件按招标文件要求签署、盖章的</w:t>
            </w:r>
          </w:p>
        </w:tc>
        <w:tc>
          <w:tcPr>
            <w:tcW w:w="387" w:type="pct"/>
            <w:shd w:val="clear" w:color="auto" w:fill="auto"/>
            <w:vAlign w:val="center"/>
          </w:tcPr>
          <w:p w14:paraId="1E1F1EB1">
            <w:pPr>
              <w:pStyle w:val="52"/>
              <w:rPr>
                <w:rFonts w:hint="eastAsia" w:ascii="宋体" w:hAnsi="宋体" w:eastAsia="宋体" w:cs="宋体"/>
                <w:color w:val="auto"/>
                <w:sz w:val="21"/>
                <w:szCs w:val="21"/>
                <w:highlight w:val="none"/>
                <w:lang w:val="zh-CN"/>
              </w:rPr>
            </w:pPr>
          </w:p>
        </w:tc>
        <w:tc>
          <w:tcPr>
            <w:tcW w:w="488" w:type="pct"/>
            <w:shd w:val="clear" w:color="auto" w:fill="auto"/>
            <w:vAlign w:val="center"/>
          </w:tcPr>
          <w:p w14:paraId="35325BAA">
            <w:pPr>
              <w:pStyle w:val="52"/>
              <w:rPr>
                <w:rFonts w:hint="eastAsia" w:ascii="宋体" w:hAnsi="宋体" w:eastAsia="宋体" w:cs="宋体"/>
                <w:color w:val="auto"/>
                <w:sz w:val="21"/>
                <w:szCs w:val="21"/>
                <w:highlight w:val="none"/>
                <w:lang w:val="zh-CN"/>
              </w:rPr>
            </w:pPr>
          </w:p>
        </w:tc>
      </w:tr>
      <w:tr w14:paraId="3F1703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4" w:hRule="atLeast"/>
        </w:trPr>
        <w:tc>
          <w:tcPr>
            <w:tcW w:w="262" w:type="pct"/>
            <w:shd w:val="clear" w:color="auto" w:fill="auto"/>
            <w:vAlign w:val="center"/>
          </w:tcPr>
          <w:p w14:paraId="5B53A43D">
            <w:pPr>
              <w:pStyle w:val="52"/>
              <w:numPr>
                <w:ilvl w:val="0"/>
                <w:numId w:val="0"/>
              </w:numPr>
              <w:ind w:left="420" w:leftChars="0" w:hanging="420" w:firstLineChars="0"/>
              <w:jc w:val="center"/>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kern w:val="2"/>
                <w:sz w:val="21"/>
                <w:szCs w:val="21"/>
                <w:highlight w:val="none"/>
                <w:lang w:val="zh-CN" w:eastAsia="zh-CN" w:bidi="ar-SA"/>
              </w:rPr>
              <w:t>2</w:t>
            </w:r>
          </w:p>
        </w:tc>
        <w:tc>
          <w:tcPr>
            <w:tcW w:w="840" w:type="pct"/>
            <w:shd w:val="clear" w:color="auto" w:fill="auto"/>
            <w:vAlign w:val="center"/>
          </w:tcPr>
          <w:p w14:paraId="54DD2E09">
            <w:pPr>
              <w:pStyle w:val="52"/>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sz w:val="21"/>
                <w:szCs w:val="21"/>
                <w:highlight w:val="none"/>
                <w:lang w:val="zh-CN"/>
              </w:rPr>
              <w:t>实质性要求</w:t>
            </w:r>
          </w:p>
        </w:tc>
        <w:tc>
          <w:tcPr>
            <w:tcW w:w="3020" w:type="pct"/>
            <w:shd w:val="clear" w:color="auto" w:fill="auto"/>
            <w:vAlign w:val="center"/>
          </w:tcPr>
          <w:p w14:paraId="3A663F07">
            <w:pPr>
              <w:pStyle w:val="52"/>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sz w:val="21"/>
                <w:szCs w:val="21"/>
                <w:highlight w:val="none"/>
                <w:lang w:val="en-US" w:eastAsia="zh-CN"/>
              </w:rPr>
              <w:t>投标</w:t>
            </w:r>
            <w:r>
              <w:rPr>
                <w:rFonts w:hint="eastAsia" w:ascii="宋体" w:hAnsi="宋体" w:eastAsia="宋体" w:cs="宋体"/>
                <w:color w:val="auto"/>
                <w:sz w:val="21"/>
                <w:szCs w:val="21"/>
                <w:highlight w:val="none"/>
                <w:lang w:val="zh-CN" w:eastAsia="zh-CN"/>
              </w:rPr>
              <w:t>文件满足</w:t>
            </w:r>
            <w:r>
              <w:rPr>
                <w:rFonts w:hint="eastAsia" w:ascii="宋体" w:hAnsi="宋体" w:eastAsia="宋体" w:cs="宋体"/>
                <w:color w:val="auto"/>
                <w:sz w:val="21"/>
                <w:szCs w:val="21"/>
                <w:highlight w:val="none"/>
                <w:lang w:val="en-US" w:eastAsia="zh-CN"/>
              </w:rPr>
              <w:t>招标</w:t>
            </w:r>
            <w:r>
              <w:rPr>
                <w:rFonts w:hint="eastAsia" w:ascii="宋体" w:hAnsi="宋体" w:eastAsia="宋体" w:cs="宋体"/>
                <w:color w:val="auto"/>
                <w:sz w:val="21"/>
                <w:szCs w:val="21"/>
                <w:highlight w:val="none"/>
                <w:lang w:val="zh-CN" w:eastAsia="zh-CN"/>
              </w:rPr>
              <w:t>文件中标注“★”号的实质性条款（或指标）要求的</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具体详见</w:t>
            </w:r>
            <w:r>
              <w:rPr>
                <w:rFonts w:hint="eastAsia" w:ascii="宋体" w:hAnsi="宋体" w:eastAsia="宋体" w:cs="宋体"/>
                <w:color w:val="auto"/>
                <w:sz w:val="21"/>
                <w:szCs w:val="21"/>
                <w:highlight w:val="none"/>
                <w:lang w:val="zh-CN"/>
              </w:rPr>
              <w:t>“实质性响应一览表”</w:t>
            </w:r>
          </w:p>
        </w:tc>
        <w:tc>
          <w:tcPr>
            <w:tcW w:w="387" w:type="pct"/>
            <w:shd w:val="clear" w:color="auto" w:fill="auto"/>
            <w:vAlign w:val="center"/>
          </w:tcPr>
          <w:p w14:paraId="3F83CD9C">
            <w:pPr>
              <w:pStyle w:val="52"/>
              <w:rPr>
                <w:rFonts w:hint="eastAsia" w:ascii="宋体" w:hAnsi="宋体" w:eastAsia="宋体" w:cs="宋体"/>
                <w:color w:val="auto"/>
                <w:sz w:val="21"/>
                <w:szCs w:val="21"/>
                <w:highlight w:val="none"/>
                <w:lang w:val="zh-CN"/>
              </w:rPr>
            </w:pPr>
          </w:p>
        </w:tc>
        <w:tc>
          <w:tcPr>
            <w:tcW w:w="488" w:type="pct"/>
            <w:shd w:val="clear" w:color="auto" w:fill="auto"/>
            <w:vAlign w:val="center"/>
          </w:tcPr>
          <w:p w14:paraId="53C654A1">
            <w:pPr>
              <w:pStyle w:val="52"/>
              <w:rPr>
                <w:rFonts w:hint="eastAsia" w:ascii="宋体" w:hAnsi="宋体" w:eastAsia="宋体" w:cs="宋体"/>
                <w:color w:val="auto"/>
                <w:sz w:val="21"/>
                <w:szCs w:val="21"/>
                <w:highlight w:val="none"/>
                <w:lang w:val="zh-CN"/>
              </w:rPr>
            </w:pPr>
          </w:p>
        </w:tc>
      </w:tr>
      <w:tr w14:paraId="49890B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2" w:hRule="atLeast"/>
        </w:trPr>
        <w:tc>
          <w:tcPr>
            <w:tcW w:w="262" w:type="pct"/>
            <w:shd w:val="clear" w:color="auto" w:fill="auto"/>
            <w:vAlign w:val="center"/>
          </w:tcPr>
          <w:p w14:paraId="122BA4D1">
            <w:pPr>
              <w:pStyle w:val="52"/>
              <w:numPr>
                <w:ilvl w:val="0"/>
                <w:numId w:val="0"/>
              </w:numPr>
              <w:ind w:left="420" w:leftChars="0" w:hanging="420" w:firstLineChars="0"/>
              <w:jc w:val="center"/>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kern w:val="2"/>
                <w:sz w:val="21"/>
                <w:szCs w:val="21"/>
                <w:highlight w:val="none"/>
                <w:lang w:val="zh-CN" w:eastAsia="zh-CN" w:bidi="ar-SA"/>
              </w:rPr>
              <w:t>3</w:t>
            </w:r>
          </w:p>
        </w:tc>
        <w:tc>
          <w:tcPr>
            <w:tcW w:w="840" w:type="pct"/>
            <w:vAlign w:val="center"/>
          </w:tcPr>
          <w:p w14:paraId="0ABAB0FD">
            <w:pPr>
              <w:pStyle w:val="52"/>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投标报价</w:t>
            </w:r>
          </w:p>
        </w:tc>
        <w:tc>
          <w:tcPr>
            <w:tcW w:w="3020" w:type="pct"/>
            <w:shd w:val="clear" w:color="auto" w:fill="auto"/>
            <w:vAlign w:val="center"/>
          </w:tcPr>
          <w:p w14:paraId="3039222D">
            <w:pPr>
              <w:pStyle w:val="52"/>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投标人报价未超过招标文件中规定的最高限价或者预算金额的</w:t>
            </w:r>
          </w:p>
        </w:tc>
        <w:tc>
          <w:tcPr>
            <w:tcW w:w="387" w:type="pct"/>
            <w:shd w:val="clear" w:color="auto" w:fill="auto"/>
            <w:vAlign w:val="center"/>
          </w:tcPr>
          <w:p w14:paraId="45596CE1">
            <w:pPr>
              <w:pStyle w:val="52"/>
              <w:rPr>
                <w:rFonts w:hint="eastAsia" w:ascii="宋体" w:hAnsi="宋体" w:eastAsia="宋体" w:cs="宋体"/>
                <w:color w:val="auto"/>
                <w:sz w:val="21"/>
                <w:szCs w:val="21"/>
                <w:highlight w:val="none"/>
                <w:lang w:val="zh-CN"/>
              </w:rPr>
            </w:pPr>
          </w:p>
        </w:tc>
        <w:tc>
          <w:tcPr>
            <w:tcW w:w="488" w:type="pct"/>
            <w:shd w:val="clear" w:color="auto" w:fill="auto"/>
            <w:vAlign w:val="center"/>
          </w:tcPr>
          <w:p w14:paraId="11E76B6F">
            <w:pPr>
              <w:pStyle w:val="52"/>
              <w:rPr>
                <w:rFonts w:hint="eastAsia" w:ascii="宋体" w:hAnsi="宋体" w:eastAsia="宋体" w:cs="宋体"/>
                <w:color w:val="auto"/>
                <w:sz w:val="21"/>
                <w:szCs w:val="21"/>
                <w:highlight w:val="none"/>
                <w:lang w:val="zh-CN"/>
              </w:rPr>
            </w:pPr>
          </w:p>
        </w:tc>
      </w:tr>
      <w:tr w14:paraId="63842C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66" w:hRule="atLeast"/>
        </w:trPr>
        <w:tc>
          <w:tcPr>
            <w:tcW w:w="262" w:type="pct"/>
            <w:shd w:val="clear" w:color="auto" w:fill="auto"/>
            <w:vAlign w:val="center"/>
          </w:tcPr>
          <w:p w14:paraId="1C0BF26C">
            <w:pPr>
              <w:pStyle w:val="52"/>
              <w:numPr>
                <w:ilvl w:val="0"/>
                <w:numId w:val="0"/>
              </w:numPr>
              <w:ind w:left="420" w:leftChars="0" w:hanging="420" w:firstLineChars="0"/>
              <w:jc w:val="center"/>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kern w:val="2"/>
                <w:sz w:val="21"/>
                <w:szCs w:val="21"/>
                <w:highlight w:val="none"/>
                <w:lang w:val="zh-CN" w:eastAsia="zh-CN" w:bidi="ar-SA"/>
              </w:rPr>
              <w:t>4</w:t>
            </w:r>
          </w:p>
        </w:tc>
        <w:tc>
          <w:tcPr>
            <w:tcW w:w="840" w:type="pct"/>
            <w:vAlign w:val="center"/>
          </w:tcPr>
          <w:p w14:paraId="49C30112">
            <w:pPr>
              <w:pStyle w:val="52"/>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虚假材料</w:t>
            </w:r>
          </w:p>
        </w:tc>
        <w:tc>
          <w:tcPr>
            <w:tcW w:w="3020" w:type="pct"/>
            <w:shd w:val="clear" w:color="auto" w:fill="auto"/>
            <w:vAlign w:val="center"/>
          </w:tcPr>
          <w:p w14:paraId="150A9DA0">
            <w:pPr>
              <w:pStyle w:val="52"/>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sz w:val="21"/>
                <w:szCs w:val="21"/>
                <w:highlight w:val="none"/>
                <w:lang w:val="en-US" w:eastAsia="zh-CN"/>
              </w:rPr>
              <w:t>投标</w:t>
            </w:r>
            <w:r>
              <w:rPr>
                <w:rFonts w:hint="eastAsia" w:ascii="宋体" w:hAnsi="宋体" w:eastAsia="宋体" w:cs="宋体"/>
                <w:color w:val="auto"/>
                <w:sz w:val="21"/>
                <w:szCs w:val="21"/>
                <w:highlight w:val="none"/>
                <w:lang w:val="zh-CN" w:eastAsia="zh-CN"/>
              </w:rPr>
              <w:t>文件</w:t>
            </w:r>
            <w:r>
              <w:rPr>
                <w:rFonts w:hint="eastAsia" w:ascii="宋体" w:hAnsi="宋体" w:eastAsia="宋体" w:cs="宋体"/>
                <w:color w:val="auto"/>
                <w:sz w:val="21"/>
                <w:szCs w:val="21"/>
                <w:highlight w:val="none"/>
                <w:lang w:val="en-US" w:eastAsia="zh-CN"/>
              </w:rPr>
              <w:t>未</w:t>
            </w:r>
            <w:r>
              <w:rPr>
                <w:rFonts w:hint="eastAsia" w:ascii="宋体" w:hAnsi="宋体" w:eastAsia="宋体" w:cs="宋体"/>
                <w:color w:val="auto"/>
                <w:sz w:val="21"/>
                <w:szCs w:val="21"/>
                <w:highlight w:val="none"/>
                <w:lang w:val="zh-CN" w:eastAsia="zh-CN"/>
              </w:rPr>
              <w:t>提供虚假材料的</w:t>
            </w:r>
          </w:p>
        </w:tc>
        <w:tc>
          <w:tcPr>
            <w:tcW w:w="387" w:type="pct"/>
            <w:shd w:val="clear" w:color="auto" w:fill="auto"/>
            <w:vAlign w:val="center"/>
          </w:tcPr>
          <w:p w14:paraId="36B10A12">
            <w:pPr>
              <w:pStyle w:val="52"/>
              <w:rPr>
                <w:rFonts w:hint="eastAsia" w:ascii="宋体" w:hAnsi="宋体" w:eastAsia="宋体" w:cs="宋体"/>
                <w:color w:val="auto"/>
                <w:sz w:val="21"/>
                <w:szCs w:val="21"/>
                <w:highlight w:val="none"/>
                <w:lang w:val="zh-CN"/>
              </w:rPr>
            </w:pPr>
          </w:p>
        </w:tc>
        <w:tc>
          <w:tcPr>
            <w:tcW w:w="488" w:type="pct"/>
            <w:shd w:val="clear" w:color="auto" w:fill="auto"/>
            <w:vAlign w:val="center"/>
          </w:tcPr>
          <w:p w14:paraId="5008BBC1">
            <w:pPr>
              <w:pStyle w:val="52"/>
              <w:rPr>
                <w:rFonts w:hint="eastAsia" w:ascii="宋体" w:hAnsi="宋体" w:eastAsia="宋体" w:cs="宋体"/>
                <w:color w:val="auto"/>
                <w:sz w:val="21"/>
                <w:szCs w:val="21"/>
                <w:highlight w:val="none"/>
                <w:lang w:val="zh-CN"/>
              </w:rPr>
            </w:pPr>
          </w:p>
        </w:tc>
      </w:tr>
      <w:tr w14:paraId="1BD3DC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4" w:hRule="atLeast"/>
        </w:trPr>
        <w:tc>
          <w:tcPr>
            <w:tcW w:w="262" w:type="pct"/>
            <w:shd w:val="clear" w:color="auto" w:fill="auto"/>
            <w:vAlign w:val="center"/>
          </w:tcPr>
          <w:p w14:paraId="14B70D86">
            <w:pPr>
              <w:pStyle w:val="52"/>
              <w:numPr>
                <w:ilvl w:val="0"/>
                <w:numId w:val="0"/>
              </w:numPr>
              <w:ind w:left="420" w:leftChars="0" w:hanging="420" w:firstLineChars="0"/>
              <w:jc w:val="center"/>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kern w:val="2"/>
                <w:sz w:val="21"/>
                <w:szCs w:val="21"/>
                <w:highlight w:val="none"/>
                <w:lang w:val="zh-CN" w:eastAsia="zh-CN" w:bidi="ar-SA"/>
              </w:rPr>
              <w:t>5</w:t>
            </w:r>
          </w:p>
        </w:tc>
        <w:tc>
          <w:tcPr>
            <w:tcW w:w="840" w:type="pct"/>
            <w:vAlign w:val="center"/>
          </w:tcPr>
          <w:p w14:paraId="225F10E6">
            <w:pPr>
              <w:pStyle w:val="52"/>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联合体</w:t>
            </w:r>
          </w:p>
        </w:tc>
        <w:tc>
          <w:tcPr>
            <w:tcW w:w="3020" w:type="pct"/>
            <w:shd w:val="clear" w:color="auto" w:fill="auto"/>
            <w:vAlign w:val="center"/>
          </w:tcPr>
          <w:p w14:paraId="05C0F1EF">
            <w:pPr>
              <w:pStyle w:val="52"/>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zh-CN" w:eastAsia="zh-CN"/>
              </w:rPr>
              <w:t>联合体的</w:t>
            </w:r>
            <w:r>
              <w:rPr>
                <w:rFonts w:hint="eastAsia" w:cs="宋体"/>
                <w:color w:val="auto"/>
                <w:sz w:val="21"/>
                <w:szCs w:val="21"/>
                <w:highlight w:val="none"/>
                <w:lang w:val="zh-CN" w:eastAsia="zh-CN"/>
              </w:rPr>
              <w:t>投标人</w:t>
            </w:r>
            <w:r>
              <w:rPr>
                <w:rFonts w:hint="eastAsia" w:ascii="宋体" w:hAnsi="宋体" w:eastAsia="宋体" w:cs="宋体"/>
                <w:color w:val="auto"/>
                <w:sz w:val="21"/>
                <w:szCs w:val="21"/>
                <w:highlight w:val="none"/>
                <w:lang w:val="zh-CN" w:eastAsia="zh-CN"/>
              </w:rPr>
              <w:t>提交</w:t>
            </w:r>
            <w:r>
              <w:rPr>
                <w:rFonts w:hint="eastAsia" w:ascii="宋体" w:hAnsi="宋体" w:eastAsia="宋体" w:cs="宋体"/>
                <w:color w:val="auto"/>
                <w:sz w:val="21"/>
                <w:szCs w:val="21"/>
                <w:highlight w:val="none"/>
                <w:lang w:val="en-US" w:eastAsia="zh-CN"/>
              </w:rPr>
              <w:t>了</w:t>
            </w:r>
            <w:r>
              <w:rPr>
                <w:rFonts w:hint="eastAsia" w:ascii="宋体" w:hAnsi="宋体" w:eastAsia="宋体" w:cs="宋体"/>
                <w:color w:val="auto"/>
                <w:sz w:val="21"/>
                <w:szCs w:val="21"/>
                <w:highlight w:val="none"/>
                <w:lang w:val="zh-CN" w:eastAsia="zh-CN"/>
              </w:rPr>
              <w:t>各方共同签署的联合体协议的【</w:t>
            </w:r>
            <w:r>
              <w:rPr>
                <w:rFonts w:hint="eastAsia" w:ascii="宋体" w:hAnsi="宋体" w:eastAsia="宋体" w:cs="宋体"/>
                <w:color w:val="auto"/>
                <w:sz w:val="21"/>
                <w:szCs w:val="21"/>
                <w:highlight w:val="none"/>
                <w:lang w:val="en-US" w:eastAsia="zh-CN"/>
              </w:rPr>
              <w:t>如允许联合体投标的</w:t>
            </w:r>
            <w:r>
              <w:rPr>
                <w:rFonts w:hint="eastAsia" w:ascii="宋体" w:hAnsi="宋体" w:eastAsia="宋体" w:cs="宋体"/>
                <w:color w:val="auto"/>
                <w:sz w:val="21"/>
                <w:szCs w:val="21"/>
                <w:highlight w:val="none"/>
                <w:lang w:val="zh-CN" w:eastAsia="zh-CN"/>
              </w:rPr>
              <w:t>】</w:t>
            </w:r>
          </w:p>
        </w:tc>
        <w:tc>
          <w:tcPr>
            <w:tcW w:w="387" w:type="pct"/>
            <w:shd w:val="clear" w:color="auto" w:fill="auto"/>
            <w:vAlign w:val="center"/>
          </w:tcPr>
          <w:p w14:paraId="38FADABF">
            <w:pPr>
              <w:pStyle w:val="52"/>
              <w:rPr>
                <w:rFonts w:hint="eastAsia" w:ascii="宋体" w:hAnsi="宋体" w:eastAsia="宋体" w:cs="宋体"/>
                <w:color w:val="auto"/>
                <w:sz w:val="21"/>
                <w:szCs w:val="21"/>
                <w:highlight w:val="none"/>
                <w:lang w:val="zh-CN"/>
              </w:rPr>
            </w:pPr>
          </w:p>
        </w:tc>
        <w:tc>
          <w:tcPr>
            <w:tcW w:w="488" w:type="pct"/>
            <w:shd w:val="clear" w:color="auto" w:fill="auto"/>
            <w:vAlign w:val="center"/>
          </w:tcPr>
          <w:p w14:paraId="5A6008DC">
            <w:pPr>
              <w:pStyle w:val="52"/>
              <w:rPr>
                <w:rFonts w:hint="eastAsia" w:ascii="宋体" w:hAnsi="宋体" w:eastAsia="宋体" w:cs="宋体"/>
                <w:color w:val="auto"/>
                <w:sz w:val="21"/>
                <w:szCs w:val="21"/>
                <w:highlight w:val="none"/>
                <w:lang w:val="zh-CN"/>
              </w:rPr>
            </w:pPr>
          </w:p>
        </w:tc>
      </w:tr>
      <w:tr w14:paraId="7A54D2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25" w:hRule="atLeast"/>
        </w:trPr>
        <w:tc>
          <w:tcPr>
            <w:tcW w:w="262" w:type="pct"/>
            <w:shd w:val="clear" w:color="auto" w:fill="auto"/>
            <w:vAlign w:val="center"/>
          </w:tcPr>
          <w:p w14:paraId="5DF7405B">
            <w:pPr>
              <w:pStyle w:val="52"/>
              <w:numPr>
                <w:ilvl w:val="0"/>
                <w:numId w:val="0"/>
              </w:numPr>
              <w:ind w:left="420" w:leftChars="0" w:hanging="420" w:firstLineChars="0"/>
              <w:jc w:val="center"/>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kern w:val="2"/>
                <w:sz w:val="21"/>
                <w:szCs w:val="21"/>
                <w:highlight w:val="none"/>
                <w:lang w:val="zh-CN" w:eastAsia="zh-CN" w:bidi="ar-SA"/>
              </w:rPr>
              <w:t>6</w:t>
            </w:r>
          </w:p>
        </w:tc>
        <w:tc>
          <w:tcPr>
            <w:tcW w:w="840" w:type="pct"/>
            <w:vAlign w:val="center"/>
          </w:tcPr>
          <w:p w14:paraId="3CB15A1D">
            <w:pPr>
              <w:pStyle w:val="52"/>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投标保证金</w:t>
            </w:r>
          </w:p>
        </w:tc>
        <w:tc>
          <w:tcPr>
            <w:tcW w:w="3020" w:type="pct"/>
            <w:shd w:val="clear" w:color="auto" w:fill="auto"/>
            <w:vAlign w:val="center"/>
          </w:tcPr>
          <w:p w14:paraId="0EF49674">
            <w:pPr>
              <w:pStyle w:val="52"/>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sz w:val="21"/>
                <w:szCs w:val="21"/>
                <w:highlight w:val="none"/>
                <w:lang w:val="en-US" w:eastAsia="zh-CN"/>
              </w:rPr>
              <w:t>投标人按招标文件的规定交纳投标保证金的</w:t>
            </w:r>
          </w:p>
        </w:tc>
        <w:tc>
          <w:tcPr>
            <w:tcW w:w="387" w:type="pct"/>
            <w:shd w:val="clear" w:color="auto" w:fill="auto"/>
            <w:vAlign w:val="center"/>
          </w:tcPr>
          <w:p w14:paraId="37F2653A">
            <w:pPr>
              <w:pStyle w:val="52"/>
              <w:rPr>
                <w:rFonts w:hint="eastAsia" w:ascii="宋体" w:hAnsi="宋体" w:eastAsia="宋体" w:cs="宋体"/>
                <w:color w:val="auto"/>
                <w:sz w:val="21"/>
                <w:szCs w:val="21"/>
                <w:highlight w:val="none"/>
                <w:lang w:val="zh-CN"/>
              </w:rPr>
            </w:pPr>
          </w:p>
        </w:tc>
        <w:tc>
          <w:tcPr>
            <w:tcW w:w="488" w:type="pct"/>
            <w:shd w:val="clear" w:color="auto" w:fill="auto"/>
            <w:vAlign w:val="center"/>
          </w:tcPr>
          <w:p w14:paraId="1E4AED58">
            <w:pPr>
              <w:pStyle w:val="52"/>
              <w:rPr>
                <w:rFonts w:hint="eastAsia" w:ascii="宋体" w:hAnsi="宋体" w:eastAsia="宋体" w:cs="宋体"/>
                <w:color w:val="auto"/>
                <w:sz w:val="21"/>
                <w:szCs w:val="21"/>
                <w:highlight w:val="none"/>
                <w:lang w:val="zh-CN"/>
              </w:rPr>
            </w:pPr>
          </w:p>
        </w:tc>
      </w:tr>
      <w:tr w14:paraId="7044E7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50" w:hRule="atLeast"/>
        </w:trPr>
        <w:tc>
          <w:tcPr>
            <w:tcW w:w="262" w:type="pct"/>
            <w:shd w:val="clear" w:color="auto" w:fill="auto"/>
            <w:vAlign w:val="center"/>
          </w:tcPr>
          <w:p w14:paraId="115CB80E">
            <w:pPr>
              <w:pStyle w:val="52"/>
              <w:numPr>
                <w:ilvl w:val="0"/>
                <w:numId w:val="0"/>
              </w:numPr>
              <w:ind w:left="0" w:leftChars="0" w:firstLine="0" w:firstLineChars="0"/>
              <w:jc w:val="center"/>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sz w:val="21"/>
                <w:szCs w:val="21"/>
                <w:highlight w:val="none"/>
                <w:lang w:val="en-US" w:eastAsia="zh-CN"/>
              </w:rPr>
              <w:t>7</w:t>
            </w:r>
          </w:p>
        </w:tc>
        <w:tc>
          <w:tcPr>
            <w:tcW w:w="840" w:type="pct"/>
            <w:vAlign w:val="center"/>
          </w:tcPr>
          <w:p w14:paraId="5E0526C0">
            <w:pPr>
              <w:pStyle w:val="52"/>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投标文件的澄清、说明、补正</w:t>
            </w:r>
          </w:p>
        </w:tc>
        <w:tc>
          <w:tcPr>
            <w:tcW w:w="3020" w:type="pct"/>
            <w:shd w:val="clear" w:color="auto" w:fill="auto"/>
            <w:vAlign w:val="center"/>
          </w:tcPr>
          <w:p w14:paraId="69951688">
            <w:pPr>
              <w:pStyle w:val="52"/>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sz w:val="21"/>
                <w:szCs w:val="21"/>
                <w:highlight w:val="none"/>
                <w:lang w:val="zh-CN" w:eastAsia="zh-CN"/>
              </w:rPr>
              <w:t>评审期间,</w:t>
            </w:r>
            <w:r>
              <w:rPr>
                <w:rFonts w:hint="eastAsia" w:ascii="宋体" w:hAnsi="宋体" w:eastAsia="宋体" w:cs="宋体"/>
                <w:color w:val="auto"/>
                <w:sz w:val="21"/>
                <w:szCs w:val="21"/>
                <w:highlight w:val="none"/>
                <w:lang w:val="en-US" w:eastAsia="zh-CN"/>
              </w:rPr>
              <w:t>投标人</w:t>
            </w:r>
            <w:r>
              <w:rPr>
                <w:rFonts w:hint="eastAsia" w:ascii="宋体" w:hAnsi="宋体" w:eastAsia="宋体" w:cs="宋体"/>
                <w:color w:val="auto"/>
                <w:sz w:val="21"/>
                <w:szCs w:val="21"/>
                <w:highlight w:val="none"/>
                <w:lang w:val="zh-CN" w:eastAsia="zh-CN"/>
              </w:rPr>
              <w:t>按评标委员会的要求提交经授权代表签字的澄清、说明、补正或</w:t>
            </w:r>
            <w:r>
              <w:rPr>
                <w:rFonts w:hint="eastAsia" w:ascii="宋体" w:hAnsi="宋体" w:eastAsia="宋体" w:cs="宋体"/>
                <w:color w:val="auto"/>
                <w:sz w:val="21"/>
                <w:szCs w:val="21"/>
                <w:highlight w:val="none"/>
                <w:lang w:val="en-US" w:eastAsia="zh-CN"/>
              </w:rPr>
              <w:t>未</w:t>
            </w:r>
            <w:r>
              <w:rPr>
                <w:rFonts w:hint="eastAsia" w:ascii="宋体" w:hAnsi="宋体" w:eastAsia="宋体" w:cs="宋体"/>
                <w:color w:val="auto"/>
                <w:sz w:val="21"/>
                <w:szCs w:val="21"/>
                <w:highlight w:val="none"/>
                <w:lang w:val="zh-CN" w:eastAsia="zh-CN"/>
              </w:rPr>
              <w:t>改变</w:t>
            </w:r>
            <w:r>
              <w:rPr>
                <w:rFonts w:hint="eastAsia" w:ascii="宋体" w:hAnsi="宋体" w:eastAsia="宋体" w:cs="宋体"/>
                <w:color w:val="auto"/>
                <w:sz w:val="21"/>
                <w:szCs w:val="21"/>
                <w:highlight w:val="none"/>
                <w:lang w:val="en-US" w:eastAsia="zh-CN"/>
              </w:rPr>
              <w:t>投标</w:t>
            </w:r>
            <w:r>
              <w:rPr>
                <w:rFonts w:hint="eastAsia" w:ascii="宋体" w:hAnsi="宋体" w:eastAsia="宋体" w:cs="宋体"/>
                <w:color w:val="auto"/>
                <w:sz w:val="21"/>
                <w:szCs w:val="21"/>
                <w:highlight w:val="none"/>
                <w:lang w:val="zh-CN" w:eastAsia="zh-CN"/>
              </w:rPr>
              <w:t>文件的实质性内容</w:t>
            </w:r>
          </w:p>
        </w:tc>
        <w:tc>
          <w:tcPr>
            <w:tcW w:w="387" w:type="pct"/>
            <w:shd w:val="clear" w:color="auto" w:fill="auto"/>
            <w:vAlign w:val="center"/>
          </w:tcPr>
          <w:p w14:paraId="17DF499B">
            <w:pPr>
              <w:pStyle w:val="52"/>
              <w:rPr>
                <w:rFonts w:hint="eastAsia" w:ascii="宋体" w:hAnsi="宋体" w:eastAsia="宋体" w:cs="宋体"/>
                <w:color w:val="auto"/>
                <w:sz w:val="21"/>
                <w:szCs w:val="21"/>
                <w:highlight w:val="none"/>
                <w:lang w:val="zh-CN"/>
              </w:rPr>
            </w:pPr>
          </w:p>
        </w:tc>
        <w:tc>
          <w:tcPr>
            <w:tcW w:w="488" w:type="pct"/>
            <w:shd w:val="clear" w:color="auto" w:fill="auto"/>
            <w:vAlign w:val="center"/>
          </w:tcPr>
          <w:p w14:paraId="7B15EF49">
            <w:pPr>
              <w:pStyle w:val="52"/>
              <w:rPr>
                <w:rFonts w:hint="eastAsia" w:ascii="宋体" w:hAnsi="宋体" w:eastAsia="宋体" w:cs="宋体"/>
                <w:color w:val="auto"/>
                <w:sz w:val="21"/>
                <w:szCs w:val="21"/>
                <w:highlight w:val="none"/>
                <w:lang w:val="zh-CN"/>
              </w:rPr>
            </w:pPr>
          </w:p>
        </w:tc>
      </w:tr>
      <w:tr w14:paraId="5AEED1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12" w:hRule="atLeast"/>
        </w:trPr>
        <w:tc>
          <w:tcPr>
            <w:tcW w:w="262" w:type="pct"/>
            <w:shd w:val="clear" w:color="auto" w:fill="auto"/>
            <w:vAlign w:val="center"/>
          </w:tcPr>
          <w:p w14:paraId="54575570">
            <w:pPr>
              <w:pStyle w:val="52"/>
              <w:numPr>
                <w:ilvl w:val="0"/>
                <w:numId w:val="0"/>
              </w:numPr>
              <w:ind w:left="420" w:leftChars="0" w:hanging="420" w:firstLineChars="0"/>
              <w:jc w:val="center"/>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kern w:val="2"/>
                <w:sz w:val="21"/>
                <w:szCs w:val="21"/>
                <w:highlight w:val="none"/>
                <w:lang w:val="en-US" w:eastAsia="zh-CN" w:bidi="ar-SA"/>
              </w:rPr>
              <w:t>8</w:t>
            </w:r>
          </w:p>
        </w:tc>
        <w:tc>
          <w:tcPr>
            <w:tcW w:w="840" w:type="pct"/>
            <w:vAlign w:val="center"/>
          </w:tcPr>
          <w:p w14:paraId="7CFE2454">
            <w:pPr>
              <w:pStyle w:val="52"/>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投标人影响评标</w:t>
            </w:r>
          </w:p>
        </w:tc>
        <w:tc>
          <w:tcPr>
            <w:tcW w:w="3020" w:type="pct"/>
            <w:shd w:val="clear" w:color="auto" w:fill="auto"/>
            <w:vAlign w:val="center"/>
          </w:tcPr>
          <w:p w14:paraId="1AFF6E69">
            <w:pPr>
              <w:pStyle w:val="52"/>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投标人</w:t>
            </w:r>
            <w:r>
              <w:rPr>
                <w:rFonts w:hint="eastAsia" w:ascii="宋体" w:hAnsi="宋体" w:eastAsia="宋体" w:cs="宋体"/>
                <w:color w:val="auto"/>
                <w:sz w:val="21"/>
                <w:szCs w:val="21"/>
                <w:highlight w:val="none"/>
                <w:lang w:val="zh-CN" w:eastAsia="zh-CN"/>
              </w:rPr>
              <w:t>对采购人、采购代理机构、评标委员会及其工作人员</w:t>
            </w:r>
            <w:r>
              <w:rPr>
                <w:rFonts w:hint="eastAsia" w:ascii="宋体" w:hAnsi="宋体" w:eastAsia="宋体" w:cs="宋体"/>
                <w:color w:val="auto"/>
                <w:sz w:val="21"/>
                <w:szCs w:val="21"/>
                <w:highlight w:val="none"/>
                <w:lang w:val="en-US" w:eastAsia="zh-CN"/>
              </w:rPr>
              <w:t>未</w:t>
            </w:r>
            <w:r>
              <w:rPr>
                <w:rFonts w:hint="eastAsia" w:ascii="宋体" w:hAnsi="宋体" w:eastAsia="宋体" w:cs="宋体"/>
                <w:color w:val="auto"/>
                <w:sz w:val="21"/>
                <w:szCs w:val="21"/>
                <w:highlight w:val="none"/>
                <w:lang w:val="zh-CN" w:eastAsia="zh-CN"/>
              </w:rPr>
              <w:t>施加影响,</w:t>
            </w:r>
            <w:r>
              <w:rPr>
                <w:rFonts w:hint="eastAsia" w:ascii="宋体" w:hAnsi="宋体" w:eastAsia="宋体" w:cs="宋体"/>
                <w:color w:val="auto"/>
                <w:sz w:val="21"/>
                <w:szCs w:val="21"/>
                <w:highlight w:val="none"/>
                <w:lang w:val="en-US" w:eastAsia="zh-CN"/>
              </w:rPr>
              <w:t>无</w:t>
            </w:r>
            <w:r>
              <w:rPr>
                <w:rFonts w:hint="eastAsia" w:ascii="宋体" w:hAnsi="宋体" w:eastAsia="宋体" w:cs="宋体"/>
                <w:color w:val="auto"/>
                <w:sz w:val="21"/>
                <w:szCs w:val="21"/>
                <w:highlight w:val="none"/>
                <w:lang w:val="zh-CN" w:eastAsia="zh-CN"/>
              </w:rPr>
              <w:t>有碍公平、公正</w:t>
            </w:r>
            <w:r>
              <w:rPr>
                <w:rFonts w:hint="eastAsia" w:ascii="宋体" w:hAnsi="宋体" w:eastAsia="宋体" w:cs="宋体"/>
                <w:color w:val="auto"/>
                <w:sz w:val="21"/>
                <w:szCs w:val="21"/>
                <w:highlight w:val="none"/>
                <w:lang w:val="en-US" w:eastAsia="zh-CN"/>
              </w:rPr>
              <w:t>的</w:t>
            </w:r>
          </w:p>
        </w:tc>
        <w:tc>
          <w:tcPr>
            <w:tcW w:w="387" w:type="pct"/>
            <w:shd w:val="clear" w:color="auto" w:fill="auto"/>
            <w:vAlign w:val="center"/>
          </w:tcPr>
          <w:p w14:paraId="6E7B9E6F">
            <w:pPr>
              <w:pStyle w:val="52"/>
              <w:rPr>
                <w:rFonts w:hint="eastAsia" w:ascii="宋体" w:hAnsi="宋体" w:eastAsia="宋体" w:cs="宋体"/>
                <w:color w:val="auto"/>
                <w:sz w:val="21"/>
                <w:szCs w:val="21"/>
                <w:highlight w:val="none"/>
                <w:lang w:val="zh-CN"/>
              </w:rPr>
            </w:pPr>
          </w:p>
        </w:tc>
        <w:tc>
          <w:tcPr>
            <w:tcW w:w="488" w:type="pct"/>
            <w:shd w:val="clear" w:color="auto" w:fill="auto"/>
            <w:vAlign w:val="center"/>
          </w:tcPr>
          <w:p w14:paraId="5E9FCB3A">
            <w:pPr>
              <w:pStyle w:val="52"/>
              <w:rPr>
                <w:rFonts w:hint="eastAsia" w:ascii="宋体" w:hAnsi="宋体" w:eastAsia="宋体" w:cs="宋体"/>
                <w:color w:val="auto"/>
                <w:sz w:val="21"/>
                <w:szCs w:val="21"/>
                <w:highlight w:val="none"/>
                <w:lang w:val="zh-CN"/>
              </w:rPr>
            </w:pPr>
          </w:p>
        </w:tc>
      </w:tr>
      <w:tr w14:paraId="0F96DF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6" w:hRule="atLeast"/>
        </w:trPr>
        <w:tc>
          <w:tcPr>
            <w:tcW w:w="262" w:type="pct"/>
            <w:shd w:val="clear" w:color="auto" w:fill="auto"/>
            <w:vAlign w:val="center"/>
          </w:tcPr>
          <w:p w14:paraId="6F2212DB">
            <w:pPr>
              <w:pStyle w:val="52"/>
              <w:numPr>
                <w:ilvl w:val="0"/>
                <w:numId w:val="0"/>
              </w:numPr>
              <w:ind w:left="420" w:leftChars="0" w:hanging="420" w:firstLineChars="0"/>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9</w:t>
            </w:r>
          </w:p>
        </w:tc>
        <w:tc>
          <w:tcPr>
            <w:tcW w:w="840" w:type="pct"/>
            <w:vAlign w:val="center"/>
          </w:tcPr>
          <w:p w14:paraId="5065E06D">
            <w:pPr>
              <w:pStyle w:val="52"/>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围标串标情形</w:t>
            </w:r>
          </w:p>
        </w:tc>
        <w:tc>
          <w:tcPr>
            <w:tcW w:w="3020" w:type="pct"/>
            <w:shd w:val="clear" w:color="auto" w:fill="auto"/>
            <w:vAlign w:val="center"/>
          </w:tcPr>
          <w:p w14:paraId="77FBE461">
            <w:pPr>
              <w:pStyle w:val="52"/>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没有</w:t>
            </w:r>
            <w:r>
              <w:rPr>
                <w:rFonts w:hint="eastAsia" w:ascii="宋体" w:hAnsi="宋体" w:eastAsia="宋体" w:cs="宋体"/>
                <w:color w:val="auto"/>
                <w:sz w:val="21"/>
                <w:szCs w:val="21"/>
                <w:highlight w:val="none"/>
                <w:lang w:val="zh-CN" w:eastAsia="zh-CN"/>
              </w:rPr>
              <w:t>“第五章 评标方法及标准”</w:t>
            </w:r>
            <w:r>
              <w:rPr>
                <w:rFonts w:hint="eastAsia" w:ascii="宋体" w:hAnsi="宋体" w:eastAsia="宋体" w:cs="宋体"/>
                <w:color w:val="auto"/>
                <w:sz w:val="21"/>
                <w:szCs w:val="21"/>
                <w:highlight w:val="none"/>
                <w:lang w:val="en-US" w:eastAsia="zh-CN"/>
              </w:rPr>
              <w:t>第21条情形之一的</w:t>
            </w:r>
          </w:p>
        </w:tc>
        <w:tc>
          <w:tcPr>
            <w:tcW w:w="387" w:type="pct"/>
            <w:shd w:val="clear" w:color="auto" w:fill="auto"/>
            <w:vAlign w:val="center"/>
          </w:tcPr>
          <w:p w14:paraId="79393C8F">
            <w:pPr>
              <w:pStyle w:val="52"/>
              <w:rPr>
                <w:rFonts w:hint="eastAsia" w:ascii="宋体" w:hAnsi="宋体" w:eastAsia="宋体" w:cs="宋体"/>
                <w:color w:val="auto"/>
                <w:sz w:val="21"/>
                <w:szCs w:val="21"/>
                <w:highlight w:val="none"/>
                <w:lang w:val="zh-CN"/>
              </w:rPr>
            </w:pPr>
          </w:p>
        </w:tc>
        <w:tc>
          <w:tcPr>
            <w:tcW w:w="488" w:type="pct"/>
            <w:shd w:val="clear" w:color="auto" w:fill="auto"/>
            <w:vAlign w:val="center"/>
          </w:tcPr>
          <w:p w14:paraId="77FEE600">
            <w:pPr>
              <w:pStyle w:val="52"/>
              <w:rPr>
                <w:rFonts w:hint="eastAsia" w:ascii="宋体" w:hAnsi="宋体" w:eastAsia="宋体" w:cs="宋体"/>
                <w:color w:val="auto"/>
                <w:sz w:val="21"/>
                <w:szCs w:val="21"/>
                <w:highlight w:val="none"/>
                <w:lang w:val="zh-CN"/>
              </w:rPr>
            </w:pPr>
          </w:p>
        </w:tc>
      </w:tr>
      <w:tr w14:paraId="35AAC1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trPr>
        <w:tc>
          <w:tcPr>
            <w:tcW w:w="262" w:type="pct"/>
            <w:shd w:val="clear" w:color="auto" w:fill="auto"/>
            <w:vAlign w:val="center"/>
          </w:tcPr>
          <w:p w14:paraId="332BD4A6">
            <w:pPr>
              <w:pStyle w:val="52"/>
              <w:numPr>
                <w:ilvl w:val="0"/>
                <w:numId w:val="0"/>
              </w:numPr>
              <w:ind w:left="420" w:leftChars="0" w:hanging="420" w:firstLineChars="0"/>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10</w:t>
            </w:r>
          </w:p>
        </w:tc>
        <w:tc>
          <w:tcPr>
            <w:tcW w:w="840" w:type="pct"/>
            <w:vAlign w:val="center"/>
          </w:tcPr>
          <w:p w14:paraId="56EEFE7E">
            <w:pPr>
              <w:pStyle w:val="52"/>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附加条件</w:t>
            </w:r>
          </w:p>
        </w:tc>
        <w:tc>
          <w:tcPr>
            <w:tcW w:w="3020" w:type="pct"/>
            <w:shd w:val="clear" w:color="auto" w:fill="auto"/>
            <w:vAlign w:val="center"/>
          </w:tcPr>
          <w:p w14:paraId="618DB2FB">
            <w:pPr>
              <w:pStyle w:val="52"/>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投标文件没有采购人不能接受的附加条件的</w:t>
            </w:r>
          </w:p>
        </w:tc>
        <w:tc>
          <w:tcPr>
            <w:tcW w:w="387" w:type="pct"/>
            <w:shd w:val="clear" w:color="auto" w:fill="auto"/>
            <w:vAlign w:val="center"/>
          </w:tcPr>
          <w:p w14:paraId="36C2A679">
            <w:pPr>
              <w:pStyle w:val="52"/>
              <w:rPr>
                <w:rFonts w:hint="eastAsia" w:ascii="宋体" w:hAnsi="宋体" w:eastAsia="宋体" w:cs="宋体"/>
                <w:color w:val="auto"/>
                <w:sz w:val="21"/>
                <w:szCs w:val="21"/>
                <w:highlight w:val="none"/>
                <w:lang w:val="zh-CN"/>
              </w:rPr>
            </w:pPr>
          </w:p>
        </w:tc>
        <w:tc>
          <w:tcPr>
            <w:tcW w:w="488" w:type="pct"/>
            <w:shd w:val="clear" w:color="auto" w:fill="auto"/>
            <w:vAlign w:val="center"/>
          </w:tcPr>
          <w:p w14:paraId="73E4201A">
            <w:pPr>
              <w:pStyle w:val="52"/>
              <w:rPr>
                <w:rFonts w:hint="eastAsia" w:ascii="宋体" w:hAnsi="宋体" w:eastAsia="宋体" w:cs="宋体"/>
                <w:color w:val="auto"/>
                <w:sz w:val="21"/>
                <w:szCs w:val="21"/>
                <w:highlight w:val="none"/>
                <w:lang w:val="zh-CN"/>
              </w:rPr>
            </w:pPr>
          </w:p>
        </w:tc>
      </w:tr>
      <w:tr w14:paraId="166757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31" w:hRule="atLeast"/>
        </w:trPr>
        <w:tc>
          <w:tcPr>
            <w:tcW w:w="262" w:type="pct"/>
            <w:shd w:val="clear" w:color="auto" w:fill="auto"/>
            <w:vAlign w:val="center"/>
          </w:tcPr>
          <w:p w14:paraId="33CCA145">
            <w:pPr>
              <w:pStyle w:val="52"/>
              <w:numPr>
                <w:ilvl w:val="0"/>
                <w:numId w:val="0"/>
              </w:numPr>
              <w:ind w:left="420" w:leftChars="0" w:hanging="420" w:firstLineChars="0"/>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11</w:t>
            </w:r>
          </w:p>
        </w:tc>
        <w:tc>
          <w:tcPr>
            <w:tcW w:w="840" w:type="pct"/>
            <w:vAlign w:val="center"/>
          </w:tcPr>
          <w:p w14:paraId="56857957">
            <w:pPr>
              <w:pStyle w:val="52"/>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其他无效情形</w:t>
            </w:r>
          </w:p>
        </w:tc>
        <w:tc>
          <w:tcPr>
            <w:tcW w:w="3020" w:type="pct"/>
            <w:shd w:val="clear" w:color="auto" w:fill="auto"/>
            <w:vAlign w:val="center"/>
          </w:tcPr>
          <w:p w14:paraId="2D4FAC27">
            <w:pPr>
              <w:pStyle w:val="52"/>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没有</w:t>
            </w:r>
            <w:r>
              <w:rPr>
                <w:rFonts w:hint="eastAsia" w:ascii="宋体" w:hAnsi="宋体" w:eastAsia="宋体" w:cs="宋体"/>
                <w:color w:val="auto"/>
                <w:sz w:val="21"/>
                <w:szCs w:val="21"/>
                <w:highlight w:val="none"/>
                <w:lang w:val="zh-CN" w:eastAsia="zh-CN"/>
              </w:rPr>
              <w:t>法律、法规、规章规定属于</w:t>
            </w:r>
            <w:r>
              <w:rPr>
                <w:rFonts w:hint="eastAsia" w:ascii="宋体" w:hAnsi="宋体" w:eastAsia="宋体" w:cs="宋体"/>
                <w:color w:val="auto"/>
                <w:sz w:val="21"/>
                <w:szCs w:val="21"/>
                <w:highlight w:val="none"/>
                <w:lang w:val="en-US" w:eastAsia="zh-CN"/>
              </w:rPr>
              <w:t>投标</w:t>
            </w:r>
            <w:r>
              <w:rPr>
                <w:rFonts w:hint="eastAsia" w:ascii="宋体" w:hAnsi="宋体" w:eastAsia="宋体" w:cs="宋体"/>
                <w:color w:val="auto"/>
                <w:sz w:val="21"/>
                <w:szCs w:val="21"/>
                <w:highlight w:val="none"/>
                <w:lang w:val="zh-CN" w:eastAsia="zh-CN"/>
              </w:rPr>
              <w:t>无效的其他情形。</w:t>
            </w:r>
          </w:p>
        </w:tc>
        <w:tc>
          <w:tcPr>
            <w:tcW w:w="387" w:type="pct"/>
            <w:shd w:val="clear" w:color="auto" w:fill="auto"/>
            <w:vAlign w:val="center"/>
          </w:tcPr>
          <w:p w14:paraId="1AF34C22">
            <w:pPr>
              <w:pStyle w:val="52"/>
              <w:rPr>
                <w:rFonts w:hint="eastAsia" w:ascii="宋体" w:hAnsi="宋体" w:eastAsia="宋体" w:cs="宋体"/>
                <w:color w:val="auto"/>
                <w:sz w:val="21"/>
                <w:szCs w:val="21"/>
                <w:highlight w:val="none"/>
                <w:lang w:val="zh-CN"/>
              </w:rPr>
            </w:pPr>
          </w:p>
        </w:tc>
        <w:tc>
          <w:tcPr>
            <w:tcW w:w="488" w:type="pct"/>
            <w:shd w:val="clear" w:color="auto" w:fill="auto"/>
            <w:vAlign w:val="center"/>
          </w:tcPr>
          <w:p w14:paraId="1DBF61E6">
            <w:pPr>
              <w:pStyle w:val="52"/>
              <w:rPr>
                <w:rFonts w:hint="eastAsia" w:ascii="宋体" w:hAnsi="宋体" w:eastAsia="宋体" w:cs="宋体"/>
                <w:color w:val="auto"/>
                <w:sz w:val="21"/>
                <w:szCs w:val="21"/>
                <w:highlight w:val="none"/>
                <w:lang w:val="zh-CN"/>
              </w:rPr>
            </w:pPr>
          </w:p>
        </w:tc>
      </w:tr>
    </w:tbl>
    <w:p w14:paraId="1E0763ED">
      <w:pPr>
        <w:shd w:val="clear" w:color="auto" w:fill="FFFFFF"/>
        <w:tabs>
          <w:tab w:val="left" w:pos="3045"/>
        </w:tabs>
        <w:autoSpaceDE w:val="0"/>
        <w:autoSpaceDN w:val="0"/>
        <w:adjustRightInd w:val="0"/>
        <w:snapToGrid w:val="0"/>
        <w:spacing w:line="360" w:lineRule="exact"/>
        <w:rPr>
          <w:rFonts w:hint="eastAsia" w:ascii="宋体" w:hAnsi="宋体" w:cs="宋体"/>
          <w:b/>
          <w:color w:val="auto"/>
          <w:sz w:val="24"/>
          <w:highlight w:val="none"/>
        </w:rPr>
      </w:pPr>
    </w:p>
    <w:p w14:paraId="01436FB4">
      <w:pPr>
        <w:shd w:val="clear" w:color="auto" w:fill="FFFFFF"/>
        <w:tabs>
          <w:tab w:val="left" w:pos="3045"/>
        </w:tabs>
        <w:autoSpaceDE w:val="0"/>
        <w:autoSpaceDN w:val="0"/>
        <w:adjustRightInd w:val="0"/>
        <w:snapToGrid w:val="0"/>
        <w:spacing w:line="360" w:lineRule="exact"/>
        <w:rPr>
          <w:rFonts w:hint="eastAsia" w:ascii="宋体" w:hAnsi="宋体" w:cs="宋体"/>
          <w:b/>
          <w:color w:val="auto"/>
          <w:sz w:val="24"/>
          <w:highlight w:val="none"/>
        </w:rPr>
      </w:pPr>
    </w:p>
    <w:p w14:paraId="229FF1AF">
      <w:pPr>
        <w:shd w:val="clear" w:color="auto" w:fill="FFFFFF"/>
        <w:tabs>
          <w:tab w:val="left" w:pos="3045"/>
        </w:tabs>
        <w:autoSpaceDE w:val="0"/>
        <w:autoSpaceDN w:val="0"/>
        <w:adjustRightInd w:val="0"/>
        <w:snapToGrid w:val="0"/>
        <w:spacing w:line="360" w:lineRule="exact"/>
        <w:rPr>
          <w:rFonts w:hint="eastAsia" w:ascii="宋体" w:hAnsi="宋体" w:cs="宋体"/>
          <w:b/>
          <w:color w:val="auto"/>
          <w:sz w:val="24"/>
          <w:highlight w:val="none"/>
        </w:rPr>
      </w:pPr>
    </w:p>
    <w:p w14:paraId="565A14AF">
      <w:pPr>
        <w:shd w:val="clear" w:color="auto" w:fill="FFFFFF"/>
        <w:tabs>
          <w:tab w:val="left" w:pos="3045"/>
        </w:tabs>
        <w:autoSpaceDE w:val="0"/>
        <w:autoSpaceDN w:val="0"/>
        <w:adjustRightInd w:val="0"/>
        <w:snapToGrid w:val="0"/>
        <w:spacing w:line="360" w:lineRule="exact"/>
        <w:rPr>
          <w:rFonts w:hint="eastAsia" w:ascii="宋体" w:hAnsi="宋体" w:cs="宋体"/>
          <w:b/>
          <w:color w:val="auto"/>
          <w:sz w:val="24"/>
          <w:szCs w:val="24"/>
          <w:highlight w:val="none"/>
        </w:rPr>
      </w:pPr>
    </w:p>
    <w:p w14:paraId="59CF7D20">
      <w:pPr>
        <w:rPr>
          <w:rFonts w:hint="eastAsia" w:ascii="宋体" w:hAnsi="宋体" w:cs="宋体"/>
          <w:b/>
          <w:color w:val="auto"/>
          <w:sz w:val="24"/>
          <w:szCs w:val="24"/>
          <w:highlight w:val="none"/>
        </w:rPr>
      </w:pPr>
      <w:r>
        <w:rPr>
          <w:rFonts w:hint="eastAsia" w:ascii="宋体" w:hAnsi="宋体" w:cs="宋体"/>
          <w:b/>
          <w:color w:val="auto"/>
          <w:sz w:val="24"/>
          <w:szCs w:val="24"/>
          <w:highlight w:val="none"/>
        </w:rPr>
        <w:br w:type="page"/>
      </w:r>
    </w:p>
    <w:p w14:paraId="3DB6FBF5">
      <w:pPr>
        <w:shd w:val="clear" w:color="auto" w:fill="FFFFFF"/>
        <w:tabs>
          <w:tab w:val="left" w:pos="3045"/>
        </w:tabs>
        <w:autoSpaceDE w:val="0"/>
        <w:autoSpaceDN w:val="0"/>
        <w:adjustRightInd w:val="0"/>
        <w:snapToGrid w:val="0"/>
        <w:spacing w:line="360" w:lineRule="exact"/>
        <w:rPr>
          <w:rFonts w:hint="eastAsia"/>
          <w:color w:val="auto"/>
          <w:sz w:val="24"/>
          <w:szCs w:val="24"/>
          <w:highlight w:val="none"/>
        </w:rPr>
      </w:pPr>
      <w:r>
        <w:rPr>
          <w:rFonts w:hint="eastAsia" w:ascii="宋体" w:hAnsi="宋体" w:cs="宋体"/>
          <w:b/>
          <w:color w:val="auto"/>
          <w:sz w:val="24"/>
          <w:szCs w:val="24"/>
          <w:highlight w:val="none"/>
        </w:rPr>
        <w:t>符合</w:t>
      </w:r>
      <w:r>
        <w:rPr>
          <w:rFonts w:hint="eastAsia" w:ascii="宋体" w:hAnsi="宋体" w:cs="宋体"/>
          <w:b/>
          <w:color w:val="auto"/>
          <w:sz w:val="24"/>
          <w:szCs w:val="24"/>
          <w:highlight w:val="none"/>
          <w:lang w:eastAsia="zh-CN"/>
        </w:rPr>
        <w:t>性</w:t>
      </w:r>
      <w:r>
        <w:rPr>
          <w:rFonts w:hint="eastAsia" w:cs="宋体"/>
          <w:b/>
          <w:color w:val="auto"/>
          <w:sz w:val="24"/>
          <w:szCs w:val="24"/>
          <w:highlight w:val="none"/>
          <w:lang w:val="en-US" w:eastAsia="zh-CN"/>
        </w:rPr>
        <w:t>审查表-</w:t>
      </w:r>
      <w:r>
        <w:rPr>
          <w:rFonts w:hint="eastAsia" w:ascii="宋体" w:hAnsi="宋体" w:cs="宋体"/>
          <w:b/>
          <w:color w:val="auto"/>
          <w:sz w:val="24"/>
          <w:szCs w:val="24"/>
          <w:highlight w:val="none"/>
        </w:rPr>
        <w:t>附表</w:t>
      </w:r>
    </w:p>
    <w:p w14:paraId="70584E38">
      <w:pPr>
        <w:pStyle w:val="4"/>
        <w:keepNext/>
        <w:keepLines/>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jc w:val="center"/>
        <w:textAlignment w:val="auto"/>
        <w:rPr>
          <w:rFonts w:hint="eastAsia" w:ascii="宋体" w:hAnsi="宋体" w:eastAsia="宋体" w:cstheme="minorBidi"/>
          <w:b/>
          <w:bCs/>
          <w:color w:val="auto"/>
          <w:kern w:val="2"/>
          <w:sz w:val="28"/>
          <w:szCs w:val="28"/>
          <w:highlight w:val="none"/>
          <w:lang w:val="zh-CN" w:eastAsia="zh-CN" w:bidi="ar-SA"/>
        </w:rPr>
      </w:pPr>
      <w:bookmarkStart w:id="571" w:name="_Toc10068"/>
      <w:bookmarkStart w:id="572" w:name="_Toc3959"/>
      <w:r>
        <w:rPr>
          <w:rFonts w:hint="eastAsia" w:ascii="宋体" w:hAnsi="宋体" w:eastAsia="宋体" w:cstheme="minorBidi"/>
          <w:b/>
          <w:bCs/>
          <w:color w:val="auto"/>
          <w:kern w:val="2"/>
          <w:sz w:val="28"/>
          <w:szCs w:val="28"/>
          <w:highlight w:val="none"/>
          <w:lang w:val="zh-CN" w:eastAsia="zh-CN" w:bidi="ar-SA"/>
        </w:rPr>
        <w:t>实质性响应一览表</w:t>
      </w:r>
      <w:bookmarkEnd w:id="571"/>
      <w:bookmarkEnd w:id="572"/>
    </w:p>
    <w:p w14:paraId="7DFD9111">
      <w:pPr>
        <w:shd w:val="clear" w:color="auto" w:fill="FFFFFF"/>
        <w:tabs>
          <w:tab w:val="left" w:pos="3045"/>
        </w:tabs>
        <w:autoSpaceDE w:val="0"/>
        <w:autoSpaceDN w:val="0"/>
        <w:adjustRightInd w:val="0"/>
        <w:snapToGrid w:val="0"/>
        <w:spacing w:line="360" w:lineRule="exact"/>
        <w:jc w:val="center"/>
        <w:rPr>
          <w:rFonts w:hint="eastAsia" w:ascii="宋体" w:hAnsi="宋体" w:cs="宋体"/>
          <w:b w:val="0"/>
          <w:bCs/>
          <w:color w:val="auto"/>
          <w:sz w:val="24"/>
          <w:szCs w:val="24"/>
          <w:highlight w:val="none"/>
        </w:rPr>
      </w:pPr>
      <w:r>
        <w:rPr>
          <w:rFonts w:hint="eastAsia" w:ascii="宋体" w:hAnsi="宋体" w:cs="宋体"/>
          <w:b w:val="0"/>
          <w:bCs/>
          <w:color w:val="auto"/>
          <w:sz w:val="24"/>
          <w:szCs w:val="24"/>
          <w:highlight w:val="none"/>
        </w:rPr>
        <w:t>（</w:t>
      </w:r>
      <w:r>
        <w:rPr>
          <w:rFonts w:hint="eastAsia" w:cs="宋体"/>
          <w:b w:val="0"/>
          <w:bCs/>
          <w:color w:val="auto"/>
          <w:sz w:val="24"/>
          <w:szCs w:val="24"/>
          <w:highlight w:val="none"/>
          <w:lang w:val="en-US" w:eastAsia="zh-CN"/>
        </w:rPr>
        <w:t>投标人</w:t>
      </w:r>
      <w:r>
        <w:rPr>
          <w:rFonts w:hint="eastAsia" w:ascii="宋体" w:hAnsi="宋体" w:cs="宋体"/>
          <w:b w:val="0"/>
          <w:bCs/>
          <w:color w:val="auto"/>
          <w:sz w:val="24"/>
          <w:szCs w:val="24"/>
          <w:highlight w:val="none"/>
        </w:rPr>
        <w:t>须对本附表所有内容逐条响应且无负偏离，否则</w:t>
      </w:r>
      <w:r>
        <w:rPr>
          <w:rFonts w:hint="eastAsia" w:cs="宋体"/>
          <w:b w:val="0"/>
          <w:bCs/>
          <w:color w:val="auto"/>
          <w:sz w:val="24"/>
          <w:szCs w:val="24"/>
          <w:highlight w:val="none"/>
          <w:lang w:val="en-US" w:eastAsia="zh-CN"/>
        </w:rPr>
        <w:t>其</w:t>
      </w:r>
      <w:r>
        <w:rPr>
          <w:rFonts w:hint="eastAsia" w:ascii="宋体" w:hAnsi="宋体" w:cs="宋体"/>
          <w:b/>
          <w:bCs w:val="0"/>
          <w:color w:val="auto"/>
          <w:sz w:val="24"/>
          <w:szCs w:val="24"/>
          <w:highlight w:val="none"/>
        </w:rPr>
        <w:t>投标无效</w:t>
      </w:r>
      <w:r>
        <w:rPr>
          <w:rFonts w:hint="eastAsia" w:ascii="宋体" w:hAnsi="宋体" w:cs="宋体"/>
          <w:b w:val="0"/>
          <w:bCs/>
          <w:color w:val="auto"/>
          <w:sz w:val="24"/>
          <w:szCs w:val="24"/>
          <w:highlight w:val="none"/>
        </w:rPr>
        <w:t>）</w:t>
      </w:r>
    </w:p>
    <w:p w14:paraId="212CF784">
      <w:pPr>
        <w:pStyle w:val="24"/>
        <w:rPr>
          <w:rFonts w:hint="eastAsia" w:ascii="宋体" w:hAnsi="宋体" w:cs="宋体"/>
          <w:color w:val="auto"/>
          <w:sz w:val="24"/>
          <w:szCs w:val="24"/>
          <w:highlight w:val="none"/>
        </w:rPr>
      </w:pPr>
    </w:p>
    <w:tbl>
      <w:tblPr>
        <w:tblStyle w:val="31"/>
        <w:tblW w:w="5435" w:type="pct"/>
        <w:tblInd w:w="-24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
        <w:gridCol w:w="1992"/>
        <w:gridCol w:w="4259"/>
        <w:gridCol w:w="1873"/>
        <w:gridCol w:w="732"/>
      </w:tblGrid>
      <w:tr w14:paraId="098C56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10" w:hRule="atLeast"/>
        </w:trPr>
        <w:tc>
          <w:tcPr>
            <w:tcW w:w="220" w:type="pct"/>
            <w:vMerge w:val="restart"/>
            <w:noWrap w:val="0"/>
            <w:vAlign w:val="center"/>
          </w:tcPr>
          <w:p w14:paraId="7CE32AA3">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3373" w:type="pct"/>
            <w:gridSpan w:val="2"/>
            <w:noWrap w:val="0"/>
            <w:vAlign w:val="center"/>
          </w:tcPr>
          <w:p w14:paraId="01AF8505">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招标文件要求的实质性响应内容</w:t>
            </w:r>
          </w:p>
        </w:tc>
        <w:tc>
          <w:tcPr>
            <w:tcW w:w="1010" w:type="pct"/>
            <w:vMerge w:val="restart"/>
            <w:noWrap w:val="0"/>
            <w:vAlign w:val="center"/>
          </w:tcPr>
          <w:p w14:paraId="2428BDFD">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投标文件响应</w:t>
            </w:r>
            <w:r>
              <w:rPr>
                <w:rFonts w:hint="eastAsia" w:ascii="宋体" w:hAnsi="宋体" w:eastAsia="宋体" w:cs="宋体"/>
                <w:color w:val="auto"/>
                <w:sz w:val="21"/>
                <w:szCs w:val="21"/>
                <w:highlight w:val="none"/>
                <w:lang w:val="en-US" w:eastAsia="zh-CN"/>
              </w:rPr>
              <w:t>的</w:t>
            </w:r>
            <w:r>
              <w:rPr>
                <w:rFonts w:hint="eastAsia" w:ascii="宋体" w:hAnsi="宋体" w:eastAsia="宋体" w:cs="宋体"/>
                <w:color w:val="auto"/>
                <w:sz w:val="21"/>
                <w:szCs w:val="21"/>
                <w:highlight w:val="none"/>
              </w:rPr>
              <w:t>具体内容</w:t>
            </w:r>
          </w:p>
        </w:tc>
        <w:tc>
          <w:tcPr>
            <w:tcW w:w="395" w:type="pct"/>
            <w:vMerge w:val="restart"/>
            <w:noWrap w:val="0"/>
            <w:vAlign w:val="center"/>
          </w:tcPr>
          <w:p w14:paraId="2BD31803">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备注</w:t>
            </w:r>
          </w:p>
        </w:tc>
      </w:tr>
      <w:tr w14:paraId="6F69C6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220" w:type="pct"/>
            <w:vMerge w:val="continue"/>
            <w:noWrap w:val="0"/>
            <w:vAlign w:val="center"/>
          </w:tcPr>
          <w:p w14:paraId="03EF4065">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1"/>
                <w:szCs w:val="21"/>
                <w:highlight w:val="none"/>
              </w:rPr>
            </w:pPr>
          </w:p>
        </w:tc>
        <w:tc>
          <w:tcPr>
            <w:tcW w:w="1075" w:type="pct"/>
            <w:shd w:val="clear" w:color="auto" w:fill="auto"/>
            <w:noWrap w:val="0"/>
            <w:vAlign w:val="center"/>
          </w:tcPr>
          <w:p w14:paraId="5FC570A7">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实质性要求</w:t>
            </w:r>
          </w:p>
        </w:tc>
        <w:tc>
          <w:tcPr>
            <w:tcW w:w="2298" w:type="pct"/>
            <w:shd w:val="clear" w:color="auto" w:fill="auto"/>
            <w:noWrap w:val="0"/>
            <w:vAlign w:val="center"/>
          </w:tcPr>
          <w:p w14:paraId="19DBCA50">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招标文件中的规定</w:t>
            </w:r>
          </w:p>
        </w:tc>
        <w:tc>
          <w:tcPr>
            <w:tcW w:w="1010" w:type="pct"/>
            <w:vMerge w:val="continue"/>
            <w:noWrap w:val="0"/>
            <w:vAlign w:val="center"/>
          </w:tcPr>
          <w:p w14:paraId="6263BFD6">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1"/>
                <w:szCs w:val="21"/>
                <w:highlight w:val="none"/>
              </w:rPr>
            </w:pPr>
          </w:p>
        </w:tc>
        <w:tc>
          <w:tcPr>
            <w:tcW w:w="395" w:type="pct"/>
            <w:vMerge w:val="continue"/>
            <w:noWrap w:val="0"/>
            <w:vAlign w:val="center"/>
          </w:tcPr>
          <w:p w14:paraId="1B799351">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1"/>
                <w:szCs w:val="21"/>
                <w:highlight w:val="none"/>
              </w:rPr>
            </w:pPr>
          </w:p>
        </w:tc>
      </w:tr>
      <w:tr w14:paraId="0E72DD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4" w:hRule="atLeast"/>
        </w:trPr>
        <w:tc>
          <w:tcPr>
            <w:tcW w:w="220" w:type="pct"/>
            <w:noWrap w:val="0"/>
            <w:vAlign w:val="center"/>
          </w:tcPr>
          <w:p w14:paraId="7ECA8034">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075" w:type="pct"/>
            <w:shd w:val="clear" w:color="auto" w:fill="auto"/>
            <w:noWrap w:val="0"/>
            <w:vAlign w:val="center"/>
          </w:tcPr>
          <w:p w14:paraId="62642515">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投标有效期</w:t>
            </w:r>
          </w:p>
        </w:tc>
        <w:tc>
          <w:tcPr>
            <w:tcW w:w="2298" w:type="pct"/>
            <w:shd w:val="clear" w:color="auto" w:fill="auto"/>
            <w:noWrap w:val="0"/>
            <w:vAlign w:val="center"/>
          </w:tcPr>
          <w:p w14:paraId="3517C392">
            <w:pPr>
              <w:keepNext w:val="0"/>
              <w:keepLines w:val="0"/>
              <w:pageBreakBefore w:val="0"/>
              <w:widowControl w:val="0"/>
              <w:shd w:val="clear" w:color="auto" w:fill="FFFFFF"/>
              <w:kinsoku/>
              <w:wordWrap/>
              <w:overflowPunct/>
              <w:topLinePunct w:val="0"/>
              <w:autoSpaceDE w:val="0"/>
              <w:autoSpaceDN w:val="0"/>
              <w:bidi w:val="0"/>
              <w:adjustRightInd/>
              <w:snapToGrid/>
              <w:spacing w:line="36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招标文件“第二章投标须知”关于投标有效期的规定</w:t>
            </w:r>
          </w:p>
        </w:tc>
        <w:tc>
          <w:tcPr>
            <w:tcW w:w="1010" w:type="pct"/>
            <w:noWrap w:val="0"/>
            <w:vAlign w:val="center"/>
          </w:tcPr>
          <w:p w14:paraId="3F7DA8EA">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投标人在</w:t>
            </w:r>
            <w:r>
              <w:rPr>
                <w:rFonts w:hint="eastAsia" w:ascii="宋体" w:hAnsi="宋体" w:eastAsia="宋体" w:cs="宋体"/>
                <w:color w:val="auto"/>
                <w:sz w:val="21"/>
                <w:szCs w:val="21"/>
                <w:highlight w:val="none"/>
              </w:rPr>
              <w:t>此处填写</w:t>
            </w:r>
            <w:r>
              <w:rPr>
                <w:rFonts w:hint="eastAsia" w:ascii="宋体" w:hAnsi="宋体" w:eastAsia="宋体" w:cs="宋体"/>
                <w:color w:val="auto"/>
                <w:sz w:val="21"/>
                <w:szCs w:val="21"/>
                <w:highlight w:val="none"/>
                <w:lang w:eastAsia="zh-CN"/>
              </w:rPr>
              <w:t>投标</w:t>
            </w:r>
            <w:r>
              <w:rPr>
                <w:rFonts w:hint="eastAsia" w:ascii="宋体" w:hAnsi="宋体" w:eastAsia="宋体" w:cs="宋体"/>
                <w:color w:val="auto"/>
                <w:sz w:val="21"/>
                <w:szCs w:val="21"/>
                <w:highlight w:val="none"/>
                <w:lang w:val="en-US" w:eastAsia="zh-CN"/>
              </w:rPr>
              <w:t>文件的相关内容</w:t>
            </w:r>
            <w:r>
              <w:rPr>
                <w:rFonts w:hint="eastAsia" w:ascii="宋体" w:hAnsi="宋体" w:eastAsia="宋体" w:cs="宋体"/>
                <w:color w:val="auto"/>
                <w:sz w:val="21"/>
                <w:szCs w:val="21"/>
                <w:highlight w:val="none"/>
                <w:lang w:eastAsia="zh-CN"/>
              </w:rPr>
              <w:t>】</w:t>
            </w:r>
          </w:p>
        </w:tc>
        <w:tc>
          <w:tcPr>
            <w:tcW w:w="395" w:type="pct"/>
            <w:noWrap w:val="0"/>
            <w:vAlign w:val="center"/>
          </w:tcPr>
          <w:p w14:paraId="729A3125">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1"/>
                <w:szCs w:val="21"/>
                <w:highlight w:val="none"/>
              </w:rPr>
            </w:pPr>
          </w:p>
        </w:tc>
      </w:tr>
      <w:tr w14:paraId="671CC4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8" w:hRule="atLeast"/>
        </w:trPr>
        <w:tc>
          <w:tcPr>
            <w:tcW w:w="220" w:type="pct"/>
            <w:noWrap w:val="0"/>
            <w:vAlign w:val="center"/>
          </w:tcPr>
          <w:p w14:paraId="79561691">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1075" w:type="pct"/>
            <w:shd w:val="clear" w:color="auto" w:fill="auto"/>
            <w:noWrap w:val="0"/>
            <w:vAlign w:val="center"/>
          </w:tcPr>
          <w:p w14:paraId="7FB35A2D">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i w:val="0"/>
                <w:iCs w:val="0"/>
                <w:color w:val="auto"/>
                <w:kern w:val="2"/>
                <w:sz w:val="21"/>
                <w:szCs w:val="21"/>
                <w:highlight w:val="none"/>
                <w:lang w:val="en-US" w:eastAsia="zh-CN" w:bidi="ar-SA"/>
              </w:rPr>
            </w:pPr>
            <w:r>
              <w:rPr>
                <w:rFonts w:hint="default"/>
                <w:snapToGrid w:val="0"/>
                <w:color w:val="auto"/>
                <w:sz w:val="21"/>
                <w:szCs w:val="21"/>
                <w:highlight w:val="none"/>
                <w:lang w:val="en-US" w:eastAsia="zh-CN"/>
              </w:rPr>
              <w:t>交货期</w:t>
            </w:r>
          </w:p>
        </w:tc>
        <w:tc>
          <w:tcPr>
            <w:tcW w:w="2298" w:type="pct"/>
            <w:shd w:val="clear" w:color="auto" w:fill="auto"/>
            <w:noWrap w:val="0"/>
            <w:vAlign w:val="center"/>
          </w:tcPr>
          <w:p w14:paraId="119C002B">
            <w:pPr>
              <w:keepNext w:val="0"/>
              <w:keepLines w:val="0"/>
              <w:pageBreakBefore w:val="0"/>
              <w:widowControl w:val="0"/>
              <w:shd w:val="clear" w:color="auto" w:fill="FFFFFF"/>
              <w:kinsoku/>
              <w:wordWrap/>
              <w:overflowPunct/>
              <w:topLinePunct w:val="0"/>
              <w:autoSpaceDE w:val="0"/>
              <w:autoSpaceDN w:val="0"/>
              <w:bidi w:val="0"/>
              <w:adjustRightInd/>
              <w:snapToGrid/>
              <w:spacing w:line="360" w:lineRule="exact"/>
              <w:jc w:val="left"/>
              <w:textAlignment w:val="auto"/>
              <w:rPr>
                <w:rFonts w:hint="eastAsia" w:ascii="宋体" w:hAnsi="宋体" w:eastAsia="宋体" w:cs="宋体"/>
                <w:color w:val="auto"/>
                <w:kern w:val="2"/>
                <w:sz w:val="21"/>
                <w:szCs w:val="21"/>
                <w:highlight w:val="none"/>
                <w:lang w:val="en-US" w:eastAsia="zh-CN" w:bidi="ar-SA"/>
              </w:rPr>
            </w:pPr>
            <w:r>
              <w:rPr>
                <w:rFonts w:hint="default"/>
                <w:snapToGrid w:val="0"/>
                <w:color w:val="auto"/>
                <w:sz w:val="21"/>
                <w:szCs w:val="21"/>
                <w:highlight w:val="none"/>
                <w:lang w:val="en-US" w:eastAsia="zh-CN"/>
              </w:rPr>
              <w:t>自合同签订之日起</w:t>
            </w:r>
            <w:r>
              <w:rPr>
                <w:rFonts w:hint="eastAsia"/>
                <w:snapToGrid w:val="0"/>
                <w:color w:val="auto"/>
                <w:sz w:val="21"/>
                <w:szCs w:val="21"/>
                <w:highlight w:val="none"/>
                <w:u w:val="single"/>
                <w:lang w:val="en-US" w:eastAsia="zh-CN"/>
              </w:rPr>
              <w:t>45</w:t>
            </w:r>
            <w:r>
              <w:rPr>
                <w:rFonts w:hint="default"/>
                <w:snapToGrid w:val="0"/>
                <w:color w:val="auto"/>
                <w:sz w:val="21"/>
                <w:szCs w:val="21"/>
                <w:highlight w:val="none"/>
                <w:lang w:val="en-US" w:eastAsia="zh-CN"/>
              </w:rPr>
              <w:t>天内（按合同签订之日算起），将标的物运送至甲方指定地点，并负责完成安装调试，配合甲方完成验收。</w:t>
            </w:r>
          </w:p>
        </w:tc>
        <w:tc>
          <w:tcPr>
            <w:tcW w:w="1010" w:type="pct"/>
            <w:noWrap w:val="0"/>
            <w:vAlign w:val="center"/>
          </w:tcPr>
          <w:p w14:paraId="5BB89004">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1"/>
                <w:szCs w:val="21"/>
                <w:highlight w:val="none"/>
              </w:rPr>
            </w:pPr>
          </w:p>
        </w:tc>
        <w:tc>
          <w:tcPr>
            <w:tcW w:w="395" w:type="pct"/>
            <w:noWrap w:val="0"/>
            <w:vAlign w:val="center"/>
          </w:tcPr>
          <w:p w14:paraId="0E4E1170">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1"/>
                <w:szCs w:val="21"/>
                <w:highlight w:val="none"/>
              </w:rPr>
            </w:pPr>
          </w:p>
        </w:tc>
      </w:tr>
      <w:tr w14:paraId="350561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2" w:hRule="atLeast"/>
        </w:trPr>
        <w:tc>
          <w:tcPr>
            <w:tcW w:w="220" w:type="pct"/>
            <w:shd w:val="clear" w:color="auto" w:fill="auto"/>
            <w:noWrap w:val="0"/>
            <w:vAlign w:val="center"/>
          </w:tcPr>
          <w:p w14:paraId="7D5DC93C">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3</w:t>
            </w:r>
          </w:p>
        </w:tc>
        <w:tc>
          <w:tcPr>
            <w:tcW w:w="1075" w:type="pct"/>
            <w:shd w:val="clear" w:color="auto" w:fill="auto"/>
            <w:noWrap w:val="0"/>
            <w:vAlign w:val="center"/>
          </w:tcPr>
          <w:p w14:paraId="505EE26A">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kern w:val="2"/>
                <w:sz w:val="21"/>
                <w:szCs w:val="21"/>
                <w:highlight w:val="green"/>
                <w:lang w:val="en-US" w:eastAsia="zh-CN" w:bidi="ar-SA"/>
              </w:rPr>
            </w:pPr>
            <w:r>
              <w:rPr>
                <w:rFonts w:hint="default"/>
                <w:snapToGrid w:val="0"/>
                <w:color w:val="auto"/>
                <w:sz w:val="21"/>
                <w:szCs w:val="21"/>
                <w:highlight w:val="none"/>
                <w:lang w:val="en-US" w:eastAsia="zh-CN"/>
              </w:rPr>
              <w:t>交货地点</w:t>
            </w:r>
          </w:p>
        </w:tc>
        <w:tc>
          <w:tcPr>
            <w:tcW w:w="2298" w:type="pct"/>
            <w:shd w:val="clear" w:color="auto" w:fill="auto"/>
            <w:noWrap w:val="0"/>
            <w:vAlign w:val="center"/>
          </w:tcPr>
          <w:p w14:paraId="324EF1FF">
            <w:pPr>
              <w:pStyle w:val="52"/>
              <w:jc w:val="center"/>
              <w:rPr>
                <w:rFonts w:hint="eastAsia" w:ascii="宋体" w:hAnsi="宋体" w:eastAsia="宋体" w:cs="宋体"/>
                <w:color w:val="auto"/>
                <w:kern w:val="2"/>
                <w:sz w:val="21"/>
                <w:szCs w:val="21"/>
                <w:highlight w:val="none"/>
                <w:lang w:val="en-US" w:eastAsia="zh-CN" w:bidi="ar-SA"/>
              </w:rPr>
            </w:pPr>
            <w:r>
              <w:rPr>
                <w:rFonts w:hint="default"/>
                <w:snapToGrid w:val="0"/>
                <w:color w:val="auto"/>
                <w:sz w:val="21"/>
                <w:szCs w:val="21"/>
                <w:highlight w:val="none"/>
                <w:lang w:val="en-US" w:eastAsia="zh-CN"/>
              </w:rPr>
              <w:t>甲方指定</w:t>
            </w:r>
          </w:p>
        </w:tc>
        <w:tc>
          <w:tcPr>
            <w:tcW w:w="1010" w:type="pct"/>
            <w:noWrap w:val="0"/>
            <w:vAlign w:val="center"/>
          </w:tcPr>
          <w:p w14:paraId="042BD647">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1"/>
                <w:szCs w:val="21"/>
                <w:highlight w:val="none"/>
              </w:rPr>
            </w:pPr>
          </w:p>
        </w:tc>
        <w:tc>
          <w:tcPr>
            <w:tcW w:w="395" w:type="pct"/>
            <w:noWrap w:val="0"/>
            <w:vAlign w:val="center"/>
          </w:tcPr>
          <w:p w14:paraId="458E18AF">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1"/>
                <w:szCs w:val="21"/>
                <w:highlight w:val="none"/>
              </w:rPr>
            </w:pPr>
          </w:p>
        </w:tc>
      </w:tr>
      <w:tr w14:paraId="0126AE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220" w:type="pct"/>
            <w:shd w:val="clear" w:color="auto" w:fill="auto"/>
            <w:noWrap w:val="0"/>
            <w:vAlign w:val="center"/>
          </w:tcPr>
          <w:p w14:paraId="24A010C1">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4</w:t>
            </w:r>
          </w:p>
        </w:tc>
        <w:tc>
          <w:tcPr>
            <w:tcW w:w="1075" w:type="pct"/>
            <w:shd w:val="clear" w:color="auto" w:fill="auto"/>
            <w:noWrap w:val="0"/>
            <w:vAlign w:val="center"/>
          </w:tcPr>
          <w:p w14:paraId="127FA675">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kern w:val="2"/>
                <w:sz w:val="21"/>
                <w:szCs w:val="21"/>
                <w:highlight w:val="green"/>
                <w:lang w:val="en-US" w:eastAsia="zh-CN" w:bidi="ar-SA"/>
              </w:rPr>
            </w:pPr>
            <w:r>
              <w:rPr>
                <w:rFonts w:hint="eastAsia"/>
                <w:snapToGrid w:val="0"/>
                <w:color w:val="auto"/>
                <w:sz w:val="21"/>
                <w:szCs w:val="21"/>
                <w:highlight w:val="none"/>
                <w:lang w:val="en-US" w:eastAsia="zh-CN"/>
              </w:rPr>
              <w:t>付款条件</w:t>
            </w:r>
          </w:p>
        </w:tc>
        <w:tc>
          <w:tcPr>
            <w:tcW w:w="2298" w:type="pct"/>
            <w:shd w:val="clear" w:color="auto" w:fill="auto"/>
            <w:noWrap w:val="0"/>
            <w:vAlign w:val="center"/>
          </w:tcPr>
          <w:p w14:paraId="0A1FEA91">
            <w:pPr>
              <w:pStyle w:val="52"/>
              <w:jc w:val="lef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a）合同签订后完成设备的到货、安装、调试，经甲方确认达到试运行标准后支付合同总金额的90%，达到验收标准后无息支付合同总金额10%。</w:t>
            </w:r>
          </w:p>
          <w:p w14:paraId="18769BAA">
            <w:pPr>
              <w:pStyle w:val="52"/>
              <w:jc w:val="lef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b）以上付款均需乙方在符合付款条件下，先向甲方提交真实合法有效且符合甲方财务做账要求的等额增值税发票并提出书面付款申请，由甲方财务审核通过后，按照甲方财务计划予以支付。否则甲方有权拒绝支付任何费用且不承担任何违约责任。</w:t>
            </w:r>
          </w:p>
        </w:tc>
        <w:tc>
          <w:tcPr>
            <w:tcW w:w="1010" w:type="pct"/>
            <w:noWrap w:val="0"/>
            <w:vAlign w:val="center"/>
          </w:tcPr>
          <w:p w14:paraId="6E29F276">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1"/>
                <w:szCs w:val="21"/>
                <w:highlight w:val="none"/>
              </w:rPr>
            </w:pPr>
          </w:p>
        </w:tc>
        <w:tc>
          <w:tcPr>
            <w:tcW w:w="395" w:type="pct"/>
            <w:noWrap w:val="0"/>
            <w:vAlign w:val="center"/>
          </w:tcPr>
          <w:p w14:paraId="63A4B6FE">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1"/>
                <w:szCs w:val="21"/>
                <w:highlight w:val="none"/>
              </w:rPr>
            </w:pPr>
          </w:p>
        </w:tc>
      </w:tr>
      <w:tr w14:paraId="188F2E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4" w:hRule="atLeast"/>
        </w:trPr>
        <w:tc>
          <w:tcPr>
            <w:tcW w:w="220" w:type="pct"/>
            <w:shd w:val="clear" w:color="auto" w:fill="auto"/>
            <w:noWrap w:val="0"/>
            <w:vAlign w:val="center"/>
          </w:tcPr>
          <w:p w14:paraId="7D889D64">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5</w:t>
            </w:r>
          </w:p>
        </w:tc>
        <w:tc>
          <w:tcPr>
            <w:tcW w:w="1075" w:type="pct"/>
            <w:shd w:val="clear" w:color="auto" w:fill="auto"/>
            <w:noWrap w:val="0"/>
            <w:vAlign w:val="center"/>
          </w:tcPr>
          <w:p w14:paraId="1BACABE2">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kern w:val="2"/>
                <w:sz w:val="21"/>
                <w:szCs w:val="21"/>
                <w:highlight w:val="green"/>
                <w:lang w:val="en-US" w:eastAsia="zh-CN" w:bidi="ar-SA"/>
              </w:rPr>
            </w:pPr>
            <w:r>
              <w:rPr>
                <w:rFonts w:hint="eastAsia" w:ascii="宋体" w:hAnsi="宋体" w:eastAsia="宋体" w:cs="宋体"/>
                <w:color w:val="auto"/>
                <w:kern w:val="2"/>
                <w:sz w:val="21"/>
                <w:szCs w:val="21"/>
                <w:highlight w:val="none"/>
                <w:lang w:val="en-US" w:eastAsia="zh-CN" w:bidi="ar-SA"/>
              </w:rPr>
              <w:t>原厂保修服务</w:t>
            </w:r>
          </w:p>
        </w:tc>
        <w:tc>
          <w:tcPr>
            <w:tcW w:w="2298" w:type="pct"/>
            <w:shd w:val="clear" w:color="auto" w:fill="auto"/>
            <w:noWrap w:val="0"/>
            <w:vAlign w:val="center"/>
          </w:tcPr>
          <w:p w14:paraId="6AF4E488">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自验收合格之日起计保修期，提供整机（包含球管、探测器、晶体等所有到货安装设备）原厂保修服务≥6年，承担保修期内设备任何故障产生的费用</w:t>
            </w:r>
          </w:p>
        </w:tc>
        <w:tc>
          <w:tcPr>
            <w:tcW w:w="1010" w:type="pct"/>
            <w:noWrap w:val="0"/>
            <w:vAlign w:val="center"/>
          </w:tcPr>
          <w:p w14:paraId="5791DDF3">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1"/>
                <w:szCs w:val="21"/>
                <w:highlight w:val="none"/>
              </w:rPr>
            </w:pPr>
          </w:p>
        </w:tc>
        <w:tc>
          <w:tcPr>
            <w:tcW w:w="395" w:type="pct"/>
            <w:noWrap w:val="0"/>
            <w:vAlign w:val="center"/>
          </w:tcPr>
          <w:p w14:paraId="4FAB1392">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1"/>
                <w:szCs w:val="21"/>
                <w:highlight w:val="none"/>
              </w:rPr>
            </w:pPr>
          </w:p>
        </w:tc>
      </w:tr>
      <w:tr w14:paraId="7D82C3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220" w:type="pct"/>
            <w:shd w:val="clear" w:color="auto" w:fill="auto"/>
            <w:noWrap w:val="0"/>
            <w:vAlign w:val="center"/>
          </w:tcPr>
          <w:p w14:paraId="1D658F73">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kern w:val="2"/>
                <w:sz w:val="21"/>
                <w:szCs w:val="21"/>
                <w:highlight w:val="yellow"/>
                <w:lang w:val="en-US" w:eastAsia="zh-CN" w:bidi="ar-SA"/>
              </w:rPr>
            </w:pPr>
          </w:p>
        </w:tc>
        <w:tc>
          <w:tcPr>
            <w:tcW w:w="1075" w:type="pct"/>
            <w:noWrap w:val="0"/>
            <w:vAlign w:val="center"/>
          </w:tcPr>
          <w:p w14:paraId="76B2B25F">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1"/>
                <w:szCs w:val="21"/>
                <w:highlight w:val="yellow"/>
                <w:lang w:val="en-US" w:eastAsia="zh-CN"/>
              </w:rPr>
            </w:pPr>
          </w:p>
        </w:tc>
        <w:tc>
          <w:tcPr>
            <w:tcW w:w="2298" w:type="pct"/>
            <w:noWrap w:val="0"/>
            <w:vAlign w:val="center"/>
          </w:tcPr>
          <w:p w14:paraId="080CF7F9">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kern w:val="2"/>
                <w:sz w:val="21"/>
                <w:szCs w:val="21"/>
                <w:highlight w:val="yellow"/>
                <w:lang w:val="en-US" w:eastAsia="zh-CN" w:bidi="ar-SA"/>
              </w:rPr>
            </w:pPr>
          </w:p>
        </w:tc>
        <w:tc>
          <w:tcPr>
            <w:tcW w:w="1010" w:type="pct"/>
            <w:noWrap w:val="0"/>
            <w:vAlign w:val="center"/>
          </w:tcPr>
          <w:p w14:paraId="404E91E1">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1"/>
                <w:szCs w:val="21"/>
                <w:highlight w:val="yellow"/>
              </w:rPr>
            </w:pPr>
          </w:p>
        </w:tc>
        <w:tc>
          <w:tcPr>
            <w:tcW w:w="395" w:type="pct"/>
            <w:noWrap w:val="0"/>
            <w:vAlign w:val="center"/>
          </w:tcPr>
          <w:p w14:paraId="4B03ECB7">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1"/>
                <w:szCs w:val="21"/>
                <w:highlight w:val="yellow"/>
              </w:rPr>
            </w:pPr>
          </w:p>
        </w:tc>
      </w:tr>
      <w:tr w14:paraId="581EA5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220" w:type="pct"/>
            <w:shd w:val="clear" w:color="auto" w:fill="auto"/>
            <w:noWrap w:val="0"/>
            <w:vAlign w:val="center"/>
          </w:tcPr>
          <w:p w14:paraId="2A12EC9F">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kern w:val="2"/>
                <w:sz w:val="21"/>
                <w:szCs w:val="21"/>
                <w:highlight w:val="none"/>
                <w:lang w:val="en-US" w:eastAsia="zh-CN" w:bidi="ar-SA"/>
              </w:rPr>
            </w:pPr>
          </w:p>
        </w:tc>
        <w:tc>
          <w:tcPr>
            <w:tcW w:w="1075" w:type="pct"/>
            <w:noWrap w:val="0"/>
            <w:vAlign w:val="center"/>
          </w:tcPr>
          <w:p w14:paraId="0BFE6DFD">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1"/>
                <w:szCs w:val="21"/>
                <w:highlight w:val="none"/>
                <w:lang w:val="en-US" w:eastAsia="zh-CN"/>
              </w:rPr>
            </w:pPr>
            <w:r>
              <w:rPr>
                <w:rFonts w:hint="eastAsia" w:cs="宋体"/>
                <w:color w:val="auto"/>
                <w:sz w:val="21"/>
                <w:szCs w:val="21"/>
                <w:highlight w:val="none"/>
                <w:lang w:val="en-US" w:eastAsia="zh-CN"/>
              </w:rPr>
              <w:t>……</w:t>
            </w:r>
          </w:p>
        </w:tc>
        <w:tc>
          <w:tcPr>
            <w:tcW w:w="2298" w:type="pct"/>
            <w:noWrap w:val="0"/>
            <w:vAlign w:val="center"/>
          </w:tcPr>
          <w:p w14:paraId="70263471">
            <w:pPr>
              <w:keepNext w:val="0"/>
              <w:keepLines w:val="0"/>
              <w:pageBreakBefore w:val="0"/>
              <w:widowControl w:val="0"/>
              <w:shd w:val="clear" w:color="auto" w:fill="FFFFFF"/>
              <w:kinsoku/>
              <w:wordWrap/>
              <w:overflowPunct/>
              <w:topLinePunct w:val="0"/>
              <w:autoSpaceDE/>
              <w:autoSpaceDN/>
              <w:bidi w:val="0"/>
              <w:adjustRightInd/>
              <w:snapToGrid/>
              <w:spacing w:line="400" w:lineRule="atLeast"/>
              <w:textAlignment w:val="auto"/>
              <w:rPr>
                <w:rFonts w:hint="eastAsia" w:ascii="宋体" w:hAnsi="宋体" w:eastAsia="宋体" w:cs="宋体"/>
                <w:color w:val="auto"/>
                <w:sz w:val="21"/>
                <w:szCs w:val="21"/>
                <w:highlight w:val="yellow"/>
                <w:lang w:val="en-US" w:eastAsia="zh-CN"/>
              </w:rPr>
            </w:pPr>
          </w:p>
        </w:tc>
        <w:tc>
          <w:tcPr>
            <w:tcW w:w="1010" w:type="pct"/>
            <w:noWrap w:val="0"/>
            <w:vAlign w:val="center"/>
          </w:tcPr>
          <w:p w14:paraId="7D8F15D3">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1"/>
                <w:szCs w:val="21"/>
                <w:highlight w:val="yellow"/>
              </w:rPr>
            </w:pPr>
          </w:p>
        </w:tc>
        <w:tc>
          <w:tcPr>
            <w:tcW w:w="395" w:type="pct"/>
            <w:noWrap w:val="0"/>
            <w:vAlign w:val="center"/>
          </w:tcPr>
          <w:p w14:paraId="4F0FDAA9">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1"/>
                <w:szCs w:val="21"/>
                <w:highlight w:val="yellow"/>
              </w:rPr>
            </w:pPr>
          </w:p>
        </w:tc>
      </w:tr>
    </w:tbl>
    <w:p w14:paraId="60BB87D6">
      <w:pPr>
        <w:rPr>
          <w:rFonts w:hint="eastAsia"/>
          <w:b/>
          <w:bCs/>
          <w:color w:val="auto"/>
          <w:highlight w:val="none"/>
          <w:lang w:val="en-US" w:eastAsia="zh-CN"/>
        </w:rPr>
      </w:pPr>
    </w:p>
    <w:p w14:paraId="73C7580B">
      <w:pPr>
        <w:rPr>
          <w:rFonts w:hint="default" w:eastAsia="宋体"/>
          <w:b/>
          <w:bCs/>
          <w:color w:val="auto"/>
          <w:sz w:val="21"/>
          <w:szCs w:val="21"/>
          <w:highlight w:val="none"/>
          <w:lang w:val="en-US" w:eastAsia="zh-CN"/>
        </w:rPr>
      </w:pPr>
      <w:r>
        <w:rPr>
          <w:rFonts w:hint="eastAsia"/>
          <w:b/>
          <w:bCs/>
          <w:color w:val="auto"/>
          <w:sz w:val="21"/>
          <w:szCs w:val="21"/>
          <w:highlight w:val="none"/>
          <w:lang w:val="en-US" w:eastAsia="zh-CN"/>
        </w:rPr>
        <w:t>注：“实质性响应一览表”中的内容为参考，可根据项目情况自行设置。</w:t>
      </w:r>
    </w:p>
    <w:p w14:paraId="48517D6B">
      <w:pPr>
        <w:shd w:val="clear" w:color="auto" w:fill="FFFFFF"/>
        <w:tabs>
          <w:tab w:val="left" w:pos="3045"/>
        </w:tabs>
        <w:autoSpaceDE w:val="0"/>
        <w:autoSpaceDN w:val="0"/>
        <w:adjustRightInd w:val="0"/>
        <w:snapToGrid w:val="0"/>
        <w:spacing w:line="360" w:lineRule="exact"/>
        <w:rPr>
          <w:rFonts w:hint="eastAsia" w:ascii="宋体" w:hAnsi="宋体" w:eastAsia="宋体" w:cstheme="minorBidi"/>
          <w:b/>
          <w:bCs/>
          <w:color w:val="auto"/>
          <w:kern w:val="2"/>
          <w:sz w:val="30"/>
          <w:szCs w:val="32"/>
          <w:highlight w:val="none"/>
          <w:lang w:val="zh-CN" w:eastAsia="zh-CN" w:bidi="ar-SA"/>
        </w:rPr>
      </w:pPr>
      <w:bookmarkStart w:id="573" w:name="_Toc163492910"/>
      <w:bookmarkStart w:id="574" w:name="_Toc155185917"/>
      <w:r>
        <w:rPr>
          <w:rFonts w:hint="eastAsia" w:ascii="宋体" w:hAnsi="宋体" w:eastAsia="宋体" w:cstheme="minorBidi"/>
          <w:b/>
          <w:bCs/>
          <w:color w:val="auto"/>
          <w:kern w:val="2"/>
          <w:sz w:val="30"/>
          <w:szCs w:val="32"/>
          <w:highlight w:val="none"/>
          <w:lang w:val="zh-CN" w:eastAsia="zh-CN" w:bidi="ar-SA"/>
        </w:rPr>
        <w:br w:type="page"/>
      </w:r>
    </w:p>
    <w:p w14:paraId="3FE0903E">
      <w:pPr>
        <w:pStyle w:val="4"/>
        <w:keepNext w:val="0"/>
        <w:keepLines w:val="0"/>
        <w:pageBreakBefore w:val="0"/>
        <w:widowControl w:val="0"/>
        <w:numPr>
          <w:ilvl w:val="0"/>
          <w:numId w:val="0"/>
        </w:numPr>
        <w:kinsoku/>
        <w:wordWrap/>
        <w:overflowPunct/>
        <w:topLinePunct w:val="0"/>
        <w:autoSpaceDE/>
        <w:autoSpaceDN/>
        <w:bidi w:val="0"/>
        <w:adjustRightInd/>
        <w:snapToGrid/>
        <w:spacing w:before="160" w:after="160" w:line="360" w:lineRule="auto"/>
        <w:ind w:left="420" w:leftChars="0" w:hanging="420" w:firstLineChars="0"/>
        <w:textAlignment w:val="auto"/>
        <w:rPr>
          <w:rFonts w:hint="eastAsia" w:ascii="宋体" w:hAnsi="宋体" w:eastAsia="宋体" w:cs="宋体"/>
          <w:b/>
          <w:bCs/>
          <w:color w:val="auto"/>
          <w:kern w:val="2"/>
          <w:sz w:val="24"/>
          <w:szCs w:val="24"/>
          <w:highlight w:val="none"/>
          <w:lang w:val="zh-CN" w:eastAsia="zh-CN" w:bidi="ar-SA"/>
        </w:rPr>
      </w:pPr>
      <w:bookmarkStart w:id="575" w:name="_Toc10178"/>
      <w:bookmarkStart w:id="576" w:name="_Toc21870"/>
      <w:r>
        <w:rPr>
          <w:rFonts w:hint="eastAsia" w:ascii="宋体" w:hAnsi="宋体" w:eastAsia="宋体" w:cs="宋体"/>
          <w:b/>
          <w:bCs/>
          <w:color w:val="auto"/>
          <w:kern w:val="2"/>
          <w:sz w:val="24"/>
          <w:szCs w:val="24"/>
          <w:highlight w:val="none"/>
          <w:lang w:val="zh-CN" w:eastAsia="zh-CN" w:bidi="ar-SA"/>
        </w:rPr>
        <w:t>（二）评分标准</w:t>
      </w:r>
      <w:bookmarkEnd w:id="573"/>
      <w:bookmarkEnd w:id="574"/>
      <w:bookmarkEnd w:id="575"/>
      <w:bookmarkEnd w:id="576"/>
    </w:p>
    <w:p w14:paraId="06EEC6BD">
      <w:pPr>
        <w:rPr>
          <w:rFonts w:hint="default"/>
          <w:b/>
          <w:bCs/>
          <w:color w:val="auto"/>
          <w:sz w:val="21"/>
          <w:szCs w:val="21"/>
          <w:highlight w:val="none"/>
          <w:lang w:val="en-US" w:eastAsia="zh-CN"/>
        </w:rPr>
      </w:pPr>
      <w:r>
        <w:rPr>
          <w:rFonts w:hint="eastAsia"/>
          <w:b/>
          <w:bCs/>
          <w:color w:val="auto"/>
          <w:sz w:val="21"/>
          <w:szCs w:val="21"/>
          <w:highlight w:val="none"/>
          <w:lang w:val="en-US" w:eastAsia="zh-CN"/>
        </w:rPr>
        <w:t>注：以下评标分项根据项目实际情况可自行设置。</w:t>
      </w:r>
    </w:p>
    <w:tbl>
      <w:tblPr>
        <w:tblStyle w:val="31"/>
        <w:tblW w:w="551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8"/>
        <w:gridCol w:w="1578"/>
        <w:gridCol w:w="1000"/>
        <w:gridCol w:w="6037"/>
      </w:tblGrid>
      <w:tr w14:paraId="5175C4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blHeader/>
          <w:jc w:val="center"/>
        </w:trPr>
        <w:tc>
          <w:tcPr>
            <w:tcW w:w="414" w:type="pct"/>
            <w:shd w:val="clear" w:color="auto" w:fill="D8D8D8" w:themeFill="background1" w:themeFillShade="D9"/>
            <w:vAlign w:val="center"/>
          </w:tcPr>
          <w:p w14:paraId="4924CA4E">
            <w:pPr>
              <w:pStyle w:val="52"/>
              <w:keepNext w:val="0"/>
              <w:keepLines w:val="0"/>
              <w:pageBreakBefore w:val="0"/>
              <w:kinsoku/>
              <w:wordWrap/>
              <w:overflowPunct/>
              <w:topLinePunct w:val="0"/>
              <w:bidi w:val="0"/>
              <w:spacing w:line="24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评标项目</w:t>
            </w:r>
          </w:p>
        </w:tc>
        <w:tc>
          <w:tcPr>
            <w:tcW w:w="839" w:type="pct"/>
            <w:shd w:val="clear" w:color="auto" w:fill="D8D8D8" w:themeFill="background1" w:themeFillShade="D9"/>
            <w:vAlign w:val="center"/>
          </w:tcPr>
          <w:p w14:paraId="7A3DCB70">
            <w:pPr>
              <w:pStyle w:val="52"/>
              <w:keepNext w:val="0"/>
              <w:keepLines w:val="0"/>
              <w:pageBreakBefore w:val="0"/>
              <w:kinsoku/>
              <w:wordWrap/>
              <w:overflowPunct/>
              <w:topLinePunct w:val="0"/>
              <w:bidi w:val="0"/>
              <w:spacing w:line="24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评标分项</w:t>
            </w:r>
          </w:p>
        </w:tc>
        <w:tc>
          <w:tcPr>
            <w:tcW w:w="532" w:type="pct"/>
            <w:shd w:val="clear" w:color="auto" w:fill="D8D8D8" w:themeFill="background1" w:themeFillShade="D9"/>
            <w:vAlign w:val="center"/>
          </w:tcPr>
          <w:p w14:paraId="65B86E0D">
            <w:pPr>
              <w:pStyle w:val="52"/>
              <w:keepNext w:val="0"/>
              <w:keepLines w:val="0"/>
              <w:pageBreakBefore w:val="0"/>
              <w:kinsoku/>
              <w:wordWrap/>
              <w:overflowPunct/>
              <w:topLinePunct w:val="0"/>
              <w:bidi w:val="0"/>
              <w:spacing w:line="24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分值</w:t>
            </w:r>
          </w:p>
        </w:tc>
        <w:tc>
          <w:tcPr>
            <w:tcW w:w="3213" w:type="pct"/>
            <w:shd w:val="clear" w:color="auto" w:fill="D8D8D8" w:themeFill="background1" w:themeFillShade="D9"/>
            <w:vAlign w:val="center"/>
          </w:tcPr>
          <w:p w14:paraId="467A385D">
            <w:pPr>
              <w:pStyle w:val="52"/>
              <w:keepNext w:val="0"/>
              <w:keepLines w:val="0"/>
              <w:pageBreakBefore w:val="0"/>
              <w:kinsoku/>
              <w:wordWrap/>
              <w:overflowPunct/>
              <w:topLinePunct w:val="0"/>
              <w:bidi w:val="0"/>
              <w:spacing w:line="24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子项目及分值</w:t>
            </w:r>
          </w:p>
        </w:tc>
      </w:tr>
      <w:tr w14:paraId="497D9F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14" w:type="pct"/>
            <w:vAlign w:val="center"/>
          </w:tcPr>
          <w:p w14:paraId="3C480381">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价格部分</w:t>
            </w:r>
          </w:p>
          <w:p w14:paraId="375F38AD">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30</w:t>
            </w:r>
            <w:r>
              <w:rPr>
                <w:rFonts w:hint="eastAsia" w:ascii="宋体" w:hAnsi="宋体" w:eastAsia="宋体" w:cs="宋体"/>
                <w:color w:val="auto"/>
                <w:sz w:val="21"/>
                <w:szCs w:val="21"/>
                <w:highlight w:val="none"/>
              </w:rPr>
              <w:t>分）</w:t>
            </w:r>
          </w:p>
        </w:tc>
        <w:tc>
          <w:tcPr>
            <w:tcW w:w="839" w:type="pct"/>
            <w:tcBorders>
              <w:bottom w:val="single" w:color="auto" w:sz="4" w:space="0"/>
            </w:tcBorders>
            <w:vAlign w:val="center"/>
          </w:tcPr>
          <w:p w14:paraId="4D31CF31">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投标报价</w:t>
            </w:r>
          </w:p>
        </w:tc>
        <w:tc>
          <w:tcPr>
            <w:tcW w:w="532" w:type="pct"/>
            <w:vAlign w:val="center"/>
          </w:tcPr>
          <w:p w14:paraId="318A84CC">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30分</w:t>
            </w:r>
          </w:p>
        </w:tc>
        <w:tc>
          <w:tcPr>
            <w:tcW w:w="3213" w:type="pct"/>
            <w:vAlign w:val="center"/>
          </w:tcPr>
          <w:p w14:paraId="76A28B05">
            <w:pPr>
              <w:pStyle w:val="52"/>
              <w:keepNext w:val="0"/>
              <w:keepLines w:val="0"/>
              <w:pageBreakBefore w:val="0"/>
              <w:kinsoku/>
              <w:wordWrap/>
              <w:overflowPunct/>
              <w:topLinePunct w:val="0"/>
              <w:bidi w:val="0"/>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满足招标文件要求且投标价格最低的投标报价为评标基准价，其价格分为满分。其他投标人的价格分统一按照下列公式计算：</w:t>
            </w:r>
          </w:p>
          <w:p w14:paraId="62C0AA09">
            <w:pPr>
              <w:pStyle w:val="52"/>
              <w:keepNext w:val="0"/>
              <w:keepLines w:val="0"/>
              <w:pageBreakBefore w:val="0"/>
              <w:kinsoku/>
              <w:wordWrap/>
              <w:overflowPunct/>
              <w:topLinePunct w:val="0"/>
              <w:bidi w:val="0"/>
              <w:spacing w:line="24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投标报价得分=（评标基准价／投标报价)×价格</w:t>
            </w:r>
            <w:r>
              <w:rPr>
                <w:rFonts w:hint="eastAsia" w:ascii="宋体" w:hAnsi="宋体" w:eastAsia="宋体" w:cs="宋体"/>
                <w:color w:val="auto"/>
                <w:sz w:val="21"/>
                <w:szCs w:val="21"/>
                <w:highlight w:val="none"/>
                <w:lang w:eastAsia="zh-CN"/>
              </w:rPr>
              <w:t>分值</w:t>
            </w:r>
          </w:p>
          <w:p w14:paraId="2D3A1974">
            <w:pPr>
              <w:pStyle w:val="52"/>
              <w:keepNext w:val="0"/>
              <w:keepLines w:val="0"/>
              <w:pageBreakBefore w:val="0"/>
              <w:kinsoku/>
              <w:wordWrap/>
              <w:overflowPunct/>
              <w:topLinePunct w:val="0"/>
              <w:bidi w:val="0"/>
              <w:spacing w:line="240" w:lineRule="auto"/>
              <w:rPr>
                <w:rFonts w:hint="eastAsia" w:ascii="宋体" w:hAnsi="宋体" w:eastAsia="宋体" w:cs="宋体"/>
                <w:b/>
                <w:bCs/>
                <w:color w:val="auto"/>
                <w:sz w:val="21"/>
                <w:szCs w:val="21"/>
                <w:highlight w:val="none"/>
              </w:rPr>
            </w:pPr>
          </w:p>
          <w:p w14:paraId="201E7F07">
            <w:pPr>
              <w:pStyle w:val="52"/>
              <w:keepNext w:val="0"/>
              <w:keepLines w:val="0"/>
              <w:pageBreakBefore w:val="0"/>
              <w:kinsoku/>
              <w:wordWrap/>
              <w:overflowPunct/>
              <w:topLinePunct w:val="0"/>
              <w:bidi w:val="0"/>
              <w:spacing w:line="240" w:lineRule="auto"/>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备注</w:t>
            </w:r>
            <w:r>
              <w:rPr>
                <w:rFonts w:hint="eastAsia" w:ascii="宋体" w:hAnsi="宋体" w:eastAsia="宋体" w:cs="宋体"/>
                <w:color w:val="auto"/>
                <w:sz w:val="21"/>
                <w:szCs w:val="21"/>
                <w:highlight w:val="none"/>
              </w:rPr>
              <w:t>：符合</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投标人须知</w:t>
            </w:r>
            <w:r>
              <w:rPr>
                <w:rFonts w:hint="eastAsia" w:ascii="宋体" w:hAnsi="宋体" w:eastAsia="宋体" w:cs="宋体"/>
                <w:color w:val="auto"/>
                <w:sz w:val="21"/>
                <w:szCs w:val="21"/>
                <w:highlight w:val="none"/>
                <w:lang w:val="en-US" w:eastAsia="zh-CN"/>
              </w:rPr>
              <w:t>前附表”</w:t>
            </w:r>
            <w:r>
              <w:rPr>
                <w:rFonts w:hint="eastAsia" w:ascii="宋体" w:hAnsi="宋体" w:eastAsia="宋体" w:cs="宋体"/>
                <w:color w:val="auto"/>
                <w:sz w:val="21"/>
                <w:szCs w:val="21"/>
                <w:highlight w:val="none"/>
              </w:rPr>
              <w:t>中价格扣除规定的，在评审时予以价格扣除，用扣除后的价格参与评审。</w:t>
            </w:r>
          </w:p>
        </w:tc>
      </w:tr>
      <w:tr w14:paraId="60E80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6" w:hRule="atLeast"/>
          <w:jc w:val="center"/>
        </w:trPr>
        <w:tc>
          <w:tcPr>
            <w:tcW w:w="414" w:type="pct"/>
            <w:vMerge w:val="restart"/>
            <w:vAlign w:val="center"/>
          </w:tcPr>
          <w:p w14:paraId="1DCD3ADA">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商务部分</w:t>
            </w:r>
          </w:p>
          <w:p w14:paraId="548A95A6">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22</w:t>
            </w:r>
            <w:r>
              <w:rPr>
                <w:rFonts w:hint="eastAsia" w:ascii="宋体" w:hAnsi="宋体" w:eastAsia="宋体" w:cs="宋体"/>
                <w:color w:val="auto"/>
                <w:sz w:val="21"/>
                <w:szCs w:val="21"/>
                <w:highlight w:val="none"/>
              </w:rPr>
              <w:t>分）</w:t>
            </w:r>
          </w:p>
        </w:tc>
        <w:tc>
          <w:tcPr>
            <w:tcW w:w="839" w:type="pct"/>
            <w:tcBorders>
              <w:bottom w:val="single" w:color="auto" w:sz="4" w:space="0"/>
            </w:tcBorders>
            <w:shd w:val="clear" w:color="auto" w:fill="auto"/>
            <w:vAlign w:val="center"/>
          </w:tcPr>
          <w:p w14:paraId="19EF7ED4">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业绩</w:t>
            </w:r>
          </w:p>
        </w:tc>
        <w:tc>
          <w:tcPr>
            <w:tcW w:w="532" w:type="pct"/>
            <w:shd w:val="clear" w:color="auto" w:fill="auto"/>
            <w:vAlign w:val="center"/>
          </w:tcPr>
          <w:p w14:paraId="2C139CBF">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6分</w:t>
            </w:r>
          </w:p>
        </w:tc>
        <w:tc>
          <w:tcPr>
            <w:tcW w:w="3213" w:type="pct"/>
            <w:shd w:val="clear" w:color="auto" w:fill="auto"/>
            <w:vAlign w:val="center"/>
          </w:tcPr>
          <w:p w14:paraId="55383F57">
            <w:pPr>
              <w:pStyle w:val="52"/>
              <w:keepNext w:val="0"/>
              <w:keepLines w:val="0"/>
              <w:pageBreakBefore w:val="0"/>
              <w:kinsoku/>
              <w:wordWrap/>
              <w:overflowPunct/>
              <w:topLinePunct w:val="0"/>
              <w:bidi w:val="0"/>
              <w:spacing w:line="240" w:lineRule="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b w:val="0"/>
                <w:color w:val="auto"/>
                <w:sz w:val="21"/>
                <w:szCs w:val="21"/>
                <w:highlight w:val="none"/>
                <w:lang w:val="en-US" w:eastAsia="zh-CN"/>
              </w:rPr>
              <w:t>所投产品</w:t>
            </w:r>
            <w:r>
              <w:rPr>
                <w:rFonts w:hint="eastAsia" w:ascii="宋体" w:hAnsi="宋体" w:eastAsia="宋体" w:cs="宋体"/>
                <w:b w:val="0"/>
                <w:color w:val="auto"/>
                <w:sz w:val="21"/>
                <w:szCs w:val="21"/>
                <w:highlight w:val="none"/>
              </w:rPr>
              <w:t>20</w:t>
            </w:r>
            <w:r>
              <w:rPr>
                <w:rFonts w:hint="eastAsia" w:ascii="宋体" w:hAnsi="宋体" w:eastAsia="宋体" w:cs="宋体"/>
                <w:b w:val="0"/>
                <w:color w:val="auto"/>
                <w:sz w:val="21"/>
                <w:szCs w:val="21"/>
                <w:highlight w:val="none"/>
                <w:lang w:val="en-US" w:eastAsia="zh-CN"/>
              </w:rPr>
              <w:t>2</w:t>
            </w:r>
            <w:r>
              <w:rPr>
                <w:rFonts w:hint="eastAsia" w:cs="宋体"/>
                <w:b w:val="0"/>
                <w:color w:val="auto"/>
                <w:sz w:val="21"/>
                <w:szCs w:val="21"/>
                <w:highlight w:val="none"/>
                <w:lang w:val="en-US" w:eastAsia="zh-CN"/>
              </w:rPr>
              <w:t>3</w:t>
            </w:r>
            <w:r>
              <w:rPr>
                <w:rFonts w:hint="eastAsia" w:ascii="宋体" w:hAnsi="宋体" w:eastAsia="宋体" w:cs="宋体"/>
                <w:b w:val="0"/>
                <w:color w:val="auto"/>
                <w:sz w:val="21"/>
                <w:szCs w:val="21"/>
                <w:highlight w:val="none"/>
              </w:rPr>
              <w:t>年</w:t>
            </w:r>
            <w:r>
              <w:rPr>
                <w:rFonts w:hint="eastAsia" w:cs="宋体"/>
                <w:b w:val="0"/>
                <w:color w:val="auto"/>
                <w:sz w:val="21"/>
                <w:szCs w:val="21"/>
                <w:highlight w:val="none"/>
                <w:lang w:val="en-US" w:eastAsia="zh-CN"/>
              </w:rPr>
              <w:t>1</w:t>
            </w:r>
            <w:r>
              <w:rPr>
                <w:rFonts w:hint="eastAsia" w:ascii="宋体" w:hAnsi="宋体" w:eastAsia="宋体" w:cs="宋体"/>
                <w:b w:val="0"/>
                <w:color w:val="auto"/>
                <w:sz w:val="21"/>
                <w:szCs w:val="21"/>
                <w:highlight w:val="none"/>
              </w:rPr>
              <w:t>月至今</w:t>
            </w:r>
            <w:r>
              <w:rPr>
                <w:rFonts w:hint="eastAsia" w:ascii="宋体" w:hAnsi="宋体" w:eastAsia="宋体" w:cs="宋体"/>
                <w:b w:val="0"/>
                <w:color w:val="auto"/>
                <w:sz w:val="21"/>
                <w:szCs w:val="21"/>
                <w:highlight w:val="none"/>
                <w:lang w:val="en-US" w:eastAsia="zh-CN"/>
              </w:rPr>
              <w:t>已完成</w:t>
            </w:r>
            <w:r>
              <w:rPr>
                <w:rFonts w:hint="eastAsia" w:ascii="宋体" w:hAnsi="宋体" w:eastAsia="宋体" w:cs="宋体"/>
                <w:b w:val="0"/>
                <w:color w:val="auto"/>
                <w:sz w:val="21"/>
                <w:szCs w:val="21"/>
                <w:highlight w:val="none"/>
              </w:rPr>
              <w:t>成功案例，最多</w:t>
            </w:r>
            <w:r>
              <w:rPr>
                <w:rFonts w:hint="eastAsia" w:ascii="宋体" w:hAnsi="宋体" w:eastAsia="宋体" w:cs="宋体"/>
                <w:b w:val="0"/>
                <w:color w:val="auto"/>
                <w:sz w:val="21"/>
                <w:szCs w:val="21"/>
              </w:rPr>
              <w:t>提供</w:t>
            </w:r>
            <w:r>
              <w:rPr>
                <w:rFonts w:hint="eastAsia" w:ascii="宋体" w:hAnsi="宋体" w:eastAsia="宋体" w:cs="宋体"/>
                <w:b w:val="0"/>
                <w:color w:val="auto"/>
                <w:sz w:val="21"/>
                <w:szCs w:val="21"/>
                <w:lang w:val="en-US" w:eastAsia="zh-CN"/>
              </w:rPr>
              <w:t>6</w:t>
            </w:r>
            <w:r>
              <w:rPr>
                <w:rFonts w:hint="eastAsia" w:ascii="宋体" w:hAnsi="宋体" w:eastAsia="宋体" w:cs="宋体"/>
                <w:b w:val="0"/>
                <w:color w:val="auto"/>
                <w:sz w:val="21"/>
                <w:szCs w:val="21"/>
              </w:rPr>
              <w:t>个，提供销售合同证明材料并加盖投标单位公章，1份有效业绩得 1 分，最高得分为</w:t>
            </w:r>
            <w:r>
              <w:rPr>
                <w:rFonts w:hint="eastAsia" w:ascii="宋体" w:hAnsi="宋体" w:eastAsia="宋体" w:cs="宋体"/>
                <w:b w:val="0"/>
                <w:color w:val="auto"/>
                <w:sz w:val="21"/>
                <w:szCs w:val="21"/>
                <w:lang w:val="en-US" w:eastAsia="zh-CN"/>
              </w:rPr>
              <w:t>6</w:t>
            </w:r>
            <w:r>
              <w:rPr>
                <w:rFonts w:hint="eastAsia" w:ascii="宋体" w:hAnsi="宋体" w:eastAsia="宋体" w:cs="宋体"/>
                <w:b w:val="0"/>
                <w:color w:val="auto"/>
                <w:sz w:val="21"/>
                <w:szCs w:val="21"/>
              </w:rPr>
              <w:t>分，无法辨识或未提供不计分。</w:t>
            </w:r>
          </w:p>
        </w:tc>
      </w:tr>
      <w:tr w14:paraId="5F16EF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14" w:type="pct"/>
            <w:vMerge w:val="continue"/>
            <w:vAlign w:val="center"/>
          </w:tcPr>
          <w:p w14:paraId="02B916C5">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rPr>
            </w:pPr>
          </w:p>
        </w:tc>
        <w:tc>
          <w:tcPr>
            <w:tcW w:w="839" w:type="pct"/>
            <w:tcBorders>
              <w:bottom w:val="single" w:color="auto" w:sz="4" w:space="0"/>
            </w:tcBorders>
            <w:shd w:val="clear" w:color="auto" w:fill="auto"/>
            <w:vAlign w:val="center"/>
          </w:tcPr>
          <w:p w14:paraId="729FDCFB">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b w:val="0"/>
                <w:color w:val="auto"/>
                <w:sz w:val="21"/>
                <w:szCs w:val="21"/>
                <w:lang w:val="en-US" w:eastAsia="zh-CN"/>
              </w:rPr>
              <w:t>培训计划</w:t>
            </w:r>
          </w:p>
        </w:tc>
        <w:tc>
          <w:tcPr>
            <w:tcW w:w="532" w:type="pct"/>
            <w:shd w:val="clear" w:color="auto" w:fill="auto"/>
            <w:vAlign w:val="center"/>
          </w:tcPr>
          <w:p w14:paraId="0133CA29">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b w:val="0"/>
                <w:color w:val="auto"/>
                <w:sz w:val="21"/>
                <w:szCs w:val="21"/>
                <w:lang w:val="en-US" w:eastAsia="zh-CN"/>
              </w:rPr>
              <w:t>2</w:t>
            </w:r>
            <w:r>
              <w:rPr>
                <w:rFonts w:hint="eastAsia" w:ascii="宋体" w:hAnsi="宋体" w:eastAsia="宋体" w:cs="宋体"/>
                <w:color w:val="auto"/>
                <w:sz w:val="21"/>
                <w:szCs w:val="21"/>
                <w:highlight w:val="none"/>
                <w:lang w:val="en-US" w:eastAsia="zh-CN"/>
              </w:rPr>
              <w:t>分</w:t>
            </w:r>
          </w:p>
        </w:tc>
        <w:tc>
          <w:tcPr>
            <w:tcW w:w="3213" w:type="pct"/>
            <w:shd w:val="clear" w:color="auto" w:fill="auto"/>
            <w:vAlign w:val="center"/>
          </w:tcPr>
          <w:p w14:paraId="7BB89342">
            <w:pPr>
              <w:pStyle w:val="52"/>
              <w:keepNext w:val="0"/>
              <w:keepLines w:val="0"/>
              <w:pageBreakBefore w:val="0"/>
              <w:kinsoku/>
              <w:wordWrap/>
              <w:overflowPunct/>
              <w:topLinePunct w:val="0"/>
              <w:bidi w:val="0"/>
              <w:spacing w:line="240" w:lineRule="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b w:val="0"/>
                <w:bCs/>
                <w:color w:val="auto"/>
                <w:kern w:val="0"/>
                <w:sz w:val="21"/>
                <w:szCs w:val="21"/>
              </w:rPr>
              <w:t>基于采购需求中的培训要求，制定合理的培训计划及方案，根据</w:t>
            </w:r>
            <w:r>
              <w:rPr>
                <w:rFonts w:hint="eastAsia" w:ascii="宋体" w:hAnsi="宋体" w:eastAsia="宋体" w:cs="宋体"/>
                <w:b w:val="0"/>
                <w:bCs/>
                <w:color w:val="auto"/>
                <w:kern w:val="0"/>
                <w:sz w:val="21"/>
                <w:szCs w:val="21"/>
                <w:lang w:val="en-US" w:eastAsia="zh-CN"/>
              </w:rPr>
              <w:t>计划及</w:t>
            </w:r>
            <w:r>
              <w:rPr>
                <w:rFonts w:hint="eastAsia" w:ascii="宋体" w:hAnsi="宋体" w:eastAsia="宋体" w:cs="宋体"/>
                <w:b w:val="0"/>
                <w:bCs/>
                <w:color w:val="auto"/>
                <w:kern w:val="0"/>
                <w:sz w:val="21"/>
                <w:szCs w:val="21"/>
              </w:rPr>
              <w:t>方案的</w:t>
            </w:r>
            <w:r>
              <w:rPr>
                <w:rFonts w:hint="eastAsia" w:ascii="宋体" w:hAnsi="宋体" w:eastAsia="宋体" w:cs="宋体"/>
                <w:b w:val="0"/>
                <w:bCs/>
                <w:color w:val="auto"/>
                <w:kern w:val="0"/>
                <w:sz w:val="21"/>
                <w:szCs w:val="21"/>
                <w:lang w:val="en-US" w:eastAsia="zh-CN"/>
              </w:rPr>
              <w:t>完整性、</w:t>
            </w:r>
            <w:r>
              <w:rPr>
                <w:rFonts w:hint="eastAsia" w:ascii="宋体" w:hAnsi="宋体" w:eastAsia="宋体" w:cs="宋体"/>
                <w:b w:val="0"/>
                <w:bCs/>
                <w:color w:val="auto"/>
                <w:kern w:val="0"/>
                <w:sz w:val="21"/>
                <w:szCs w:val="21"/>
              </w:rPr>
              <w:t>合理性、适用性及可操作性进行评分。每存在一处缺陷扣0.5分，未提供不得分。</w:t>
            </w:r>
          </w:p>
        </w:tc>
      </w:tr>
      <w:tr w14:paraId="1F710B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14" w:type="pct"/>
            <w:vMerge w:val="continue"/>
            <w:vAlign w:val="center"/>
          </w:tcPr>
          <w:p w14:paraId="6C0619A6">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rPr>
            </w:pPr>
          </w:p>
        </w:tc>
        <w:tc>
          <w:tcPr>
            <w:tcW w:w="839" w:type="pct"/>
            <w:vMerge w:val="restart"/>
            <w:tcBorders>
              <w:top w:val="single" w:color="auto" w:sz="4" w:space="0"/>
            </w:tcBorders>
            <w:vAlign w:val="center"/>
          </w:tcPr>
          <w:p w14:paraId="7B47B92D">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售后服务体系</w:t>
            </w:r>
          </w:p>
        </w:tc>
        <w:tc>
          <w:tcPr>
            <w:tcW w:w="532" w:type="pct"/>
            <w:vMerge w:val="restart"/>
            <w:vAlign w:val="center"/>
          </w:tcPr>
          <w:p w14:paraId="4E7EA155">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10分</w:t>
            </w:r>
          </w:p>
        </w:tc>
        <w:tc>
          <w:tcPr>
            <w:tcW w:w="3213" w:type="pct"/>
            <w:vAlign w:val="center"/>
          </w:tcPr>
          <w:p w14:paraId="00872C1F">
            <w:pPr>
              <w:keepNext w:val="0"/>
              <w:keepLines w:val="0"/>
              <w:pageBreakBefore w:val="0"/>
              <w:kinsoku/>
              <w:wordWrap/>
              <w:overflowPunct/>
              <w:topLinePunct w:val="0"/>
              <w:bidi w:val="0"/>
              <w:spacing w:line="240" w:lineRule="auto"/>
              <w:jc w:val="left"/>
              <w:rPr>
                <w:rFonts w:hint="eastAsia" w:ascii="宋体" w:hAnsi="宋体" w:eastAsia="宋体" w:cs="宋体"/>
                <w:color w:val="auto"/>
                <w:sz w:val="21"/>
                <w:szCs w:val="21"/>
                <w:highlight w:val="none"/>
                <w:lang w:val="en-US" w:eastAsia="zh-CN"/>
              </w:rPr>
            </w:pPr>
            <w:r>
              <w:rPr>
                <w:rFonts w:hint="eastAsia" w:ascii="宋体" w:hAnsi="宋体" w:eastAsia="宋体" w:cs="宋体"/>
                <w:bCs/>
                <w:kern w:val="0"/>
                <w:sz w:val="21"/>
                <w:szCs w:val="21"/>
              </w:rPr>
              <w:t>具有专职维修工程师，保证设备的日常维护及故障排除（</w:t>
            </w:r>
            <w:r>
              <w:rPr>
                <w:rFonts w:hint="eastAsia" w:ascii="宋体" w:hAnsi="宋体" w:eastAsia="宋体" w:cs="宋体"/>
                <w:bCs/>
                <w:kern w:val="0"/>
                <w:sz w:val="21"/>
                <w:szCs w:val="21"/>
                <w:lang w:val="en-US" w:eastAsia="zh-CN"/>
              </w:rPr>
              <w:t>2</w:t>
            </w:r>
            <w:r>
              <w:rPr>
                <w:rFonts w:hint="eastAsia" w:ascii="宋体" w:hAnsi="宋体" w:eastAsia="宋体" w:cs="宋体"/>
                <w:bCs/>
                <w:kern w:val="0"/>
                <w:sz w:val="21"/>
                <w:szCs w:val="21"/>
              </w:rPr>
              <w:t>分）；附专业人员认证资格证书等相应证明材料，否则不得分。</w:t>
            </w:r>
          </w:p>
        </w:tc>
      </w:tr>
      <w:tr w14:paraId="0F7958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jc w:val="center"/>
        </w:trPr>
        <w:tc>
          <w:tcPr>
            <w:tcW w:w="414" w:type="pct"/>
            <w:vMerge w:val="continue"/>
            <w:vAlign w:val="center"/>
          </w:tcPr>
          <w:p w14:paraId="3BB8E84B">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rPr>
            </w:pPr>
          </w:p>
        </w:tc>
        <w:tc>
          <w:tcPr>
            <w:tcW w:w="839" w:type="pct"/>
            <w:vMerge w:val="continue"/>
            <w:vAlign w:val="center"/>
          </w:tcPr>
          <w:p w14:paraId="5189737D">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rPr>
            </w:pPr>
          </w:p>
        </w:tc>
        <w:tc>
          <w:tcPr>
            <w:tcW w:w="532" w:type="pct"/>
            <w:vMerge w:val="continue"/>
            <w:vAlign w:val="center"/>
          </w:tcPr>
          <w:p w14:paraId="191167AC">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lang w:val="en-US" w:eastAsia="zh-CN"/>
              </w:rPr>
            </w:pPr>
          </w:p>
        </w:tc>
        <w:tc>
          <w:tcPr>
            <w:tcW w:w="3213" w:type="pct"/>
            <w:vAlign w:val="center"/>
          </w:tcPr>
          <w:p w14:paraId="5B267896">
            <w:pPr>
              <w:keepNext w:val="0"/>
              <w:keepLines w:val="0"/>
              <w:pageBreakBefore w:val="0"/>
              <w:kinsoku/>
              <w:wordWrap/>
              <w:overflowPunct/>
              <w:topLinePunct w:val="0"/>
              <w:bidi w:val="0"/>
              <w:spacing w:line="240" w:lineRule="auto"/>
              <w:jc w:val="left"/>
              <w:rPr>
                <w:rFonts w:hint="eastAsia" w:ascii="宋体" w:hAnsi="宋体" w:eastAsia="宋体" w:cs="宋体"/>
                <w:color w:val="auto"/>
                <w:sz w:val="21"/>
                <w:szCs w:val="21"/>
                <w:highlight w:val="none"/>
                <w:lang w:val="en-US" w:eastAsia="zh-CN"/>
              </w:rPr>
            </w:pPr>
            <w:r>
              <w:rPr>
                <w:rFonts w:hint="eastAsia" w:ascii="宋体" w:hAnsi="宋体" w:eastAsia="宋体" w:cs="宋体"/>
                <w:bCs/>
                <w:kern w:val="0"/>
                <w:sz w:val="21"/>
                <w:szCs w:val="21"/>
              </w:rPr>
              <w:t>生产厂家</w:t>
            </w:r>
            <w:r>
              <w:rPr>
                <w:rFonts w:hint="eastAsia" w:ascii="宋体" w:hAnsi="宋体" w:eastAsia="宋体" w:cs="宋体"/>
                <w:bCs/>
                <w:kern w:val="0"/>
                <w:sz w:val="21"/>
                <w:szCs w:val="21"/>
                <w:lang w:val="en-US" w:eastAsia="zh-CN"/>
              </w:rPr>
              <w:t>提供专业维修工程师以提供技术服务支持，</w:t>
            </w:r>
            <w:r>
              <w:rPr>
                <w:rFonts w:hint="eastAsia" w:ascii="宋体" w:hAnsi="宋体" w:eastAsia="宋体" w:cs="宋体"/>
                <w:bCs/>
                <w:kern w:val="0"/>
                <w:sz w:val="21"/>
                <w:szCs w:val="21"/>
              </w:rPr>
              <w:t>（</w:t>
            </w:r>
            <w:r>
              <w:rPr>
                <w:rFonts w:hint="eastAsia" w:ascii="宋体" w:hAnsi="宋体" w:eastAsia="宋体" w:cs="宋体"/>
                <w:bCs/>
                <w:kern w:val="0"/>
                <w:sz w:val="21"/>
                <w:szCs w:val="21"/>
                <w:lang w:val="en-US" w:eastAsia="zh-CN"/>
              </w:rPr>
              <w:t>2</w:t>
            </w:r>
            <w:r>
              <w:rPr>
                <w:rFonts w:hint="eastAsia" w:ascii="宋体" w:hAnsi="宋体" w:eastAsia="宋体" w:cs="宋体"/>
                <w:bCs/>
                <w:kern w:val="0"/>
                <w:sz w:val="21"/>
                <w:szCs w:val="21"/>
              </w:rPr>
              <w:t>分）；附专业人员认证资格证书等相应证明材料，否则不得分。</w:t>
            </w:r>
          </w:p>
        </w:tc>
      </w:tr>
      <w:tr w14:paraId="405927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1" w:hRule="atLeast"/>
          <w:jc w:val="center"/>
        </w:trPr>
        <w:tc>
          <w:tcPr>
            <w:tcW w:w="414" w:type="pct"/>
            <w:vMerge w:val="continue"/>
            <w:vAlign w:val="center"/>
          </w:tcPr>
          <w:p w14:paraId="662C2958">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rPr>
            </w:pPr>
          </w:p>
        </w:tc>
        <w:tc>
          <w:tcPr>
            <w:tcW w:w="839" w:type="pct"/>
            <w:vMerge w:val="continue"/>
            <w:vAlign w:val="center"/>
          </w:tcPr>
          <w:p w14:paraId="6992EBBE">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rPr>
            </w:pPr>
          </w:p>
        </w:tc>
        <w:tc>
          <w:tcPr>
            <w:tcW w:w="532" w:type="pct"/>
            <w:vMerge w:val="continue"/>
            <w:vAlign w:val="center"/>
          </w:tcPr>
          <w:p w14:paraId="10054170">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lang w:val="en-US" w:eastAsia="zh-CN"/>
              </w:rPr>
            </w:pPr>
          </w:p>
        </w:tc>
        <w:tc>
          <w:tcPr>
            <w:tcW w:w="3213" w:type="pct"/>
            <w:vAlign w:val="center"/>
          </w:tcPr>
          <w:p w14:paraId="2BD52098">
            <w:pPr>
              <w:keepNext w:val="0"/>
              <w:keepLines w:val="0"/>
              <w:pageBreakBefore w:val="0"/>
              <w:kinsoku/>
              <w:wordWrap/>
              <w:overflowPunct/>
              <w:topLinePunct w:val="0"/>
              <w:bidi w:val="0"/>
              <w:spacing w:line="240" w:lineRule="auto"/>
              <w:jc w:val="left"/>
              <w:rPr>
                <w:rFonts w:hint="eastAsia" w:ascii="宋体" w:hAnsi="宋体" w:eastAsia="宋体" w:cs="宋体"/>
                <w:color w:val="auto"/>
                <w:sz w:val="21"/>
                <w:szCs w:val="21"/>
                <w:highlight w:val="none"/>
                <w:lang w:val="en-US" w:eastAsia="zh-CN"/>
              </w:rPr>
            </w:pPr>
            <w:r>
              <w:rPr>
                <w:rFonts w:hint="eastAsia" w:ascii="宋体" w:hAnsi="宋体" w:eastAsia="宋体" w:cs="宋体"/>
                <w:bCs/>
                <w:kern w:val="0"/>
                <w:sz w:val="21"/>
                <w:szCs w:val="21"/>
              </w:rPr>
              <w:t>拥有完善的售后服务保障体系</w:t>
            </w:r>
            <w:r>
              <w:rPr>
                <w:rFonts w:hint="eastAsia" w:ascii="宋体" w:hAnsi="宋体" w:eastAsia="宋体" w:cs="宋体"/>
                <w:bCs/>
                <w:kern w:val="0"/>
                <w:sz w:val="21"/>
                <w:szCs w:val="21"/>
                <w:lang w:eastAsia="zh-CN"/>
              </w:rPr>
              <w:t>，</w:t>
            </w:r>
            <w:r>
              <w:rPr>
                <w:rFonts w:hint="eastAsia" w:ascii="宋体" w:hAnsi="宋体" w:eastAsia="宋体" w:cs="宋体"/>
                <w:bCs/>
                <w:kern w:val="0"/>
                <w:sz w:val="21"/>
                <w:szCs w:val="21"/>
                <w:lang w:val="en-US" w:eastAsia="zh-CN"/>
              </w:rPr>
              <w:t>可保证2小时内应急响应</w:t>
            </w:r>
            <w:r>
              <w:rPr>
                <w:rFonts w:hint="eastAsia" w:ascii="宋体" w:hAnsi="宋体" w:eastAsia="宋体" w:cs="宋体"/>
                <w:bCs/>
                <w:kern w:val="0"/>
                <w:sz w:val="21"/>
                <w:szCs w:val="21"/>
              </w:rPr>
              <w:t>（</w:t>
            </w:r>
            <w:r>
              <w:rPr>
                <w:rFonts w:hint="eastAsia" w:ascii="宋体" w:hAnsi="宋体" w:eastAsia="宋体" w:cs="宋体"/>
                <w:bCs/>
                <w:kern w:val="0"/>
                <w:sz w:val="21"/>
                <w:szCs w:val="21"/>
                <w:lang w:val="en-US" w:eastAsia="zh-CN"/>
              </w:rPr>
              <w:t>2</w:t>
            </w:r>
            <w:r>
              <w:rPr>
                <w:rFonts w:hint="eastAsia" w:ascii="宋体" w:hAnsi="宋体" w:eastAsia="宋体" w:cs="宋体"/>
                <w:bCs/>
                <w:kern w:val="0"/>
                <w:sz w:val="21"/>
                <w:szCs w:val="21"/>
              </w:rPr>
              <w:t>分）；附</w:t>
            </w:r>
            <w:r>
              <w:rPr>
                <w:rFonts w:hint="eastAsia" w:ascii="宋体" w:hAnsi="宋体" w:eastAsia="宋体" w:cs="宋体"/>
                <w:bCs/>
                <w:kern w:val="0"/>
                <w:sz w:val="21"/>
                <w:szCs w:val="21"/>
                <w:lang w:val="en-US" w:eastAsia="zh-CN"/>
              </w:rPr>
              <w:t>承诺书及</w:t>
            </w:r>
            <w:r>
              <w:rPr>
                <w:rFonts w:hint="eastAsia" w:ascii="宋体" w:hAnsi="宋体" w:eastAsia="宋体" w:cs="宋体"/>
                <w:bCs/>
                <w:kern w:val="0"/>
                <w:sz w:val="21"/>
                <w:szCs w:val="21"/>
              </w:rPr>
              <w:t>相应证明材料，</w:t>
            </w:r>
            <w:r>
              <w:rPr>
                <w:rFonts w:hint="eastAsia" w:ascii="宋体" w:hAnsi="宋体" w:eastAsia="宋体" w:cs="宋体"/>
                <w:bCs/>
                <w:kern w:val="0"/>
                <w:sz w:val="21"/>
                <w:szCs w:val="21"/>
                <w:lang w:val="en-US" w:eastAsia="zh-CN"/>
              </w:rPr>
              <w:t>若提供承诺书但存在逻辑有误、与事实不符、无法满足等情形，则</w:t>
            </w:r>
            <w:r>
              <w:rPr>
                <w:rFonts w:hint="eastAsia" w:ascii="宋体" w:hAnsi="宋体" w:eastAsia="宋体" w:cs="宋体"/>
                <w:bCs/>
                <w:kern w:val="0"/>
                <w:sz w:val="21"/>
                <w:szCs w:val="21"/>
              </w:rPr>
              <w:t>不得分。</w:t>
            </w:r>
          </w:p>
        </w:tc>
      </w:tr>
      <w:tr w14:paraId="2B48AC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14" w:type="pct"/>
            <w:vMerge w:val="continue"/>
            <w:vAlign w:val="center"/>
          </w:tcPr>
          <w:p w14:paraId="159C7CF6">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rPr>
            </w:pPr>
          </w:p>
        </w:tc>
        <w:tc>
          <w:tcPr>
            <w:tcW w:w="839" w:type="pct"/>
            <w:vMerge w:val="continue"/>
            <w:vAlign w:val="center"/>
          </w:tcPr>
          <w:p w14:paraId="4FF6B0B0">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rPr>
            </w:pPr>
          </w:p>
        </w:tc>
        <w:tc>
          <w:tcPr>
            <w:tcW w:w="532" w:type="pct"/>
            <w:vMerge w:val="continue"/>
            <w:vAlign w:val="center"/>
          </w:tcPr>
          <w:p w14:paraId="028653A1">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lang w:val="en-US" w:eastAsia="zh-CN"/>
              </w:rPr>
            </w:pPr>
          </w:p>
        </w:tc>
        <w:tc>
          <w:tcPr>
            <w:tcW w:w="3213" w:type="pct"/>
            <w:vAlign w:val="center"/>
          </w:tcPr>
          <w:p w14:paraId="78BA47A7">
            <w:pPr>
              <w:keepNext w:val="0"/>
              <w:keepLines w:val="0"/>
              <w:pageBreakBefore w:val="0"/>
              <w:kinsoku/>
              <w:wordWrap/>
              <w:overflowPunct/>
              <w:topLinePunct w:val="0"/>
              <w:bidi w:val="0"/>
              <w:spacing w:line="240" w:lineRule="auto"/>
              <w:jc w:val="left"/>
              <w:rPr>
                <w:rFonts w:hint="eastAsia" w:ascii="宋体" w:hAnsi="宋体" w:eastAsia="宋体" w:cs="宋体"/>
                <w:color w:val="auto"/>
                <w:sz w:val="21"/>
                <w:szCs w:val="21"/>
                <w:highlight w:val="none"/>
                <w:lang w:val="en-US" w:eastAsia="zh-CN"/>
              </w:rPr>
            </w:pPr>
            <w:r>
              <w:rPr>
                <w:rFonts w:hint="eastAsia" w:ascii="宋体" w:hAnsi="宋体" w:eastAsia="宋体" w:cs="宋体"/>
                <w:bCs/>
                <w:kern w:val="0"/>
                <w:sz w:val="21"/>
                <w:szCs w:val="21"/>
              </w:rPr>
              <w:t>设有备件仓库保证常规配件供应（</w:t>
            </w:r>
            <w:r>
              <w:rPr>
                <w:rFonts w:hint="eastAsia" w:ascii="宋体" w:hAnsi="宋体" w:eastAsia="宋体" w:cs="宋体"/>
                <w:bCs/>
                <w:kern w:val="0"/>
                <w:sz w:val="21"/>
                <w:szCs w:val="21"/>
                <w:lang w:val="en-US" w:eastAsia="zh-CN"/>
              </w:rPr>
              <w:t>2</w:t>
            </w:r>
            <w:r>
              <w:rPr>
                <w:rFonts w:hint="eastAsia" w:ascii="宋体" w:hAnsi="宋体" w:eastAsia="宋体" w:cs="宋体"/>
                <w:bCs/>
                <w:kern w:val="0"/>
                <w:sz w:val="21"/>
                <w:szCs w:val="21"/>
              </w:rPr>
              <w:t>分）；附库存等相应证明材料，否则不得分。</w:t>
            </w:r>
          </w:p>
        </w:tc>
      </w:tr>
      <w:tr w14:paraId="03C191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14" w:type="pct"/>
            <w:vMerge w:val="continue"/>
            <w:vAlign w:val="center"/>
          </w:tcPr>
          <w:p w14:paraId="6C2FB42A">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rPr>
            </w:pPr>
          </w:p>
        </w:tc>
        <w:tc>
          <w:tcPr>
            <w:tcW w:w="839" w:type="pct"/>
            <w:vMerge w:val="continue"/>
            <w:vAlign w:val="center"/>
          </w:tcPr>
          <w:p w14:paraId="689A8DA4">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rPr>
            </w:pPr>
          </w:p>
        </w:tc>
        <w:tc>
          <w:tcPr>
            <w:tcW w:w="532" w:type="pct"/>
            <w:vMerge w:val="continue"/>
            <w:vAlign w:val="center"/>
          </w:tcPr>
          <w:p w14:paraId="051B4EB6">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lang w:val="en-US" w:eastAsia="zh-CN"/>
              </w:rPr>
            </w:pPr>
          </w:p>
        </w:tc>
        <w:tc>
          <w:tcPr>
            <w:tcW w:w="3213" w:type="pct"/>
            <w:vAlign w:val="center"/>
          </w:tcPr>
          <w:p w14:paraId="5FD15EE9">
            <w:pPr>
              <w:keepNext w:val="0"/>
              <w:keepLines w:val="0"/>
              <w:pageBreakBefore w:val="0"/>
              <w:kinsoku/>
              <w:wordWrap/>
              <w:overflowPunct/>
              <w:topLinePunct w:val="0"/>
              <w:bidi w:val="0"/>
              <w:spacing w:line="240" w:lineRule="auto"/>
              <w:jc w:val="left"/>
              <w:rPr>
                <w:rFonts w:hint="eastAsia" w:ascii="宋体" w:hAnsi="宋体" w:eastAsia="宋体" w:cs="宋体"/>
                <w:color w:val="auto"/>
                <w:sz w:val="21"/>
                <w:szCs w:val="21"/>
                <w:highlight w:val="none"/>
                <w:lang w:val="en-US" w:eastAsia="zh-CN"/>
              </w:rPr>
            </w:pPr>
            <w:r>
              <w:rPr>
                <w:rFonts w:hint="eastAsia" w:ascii="宋体" w:hAnsi="宋体" w:eastAsia="宋体" w:cs="宋体"/>
                <w:bCs/>
                <w:kern w:val="0"/>
                <w:sz w:val="21"/>
                <w:szCs w:val="21"/>
                <w:lang w:val="en-US" w:eastAsia="zh-CN"/>
              </w:rPr>
              <w:t>售后服务方案内容完整、方案合理、切实可行，得2分；仅有售后服务方案，但内容缺失、方案存在缺陷或不合理处，得1分。</w:t>
            </w:r>
          </w:p>
        </w:tc>
      </w:tr>
      <w:tr w14:paraId="1E7CC0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14" w:type="pct"/>
            <w:vMerge w:val="continue"/>
            <w:vAlign w:val="center"/>
          </w:tcPr>
          <w:p w14:paraId="62336E52">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rPr>
            </w:pPr>
          </w:p>
        </w:tc>
        <w:tc>
          <w:tcPr>
            <w:tcW w:w="839" w:type="pct"/>
            <w:tcBorders>
              <w:top w:val="single" w:color="auto" w:sz="4" w:space="0"/>
            </w:tcBorders>
            <w:vAlign w:val="center"/>
          </w:tcPr>
          <w:p w14:paraId="16595CC7">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b w:val="0"/>
                <w:color w:val="auto"/>
                <w:sz w:val="21"/>
                <w:szCs w:val="21"/>
              </w:rPr>
              <w:t>故障处理</w:t>
            </w:r>
          </w:p>
        </w:tc>
        <w:tc>
          <w:tcPr>
            <w:tcW w:w="532" w:type="pct"/>
            <w:vAlign w:val="center"/>
          </w:tcPr>
          <w:p w14:paraId="48AA2DE0">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2分</w:t>
            </w:r>
          </w:p>
        </w:tc>
        <w:tc>
          <w:tcPr>
            <w:tcW w:w="3213" w:type="pct"/>
            <w:vAlign w:val="center"/>
          </w:tcPr>
          <w:p w14:paraId="36694946">
            <w:pPr>
              <w:pStyle w:val="52"/>
              <w:keepNext w:val="0"/>
              <w:keepLines w:val="0"/>
              <w:pageBreakBefore w:val="0"/>
              <w:kinsoku/>
              <w:wordWrap/>
              <w:overflowPunct/>
              <w:topLinePunct w:val="0"/>
              <w:bidi w:val="0"/>
              <w:spacing w:line="240" w:lineRule="auto"/>
              <w:rPr>
                <w:rFonts w:hint="eastAsia" w:ascii="宋体" w:hAnsi="宋体" w:eastAsia="宋体" w:cs="宋体"/>
                <w:color w:val="auto"/>
                <w:sz w:val="21"/>
                <w:szCs w:val="21"/>
                <w:highlight w:val="none"/>
                <w:lang w:eastAsia="zh-CN"/>
              </w:rPr>
            </w:pPr>
            <w:r>
              <w:rPr>
                <w:rFonts w:hint="eastAsia" w:ascii="宋体" w:hAnsi="宋体" w:eastAsia="宋体" w:cs="宋体"/>
                <w:bCs/>
                <w:color w:val="auto"/>
                <w:kern w:val="0"/>
                <w:sz w:val="21"/>
                <w:szCs w:val="21"/>
              </w:rPr>
              <w:t>故障处理方案：由投标人根据采购人实际情况提供相适应的方案，根据方案的</w:t>
            </w:r>
            <w:r>
              <w:rPr>
                <w:rFonts w:hint="eastAsia" w:ascii="宋体" w:hAnsi="宋体" w:eastAsia="宋体" w:cs="宋体"/>
                <w:bCs/>
                <w:color w:val="auto"/>
                <w:kern w:val="0"/>
                <w:sz w:val="21"/>
                <w:szCs w:val="21"/>
                <w:lang w:val="en-US" w:eastAsia="zh-CN"/>
              </w:rPr>
              <w:t>完整性、</w:t>
            </w:r>
            <w:r>
              <w:rPr>
                <w:rFonts w:hint="eastAsia" w:ascii="宋体" w:hAnsi="宋体" w:eastAsia="宋体" w:cs="宋体"/>
                <w:bCs/>
                <w:color w:val="auto"/>
                <w:kern w:val="0"/>
                <w:sz w:val="21"/>
                <w:szCs w:val="21"/>
              </w:rPr>
              <w:t>合理性、适用性及可操作性进行评分。每存在一处缺陷扣0.5分，未提供不得分。</w:t>
            </w:r>
          </w:p>
        </w:tc>
      </w:tr>
      <w:tr w14:paraId="09565A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jc w:val="center"/>
        </w:trPr>
        <w:tc>
          <w:tcPr>
            <w:tcW w:w="414" w:type="pct"/>
            <w:vMerge w:val="continue"/>
            <w:vAlign w:val="center"/>
          </w:tcPr>
          <w:p w14:paraId="271BA664">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rPr>
            </w:pPr>
          </w:p>
        </w:tc>
        <w:tc>
          <w:tcPr>
            <w:tcW w:w="839" w:type="pct"/>
            <w:tcBorders>
              <w:top w:val="single" w:color="auto" w:sz="4" w:space="0"/>
            </w:tcBorders>
            <w:vAlign w:val="center"/>
          </w:tcPr>
          <w:p w14:paraId="23875990">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b w:val="0"/>
                <w:bCs/>
                <w:color w:val="auto"/>
                <w:kern w:val="0"/>
                <w:sz w:val="21"/>
                <w:szCs w:val="21"/>
                <w:lang w:val="en-US" w:eastAsia="zh-CN"/>
              </w:rPr>
              <w:t>其他优惠条件</w:t>
            </w:r>
          </w:p>
        </w:tc>
        <w:tc>
          <w:tcPr>
            <w:tcW w:w="532" w:type="pct"/>
            <w:vAlign w:val="center"/>
          </w:tcPr>
          <w:p w14:paraId="057CBCEF">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2分</w:t>
            </w:r>
          </w:p>
        </w:tc>
        <w:tc>
          <w:tcPr>
            <w:tcW w:w="3213" w:type="pct"/>
            <w:vAlign w:val="center"/>
          </w:tcPr>
          <w:p w14:paraId="001C1B46">
            <w:pPr>
              <w:pStyle w:val="52"/>
              <w:keepNext w:val="0"/>
              <w:keepLines w:val="0"/>
              <w:pageBreakBefore w:val="0"/>
              <w:kinsoku/>
              <w:wordWrap/>
              <w:overflowPunct/>
              <w:topLinePunct w:val="0"/>
              <w:bidi w:val="0"/>
              <w:spacing w:line="240" w:lineRule="auto"/>
              <w:rPr>
                <w:rFonts w:hint="eastAsia" w:ascii="宋体" w:hAnsi="宋体" w:eastAsia="宋体" w:cs="宋体"/>
                <w:color w:val="auto"/>
                <w:sz w:val="21"/>
                <w:szCs w:val="21"/>
                <w:highlight w:val="none"/>
              </w:rPr>
            </w:pPr>
            <w:r>
              <w:rPr>
                <w:rFonts w:hint="eastAsia" w:ascii="宋体" w:hAnsi="宋体" w:eastAsia="宋体" w:cs="宋体"/>
                <w:bCs/>
                <w:color w:val="auto"/>
                <w:kern w:val="0"/>
                <w:sz w:val="21"/>
                <w:szCs w:val="21"/>
                <w:lang w:val="en-US" w:eastAsia="zh-CN"/>
              </w:rPr>
              <w:t>原厂保修服务时间小于招标文件要求的，视为实质性不响应。原厂保修服务时间在招标文件要求基础上每延长一年加1分，本项最高得2分。</w:t>
            </w:r>
          </w:p>
        </w:tc>
      </w:tr>
      <w:tr w14:paraId="105D21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14" w:type="pct"/>
            <w:vMerge w:val="restart"/>
            <w:vAlign w:val="center"/>
          </w:tcPr>
          <w:p w14:paraId="009533AC">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技术部分</w:t>
            </w:r>
          </w:p>
          <w:p w14:paraId="3C5A6CF4">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48</w:t>
            </w:r>
            <w:r>
              <w:rPr>
                <w:rFonts w:hint="eastAsia" w:ascii="宋体" w:hAnsi="宋体" w:eastAsia="宋体" w:cs="宋体"/>
                <w:color w:val="auto"/>
                <w:sz w:val="21"/>
                <w:szCs w:val="21"/>
                <w:highlight w:val="none"/>
              </w:rPr>
              <w:t>分）</w:t>
            </w:r>
          </w:p>
        </w:tc>
        <w:tc>
          <w:tcPr>
            <w:tcW w:w="839" w:type="pct"/>
            <w:tcBorders>
              <w:top w:val="single" w:color="auto" w:sz="4" w:space="0"/>
            </w:tcBorders>
            <w:vAlign w:val="center"/>
          </w:tcPr>
          <w:p w14:paraId="1ECFDBB7">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b w:val="0"/>
                <w:color w:val="auto"/>
                <w:sz w:val="21"/>
                <w:szCs w:val="21"/>
              </w:rPr>
              <w:t>技术参数响应</w:t>
            </w:r>
          </w:p>
        </w:tc>
        <w:tc>
          <w:tcPr>
            <w:tcW w:w="532" w:type="pct"/>
            <w:vAlign w:val="center"/>
          </w:tcPr>
          <w:p w14:paraId="35C961A9">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35分</w:t>
            </w:r>
          </w:p>
        </w:tc>
        <w:tc>
          <w:tcPr>
            <w:tcW w:w="3213" w:type="pct"/>
            <w:vAlign w:val="center"/>
          </w:tcPr>
          <w:p w14:paraId="42B235CB">
            <w:pPr>
              <w:keepNext w:val="0"/>
              <w:keepLines w:val="0"/>
              <w:pageBreakBefore w:val="0"/>
              <w:widowControl/>
              <w:kinsoku/>
              <w:wordWrap/>
              <w:overflowPunct/>
              <w:topLinePunct w:val="0"/>
              <w:bidi w:val="0"/>
              <w:spacing w:line="240" w:lineRule="auto"/>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技术参数完全满足招标文件要求得</w:t>
            </w:r>
            <w:r>
              <w:rPr>
                <w:rFonts w:hint="eastAsia" w:ascii="宋体" w:hAnsi="宋体" w:eastAsia="宋体" w:cs="宋体"/>
                <w:kern w:val="0"/>
                <w:sz w:val="21"/>
                <w:szCs w:val="21"/>
                <w:highlight w:val="none"/>
                <w:lang w:val="en-US" w:eastAsia="zh-CN"/>
              </w:rPr>
              <w:t>35</w:t>
            </w:r>
            <w:r>
              <w:rPr>
                <w:rFonts w:hint="eastAsia" w:ascii="宋体" w:hAnsi="宋体" w:eastAsia="宋体" w:cs="宋体"/>
                <w:kern w:val="0"/>
                <w:sz w:val="21"/>
                <w:szCs w:val="21"/>
                <w:highlight w:val="none"/>
              </w:rPr>
              <w:t>分；</w:t>
            </w:r>
            <w:r>
              <w:rPr>
                <w:rFonts w:hint="eastAsia" w:cs="宋体"/>
                <w:kern w:val="0"/>
                <w:sz w:val="21"/>
                <w:szCs w:val="21"/>
                <w:highlight w:val="none"/>
                <w:lang w:val="en-US" w:eastAsia="zh-CN"/>
              </w:rPr>
              <w:t>标</w:t>
            </w:r>
            <w:r>
              <w:rPr>
                <w:rFonts w:hint="eastAsia" w:cs="宋体"/>
                <w:b/>
                <w:bCs/>
                <w:kern w:val="0"/>
                <w:sz w:val="21"/>
                <w:szCs w:val="21"/>
                <w:highlight w:val="none"/>
                <w:lang w:val="en-US" w:eastAsia="zh-CN"/>
              </w:rPr>
              <w:t>*</w:t>
            </w:r>
            <w:r>
              <w:rPr>
                <w:rFonts w:hint="eastAsia" w:ascii="宋体" w:hAnsi="宋体" w:eastAsia="宋体" w:cs="宋体"/>
                <w:kern w:val="0"/>
                <w:sz w:val="21"/>
                <w:szCs w:val="21"/>
                <w:highlight w:val="none"/>
              </w:rPr>
              <w:t>参数每负偏离一条扣</w:t>
            </w:r>
            <w:r>
              <w:rPr>
                <w:rFonts w:hint="eastAsia" w:cs="宋体"/>
                <w:kern w:val="0"/>
                <w:sz w:val="21"/>
                <w:szCs w:val="21"/>
                <w:highlight w:val="none"/>
                <w:lang w:val="en-US" w:eastAsia="zh-CN"/>
              </w:rPr>
              <w:t>3</w:t>
            </w:r>
            <w:r>
              <w:rPr>
                <w:rFonts w:hint="eastAsia" w:ascii="宋体" w:hAnsi="宋体" w:eastAsia="宋体" w:cs="宋体"/>
                <w:kern w:val="0"/>
                <w:sz w:val="21"/>
                <w:szCs w:val="21"/>
                <w:highlight w:val="none"/>
              </w:rPr>
              <w:t>分，普通参数每负偏离一条扣</w:t>
            </w:r>
            <w:r>
              <w:rPr>
                <w:rFonts w:hint="eastAsia" w:cs="宋体"/>
                <w:kern w:val="0"/>
                <w:sz w:val="21"/>
                <w:szCs w:val="21"/>
                <w:highlight w:val="none"/>
                <w:lang w:val="en-US" w:eastAsia="zh-CN"/>
              </w:rPr>
              <w:t>1</w:t>
            </w:r>
            <w:r>
              <w:rPr>
                <w:rFonts w:hint="eastAsia" w:ascii="宋体" w:hAnsi="宋体" w:eastAsia="宋体" w:cs="宋体"/>
                <w:kern w:val="0"/>
                <w:sz w:val="21"/>
                <w:szCs w:val="21"/>
                <w:highlight w:val="none"/>
              </w:rPr>
              <w:t>分，扣完为止，</w:t>
            </w:r>
            <w:r>
              <w:rPr>
                <w:rFonts w:hint="eastAsia" w:cs="宋体"/>
                <w:kern w:val="0"/>
                <w:sz w:val="21"/>
                <w:szCs w:val="21"/>
                <w:highlight w:val="none"/>
                <w:lang w:val="en-US" w:eastAsia="zh-CN"/>
              </w:rPr>
              <w:t>最高得35分</w:t>
            </w:r>
            <w:r>
              <w:rPr>
                <w:rFonts w:hint="eastAsia" w:ascii="宋体" w:hAnsi="宋体" w:eastAsia="宋体" w:cs="宋体"/>
                <w:kern w:val="0"/>
                <w:sz w:val="21"/>
                <w:szCs w:val="21"/>
                <w:highlight w:val="none"/>
              </w:rPr>
              <w:t>。</w:t>
            </w:r>
          </w:p>
          <w:p w14:paraId="4DD6DA49">
            <w:pPr>
              <w:pStyle w:val="52"/>
              <w:keepNext w:val="0"/>
              <w:keepLines w:val="0"/>
              <w:pageBreakBefore w:val="0"/>
              <w:kinsoku/>
              <w:wordWrap/>
              <w:overflowPunct/>
              <w:topLinePunct w:val="0"/>
              <w:bidi w:val="0"/>
              <w:spacing w:line="240" w:lineRule="auto"/>
              <w:rPr>
                <w:rFonts w:hint="eastAsia" w:ascii="宋体" w:hAnsi="宋体" w:eastAsia="宋体" w:cs="宋体"/>
                <w:color w:val="auto"/>
                <w:sz w:val="21"/>
                <w:szCs w:val="21"/>
                <w:highlight w:val="none"/>
              </w:rPr>
            </w:pPr>
            <w:r>
              <w:rPr>
                <w:rFonts w:hint="eastAsia" w:ascii="宋体" w:hAnsi="宋体" w:eastAsia="宋体" w:cs="宋体"/>
                <w:kern w:val="0"/>
                <w:sz w:val="21"/>
                <w:szCs w:val="21"/>
                <w:highlight w:val="none"/>
              </w:rPr>
              <w:t>注：技术参数响应指标以投标产品检测报告或中文白皮书或官网截图或性能参数说明书为准，若投标文件中技术支持资料参数与技术规格偏离表应答不符或无支持资料应答，而投标人又未在投标文件中作出说明和解释的，</w:t>
            </w:r>
            <w:r>
              <w:rPr>
                <w:rFonts w:hint="eastAsia" w:ascii="宋体" w:hAnsi="宋体" w:eastAsia="宋体" w:cs="宋体"/>
                <w:color w:val="000000" w:themeColor="text1"/>
                <w:kern w:val="0"/>
                <w:sz w:val="21"/>
                <w:szCs w:val="21"/>
                <w:highlight w:val="none"/>
                <w14:textFill>
                  <w14:solidFill>
                    <w14:schemeClr w14:val="tx1"/>
                  </w14:solidFill>
                </w14:textFill>
              </w:rPr>
              <w:t>视为不响应该条技</w:t>
            </w:r>
            <w:r>
              <w:rPr>
                <w:rFonts w:hint="eastAsia" w:ascii="宋体" w:hAnsi="宋体" w:eastAsia="宋体" w:cs="宋体"/>
                <w:kern w:val="0"/>
                <w:sz w:val="21"/>
                <w:szCs w:val="21"/>
                <w:highlight w:val="none"/>
              </w:rPr>
              <w:t>术参数要求。</w:t>
            </w:r>
          </w:p>
        </w:tc>
      </w:tr>
      <w:tr w14:paraId="1811EC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14" w:type="pct"/>
            <w:vMerge w:val="continue"/>
            <w:vAlign w:val="center"/>
          </w:tcPr>
          <w:p w14:paraId="24E10105">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rPr>
            </w:pPr>
          </w:p>
        </w:tc>
        <w:tc>
          <w:tcPr>
            <w:tcW w:w="839" w:type="pct"/>
            <w:vAlign w:val="center"/>
          </w:tcPr>
          <w:p w14:paraId="69144E03">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b w:val="0"/>
                <w:color w:val="auto"/>
                <w:sz w:val="21"/>
                <w:szCs w:val="21"/>
                <w:highlight w:val="none"/>
                <w:lang w:val="en-US" w:eastAsia="zh-CN"/>
              </w:rPr>
              <w:t>技术先进性</w:t>
            </w:r>
          </w:p>
        </w:tc>
        <w:tc>
          <w:tcPr>
            <w:tcW w:w="532" w:type="pct"/>
            <w:vAlign w:val="center"/>
          </w:tcPr>
          <w:p w14:paraId="7922AA03">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3分</w:t>
            </w:r>
          </w:p>
        </w:tc>
        <w:tc>
          <w:tcPr>
            <w:tcW w:w="3213" w:type="pct"/>
            <w:vAlign w:val="center"/>
          </w:tcPr>
          <w:p w14:paraId="08F1C419">
            <w:pPr>
              <w:pStyle w:val="52"/>
              <w:keepNext w:val="0"/>
              <w:keepLines w:val="0"/>
              <w:pageBreakBefore w:val="0"/>
              <w:kinsoku/>
              <w:wordWrap/>
              <w:overflowPunct/>
              <w:topLinePunct w:val="0"/>
              <w:bidi w:val="0"/>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lang w:val="en-US" w:eastAsia="zh-CN"/>
              </w:rPr>
              <w:t>关键/重要技术参数高于招标要求并经专家认定有利于临床工作需要的， 每项得0.5分，加满为止；否则不得分。</w:t>
            </w:r>
          </w:p>
        </w:tc>
      </w:tr>
      <w:tr w14:paraId="58C0B0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14" w:type="pct"/>
            <w:vMerge w:val="continue"/>
            <w:vAlign w:val="center"/>
          </w:tcPr>
          <w:p w14:paraId="6BC81CA5">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rPr>
            </w:pPr>
          </w:p>
        </w:tc>
        <w:tc>
          <w:tcPr>
            <w:tcW w:w="839" w:type="pct"/>
            <w:vAlign w:val="center"/>
          </w:tcPr>
          <w:p w14:paraId="4FF5A0D7">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b w:val="0"/>
                <w:bCs/>
                <w:color w:val="auto"/>
                <w:sz w:val="21"/>
                <w:szCs w:val="21"/>
              </w:rPr>
              <w:t>产品性能质量及安全可靠性</w:t>
            </w:r>
          </w:p>
        </w:tc>
        <w:tc>
          <w:tcPr>
            <w:tcW w:w="532" w:type="pct"/>
            <w:vAlign w:val="center"/>
          </w:tcPr>
          <w:p w14:paraId="124035BA">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3分 </w:t>
            </w:r>
          </w:p>
        </w:tc>
        <w:tc>
          <w:tcPr>
            <w:tcW w:w="3213" w:type="pct"/>
            <w:vAlign w:val="center"/>
          </w:tcPr>
          <w:p w14:paraId="012BAC0B">
            <w:pPr>
              <w:pStyle w:val="52"/>
              <w:keepNext w:val="0"/>
              <w:keepLines w:val="0"/>
              <w:pageBreakBefore w:val="0"/>
              <w:kinsoku/>
              <w:wordWrap/>
              <w:overflowPunct/>
              <w:topLinePunct w:val="0"/>
              <w:bidi w:val="0"/>
              <w:spacing w:line="240" w:lineRule="auto"/>
              <w:rPr>
                <w:rFonts w:hint="eastAsia" w:ascii="宋体" w:hAnsi="宋体" w:eastAsia="宋体" w:cs="宋体"/>
                <w:color w:val="auto"/>
                <w:sz w:val="21"/>
                <w:szCs w:val="21"/>
                <w:highlight w:val="none"/>
                <w:lang w:val="en-US" w:eastAsia="zh-CN"/>
              </w:rPr>
            </w:pPr>
            <w:r>
              <w:rPr>
                <w:rFonts w:hint="eastAsia" w:ascii="宋体" w:hAnsi="宋体" w:eastAsia="宋体" w:cs="宋体"/>
                <w:bCs/>
                <w:color w:val="auto"/>
                <w:kern w:val="0"/>
                <w:sz w:val="21"/>
                <w:szCs w:val="21"/>
              </w:rPr>
              <w:t>所投产品性能稳定，在以往销售过的产品中未出现不良使用记录，运行良好，故障率小，返修率低，得</w:t>
            </w:r>
            <w:r>
              <w:rPr>
                <w:rFonts w:hint="eastAsia" w:ascii="宋体" w:hAnsi="宋体" w:eastAsia="宋体" w:cs="宋体"/>
                <w:bCs/>
                <w:color w:val="auto"/>
                <w:kern w:val="0"/>
                <w:sz w:val="21"/>
                <w:szCs w:val="21"/>
                <w:lang w:val="en-US" w:eastAsia="zh-CN"/>
              </w:rPr>
              <w:t>3</w:t>
            </w:r>
            <w:r>
              <w:rPr>
                <w:rFonts w:hint="eastAsia" w:ascii="宋体" w:hAnsi="宋体" w:eastAsia="宋体" w:cs="宋体"/>
                <w:bCs/>
                <w:color w:val="auto"/>
                <w:kern w:val="0"/>
                <w:sz w:val="21"/>
                <w:szCs w:val="21"/>
              </w:rPr>
              <w:t>分。附客户评价、验收记录、维修记录等相应证明材料，否则不得分。</w:t>
            </w:r>
          </w:p>
        </w:tc>
      </w:tr>
      <w:tr w14:paraId="349B4E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14" w:type="pct"/>
            <w:vMerge w:val="continue"/>
            <w:vAlign w:val="center"/>
          </w:tcPr>
          <w:p w14:paraId="0520050F">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rPr>
            </w:pPr>
          </w:p>
        </w:tc>
        <w:tc>
          <w:tcPr>
            <w:tcW w:w="839" w:type="pct"/>
            <w:vAlign w:val="center"/>
          </w:tcPr>
          <w:p w14:paraId="4009041A">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bCs/>
                <w:color w:val="auto"/>
                <w:kern w:val="0"/>
                <w:sz w:val="21"/>
                <w:szCs w:val="21"/>
              </w:rPr>
              <w:t>可操作、可维护性</w:t>
            </w:r>
          </w:p>
        </w:tc>
        <w:tc>
          <w:tcPr>
            <w:tcW w:w="532" w:type="pct"/>
            <w:vAlign w:val="center"/>
          </w:tcPr>
          <w:p w14:paraId="56908100">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2分</w:t>
            </w:r>
          </w:p>
        </w:tc>
        <w:tc>
          <w:tcPr>
            <w:tcW w:w="3213" w:type="pct"/>
            <w:vAlign w:val="center"/>
          </w:tcPr>
          <w:p w14:paraId="17119387">
            <w:pPr>
              <w:pStyle w:val="52"/>
              <w:keepNext w:val="0"/>
              <w:keepLines w:val="0"/>
              <w:pageBreakBefore w:val="0"/>
              <w:kinsoku/>
              <w:wordWrap/>
              <w:overflowPunct/>
              <w:topLinePunct w:val="0"/>
              <w:bidi w:val="0"/>
              <w:spacing w:line="240" w:lineRule="auto"/>
              <w:rPr>
                <w:rFonts w:hint="eastAsia" w:ascii="宋体" w:hAnsi="宋体" w:eastAsia="宋体" w:cs="宋体"/>
                <w:color w:val="auto"/>
                <w:sz w:val="21"/>
                <w:szCs w:val="21"/>
                <w:highlight w:val="none"/>
                <w:lang w:val="en-US" w:eastAsia="zh-CN"/>
              </w:rPr>
            </w:pPr>
            <w:r>
              <w:rPr>
                <w:rFonts w:hint="eastAsia" w:ascii="宋体" w:hAnsi="宋体" w:eastAsia="宋体" w:cs="宋体"/>
                <w:bCs/>
                <w:color w:val="auto"/>
                <w:kern w:val="0"/>
                <w:sz w:val="21"/>
                <w:szCs w:val="21"/>
              </w:rPr>
              <w:t>以利于临床工作需要为前提，根据设备配置符合程度综合评判：所投产品①配置齐全，②便于用户临床使用，③操作简便，④便于维护。以上符合一项得</w:t>
            </w:r>
            <w:r>
              <w:rPr>
                <w:rFonts w:hint="eastAsia" w:ascii="宋体" w:hAnsi="宋体" w:eastAsia="宋体" w:cs="宋体"/>
                <w:bCs/>
                <w:color w:val="auto"/>
                <w:kern w:val="0"/>
                <w:sz w:val="21"/>
                <w:szCs w:val="21"/>
                <w:lang w:val="en-US" w:eastAsia="zh-CN"/>
              </w:rPr>
              <w:t>0.5</w:t>
            </w:r>
            <w:r>
              <w:rPr>
                <w:rFonts w:hint="eastAsia" w:ascii="宋体" w:hAnsi="宋体" w:eastAsia="宋体" w:cs="宋体"/>
                <w:bCs/>
                <w:color w:val="auto"/>
                <w:kern w:val="0"/>
                <w:sz w:val="21"/>
                <w:szCs w:val="21"/>
              </w:rPr>
              <w:t>分，不符合不得分。</w:t>
            </w:r>
          </w:p>
        </w:tc>
      </w:tr>
      <w:tr w14:paraId="1E31EF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14" w:type="pct"/>
            <w:vMerge w:val="continue"/>
            <w:vAlign w:val="center"/>
          </w:tcPr>
          <w:p w14:paraId="12A0A0BD">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rPr>
            </w:pPr>
          </w:p>
        </w:tc>
        <w:tc>
          <w:tcPr>
            <w:tcW w:w="839" w:type="pct"/>
            <w:tcBorders>
              <w:top w:val="single" w:color="auto" w:sz="4" w:space="0"/>
            </w:tcBorders>
            <w:vAlign w:val="center"/>
          </w:tcPr>
          <w:p w14:paraId="5417D7F6">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rPr>
              <w:t>投标设备的运行成本</w:t>
            </w:r>
          </w:p>
        </w:tc>
        <w:tc>
          <w:tcPr>
            <w:tcW w:w="532" w:type="pct"/>
            <w:vAlign w:val="center"/>
          </w:tcPr>
          <w:p w14:paraId="458346B8">
            <w:pPr>
              <w:pStyle w:val="83"/>
              <w:keepNext w:val="0"/>
              <w:keepLines w:val="0"/>
              <w:pageBreakBefore w:val="0"/>
              <w:kinsoku/>
              <w:wordWrap/>
              <w:overflowPunct/>
              <w:topLinePunct w:val="0"/>
              <w:bidi w:val="0"/>
              <w:snapToGrid w:val="0"/>
              <w:spacing w:line="240" w:lineRule="auto"/>
              <w:rPr>
                <w:rFonts w:hint="eastAsia" w:ascii="宋体" w:hAnsi="宋体" w:eastAsia="宋体" w:cs="宋体"/>
                <w:color w:val="auto"/>
                <w:sz w:val="21"/>
                <w:szCs w:val="21"/>
                <w:highlight w:val="none"/>
              </w:rPr>
            </w:pPr>
            <w:r>
              <w:rPr>
                <w:rFonts w:hint="eastAsia" w:ascii="宋体" w:hAnsi="宋体" w:eastAsia="宋体" w:cs="宋体"/>
                <w:b w:val="0"/>
                <w:color w:val="auto"/>
                <w:sz w:val="21"/>
                <w:szCs w:val="21"/>
                <w:lang w:val="en-US" w:eastAsia="zh-CN"/>
              </w:rPr>
              <w:t>5</w:t>
            </w:r>
            <w:r>
              <w:rPr>
                <w:rFonts w:hint="eastAsia" w:ascii="宋体" w:hAnsi="宋体" w:eastAsia="宋体" w:cs="宋体"/>
                <w:b w:val="0"/>
                <w:color w:val="auto"/>
                <w:sz w:val="21"/>
                <w:szCs w:val="21"/>
              </w:rPr>
              <w:t>分</w:t>
            </w:r>
          </w:p>
        </w:tc>
        <w:tc>
          <w:tcPr>
            <w:tcW w:w="3213" w:type="pct"/>
            <w:vAlign w:val="center"/>
          </w:tcPr>
          <w:p w14:paraId="5051C6D7">
            <w:pPr>
              <w:keepNext w:val="0"/>
              <w:keepLines w:val="0"/>
              <w:pageBreakBefore w:val="0"/>
              <w:widowControl/>
              <w:kinsoku/>
              <w:wordWrap/>
              <w:overflowPunct/>
              <w:topLinePunct w:val="0"/>
              <w:bidi w:val="0"/>
              <w:spacing w:line="240" w:lineRule="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根据产品的维修维护成本、配套耗材</w:t>
            </w:r>
            <w:r>
              <w:rPr>
                <w:rFonts w:hint="eastAsia" w:ascii="宋体" w:hAnsi="宋体" w:eastAsia="宋体" w:cs="宋体"/>
                <w:color w:val="auto"/>
                <w:kern w:val="0"/>
                <w:sz w:val="21"/>
                <w:szCs w:val="21"/>
                <w:lang w:val="en-US" w:eastAsia="zh-CN"/>
              </w:rPr>
              <w:t>（试剂）</w:t>
            </w:r>
            <w:r>
              <w:rPr>
                <w:rFonts w:hint="eastAsia" w:ascii="宋体" w:hAnsi="宋体" w:eastAsia="宋体" w:cs="宋体"/>
                <w:color w:val="auto"/>
                <w:kern w:val="0"/>
                <w:sz w:val="21"/>
                <w:szCs w:val="21"/>
              </w:rPr>
              <w:t>价格等方面进行综合评价。</w:t>
            </w:r>
          </w:p>
          <w:p w14:paraId="5A880086">
            <w:pPr>
              <w:keepNext w:val="0"/>
              <w:keepLines w:val="0"/>
              <w:pageBreakBefore w:val="0"/>
              <w:widowControl/>
              <w:kinsoku/>
              <w:wordWrap/>
              <w:overflowPunct/>
              <w:topLinePunct w:val="0"/>
              <w:bidi w:val="0"/>
              <w:spacing w:line="240" w:lineRule="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根据</w:t>
            </w:r>
            <w:r>
              <w:rPr>
                <w:rFonts w:hint="eastAsia" w:ascii="宋体" w:hAnsi="宋体" w:eastAsia="宋体" w:cs="宋体"/>
                <w:color w:val="auto"/>
                <w:kern w:val="0"/>
                <w:sz w:val="21"/>
                <w:szCs w:val="21"/>
              </w:rPr>
              <w:t>投标人提供</w:t>
            </w:r>
            <w:r>
              <w:rPr>
                <w:rFonts w:hint="eastAsia" w:ascii="宋体" w:hAnsi="宋体" w:eastAsia="宋体" w:cs="宋体"/>
                <w:color w:val="auto"/>
                <w:kern w:val="0"/>
                <w:sz w:val="21"/>
                <w:szCs w:val="21"/>
                <w:lang w:val="en-US" w:eastAsia="zh-CN"/>
              </w:rPr>
              <w:t>的</w:t>
            </w:r>
            <w:r>
              <w:rPr>
                <w:rFonts w:hint="eastAsia" w:ascii="宋体" w:hAnsi="宋体" w:eastAsia="宋体" w:cs="宋体"/>
                <w:color w:val="auto"/>
                <w:kern w:val="0"/>
                <w:sz w:val="21"/>
                <w:szCs w:val="21"/>
              </w:rPr>
              <w:t>备品备件价目表</w:t>
            </w:r>
            <w:r>
              <w:rPr>
                <w:rFonts w:hint="eastAsia" w:ascii="宋体" w:hAnsi="宋体" w:eastAsia="宋体" w:cs="宋体"/>
                <w:color w:val="auto"/>
                <w:kern w:val="0"/>
                <w:sz w:val="21"/>
                <w:szCs w:val="21"/>
                <w:lang w:eastAsia="zh-CN"/>
              </w:rPr>
              <w:t>、</w:t>
            </w:r>
            <w:r>
              <w:rPr>
                <w:rFonts w:hint="eastAsia" w:ascii="宋体" w:hAnsi="宋体" w:eastAsia="宋体" w:cs="宋体"/>
                <w:color w:val="auto"/>
                <w:kern w:val="0"/>
                <w:sz w:val="21"/>
                <w:szCs w:val="21"/>
              </w:rPr>
              <w:t>配套耗材</w:t>
            </w:r>
            <w:r>
              <w:rPr>
                <w:rFonts w:hint="eastAsia" w:ascii="宋体" w:hAnsi="宋体" w:eastAsia="宋体" w:cs="宋体"/>
                <w:color w:val="auto"/>
                <w:kern w:val="0"/>
                <w:sz w:val="21"/>
                <w:szCs w:val="21"/>
                <w:lang w:val="en-US" w:eastAsia="zh-CN"/>
              </w:rPr>
              <w:t>（试剂）</w:t>
            </w:r>
            <w:r>
              <w:rPr>
                <w:rFonts w:hint="eastAsia" w:ascii="宋体" w:hAnsi="宋体" w:eastAsia="宋体" w:cs="宋体"/>
                <w:color w:val="auto"/>
                <w:kern w:val="0"/>
                <w:sz w:val="21"/>
                <w:szCs w:val="21"/>
              </w:rPr>
              <w:t>价目表等</w:t>
            </w:r>
            <w:r>
              <w:rPr>
                <w:rFonts w:hint="eastAsia" w:ascii="宋体" w:hAnsi="宋体" w:eastAsia="宋体" w:cs="宋体"/>
                <w:color w:val="auto"/>
                <w:kern w:val="0"/>
                <w:sz w:val="21"/>
                <w:szCs w:val="21"/>
                <w:lang w:eastAsia="zh-CN"/>
              </w:rPr>
              <w:t>，</w:t>
            </w:r>
            <w:r>
              <w:rPr>
                <w:rFonts w:hint="eastAsia" w:ascii="宋体" w:hAnsi="宋体" w:eastAsia="宋体" w:cs="宋体"/>
                <w:color w:val="auto"/>
                <w:kern w:val="0"/>
                <w:sz w:val="21"/>
                <w:szCs w:val="21"/>
              </w:rPr>
              <w:t>配套耗材</w:t>
            </w:r>
            <w:r>
              <w:rPr>
                <w:rFonts w:hint="eastAsia" w:ascii="宋体" w:hAnsi="宋体" w:eastAsia="宋体" w:cs="宋体"/>
                <w:color w:val="auto"/>
                <w:kern w:val="0"/>
                <w:sz w:val="21"/>
                <w:szCs w:val="21"/>
                <w:lang w:val="en-US" w:eastAsia="zh-CN"/>
              </w:rPr>
              <w:t>（试剂）</w:t>
            </w:r>
            <w:r>
              <w:rPr>
                <w:rFonts w:hint="eastAsia" w:ascii="宋体" w:hAnsi="宋体" w:eastAsia="宋体" w:cs="宋体"/>
                <w:color w:val="auto"/>
                <w:kern w:val="0"/>
                <w:sz w:val="21"/>
                <w:szCs w:val="21"/>
              </w:rPr>
              <w:t>项目齐全且维修维护成本低得3分，项目不全或产品的维修维护成本高得1分，未提供不得分。</w:t>
            </w:r>
          </w:p>
          <w:p w14:paraId="5913820D">
            <w:pPr>
              <w:keepNext w:val="0"/>
              <w:keepLines w:val="0"/>
              <w:pageBreakBefore w:val="0"/>
              <w:widowControl/>
              <w:kinsoku/>
              <w:wordWrap/>
              <w:overflowPunct/>
              <w:topLinePunct w:val="0"/>
              <w:bidi w:val="0"/>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rPr>
              <w:t>承诺质保期后的维修仍然按照备品备件件表内价格收取费用（提供承诺函得2分，未提供不得分）</w:t>
            </w:r>
          </w:p>
        </w:tc>
      </w:tr>
      <w:tr w14:paraId="107824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254" w:type="pct"/>
            <w:gridSpan w:val="2"/>
            <w:vAlign w:val="center"/>
          </w:tcPr>
          <w:p w14:paraId="1F1436FF">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合计</w:t>
            </w:r>
          </w:p>
        </w:tc>
        <w:tc>
          <w:tcPr>
            <w:tcW w:w="532" w:type="pct"/>
            <w:tcBorders>
              <w:bottom w:val="single" w:color="auto" w:sz="4" w:space="0"/>
            </w:tcBorders>
            <w:vAlign w:val="center"/>
          </w:tcPr>
          <w:p w14:paraId="2C7F1184">
            <w:pPr>
              <w:pStyle w:val="52"/>
              <w:keepNext w:val="0"/>
              <w:keepLines w:val="0"/>
              <w:pageBreakBefore w:val="0"/>
              <w:kinsoku/>
              <w:wordWrap/>
              <w:overflowPunct/>
              <w:topLinePunct w:val="0"/>
              <w:bidi w:val="0"/>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fldChar w:fldCharType="begin"/>
            </w:r>
            <w:r>
              <w:rPr>
                <w:rFonts w:hint="eastAsia" w:ascii="宋体" w:hAnsi="宋体" w:eastAsia="宋体" w:cs="宋体"/>
                <w:color w:val="auto"/>
                <w:sz w:val="21"/>
                <w:szCs w:val="21"/>
                <w:highlight w:val="none"/>
              </w:rPr>
              <w:instrText xml:space="preserve"> =SUM(ABOVE) </w:instrText>
            </w:r>
            <w:r>
              <w:rPr>
                <w:rFonts w:hint="eastAsia" w:ascii="宋体" w:hAnsi="宋体" w:eastAsia="宋体" w:cs="宋体"/>
                <w:color w:val="auto"/>
                <w:sz w:val="21"/>
                <w:szCs w:val="21"/>
                <w:highlight w:val="none"/>
              </w:rPr>
              <w:fldChar w:fldCharType="separate"/>
            </w:r>
            <w:r>
              <w:rPr>
                <w:rFonts w:hint="eastAsia" w:ascii="宋体" w:hAnsi="宋体" w:eastAsia="宋体" w:cs="宋体"/>
                <w:color w:val="auto"/>
                <w:sz w:val="21"/>
                <w:szCs w:val="21"/>
                <w:highlight w:val="none"/>
              </w:rPr>
              <w:t>100</w:t>
            </w:r>
            <w:r>
              <w:rPr>
                <w:rFonts w:hint="eastAsia" w:ascii="宋体" w:hAnsi="宋体" w:eastAsia="宋体" w:cs="宋体"/>
                <w:color w:val="auto"/>
                <w:sz w:val="21"/>
                <w:szCs w:val="21"/>
                <w:highlight w:val="none"/>
              </w:rPr>
              <w:fldChar w:fldCharType="end"/>
            </w:r>
            <w:r>
              <w:rPr>
                <w:rFonts w:hint="eastAsia" w:ascii="宋体" w:hAnsi="宋体" w:eastAsia="宋体" w:cs="宋体"/>
                <w:color w:val="auto"/>
                <w:sz w:val="21"/>
                <w:szCs w:val="21"/>
                <w:highlight w:val="none"/>
                <w:lang w:val="en-US" w:eastAsia="zh-CN"/>
              </w:rPr>
              <w:t>分</w:t>
            </w:r>
          </w:p>
        </w:tc>
        <w:tc>
          <w:tcPr>
            <w:tcW w:w="3213" w:type="pct"/>
            <w:tcBorders>
              <w:bottom w:val="single" w:color="auto" w:sz="4" w:space="0"/>
            </w:tcBorders>
            <w:vAlign w:val="center"/>
          </w:tcPr>
          <w:p w14:paraId="7EBD69F8">
            <w:pPr>
              <w:pStyle w:val="52"/>
              <w:keepNext w:val="0"/>
              <w:keepLines w:val="0"/>
              <w:pageBreakBefore w:val="0"/>
              <w:kinsoku/>
              <w:wordWrap/>
              <w:overflowPunct/>
              <w:topLinePunct w:val="0"/>
              <w:bidi w:val="0"/>
              <w:spacing w:line="240" w:lineRule="auto"/>
              <w:rPr>
                <w:rFonts w:hint="eastAsia" w:ascii="宋体" w:hAnsi="宋体" w:eastAsia="宋体" w:cs="宋体"/>
                <w:color w:val="auto"/>
                <w:sz w:val="21"/>
                <w:szCs w:val="21"/>
                <w:highlight w:val="none"/>
              </w:rPr>
            </w:pPr>
          </w:p>
        </w:tc>
      </w:tr>
    </w:tbl>
    <w:p w14:paraId="6900E69A">
      <w:pPr>
        <w:pStyle w:val="40"/>
        <w:ind w:left="0" w:leftChars="0" w:firstLine="0" w:firstLineChars="0"/>
        <w:rPr>
          <w:rFonts w:hint="eastAsia"/>
          <w:color w:val="auto"/>
          <w:highlight w:val="none"/>
        </w:rPr>
      </w:pPr>
    </w:p>
    <w:p w14:paraId="7E1FEFF0">
      <w:pPr>
        <w:rPr>
          <w:color w:val="auto"/>
          <w:highlight w:val="none"/>
          <w:lang w:val="zh-CN"/>
        </w:rPr>
        <w:sectPr>
          <w:footerReference r:id="rId7" w:type="default"/>
          <w:pgSz w:w="11906" w:h="16838"/>
          <w:pgMar w:top="1440" w:right="1800" w:bottom="1440" w:left="1800" w:header="851" w:footer="992" w:gutter="0"/>
          <w:pgBorders>
            <w:top w:val="none" w:sz="0" w:space="0"/>
            <w:left w:val="none" w:sz="0" w:space="0"/>
            <w:bottom w:val="none" w:sz="0" w:space="0"/>
            <w:right w:val="none" w:sz="0" w:space="0"/>
          </w:pgBorders>
          <w:pgNumType w:fmt="numberInDash" w:start="1"/>
          <w:cols w:space="425" w:num="1"/>
          <w:docGrid w:type="lines" w:linePitch="312" w:charSpace="0"/>
        </w:sectPr>
      </w:pPr>
    </w:p>
    <w:p w14:paraId="54C87150">
      <w:pPr>
        <w:pStyle w:val="2"/>
        <w:keepNext/>
        <w:keepLines/>
        <w:pageBreakBefore w:val="0"/>
        <w:widowControl w:val="0"/>
        <w:numPr>
          <w:ilvl w:val="0"/>
          <w:numId w:val="0"/>
        </w:numPr>
        <w:kinsoku/>
        <w:wordWrap/>
        <w:overflowPunct/>
        <w:topLinePunct w:val="0"/>
        <w:autoSpaceDE/>
        <w:autoSpaceDN/>
        <w:bidi w:val="0"/>
        <w:adjustRightInd/>
        <w:snapToGrid/>
        <w:spacing w:before="220" w:after="220" w:line="480" w:lineRule="auto"/>
        <w:ind w:left="420" w:leftChars="0" w:hanging="420" w:firstLineChars="0"/>
        <w:textAlignment w:val="auto"/>
        <w:rPr>
          <w:rFonts w:hint="eastAsia" w:ascii="宋体" w:hAnsi="宋体" w:eastAsia="宋体" w:cs="宋体"/>
          <w:b/>
          <w:bCs/>
          <w:color w:val="auto"/>
          <w:kern w:val="44"/>
          <w:sz w:val="36"/>
          <w:szCs w:val="36"/>
          <w:highlight w:val="none"/>
          <w:lang w:val="zh-CN" w:eastAsia="zh-CN" w:bidi="ar-SA"/>
        </w:rPr>
      </w:pPr>
      <w:bookmarkStart w:id="577" w:name="_Toc155185918"/>
      <w:bookmarkStart w:id="578" w:name="_Toc24636"/>
      <w:r>
        <w:rPr>
          <w:rFonts w:hint="eastAsia" w:ascii="宋体" w:hAnsi="宋体" w:eastAsia="宋体" w:cs="宋体"/>
          <w:b/>
          <w:bCs/>
          <w:color w:val="auto"/>
          <w:kern w:val="44"/>
          <w:sz w:val="36"/>
          <w:szCs w:val="36"/>
          <w:highlight w:val="none"/>
          <w:lang w:val="zh-CN" w:eastAsia="zh-CN" w:bidi="ar-SA"/>
        </w:rPr>
        <w:t>第六章 合同</w:t>
      </w:r>
      <w:bookmarkEnd w:id="577"/>
      <w:r>
        <w:rPr>
          <w:rFonts w:hint="eastAsia" w:ascii="宋体" w:hAnsi="宋体" w:eastAsia="宋体" w:cs="宋体"/>
          <w:b/>
          <w:bCs/>
          <w:color w:val="auto"/>
          <w:kern w:val="44"/>
          <w:sz w:val="36"/>
          <w:szCs w:val="36"/>
          <w:highlight w:val="none"/>
          <w:lang w:val="zh-CN" w:eastAsia="zh-CN" w:bidi="ar-SA"/>
        </w:rPr>
        <w:t>草案</w:t>
      </w:r>
      <w:bookmarkEnd w:id="578"/>
    </w:p>
    <w:p w14:paraId="06498D2A">
      <w:pPr>
        <w:ind w:firstLine="3360" w:firstLineChars="1200"/>
        <w:rPr>
          <w:rFonts w:hint="eastAsia"/>
          <w:b/>
          <w:sz w:val="48"/>
          <w:szCs w:val="48"/>
        </w:rPr>
      </w:pPr>
      <w:bookmarkStart w:id="579" w:name="_Toc3995"/>
      <w:r>
        <w:rPr>
          <w:rFonts w:hint="eastAsia" w:ascii="仿宋" w:hAnsi="仿宋" w:eastAsia="仿宋" w:cs="仿宋"/>
          <w:color w:val="auto"/>
          <w:sz w:val="28"/>
        </w:rPr>
        <w:t>（具体以实际签订合同为主）</w:t>
      </w:r>
    </w:p>
    <w:p w14:paraId="5E494F7C">
      <w:pPr>
        <w:spacing w:line="264" w:lineRule="auto"/>
        <w:jc w:val="center"/>
        <w:rPr>
          <w:rFonts w:hint="eastAsia"/>
          <w:b/>
          <w:iCs/>
          <w:sz w:val="48"/>
          <w:szCs w:val="48"/>
        </w:rPr>
      </w:pPr>
      <w:r>
        <w:rPr>
          <w:rFonts w:hint="eastAsia"/>
          <w:b/>
          <w:iCs/>
          <w:sz w:val="48"/>
          <w:szCs w:val="48"/>
        </w:rPr>
        <w:t>新疆医科大学第一附属医院购置</w:t>
      </w:r>
    </w:p>
    <w:p w14:paraId="26D8D3B5">
      <w:pPr>
        <w:spacing w:line="264" w:lineRule="auto"/>
        <w:jc w:val="center"/>
        <w:rPr>
          <w:rFonts w:hint="eastAsia"/>
          <w:sz w:val="28"/>
          <w:szCs w:val="28"/>
        </w:rPr>
      </w:pPr>
    </w:p>
    <w:p w14:paraId="560C1656">
      <w:pPr>
        <w:spacing w:line="264" w:lineRule="auto"/>
        <w:jc w:val="center"/>
        <w:rPr>
          <w:rFonts w:hint="eastAsia"/>
          <w:b/>
          <w:sz w:val="28"/>
          <w:szCs w:val="28"/>
        </w:rPr>
      </w:pPr>
      <w:r>
        <w:rPr>
          <w:rFonts w:hint="eastAsia"/>
          <w:b/>
          <w:sz w:val="28"/>
          <w:szCs w:val="28"/>
        </w:rPr>
        <w:t>（设备名称）</w:t>
      </w:r>
    </w:p>
    <w:p w14:paraId="6C1523A5">
      <w:pPr>
        <w:spacing w:line="264" w:lineRule="auto"/>
        <w:rPr>
          <w:rFonts w:hint="eastAsia"/>
        </w:rPr>
      </w:pPr>
    </w:p>
    <w:p w14:paraId="00DAD02B">
      <w:pPr>
        <w:spacing w:line="264" w:lineRule="auto"/>
        <w:rPr>
          <w:rFonts w:hint="eastAsia"/>
        </w:rPr>
      </w:pPr>
    </w:p>
    <w:p w14:paraId="2C0C74B5">
      <w:pPr>
        <w:spacing w:line="264" w:lineRule="auto"/>
        <w:rPr>
          <w:rFonts w:hint="eastAsia"/>
        </w:rPr>
      </w:pPr>
    </w:p>
    <w:p w14:paraId="2FF6AFDD">
      <w:pPr>
        <w:spacing w:line="264" w:lineRule="auto"/>
        <w:rPr>
          <w:rFonts w:hint="eastAsia"/>
        </w:rPr>
      </w:pPr>
    </w:p>
    <w:p w14:paraId="3DC6590E">
      <w:pPr>
        <w:spacing w:line="264" w:lineRule="auto"/>
        <w:rPr>
          <w:rFonts w:hint="eastAsia"/>
        </w:rPr>
      </w:pPr>
    </w:p>
    <w:p w14:paraId="09DB8CD8">
      <w:pPr>
        <w:spacing w:line="264" w:lineRule="auto"/>
        <w:jc w:val="center"/>
        <w:rPr>
          <w:rFonts w:hint="eastAsia"/>
          <w:b/>
          <w:sz w:val="44"/>
          <w:szCs w:val="44"/>
        </w:rPr>
      </w:pPr>
      <w:r>
        <w:rPr>
          <w:rFonts w:hint="eastAsia"/>
          <w:b/>
          <w:sz w:val="44"/>
          <w:szCs w:val="44"/>
        </w:rPr>
        <w:t>销  售  合  同</w:t>
      </w:r>
    </w:p>
    <w:p w14:paraId="6FF9CA98">
      <w:pPr>
        <w:spacing w:line="264" w:lineRule="auto"/>
        <w:jc w:val="center"/>
        <w:rPr>
          <w:rFonts w:hint="eastAsia"/>
          <w:sz w:val="32"/>
          <w:szCs w:val="32"/>
        </w:rPr>
      </w:pPr>
    </w:p>
    <w:p w14:paraId="23D899A6">
      <w:pPr>
        <w:spacing w:line="264" w:lineRule="auto"/>
        <w:jc w:val="center"/>
        <w:rPr>
          <w:rFonts w:hint="eastAsia"/>
          <w:sz w:val="32"/>
          <w:szCs w:val="32"/>
        </w:rPr>
      </w:pPr>
    </w:p>
    <w:p w14:paraId="08A52662">
      <w:pPr>
        <w:spacing w:line="264" w:lineRule="auto"/>
        <w:jc w:val="center"/>
        <w:rPr>
          <w:rFonts w:hint="eastAsia"/>
          <w:sz w:val="32"/>
          <w:szCs w:val="32"/>
        </w:rPr>
      </w:pPr>
    </w:p>
    <w:p w14:paraId="362C1100">
      <w:pPr>
        <w:spacing w:line="264" w:lineRule="auto"/>
        <w:jc w:val="center"/>
        <w:rPr>
          <w:rFonts w:hint="eastAsia"/>
          <w:sz w:val="32"/>
          <w:szCs w:val="32"/>
        </w:rPr>
      </w:pPr>
    </w:p>
    <w:p w14:paraId="4C465EBA">
      <w:pPr>
        <w:spacing w:line="264" w:lineRule="auto"/>
        <w:ind w:firstLine="1280" w:firstLineChars="400"/>
        <w:rPr>
          <w:rFonts w:hint="eastAsia"/>
          <w:b/>
          <w:sz w:val="32"/>
          <w:szCs w:val="32"/>
          <w:u w:val="single"/>
        </w:rPr>
      </w:pPr>
      <w:r>
        <w:rPr>
          <w:rFonts w:hint="eastAsia"/>
          <w:b/>
          <w:sz w:val="32"/>
          <w:szCs w:val="32"/>
        </w:rPr>
        <w:t>甲方（买方）</w:t>
      </w:r>
      <w:r>
        <w:rPr>
          <w:rFonts w:hint="eastAsia"/>
          <w:sz w:val="32"/>
          <w:szCs w:val="32"/>
        </w:rPr>
        <w:t>：</w:t>
      </w:r>
      <w:r>
        <w:rPr>
          <w:rFonts w:hint="eastAsia"/>
          <w:b/>
          <w:sz w:val="32"/>
          <w:szCs w:val="32"/>
          <w:u w:val="single"/>
        </w:rPr>
        <w:t>新疆医科大学第一附属医院</w:t>
      </w:r>
    </w:p>
    <w:p w14:paraId="3280666F">
      <w:pPr>
        <w:spacing w:line="264" w:lineRule="auto"/>
        <w:ind w:firstLine="1280" w:firstLineChars="400"/>
        <w:rPr>
          <w:rFonts w:hint="eastAsia"/>
          <w:sz w:val="32"/>
          <w:szCs w:val="32"/>
        </w:rPr>
      </w:pPr>
    </w:p>
    <w:p w14:paraId="13D9E3E7">
      <w:pPr>
        <w:spacing w:line="264" w:lineRule="auto"/>
        <w:ind w:firstLine="1280" w:firstLineChars="400"/>
        <w:rPr>
          <w:rFonts w:hint="eastAsia"/>
          <w:sz w:val="32"/>
          <w:szCs w:val="32"/>
          <w:u w:val="single"/>
        </w:rPr>
      </w:pPr>
      <w:r>
        <w:rPr>
          <w:rFonts w:hint="eastAsia"/>
          <w:b/>
          <w:sz w:val="32"/>
          <w:szCs w:val="32"/>
        </w:rPr>
        <w:t>乙方（卖方）：</w:t>
      </w:r>
      <w:r>
        <w:rPr>
          <w:rFonts w:hint="eastAsia"/>
          <w:b/>
          <w:sz w:val="32"/>
          <w:szCs w:val="32"/>
          <w:u w:val="single"/>
        </w:rPr>
        <w:t xml:space="preserve">                             </w:t>
      </w:r>
    </w:p>
    <w:p w14:paraId="6BD47D81">
      <w:pPr>
        <w:spacing w:line="264" w:lineRule="auto"/>
        <w:ind w:firstLine="1280" w:firstLineChars="400"/>
        <w:rPr>
          <w:rFonts w:hint="eastAsia"/>
          <w:sz w:val="32"/>
          <w:szCs w:val="32"/>
        </w:rPr>
      </w:pPr>
    </w:p>
    <w:p w14:paraId="5FC2D32B">
      <w:pPr>
        <w:spacing w:line="264" w:lineRule="auto"/>
        <w:ind w:firstLine="1280" w:firstLineChars="400"/>
        <w:rPr>
          <w:rFonts w:hint="eastAsia"/>
          <w:sz w:val="32"/>
          <w:szCs w:val="32"/>
        </w:rPr>
      </w:pPr>
    </w:p>
    <w:p w14:paraId="29B88FB0">
      <w:pPr>
        <w:spacing w:line="264" w:lineRule="auto"/>
        <w:ind w:firstLine="1280" w:firstLineChars="400"/>
        <w:rPr>
          <w:rFonts w:hint="eastAsia"/>
          <w:sz w:val="32"/>
          <w:szCs w:val="32"/>
        </w:rPr>
      </w:pPr>
    </w:p>
    <w:p w14:paraId="6FA349AB">
      <w:pPr>
        <w:spacing w:line="264" w:lineRule="auto"/>
        <w:ind w:firstLine="1280" w:firstLineChars="400"/>
        <w:rPr>
          <w:rFonts w:hint="eastAsia"/>
          <w:b/>
          <w:sz w:val="32"/>
          <w:szCs w:val="32"/>
        </w:rPr>
      </w:pPr>
      <w:r>
        <w:rPr>
          <w:rFonts w:hint="eastAsia"/>
          <w:b/>
          <w:sz w:val="32"/>
          <w:szCs w:val="32"/>
        </w:rPr>
        <w:t>合 同 编 号：</w:t>
      </w:r>
    </w:p>
    <w:p w14:paraId="608C4CA3">
      <w:pPr>
        <w:spacing w:line="264" w:lineRule="auto"/>
        <w:ind w:firstLine="627" w:firstLineChars="196"/>
        <w:rPr>
          <w:rFonts w:hint="eastAsia"/>
          <w:b/>
          <w:color w:val="FF00FF"/>
          <w:sz w:val="32"/>
          <w:szCs w:val="32"/>
        </w:rPr>
      </w:pPr>
    </w:p>
    <w:p w14:paraId="7CD39C5A">
      <w:pPr>
        <w:spacing w:line="264" w:lineRule="auto"/>
        <w:ind w:firstLine="640" w:firstLineChars="200"/>
        <w:rPr>
          <w:rFonts w:hint="eastAsia"/>
          <w:b/>
          <w:bCs/>
          <w:sz w:val="32"/>
          <w:szCs w:val="32"/>
        </w:rPr>
      </w:pPr>
    </w:p>
    <w:p w14:paraId="324E00C8">
      <w:pPr>
        <w:spacing w:line="264" w:lineRule="auto"/>
        <w:jc w:val="center"/>
        <w:rPr>
          <w:rFonts w:hint="eastAsia"/>
          <w:b/>
          <w:sz w:val="32"/>
          <w:szCs w:val="32"/>
        </w:rPr>
      </w:pPr>
      <w:r>
        <w:rPr>
          <w:rFonts w:hint="eastAsia"/>
          <w:b/>
          <w:sz w:val="32"/>
          <w:szCs w:val="32"/>
        </w:rPr>
        <w:t xml:space="preserve">    年   月   日</w:t>
      </w:r>
    </w:p>
    <w:p w14:paraId="7762A46B">
      <w:pPr>
        <w:spacing w:line="264" w:lineRule="auto"/>
        <w:jc w:val="center"/>
        <w:rPr>
          <w:rFonts w:hint="eastAsia" w:ascii="宋体" w:hAnsi="宋体"/>
          <w:b/>
          <w:szCs w:val="21"/>
        </w:rPr>
      </w:pPr>
    </w:p>
    <w:p w14:paraId="4C15DC89">
      <w:pPr>
        <w:spacing w:line="264" w:lineRule="auto"/>
        <w:jc w:val="center"/>
        <w:rPr>
          <w:rFonts w:hint="eastAsia" w:ascii="宋体" w:hAnsi="宋体"/>
          <w:b/>
          <w:sz w:val="40"/>
          <w:szCs w:val="40"/>
        </w:rPr>
        <w:sectPr>
          <w:headerReference r:id="rId8" w:type="first"/>
          <w:footerReference r:id="rId10" w:type="first"/>
          <w:footerReference r:id="rId9" w:type="default"/>
          <w:pgSz w:w="11906" w:h="16838"/>
          <w:pgMar w:top="680" w:right="680" w:bottom="680" w:left="851" w:header="567" w:footer="567" w:gutter="0"/>
          <w:pgNumType w:fmt="numberInDash"/>
          <w:cols w:space="720" w:num="1"/>
          <w:titlePg/>
          <w:docGrid w:type="linesAndChars" w:linePitch="312" w:charSpace="0"/>
        </w:sectPr>
      </w:pPr>
    </w:p>
    <w:p w14:paraId="2B199FD4">
      <w:pPr>
        <w:spacing w:line="264" w:lineRule="auto"/>
        <w:jc w:val="center"/>
        <w:rPr>
          <w:rFonts w:hint="eastAsia" w:ascii="宋体" w:hAnsi="宋体" w:eastAsia="宋体" w:cs="宋体"/>
          <w:b w:val="0"/>
          <w:bCs/>
          <w:sz w:val="24"/>
          <w:szCs w:val="24"/>
        </w:rPr>
      </w:pPr>
      <w:r>
        <w:rPr>
          <w:rFonts w:hint="eastAsia" w:ascii="宋体" w:hAnsi="宋体" w:eastAsia="宋体" w:cs="宋体"/>
          <w:b w:val="0"/>
          <w:bCs/>
          <w:sz w:val="24"/>
          <w:szCs w:val="24"/>
        </w:rPr>
        <w:t>销 售 合 同</w:t>
      </w:r>
    </w:p>
    <w:p w14:paraId="7150C0C1">
      <w:pPr>
        <w:spacing w:line="360" w:lineRule="auto"/>
        <w:rPr>
          <w:rFonts w:hint="eastAsia" w:ascii="宋体" w:hAnsi="宋体" w:eastAsia="宋体" w:cs="宋体"/>
          <w:b w:val="0"/>
          <w:bCs w:val="0"/>
          <w:sz w:val="24"/>
          <w:szCs w:val="24"/>
        </w:rPr>
      </w:pPr>
      <w:r>
        <w:rPr>
          <w:rFonts w:hint="eastAsia" w:ascii="宋体" w:hAnsi="宋体" w:eastAsia="宋体" w:cs="宋体"/>
          <w:b w:val="0"/>
          <w:bCs/>
          <w:sz w:val="24"/>
          <w:szCs w:val="24"/>
        </w:rPr>
        <w:t xml:space="preserve"> </w:t>
      </w:r>
      <w:r>
        <w:rPr>
          <w:rFonts w:hint="eastAsia" w:ascii="宋体" w:hAnsi="宋体" w:eastAsia="宋体" w:cs="宋体"/>
          <w:b w:val="0"/>
          <w:bCs w:val="0"/>
          <w:sz w:val="24"/>
          <w:szCs w:val="24"/>
        </w:rPr>
        <w:t>甲方：新疆医科大学第一附属医院</w:t>
      </w:r>
    </w:p>
    <w:p w14:paraId="1168A85D">
      <w:pPr>
        <w:spacing w:line="360" w:lineRule="auto"/>
        <w:rPr>
          <w:rFonts w:hint="eastAsia" w:ascii="宋体" w:hAnsi="宋体" w:eastAsia="宋体" w:cs="宋体"/>
          <w:b w:val="0"/>
          <w:bCs w:val="0"/>
          <w:sz w:val="24"/>
          <w:szCs w:val="24"/>
        </w:rPr>
      </w:pPr>
      <w:r>
        <w:rPr>
          <w:rFonts w:hint="eastAsia" w:ascii="宋体" w:hAnsi="宋体" w:eastAsia="宋体" w:cs="宋体"/>
          <w:b w:val="0"/>
          <w:bCs w:val="0"/>
          <w:sz w:val="24"/>
          <w:szCs w:val="24"/>
        </w:rPr>
        <w:t xml:space="preserve"> 乙方：</w:t>
      </w:r>
    </w:p>
    <w:p w14:paraId="3064EC1E">
      <w:pPr>
        <w:spacing w:line="360" w:lineRule="auto"/>
        <w:ind w:firstLine="480" w:firstLineChars="200"/>
        <w:rPr>
          <w:rFonts w:hint="eastAsia" w:ascii="宋体" w:hAnsi="宋体" w:eastAsia="宋体" w:cs="宋体"/>
          <w:b w:val="0"/>
          <w:bCs w:val="0"/>
          <w:sz w:val="24"/>
          <w:szCs w:val="24"/>
        </w:rPr>
      </w:pPr>
      <w:r>
        <w:rPr>
          <w:rFonts w:hint="eastAsia" w:ascii="宋体" w:hAnsi="宋体" w:eastAsia="宋体" w:cs="宋体"/>
          <w:b w:val="0"/>
          <w:bCs w:val="0"/>
          <w:sz w:val="24"/>
          <w:szCs w:val="24"/>
        </w:rPr>
        <w:t>甲乙双方根据《中华人民共和国政府采购法》、《中华人民共和国民法典》、《中华人民共和国产品质量法》及其他相关法律法规的规定，本着平等互利、协商一致、等价有偿的原则，就甲方购买乙方的</w:t>
      </w:r>
      <w:r>
        <w:rPr>
          <w:rFonts w:hint="eastAsia" w:ascii="宋体" w:hAnsi="宋体" w:eastAsia="宋体" w:cs="宋体"/>
          <w:b w:val="0"/>
          <w:bCs w:val="0"/>
          <w:sz w:val="24"/>
          <w:szCs w:val="24"/>
          <w:u w:val="single"/>
        </w:rPr>
        <w:t xml:space="preserve">          </w:t>
      </w:r>
      <w:r>
        <w:rPr>
          <w:rFonts w:hint="eastAsia" w:ascii="宋体" w:hAnsi="宋体" w:eastAsia="宋体" w:cs="宋体"/>
          <w:b w:val="0"/>
          <w:bCs w:val="0"/>
          <w:sz w:val="24"/>
          <w:szCs w:val="24"/>
        </w:rPr>
        <w:t>设备并由乙方提供相关服务事宜，达成一致，协议如下：</w:t>
      </w:r>
    </w:p>
    <w:p w14:paraId="27874CDE">
      <w:pPr>
        <w:numPr>
          <w:ilvl w:val="0"/>
          <w:numId w:val="39"/>
        </w:numPr>
        <w:spacing w:line="360" w:lineRule="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rPr>
        <w:t>设备名称、规格（型号）、数量</w:t>
      </w:r>
      <w:r>
        <w:rPr>
          <w:rFonts w:hint="eastAsia" w:ascii="宋体" w:hAnsi="宋体" w:eastAsia="宋体" w:cs="宋体"/>
          <w:b w:val="0"/>
          <w:bCs w:val="0"/>
          <w:sz w:val="24"/>
          <w:szCs w:val="24"/>
          <w:lang w:val="en-US" w:eastAsia="zh-CN"/>
        </w:rPr>
        <w:t>详见下表</w:t>
      </w:r>
    </w:p>
    <w:tbl>
      <w:tblPr>
        <w:tblStyle w:val="31"/>
        <w:tblW w:w="9960" w:type="dxa"/>
        <w:jc w:val="center"/>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695"/>
        <w:gridCol w:w="1517"/>
        <w:gridCol w:w="1400"/>
        <w:gridCol w:w="1116"/>
        <w:gridCol w:w="717"/>
        <w:gridCol w:w="750"/>
        <w:gridCol w:w="1294"/>
        <w:gridCol w:w="1423"/>
        <w:gridCol w:w="1048"/>
      </w:tblGrid>
      <w:tr w14:paraId="2D468FB7">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055" w:hRule="atLeast"/>
          <w:jc w:val="center"/>
        </w:trPr>
        <w:tc>
          <w:tcPr>
            <w:tcW w:w="695" w:type="dxa"/>
            <w:tcBorders>
              <w:top w:val="single" w:color="auto" w:sz="4" w:space="0"/>
              <w:left w:val="single" w:color="auto" w:sz="4" w:space="0"/>
              <w:bottom w:val="single" w:color="auto" w:sz="4" w:space="0"/>
              <w:right w:val="single" w:color="auto" w:sz="4" w:space="0"/>
            </w:tcBorders>
            <w:noWrap w:val="0"/>
            <w:vAlign w:val="center"/>
          </w:tcPr>
          <w:p w14:paraId="3A112A44">
            <w:pPr>
              <w:keepNext w:val="0"/>
              <w:keepLines w:val="0"/>
              <w:widowControl w:val="0"/>
              <w:suppressLineNumbers w:val="0"/>
              <w:autoSpaceDE w:val="0"/>
              <w:autoSpaceDN w:val="0"/>
              <w:spacing w:before="0" w:beforeAutospacing="0" w:after="0" w:afterAutospacing="0" w:line="360" w:lineRule="auto"/>
              <w:ind w:left="0" w:right="0"/>
              <w:jc w:val="center"/>
              <w:rPr>
                <w:rFonts w:hint="eastAsia" w:ascii="宋体" w:hAnsi="宋体" w:eastAsia="宋体" w:cs="宋体"/>
                <w:b w:val="0"/>
                <w:bCs w:val="0"/>
                <w:color w:val="000000"/>
                <w:sz w:val="24"/>
                <w:szCs w:val="24"/>
                <w:lang w:val="en-US"/>
              </w:rPr>
            </w:pPr>
            <w:r>
              <w:rPr>
                <w:rFonts w:hint="eastAsia" w:ascii="宋体" w:hAnsi="宋体" w:eastAsia="宋体" w:cs="宋体"/>
                <w:b w:val="0"/>
                <w:bCs w:val="0"/>
                <w:color w:val="000000"/>
                <w:kern w:val="2"/>
                <w:sz w:val="24"/>
                <w:szCs w:val="24"/>
                <w:lang w:val="en-US" w:eastAsia="zh-CN" w:bidi="ar"/>
              </w:rPr>
              <w:t>序号</w:t>
            </w:r>
          </w:p>
        </w:tc>
        <w:tc>
          <w:tcPr>
            <w:tcW w:w="1517" w:type="dxa"/>
            <w:tcBorders>
              <w:top w:val="single" w:color="auto" w:sz="4" w:space="0"/>
              <w:left w:val="single" w:color="auto" w:sz="4" w:space="0"/>
              <w:bottom w:val="single" w:color="auto" w:sz="4" w:space="0"/>
              <w:right w:val="single" w:color="auto" w:sz="4" w:space="0"/>
            </w:tcBorders>
            <w:noWrap w:val="0"/>
            <w:vAlign w:val="center"/>
          </w:tcPr>
          <w:p w14:paraId="0515D05D">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b w:val="0"/>
                <w:bCs w:val="0"/>
                <w:color w:val="000000"/>
                <w:sz w:val="24"/>
                <w:szCs w:val="24"/>
                <w:lang w:val="en-US"/>
              </w:rPr>
            </w:pPr>
            <w:r>
              <w:rPr>
                <w:rFonts w:hint="eastAsia" w:ascii="宋体" w:hAnsi="宋体" w:eastAsia="宋体" w:cs="宋体"/>
                <w:b w:val="0"/>
                <w:bCs w:val="0"/>
                <w:color w:val="000000"/>
                <w:kern w:val="2"/>
                <w:sz w:val="24"/>
                <w:szCs w:val="24"/>
                <w:lang w:val="en-US" w:eastAsia="zh-CN" w:bidi="ar"/>
              </w:rPr>
              <w:t>名称</w:t>
            </w:r>
          </w:p>
        </w:tc>
        <w:tc>
          <w:tcPr>
            <w:tcW w:w="1400" w:type="dxa"/>
            <w:tcBorders>
              <w:top w:val="single" w:color="auto" w:sz="4" w:space="0"/>
              <w:left w:val="single" w:color="auto" w:sz="4" w:space="0"/>
              <w:bottom w:val="single" w:color="auto" w:sz="4" w:space="0"/>
              <w:right w:val="single" w:color="auto" w:sz="4" w:space="0"/>
            </w:tcBorders>
            <w:noWrap w:val="0"/>
            <w:vAlign w:val="center"/>
          </w:tcPr>
          <w:p w14:paraId="1D6F5756">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b w:val="0"/>
                <w:bCs w:val="0"/>
                <w:color w:val="000000"/>
                <w:sz w:val="24"/>
                <w:szCs w:val="24"/>
                <w:lang w:val="en-US"/>
              </w:rPr>
            </w:pPr>
            <w:r>
              <w:rPr>
                <w:rFonts w:hint="eastAsia" w:ascii="宋体" w:hAnsi="宋体" w:eastAsia="宋体" w:cs="宋体"/>
                <w:b w:val="0"/>
                <w:bCs w:val="0"/>
                <w:color w:val="000000"/>
                <w:kern w:val="2"/>
                <w:sz w:val="24"/>
                <w:szCs w:val="24"/>
                <w:lang w:val="en-US" w:eastAsia="zh-CN" w:bidi="ar"/>
              </w:rPr>
              <w:t>品牌</w:t>
            </w:r>
          </w:p>
        </w:tc>
        <w:tc>
          <w:tcPr>
            <w:tcW w:w="1116" w:type="dxa"/>
            <w:tcBorders>
              <w:top w:val="single" w:color="auto" w:sz="4" w:space="0"/>
              <w:left w:val="single" w:color="auto" w:sz="4" w:space="0"/>
              <w:bottom w:val="single" w:color="auto" w:sz="4" w:space="0"/>
              <w:right w:val="single" w:color="auto" w:sz="4" w:space="0"/>
            </w:tcBorders>
            <w:noWrap w:val="0"/>
            <w:vAlign w:val="center"/>
          </w:tcPr>
          <w:p w14:paraId="2D88E8A3">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b w:val="0"/>
                <w:bCs w:val="0"/>
                <w:color w:val="000000"/>
                <w:sz w:val="24"/>
                <w:szCs w:val="24"/>
                <w:lang w:val="en-US"/>
              </w:rPr>
            </w:pPr>
            <w:r>
              <w:rPr>
                <w:rFonts w:hint="eastAsia" w:ascii="宋体" w:hAnsi="宋体" w:eastAsia="宋体" w:cs="宋体"/>
                <w:b w:val="0"/>
                <w:bCs w:val="0"/>
                <w:color w:val="000000"/>
                <w:kern w:val="2"/>
                <w:sz w:val="24"/>
                <w:szCs w:val="24"/>
                <w:lang w:val="en-US" w:eastAsia="zh-CN" w:bidi="ar"/>
              </w:rPr>
              <w:t>规格</w:t>
            </w:r>
          </w:p>
          <w:p w14:paraId="7EDE55F5">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b w:val="0"/>
                <w:bCs w:val="0"/>
                <w:color w:val="000000"/>
                <w:sz w:val="24"/>
                <w:szCs w:val="24"/>
                <w:lang w:val="en-US"/>
              </w:rPr>
            </w:pPr>
            <w:r>
              <w:rPr>
                <w:rFonts w:hint="eastAsia" w:ascii="宋体" w:hAnsi="宋体" w:eastAsia="宋体" w:cs="宋体"/>
                <w:b w:val="0"/>
                <w:bCs w:val="0"/>
                <w:color w:val="000000"/>
                <w:kern w:val="2"/>
                <w:sz w:val="24"/>
                <w:szCs w:val="24"/>
                <w:lang w:val="en-US" w:eastAsia="zh-CN" w:bidi="ar"/>
              </w:rPr>
              <w:t>型号</w:t>
            </w:r>
          </w:p>
        </w:tc>
        <w:tc>
          <w:tcPr>
            <w:tcW w:w="717" w:type="dxa"/>
            <w:tcBorders>
              <w:top w:val="single" w:color="auto" w:sz="4" w:space="0"/>
              <w:left w:val="single" w:color="auto" w:sz="4" w:space="0"/>
              <w:bottom w:val="single" w:color="auto" w:sz="4" w:space="0"/>
              <w:right w:val="single" w:color="auto" w:sz="4" w:space="0"/>
            </w:tcBorders>
            <w:noWrap w:val="0"/>
            <w:vAlign w:val="center"/>
          </w:tcPr>
          <w:p w14:paraId="121363CE">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b w:val="0"/>
                <w:bCs w:val="0"/>
                <w:color w:val="000000"/>
                <w:sz w:val="24"/>
                <w:szCs w:val="24"/>
                <w:lang w:val="en-US"/>
              </w:rPr>
            </w:pPr>
            <w:r>
              <w:rPr>
                <w:rFonts w:hint="eastAsia" w:ascii="宋体" w:hAnsi="宋体" w:eastAsia="宋体" w:cs="宋体"/>
                <w:b w:val="0"/>
                <w:bCs w:val="0"/>
                <w:color w:val="000000"/>
                <w:kern w:val="2"/>
                <w:sz w:val="24"/>
                <w:szCs w:val="24"/>
                <w:lang w:val="en-US" w:eastAsia="zh-CN" w:bidi="ar"/>
              </w:rPr>
              <w:t>单位</w:t>
            </w:r>
          </w:p>
        </w:tc>
        <w:tc>
          <w:tcPr>
            <w:tcW w:w="750" w:type="dxa"/>
            <w:tcBorders>
              <w:top w:val="single" w:color="auto" w:sz="4" w:space="0"/>
              <w:left w:val="single" w:color="auto" w:sz="4" w:space="0"/>
              <w:bottom w:val="single" w:color="auto" w:sz="4" w:space="0"/>
              <w:right w:val="single" w:color="auto" w:sz="4" w:space="0"/>
            </w:tcBorders>
            <w:noWrap w:val="0"/>
            <w:vAlign w:val="center"/>
          </w:tcPr>
          <w:p w14:paraId="1E56844D">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b w:val="0"/>
                <w:bCs w:val="0"/>
                <w:color w:val="000000"/>
                <w:sz w:val="24"/>
                <w:szCs w:val="24"/>
                <w:lang w:val="en-US"/>
              </w:rPr>
            </w:pPr>
            <w:r>
              <w:rPr>
                <w:rFonts w:hint="eastAsia" w:ascii="宋体" w:hAnsi="宋体" w:eastAsia="宋体" w:cs="宋体"/>
                <w:b w:val="0"/>
                <w:bCs w:val="0"/>
                <w:color w:val="000000"/>
                <w:kern w:val="2"/>
                <w:sz w:val="24"/>
                <w:szCs w:val="24"/>
                <w:lang w:val="en-US" w:eastAsia="zh-CN" w:bidi="ar"/>
              </w:rPr>
              <w:t>数量</w:t>
            </w:r>
          </w:p>
        </w:tc>
        <w:tc>
          <w:tcPr>
            <w:tcW w:w="1294" w:type="dxa"/>
            <w:tcBorders>
              <w:top w:val="single" w:color="auto" w:sz="4" w:space="0"/>
              <w:left w:val="single" w:color="auto" w:sz="4" w:space="0"/>
              <w:bottom w:val="single" w:color="auto" w:sz="4" w:space="0"/>
              <w:right w:val="single" w:color="auto" w:sz="4" w:space="0"/>
            </w:tcBorders>
            <w:noWrap w:val="0"/>
            <w:vAlign w:val="center"/>
          </w:tcPr>
          <w:p w14:paraId="59E8C4FE">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b w:val="0"/>
                <w:bCs w:val="0"/>
                <w:color w:val="000000"/>
                <w:sz w:val="24"/>
                <w:szCs w:val="24"/>
                <w:lang w:val="en-US"/>
              </w:rPr>
            </w:pPr>
            <w:r>
              <w:rPr>
                <w:rFonts w:hint="eastAsia" w:ascii="宋体" w:hAnsi="宋体" w:eastAsia="宋体" w:cs="宋体"/>
                <w:b w:val="0"/>
                <w:bCs w:val="0"/>
                <w:color w:val="000000"/>
                <w:kern w:val="2"/>
                <w:sz w:val="24"/>
                <w:szCs w:val="24"/>
                <w:lang w:val="en-US" w:eastAsia="zh-CN" w:bidi="ar"/>
              </w:rPr>
              <w:t>含税单价</w:t>
            </w:r>
          </w:p>
          <w:p w14:paraId="611691D2">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b w:val="0"/>
                <w:bCs w:val="0"/>
                <w:color w:val="000000"/>
                <w:sz w:val="24"/>
                <w:szCs w:val="24"/>
                <w:lang w:val="en-US"/>
              </w:rPr>
            </w:pPr>
            <w:r>
              <w:rPr>
                <w:rFonts w:hint="eastAsia" w:ascii="宋体" w:hAnsi="宋体" w:eastAsia="宋体" w:cs="宋体"/>
                <w:b w:val="0"/>
                <w:bCs w:val="0"/>
                <w:color w:val="000000"/>
                <w:kern w:val="2"/>
                <w:sz w:val="24"/>
                <w:szCs w:val="24"/>
                <w:lang w:val="en-US" w:eastAsia="zh-CN" w:bidi="ar"/>
              </w:rPr>
              <w:t>(元)</w:t>
            </w:r>
          </w:p>
        </w:tc>
        <w:tc>
          <w:tcPr>
            <w:tcW w:w="1423" w:type="dxa"/>
            <w:tcBorders>
              <w:top w:val="single" w:color="auto" w:sz="4" w:space="0"/>
              <w:left w:val="single" w:color="auto" w:sz="4" w:space="0"/>
              <w:bottom w:val="single" w:color="auto" w:sz="4" w:space="0"/>
              <w:right w:val="single" w:color="auto" w:sz="4" w:space="0"/>
            </w:tcBorders>
            <w:noWrap w:val="0"/>
            <w:vAlign w:val="center"/>
          </w:tcPr>
          <w:p w14:paraId="5942485D">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b w:val="0"/>
                <w:bCs w:val="0"/>
                <w:color w:val="000000"/>
                <w:sz w:val="24"/>
                <w:szCs w:val="24"/>
                <w:lang w:val="en-US"/>
              </w:rPr>
            </w:pPr>
            <w:r>
              <w:rPr>
                <w:rFonts w:hint="eastAsia" w:ascii="宋体" w:hAnsi="宋体" w:eastAsia="宋体" w:cs="宋体"/>
                <w:b w:val="0"/>
                <w:bCs w:val="0"/>
                <w:color w:val="000000"/>
                <w:kern w:val="2"/>
                <w:sz w:val="24"/>
                <w:szCs w:val="24"/>
                <w:lang w:val="en-US" w:eastAsia="zh-CN" w:bidi="ar"/>
              </w:rPr>
              <w:t>合计金额</w:t>
            </w:r>
          </w:p>
          <w:p w14:paraId="73A5B7CB">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b w:val="0"/>
                <w:bCs w:val="0"/>
                <w:color w:val="000000"/>
                <w:sz w:val="24"/>
                <w:szCs w:val="24"/>
                <w:lang w:val="en-US"/>
              </w:rPr>
            </w:pPr>
            <w:r>
              <w:rPr>
                <w:rFonts w:hint="eastAsia" w:ascii="宋体" w:hAnsi="宋体" w:eastAsia="宋体" w:cs="宋体"/>
                <w:b w:val="0"/>
                <w:bCs w:val="0"/>
                <w:color w:val="000000"/>
                <w:kern w:val="2"/>
                <w:sz w:val="24"/>
                <w:szCs w:val="24"/>
                <w:lang w:val="en-US" w:eastAsia="zh-CN" w:bidi="ar"/>
              </w:rPr>
              <w:t>（元）</w:t>
            </w:r>
          </w:p>
        </w:tc>
        <w:tc>
          <w:tcPr>
            <w:tcW w:w="1048" w:type="dxa"/>
            <w:tcBorders>
              <w:top w:val="single" w:color="auto" w:sz="4" w:space="0"/>
              <w:left w:val="single" w:color="auto" w:sz="4" w:space="0"/>
              <w:bottom w:val="single" w:color="auto" w:sz="4" w:space="0"/>
              <w:right w:val="single" w:color="auto" w:sz="4" w:space="0"/>
            </w:tcBorders>
            <w:noWrap w:val="0"/>
            <w:vAlign w:val="center"/>
          </w:tcPr>
          <w:p w14:paraId="0A513212">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b w:val="0"/>
                <w:bCs w:val="0"/>
                <w:color w:val="000000"/>
                <w:sz w:val="24"/>
                <w:szCs w:val="24"/>
                <w:lang w:val="en-US"/>
              </w:rPr>
            </w:pPr>
            <w:r>
              <w:rPr>
                <w:rFonts w:hint="eastAsia" w:ascii="宋体" w:hAnsi="宋体" w:eastAsia="宋体" w:cs="宋体"/>
                <w:b w:val="0"/>
                <w:bCs w:val="0"/>
                <w:color w:val="000000"/>
                <w:kern w:val="2"/>
                <w:sz w:val="24"/>
                <w:szCs w:val="24"/>
                <w:lang w:val="en-US" w:eastAsia="zh-CN" w:bidi="ar"/>
              </w:rPr>
              <w:t>备注</w:t>
            </w:r>
          </w:p>
        </w:tc>
      </w:tr>
      <w:tr w14:paraId="1F761F37">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32" w:hRule="atLeast"/>
          <w:jc w:val="center"/>
        </w:trPr>
        <w:tc>
          <w:tcPr>
            <w:tcW w:w="695" w:type="dxa"/>
            <w:tcBorders>
              <w:top w:val="single" w:color="auto" w:sz="4" w:space="0"/>
              <w:left w:val="single" w:color="auto" w:sz="4" w:space="0"/>
              <w:bottom w:val="single" w:color="auto" w:sz="4" w:space="0"/>
              <w:right w:val="single" w:color="auto" w:sz="4" w:space="0"/>
            </w:tcBorders>
            <w:noWrap w:val="0"/>
            <w:vAlign w:val="center"/>
          </w:tcPr>
          <w:p w14:paraId="222CB9AC">
            <w:pPr>
              <w:keepNext w:val="0"/>
              <w:keepLines w:val="0"/>
              <w:widowControl w:val="0"/>
              <w:suppressLineNumbers w:val="0"/>
              <w:autoSpaceDE w:val="0"/>
              <w:autoSpaceDN w:val="0"/>
              <w:spacing w:before="0" w:beforeAutospacing="0" w:after="0" w:afterAutospacing="0" w:line="360" w:lineRule="auto"/>
              <w:ind w:left="0" w:right="0"/>
              <w:jc w:val="center"/>
              <w:rPr>
                <w:rFonts w:hint="eastAsia" w:ascii="宋体" w:hAnsi="宋体" w:eastAsia="宋体" w:cs="宋体"/>
                <w:b w:val="0"/>
                <w:bCs w:val="0"/>
                <w:color w:val="000000"/>
                <w:sz w:val="24"/>
                <w:szCs w:val="24"/>
                <w:lang w:val="en-US"/>
              </w:rPr>
            </w:pPr>
            <w:r>
              <w:rPr>
                <w:rFonts w:hint="eastAsia" w:ascii="宋体" w:hAnsi="宋体" w:eastAsia="宋体" w:cs="宋体"/>
                <w:b w:val="0"/>
                <w:bCs w:val="0"/>
                <w:color w:val="000000"/>
                <w:kern w:val="2"/>
                <w:sz w:val="24"/>
                <w:szCs w:val="24"/>
                <w:lang w:val="en-US" w:eastAsia="zh-CN" w:bidi="ar"/>
              </w:rPr>
              <w:t>1</w:t>
            </w:r>
          </w:p>
        </w:tc>
        <w:tc>
          <w:tcPr>
            <w:tcW w:w="1517" w:type="dxa"/>
            <w:tcBorders>
              <w:top w:val="single" w:color="auto" w:sz="4" w:space="0"/>
              <w:left w:val="single" w:color="auto" w:sz="4" w:space="0"/>
              <w:bottom w:val="single" w:color="auto" w:sz="4" w:space="0"/>
              <w:right w:val="single" w:color="auto" w:sz="4" w:space="0"/>
            </w:tcBorders>
            <w:noWrap w:val="0"/>
            <w:vAlign w:val="center"/>
          </w:tcPr>
          <w:p w14:paraId="565E1D98">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 w:val="0"/>
                <w:bCs w:val="0"/>
                <w:color w:val="000000"/>
                <w:sz w:val="24"/>
                <w:szCs w:val="24"/>
                <w:lang w:val="en-US"/>
              </w:rPr>
            </w:pPr>
          </w:p>
        </w:tc>
        <w:tc>
          <w:tcPr>
            <w:tcW w:w="1400" w:type="dxa"/>
            <w:tcBorders>
              <w:top w:val="single" w:color="auto" w:sz="4" w:space="0"/>
              <w:left w:val="single" w:color="auto" w:sz="4" w:space="0"/>
              <w:bottom w:val="single" w:color="auto" w:sz="4" w:space="0"/>
              <w:right w:val="single" w:color="auto" w:sz="4" w:space="0"/>
            </w:tcBorders>
            <w:noWrap w:val="0"/>
            <w:vAlign w:val="center"/>
          </w:tcPr>
          <w:p w14:paraId="414CD061">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 w:val="0"/>
                <w:bCs w:val="0"/>
                <w:color w:val="000000"/>
                <w:sz w:val="24"/>
                <w:szCs w:val="24"/>
                <w:lang w:val="en-US"/>
              </w:rPr>
            </w:pPr>
          </w:p>
        </w:tc>
        <w:tc>
          <w:tcPr>
            <w:tcW w:w="1116" w:type="dxa"/>
            <w:tcBorders>
              <w:top w:val="single" w:color="auto" w:sz="4" w:space="0"/>
              <w:left w:val="single" w:color="auto" w:sz="4" w:space="0"/>
              <w:bottom w:val="single" w:color="auto" w:sz="4" w:space="0"/>
              <w:right w:val="single" w:color="auto" w:sz="4" w:space="0"/>
            </w:tcBorders>
            <w:noWrap w:val="0"/>
            <w:vAlign w:val="center"/>
          </w:tcPr>
          <w:p w14:paraId="6FB92DFB">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 w:val="0"/>
                <w:bCs w:val="0"/>
                <w:color w:val="000000"/>
                <w:sz w:val="24"/>
                <w:szCs w:val="24"/>
                <w:lang w:val="en-US"/>
              </w:rPr>
            </w:pPr>
          </w:p>
        </w:tc>
        <w:tc>
          <w:tcPr>
            <w:tcW w:w="717" w:type="dxa"/>
            <w:tcBorders>
              <w:top w:val="single" w:color="auto" w:sz="4" w:space="0"/>
              <w:left w:val="single" w:color="auto" w:sz="4" w:space="0"/>
              <w:bottom w:val="single" w:color="auto" w:sz="4" w:space="0"/>
              <w:right w:val="single" w:color="auto" w:sz="4" w:space="0"/>
            </w:tcBorders>
            <w:noWrap w:val="0"/>
            <w:vAlign w:val="center"/>
          </w:tcPr>
          <w:p w14:paraId="000177C5">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 w:val="0"/>
                <w:bCs w:val="0"/>
                <w:color w:val="000000"/>
                <w:sz w:val="24"/>
                <w:szCs w:val="24"/>
                <w:lang w:val="en-US"/>
              </w:rPr>
            </w:pPr>
          </w:p>
        </w:tc>
        <w:tc>
          <w:tcPr>
            <w:tcW w:w="750" w:type="dxa"/>
            <w:tcBorders>
              <w:top w:val="single" w:color="auto" w:sz="4" w:space="0"/>
              <w:left w:val="single" w:color="auto" w:sz="4" w:space="0"/>
              <w:bottom w:val="single" w:color="auto" w:sz="4" w:space="0"/>
              <w:right w:val="single" w:color="auto" w:sz="4" w:space="0"/>
            </w:tcBorders>
            <w:noWrap w:val="0"/>
            <w:vAlign w:val="center"/>
          </w:tcPr>
          <w:p w14:paraId="32DA6B13">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 w:val="0"/>
                <w:bCs w:val="0"/>
                <w:color w:val="000000"/>
                <w:sz w:val="24"/>
                <w:szCs w:val="24"/>
                <w:lang w:val="en-US"/>
              </w:rPr>
            </w:pPr>
          </w:p>
        </w:tc>
        <w:tc>
          <w:tcPr>
            <w:tcW w:w="1294" w:type="dxa"/>
            <w:tcBorders>
              <w:top w:val="single" w:color="auto" w:sz="4" w:space="0"/>
              <w:left w:val="single" w:color="auto" w:sz="4" w:space="0"/>
              <w:bottom w:val="single" w:color="auto" w:sz="4" w:space="0"/>
              <w:right w:val="single" w:color="auto" w:sz="4" w:space="0"/>
            </w:tcBorders>
            <w:noWrap w:val="0"/>
            <w:vAlign w:val="center"/>
          </w:tcPr>
          <w:p w14:paraId="49717A2A">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 w:val="0"/>
                <w:bCs w:val="0"/>
                <w:color w:val="000000"/>
                <w:sz w:val="24"/>
                <w:szCs w:val="24"/>
                <w:lang w:val="en-US"/>
              </w:rPr>
            </w:pPr>
          </w:p>
        </w:tc>
        <w:tc>
          <w:tcPr>
            <w:tcW w:w="1423" w:type="dxa"/>
            <w:tcBorders>
              <w:top w:val="single" w:color="auto" w:sz="4" w:space="0"/>
              <w:left w:val="single" w:color="auto" w:sz="4" w:space="0"/>
              <w:bottom w:val="single" w:color="auto" w:sz="4" w:space="0"/>
              <w:right w:val="single" w:color="auto" w:sz="4" w:space="0"/>
            </w:tcBorders>
            <w:noWrap w:val="0"/>
            <w:vAlign w:val="center"/>
          </w:tcPr>
          <w:p w14:paraId="47006235">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 w:val="0"/>
                <w:bCs w:val="0"/>
                <w:color w:val="000000"/>
                <w:sz w:val="24"/>
                <w:szCs w:val="24"/>
                <w:lang w:val="en-US"/>
              </w:rPr>
            </w:pPr>
          </w:p>
        </w:tc>
        <w:tc>
          <w:tcPr>
            <w:tcW w:w="1048" w:type="dxa"/>
            <w:tcBorders>
              <w:top w:val="single" w:color="auto" w:sz="4" w:space="0"/>
              <w:left w:val="single" w:color="auto" w:sz="4" w:space="0"/>
              <w:bottom w:val="single" w:color="auto" w:sz="4" w:space="0"/>
              <w:right w:val="single" w:color="auto" w:sz="4" w:space="0"/>
            </w:tcBorders>
            <w:noWrap w:val="0"/>
            <w:vAlign w:val="center"/>
          </w:tcPr>
          <w:p w14:paraId="532F9220">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b w:val="0"/>
                <w:bCs w:val="0"/>
                <w:color w:val="000000"/>
                <w:sz w:val="24"/>
                <w:szCs w:val="24"/>
                <w:lang w:val="en-US"/>
              </w:rPr>
            </w:pPr>
          </w:p>
        </w:tc>
      </w:tr>
      <w:tr w14:paraId="23A4DB03">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32" w:hRule="atLeast"/>
          <w:jc w:val="center"/>
        </w:trPr>
        <w:tc>
          <w:tcPr>
            <w:tcW w:w="695" w:type="dxa"/>
            <w:tcBorders>
              <w:top w:val="single" w:color="auto" w:sz="4" w:space="0"/>
              <w:left w:val="single" w:color="auto" w:sz="4" w:space="0"/>
              <w:bottom w:val="single" w:color="auto" w:sz="4" w:space="0"/>
              <w:right w:val="single" w:color="auto" w:sz="4" w:space="0"/>
            </w:tcBorders>
            <w:noWrap w:val="0"/>
            <w:vAlign w:val="center"/>
          </w:tcPr>
          <w:p w14:paraId="549CC9AC">
            <w:pPr>
              <w:keepNext w:val="0"/>
              <w:keepLines w:val="0"/>
              <w:widowControl w:val="0"/>
              <w:suppressLineNumbers w:val="0"/>
              <w:autoSpaceDE w:val="0"/>
              <w:autoSpaceDN w:val="0"/>
              <w:spacing w:before="0" w:beforeAutospacing="0" w:after="0" w:afterAutospacing="0" w:line="360" w:lineRule="auto"/>
              <w:ind w:left="0" w:right="0"/>
              <w:jc w:val="center"/>
              <w:rPr>
                <w:rFonts w:hint="eastAsia" w:ascii="宋体" w:hAnsi="宋体" w:eastAsia="宋体" w:cs="宋体"/>
                <w:b w:val="0"/>
                <w:bCs w:val="0"/>
                <w:color w:val="000000"/>
                <w:sz w:val="24"/>
                <w:szCs w:val="24"/>
                <w:lang w:val="en-US"/>
              </w:rPr>
            </w:pPr>
            <w:r>
              <w:rPr>
                <w:rFonts w:hint="eastAsia" w:ascii="宋体" w:hAnsi="宋体" w:eastAsia="宋体" w:cs="宋体"/>
                <w:b w:val="0"/>
                <w:bCs w:val="0"/>
                <w:color w:val="000000"/>
                <w:kern w:val="2"/>
                <w:sz w:val="24"/>
                <w:szCs w:val="24"/>
                <w:lang w:val="en-US" w:eastAsia="zh-CN" w:bidi="ar"/>
              </w:rPr>
              <w:t>2</w:t>
            </w:r>
          </w:p>
        </w:tc>
        <w:tc>
          <w:tcPr>
            <w:tcW w:w="1517" w:type="dxa"/>
            <w:tcBorders>
              <w:top w:val="single" w:color="auto" w:sz="4" w:space="0"/>
              <w:left w:val="single" w:color="auto" w:sz="4" w:space="0"/>
              <w:bottom w:val="single" w:color="auto" w:sz="4" w:space="0"/>
              <w:right w:val="single" w:color="auto" w:sz="4" w:space="0"/>
            </w:tcBorders>
            <w:noWrap w:val="0"/>
            <w:vAlign w:val="center"/>
          </w:tcPr>
          <w:p w14:paraId="18173267">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 w:val="0"/>
                <w:bCs w:val="0"/>
                <w:color w:val="000000"/>
                <w:sz w:val="24"/>
                <w:szCs w:val="24"/>
                <w:lang w:val="en-US"/>
              </w:rPr>
            </w:pPr>
          </w:p>
        </w:tc>
        <w:tc>
          <w:tcPr>
            <w:tcW w:w="1400" w:type="dxa"/>
            <w:tcBorders>
              <w:top w:val="single" w:color="auto" w:sz="4" w:space="0"/>
              <w:left w:val="single" w:color="auto" w:sz="4" w:space="0"/>
              <w:bottom w:val="single" w:color="auto" w:sz="4" w:space="0"/>
              <w:right w:val="single" w:color="auto" w:sz="4" w:space="0"/>
            </w:tcBorders>
            <w:noWrap w:val="0"/>
            <w:vAlign w:val="center"/>
          </w:tcPr>
          <w:p w14:paraId="7FC82531">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 w:val="0"/>
                <w:bCs w:val="0"/>
                <w:color w:val="000000"/>
                <w:sz w:val="24"/>
                <w:szCs w:val="24"/>
                <w:lang w:val="en-US"/>
              </w:rPr>
            </w:pPr>
          </w:p>
        </w:tc>
        <w:tc>
          <w:tcPr>
            <w:tcW w:w="1116" w:type="dxa"/>
            <w:tcBorders>
              <w:top w:val="single" w:color="auto" w:sz="4" w:space="0"/>
              <w:left w:val="single" w:color="auto" w:sz="4" w:space="0"/>
              <w:bottom w:val="single" w:color="auto" w:sz="4" w:space="0"/>
              <w:right w:val="single" w:color="auto" w:sz="4" w:space="0"/>
            </w:tcBorders>
            <w:noWrap w:val="0"/>
            <w:vAlign w:val="center"/>
          </w:tcPr>
          <w:p w14:paraId="775CB433">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 w:val="0"/>
                <w:bCs w:val="0"/>
                <w:color w:val="000000"/>
                <w:sz w:val="24"/>
                <w:szCs w:val="24"/>
                <w:lang w:val="en-US"/>
              </w:rPr>
            </w:pPr>
          </w:p>
        </w:tc>
        <w:tc>
          <w:tcPr>
            <w:tcW w:w="717" w:type="dxa"/>
            <w:tcBorders>
              <w:top w:val="single" w:color="auto" w:sz="4" w:space="0"/>
              <w:left w:val="single" w:color="auto" w:sz="4" w:space="0"/>
              <w:bottom w:val="single" w:color="auto" w:sz="4" w:space="0"/>
              <w:right w:val="single" w:color="auto" w:sz="4" w:space="0"/>
            </w:tcBorders>
            <w:noWrap w:val="0"/>
            <w:vAlign w:val="center"/>
          </w:tcPr>
          <w:p w14:paraId="74551840">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 w:val="0"/>
                <w:bCs w:val="0"/>
                <w:color w:val="000000"/>
                <w:sz w:val="24"/>
                <w:szCs w:val="24"/>
                <w:lang w:val="en-US"/>
              </w:rPr>
            </w:pPr>
          </w:p>
        </w:tc>
        <w:tc>
          <w:tcPr>
            <w:tcW w:w="750" w:type="dxa"/>
            <w:tcBorders>
              <w:top w:val="single" w:color="auto" w:sz="4" w:space="0"/>
              <w:left w:val="single" w:color="auto" w:sz="4" w:space="0"/>
              <w:bottom w:val="single" w:color="auto" w:sz="4" w:space="0"/>
              <w:right w:val="single" w:color="auto" w:sz="4" w:space="0"/>
            </w:tcBorders>
            <w:noWrap w:val="0"/>
            <w:vAlign w:val="center"/>
          </w:tcPr>
          <w:p w14:paraId="7EC1C5F2">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 w:val="0"/>
                <w:bCs w:val="0"/>
                <w:color w:val="000000"/>
                <w:sz w:val="24"/>
                <w:szCs w:val="24"/>
                <w:lang w:val="en-US"/>
              </w:rPr>
            </w:pPr>
          </w:p>
        </w:tc>
        <w:tc>
          <w:tcPr>
            <w:tcW w:w="1294" w:type="dxa"/>
            <w:tcBorders>
              <w:top w:val="single" w:color="auto" w:sz="4" w:space="0"/>
              <w:left w:val="single" w:color="auto" w:sz="4" w:space="0"/>
              <w:bottom w:val="single" w:color="auto" w:sz="4" w:space="0"/>
              <w:right w:val="single" w:color="auto" w:sz="4" w:space="0"/>
            </w:tcBorders>
            <w:noWrap w:val="0"/>
            <w:vAlign w:val="center"/>
          </w:tcPr>
          <w:p w14:paraId="70BD0122">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 w:val="0"/>
                <w:bCs w:val="0"/>
                <w:color w:val="000000"/>
                <w:sz w:val="24"/>
                <w:szCs w:val="24"/>
                <w:lang w:val="en-US"/>
              </w:rPr>
            </w:pPr>
          </w:p>
        </w:tc>
        <w:tc>
          <w:tcPr>
            <w:tcW w:w="1423" w:type="dxa"/>
            <w:tcBorders>
              <w:top w:val="single" w:color="auto" w:sz="4" w:space="0"/>
              <w:left w:val="single" w:color="auto" w:sz="4" w:space="0"/>
              <w:bottom w:val="single" w:color="auto" w:sz="4" w:space="0"/>
              <w:right w:val="single" w:color="auto" w:sz="4" w:space="0"/>
            </w:tcBorders>
            <w:noWrap w:val="0"/>
            <w:vAlign w:val="center"/>
          </w:tcPr>
          <w:p w14:paraId="0D59F2E4">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 w:val="0"/>
                <w:bCs w:val="0"/>
                <w:color w:val="000000"/>
                <w:sz w:val="24"/>
                <w:szCs w:val="24"/>
                <w:lang w:val="en-US"/>
              </w:rPr>
            </w:pPr>
          </w:p>
        </w:tc>
        <w:tc>
          <w:tcPr>
            <w:tcW w:w="1048" w:type="dxa"/>
            <w:tcBorders>
              <w:top w:val="single" w:color="auto" w:sz="4" w:space="0"/>
              <w:left w:val="single" w:color="auto" w:sz="4" w:space="0"/>
              <w:bottom w:val="single" w:color="auto" w:sz="4" w:space="0"/>
              <w:right w:val="single" w:color="auto" w:sz="4" w:space="0"/>
            </w:tcBorders>
            <w:noWrap w:val="0"/>
            <w:vAlign w:val="center"/>
          </w:tcPr>
          <w:p w14:paraId="13DAF4EF">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b w:val="0"/>
                <w:bCs w:val="0"/>
                <w:color w:val="000000"/>
                <w:sz w:val="24"/>
                <w:szCs w:val="24"/>
                <w:lang w:val="en-US"/>
              </w:rPr>
            </w:pPr>
          </w:p>
        </w:tc>
      </w:tr>
      <w:tr w14:paraId="5E7061D2">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32" w:hRule="atLeast"/>
          <w:jc w:val="center"/>
        </w:trPr>
        <w:tc>
          <w:tcPr>
            <w:tcW w:w="695" w:type="dxa"/>
            <w:tcBorders>
              <w:top w:val="single" w:color="auto" w:sz="4" w:space="0"/>
              <w:left w:val="single" w:color="auto" w:sz="4" w:space="0"/>
              <w:bottom w:val="single" w:color="auto" w:sz="4" w:space="0"/>
              <w:right w:val="single" w:color="auto" w:sz="4" w:space="0"/>
            </w:tcBorders>
            <w:noWrap w:val="0"/>
            <w:vAlign w:val="center"/>
          </w:tcPr>
          <w:p w14:paraId="14628E6E">
            <w:pPr>
              <w:keepNext w:val="0"/>
              <w:keepLines w:val="0"/>
              <w:widowControl w:val="0"/>
              <w:suppressLineNumbers w:val="0"/>
              <w:autoSpaceDE w:val="0"/>
              <w:autoSpaceDN w:val="0"/>
              <w:spacing w:before="0" w:beforeAutospacing="0" w:after="0" w:afterAutospacing="0" w:line="360" w:lineRule="auto"/>
              <w:ind w:left="0" w:right="0"/>
              <w:jc w:val="center"/>
              <w:rPr>
                <w:rFonts w:hint="eastAsia" w:ascii="宋体" w:hAnsi="宋体" w:eastAsia="宋体" w:cs="宋体"/>
                <w:b w:val="0"/>
                <w:bCs w:val="0"/>
                <w:color w:val="000000"/>
                <w:kern w:val="2"/>
                <w:sz w:val="24"/>
                <w:szCs w:val="24"/>
                <w:lang w:val="en-US" w:eastAsia="zh-CN" w:bidi="ar"/>
              </w:rPr>
            </w:pPr>
            <w:r>
              <w:rPr>
                <w:rFonts w:hint="eastAsia" w:ascii="宋体" w:hAnsi="宋体" w:eastAsia="宋体" w:cs="宋体"/>
                <w:b w:val="0"/>
                <w:bCs w:val="0"/>
                <w:color w:val="000000"/>
                <w:kern w:val="2"/>
                <w:sz w:val="24"/>
                <w:szCs w:val="24"/>
                <w:lang w:val="en-US" w:eastAsia="zh-CN" w:bidi="ar"/>
              </w:rPr>
              <w:t>3</w:t>
            </w:r>
          </w:p>
        </w:tc>
        <w:tc>
          <w:tcPr>
            <w:tcW w:w="1517" w:type="dxa"/>
            <w:tcBorders>
              <w:top w:val="single" w:color="auto" w:sz="4" w:space="0"/>
              <w:left w:val="single" w:color="auto" w:sz="4" w:space="0"/>
              <w:bottom w:val="single" w:color="auto" w:sz="4" w:space="0"/>
              <w:right w:val="single" w:color="auto" w:sz="4" w:space="0"/>
            </w:tcBorders>
            <w:noWrap w:val="0"/>
            <w:vAlign w:val="center"/>
          </w:tcPr>
          <w:p w14:paraId="3678221D">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 w:val="0"/>
                <w:bCs w:val="0"/>
                <w:color w:val="000000"/>
                <w:sz w:val="24"/>
                <w:szCs w:val="24"/>
                <w:lang w:val="en-US"/>
              </w:rPr>
            </w:pPr>
          </w:p>
        </w:tc>
        <w:tc>
          <w:tcPr>
            <w:tcW w:w="1400" w:type="dxa"/>
            <w:tcBorders>
              <w:top w:val="single" w:color="auto" w:sz="4" w:space="0"/>
              <w:left w:val="single" w:color="auto" w:sz="4" w:space="0"/>
              <w:bottom w:val="single" w:color="auto" w:sz="4" w:space="0"/>
              <w:right w:val="single" w:color="auto" w:sz="4" w:space="0"/>
            </w:tcBorders>
            <w:noWrap w:val="0"/>
            <w:vAlign w:val="center"/>
          </w:tcPr>
          <w:p w14:paraId="478442C3">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 w:val="0"/>
                <w:bCs w:val="0"/>
                <w:color w:val="000000"/>
                <w:sz w:val="24"/>
                <w:szCs w:val="24"/>
                <w:lang w:val="en-US"/>
              </w:rPr>
            </w:pPr>
          </w:p>
        </w:tc>
        <w:tc>
          <w:tcPr>
            <w:tcW w:w="1116" w:type="dxa"/>
            <w:tcBorders>
              <w:top w:val="single" w:color="auto" w:sz="4" w:space="0"/>
              <w:left w:val="single" w:color="auto" w:sz="4" w:space="0"/>
              <w:bottom w:val="single" w:color="auto" w:sz="4" w:space="0"/>
              <w:right w:val="single" w:color="auto" w:sz="4" w:space="0"/>
            </w:tcBorders>
            <w:noWrap w:val="0"/>
            <w:vAlign w:val="center"/>
          </w:tcPr>
          <w:p w14:paraId="4AEC26E3">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 w:val="0"/>
                <w:bCs w:val="0"/>
                <w:color w:val="000000"/>
                <w:sz w:val="24"/>
                <w:szCs w:val="24"/>
                <w:lang w:val="en-US"/>
              </w:rPr>
            </w:pPr>
          </w:p>
        </w:tc>
        <w:tc>
          <w:tcPr>
            <w:tcW w:w="717" w:type="dxa"/>
            <w:tcBorders>
              <w:top w:val="single" w:color="auto" w:sz="4" w:space="0"/>
              <w:left w:val="single" w:color="auto" w:sz="4" w:space="0"/>
              <w:bottom w:val="single" w:color="auto" w:sz="4" w:space="0"/>
              <w:right w:val="single" w:color="auto" w:sz="4" w:space="0"/>
            </w:tcBorders>
            <w:noWrap w:val="0"/>
            <w:vAlign w:val="center"/>
          </w:tcPr>
          <w:p w14:paraId="179992F9">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 w:val="0"/>
                <w:bCs w:val="0"/>
                <w:color w:val="000000"/>
                <w:sz w:val="24"/>
                <w:szCs w:val="24"/>
                <w:lang w:val="en-US"/>
              </w:rPr>
            </w:pPr>
          </w:p>
        </w:tc>
        <w:tc>
          <w:tcPr>
            <w:tcW w:w="750" w:type="dxa"/>
            <w:tcBorders>
              <w:top w:val="single" w:color="auto" w:sz="4" w:space="0"/>
              <w:left w:val="single" w:color="auto" w:sz="4" w:space="0"/>
              <w:bottom w:val="single" w:color="auto" w:sz="4" w:space="0"/>
              <w:right w:val="single" w:color="auto" w:sz="4" w:space="0"/>
            </w:tcBorders>
            <w:noWrap w:val="0"/>
            <w:vAlign w:val="center"/>
          </w:tcPr>
          <w:p w14:paraId="2921AE86">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 w:val="0"/>
                <w:bCs w:val="0"/>
                <w:color w:val="000000"/>
                <w:sz w:val="24"/>
                <w:szCs w:val="24"/>
                <w:lang w:val="en-US"/>
              </w:rPr>
            </w:pPr>
          </w:p>
        </w:tc>
        <w:tc>
          <w:tcPr>
            <w:tcW w:w="1294" w:type="dxa"/>
            <w:tcBorders>
              <w:top w:val="single" w:color="auto" w:sz="4" w:space="0"/>
              <w:left w:val="single" w:color="auto" w:sz="4" w:space="0"/>
              <w:bottom w:val="single" w:color="auto" w:sz="4" w:space="0"/>
              <w:right w:val="single" w:color="auto" w:sz="4" w:space="0"/>
            </w:tcBorders>
            <w:noWrap w:val="0"/>
            <w:vAlign w:val="center"/>
          </w:tcPr>
          <w:p w14:paraId="432541CB">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 w:val="0"/>
                <w:bCs w:val="0"/>
                <w:color w:val="000000"/>
                <w:sz w:val="24"/>
                <w:szCs w:val="24"/>
                <w:lang w:val="en-US"/>
              </w:rPr>
            </w:pPr>
          </w:p>
        </w:tc>
        <w:tc>
          <w:tcPr>
            <w:tcW w:w="1423" w:type="dxa"/>
            <w:tcBorders>
              <w:top w:val="single" w:color="auto" w:sz="4" w:space="0"/>
              <w:left w:val="single" w:color="auto" w:sz="4" w:space="0"/>
              <w:bottom w:val="single" w:color="auto" w:sz="4" w:space="0"/>
              <w:right w:val="single" w:color="auto" w:sz="4" w:space="0"/>
            </w:tcBorders>
            <w:noWrap w:val="0"/>
            <w:vAlign w:val="center"/>
          </w:tcPr>
          <w:p w14:paraId="01FDFF2C">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 w:val="0"/>
                <w:bCs w:val="0"/>
                <w:color w:val="000000"/>
                <w:sz w:val="24"/>
                <w:szCs w:val="24"/>
                <w:lang w:val="en-US"/>
              </w:rPr>
            </w:pPr>
          </w:p>
        </w:tc>
        <w:tc>
          <w:tcPr>
            <w:tcW w:w="1048" w:type="dxa"/>
            <w:tcBorders>
              <w:top w:val="single" w:color="auto" w:sz="4" w:space="0"/>
              <w:left w:val="single" w:color="auto" w:sz="4" w:space="0"/>
              <w:bottom w:val="single" w:color="auto" w:sz="4" w:space="0"/>
              <w:right w:val="single" w:color="auto" w:sz="4" w:space="0"/>
            </w:tcBorders>
            <w:noWrap w:val="0"/>
            <w:vAlign w:val="center"/>
          </w:tcPr>
          <w:p w14:paraId="28AECCC1">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b w:val="0"/>
                <w:bCs w:val="0"/>
                <w:color w:val="000000"/>
                <w:sz w:val="24"/>
                <w:szCs w:val="24"/>
                <w:lang w:val="en-US"/>
              </w:rPr>
            </w:pPr>
          </w:p>
        </w:tc>
      </w:tr>
      <w:tr w14:paraId="3518CB67">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48" w:hRule="atLeast"/>
          <w:jc w:val="center"/>
        </w:trPr>
        <w:tc>
          <w:tcPr>
            <w:tcW w:w="9960" w:type="dxa"/>
            <w:gridSpan w:val="9"/>
            <w:tcBorders>
              <w:top w:val="single" w:color="auto" w:sz="4" w:space="0"/>
              <w:left w:val="single" w:color="auto" w:sz="4" w:space="0"/>
              <w:bottom w:val="single" w:color="auto" w:sz="4" w:space="0"/>
              <w:right w:val="single" w:color="auto" w:sz="4" w:space="0"/>
            </w:tcBorders>
            <w:noWrap w:val="0"/>
            <w:vAlign w:val="center"/>
          </w:tcPr>
          <w:p w14:paraId="4EFA3C03">
            <w:pPr>
              <w:keepNext w:val="0"/>
              <w:keepLines w:val="0"/>
              <w:widowControl w:val="0"/>
              <w:suppressLineNumbers w:val="0"/>
              <w:spacing w:before="0" w:beforeAutospacing="0" w:after="0" w:afterAutospacing="0" w:line="360" w:lineRule="auto"/>
              <w:ind w:left="0" w:right="0" w:firstLine="120" w:firstLineChars="50"/>
              <w:jc w:val="both"/>
              <w:rPr>
                <w:rFonts w:hint="eastAsia" w:ascii="宋体" w:hAnsi="宋体" w:eastAsia="宋体" w:cs="宋体"/>
                <w:b w:val="0"/>
                <w:bCs w:val="0"/>
                <w:color w:val="000000"/>
                <w:kern w:val="2"/>
                <w:sz w:val="24"/>
                <w:szCs w:val="24"/>
                <w:lang w:val="en-US" w:eastAsia="zh-CN" w:bidi="ar"/>
              </w:rPr>
            </w:pPr>
            <w:r>
              <w:rPr>
                <w:rFonts w:hint="eastAsia" w:ascii="宋体" w:hAnsi="宋体" w:eastAsia="宋体" w:cs="宋体"/>
                <w:b w:val="0"/>
                <w:bCs w:val="0"/>
                <w:color w:val="000000"/>
                <w:kern w:val="2"/>
                <w:sz w:val="24"/>
                <w:szCs w:val="24"/>
                <w:lang w:val="en-US" w:eastAsia="zh-CN" w:bidi="ar"/>
              </w:rPr>
              <w:t>总计：人民币（大写）     元整                 （小写）     元</w:t>
            </w:r>
          </w:p>
        </w:tc>
      </w:tr>
    </w:tbl>
    <w:p w14:paraId="4F5FE018">
      <w:pPr>
        <w:spacing w:line="360" w:lineRule="auto"/>
        <w:ind w:firstLine="480" w:firstLineChars="20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本合同为</w:t>
      </w:r>
      <w:r>
        <w:rPr>
          <w:rFonts w:hint="eastAsia" w:ascii="宋体" w:hAnsi="宋体" w:eastAsia="宋体" w:cs="宋体"/>
          <w:b w:val="0"/>
          <w:bCs w:val="0"/>
          <w:i w:val="0"/>
          <w:iCs w:val="0"/>
          <w:color w:val="auto"/>
          <w:sz w:val="24"/>
          <w:szCs w:val="24"/>
          <w:u w:val="single"/>
          <w:lang w:val="en-US" w:eastAsia="zh-CN"/>
        </w:rPr>
        <w:t>固定总价/固定单价</w:t>
      </w:r>
      <w:r>
        <w:rPr>
          <w:rFonts w:hint="eastAsia" w:ascii="宋体" w:hAnsi="宋体" w:eastAsia="宋体" w:cs="宋体"/>
          <w:b w:val="0"/>
          <w:bCs w:val="0"/>
          <w:color w:val="auto"/>
          <w:sz w:val="24"/>
          <w:szCs w:val="24"/>
          <w:lang w:val="en-US" w:eastAsia="zh-CN"/>
        </w:rPr>
        <w:t>，</w:t>
      </w:r>
      <w:r>
        <w:rPr>
          <w:rFonts w:hint="eastAsia" w:ascii="宋体" w:hAnsi="宋体" w:eastAsia="宋体" w:cs="宋体"/>
          <w:b w:val="0"/>
          <w:bCs w:val="0"/>
          <w:color w:val="auto"/>
          <w:sz w:val="24"/>
          <w:szCs w:val="24"/>
        </w:rPr>
        <w:t>上述合同</w:t>
      </w:r>
      <w:r>
        <w:rPr>
          <w:rFonts w:hint="eastAsia" w:ascii="宋体" w:hAnsi="宋体" w:eastAsia="宋体" w:cs="宋体"/>
          <w:b w:val="0"/>
          <w:bCs w:val="0"/>
          <w:color w:val="auto"/>
          <w:sz w:val="24"/>
          <w:szCs w:val="24"/>
          <w:lang w:val="en-US" w:eastAsia="zh-CN"/>
        </w:rPr>
        <w:t>价格</w:t>
      </w:r>
      <w:r>
        <w:rPr>
          <w:rFonts w:hint="eastAsia" w:ascii="宋体" w:hAnsi="宋体" w:eastAsia="宋体" w:cs="宋体"/>
          <w:b w:val="0"/>
          <w:bCs w:val="0"/>
          <w:color w:val="auto"/>
          <w:sz w:val="24"/>
          <w:szCs w:val="24"/>
        </w:rPr>
        <w:t>包括但不限于以下全部项目：货物供给、货物包装、运输费、装卸费、安装调试费、税金、相关手续费、保修费和保险等的全部费用。乙方应保证甲方除支付合同约定货款之外无需再行支付其他任何费用和款项。</w:t>
      </w:r>
    </w:p>
    <w:p w14:paraId="7A177EB9">
      <w:pPr>
        <w:spacing w:line="360" w:lineRule="auto"/>
        <w:ind w:firstLine="480" w:firstLineChars="20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 xml:space="preserve">价格清单表是基于乙方在完全理解本项目材料所需为前提，同时甲方对清单中的名称、规格、材质及数量等没有校对的义务，乙方在合同有效期内不得对清单的综合费用提出任何费用的增加。 </w:t>
      </w:r>
    </w:p>
    <w:p w14:paraId="3013C4BD">
      <w:pPr>
        <w:spacing w:line="360" w:lineRule="auto"/>
        <w:ind w:firstLine="480" w:firstLineChars="20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本协议项下的产品规格、参数等内容，必须与招投标文件保持一致，任何一方不得私自更改，如在合同履行过程中，出现合同中约定的产品规格、参数等内容与招投标文件不一致的，以招投标文件规定的内容为准。</w:t>
      </w:r>
    </w:p>
    <w:p w14:paraId="458BEDC0">
      <w:pPr>
        <w:spacing w:line="360" w:lineRule="auto"/>
        <w:ind w:firstLine="480" w:firstLineChars="200"/>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rPr>
        <w:t>本合同以美元计价，双方明确，按照第一次购汇当日的银行汇卖价，即购汇凭单上的购汇汇率，作为与医院结算的购汇汇率。</w:t>
      </w:r>
      <w:r>
        <w:rPr>
          <w:rFonts w:hint="eastAsia" w:ascii="宋体" w:hAnsi="宋体" w:eastAsia="宋体" w:cs="宋体"/>
          <w:b w:val="0"/>
          <w:bCs w:val="0"/>
          <w:color w:val="auto"/>
          <w:sz w:val="24"/>
          <w:szCs w:val="24"/>
          <w:lang w:val="en-US" w:eastAsia="zh-CN"/>
        </w:rPr>
        <w:t>甲乙双方确认合同总价受开标当日汇率计算的人民币报价限制，超出金额则无效。</w:t>
      </w:r>
    </w:p>
    <w:p w14:paraId="31AC99D1">
      <w:pPr>
        <w:spacing w:line="360" w:lineRule="auto"/>
        <w:rPr>
          <w:rStyle w:val="37"/>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二、制造商及原产地</w:t>
      </w:r>
    </w:p>
    <w:p w14:paraId="611288C4">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 xml:space="preserve">    制造商：              </w:t>
      </w:r>
    </w:p>
    <w:p w14:paraId="3AFEB97C">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 xml:space="preserve">    原产地：</w:t>
      </w:r>
    </w:p>
    <w:p w14:paraId="773EAD0A">
      <w:pPr>
        <w:spacing w:line="360" w:lineRule="auto"/>
        <w:rPr>
          <w:rFonts w:hint="eastAsia" w:ascii="宋体" w:hAnsi="宋体" w:eastAsia="宋体" w:cs="宋体"/>
          <w:b w:val="0"/>
          <w:bCs w:val="0"/>
          <w:color w:val="auto"/>
          <w:sz w:val="24"/>
          <w:szCs w:val="24"/>
          <w:u w:val="single"/>
        </w:rPr>
      </w:pPr>
      <w:r>
        <w:rPr>
          <w:rFonts w:hint="eastAsia" w:ascii="宋体" w:hAnsi="宋体" w:eastAsia="宋体" w:cs="宋体"/>
          <w:b w:val="0"/>
          <w:bCs w:val="0"/>
          <w:color w:val="auto"/>
          <w:sz w:val="24"/>
          <w:szCs w:val="24"/>
        </w:rPr>
        <w:t>三、系统配置：详见附件</w:t>
      </w:r>
    </w:p>
    <w:p w14:paraId="470E1245">
      <w:pPr>
        <w:spacing w:line="360" w:lineRule="auto"/>
        <w:ind w:left="422" w:hanging="480" w:hangingChars="20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四、随机的必备品、配件、工具及其数量：乙方应按产品说明书和装箱单及出厂要求配备必须的备品、配件和专用工具。</w:t>
      </w:r>
    </w:p>
    <w:p w14:paraId="15DAFB3B">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五、交货期、地点、</w:t>
      </w:r>
      <w:r>
        <w:rPr>
          <w:rFonts w:hint="eastAsia" w:ascii="宋体" w:hAnsi="宋体" w:eastAsia="宋体" w:cs="宋体"/>
          <w:b w:val="0"/>
          <w:bCs w:val="0"/>
          <w:color w:val="auto"/>
          <w:sz w:val="24"/>
          <w:szCs w:val="24"/>
          <w:lang w:val="en-US" w:eastAsia="zh-CN"/>
        </w:rPr>
        <w:t>售后服务</w:t>
      </w:r>
      <w:r>
        <w:rPr>
          <w:rFonts w:hint="eastAsia" w:ascii="宋体" w:hAnsi="宋体" w:eastAsia="宋体" w:cs="宋体"/>
          <w:b w:val="0"/>
          <w:bCs w:val="0"/>
          <w:color w:val="auto"/>
          <w:sz w:val="24"/>
          <w:szCs w:val="24"/>
        </w:rPr>
        <w:t>期：</w:t>
      </w:r>
    </w:p>
    <w:p w14:paraId="40D4E1AF">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a）交货期：自</w:t>
      </w:r>
      <w:r>
        <w:rPr>
          <w:rFonts w:hint="eastAsia" w:ascii="宋体" w:hAnsi="宋体" w:eastAsia="宋体" w:cs="宋体"/>
          <w:b w:val="0"/>
          <w:bCs w:val="0"/>
          <w:color w:val="auto"/>
          <w:sz w:val="24"/>
          <w:szCs w:val="24"/>
          <w:lang w:eastAsia="zh-CN"/>
        </w:rPr>
        <w:t>合同签订</w:t>
      </w:r>
      <w:r>
        <w:rPr>
          <w:rFonts w:hint="eastAsia" w:ascii="宋体" w:hAnsi="宋体" w:eastAsia="宋体" w:cs="宋体"/>
          <w:b w:val="0"/>
          <w:bCs w:val="0"/>
          <w:color w:val="auto"/>
          <w:sz w:val="24"/>
          <w:szCs w:val="24"/>
        </w:rPr>
        <w:t>之日起</w:t>
      </w:r>
      <w:r>
        <w:rPr>
          <w:rFonts w:hint="eastAsia" w:ascii="宋体" w:hAnsi="宋体" w:eastAsia="宋体" w:cs="宋体"/>
          <w:b w:val="0"/>
          <w:bCs w:val="0"/>
          <w:color w:val="auto"/>
          <w:sz w:val="24"/>
          <w:szCs w:val="24"/>
          <w:u w:val="single"/>
        </w:rPr>
        <w:t xml:space="preserve">     </w:t>
      </w:r>
      <w:r>
        <w:rPr>
          <w:rFonts w:hint="eastAsia" w:ascii="宋体" w:hAnsi="宋体" w:eastAsia="宋体" w:cs="宋体"/>
          <w:b w:val="0"/>
          <w:bCs w:val="0"/>
          <w:color w:val="auto"/>
          <w:sz w:val="24"/>
          <w:szCs w:val="24"/>
        </w:rPr>
        <w:t>天内（按</w:t>
      </w:r>
      <w:r>
        <w:rPr>
          <w:rFonts w:hint="eastAsia" w:ascii="宋体" w:hAnsi="宋体" w:eastAsia="宋体" w:cs="宋体"/>
          <w:b w:val="0"/>
          <w:bCs w:val="0"/>
          <w:color w:val="auto"/>
          <w:sz w:val="24"/>
          <w:szCs w:val="24"/>
          <w:lang w:eastAsia="zh-CN"/>
        </w:rPr>
        <w:t>合同签订</w:t>
      </w:r>
      <w:r>
        <w:rPr>
          <w:rFonts w:hint="eastAsia" w:ascii="宋体" w:hAnsi="宋体" w:eastAsia="宋体" w:cs="宋体"/>
          <w:b w:val="0"/>
          <w:bCs w:val="0"/>
          <w:color w:val="auto"/>
          <w:sz w:val="24"/>
          <w:szCs w:val="24"/>
        </w:rPr>
        <w:t>之日算起），将</w:t>
      </w:r>
      <w:r>
        <w:rPr>
          <w:rFonts w:hint="eastAsia" w:ascii="宋体" w:hAnsi="宋体" w:eastAsia="宋体" w:cs="宋体"/>
          <w:b w:val="0"/>
          <w:bCs w:val="0"/>
          <w:color w:val="auto"/>
          <w:sz w:val="24"/>
          <w:szCs w:val="24"/>
          <w:lang w:eastAsia="zh-CN"/>
        </w:rPr>
        <w:t>标的物</w:t>
      </w:r>
      <w:r>
        <w:rPr>
          <w:rFonts w:hint="eastAsia" w:ascii="宋体" w:hAnsi="宋体" w:eastAsia="宋体" w:cs="宋体"/>
          <w:b w:val="0"/>
          <w:bCs w:val="0"/>
          <w:color w:val="auto"/>
          <w:sz w:val="24"/>
          <w:szCs w:val="24"/>
        </w:rPr>
        <w:t>运送至甲方指定地点，并负责完成安装调试，配合甲方完成验收。</w:t>
      </w:r>
    </w:p>
    <w:p w14:paraId="41AA4061">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b）交货地点：甲方指定。</w:t>
      </w:r>
    </w:p>
    <w:p w14:paraId="2DB6198C">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c）</w:t>
      </w:r>
      <w:r>
        <w:rPr>
          <w:rFonts w:hint="eastAsia" w:ascii="宋体" w:hAnsi="宋体" w:eastAsia="宋体" w:cs="宋体"/>
          <w:b w:val="0"/>
          <w:bCs w:val="0"/>
          <w:color w:val="auto"/>
          <w:sz w:val="24"/>
          <w:szCs w:val="24"/>
          <w:lang w:val="en-US" w:eastAsia="zh-CN"/>
        </w:rPr>
        <w:t>保修期</w:t>
      </w:r>
      <w:r>
        <w:rPr>
          <w:rFonts w:hint="eastAsia" w:ascii="宋体" w:hAnsi="宋体" w:eastAsia="宋体" w:cs="宋体"/>
          <w:b w:val="0"/>
          <w:bCs w:val="0"/>
          <w:color w:val="auto"/>
          <w:sz w:val="24"/>
          <w:szCs w:val="24"/>
        </w:rPr>
        <w:t>：系统安装验收合格之日起</w:t>
      </w:r>
      <w:r>
        <w:rPr>
          <w:rFonts w:hint="eastAsia" w:ascii="宋体" w:hAnsi="宋体" w:eastAsia="宋体" w:cs="宋体"/>
          <w:b w:val="0"/>
          <w:bCs w:val="0"/>
          <w:color w:val="auto"/>
          <w:sz w:val="24"/>
          <w:szCs w:val="24"/>
          <w:u w:val="single"/>
        </w:rPr>
        <w:t xml:space="preserve">  </w:t>
      </w:r>
      <w:r>
        <w:rPr>
          <w:rFonts w:hint="eastAsia" w:ascii="宋体" w:hAnsi="宋体" w:eastAsia="宋体" w:cs="宋体"/>
          <w:b w:val="0"/>
          <w:bCs w:val="0"/>
          <w:color w:val="auto"/>
          <w:sz w:val="24"/>
          <w:szCs w:val="24"/>
          <w:u w:val="single"/>
          <w:lang w:val="en-US" w:eastAsia="zh-CN"/>
        </w:rPr>
        <w:t xml:space="preserve">  </w:t>
      </w:r>
      <w:r>
        <w:rPr>
          <w:rFonts w:hint="eastAsia" w:ascii="宋体" w:hAnsi="宋体" w:eastAsia="宋体" w:cs="宋体"/>
          <w:b w:val="0"/>
          <w:bCs w:val="0"/>
          <w:color w:val="auto"/>
          <w:sz w:val="24"/>
          <w:szCs w:val="24"/>
          <w:u w:val="single"/>
        </w:rPr>
        <w:t xml:space="preserve"> </w:t>
      </w:r>
      <w:r>
        <w:rPr>
          <w:rFonts w:hint="eastAsia" w:ascii="宋体" w:hAnsi="宋体" w:eastAsia="宋体" w:cs="宋体"/>
          <w:b w:val="0"/>
          <w:bCs w:val="0"/>
          <w:color w:val="auto"/>
          <w:sz w:val="24"/>
          <w:szCs w:val="24"/>
        </w:rPr>
        <w:t>年，</w:t>
      </w:r>
      <w:r>
        <w:rPr>
          <w:rFonts w:hint="eastAsia" w:ascii="宋体" w:hAnsi="宋体" w:eastAsia="宋体" w:cs="宋体"/>
          <w:b w:val="0"/>
          <w:bCs w:val="0"/>
          <w:color w:val="auto"/>
          <w:sz w:val="24"/>
          <w:szCs w:val="24"/>
          <w:lang w:val="en-US" w:eastAsia="zh-CN"/>
        </w:rPr>
        <w:t>乙方</w:t>
      </w:r>
      <w:r>
        <w:rPr>
          <w:rFonts w:hint="eastAsia" w:ascii="宋体" w:hAnsi="宋体" w:eastAsia="宋体" w:cs="宋体"/>
          <w:b w:val="0"/>
          <w:bCs w:val="0"/>
          <w:color w:val="auto"/>
          <w:sz w:val="24"/>
          <w:szCs w:val="24"/>
        </w:rPr>
        <w:t>承担</w:t>
      </w:r>
      <w:r>
        <w:rPr>
          <w:rFonts w:hint="eastAsia" w:ascii="宋体" w:hAnsi="宋体" w:eastAsia="宋体" w:cs="宋体"/>
          <w:b w:val="0"/>
          <w:bCs w:val="0"/>
          <w:color w:val="auto"/>
          <w:sz w:val="24"/>
          <w:szCs w:val="24"/>
          <w:lang w:val="en-US" w:eastAsia="zh-CN"/>
        </w:rPr>
        <w:t>保修期</w:t>
      </w:r>
      <w:r>
        <w:rPr>
          <w:rFonts w:hint="eastAsia" w:ascii="宋体" w:hAnsi="宋体" w:eastAsia="宋体" w:cs="宋体"/>
          <w:b w:val="0"/>
          <w:bCs w:val="0"/>
          <w:color w:val="auto"/>
          <w:sz w:val="24"/>
          <w:szCs w:val="24"/>
        </w:rPr>
        <w:t>内设备任何故障产生的费用。</w:t>
      </w:r>
    </w:p>
    <w:p w14:paraId="2F600DC7">
      <w:pPr>
        <w:spacing w:line="360" w:lineRule="auto"/>
        <w:rPr>
          <w:rFonts w:hint="eastAsia" w:ascii="宋体" w:hAnsi="宋体" w:eastAsia="宋体" w:cs="宋体"/>
          <w:b w:val="0"/>
          <w:bCs w:val="0"/>
          <w:color w:val="auto"/>
          <w:sz w:val="24"/>
          <w:szCs w:val="24"/>
          <w:lang w:eastAsia="zh-CN"/>
        </w:rPr>
      </w:pPr>
      <w:r>
        <w:rPr>
          <w:rFonts w:hint="eastAsia" w:ascii="宋体" w:hAnsi="宋体" w:eastAsia="宋体" w:cs="宋体"/>
          <w:b w:val="0"/>
          <w:bCs w:val="0"/>
          <w:color w:val="auto"/>
          <w:sz w:val="24"/>
          <w:szCs w:val="24"/>
        </w:rPr>
        <w:t>六、售后服务：详见附件，需涵盖以下条款</w:t>
      </w:r>
    </w:p>
    <w:p w14:paraId="3B8F7B07">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1、保修期间，乙方需提供免费的维修及零配件更换</w:t>
      </w:r>
      <w:r>
        <w:rPr>
          <w:rFonts w:hint="eastAsia" w:ascii="宋体" w:hAnsi="宋体" w:eastAsia="宋体" w:cs="宋体"/>
          <w:b w:val="0"/>
          <w:bCs w:val="0"/>
          <w:color w:val="auto"/>
          <w:sz w:val="24"/>
          <w:szCs w:val="24"/>
          <w:lang w:eastAsia="zh-CN"/>
        </w:rPr>
        <w:t>，提供整机（包含附件）原厂（</w:t>
      </w:r>
      <w:r>
        <w:rPr>
          <w:rFonts w:hint="eastAsia" w:ascii="宋体" w:hAnsi="宋体" w:eastAsia="宋体" w:cs="宋体"/>
          <w:b w:val="0"/>
          <w:bCs w:val="0"/>
          <w:color w:val="auto"/>
          <w:sz w:val="24"/>
          <w:szCs w:val="24"/>
          <w:lang w:val="en-US" w:eastAsia="zh-CN"/>
        </w:rPr>
        <w:t>免费</w:t>
      </w:r>
      <w:r>
        <w:rPr>
          <w:rFonts w:hint="eastAsia" w:ascii="宋体" w:hAnsi="宋体" w:eastAsia="宋体" w:cs="宋体"/>
          <w:b w:val="0"/>
          <w:bCs w:val="0"/>
          <w:color w:val="auto"/>
          <w:sz w:val="24"/>
          <w:szCs w:val="24"/>
          <w:lang w:eastAsia="zh-CN"/>
        </w:rPr>
        <w:t>）保修服务</w:t>
      </w:r>
      <w:r>
        <w:rPr>
          <w:rFonts w:hint="eastAsia" w:ascii="宋体" w:hAnsi="宋体" w:eastAsia="宋体" w:cs="宋体"/>
          <w:b w:val="0"/>
          <w:bCs w:val="0"/>
          <w:color w:val="auto"/>
          <w:sz w:val="24"/>
          <w:szCs w:val="24"/>
        </w:rPr>
        <w:t>；在甲方发出要求服务通知的24小时内，乙方指派的服务人员必须到达用户方现场，对设备出现的较大的问题，解决时间不超过3个日历日。</w:t>
      </w:r>
    </w:p>
    <w:p w14:paraId="7CD6CB49">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2、乙方有义务向甲方提供合同项下设备使用期内的技术支持，包括技术咨询及技术人员的支持和零配件在设备使用寿命内的供应保证。对甲方无法排除的故障，乙方技术人员应在接到故障通知后24小时内无条件到达现场。</w:t>
      </w:r>
    </w:p>
    <w:p w14:paraId="4154CDAC">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3、设备如出现故障，乙方二小时内回应，二十四小时内排除故障，如一天不能解决处理的，应向甲方提供同类型的应急代用设备，如相同的事故出现两次将无偿更换新机或退回甲方货款。</w:t>
      </w:r>
    </w:p>
    <w:p w14:paraId="752B8CD5">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4、如设备维修调试后达不到合同或招投标文件规定的质量或技术指标要求，甲方有权提出退货，并要求乙方退回货款。</w:t>
      </w:r>
    </w:p>
    <w:p w14:paraId="13DA28E6">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5、售后服务期外，终身免费维修，定期保养，最优惠提供零配件、易损件和耗材。</w:t>
      </w:r>
    </w:p>
    <w:p w14:paraId="0499B8C5">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6、疆内设有常年维修点或提供常驻维修人员。</w:t>
      </w:r>
    </w:p>
    <w:p w14:paraId="771B77D5">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7、乙方接到甲方通知后未依照约定时间到场提供维修（包括零配件更换）保养等售后服务的，甲方有权另行聘请专业人员进行维修处理，产生的合理费用在</w:t>
      </w:r>
      <w:r>
        <w:rPr>
          <w:rFonts w:hint="eastAsia" w:ascii="宋体" w:hAnsi="宋体" w:eastAsia="宋体" w:cs="宋体"/>
          <w:b w:val="0"/>
          <w:bCs w:val="0"/>
          <w:color w:val="auto"/>
          <w:sz w:val="24"/>
          <w:szCs w:val="24"/>
          <w:lang w:val="en-US" w:eastAsia="zh-CN"/>
        </w:rPr>
        <w:t>质量保函中</w:t>
      </w:r>
      <w:r>
        <w:rPr>
          <w:rFonts w:hint="eastAsia" w:ascii="宋体" w:hAnsi="宋体" w:eastAsia="宋体" w:cs="宋体"/>
          <w:b w:val="0"/>
          <w:bCs w:val="0"/>
          <w:color w:val="auto"/>
          <w:sz w:val="24"/>
          <w:szCs w:val="24"/>
        </w:rPr>
        <w:t>予以扣除，不足部分，乙方应予以补足。</w:t>
      </w:r>
    </w:p>
    <w:p w14:paraId="1ED4ADAD">
      <w:pPr>
        <w:spacing w:line="360" w:lineRule="auto"/>
        <w:rPr>
          <w:rFonts w:hint="eastAsia" w:ascii="宋体" w:hAnsi="宋体" w:eastAsia="宋体" w:cs="宋体"/>
          <w:b w:val="0"/>
          <w:bCs w:val="0"/>
          <w:color w:val="auto"/>
          <w:sz w:val="24"/>
          <w:szCs w:val="24"/>
          <w:lang w:eastAsia="zh-CN"/>
        </w:rPr>
      </w:pPr>
      <w:r>
        <w:rPr>
          <w:rFonts w:hint="eastAsia" w:ascii="宋体" w:hAnsi="宋体" w:eastAsia="宋体" w:cs="宋体"/>
          <w:b w:val="0"/>
          <w:bCs w:val="0"/>
          <w:color w:val="auto"/>
          <w:sz w:val="24"/>
          <w:szCs w:val="24"/>
          <w:lang w:val="en-US" w:eastAsia="zh-CN"/>
        </w:rPr>
        <w:t>8</w:t>
      </w:r>
      <w:r>
        <w:rPr>
          <w:rFonts w:hint="eastAsia" w:ascii="宋体" w:hAnsi="宋体" w:eastAsia="宋体" w:cs="宋体"/>
          <w:b w:val="0"/>
          <w:bCs w:val="0"/>
          <w:color w:val="auto"/>
          <w:sz w:val="24"/>
          <w:szCs w:val="24"/>
        </w:rPr>
        <w:t>、乙方应当按照附件及本约定履行售后服务义务，附件与本约定不一致的，以本约定为准</w:t>
      </w:r>
      <w:r>
        <w:rPr>
          <w:rFonts w:hint="eastAsia" w:ascii="宋体" w:hAnsi="宋体" w:eastAsia="宋体" w:cs="宋体"/>
          <w:b w:val="0"/>
          <w:bCs w:val="0"/>
          <w:color w:val="auto"/>
          <w:sz w:val="24"/>
          <w:szCs w:val="24"/>
          <w:lang w:eastAsia="zh-CN"/>
        </w:rPr>
        <w:t>。</w:t>
      </w:r>
    </w:p>
    <w:p w14:paraId="270FDB37">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七、付款方式：</w:t>
      </w:r>
    </w:p>
    <w:p w14:paraId="4AC34741">
      <w:pPr>
        <w:spacing w:line="360" w:lineRule="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1、合同签订后完成设备的到货、安装、调试，经甲方确认达到试运行标准后支付合同总金额的90%，</w:t>
      </w:r>
      <w:r>
        <w:rPr>
          <w:rFonts w:hint="eastAsia" w:ascii="宋体" w:hAnsi="宋体" w:eastAsia="宋体" w:cs="宋体"/>
          <w:b w:val="0"/>
          <w:bCs w:val="0"/>
          <w:color w:val="auto"/>
          <w:kern w:val="2"/>
          <w:sz w:val="24"/>
          <w:szCs w:val="24"/>
          <w:lang w:val="en-US" w:eastAsia="zh-CN" w:bidi="ar"/>
        </w:rPr>
        <w:t>即（人民币大写：</w:t>
      </w:r>
      <w:r>
        <w:rPr>
          <w:rFonts w:hint="eastAsia" w:ascii="宋体" w:hAnsi="宋体" w:eastAsia="宋体" w:cs="宋体"/>
          <w:b w:val="0"/>
          <w:bCs w:val="0"/>
          <w:color w:val="auto"/>
          <w:kern w:val="2"/>
          <w:sz w:val="24"/>
          <w:szCs w:val="24"/>
          <w:u w:val="single"/>
          <w:lang w:val="en-US" w:eastAsia="zh-CN" w:bidi="ar"/>
        </w:rPr>
        <w:t xml:space="preserve">         </w:t>
      </w:r>
      <w:r>
        <w:rPr>
          <w:rFonts w:hint="eastAsia" w:ascii="宋体" w:hAnsi="宋体" w:eastAsia="宋体" w:cs="宋体"/>
          <w:b w:val="0"/>
          <w:bCs w:val="0"/>
          <w:color w:val="auto"/>
          <w:kern w:val="2"/>
          <w:sz w:val="24"/>
          <w:szCs w:val="24"/>
          <w:lang w:val="en-US" w:eastAsia="zh-CN" w:bidi="ar"/>
        </w:rPr>
        <w:t>元整，小写：￥</w:t>
      </w:r>
      <w:r>
        <w:rPr>
          <w:rFonts w:hint="eastAsia" w:ascii="宋体" w:hAnsi="宋体" w:eastAsia="宋体" w:cs="宋体"/>
          <w:b w:val="0"/>
          <w:bCs w:val="0"/>
          <w:color w:val="auto"/>
          <w:kern w:val="2"/>
          <w:sz w:val="24"/>
          <w:szCs w:val="24"/>
          <w:u w:val="single"/>
          <w:lang w:val="en-US" w:eastAsia="zh-CN" w:bidi="ar"/>
        </w:rPr>
        <w:t xml:space="preserve">          </w:t>
      </w:r>
      <w:r>
        <w:rPr>
          <w:rFonts w:hint="eastAsia" w:ascii="宋体" w:hAnsi="宋体" w:eastAsia="宋体" w:cs="宋体"/>
          <w:b w:val="0"/>
          <w:bCs w:val="0"/>
          <w:color w:val="auto"/>
          <w:kern w:val="2"/>
          <w:sz w:val="24"/>
          <w:szCs w:val="24"/>
          <w:lang w:val="en-US" w:eastAsia="zh-CN" w:bidi="ar"/>
        </w:rPr>
        <w:t>元），</w:t>
      </w:r>
      <w:r>
        <w:rPr>
          <w:rFonts w:hint="eastAsia" w:ascii="宋体" w:hAnsi="宋体" w:eastAsia="宋体" w:cs="宋体"/>
          <w:b w:val="0"/>
          <w:bCs w:val="0"/>
          <w:color w:val="auto"/>
          <w:sz w:val="24"/>
          <w:szCs w:val="24"/>
          <w:lang w:val="en-US" w:eastAsia="zh-CN"/>
        </w:rPr>
        <w:t>达到验收标准后无息支付合同总金额10%，</w:t>
      </w:r>
      <w:r>
        <w:rPr>
          <w:rFonts w:hint="eastAsia" w:ascii="宋体" w:hAnsi="宋体" w:eastAsia="宋体" w:cs="宋体"/>
          <w:b w:val="0"/>
          <w:bCs w:val="0"/>
          <w:color w:val="auto"/>
          <w:kern w:val="2"/>
          <w:sz w:val="24"/>
          <w:szCs w:val="24"/>
          <w:lang w:val="en-US" w:eastAsia="zh-CN" w:bidi="ar"/>
        </w:rPr>
        <w:t>即（人民币大写：</w:t>
      </w:r>
      <w:r>
        <w:rPr>
          <w:rFonts w:hint="eastAsia" w:ascii="宋体" w:hAnsi="宋体" w:eastAsia="宋体" w:cs="宋体"/>
          <w:b w:val="0"/>
          <w:bCs w:val="0"/>
          <w:color w:val="auto"/>
          <w:kern w:val="2"/>
          <w:sz w:val="24"/>
          <w:szCs w:val="24"/>
          <w:u w:val="single"/>
          <w:lang w:val="en-US" w:eastAsia="zh-CN" w:bidi="ar"/>
        </w:rPr>
        <w:t xml:space="preserve">          </w:t>
      </w:r>
      <w:r>
        <w:rPr>
          <w:rFonts w:hint="eastAsia" w:ascii="宋体" w:hAnsi="宋体" w:eastAsia="宋体" w:cs="宋体"/>
          <w:b w:val="0"/>
          <w:bCs w:val="0"/>
          <w:color w:val="auto"/>
          <w:kern w:val="2"/>
          <w:sz w:val="24"/>
          <w:szCs w:val="24"/>
          <w:lang w:val="en-US" w:eastAsia="zh-CN" w:bidi="ar"/>
        </w:rPr>
        <w:t>元整，小写：￥</w:t>
      </w:r>
      <w:r>
        <w:rPr>
          <w:rFonts w:hint="eastAsia" w:ascii="宋体" w:hAnsi="宋体" w:eastAsia="宋体" w:cs="宋体"/>
          <w:b w:val="0"/>
          <w:bCs w:val="0"/>
          <w:color w:val="auto"/>
          <w:kern w:val="2"/>
          <w:sz w:val="24"/>
          <w:szCs w:val="24"/>
          <w:u w:val="single"/>
          <w:lang w:val="en-US" w:eastAsia="zh-CN" w:bidi="ar"/>
        </w:rPr>
        <w:t xml:space="preserve">          </w:t>
      </w:r>
      <w:r>
        <w:rPr>
          <w:rFonts w:hint="eastAsia" w:ascii="宋体" w:hAnsi="宋体" w:eastAsia="宋体" w:cs="宋体"/>
          <w:b w:val="0"/>
          <w:bCs w:val="0"/>
          <w:color w:val="auto"/>
          <w:kern w:val="2"/>
          <w:sz w:val="24"/>
          <w:szCs w:val="24"/>
          <w:lang w:val="en-US" w:eastAsia="zh-CN" w:bidi="ar"/>
        </w:rPr>
        <w:t>元）</w:t>
      </w:r>
      <w:r>
        <w:rPr>
          <w:rFonts w:hint="eastAsia" w:ascii="宋体" w:hAnsi="宋体" w:eastAsia="宋体" w:cs="宋体"/>
          <w:b w:val="0"/>
          <w:bCs w:val="0"/>
          <w:color w:val="auto"/>
          <w:sz w:val="24"/>
          <w:szCs w:val="24"/>
          <w:lang w:val="en-US" w:eastAsia="zh-CN"/>
        </w:rPr>
        <w:t>。</w:t>
      </w:r>
    </w:p>
    <w:p w14:paraId="1A9726A1">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2</w:t>
      </w:r>
      <w:r>
        <w:rPr>
          <w:rFonts w:hint="eastAsia" w:ascii="宋体" w:hAnsi="宋体" w:eastAsia="宋体" w:cs="宋体"/>
          <w:b w:val="0"/>
          <w:bCs w:val="0"/>
          <w:color w:val="auto"/>
          <w:sz w:val="24"/>
          <w:szCs w:val="24"/>
        </w:rPr>
        <w:t>、若签订委托代理进口协议，本合同约定的付款金额不需要甲方向乙方实际支付，实际付款由甲方通过委托代理进口协议向外贸代理商进行支付，届时，乙方不得再向甲方主张任何费用和款项，乙方与外贸代理商之间发生的一切经济法律纠纷，均与甲方无关。</w:t>
      </w:r>
    </w:p>
    <w:p w14:paraId="16CB0771">
      <w:pPr>
        <w:spacing w:line="360" w:lineRule="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3</w:t>
      </w:r>
      <w:r>
        <w:rPr>
          <w:rFonts w:hint="eastAsia" w:ascii="宋体" w:hAnsi="宋体" w:eastAsia="宋体" w:cs="宋体"/>
          <w:b w:val="0"/>
          <w:bCs w:val="0"/>
          <w:color w:val="auto"/>
          <w:sz w:val="24"/>
          <w:szCs w:val="24"/>
        </w:rPr>
        <w:t>、以上付款均需乙方在符合付款条件下，先向甲方提交真实合法有效且符合甲方财务做账要求的等额增值税发票并提出书面付款申请，由甲方财务审核通过后，按照甲方财务计划予以支付。</w:t>
      </w:r>
      <w:r>
        <w:rPr>
          <w:rFonts w:hint="eastAsia" w:ascii="宋体" w:hAnsi="宋体" w:eastAsia="宋体" w:cs="宋体"/>
          <w:b w:val="0"/>
          <w:bCs w:val="0"/>
          <w:color w:val="auto"/>
          <w:sz w:val="24"/>
          <w:szCs w:val="24"/>
          <w:lang w:val="en-US" w:eastAsia="zh-CN"/>
        </w:rPr>
        <w:t>否则甲方有权拒绝支付任何费用且不承担任何违约责任。</w:t>
      </w:r>
    </w:p>
    <w:p w14:paraId="6D7C8617">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4</w:t>
      </w:r>
      <w:r>
        <w:rPr>
          <w:rFonts w:hint="eastAsia" w:ascii="宋体" w:hAnsi="宋体" w:eastAsia="宋体" w:cs="宋体"/>
          <w:b w:val="0"/>
          <w:bCs w:val="0"/>
          <w:color w:val="auto"/>
          <w:sz w:val="24"/>
          <w:szCs w:val="24"/>
        </w:rPr>
        <w:t>、乙方银行账户信息：</w:t>
      </w:r>
    </w:p>
    <w:p w14:paraId="4FB0F3F5">
      <w:pPr>
        <w:spacing w:line="360" w:lineRule="auto"/>
        <w:ind w:firstLine="480" w:firstLineChars="20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 xml:space="preserve">开户行：                                  </w:t>
      </w:r>
    </w:p>
    <w:p w14:paraId="41591A6B">
      <w:pPr>
        <w:spacing w:line="360" w:lineRule="auto"/>
        <w:ind w:firstLine="480" w:firstLineChars="20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 xml:space="preserve">账户名称：                                                </w:t>
      </w:r>
    </w:p>
    <w:p w14:paraId="7807BE0A">
      <w:pPr>
        <w:spacing w:line="360" w:lineRule="auto"/>
        <w:ind w:firstLine="480" w:firstLineChars="20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 xml:space="preserve">银行账号：                                                    </w:t>
      </w:r>
    </w:p>
    <w:p w14:paraId="76851361">
      <w:pPr>
        <w:spacing w:line="360" w:lineRule="auto"/>
        <w:ind w:firstLine="480" w:firstLineChars="200"/>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 xml:space="preserve">甲方向以上账户付款，即为完成本合同项下对乙方相应的付款义务。乙方对上述账户信息的准确性和可用性承担全部责任。若上述账户状态或信息发生任何变更，乙方应提前7个工作日使甲方获悉，否则甲方不对乙方迟延收到或未能收到任何款项承担责任。  </w:t>
      </w:r>
    </w:p>
    <w:p w14:paraId="599DA676">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八、包装标准：</w:t>
      </w:r>
    </w:p>
    <w:p w14:paraId="1AA2A371">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1、乙方提供的全部标的物须采用相应标准的保护措施进行包装。这种包装应适于航空、海运和内陆运输，并有良好的防潮、防震、防锈和防野蛮装卸的保护措施，以确保标的物安全运抵交货地点。</w:t>
      </w:r>
    </w:p>
    <w:p w14:paraId="3C373FD9">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2、由于乙方包装或其防护措施不妥而引起标的物锈蚀、损坏和丢失的任何损失的责任或费用由乙方承担。</w:t>
      </w:r>
    </w:p>
    <w:p w14:paraId="1D5F1821">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3、除双方特殊约定以外，乙方提供的包装物费用包括在本合同总价中。</w:t>
      </w:r>
    </w:p>
    <w:p w14:paraId="1FA33DD0">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4、乙方负责将送至甲方指定地点的设备包装物从甲方工作场所中清除出去，不得给甲方工作人员或环境造成影响，否则将承担相应的责任，赔偿甲方的损失。</w:t>
      </w:r>
    </w:p>
    <w:p w14:paraId="0F9B9B50">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5、标的物在运输途中的安全问题均由乙方负责</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rPr>
        <w:t>在交货过程中，发生意外事故和故障损失，如撞、刮、裂、损等均由乙方承担责任；</w:t>
      </w:r>
    </w:p>
    <w:p w14:paraId="28A1BCCE">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九、技术参数：乙方负责提供标的物详细的中文版说明书、使用手册、维修手册及电路原理图等一切与该标的物的安装、维修、保养有关的技术图纸及文字资料。否则，甲方有权不予付款且不承担违约责任。乙方应同时提供该标的物彩页资料和公司、产品资质，并承担由此发生的全部费用。</w:t>
      </w:r>
    </w:p>
    <w:p w14:paraId="4C902F3B">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十、安装调试</w:t>
      </w:r>
      <w:r>
        <w:rPr>
          <w:rFonts w:hint="eastAsia" w:ascii="宋体" w:hAnsi="宋体" w:eastAsia="宋体" w:cs="宋体"/>
          <w:b w:val="0"/>
          <w:bCs w:val="0"/>
          <w:color w:val="auto"/>
          <w:sz w:val="24"/>
          <w:szCs w:val="24"/>
          <w:lang w:val="en-US" w:eastAsia="zh-CN"/>
        </w:rPr>
        <w:t>及试运行</w:t>
      </w:r>
      <w:r>
        <w:rPr>
          <w:rFonts w:hint="eastAsia" w:ascii="宋体" w:hAnsi="宋体" w:eastAsia="宋体" w:cs="宋体"/>
          <w:b w:val="0"/>
          <w:bCs w:val="0"/>
          <w:color w:val="auto"/>
          <w:sz w:val="24"/>
          <w:szCs w:val="24"/>
        </w:rPr>
        <w:t>：</w:t>
      </w:r>
    </w:p>
    <w:p w14:paraId="0BF2CD07">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1、乙方必须在合同签订后1周内将所有的安装调试条件、需甲方配合的事项以书面方式通知甲方；</w:t>
      </w:r>
    </w:p>
    <w:p w14:paraId="4AB926A1">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2、乙方负责标的物的运送、安装、调试、技术协助、校准、培训以及其他类似等工作，</w:t>
      </w:r>
      <w:r>
        <w:rPr>
          <w:rFonts w:hint="eastAsia" w:ascii="宋体" w:hAnsi="宋体" w:eastAsia="宋体" w:cs="宋体"/>
          <w:b w:val="0"/>
          <w:bCs w:val="0"/>
          <w:color w:val="auto"/>
          <w:sz w:val="24"/>
          <w:szCs w:val="24"/>
          <w:lang w:eastAsia="zh-CN"/>
        </w:rPr>
        <w:t>直至该</w:t>
      </w:r>
      <w:r>
        <w:rPr>
          <w:rFonts w:hint="eastAsia" w:ascii="宋体" w:hAnsi="宋体" w:eastAsia="宋体" w:cs="宋体"/>
          <w:b w:val="0"/>
          <w:bCs w:val="0"/>
          <w:color w:val="auto"/>
          <w:sz w:val="24"/>
          <w:szCs w:val="24"/>
          <w:lang w:val="en-US" w:eastAsia="zh-CN"/>
        </w:rPr>
        <w:t>标的物</w:t>
      </w:r>
      <w:r>
        <w:rPr>
          <w:rFonts w:hint="eastAsia" w:ascii="宋体" w:hAnsi="宋体" w:eastAsia="宋体" w:cs="宋体"/>
          <w:b w:val="0"/>
          <w:bCs w:val="0"/>
          <w:color w:val="auto"/>
          <w:sz w:val="24"/>
          <w:szCs w:val="24"/>
          <w:lang w:eastAsia="zh-CN"/>
        </w:rPr>
        <w:t>可以正常</w:t>
      </w:r>
      <w:r>
        <w:rPr>
          <w:rFonts w:hint="eastAsia" w:ascii="宋体" w:hAnsi="宋体" w:eastAsia="宋体" w:cs="宋体"/>
          <w:b w:val="0"/>
          <w:bCs w:val="0"/>
          <w:color w:val="auto"/>
          <w:sz w:val="24"/>
          <w:szCs w:val="24"/>
          <w:lang w:val="en-US" w:eastAsia="zh-CN"/>
        </w:rPr>
        <w:t>试运行</w:t>
      </w:r>
      <w:r>
        <w:rPr>
          <w:rFonts w:hint="eastAsia" w:ascii="宋体" w:hAnsi="宋体" w:eastAsia="宋体" w:cs="宋体"/>
          <w:b w:val="0"/>
          <w:bCs w:val="0"/>
          <w:color w:val="auto"/>
          <w:sz w:val="24"/>
          <w:szCs w:val="24"/>
        </w:rPr>
        <w:t xml:space="preserve">。 </w:t>
      </w:r>
    </w:p>
    <w:p w14:paraId="3FDCE1A9">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3、乙方应指派专</w:t>
      </w:r>
      <w:r>
        <w:rPr>
          <w:rFonts w:hint="eastAsia" w:ascii="宋体" w:hAnsi="宋体" w:eastAsia="宋体" w:cs="宋体"/>
          <w:b w:val="0"/>
          <w:bCs w:val="0"/>
          <w:color w:val="auto"/>
          <w:sz w:val="24"/>
          <w:szCs w:val="24"/>
          <w:lang w:val="en-US" w:eastAsia="zh-CN"/>
        </w:rPr>
        <w:t>业</w:t>
      </w:r>
      <w:r>
        <w:rPr>
          <w:rFonts w:hint="eastAsia" w:ascii="宋体" w:hAnsi="宋体" w:eastAsia="宋体" w:cs="宋体"/>
          <w:b w:val="0"/>
          <w:bCs w:val="0"/>
          <w:color w:val="auto"/>
          <w:sz w:val="24"/>
          <w:szCs w:val="24"/>
        </w:rPr>
        <w:t>的技术人员对甲方的设备维修人员及使用人员进行免费培训，确保维修人员能对设备进行日常维护和一般性故障的查找及故障的排除，确保使用人员能够熟练掌握设备的各项功能和操作，且上述费用已包含在合同总价中，甲方不再另行支付。</w:t>
      </w:r>
    </w:p>
    <w:p w14:paraId="770409C7">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 w:val="0"/>
          <w:bCs w:val="0"/>
          <w:color w:val="auto"/>
          <w:kern w:val="2"/>
          <w:sz w:val="24"/>
          <w:szCs w:val="24"/>
          <w:highlight w:val="none"/>
          <w:lang w:val="en-US" w:eastAsia="zh-CN" w:bidi="ar"/>
        </w:rPr>
      </w:pPr>
      <w:r>
        <w:rPr>
          <w:rFonts w:hint="eastAsia" w:ascii="宋体" w:hAnsi="宋体" w:eastAsia="宋体" w:cs="宋体"/>
          <w:b w:val="0"/>
          <w:bCs w:val="0"/>
          <w:color w:val="auto"/>
          <w:kern w:val="2"/>
          <w:sz w:val="24"/>
          <w:szCs w:val="24"/>
          <w:lang w:val="en-US" w:eastAsia="zh-CN" w:bidi="ar"/>
        </w:rPr>
        <w:t>4、在安装调试期间，因物件发生的事故及造成任何人身伤亡，由乙方承担全部责任责任。</w:t>
      </w:r>
      <w:r>
        <w:rPr>
          <w:rFonts w:hint="eastAsia" w:ascii="宋体" w:hAnsi="宋体" w:eastAsia="宋体" w:cs="宋体"/>
          <w:b w:val="0"/>
          <w:bCs w:val="0"/>
          <w:color w:val="auto"/>
          <w:kern w:val="2"/>
          <w:sz w:val="24"/>
          <w:szCs w:val="24"/>
          <w:lang w:val="en-US" w:eastAsia="zh-CN" w:bidi="ar"/>
        </w:rPr>
        <w:br w:type="textWrapping"/>
      </w:r>
      <w:r>
        <w:rPr>
          <w:rFonts w:hint="eastAsia" w:ascii="宋体" w:hAnsi="宋体" w:eastAsia="宋体" w:cs="宋体"/>
          <w:b w:val="0"/>
          <w:bCs w:val="0"/>
          <w:color w:val="auto"/>
          <w:kern w:val="2"/>
          <w:sz w:val="24"/>
          <w:szCs w:val="24"/>
          <w:highlight w:val="none"/>
          <w:lang w:val="en-US" w:eastAsia="zh-CN" w:bidi="ar"/>
        </w:rPr>
        <w:t>5、对于合同单价金额不超过50万元的设备，其试运行期限原则上不超过30个日历日；对于单价金额超过50万元的设备，试运行期限原则上不超过60个日历日。</w:t>
      </w:r>
    </w:p>
    <w:p w14:paraId="11CE86E9">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 w:val="0"/>
          <w:bCs w:val="0"/>
          <w:color w:val="auto"/>
          <w:kern w:val="2"/>
          <w:sz w:val="24"/>
          <w:szCs w:val="24"/>
          <w:highlight w:val="none"/>
          <w:lang w:val="en-US" w:eastAsia="zh-CN" w:bidi="ar"/>
        </w:rPr>
      </w:pPr>
      <w:r>
        <w:rPr>
          <w:rFonts w:hint="eastAsia" w:ascii="宋体" w:hAnsi="宋体" w:eastAsia="宋体" w:cs="宋体"/>
          <w:b w:val="0"/>
          <w:bCs w:val="0"/>
          <w:color w:val="auto"/>
          <w:kern w:val="2"/>
          <w:sz w:val="24"/>
          <w:szCs w:val="24"/>
          <w:highlight w:val="none"/>
          <w:lang w:val="en-US" w:eastAsia="zh-CN" w:bidi="ar"/>
        </w:rPr>
        <w:t>6、在试运行期间，若货物性能未能满足招标文件及合同中所规定的标准，则应视为验收未通过。乙方须退还90%的货款，并对甲方因此遭受的损失承担赔偿责任。</w:t>
      </w:r>
    </w:p>
    <w:p w14:paraId="48C82D1D">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 w:val="0"/>
          <w:bCs w:val="0"/>
          <w:color w:val="auto"/>
          <w:kern w:val="2"/>
          <w:sz w:val="24"/>
          <w:szCs w:val="24"/>
          <w:highlight w:val="none"/>
          <w:lang w:val="en-US" w:eastAsia="zh-CN" w:bidi="ar"/>
        </w:rPr>
      </w:pPr>
      <w:r>
        <w:rPr>
          <w:rFonts w:hint="eastAsia" w:ascii="宋体" w:hAnsi="宋体" w:eastAsia="宋体" w:cs="宋体"/>
          <w:b w:val="0"/>
          <w:bCs w:val="0"/>
          <w:color w:val="auto"/>
          <w:kern w:val="2"/>
          <w:sz w:val="24"/>
          <w:szCs w:val="24"/>
          <w:highlight w:val="none"/>
          <w:lang w:val="en-US" w:eastAsia="zh-CN" w:bidi="ar"/>
        </w:rPr>
        <w:t>7、若在试运行期间设备出现故障，需更换为同型号的新设备，则试运行时间应重新计算。若更换次数达到两次或以上（含两次），则将不予退还质量保函金。</w:t>
      </w:r>
    </w:p>
    <w:p w14:paraId="2ABCB9BE">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 w:val="0"/>
          <w:bCs w:val="0"/>
          <w:color w:val="auto"/>
          <w:sz w:val="24"/>
          <w:szCs w:val="24"/>
        </w:rPr>
      </w:pPr>
      <w:r>
        <w:rPr>
          <w:rFonts w:hint="eastAsia" w:ascii="宋体" w:hAnsi="宋体" w:eastAsia="宋体" w:cs="宋体"/>
          <w:b w:val="0"/>
          <w:bCs w:val="0"/>
          <w:color w:val="auto"/>
          <w:kern w:val="2"/>
          <w:sz w:val="24"/>
          <w:szCs w:val="24"/>
          <w:highlight w:val="none"/>
          <w:lang w:val="en-US" w:eastAsia="zh-CN" w:bidi="ar"/>
        </w:rPr>
        <w:t>8、在标的物到达之前，乙方必须提供与生产厂家签订的、针对合同内标的物的</w:t>
      </w:r>
      <w:r>
        <w:rPr>
          <w:rFonts w:hint="eastAsia" w:ascii="宋体" w:hAnsi="宋体" w:eastAsia="宋体" w:cs="宋体"/>
          <w:b w:val="0"/>
          <w:bCs w:val="0"/>
          <w:color w:val="auto"/>
          <w:kern w:val="2"/>
          <w:sz w:val="24"/>
          <w:szCs w:val="24"/>
          <w:highlight w:val="none"/>
          <w:u w:val="single"/>
          <w:lang w:val="en-US" w:eastAsia="zh-CN" w:bidi="ar"/>
        </w:rPr>
        <w:t xml:space="preserve">     </w:t>
      </w:r>
      <w:r>
        <w:rPr>
          <w:rFonts w:hint="eastAsia" w:ascii="宋体" w:hAnsi="宋体" w:eastAsia="宋体" w:cs="宋体"/>
          <w:b w:val="0"/>
          <w:bCs w:val="0"/>
          <w:color w:val="auto"/>
          <w:kern w:val="2"/>
          <w:sz w:val="24"/>
          <w:szCs w:val="24"/>
          <w:highlight w:val="none"/>
          <w:lang w:val="en-US" w:eastAsia="zh-CN" w:bidi="ar"/>
        </w:rPr>
        <w:t>年免费保修协议或合同。若未能提供此文件，则视为乙方未履行合同要求，甲方有权拒绝接收货物。</w:t>
      </w:r>
    </w:p>
    <w:p w14:paraId="1FAD42D9">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十一、验收标准：</w:t>
      </w:r>
    </w:p>
    <w:p w14:paraId="41A984E0">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1、单证齐全：应有产品合格证（或质量证明）、使用说明、保修证明、发票和其他应具有的单证。同时由乙方提供该套标的物的商检证，需计量鉴定的，还需提供初次计量鉴定证书。</w:t>
      </w:r>
    </w:p>
    <w:p w14:paraId="0B145830">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2、质量符合</w:t>
      </w:r>
      <w:r>
        <w:rPr>
          <w:rFonts w:hint="eastAsia" w:ascii="宋体" w:hAnsi="宋体" w:eastAsia="宋体" w:cs="宋体"/>
          <w:b w:val="0"/>
          <w:bCs w:val="0"/>
          <w:color w:val="auto"/>
          <w:sz w:val="24"/>
          <w:szCs w:val="24"/>
          <w:lang w:val="en-US" w:eastAsia="zh-CN"/>
        </w:rPr>
        <w:t>现行</w:t>
      </w:r>
      <w:r>
        <w:rPr>
          <w:rFonts w:hint="eastAsia" w:ascii="宋体" w:hAnsi="宋体" w:eastAsia="宋体" w:cs="宋体"/>
          <w:b w:val="0"/>
          <w:bCs w:val="0"/>
          <w:color w:val="auto"/>
          <w:sz w:val="24"/>
          <w:szCs w:val="24"/>
        </w:rPr>
        <w:t>国家法律法规规定的标准、招标文件和投标文件的要求。其中有关标的物名称、制造商、数量等信息须符合投标文件和配置清单</w:t>
      </w:r>
    </w:p>
    <w:p w14:paraId="796683F6">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3</w:t>
      </w:r>
      <w:r>
        <w:rPr>
          <w:rFonts w:hint="eastAsia" w:ascii="宋体" w:hAnsi="宋体" w:eastAsia="宋体" w:cs="宋体"/>
          <w:b w:val="0"/>
          <w:bCs w:val="0"/>
          <w:color w:val="auto"/>
          <w:sz w:val="24"/>
          <w:szCs w:val="24"/>
        </w:rPr>
        <w:t>、</w:t>
      </w:r>
      <w:r>
        <w:rPr>
          <w:rFonts w:hint="eastAsia" w:ascii="宋体" w:hAnsi="宋体" w:eastAsia="宋体" w:cs="宋体"/>
          <w:b w:val="0"/>
          <w:bCs w:val="0"/>
          <w:color w:val="auto"/>
          <w:sz w:val="24"/>
          <w:szCs w:val="24"/>
          <w:lang w:val="en-US" w:eastAsia="zh-CN"/>
        </w:rPr>
        <w:t>试运行期结束后，</w:t>
      </w:r>
      <w:r>
        <w:rPr>
          <w:rFonts w:hint="eastAsia" w:ascii="宋体" w:hAnsi="宋体" w:eastAsia="宋体" w:cs="宋体"/>
          <w:b w:val="0"/>
          <w:bCs w:val="0"/>
          <w:color w:val="auto"/>
          <w:sz w:val="24"/>
          <w:szCs w:val="24"/>
        </w:rPr>
        <w:t>甲方标的物使用科室最终签发相关的安装验收合格报告，并且甲方有权委托中国有资质的单位对仪器进行精度校核，所发生的费用由乙方承担且乙方同意授权甲方从应付货款中直接扣除。</w:t>
      </w:r>
    </w:p>
    <w:p w14:paraId="0B7EE12D">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4</w:t>
      </w:r>
      <w:r>
        <w:rPr>
          <w:rFonts w:hint="eastAsia" w:ascii="宋体" w:hAnsi="宋体" w:eastAsia="宋体" w:cs="宋体"/>
          <w:b w:val="0"/>
          <w:bCs w:val="0"/>
          <w:color w:val="auto"/>
          <w:sz w:val="24"/>
          <w:szCs w:val="24"/>
        </w:rPr>
        <w:t>、甲方最终验收合格后进入</w:t>
      </w:r>
      <w:r>
        <w:rPr>
          <w:rFonts w:hint="eastAsia" w:ascii="宋体" w:hAnsi="宋体" w:eastAsia="宋体" w:cs="宋体"/>
          <w:b w:val="0"/>
          <w:bCs w:val="0"/>
          <w:color w:val="auto"/>
          <w:sz w:val="24"/>
          <w:szCs w:val="24"/>
          <w:lang w:val="en-US" w:eastAsia="zh-CN"/>
        </w:rPr>
        <w:t>保修</w:t>
      </w:r>
      <w:r>
        <w:rPr>
          <w:rFonts w:hint="eastAsia" w:ascii="宋体" w:hAnsi="宋体" w:eastAsia="宋体" w:cs="宋体"/>
          <w:b w:val="0"/>
          <w:bCs w:val="0"/>
          <w:color w:val="auto"/>
          <w:sz w:val="24"/>
          <w:szCs w:val="24"/>
        </w:rPr>
        <w:t>期。若验收不合格的，应及时向乙方提出书面异议，乙方应在接到异议及检测报告后及时进行更换或重新安装调试，直至验收合格，如果因乙方供货质量原因造成的甲方受到的损失，乙方还应承担相应违约责任并承担相应赔偿。</w:t>
      </w:r>
    </w:p>
    <w:p w14:paraId="50EA00C9">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5</w:t>
      </w:r>
      <w:r>
        <w:rPr>
          <w:rFonts w:hint="eastAsia" w:ascii="宋体" w:hAnsi="宋体" w:eastAsia="宋体" w:cs="宋体"/>
          <w:b w:val="0"/>
          <w:bCs w:val="0"/>
          <w:color w:val="auto"/>
          <w:sz w:val="24"/>
          <w:szCs w:val="24"/>
        </w:rPr>
        <w:t>、</w:t>
      </w:r>
      <w:r>
        <w:rPr>
          <w:rFonts w:hint="eastAsia" w:ascii="宋体" w:hAnsi="宋体" w:eastAsia="宋体" w:cs="宋体"/>
          <w:b w:val="0"/>
          <w:bCs w:val="0"/>
          <w:color w:val="auto"/>
          <w:sz w:val="24"/>
          <w:szCs w:val="24"/>
          <w:lang w:val="en-US" w:eastAsia="zh-CN"/>
        </w:rPr>
        <w:t>根据《中华人民共和国强制检定的工作计量器具目录》及招标文件要求，属于计量器具需要进行计量检定、校准的设备，由乙方承担首次</w:t>
      </w:r>
      <w:r>
        <w:rPr>
          <w:rFonts w:hint="eastAsia" w:ascii="宋体" w:hAnsi="宋体" w:eastAsia="宋体" w:cs="宋体"/>
          <w:b w:val="0"/>
          <w:bCs w:val="0"/>
          <w:color w:val="auto"/>
          <w:sz w:val="24"/>
          <w:szCs w:val="24"/>
        </w:rPr>
        <w:t>技术监督局的</w:t>
      </w:r>
      <w:r>
        <w:rPr>
          <w:rFonts w:hint="eastAsia" w:ascii="宋体" w:hAnsi="宋体" w:eastAsia="宋体" w:cs="宋体"/>
          <w:b w:val="0"/>
          <w:bCs w:val="0"/>
          <w:color w:val="auto"/>
          <w:sz w:val="24"/>
          <w:szCs w:val="24"/>
          <w:lang w:val="en-US" w:eastAsia="zh-CN"/>
        </w:rPr>
        <w:t>检定、校准</w:t>
      </w:r>
      <w:r>
        <w:rPr>
          <w:rFonts w:hint="eastAsia" w:ascii="宋体" w:hAnsi="宋体" w:eastAsia="宋体" w:cs="宋体"/>
          <w:b w:val="0"/>
          <w:bCs w:val="0"/>
          <w:color w:val="auto"/>
          <w:sz w:val="24"/>
          <w:szCs w:val="24"/>
        </w:rPr>
        <w:t>费用，</w:t>
      </w:r>
      <w:r>
        <w:rPr>
          <w:rFonts w:hint="eastAsia" w:ascii="宋体" w:hAnsi="宋体" w:eastAsia="宋体" w:cs="宋体"/>
          <w:b w:val="0"/>
          <w:bCs w:val="0"/>
          <w:color w:val="auto"/>
          <w:sz w:val="24"/>
          <w:szCs w:val="24"/>
          <w:lang w:val="en-US" w:eastAsia="zh-CN"/>
        </w:rPr>
        <w:t>并</w:t>
      </w:r>
      <w:r>
        <w:rPr>
          <w:rFonts w:hint="eastAsia" w:ascii="宋体" w:hAnsi="宋体" w:eastAsia="宋体" w:cs="宋体"/>
          <w:b w:val="0"/>
          <w:bCs w:val="0"/>
          <w:color w:val="auto"/>
          <w:sz w:val="24"/>
          <w:szCs w:val="24"/>
        </w:rPr>
        <w:t>提供承诺函。</w:t>
      </w:r>
    </w:p>
    <w:p w14:paraId="1519262F">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十二、质量技术标准及损害赔偿：</w:t>
      </w:r>
    </w:p>
    <w:p w14:paraId="0F3B9406">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1、产品质量标准：标的物的质量技术标准按国家法律法规规定的标准、招标文件和乙方投标文件所要求的技术标准执行。同时应符合中华人民共和国国家质量及国家安全环保标准，上述标准不一致的，按照高标准执行。</w:t>
      </w:r>
    </w:p>
    <w:p w14:paraId="74CFA7D7">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2、乙方应保证其提供的标的物是原产地的原装产品，是全新的、未使用过的，采用的是最佳材料和第一流的工艺，并在各个方面符合合同规定的质量、规格和性能要求。否则按退货处理。</w:t>
      </w:r>
    </w:p>
    <w:p w14:paraId="29E3B878">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3、乙方应保证其标的物经过正确安装、合理操作和维护保养，在标的物寿命期内运转良好。在规定的质量保证期内乙方应对由于设计、工艺或材料的缺陷造成的任何缺陷或故障，负责维修、调换直至符合甲方要求。否则按乙方构成违约责任处理。</w:t>
      </w:r>
    </w:p>
    <w:p w14:paraId="76BFC331">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4、标的物在售后服务期内，如出现三次以上（含三次）因质量问题引起的故障，乙方负责更换同类新的</w:t>
      </w:r>
      <w:r>
        <w:rPr>
          <w:rFonts w:hint="eastAsia" w:ascii="宋体" w:hAnsi="宋体" w:eastAsia="宋体" w:cs="宋体"/>
          <w:b w:val="0"/>
          <w:bCs w:val="0"/>
          <w:color w:val="auto"/>
          <w:sz w:val="24"/>
          <w:szCs w:val="24"/>
          <w:lang w:val="en-US" w:eastAsia="zh-CN"/>
        </w:rPr>
        <w:t>标的物</w:t>
      </w:r>
      <w:r>
        <w:rPr>
          <w:rFonts w:hint="eastAsia" w:ascii="宋体" w:hAnsi="宋体" w:eastAsia="宋体" w:cs="宋体"/>
          <w:b w:val="0"/>
          <w:bCs w:val="0"/>
          <w:color w:val="auto"/>
          <w:sz w:val="24"/>
          <w:szCs w:val="24"/>
        </w:rPr>
        <w:t>，以达到合同规定的规格、质量和性能，并从更换之日起重新计算被更换标的物的售后服务期，由此产生的一切费用由乙方承担。</w:t>
      </w:r>
    </w:p>
    <w:p w14:paraId="05A23FCB">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5、如因为乙方标的物质量原因，导致甲方损失，</w:t>
      </w:r>
      <w:r>
        <w:rPr>
          <w:rFonts w:hint="eastAsia" w:ascii="宋体" w:hAnsi="宋体" w:eastAsia="宋体" w:cs="宋体"/>
          <w:b w:val="0"/>
          <w:bCs w:val="0"/>
          <w:color w:val="auto"/>
          <w:kern w:val="2"/>
          <w:sz w:val="24"/>
          <w:szCs w:val="24"/>
          <w:lang w:val="en-US" w:eastAsia="zh-CN" w:bidi="ar"/>
        </w:rPr>
        <w:t>由乙方承担全部责任并赔偿甲方所有损失。如因乙方提供的设备发生医疗器械不良事件，乙方应承担全部责任和所有费用</w:t>
      </w:r>
      <w:r>
        <w:rPr>
          <w:rFonts w:hint="eastAsia" w:ascii="宋体" w:hAnsi="宋体" w:eastAsia="宋体" w:cs="宋体"/>
          <w:b w:val="0"/>
          <w:bCs w:val="0"/>
          <w:color w:val="auto"/>
          <w:sz w:val="24"/>
          <w:szCs w:val="24"/>
        </w:rPr>
        <w:t>。</w:t>
      </w:r>
    </w:p>
    <w:p w14:paraId="395D9713">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十三、合同修改、变更、转让及专利权：</w:t>
      </w:r>
    </w:p>
    <w:p w14:paraId="27FBA112">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1、未经甲方书面同意，乙方不得对合同条款及服务内容进行任何修改、变更。并且不得转让其应履行的义务。否则，甲方有权终止合同，所发生的损失由乙方全部承担。</w:t>
      </w:r>
    </w:p>
    <w:p w14:paraId="58C56A62">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2、乙方须保障甲方在使用其标的物、服务及其任何部分不受到第三方关于侵犯专利权、商标权或工业设计权的指控。任何第三方提出侵权指控，乙方须与第三方交涉并承担由此而引起的一切法律责任和费用。</w:t>
      </w:r>
    </w:p>
    <w:p w14:paraId="302CCFAC">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十四、不可抗力：任何一方由于不可抗力（如地震、战争等）原因无法履行合同时，应在不可抗力时间结束后尽快向对方通报，以减轻可能给对方造成的损失；在取得有关机构的不可抗力证明或者双方谅解确认后，允许延期履行或修订合同，并视情况免于承担部分或全部的违约责任。</w:t>
      </w:r>
    </w:p>
    <w:p w14:paraId="4EE18683">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十五、违约责任：</w:t>
      </w:r>
    </w:p>
    <w:p w14:paraId="43A566F7">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1、乙方交付标的物的品种、规格、质量不符合国家标准或合同规定的，由乙方全权负责换货。换货必须全新并符合本合同约定的质量标准和验收标准，因此而产生的一切费用和甲方遭受的一切直接损失由乙方无条件承担，乙方不能修理或者不能调换、安装的，按合同总额的10%承担违约金。同时，甲方有权选择退货，乙方应承担因退货而发生的一切直接损失和费用并按照本合同总金额10%向甲方支付违约金。</w:t>
      </w:r>
    </w:p>
    <w:p w14:paraId="0302DC5D">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2、乙方逾期交货的，按逾期交货部分货款计算，乙方向甲方偿付每日千分之五的违约金，逾期十天以上的，甲方有权解除合同，乙方应当承担因终止合同而发生的一切直接损失和费用。</w:t>
      </w:r>
    </w:p>
    <w:p w14:paraId="39834247">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b w:val="0"/>
          <w:bCs w:val="0"/>
          <w:color w:val="auto"/>
          <w:sz w:val="24"/>
          <w:szCs w:val="24"/>
          <w:lang w:val="en-US"/>
        </w:rPr>
      </w:pPr>
      <w:r>
        <w:rPr>
          <w:rFonts w:hint="eastAsia" w:ascii="宋体" w:hAnsi="宋体" w:eastAsia="宋体" w:cs="宋体"/>
          <w:b w:val="0"/>
          <w:bCs w:val="0"/>
          <w:color w:val="auto"/>
          <w:kern w:val="2"/>
          <w:sz w:val="24"/>
          <w:szCs w:val="24"/>
          <w:lang w:val="en-US" w:eastAsia="zh-CN" w:bidi="ar"/>
        </w:rPr>
        <w:t>3、如因乙方原因设备未按投标文件确定的日期进行维修或维修未达到甲方要求，违反有关质量保证及售后服务的，在甲方提出赔偿十日内，乙方应当按照甲方赔偿要求赔偿数额支付。</w:t>
      </w:r>
    </w:p>
    <w:p w14:paraId="738DA55A">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4、乙方不得以任何形式在任何情况下对甲方工作人员进行商业贿赂活动，否则甲方有权单方解除合同，同时乙方需按照本合同总金额20%向甲方支付违约金并承担相应的法律责任。</w:t>
      </w:r>
    </w:p>
    <w:p w14:paraId="4981A260">
      <w:pPr>
        <w:spacing w:line="360" w:lineRule="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5、在履行合同过程中，如果乙方遇到妨碍按时交货和提供服务的情况时，应及时以书面形式将拖延的事实，可能拖延的时间和原因通知甲方。甲方在收到乙方通知后，应尽快对情况进行评价，并于7日内确定是否同意延长交货时间以及是否收取误期赔偿费。乙方延期交货应通过签订补充协议的方式经甲方盖章确认。</w:t>
      </w:r>
    </w:p>
    <w:p w14:paraId="129135D3">
      <w:pPr>
        <w:spacing w:line="360" w:lineRule="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6、本合同签订后，乙方不得以标的物市场价格上涨等各种理由断货、中止供货或要求甲方调价，否则，甲方有权解除合同并拒绝支付任何合同款项，乙方向甲方支付合同总价20%的违约金。</w:t>
      </w:r>
    </w:p>
    <w:p w14:paraId="0D802965">
      <w:pPr>
        <w:spacing w:line="360" w:lineRule="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7.乙方支付上述违约金不足以赔偿甲方损失的，甲方有权另行向乙方索赔（包括但不限于第三方索赔、律师费、诉讼费、鉴定费、公证费、差旅费等甲方采取诉讼途径发生的一切费用）。</w:t>
      </w:r>
    </w:p>
    <w:p w14:paraId="2C86CC9B">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十六、赔偿、追索权：</w:t>
      </w:r>
    </w:p>
    <w:p w14:paraId="5D6052DF">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1、本合同中所涉及到的乙方应支付甲方的损害赔偿、违约金等，在质保期内，甲方有权从合同总金额10%中直接扣除，对不足以抵偿的部分，甲方保留追索权；设备质保期以外，甲方保留追索的权利，包括从甲、乙双方所签署的其他合同乙方的权利中，追偿上述经济损失及违约金。</w:t>
      </w:r>
    </w:p>
    <w:p w14:paraId="16523A7A">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2、本合同所有条款约定的违约金、赔偿金等均应以人民币的方式支付，双方明确按照第一次购汇当日的银行汇卖价，即购汇凭单上的购汇汇率，作为今后违约金、赔偿金等结算支付的汇率。</w:t>
      </w:r>
    </w:p>
    <w:p w14:paraId="2ECC5B92">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十七、解决合同纠纷的方式：</w:t>
      </w:r>
    </w:p>
    <w:p w14:paraId="0BE3E186">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1、合同双方本着诚实、公平合理的原则协商解决，协商仍不能达成共识，可向甲方所在地人民法院提起诉讼。</w:t>
      </w:r>
    </w:p>
    <w:p w14:paraId="529694B8">
      <w:pPr>
        <w:spacing w:line="360" w:lineRule="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rPr>
        <w:t>2、在诉讼期间，合同未发生争议部分应当继续履行。</w:t>
      </w:r>
      <w:r>
        <w:rPr>
          <w:rFonts w:hint="eastAsia" w:ascii="宋体" w:hAnsi="宋体" w:eastAsia="宋体" w:cs="宋体"/>
          <w:b w:val="0"/>
          <w:bCs w:val="0"/>
          <w:color w:val="auto"/>
          <w:sz w:val="24"/>
          <w:szCs w:val="24"/>
        </w:rPr>
        <w:br w:type="textWrapping"/>
      </w:r>
      <w:r>
        <w:rPr>
          <w:rFonts w:hint="eastAsia" w:ascii="宋体" w:hAnsi="宋体" w:eastAsia="宋体" w:cs="宋体"/>
          <w:b w:val="0"/>
          <w:bCs w:val="0"/>
          <w:color w:val="auto"/>
          <w:sz w:val="24"/>
          <w:szCs w:val="24"/>
          <w:lang w:val="en-US" w:eastAsia="zh-CN"/>
        </w:rPr>
        <w:t>十八：质量保函：</w:t>
      </w:r>
      <w:r>
        <w:rPr>
          <w:rFonts w:hint="eastAsia" w:ascii="宋体" w:hAnsi="宋体" w:eastAsia="宋体" w:cs="宋体"/>
          <w:b w:val="0"/>
          <w:bCs w:val="0"/>
          <w:color w:val="auto"/>
          <w:sz w:val="24"/>
          <w:szCs w:val="24"/>
          <w:lang w:val="en-US" w:eastAsia="zh-CN"/>
        </w:rPr>
        <w:br w:type="textWrapping"/>
      </w:r>
      <w:r>
        <w:rPr>
          <w:rFonts w:hint="eastAsia" w:ascii="宋体" w:hAnsi="宋体" w:eastAsia="宋体" w:cs="宋体"/>
          <w:b w:val="0"/>
          <w:bCs w:val="0"/>
          <w:color w:val="auto"/>
          <w:sz w:val="24"/>
          <w:szCs w:val="24"/>
          <w:lang w:val="en-US" w:eastAsia="zh-CN"/>
        </w:rPr>
        <w:t>1、乙方须出具具有担保资质的公司出具的书面质量保函。</w:t>
      </w:r>
    </w:p>
    <w:p w14:paraId="43D69D36">
      <w:pPr>
        <w:spacing w:line="360" w:lineRule="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2、乙方须保证标的物质量符合合同约定的技术标准和质量要求。</w:t>
      </w:r>
    </w:p>
    <w:p w14:paraId="165C5E78">
      <w:pPr>
        <w:spacing w:line="360" w:lineRule="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3、乙方承诺在标的物验收合格后，对标的物进行为期</w:t>
      </w:r>
      <w:r>
        <w:rPr>
          <w:rFonts w:hint="eastAsia" w:ascii="宋体" w:hAnsi="宋体" w:eastAsia="宋体" w:cs="宋体"/>
          <w:b w:val="0"/>
          <w:bCs w:val="0"/>
          <w:color w:val="auto"/>
          <w:sz w:val="24"/>
          <w:szCs w:val="24"/>
          <w:u w:val="single"/>
          <w:lang w:val="en-US" w:eastAsia="zh-CN"/>
        </w:rPr>
        <w:t xml:space="preserve">    </w:t>
      </w:r>
      <w:r>
        <w:rPr>
          <w:rFonts w:hint="eastAsia" w:ascii="宋体" w:hAnsi="宋体" w:eastAsia="宋体" w:cs="宋体"/>
          <w:b w:val="0"/>
          <w:bCs w:val="0"/>
          <w:color w:val="auto"/>
          <w:sz w:val="24"/>
          <w:szCs w:val="24"/>
          <w:lang w:val="en-US" w:eastAsia="zh-CN"/>
        </w:rPr>
        <w:t>年的免费保修服务。</w:t>
      </w:r>
    </w:p>
    <w:p w14:paraId="4C5B9D27">
      <w:pPr>
        <w:spacing w:line="360" w:lineRule="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4、若标的物在保修期内出现故障及问题，乙方应立即进行修复，直至达到合同约定的质量标准。</w:t>
      </w:r>
    </w:p>
    <w:p w14:paraId="4229FE43">
      <w:pPr>
        <w:spacing w:line="360" w:lineRule="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5、若因乙方原因导致标的物维修不及时，甲方有权要求乙方承担相应的违约责任，包括但不限于修复费用、赔偿损失等。</w:t>
      </w:r>
    </w:p>
    <w:p w14:paraId="776D0AFB">
      <w:pPr>
        <w:spacing w:line="360" w:lineRule="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6、在约定的售后服务期（保修服务期）内未按要求提供相应技术支持时，不予退还质量保函。</w:t>
      </w:r>
    </w:p>
    <w:p w14:paraId="2473DB04">
      <w:pPr>
        <w:spacing w:line="360" w:lineRule="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6、质量保函自签订之日起生效，至项目验收合格后</w:t>
      </w:r>
      <w:r>
        <w:rPr>
          <w:rFonts w:hint="eastAsia" w:ascii="宋体" w:hAnsi="宋体" w:eastAsia="宋体" w:cs="宋体"/>
          <w:b w:val="0"/>
          <w:bCs w:val="0"/>
          <w:color w:val="auto"/>
          <w:sz w:val="24"/>
          <w:szCs w:val="24"/>
          <w:u w:val="single"/>
          <w:lang w:val="en-US" w:eastAsia="zh-CN"/>
        </w:rPr>
        <w:t xml:space="preserve">    </w:t>
      </w:r>
      <w:r>
        <w:rPr>
          <w:rFonts w:hint="eastAsia" w:ascii="宋体" w:hAnsi="宋体" w:eastAsia="宋体" w:cs="宋体"/>
          <w:b w:val="0"/>
          <w:bCs w:val="0"/>
          <w:color w:val="auto"/>
          <w:sz w:val="24"/>
          <w:szCs w:val="24"/>
          <w:lang w:val="en-US" w:eastAsia="zh-CN"/>
        </w:rPr>
        <w:t>年止.</w:t>
      </w:r>
    </w:p>
    <w:p w14:paraId="3BEDDD10">
      <w:pPr>
        <w:spacing w:line="360" w:lineRule="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7、保修期结束后，由甲方出具保修期内标的物及售后服务评价，符合要求的正常退还质量保函金，不符合要求的不予退还质量保函金。</w:t>
      </w:r>
    </w:p>
    <w:p w14:paraId="4266DA99">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十</w:t>
      </w:r>
      <w:r>
        <w:rPr>
          <w:rFonts w:hint="eastAsia" w:ascii="宋体" w:hAnsi="宋体" w:eastAsia="宋体" w:cs="宋体"/>
          <w:b w:val="0"/>
          <w:bCs w:val="0"/>
          <w:color w:val="auto"/>
          <w:sz w:val="24"/>
          <w:szCs w:val="24"/>
          <w:lang w:val="en-US" w:eastAsia="zh-CN"/>
        </w:rPr>
        <w:t>九</w:t>
      </w:r>
      <w:r>
        <w:rPr>
          <w:rFonts w:hint="eastAsia" w:ascii="宋体" w:hAnsi="宋体" w:eastAsia="宋体" w:cs="宋体"/>
          <w:b w:val="0"/>
          <w:bCs w:val="0"/>
          <w:color w:val="auto"/>
          <w:sz w:val="24"/>
          <w:szCs w:val="24"/>
        </w:rPr>
        <w:t>、其它：</w:t>
      </w:r>
    </w:p>
    <w:p w14:paraId="2774F6F2">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1、 合同所有附件，</w:t>
      </w:r>
      <w:r>
        <w:rPr>
          <w:rFonts w:hint="eastAsia" w:ascii="宋体" w:hAnsi="宋体" w:eastAsia="宋体" w:cs="宋体"/>
          <w:b w:val="0"/>
          <w:bCs w:val="0"/>
          <w:color w:val="auto"/>
          <w:sz w:val="24"/>
          <w:szCs w:val="24"/>
          <w:lang w:val="en-US" w:eastAsia="zh-CN"/>
        </w:rPr>
        <w:t>包括与合同相关的采购文件、招标文件、谈判文件、招投标备案材料、售后服务承诺书、成交通知书、</w:t>
      </w:r>
      <w:r>
        <w:rPr>
          <w:rFonts w:hint="eastAsia" w:ascii="宋体" w:hAnsi="宋体" w:eastAsia="宋体" w:cs="宋体"/>
          <w:b w:val="0"/>
          <w:bCs w:val="0"/>
          <w:color w:val="auto"/>
          <w:sz w:val="24"/>
          <w:szCs w:val="24"/>
        </w:rPr>
        <w:t>成交方的投标文件</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rPr>
        <w:t>询标中的书面答疑</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rPr>
        <w:t>开标中的书面承诺</w:t>
      </w:r>
      <w:r>
        <w:rPr>
          <w:rFonts w:hint="eastAsia" w:ascii="宋体" w:hAnsi="宋体" w:eastAsia="宋体" w:cs="宋体"/>
          <w:b w:val="0"/>
          <w:bCs w:val="0"/>
          <w:color w:val="auto"/>
          <w:sz w:val="24"/>
          <w:szCs w:val="24"/>
          <w:lang w:val="en-US" w:eastAsia="zh-CN"/>
        </w:rPr>
        <w:t>及合同附件</w:t>
      </w:r>
      <w:r>
        <w:rPr>
          <w:rFonts w:hint="eastAsia" w:ascii="宋体" w:hAnsi="宋体" w:eastAsia="宋体" w:cs="宋体"/>
          <w:b w:val="0"/>
          <w:bCs w:val="0"/>
          <w:color w:val="auto"/>
          <w:sz w:val="24"/>
          <w:szCs w:val="24"/>
        </w:rPr>
        <w:t>等均作为合同的有效组成部分，与合同具有同等的法律效力。</w:t>
      </w:r>
    </w:p>
    <w:p w14:paraId="48177CF5">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2、乙方保证提供的资质是真实的，与原件相符。否则，产生的责任及给甲方造成的损失均由乙方承担并赔偿。</w:t>
      </w:r>
    </w:p>
    <w:p w14:paraId="1120D203">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3、乙方保证合同中提供的电话、传真、开户银行、账号等信息准确无误。否则造成的责任及损失由乙方承担。</w:t>
      </w:r>
    </w:p>
    <w:p w14:paraId="0AF0050A">
      <w:pPr>
        <w:spacing w:line="360" w:lineRule="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4、本合同应按中华人民共和国的相关法律解释</w:t>
      </w:r>
      <w:r>
        <w:rPr>
          <w:rFonts w:hint="eastAsia" w:ascii="宋体" w:hAnsi="宋体" w:eastAsia="宋体" w:cs="宋体"/>
          <w:b w:val="0"/>
          <w:bCs w:val="0"/>
          <w:color w:val="auto"/>
          <w:kern w:val="2"/>
          <w:sz w:val="24"/>
          <w:szCs w:val="24"/>
          <w:lang w:val="en-US" w:eastAsia="zh-CN" w:bidi="ar"/>
        </w:rPr>
        <w:t>，合同内容如遇国家法律、法规及政策另有规定的，从其规定。</w:t>
      </w:r>
    </w:p>
    <w:p w14:paraId="722E9BD0">
      <w:pPr>
        <w:spacing w:line="360" w:lineRule="auto"/>
        <w:rPr>
          <w:rFonts w:hint="eastAsia" w:ascii="宋体" w:hAnsi="宋体" w:eastAsia="宋体" w:cs="宋体"/>
          <w:b w:val="0"/>
          <w:bCs w:val="0"/>
          <w:sz w:val="24"/>
          <w:szCs w:val="24"/>
        </w:rPr>
      </w:pPr>
      <w:r>
        <w:rPr>
          <w:rFonts w:hint="eastAsia" w:ascii="宋体" w:hAnsi="宋体" w:eastAsia="宋体" w:cs="宋体"/>
          <w:b w:val="0"/>
          <w:bCs w:val="0"/>
          <w:color w:val="auto"/>
          <w:sz w:val="24"/>
          <w:szCs w:val="24"/>
        </w:rPr>
        <w:t>5、本合同文本一式五份，甲方执四份、乙方执一份</w:t>
      </w:r>
      <w:r>
        <w:rPr>
          <w:rFonts w:hint="eastAsia" w:ascii="宋体" w:hAnsi="宋体" w:eastAsia="宋体" w:cs="宋体"/>
          <w:b w:val="0"/>
          <w:bCs w:val="0"/>
          <w:color w:val="auto"/>
          <w:kern w:val="2"/>
          <w:sz w:val="24"/>
          <w:szCs w:val="24"/>
          <w:lang w:val="en-US" w:eastAsia="zh-CN" w:bidi="ar"/>
        </w:rPr>
        <w:t>，均具有同等的法律效力</w:t>
      </w:r>
      <w:r>
        <w:rPr>
          <w:rFonts w:hint="eastAsia" w:ascii="宋体" w:hAnsi="宋体" w:eastAsia="宋体" w:cs="宋体"/>
          <w:b w:val="0"/>
          <w:bCs w:val="0"/>
          <w:color w:val="auto"/>
          <w:sz w:val="24"/>
          <w:szCs w:val="24"/>
        </w:rPr>
        <w:t>。自甲、乙双方</w:t>
      </w:r>
      <w:r>
        <w:rPr>
          <w:rFonts w:hint="eastAsia" w:ascii="宋体" w:hAnsi="宋体" w:eastAsia="宋体" w:cs="宋体"/>
          <w:b w:val="0"/>
          <w:bCs w:val="0"/>
          <w:color w:val="auto"/>
          <w:sz w:val="24"/>
          <w:szCs w:val="24"/>
          <w:lang w:val="en-US" w:eastAsia="zh-CN"/>
        </w:rPr>
        <w:t>法定代表人或委托代理人</w:t>
      </w:r>
      <w:r>
        <w:rPr>
          <w:rFonts w:hint="eastAsia" w:ascii="宋体" w:hAnsi="宋体" w:eastAsia="宋体" w:cs="宋体"/>
          <w:b w:val="0"/>
          <w:bCs w:val="0"/>
          <w:color w:val="auto"/>
          <w:sz w:val="24"/>
          <w:szCs w:val="24"/>
        </w:rPr>
        <w:t>签字</w:t>
      </w:r>
      <w:r>
        <w:rPr>
          <w:rFonts w:hint="eastAsia" w:ascii="宋体" w:hAnsi="宋体" w:eastAsia="宋体" w:cs="宋体"/>
          <w:b w:val="0"/>
          <w:bCs w:val="0"/>
          <w:color w:val="auto"/>
          <w:sz w:val="24"/>
          <w:szCs w:val="24"/>
          <w:lang w:val="en-US" w:eastAsia="zh-CN"/>
        </w:rPr>
        <w:t>且加盖单位公</w:t>
      </w:r>
      <w:r>
        <w:rPr>
          <w:rFonts w:hint="eastAsia" w:ascii="宋体" w:hAnsi="宋体" w:eastAsia="宋体" w:cs="宋体"/>
          <w:b w:val="0"/>
          <w:bCs w:val="0"/>
          <w:color w:val="auto"/>
          <w:sz w:val="24"/>
          <w:szCs w:val="24"/>
        </w:rPr>
        <w:t>章</w:t>
      </w:r>
      <w:r>
        <w:rPr>
          <w:rFonts w:hint="eastAsia" w:ascii="宋体" w:hAnsi="宋体" w:eastAsia="宋体" w:cs="宋体"/>
          <w:b w:val="0"/>
          <w:bCs w:val="0"/>
          <w:color w:val="auto"/>
          <w:sz w:val="24"/>
          <w:szCs w:val="24"/>
          <w:lang w:val="en-US" w:eastAsia="zh-CN"/>
        </w:rPr>
        <w:t>或合同专用章</w:t>
      </w:r>
      <w:r>
        <w:rPr>
          <w:rFonts w:hint="eastAsia" w:ascii="宋体" w:hAnsi="宋体" w:eastAsia="宋体" w:cs="宋体"/>
          <w:b w:val="0"/>
          <w:bCs w:val="0"/>
          <w:color w:val="auto"/>
          <w:sz w:val="24"/>
          <w:szCs w:val="24"/>
        </w:rPr>
        <w:t>之日起生效，双方如有未尽事宜，可另行友好协商解决。</w:t>
      </w:r>
    </w:p>
    <w:p w14:paraId="19D47E99">
      <w:pPr>
        <w:spacing w:line="264" w:lineRule="auto"/>
        <w:rPr>
          <w:rFonts w:hint="eastAsia" w:ascii="宋体" w:hAnsi="宋体" w:eastAsia="宋体" w:cs="宋体"/>
          <w:b w:val="0"/>
          <w:bCs/>
          <w:sz w:val="24"/>
          <w:szCs w:val="24"/>
        </w:rPr>
      </w:pPr>
    </w:p>
    <w:tbl>
      <w:tblPr>
        <w:tblStyle w:val="31"/>
        <w:tblpPr w:leftFromText="180" w:rightFromText="180" w:vertAnchor="text" w:horzAnchor="page" w:tblpX="836" w:tblpY="333"/>
        <w:tblOverlap w:val="never"/>
        <w:tblW w:w="0" w:type="auto"/>
        <w:tblInd w:w="0" w:type="dxa"/>
        <w:tblLayout w:type="fixed"/>
        <w:tblCellMar>
          <w:top w:w="0" w:type="dxa"/>
          <w:left w:w="108" w:type="dxa"/>
          <w:bottom w:w="0" w:type="dxa"/>
          <w:right w:w="108" w:type="dxa"/>
        </w:tblCellMar>
      </w:tblPr>
      <w:tblGrid>
        <w:gridCol w:w="5148"/>
        <w:gridCol w:w="4860"/>
      </w:tblGrid>
      <w:tr w14:paraId="6DD12235">
        <w:tblPrEx>
          <w:tblCellMar>
            <w:top w:w="0" w:type="dxa"/>
            <w:left w:w="108" w:type="dxa"/>
            <w:bottom w:w="0" w:type="dxa"/>
            <w:right w:w="108" w:type="dxa"/>
          </w:tblCellMar>
        </w:tblPrEx>
        <w:tc>
          <w:tcPr>
            <w:tcW w:w="5148" w:type="dxa"/>
            <w:noWrap w:val="0"/>
            <w:vAlign w:val="top"/>
          </w:tcPr>
          <w:p w14:paraId="17B1AD66">
            <w:pPr>
              <w:spacing w:line="264" w:lineRule="auto"/>
              <w:rPr>
                <w:rFonts w:hint="eastAsia" w:ascii="宋体" w:hAnsi="宋体" w:eastAsia="宋体" w:cs="宋体"/>
                <w:b w:val="0"/>
                <w:bCs/>
                <w:sz w:val="24"/>
                <w:szCs w:val="24"/>
              </w:rPr>
            </w:pPr>
            <w:r>
              <w:rPr>
                <w:rFonts w:hint="eastAsia" w:ascii="宋体" w:hAnsi="宋体" w:eastAsia="宋体" w:cs="宋体"/>
                <w:b w:val="0"/>
                <w:bCs/>
                <w:sz w:val="24"/>
                <w:szCs w:val="24"/>
              </w:rPr>
              <w:t>甲方：新疆医科大学第一附属医院</w:t>
            </w:r>
          </w:p>
        </w:tc>
        <w:tc>
          <w:tcPr>
            <w:tcW w:w="4860" w:type="dxa"/>
            <w:noWrap w:val="0"/>
            <w:vAlign w:val="top"/>
          </w:tcPr>
          <w:p w14:paraId="41C91938">
            <w:pPr>
              <w:spacing w:line="264" w:lineRule="auto"/>
              <w:rPr>
                <w:rFonts w:hint="eastAsia" w:ascii="宋体" w:hAnsi="宋体" w:eastAsia="宋体" w:cs="宋体"/>
                <w:b w:val="0"/>
                <w:bCs/>
                <w:sz w:val="24"/>
                <w:szCs w:val="24"/>
              </w:rPr>
            </w:pPr>
            <w:r>
              <w:rPr>
                <w:rFonts w:hint="eastAsia" w:ascii="宋体" w:hAnsi="宋体" w:eastAsia="宋体" w:cs="宋体"/>
                <w:b w:val="0"/>
                <w:bCs/>
                <w:sz w:val="24"/>
                <w:szCs w:val="24"/>
              </w:rPr>
              <w:t>乙方：</w:t>
            </w:r>
          </w:p>
        </w:tc>
      </w:tr>
      <w:tr w14:paraId="16345AEF">
        <w:tblPrEx>
          <w:tblCellMar>
            <w:top w:w="0" w:type="dxa"/>
            <w:left w:w="108" w:type="dxa"/>
            <w:bottom w:w="0" w:type="dxa"/>
            <w:right w:w="108" w:type="dxa"/>
          </w:tblCellMar>
        </w:tblPrEx>
        <w:trPr>
          <w:trHeight w:val="80" w:hRule="atLeast"/>
        </w:trPr>
        <w:tc>
          <w:tcPr>
            <w:tcW w:w="5148" w:type="dxa"/>
            <w:noWrap w:val="0"/>
            <w:vAlign w:val="top"/>
          </w:tcPr>
          <w:p w14:paraId="4125D2D6">
            <w:pPr>
              <w:spacing w:line="264" w:lineRule="auto"/>
              <w:rPr>
                <w:rFonts w:hint="eastAsia" w:ascii="宋体" w:hAnsi="宋体" w:eastAsia="宋体" w:cs="宋体"/>
                <w:b w:val="0"/>
                <w:bCs/>
                <w:sz w:val="24"/>
                <w:szCs w:val="24"/>
              </w:rPr>
            </w:pPr>
          </w:p>
        </w:tc>
        <w:tc>
          <w:tcPr>
            <w:tcW w:w="4860" w:type="dxa"/>
            <w:noWrap w:val="0"/>
            <w:vAlign w:val="top"/>
          </w:tcPr>
          <w:p w14:paraId="63B9DE21">
            <w:pPr>
              <w:spacing w:line="264" w:lineRule="auto"/>
              <w:rPr>
                <w:rFonts w:hint="eastAsia" w:ascii="宋体" w:hAnsi="宋体" w:eastAsia="宋体" w:cs="宋体"/>
                <w:b w:val="0"/>
                <w:bCs/>
                <w:sz w:val="24"/>
                <w:szCs w:val="24"/>
              </w:rPr>
            </w:pPr>
          </w:p>
        </w:tc>
      </w:tr>
      <w:tr w14:paraId="2BB5A933">
        <w:tblPrEx>
          <w:tblCellMar>
            <w:top w:w="0" w:type="dxa"/>
            <w:left w:w="108" w:type="dxa"/>
            <w:bottom w:w="0" w:type="dxa"/>
            <w:right w:w="108" w:type="dxa"/>
          </w:tblCellMar>
        </w:tblPrEx>
        <w:tc>
          <w:tcPr>
            <w:tcW w:w="5148" w:type="dxa"/>
            <w:noWrap w:val="0"/>
            <w:vAlign w:val="top"/>
          </w:tcPr>
          <w:p w14:paraId="06736703">
            <w:pPr>
              <w:spacing w:line="264" w:lineRule="auto"/>
              <w:rPr>
                <w:rFonts w:hint="eastAsia" w:ascii="宋体" w:hAnsi="宋体" w:eastAsia="宋体" w:cs="宋体"/>
                <w:b w:val="0"/>
                <w:bCs/>
                <w:sz w:val="24"/>
                <w:szCs w:val="24"/>
              </w:rPr>
            </w:pPr>
            <w:r>
              <w:rPr>
                <w:rFonts w:hint="eastAsia" w:ascii="宋体" w:hAnsi="宋体" w:eastAsia="宋体" w:cs="宋体"/>
                <w:b w:val="0"/>
                <w:bCs/>
                <w:sz w:val="24"/>
                <w:szCs w:val="24"/>
              </w:rPr>
              <w:t>甲方法人：</w:t>
            </w:r>
          </w:p>
        </w:tc>
        <w:tc>
          <w:tcPr>
            <w:tcW w:w="4860" w:type="dxa"/>
            <w:noWrap w:val="0"/>
            <w:vAlign w:val="top"/>
          </w:tcPr>
          <w:p w14:paraId="0E3F7079">
            <w:pPr>
              <w:spacing w:line="264" w:lineRule="auto"/>
              <w:rPr>
                <w:rFonts w:hint="eastAsia" w:ascii="宋体" w:hAnsi="宋体" w:eastAsia="宋体" w:cs="宋体"/>
                <w:b w:val="0"/>
                <w:bCs/>
                <w:sz w:val="24"/>
                <w:szCs w:val="24"/>
              </w:rPr>
            </w:pPr>
            <w:r>
              <w:rPr>
                <w:rFonts w:hint="eastAsia" w:ascii="宋体" w:hAnsi="宋体" w:eastAsia="宋体" w:cs="宋体"/>
                <w:b w:val="0"/>
                <w:bCs/>
                <w:sz w:val="24"/>
                <w:szCs w:val="24"/>
              </w:rPr>
              <w:t>乙方法人：</w:t>
            </w:r>
          </w:p>
        </w:tc>
      </w:tr>
      <w:tr w14:paraId="36CB1334">
        <w:tblPrEx>
          <w:tblCellMar>
            <w:top w:w="0" w:type="dxa"/>
            <w:left w:w="108" w:type="dxa"/>
            <w:bottom w:w="0" w:type="dxa"/>
            <w:right w:w="108" w:type="dxa"/>
          </w:tblCellMar>
        </w:tblPrEx>
        <w:tc>
          <w:tcPr>
            <w:tcW w:w="5148" w:type="dxa"/>
            <w:noWrap w:val="0"/>
            <w:vAlign w:val="top"/>
          </w:tcPr>
          <w:p w14:paraId="1E3E4696">
            <w:pPr>
              <w:spacing w:line="360" w:lineRule="auto"/>
              <w:rPr>
                <w:rFonts w:hint="eastAsia" w:ascii="宋体" w:hAnsi="宋体" w:eastAsia="宋体" w:cs="宋体"/>
                <w:b w:val="0"/>
                <w:bCs/>
                <w:sz w:val="24"/>
                <w:szCs w:val="24"/>
              </w:rPr>
            </w:pPr>
            <w:r>
              <w:rPr>
                <w:rFonts w:hint="eastAsia" w:ascii="宋体" w:hAnsi="宋体" w:eastAsia="宋体" w:cs="宋体"/>
                <w:b w:val="0"/>
                <w:bCs/>
                <w:sz w:val="24"/>
                <w:szCs w:val="24"/>
              </w:rPr>
              <w:t>（签字）</w:t>
            </w:r>
          </w:p>
        </w:tc>
        <w:tc>
          <w:tcPr>
            <w:tcW w:w="4860" w:type="dxa"/>
            <w:noWrap w:val="0"/>
            <w:vAlign w:val="top"/>
          </w:tcPr>
          <w:p w14:paraId="66C99CC9">
            <w:pPr>
              <w:spacing w:line="264" w:lineRule="auto"/>
              <w:rPr>
                <w:rFonts w:hint="eastAsia" w:ascii="宋体" w:hAnsi="宋体" w:eastAsia="宋体" w:cs="宋体"/>
                <w:b w:val="0"/>
                <w:bCs/>
                <w:sz w:val="24"/>
                <w:szCs w:val="24"/>
              </w:rPr>
            </w:pPr>
            <w:r>
              <w:rPr>
                <w:rFonts w:hint="eastAsia" w:ascii="宋体" w:hAnsi="宋体" w:eastAsia="宋体" w:cs="宋体"/>
                <w:b w:val="0"/>
                <w:bCs/>
                <w:sz w:val="24"/>
                <w:szCs w:val="24"/>
              </w:rPr>
              <w:t>（签字）</w:t>
            </w:r>
          </w:p>
        </w:tc>
      </w:tr>
      <w:tr w14:paraId="70E31228">
        <w:tblPrEx>
          <w:tblCellMar>
            <w:top w:w="0" w:type="dxa"/>
            <w:left w:w="108" w:type="dxa"/>
            <w:bottom w:w="0" w:type="dxa"/>
            <w:right w:w="108" w:type="dxa"/>
          </w:tblCellMar>
        </w:tblPrEx>
        <w:tc>
          <w:tcPr>
            <w:tcW w:w="5148" w:type="dxa"/>
            <w:noWrap w:val="0"/>
            <w:vAlign w:val="top"/>
          </w:tcPr>
          <w:p w14:paraId="2D6A5BFD">
            <w:pPr>
              <w:spacing w:line="264" w:lineRule="auto"/>
              <w:rPr>
                <w:rFonts w:hint="eastAsia" w:ascii="宋体" w:hAnsi="宋体" w:eastAsia="宋体" w:cs="宋体"/>
                <w:b w:val="0"/>
                <w:bCs/>
                <w:sz w:val="24"/>
                <w:szCs w:val="24"/>
              </w:rPr>
            </w:pPr>
          </w:p>
        </w:tc>
        <w:tc>
          <w:tcPr>
            <w:tcW w:w="4860" w:type="dxa"/>
            <w:noWrap w:val="0"/>
            <w:vAlign w:val="top"/>
          </w:tcPr>
          <w:p w14:paraId="15778E6D">
            <w:pPr>
              <w:spacing w:line="264" w:lineRule="auto"/>
              <w:rPr>
                <w:rFonts w:hint="eastAsia" w:ascii="宋体" w:hAnsi="宋体" w:eastAsia="宋体" w:cs="宋体"/>
                <w:b w:val="0"/>
                <w:bCs/>
                <w:sz w:val="24"/>
                <w:szCs w:val="24"/>
              </w:rPr>
            </w:pPr>
          </w:p>
        </w:tc>
      </w:tr>
      <w:tr w14:paraId="39689C4C">
        <w:tblPrEx>
          <w:tblCellMar>
            <w:top w:w="0" w:type="dxa"/>
            <w:left w:w="108" w:type="dxa"/>
            <w:bottom w:w="0" w:type="dxa"/>
            <w:right w:w="108" w:type="dxa"/>
          </w:tblCellMar>
        </w:tblPrEx>
        <w:trPr>
          <w:trHeight w:val="350" w:hRule="atLeast"/>
        </w:trPr>
        <w:tc>
          <w:tcPr>
            <w:tcW w:w="5148" w:type="dxa"/>
            <w:noWrap w:val="0"/>
            <w:vAlign w:val="top"/>
          </w:tcPr>
          <w:p w14:paraId="32199E97">
            <w:pPr>
              <w:spacing w:line="264" w:lineRule="auto"/>
              <w:rPr>
                <w:rFonts w:hint="eastAsia" w:ascii="宋体" w:hAnsi="宋体" w:eastAsia="宋体" w:cs="宋体"/>
                <w:b w:val="0"/>
                <w:bCs/>
                <w:sz w:val="24"/>
                <w:szCs w:val="24"/>
              </w:rPr>
            </w:pPr>
            <w:r>
              <w:rPr>
                <w:rFonts w:hint="eastAsia" w:ascii="宋体" w:hAnsi="宋体" w:eastAsia="宋体" w:cs="宋体"/>
                <w:b w:val="0"/>
                <w:bCs/>
                <w:sz w:val="24"/>
                <w:szCs w:val="24"/>
              </w:rPr>
              <w:t>甲方代表：</w:t>
            </w:r>
          </w:p>
        </w:tc>
        <w:tc>
          <w:tcPr>
            <w:tcW w:w="4860" w:type="dxa"/>
            <w:noWrap w:val="0"/>
            <w:vAlign w:val="top"/>
          </w:tcPr>
          <w:p w14:paraId="694A9B16">
            <w:pPr>
              <w:spacing w:line="264" w:lineRule="auto"/>
              <w:rPr>
                <w:rFonts w:hint="eastAsia" w:ascii="宋体" w:hAnsi="宋体" w:eastAsia="宋体" w:cs="宋体"/>
                <w:b w:val="0"/>
                <w:bCs/>
                <w:sz w:val="24"/>
                <w:szCs w:val="24"/>
              </w:rPr>
            </w:pPr>
            <w:r>
              <w:rPr>
                <w:rFonts w:hint="eastAsia" w:ascii="宋体" w:hAnsi="宋体" w:eastAsia="宋体" w:cs="宋体"/>
                <w:b w:val="0"/>
                <w:bCs/>
                <w:sz w:val="24"/>
                <w:szCs w:val="24"/>
              </w:rPr>
              <w:t>乙方代表：</w:t>
            </w:r>
          </w:p>
        </w:tc>
      </w:tr>
      <w:tr w14:paraId="68BB8DB0">
        <w:tblPrEx>
          <w:tblCellMar>
            <w:top w:w="0" w:type="dxa"/>
            <w:left w:w="108" w:type="dxa"/>
            <w:bottom w:w="0" w:type="dxa"/>
            <w:right w:w="108" w:type="dxa"/>
          </w:tblCellMar>
        </w:tblPrEx>
        <w:trPr>
          <w:trHeight w:val="350" w:hRule="atLeast"/>
        </w:trPr>
        <w:tc>
          <w:tcPr>
            <w:tcW w:w="5148" w:type="dxa"/>
            <w:noWrap w:val="0"/>
            <w:vAlign w:val="top"/>
          </w:tcPr>
          <w:p w14:paraId="1B0CD97D">
            <w:pPr>
              <w:spacing w:line="360" w:lineRule="auto"/>
              <w:rPr>
                <w:rFonts w:hint="eastAsia" w:ascii="宋体" w:hAnsi="宋体" w:eastAsia="宋体" w:cs="宋体"/>
                <w:b w:val="0"/>
                <w:bCs/>
                <w:sz w:val="24"/>
                <w:szCs w:val="24"/>
              </w:rPr>
            </w:pPr>
            <w:r>
              <w:rPr>
                <w:rFonts w:hint="eastAsia" w:ascii="宋体" w:hAnsi="宋体" w:eastAsia="宋体" w:cs="宋体"/>
                <w:b w:val="0"/>
                <w:bCs/>
                <w:sz w:val="24"/>
                <w:szCs w:val="24"/>
              </w:rPr>
              <w:t>（签字）</w:t>
            </w:r>
          </w:p>
        </w:tc>
        <w:tc>
          <w:tcPr>
            <w:tcW w:w="4860" w:type="dxa"/>
            <w:noWrap w:val="0"/>
            <w:vAlign w:val="top"/>
          </w:tcPr>
          <w:p w14:paraId="7A5B098A">
            <w:pPr>
              <w:spacing w:line="264" w:lineRule="auto"/>
              <w:rPr>
                <w:rFonts w:hint="eastAsia" w:ascii="宋体" w:hAnsi="宋体" w:eastAsia="宋体" w:cs="宋体"/>
                <w:b w:val="0"/>
                <w:bCs/>
                <w:sz w:val="24"/>
                <w:szCs w:val="24"/>
              </w:rPr>
            </w:pPr>
            <w:r>
              <w:rPr>
                <w:rFonts w:hint="eastAsia" w:ascii="宋体" w:hAnsi="宋体" w:eastAsia="宋体" w:cs="宋体"/>
                <w:b w:val="0"/>
                <w:bCs/>
                <w:sz w:val="24"/>
                <w:szCs w:val="24"/>
              </w:rPr>
              <w:t>（签字）</w:t>
            </w:r>
          </w:p>
        </w:tc>
      </w:tr>
      <w:tr w14:paraId="695A2CA0">
        <w:tblPrEx>
          <w:tblCellMar>
            <w:top w:w="0" w:type="dxa"/>
            <w:left w:w="108" w:type="dxa"/>
            <w:bottom w:w="0" w:type="dxa"/>
            <w:right w:w="108" w:type="dxa"/>
          </w:tblCellMar>
        </w:tblPrEx>
        <w:tc>
          <w:tcPr>
            <w:tcW w:w="5148" w:type="dxa"/>
            <w:noWrap w:val="0"/>
            <w:vAlign w:val="top"/>
          </w:tcPr>
          <w:p w14:paraId="03CA52A9">
            <w:pPr>
              <w:spacing w:line="264" w:lineRule="auto"/>
              <w:rPr>
                <w:rFonts w:hint="eastAsia" w:ascii="宋体" w:hAnsi="宋体" w:eastAsia="宋体" w:cs="宋体"/>
                <w:b w:val="0"/>
                <w:bCs/>
                <w:sz w:val="24"/>
                <w:szCs w:val="24"/>
              </w:rPr>
            </w:pPr>
          </w:p>
        </w:tc>
        <w:tc>
          <w:tcPr>
            <w:tcW w:w="4860" w:type="dxa"/>
            <w:noWrap w:val="0"/>
            <w:vAlign w:val="top"/>
          </w:tcPr>
          <w:p w14:paraId="7963C3DF">
            <w:pPr>
              <w:spacing w:line="264" w:lineRule="auto"/>
              <w:rPr>
                <w:rFonts w:hint="eastAsia" w:ascii="宋体" w:hAnsi="宋体" w:eastAsia="宋体" w:cs="宋体"/>
                <w:b w:val="0"/>
                <w:bCs/>
                <w:sz w:val="24"/>
                <w:szCs w:val="24"/>
              </w:rPr>
            </w:pPr>
            <w:r>
              <w:rPr>
                <w:rFonts w:hint="eastAsia" w:ascii="宋体" w:hAnsi="宋体" w:eastAsia="宋体" w:cs="宋体"/>
                <w:b w:val="0"/>
                <w:bCs/>
                <w:sz w:val="24"/>
                <w:szCs w:val="24"/>
              </w:rPr>
              <w:t>合同专用章：</w:t>
            </w:r>
          </w:p>
        </w:tc>
      </w:tr>
      <w:tr w14:paraId="00D82BCD">
        <w:tblPrEx>
          <w:tblCellMar>
            <w:top w:w="0" w:type="dxa"/>
            <w:left w:w="108" w:type="dxa"/>
            <w:bottom w:w="0" w:type="dxa"/>
            <w:right w:w="108" w:type="dxa"/>
          </w:tblCellMar>
        </w:tblPrEx>
        <w:tc>
          <w:tcPr>
            <w:tcW w:w="5148" w:type="dxa"/>
            <w:noWrap w:val="0"/>
            <w:vAlign w:val="top"/>
          </w:tcPr>
          <w:p w14:paraId="4B30D0A8">
            <w:pPr>
              <w:spacing w:line="264" w:lineRule="auto"/>
              <w:rPr>
                <w:rFonts w:hint="eastAsia" w:ascii="宋体" w:hAnsi="宋体" w:eastAsia="宋体" w:cs="宋体"/>
                <w:b w:val="0"/>
                <w:bCs/>
                <w:sz w:val="24"/>
                <w:szCs w:val="24"/>
              </w:rPr>
            </w:pPr>
          </w:p>
        </w:tc>
        <w:tc>
          <w:tcPr>
            <w:tcW w:w="4860" w:type="dxa"/>
            <w:noWrap w:val="0"/>
            <w:vAlign w:val="top"/>
          </w:tcPr>
          <w:p w14:paraId="7B285D6B">
            <w:pPr>
              <w:spacing w:line="264" w:lineRule="auto"/>
              <w:rPr>
                <w:rFonts w:hint="eastAsia" w:ascii="宋体" w:hAnsi="宋体" w:eastAsia="宋体" w:cs="宋体"/>
                <w:b w:val="0"/>
                <w:bCs/>
                <w:sz w:val="24"/>
                <w:szCs w:val="24"/>
              </w:rPr>
            </w:pPr>
          </w:p>
        </w:tc>
      </w:tr>
      <w:tr w14:paraId="4FF01325">
        <w:tblPrEx>
          <w:tblCellMar>
            <w:top w:w="0" w:type="dxa"/>
            <w:left w:w="108" w:type="dxa"/>
            <w:bottom w:w="0" w:type="dxa"/>
            <w:right w:w="108" w:type="dxa"/>
          </w:tblCellMar>
        </w:tblPrEx>
        <w:tc>
          <w:tcPr>
            <w:tcW w:w="5148" w:type="dxa"/>
            <w:noWrap w:val="0"/>
            <w:vAlign w:val="top"/>
          </w:tcPr>
          <w:p w14:paraId="691F6634">
            <w:pPr>
              <w:spacing w:line="264" w:lineRule="auto"/>
              <w:rPr>
                <w:rFonts w:hint="eastAsia" w:ascii="宋体" w:hAnsi="宋体" w:eastAsia="宋体" w:cs="宋体"/>
                <w:b w:val="0"/>
                <w:bCs/>
                <w:sz w:val="24"/>
                <w:szCs w:val="24"/>
              </w:rPr>
            </w:pPr>
          </w:p>
        </w:tc>
        <w:tc>
          <w:tcPr>
            <w:tcW w:w="4860" w:type="dxa"/>
            <w:noWrap w:val="0"/>
            <w:vAlign w:val="top"/>
          </w:tcPr>
          <w:p w14:paraId="71E3A551">
            <w:pPr>
              <w:spacing w:line="264" w:lineRule="auto"/>
              <w:ind w:left="1054" w:hanging="1200" w:hangingChars="500"/>
              <w:rPr>
                <w:rFonts w:hint="eastAsia" w:ascii="宋体" w:hAnsi="宋体" w:eastAsia="宋体" w:cs="宋体"/>
                <w:b w:val="0"/>
                <w:bCs/>
                <w:sz w:val="24"/>
                <w:szCs w:val="24"/>
              </w:rPr>
            </w:pPr>
            <w:r>
              <w:rPr>
                <w:rFonts w:hint="eastAsia" w:ascii="宋体" w:hAnsi="宋体" w:eastAsia="宋体" w:cs="宋体"/>
                <w:b w:val="0"/>
                <w:bCs/>
                <w:sz w:val="24"/>
                <w:szCs w:val="24"/>
              </w:rPr>
              <w:t>单位地址：</w:t>
            </w:r>
          </w:p>
        </w:tc>
      </w:tr>
      <w:tr w14:paraId="381B357C">
        <w:tblPrEx>
          <w:tblCellMar>
            <w:top w:w="0" w:type="dxa"/>
            <w:left w:w="108" w:type="dxa"/>
            <w:bottom w:w="0" w:type="dxa"/>
            <w:right w:w="108" w:type="dxa"/>
          </w:tblCellMar>
        </w:tblPrEx>
        <w:tc>
          <w:tcPr>
            <w:tcW w:w="5148" w:type="dxa"/>
            <w:noWrap w:val="0"/>
            <w:vAlign w:val="top"/>
          </w:tcPr>
          <w:p w14:paraId="6B1DE548">
            <w:pPr>
              <w:spacing w:line="264" w:lineRule="auto"/>
              <w:rPr>
                <w:rFonts w:hint="eastAsia" w:ascii="宋体" w:hAnsi="宋体" w:eastAsia="宋体" w:cs="宋体"/>
                <w:b w:val="0"/>
                <w:bCs/>
                <w:sz w:val="24"/>
                <w:szCs w:val="24"/>
              </w:rPr>
            </w:pPr>
          </w:p>
          <w:p w14:paraId="2C66BE4A">
            <w:pPr>
              <w:spacing w:line="264" w:lineRule="auto"/>
              <w:rPr>
                <w:rFonts w:hint="eastAsia" w:ascii="宋体" w:hAnsi="宋体" w:eastAsia="宋体" w:cs="宋体"/>
                <w:b w:val="0"/>
                <w:bCs/>
                <w:sz w:val="24"/>
                <w:szCs w:val="24"/>
              </w:rPr>
            </w:pPr>
          </w:p>
        </w:tc>
        <w:tc>
          <w:tcPr>
            <w:tcW w:w="4860" w:type="dxa"/>
            <w:noWrap w:val="0"/>
            <w:vAlign w:val="top"/>
          </w:tcPr>
          <w:p w14:paraId="3E40C39F">
            <w:pPr>
              <w:spacing w:line="264" w:lineRule="auto"/>
              <w:rPr>
                <w:rFonts w:hint="eastAsia" w:ascii="宋体" w:hAnsi="宋体" w:eastAsia="宋体" w:cs="宋体"/>
                <w:b w:val="0"/>
                <w:bCs/>
                <w:sz w:val="24"/>
                <w:szCs w:val="24"/>
              </w:rPr>
            </w:pPr>
          </w:p>
        </w:tc>
      </w:tr>
      <w:tr w14:paraId="33918C4A">
        <w:tblPrEx>
          <w:tblCellMar>
            <w:top w:w="0" w:type="dxa"/>
            <w:left w:w="108" w:type="dxa"/>
            <w:bottom w:w="0" w:type="dxa"/>
            <w:right w:w="108" w:type="dxa"/>
          </w:tblCellMar>
        </w:tblPrEx>
        <w:tc>
          <w:tcPr>
            <w:tcW w:w="5148" w:type="dxa"/>
            <w:noWrap w:val="0"/>
            <w:vAlign w:val="top"/>
          </w:tcPr>
          <w:p w14:paraId="725B68B9">
            <w:pPr>
              <w:spacing w:line="264" w:lineRule="auto"/>
              <w:rPr>
                <w:rFonts w:hint="eastAsia" w:ascii="宋体" w:hAnsi="宋体" w:eastAsia="宋体" w:cs="宋体"/>
                <w:b w:val="0"/>
                <w:bCs/>
                <w:sz w:val="24"/>
                <w:szCs w:val="24"/>
              </w:rPr>
            </w:pPr>
            <w:r>
              <w:rPr>
                <w:rFonts w:hint="eastAsia" w:ascii="宋体" w:hAnsi="宋体" w:eastAsia="宋体" w:cs="宋体"/>
                <w:b w:val="0"/>
                <w:bCs/>
                <w:sz w:val="24"/>
                <w:szCs w:val="24"/>
              </w:rPr>
              <w:t>合同专用章：</w:t>
            </w:r>
          </w:p>
        </w:tc>
        <w:tc>
          <w:tcPr>
            <w:tcW w:w="4860" w:type="dxa"/>
            <w:noWrap w:val="0"/>
            <w:vAlign w:val="top"/>
          </w:tcPr>
          <w:p w14:paraId="6107677A">
            <w:pPr>
              <w:spacing w:line="264" w:lineRule="auto"/>
              <w:rPr>
                <w:rFonts w:hint="eastAsia" w:ascii="宋体" w:hAnsi="宋体" w:eastAsia="宋体" w:cs="宋体"/>
                <w:b w:val="0"/>
                <w:bCs/>
                <w:sz w:val="24"/>
                <w:szCs w:val="24"/>
              </w:rPr>
            </w:pPr>
            <w:r>
              <w:rPr>
                <w:rFonts w:hint="eastAsia" w:ascii="宋体" w:hAnsi="宋体" w:eastAsia="宋体" w:cs="宋体"/>
                <w:b w:val="0"/>
                <w:bCs/>
                <w:sz w:val="24"/>
                <w:szCs w:val="24"/>
              </w:rPr>
              <w:t>单位电话：</w:t>
            </w:r>
          </w:p>
        </w:tc>
      </w:tr>
      <w:tr w14:paraId="6B3CDD05">
        <w:tblPrEx>
          <w:tblCellMar>
            <w:top w:w="0" w:type="dxa"/>
            <w:left w:w="108" w:type="dxa"/>
            <w:bottom w:w="0" w:type="dxa"/>
            <w:right w:w="108" w:type="dxa"/>
          </w:tblCellMar>
        </w:tblPrEx>
        <w:tc>
          <w:tcPr>
            <w:tcW w:w="5148" w:type="dxa"/>
            <w:noWrap w:val="0"/>
            <w:vAlign w:val="top"/>
          </w:tcPr>
          <w:p w14:paraId="312DA1CD">
            <w:pPr>
              <w:spacing w:line="264" w:lineRule="auto"/>
              <w:rPr>
                <w:rFonts w:hint="eastAsia" w:ascii="宋体" w:hAnsi="宋体" w:eastAsia="宋体" w:cs="宋体"/>
                <w:b w:val="0"/>
                <w:bCs/>
                <w:sz w:val="24"/>
                <w:szCs w:val="24"/>
              </w:rPr>
            </w:pPr>
          </w:p>
          <w:p w14:paraId="29200ABE">
            <w:pPr>
              <w:spacing w:line="264" w:lineRule="auto"/>
              <w:rPr>
                <w:rFonts w:hint="eastAsia" w:ascii="宋体" w:hAnsi="宋体" w:eastAsia="宋体" w:cs="宋体"/>
                <w:b w:val="0"/>
                <w:bCs/>
                <w:sz w:val="24"/>
                <w:szCs w:val="24"/>
              </w:rPr>
            </w:pPr>
          </w:p>
        </w:tc>
        <w:tc>
          <w:tcPr>
            <w:tcW w:w="4860" w:type="dxa"/>
            <w:noWrap w:val="0"/>
            <w:vAlign w:val="top"/>
          </w:tcPr>
          <w:p w14:paraId="59F9C5D1">
            <w:pPr>
              <w:spacing w:line="264" w:lineRule="auto"/>
              <w:rPr>
                <w:rFonts w:hint="eastAsia" w:ascii="宋体" w:hAnsi="宋体" w:eastAsia="宋体" w:cs="宋体"/>
                <w:b w:val="0"/>
                <w:bCs/>
                <w:sz w:val="24"/>
                <w:szCs w:val="24"/>
              </w:rPr>
            </w:pPr>
            <w:r>
              <w:rPr>
                <w:rFonts w:hint="eastAsia" w:ascii="宋体" w:hAnsi="宋体" w:eastAsia="宋体" w:cs="宋体"/>
                <w:b w:val="0"/>
                <w:bCs/>
                <w:sz w:val="24"/>
                <w:szCs w:val="24"/>
              </w:rPr>
              <w:t>维修工程师电话：</w:t>
            </w:r>
          </w:p>
        </w:tc>
      </w:tr>
      <w:tr w14:paraId="299D168F">
        <w:tblPrEx>
          <w:tblCellMar>
            <w:top w:w="0" w:type="dxa"/>
            <w:left w:w="108" w:type="dxa"/>
            <w:bottom w:w="0" w:type="dxa"/>
            <w:right w:w="108" w:type="dxa"/>
          </w:tblCellMar>
        </w:tblPrEx>
        <w:tc>
          <w:tcPr>
            <w:tcW w:w="5148" w:type="dxa"/>
            <w:noWrap w:val="0"/>
            <w:vAlign w:val="top"/>
          </w:tcPr>
          <w:p w14:paraId="1944F55A">
            <w:pPr>
              <w:spacing w:line="264" w:lineRule="auto"/>
              <w:rPr>
                <w:rFonts w:hint="eastAsia" w:ascii="宋体" w:hAnsi="宋体" w:eastAsia="宋体" w:cs="宋体"/>
                <w:b w:val="0"/>
                <w:bCs/>
                <w:sz w:val="24"/>
                <w:szCs w:val="24"/>
              </w:rPr>
            </w:pPr>
            <w:r>
              <w:rPr>
                <w:rFonts w:hint="eastAsia" w:ascii="宋体" w:hAnsi="宋体" w:eastAsia="宋体" w:cs="宋体"/>
                <w:b w:val="0"/>
                <w:bCs/>
                <w:sz w:val="24"/>
                <w:szCs w:val="24"/>
              </w:rPr>
              <w:t>单位地址：乌鲁木齐市鲤鱼山路137号</w:t>
            </w:r>
          </w:p>
        </w:tc>
        <w:tc>
          <w:tcPr>
            <w:tcW w:w="4860" w:type="dxa"/>
            <w:noWrap w:val="0"/>
            <w:vAlign w:val="top"/>
          </w:tcPr>
          <w:p w14:paraId="1108CDE2">
            <w:pPr>
              <w:spacing w:line="264" w:lineRule="auto"/>
              <w:rPr>
                <w:rFonts w:hint="eastAsia" w:ascii="宋体" w:hAnsi="宋体" w:eastAsia="宋体" w:cs="宋体"/>
                <w:b w:val="0"/>
                <w:bCs/>
                <w:sz w:val="24"/>
                <w:szCs w:val="24"/>
              </w:rPr>
            </w:pPr>
            <w:r>
              <w:rPr>
                <w:rFonts w:hint="eastAsia" w:ascii="宋体" w:hAnsi="宋体" w:eastAsia="宋体" w:cs="宋体"/>
                <w:b w:val="0"/>
                <w:bCs/>
                <w:sz w:val="24"/>
                <w:szCs w:val="24"/>
              </w:rPr>
              <w:t>开户行：</w:t>
            </w:r>
          </w:p>
        </w:tc>
      </w:tr>
      <w:tr w14:paraId="1849BE50">
        <w:tblPrEx>
          <w:tblCellMar>
            <w:top w:w="0" w:type="dxa"/>
            <w:left w:w="108" w:type="dxa"/>
            <w:bottom w:w="0" w:type="dxa"/>
            <w:right w:w="108" w:type="dxa"/>
          </w:tblCellMar>
        </w:tblPrEx>
        <w:tc>
          <w:tcPr>
            <w:tcW w:w="5148" w:type="dxa"/>
            <w:noWrap w:val="0"/>
            <w:vAlign w:val="top"/>
          </w:tcPr>
          <w:p w14:paraId="38B15B30">
            <w:pPr>
              <w:spacing w:line="264" w:lineRule="auto"/>
              <w:rPr>
                <w:rFonts w:hint="eastAsia" w:ascii="宋体" w:hAnsi="宋体" w:eastAsia="宋体" w:cs="宋体"/>
                <w:b w:val="0"/>
                <w:bCs/>
                <w:sz w:val="24"/>
                <w:szCs w:val="24"/>
              </w:rPr>
            </w:pPr>
          </w:p>
          <w:p w14:paraId="75E08B11">
            <w:pPr>
              <w:spacing w:line="264" w:lineRule="auto"/>
              <w:rPr>
                <w:rFonts w:hint="eastAsia" w:ascii="宋体" w:hAnsi="宋体" w:eastAsia="宋体" w:cs="宋体"/>
                <w:b w:val="0"/>
                <w:bCs/>
                <w:sz w:val="24"/>
                <w:szCs w:val="24"/>
              </w:rPr>
            </w:pPr>
            <w:r>
              <w:rPr>
                <w:rFonts w:hint="eastAsia" w:ascii="宋体" w:hAnsi="宋体" w:eastAsia="宋体" w:cs="宋体"/>
                <w:b w:val="0"/>
                <w:bCs/>
                <w:sz w:val="24"/>
                <w:szCs w:val="24"/>
              </w:rPr>
              <w:t>单位电话：0991-4362698</w:t>
            </w:r>
          </w:p>
        </w:tc>
        <w:tc>
          <w:tcPr>
            <w:tcW w:w="4860" w:type="dxa"/>
            <w:noWrap w:val="0"/>
            <w:vAlign w:val="top"/>
          </w:tcPr>
          <w:p w14:paraId="27B88A69">
            <w:pPr>
              <w:spacing w:line="264" w:lineRule="auto"/>
              <w:rPr>
                <w:rFonts w:hint="eastAsia" w:ascii="宋体" w:hAnsi="宋体" w:eastAsia="宋体" w:cs="宋体"/>
                <w:b w:val="0"/>
                <w:bCs/>
                <w:sz w:val="24"/>
                <w:szCs w:val="24"/>
              </w:rPr>
            </w:pPr>
            <w:r>
              <w:rPr>
                <w:rFonts w:hint="eastAsia" w:ascii="宋体" w:hAnsi="宋体" w:eastAsia="宋体" w:cs="宋体"/>
                <w:b w:val="0"/>
                <w:bCs/>
                <w:sz w:val="24"/>
                <w:szCs w:val="24"/>
              </w:rPr>
              <w:t>帐号：</w:t>
            </w:r>
          </w:p>
        </w:tc>
      </w:tr>
      <w:tr w14:paraId="20414A16">
        <w:tblPrEx>
          <w:tblCellMar>
            <w:top w:w="0" w:type="dxa"/>
            <w:left w:w="108" w:type="dxa"/>
            <w:bottom w:w="0" w:type="dxa"/>
            <w:right w:w="108" w:type="dxa"/>
          </w:tblCellMar>
        </w:tblPrEx>
        <w:tc>
          <w:tcPr>
            <w:tcW w:w="5148" w:type="dxa"/>
            <w:noWrap w:val="0"/>
            <w:vAlign w:val="top"/>
          </w:tcPr>
          <w:p w14:paraId="12DC295C">
            <w:pPr>
              <w:spacing w:line="264" w:lineRule="auto"/>
              <w:rPr>
                <w:rFonts w:hint="eastAsia" w:ascii="宋体" w:hAnsi="宋体" w:eastAsia="宋体" w:cs="宋体"/>
                <w:b w:val="0"/>
                <w:bCs/>
                <w:sz w:val="24"/>
                <w:szCs w:val="24"/>
              </w:rPr>
            </w:pPr>
            <w:r>
              <w:rPr>
                <w:rFonts w:hint="eastAsia" w:ascii="宋体" w:hAnsi="宋体" w:eastAsia="宋体" w:cs="宋体"/>
                <w:b w:val="0"/>
                <w:bCs/>
                <w:sz w:val="24"/>
                <w:szCs w:val="24"/>
              </w:rPr>
              <w:t>合同签订时间：    年   月   日</w:t>
            </w:r>
          </w:p>
        </w:tc>
        <w:tc>
          <w:tcPr>
            <w:tcW w:w="4860" w:type="dxa"/>
            <w:noWrap w:val="0"/>
            <w:vAlign w:val="top"/>
          </w:tcPr>
          <w:p w14:paraId="6B5FDDE9">
            <w:pPr>
              <w:spacing w:line="264" w:lineRule="auto"/>
              <w:rPr>
                <w:rFonts w:hint="eastAsia" w:ascii="宋体" w:hAnsi="宋体" w:eastAsia="宋体" w:cs="宋体"/>
                <w:b w:val="0"/>
                <w:bCs/>
                <w:sz w:val="24"/>
                <w:szCs w:val="24"/>
              </w:rPr>
            </w:pPr>
            <w:r>
              <w:rPr>
                <w:rFonts w:hint="eastAsia" w:ascii="宋体" w:hAnsi="宋体" w:eastAsia="宋体" w:cs="宋体"/>
                <w:b w:val="0"/>
                <w:bCs/>
                <w:sz w:val="24"/>
                <w:szCs w:val="24"/>
              </w:rPr>
              <w:t>合同签订时间：    年   月   日</w:t>
            </w:r>
          </w:p>
        </w:tc>
      </w:tr>
    </w:tbl>
    <w:p w14:paraId="77D2B106">
      <w:pPr>
        <w:rPr>
          <w:rFonts w:hint="eastAsia"/>
          <w:b/>
          <w:bCs/>
          <w:sz w:val="28"/>
          <w:szCs w:val="28"/>
        </w:rPr>
      </w:pPr>
      <w:r>
        <w:rPr>
          <w:rFonts w:hint="eastAsia" w:ascii="宋体" w:hAnsi="宋体" w:eastAsia="宋体" w:cs="宋体"/>
          <w:b w:val="0"/>
          <w:bCs/>
          <w:sz w:val="24"/>
          <w:szCs w:val="24"/>
        </w:rPr>
        <w:br w:type="page"/>
      </w:r>
    </w:p>
    <w:p w14:paraId="43B3DA16">
      <w:pPr>
        <w:snapToGrid w:val="0"/>
        <w:spacing w:line="264" w:lineRule="auto"/>
        <w:ind w:firstLine="273" w:firstLineChars="97"/>
        <w:rPr>
          <w:rFonts w:hint="eastAsia"/>
          <w:sz w:val="32"/>
          <w:szCs w:val="32"/>
        </w:rPr>
      </w:pPr>
      <w:r>
        <w:rPr>
          <w:rFonts w:hint="eastAsia"/>
          <w:b/>
          <w:bCs/>
          <w:sz w:val="28"/>
          <w:szCs w:val="28"/>
        </w:rPr>
        <w:t>附件1：</w:t>
      </w:r>
    </w:p>
    <w:p w14:paraId="4D87721D">
      <w:pPr>
        <w:snapToGrid w:val="0"/>
        <w:spacing w:line="264" w:lineRule="auto"/>
        <w:ind w:firstLine="640" w:firstLineChars="200"/>
        <w:jc w:val="center"/>
        <w:rPr>
          <w:rFonts w:ascii="Times New Roman" w:hAnsi="Times New Roman"/>
          <w:sz w:val="32"/>
          <w:szCs w:val="32"/>
        </w:rPr>
      </w:pPr>
    </w:p>
    <w:p w14:paraId="3EE0B0C4">
      <w:pPr>
        <w:snapToGrid w:val="0"/>
        <w:spacing w:line="264" w:lineRule="auto"/>
        <w:ind w:firstLine="640" w:firstLineChars="200"/>
        <w:jc w:val="center"/>
        <w:rPr>
          <w:rFonts w:ascii="Times New Roman" w:hAnsi="Times New Roman"/>
          <w:sz w:val="32"/>
          <w:szCs w:val="32"/>
        </w:rPr>
      </w:pPr>
      <w:r>
        <w:rPr>
          <w:rFonts w:ascii="Times New Roman" w:hAnsi="Times New Roman"/>
          <w:sz w:val="32"/>
          <w:szCs w:val="32"/>
        </w:rPr>
        <w:t>法人身份证明书或法人代表授权书（如果有授权代表）（加盖公章）</w:t>
      </w:r>
    </w:p>
    <w:p w14:paraId="1D0FBE11">
      <w:pPr>
        <w:snapToGrid w:val="0"/>
        <w:spacing w:line="264" w:lineRule="auto"/>
        <w:ind w:firstLine="640" w:firstLineChars="200"/>
        <w:jc w:val="center"/>
        <w:rPr>
          <w:rFonts w:ascii="Times New Roman" w:hAnsi="Times New Roman"/>
          <w:sz w:val="32"/>
          <w:szCs w:val="32"/>
        </w:rPr>
      </w:pPr>
    </w:p>
    <w:p w14:paraId="683B185D">
      <w:pPr>
        <w:jc w:val="center"/>
        <w:rPr>
          <w:rFonts w:ascii="Times New Roman" w:hAnsi="Times New Roman"/>
          <w:b/>
          <w:bCs/>
          <w:spacing w:val="20"/>
          <w:sz w:val="44"/>
          <w:szCs w:val="44"/>
        </w:rPr>
      </w:pPr>
      <w:r>
        <w:rPr>
          <w:rFonts w:ascii="Times New Roman" w:hAnsi="Times New Roman"/>
          <w:b/>
          <w:bCs/>
          <w:spacing w:val="20"/>
          <w:sz w:val="44"/>
          <w:szCs w:val="44"/>
        </w:rPr>
        <w:t>样本：法人代表授权书</w:t>
      </w:r>
    </w:p>
    <w:p w14:paraId="4CF2C8A9">
      <w:pPr>
        <w:jc w:val="center"/>
        <w:rPr>
          <w:rFonts w:ascii="Times New Roman" w:hAnsi="Times New Roman"/>
          <w:sz w:val="26"/>
          <w:szCs w:val="26"/>
        </w:rPr>
      </w:pPr>
    </w:p>
    <w:p w14:paraId="5494A1AF">
      <w:pPr>
        <w:jc w:val="center"/>
        <w:rPr>
          <w:rFonts w:ascii="Times New Roman" w:hAnsi="Times New Roman"/>
          <w:sz w:val="27"/>
          <w:szCs w:val="27"/>
        </w:rPr>
      </w:pPr>
    </w:p>
    <w:p w14:paraId="2B1E921B">
      <w:pPr>
        <w:pStyle w:val="14"/>
        <w:spacing w:line="760" w:lineRule="exact"/>
        <w:ind w:firstLine="560"/>
        <w:rPr>
          <w:rFonts w:ascii="Times New Roman" w:hAnsi="Times New Roman" w:eastAsia="宋体"/>
          <w:sz w:val="28"/>
          <w:szCs w:val="28"/>
        </w:rPr>
      </w:pPr>
      <w:r>
        <w:rPr>
          <w:rFonts w:ascii="Times New Roman" w:hAnsi="Times New Roman" w:eastAsia="宋体"/>
          <w:sz w:val="28"/>
          <w:szCs w:val="28"/>
        </w:rPr>
        <w:t>本授权书声明：注册于</w:t>
      </w:r>
      <w:r>
        <w:rPr>
          <w:rFonts w:hint="eastAsia" w:ascii="Times New Roman" w:hAnsi="Times New Roman" w:eastAsia="宋体"/>
          <w:b/>
          <w:sz w:val="28"/>
          <w:szCs w:val="28"/>
          <w:u w:val="single"/>
        </w:rPr>
        <w:t xml:space="preserve"> </w:t>
      </w:r>
      <w:r>
        <w:rPr>
          <w:rFonts w:hint="eastAsia" w:ascii="Times New Roman" w:hAnsi="Times New Roman" w:eastAsia="宋体"/>
          <w:b/>
          <w:sz w:val="28"/>
          <w:szCs w:val="28"/>
          <w:u w:val="single"/>
          <w:lang w:val="en-US" w:eastAsia="zh-CN"/>
        </w:rPr>
        <w:t xml:space="preserve"> </w:t>
      </w:r>
      <w:r>
        <w:rPr>
          <w:rFonts w:hint="eastAsia" w:ascii="Times New Roman" w:hAnsi="Times New Roman" w:eastAsia="宋体"/>
          <w:b/>
          <w:sz w:val="28"/>
          <w:szCs w:val="28"/>
          <w:u w:val="single"/>
        </w:rPr>
        <w:t>（地区名称）</w:t>
      </w:r>
      <w:r>
        <w:rPr>
          <w:rFonts w:hint="eastAsia" w:ascii="Times New Roman" w:hAnsi="Times New Roman" w:eastAsia="宋体"/>
          <w:b/>
          <w:sz w:val="28"/>
          <w:szCs w:val="28"/>
          <w:u w:val="single"/>
          <w:lang w:val="en-US" w:eastAsia="zh-CN"/>
        </w:rPr>
        <w:t xml:space="preserve"> </w:t>
      </w:r>
      <w:r>
        <w:rPr>
          <w:rFonts w:ascii="Times New Roman" w:hAnsi="Times New Roman" w:eastAsia="宋体"/>
          <w:b/>
          <w:sz w:val="28"/>
          <w:szCs w:val="28"/>
        </w:rPr>
        <w:t>的</w:t>
      </w:r>
      <w:r>
        <w:rPr>
          <w:rFonts w:hint="eastAsia" w:ascii="Times New Roman" w:hAnsi="Times New Roman" w:eastAsia="宋体"/>
          <w:b/>
          <w:sz w:val="28"/>
          <w:szCs w:val="28"/>
          <w:u w:val="single"/>
        </w:rPr>
        <w:t xml:space="preserve">   （公司名称）   </w:t>
      </w:r>
      <w:r>
        <w:rPr>
          <w:rFonts w:hint="eastAsia" w:ascii="Times New Roman" w:hAnsi="Times New Roman" w:eastAsia="宋体"/>
          <w:sz w:val="28"/>
          <w:szCs w:val="28"/>
        </w:rPr>
        <w:t>法人</w:t>
      </w:r>
      <w:r>
        <w:rPr>
          <w:rFonts w:ascii="Times New Roman" w:hAnsi="Times New Roman" w:eastAsia="宋体"/>
          <w:b/>
          <w:sz w:val="28"/>
          <w:szCs w:val="28"/>
          <w:u w:val="single"/>
        </w:rPr>
        <w:t xml:space="preserve">  </w:t>
      </w:r>
      <w:r>
        <w:rPr>
          <w:rFonts w:hint="eastAsia" w:ascii="Times New Roman" w:hAnsi="Times New Roman" w:eastAsia="宋体"/>
          <w:b/>
          <w:sz w:val="28"/>
          <w:szCs w:val="28"/>
          <w:u w:val="single"/>
        </w:rPr>
        <w:t xml:space="preserve"> （姓名、职务） </w:t>
      </w:r>
      <w:r>
        <w:rPr>
          <w:rFonts w:ascii="Times New Roman" w:hAnsi="Times New Roman" w:eastAsia="宋体"/>
          <w:sz w:val="28"/>
          <w:szCs w:val="28"/>
        </w:rPr>
        <w:t>代表本公司授权</w:t>
      </w:r>
      <w:r>
        <w:rPr>
          <w:rFonts w:hint="eastAsia" w:ascii="Times New Roman" w:hAnsi="Times New Roman" w:eastAsia="宋体"/>
          <w:sz w:val="28"/>
          <w:szCs w:val="28"/>
        </w:rPr>
        <w:t>销售代表</w:t>
      </w:r>
      <w:r>
        <w:rPr>
          <w:rFonts w:hint="eastAsia" w:ascii="Times New Roman" w:hAnsi="Times New Roman" w:eastAsia="宋体"/>
          <w:sz w:val="28"/>
          <w:szCs w:val="28"/>
          <w:u w:val="single"/>
        </w:rPr>
        <w:t xml:space="preserve"> </w:t>
      </w:r>
      <w:r>
        <w:rPr>
          <w:rFonts w:ascii="Times New Roman" w:hAnsi="Times New Roman" w:eastAsia="宋体"/>
          <w:sz w:val="28"/>
          <w:szCs w:val="28"/>
          <w:u w:val="single"/>
        </w:rPr>
        <w:t xml:space="preserve"> </w:t>
      </w:r>
      <w:r>
        <w:rPr>
          <w:rFonts w:hint="eastAsia" w:ascii="Times New Roman" w:hAnsi="Times New Roman" w:eastAsia="宋体"/>
          <w:b/>
          <w:sz w:val="28"/>
          <w:szCs w:val="28"/>
          <w:u w:val="single"/>
        </w:rPr>
        <w:t>（姓名、职务）</w:t>
      </w:r>
      <w:r>
        <w:rPr>
          <w:rFonts w:ascii="Times New Roman" w:hAnsi="Times New Roman" w:eastAsia="宋体"/>
          <w:sz w:val="28"/>
          <w:szCs w:val="28"/>
          <w:u w:val="single"/>
        </w:rPr>
        <w:t xml:space="preserve"> </w:t>
      </w:r>
      <w:r>
        <w:rPr>
          <w:rFonts w:hint="eastAsia" w:ascii="Times New Roman" w:hAnsi="Times New Roman" w:eastAsia="宋体"/>
          <w:b/>
          <w:sz w:val="28"/>
          <w:szCs w:val="28"/>
          <w:u w:val="single"/>
        </w:rPr>
        <w:t xml:space="preserve">  </w:t>
      </w:r>
      <w:r>
        <w:rPr>
          <w:rFonts w:ascii="Times New Roman" w:hAnsi="Times New Roman" w:eastAsia="宋体"/>
          <w:b/>
          <w:sz w:val="28"/>
          <w:szCs w:val="28"/>
          <w:u w:val="single"/>
        </w:rPr>
        <w:t xml:space="preserve"> </w:t>
      </w:r>
      <w:r>
        <w:rPr>
          <w:rFonts w:ascii="Times New Roman" w:hAnsi="Times New Roman" w:eastAsia="宋体"/>
          <w:sz w:val="28"/>
          <w:szCs w:val="28"/>
        </w:rPr>
        <w:t>为本公司的合法代理人，就新疆医科大学第一附属医院</w:t>
      </w:r>
      <w:r>
        <w:rPr>
          <w:rFonts w:hint="eastAsia" w:ascii="Times New Roman" w:hAnsi="Times New Roman" w:eastAsia="宋体"/>
          <w:sz w:val="28"/>
          <w:szCs w:val="28"/>
        </w:rPr>
        <w:t>医疗设备项目</w:t>
      </w:r>
      <w:r>
        <w:rPr>
          <w:rFonts w:ascii="Times New Roman" w:hAnsi="Times New Roman" w:eastAsia="宋体"/>
          <w:b/>
          <w:sz w:val="28"/>
          <w:szCs w:val="28"/>
          <w:u w:val="single"/>
        </w:rPr>
        <w:t xml:space="preserve"> </w:t>
      </w:r>
      <w:r>
        <w:rPr>
          <w:rFonts w:hint="eastAsia" w:ascii="Times New Roman" w:hAnsi="Times New Roman" w:eastAsia="宋体"/>
          <w:b/>
          <w:sz w:val="28"/>
          <w:szCs w:val="28"/>
          <w:u w:val="single"/>
        </w:rPr>
        <w:t xml:space="preserve">    （合同编号+设备名称）   </w:t>
      </w:r>
      <w:r>
        <w:rPr>
          <w:rFonts w:ascii="Times New Roman" w:hAnsi="Times New Roman" w:eastAsia="宋体"/>
          <w:b/>
          <w:sz w:val="28"/>
          <w:szCs w:val="28"/>
          <w:u w:val="single"/>
        </w:rPr>
        <w:t xml:space="preserve"> </w:t>
      </w:r>
      <w:r>
        <w:rPr>
          <w:rFonts w:hint="eastAsia" w:ascii="Times New Roman" w:hAnsi="Times New Roman" w:eastAsia="宋体"/>
          <w:sz w:val="28"/>
          <w:szCs w:val="28"/>
        </w:rPr>
        <w:t>包括但不限于以下方面：谈判响应、合同签订、履行</w:t>
      </w:r>
      <w:r>
        <w:rPr>
          <w:rFonts w:ascii="Times New Roman" w:hAnsi="Times New Roman" w:eastAsia="宋体"/>
          <w:sz w:val="28"/>
          <w:szCs w:val="28"/>
        </w:rPr>
        <w:t>，以本公司的名义处理一切与之有关的事务。</w:t>
      </w:r>
    </w:p>
    <w:p w14:paraId="29F9FF68">
      <w:pPr>
        <w:spacing w:line="700" w:lineRule="exact"/>
        <w:ind w:firstLine="482"/>
        <w:rPr>
          <w:rFonts w:ascii="Times New Roman" w:hAnsi="Times New Roman"/>
          <w:sz w:val="28"/>
          <w:szCs w:val="28"/>
        </w:rPr>
      </w:pPr>
    </w:p>
    <w:p w14:paraId="7C41F9FB">
      <w:pPr>
        <w:spacing w:line="700" w:lineRule="exact"/>
        <w:ind w:firstLine="761" w:firstLineChars="272"/>
        <w:rPr>
          <w:rFonts w:ascii="Times New Roman" w:hAnsi="Times New Roman"/>
          <w:sz w:val="28"/>
          <w:szCs w:val="28"/>
          <w:u w:val="single"/>
        </w:rPr>
      </w:pPr>
      <w:r>
        <w:rPr>
          <w:rFonts w:ascii="Times New Roman" w:hAnsi="Times New Roman"/>
          <w:sz w:val="28"/>
          <w:szCs w:val="28"/>
        </w:rPr>
        <w:t>本授权书于</w:t>
      </w:r>
      <w:r>
        <w:rPr>
          <w:rFonts w:ascii="Times New Roman" w:hAnsi="Times New Roman"/>
          <w:sz w:val="28"/>
          <w:szCs w:val="28"/>
          <w:u w:val="single"/>
        </w:rPr>
        <w:t>　</w:t>
      </w:r>
      <w:r>
        <w:rPr>
          <w:rFonts w:hint="eastAsia" w:ascii="Times New Roman" w:hAnsi="Times New Roman"/>
          <w:sz w:val="28"/>
          <w:szCs w:val="28"/>
          <w:u w:val="single"/>
        </w:rPr>
        <w:t xml:space="preserve">     </w:t>
      </w:r>
      <w:r>
        <w:rPr>
          <w:rFonts w:ascii="Times New Roman" w:hAnsi="Times New Roman"/>
          <w:b/>
          <w:sz w:val="28"/>
          <w:szCs w:val="28"/>
          <w:u w:val="single"/>
        </w:rPr>
        <w:t xml:space="preserve"> </w:t>
      </w:r>
      <w:r>
        <w:rPr>
          <w:rFonts w:ascii="Times New Roman" w:hAnsi="Times New Roman"/>
          <w:sz w:val="28"/>
          <w:szCs w:val="28"/>
        </w:rPr>
        <w:t>年</w:t>
      </w:r>
      <w:r>
        <w:rPr>
          <w:rFonts w:hint="eastAsia" w:ascii="Times New Roman" w:hAnsi="Times New Roman"/>
          <w:b/>
          <w:bCs/>
          <w:sz w:val="28"/>
          <w:szCs w:val="28"/>
          <w:u w:val="single"/>
        </w:rPr>
        <w:t xml:space="preserve">     </w:t>
      </w:r>
      <w:r>
        <w:rPr>
          <w:rFonts w:ascii="Times New Roman" w:hAnsi="Times New Roman"/>
          <w:sz w:val="28"/>
          <w:szCs w:val="28"/>
        </w:rPr>
        <w:t>月</w:t>
      </w:r>
      <w:r>
        <w:rPr>
          <w:rFonts w:hint="eastAsia" w:ascii="Times New Roman" w:hAnsi="Times New Roman"/>
          <w:b/>
          <w:sz w:val="28"/>
          <w:szCs w:val="28"/>
          <w:u w:val="single"/>
        </w:rPr>
        <w:t xml:space="preserve">     </w:t>
      </w:r>
      <w:r>
        <w:rPr>
          <w:rFonts w:ascii="Times New Roman" w:hAnsi="Times New Roman"/>
          <w:sz w:val="28"/>
          <w:szCs w:val="28"/>
        </w:rPr>
        <w:t>日签字生效，特此声明。</w:t>
      </w:r>
    </w:p>
    <w:p w14:paraId="6607EEDB">
      <w:pPr>
        <w:spacing w:line="900" w:lineRule="exact"/>
        <w:ind w:firstLine="759" w:firstLineChars="270"/>
        <w:rPr>
          <w:rFonts w:ascii="Times New Roman" w:hAnsi="Times New Roman"/>
          <w:b/>
          <w:sz w:val="28"/>
          <w:szCs w:val="28"/>
        </w:rPr>
      </w:pPr>
      <w:r>
        <w:rPr>
          <w:rFonts w:ascii="Times New Roman" w:hAnsi="Times New Roman"/>
          <w:b/>
          <w:sz w:val="28"/>
          <w:szCs w:val="28"/>
        </w:rPr>
        <w:t>法人代表签字：</w:t>
      </w:r>
      <w:r>
        <w:rPr>
          <w:rFonts w:ascii="Times New Roman" w:hAnsi="Times New Roman"/>
          <w:b/>
          <w:sz w:val="28"/>
          <w:szCs w:val="28"/>
          <w:u w:val="single"/>
        </w:rPr>
        <w:t>　　　　　　　　　　　　　　</w:t>
      </w:r>
    </w:p>
    <w:p w14:paraId="48ACFEE8">
      <w:pPr>
        <w:spacing w:line="900" w:lineRule="exact"/>
        <w:ind w:firstLine="759" w:firstLineChars="270"/>
        <w:rPr>
          <w:rFonts w:ascii="Times New Roman" w:hAnsi="Times New Roman"/>
          <w:b/>
          <w:sz w:val="28"/>
          <w:szCs w:val="28"/>
        </w:rPr>
      </w:pPr>
      <w:r>
        <w:rPr>
          <w:rFonts w:ascii="Times New Roman" w:hAnsi="Times New Roman"/>
          <w:b/>
          <w:sz w:val="28"/>
          <w:szCs w:val="28"/>
        </w:rPr>
        <w:t>被授权人签字：</w:t>
      </w:r>
      <w:r>
        <w:rPr>
          <w:rFonts w:ascii="Times New Roman" w:hAnsi="Times New Roman"/>
          <w:b/>
          <w:sz w:val="28"/>
          <w:szCs w:val="28"/>
          <w:u w:val="single"/>
        </w:rPr>
        <w:t>　　　　　　　　　　　　　　</w:t>
      </w:r>
    </w:p>
    <w:p w14:paraId="4FD10E91">
      <w:pPr>
        <w:spacing w:line="900" w:lineRule="exact"/>
        <w:ind w:firstLine="759" w:firstLineChars="270"/>
        <w:rPr>
          <w:rFonts w:ascii="Times New Roman" w:hAnsi="Times New Roman"/>
          <w:b/>
          <w:sz w:val="28"/>
          <w:szCs w:val="28"/>
          <w:u w:val="single"/>
        </w:rPr>
      </w:pPr>
      <w:r>
        <w:rPr>
          <w:rFonts w:ascii="Times New Roman" w:hAnsi="Times New Roman"/>
          <w:b/>
          <w:sz w:val="28"/>
          <w:szCs w:val="28"/>
        </w:rPr>
        <w:t>公        章：</w:t>
      </w:r>
      <w:r>
        <w:rPr>
          <w:rFonts w:ascii="Times New Roman" w:hAnsi="Times New Roman"/>
          <w:sz w:val="28"/>
          <w:szCs w:val="28"/>
          <w:u w:val="single"/>
        </w:rPr>
        <w:t xml:space="preserve"> </w:t>
      </w:r>
      <w:r>
        <w:rPr>
          <w:rFonts w:hint="eastAsia" w:ascii="Times New Roman" w:hAnsi="Times New Roman"/>
          <w:b/>
          <w:sz w:val="28"/>
          <w:szCs w:val="28"/>
          <w:u w:val="single"/>
        </w:rPr>
        <w:t xml:space="preserve">    （公司名称）         </w:t>
      </w:r>
      <w:r>
        <w:rPr>
          <w:rFonts w:ascii="Times New Roman" w:hAnsi="Times New Roman"/>
          <w:b/>
          <w:sz w:val="28"/>
          <w:szCs w:val="28"/>
          <w:u w:val="single"/>
        </w:rPr>
        <w:t xml:space="preserve">  </w:t>
      </w:r>
    </w:p>
    <w:p w14:paraId="07EBEC90">
      <w:pPr>
        <w:spacing w:line="900" w:lineRule="exact"/>
        <w:ind w:firstLine="759" w:firstLineChars="270"/>
        <w:rPr>
          <w:rFonts w:ascii="Times New Roman" w:hAnsi="Times New Roman"/>
          <w:b/>
          <w:sz w:val="28"/>
          <w:szCs w:val="28"/>
          <w:u w:val="single"/>
        </w:rPr>
      </w:pPr>
    </w:p>
    <w:p w14:paraId="6CE5F048">
      <w:pPr>
        <w:spacing w:line="900" w:lineRule="exact"/>
        <w:ind w:firstLine="759" w:firstLineChars="270"/>
        <w:rPr>
          <w:rFonts w:hint="eastAsia" w:ascii="Times New Roman" w:hAnsi="Times New Roman"/>
          <w:b/>
          <w:color w:val="FF0000"/>
          <w:sz w:val="28"/>
          <w:szCs w:val="28"/>
          <w:u w:val="single"/>
        </w:rPr>
      </w:pPr>
      <w:r>
        <w:rPr>
          <w:rFonts w:hint="eastAsia" w:ascii="Times New Roman" w:hAnsi="Times New Roman"/>
          <w:b/>
          <w:color w:val="FF0000"/>
          <w:sz w:val="28"/>
          <w:szCs w:val="28"/>
          <w:u w:val="single"/>
        </w:rPr>
        <w:t>附法人及法人授权代表身份证复印件，加盖公章</w:t>
      </w:r>
    </w:p>
    <w:p w14:paraId="13AE04CF">
      <w:pPr>
        <w:rPr>
          <w:rFonts w:hint="eastAsia"/>
          <w:b/>
          <w:bCs/>
          <w:sz w:val="28"/>
          <w:szCs w:val="28"/>
        </w:rPr>
      </w:pPr>
      <w:r>
        <w:rPr>
          <w:rFonts w:hint="eastAsia"/>
          <w:b/>
          <w:bCs/>
          <w:sz w:val="28"/>
          <w:szCs w:val="28"/>
        </w:rPr>
        <w:br w:type="page"/>
      </w:r>
    </w:p>
    <w:p w14:paraId="7EC95B26">
      <w:pPr>
        <w:snapToGrid w:val="0"/>
        <w:spacing w:line="264" w:lineRule="auto"/>
        <w:ind w:firstLine="562" w:firstLineChars="200"/>
        <w:jc w:val="both"/>
        <w:rPr>
          <w:rFonts w:hint="eastAsia"/>
          <w:sz w:val="32"/>
          <w:szCs w:val="32"/>
        </w:rPr>
      </w:pPr>
      <w:r>
        <w:rPr>
          <w:rFonts w:hint="eastAsia"/>
          <w:b/>
          <w:bCs/>
          <w:sz w:val="28"/>
          <w:szCs w:val="28"/>
        </w:rPr>
        <w:t>附件</w:t>
      </w:r>
      <w:r>
        <w:rPr>
          <w:rFonts w:hint="eastAsia"/>
          <w:b/>
          <w:bCs/>
          <w:sz w:val="28"/>
          <w:szCs w:val="28"/>
          <w:lang w:val="en-US" w:eastAsia="zh-CN"/>
        </w:rPr>
        <w:t>2</w:t>
      </w:r>
      <w:r>
        <w:rPr>
          <w:rFonts w:hint="eastAsia"/>
          <w:b/>
          <w:bCs/>
          <w:sz w:val="28"/>
          <w:szCs w:val="28"/>
        </w:rPr>
        <w:t>：</w:t>
      </w:r>
    </w:p>
    <w:p w14:paraId="6EF94996">
      <w:pPr>
        <w:snapToGrid w:val="0"/>
        <w:spacing w:line="264" w:lineRule="auto"/>
        <w:ind w:firstLine="640" w:firstLineChars="200"/>
        <w:jc w:val="center"/>
        <w:rPr>
          <w:rFonts w:hint="eastAsia"/>
          <w:sz w:val="32"/>
          <w:szCs w:val="32"/>
        </w:rPr>
      </w:pPr>
    </w:p>
    <w:p w14:paraId="2F4290DB">
      <w:pPr>
        <w:snapToGrid w:val="0"/>
        <w:spacing w:line="264" w:lineRule="auto"/>
        <w:ind w:firstLine="640" w:firstLineChars="200"/>
        <w:jc w:val="center"/>
        <w:rPr>
          <w:rFonts w:hint="eastAsia"/>
          <w:b/>
          <w:bCs/>
          <w:sz w:val="28"/>
          <w:szCs w:val="28"/>
        </w:rPr>
      </w:pPr>
      <w:r>
        <w:rPr>
          <w:rFonts w:hint="eastAsia"/>
          <w:sz w:val="32"/>
          <w:szCs w:val="32"/>
        </w:rPr>
        <w:fldChar w:fldCharType="begin"/>
      </w:r>
      <w:r>
        <w:rPr>
          <w:rFonts w:hint="eastAsia"/>
          <w:sz w:val="32"/>
          <w:szCs w:val="32"/>
        </w:rPr>
        <w:instrText xml:space="preserve"> HYPERLINK "https://www.baidu.com/s?wd=%E5%8C%BB%E7%96%97%E5%99%A8%E6%A2%B0%E6%B3%A8%E5%86%8C%E8%AF%81&amp;tn=SE_PcZhidaonwhc_ngpagmjz&amp;fenlei=mv6quAkxTZn0IZRqIHckPjm4nH00T1dBuWTsnAD4PycdPynznyfk0ZwV5Hcvrjm3rH6sPfKWUMw85NP7gdKWyh9GuA7EUMICmdq8uLK9uvdJX6K1TL0qnfK1TL0z5HD0IgF_5y9YIZ0lQzqlpA-bmyt8mh7GuZR8mvqVQL7dugPYpyq8Q1nsrj0drH61n6" \t "_blank" </w:instrText>
      </w:r>
      <w:r>
        <w:rPr>
          <w:rFonts w:hint="eastAsia"/>
          <w:sz w:val="32"/>
          <w:szCs w:val="32"/>
        </w:rPr>
        <w:fldChar w:fldCharType="separate"/>
      </w:r>
      <w:r>
        <w:rPr>
          <w:rFonts w:hint="eastAsia"/>
          <w:sz w:val="32"/>
          <w:szCs w:val="32"/>
        </w:rPr>
        <w:t>医疗器械注册证</w:t>
      </w:r>
      <w:r>
        <w:rPr>
          <w:rFonts w:hint="eastAsia"/>
          <w:sz w:val="32"/>
          <w:szCs w:val="32"/>
        </w:rPr>
        <w:fldChar w:fldCharType="end"/>
      </w:r>
      <w:r>
        <w:rPr>
          <w:rFonts w:hint="eastAsia"/>
          <w:b/>
          <w:bCs/>
          <w:color w:val="FF0000"/>
          <w:sz w:val="32"/>
          <w:szCs w:val="32"/>
        </w:rPr>
        <w:t>（加盖公章）</w:t>
      </w:r>
    </w:p>
    <w:p w14:paraId="7EECF9D6">
      <w:pPr>
        <w:snapToGrid w:val="0"/>
        <w:spacing w:line="264" w:lineRule="auto"/>
        <w:jc w:val="left"/>
        <w:rPr>
          <w:rFonts w:hint="eastAsia"/>
          <w:b/>
          <w:bCs/>
          <w:sz w:val="28"/>
          <w:szCs w:val="28"/>
        </w:rPr>
      </w:pPr>
      <w:r>
        <w:rPr>
          <w:rFonts w:hint="eastAsia"/>
          <w:b/>
          <w:bCs/>
          <w:sz w:val="28"/>
          <w:szCs w:val="28"/>
        </w:rPr>
        <w:br w:type="page"/>
      </w:r>
      <w:r>
        <w:rPr>
          <w:rFonts w:hint="eastAsia"/>
          <w:b/>
          <w:bCs/>
          <w:sz w:val="28"/>
          <w:szCs w:val="28"/>
        </w:rPr>
        <w:t>附件</w:t>
      </w:r>
      <w:r>
        <w:rPr>
          <w:rFonts w:hint="eastAsia"/>
          <w:b/>
          <w:bCs/>
          <w:sz w:val="28"/>
          <w:szCs w:val="28"/>
          <w:lang w:val="en-US" w:eastAsia="zh-CN"/>
        </w:rPr>
        <w:t>3</w:t>
      </w:r>
      <w:r>
        <w:rPr>
          <w:rFonts w:hint="eastAsia"/>
          <w:b/>
          <w:bCs/>
          <w:sz w:val="28"/>
          <w:szCs w:val="28"/>
        </w:rPr>
        <w:t>：</w:t>
      </w:r>
    </w:p>
    <w:p w14:paraId="290A337F">
      <w:pPr>
        <w:snapToGrid w:val="0"/>
        <w:spacing w:line="264" w:lineRule="auto"/>
        <w:ind w:firstLine="560" w:firstLineChars="200"/>
        <w:jc w:val="left"/>
        <w:rPr>
          <w:rFonts w:hint="eastAsia"/>
          <w:sz w:val="28"/>
          <w:szCs w:val="28"/>
        </w:rPr>
      </w:pPr>
    </w:p>
    <w:p w14:paraId="3FBF8ACF">
      <w:pPr>
        <w:snapToGrid w:val="0"/>
        <w:spacing w:line="264" w:lineRule="auto"/>
        <w:ind w:firstLine="803" w:firstLineChars="200"/>
        <w:jc w:val="center"/>
        <w:rPr>
          <w:rFonts w:hint="eastAsia"/>
          <w:b/>
          <w:bCs/>
          <w:sz w:val="40"/>
          <w:szCs w:val="40"/>
        </w:rPr>
      </w:pPr>
      <w:r>
        <w:rPr>
          <w:rFonts w:hint="eastAsia"/>
          <w:b/>
          <w:bCs/>
          <w:sz w:val="40"/>
          <w:szCs w:val="40"/>
        </w:rPr>
        <w:t>配 置 清 单</w:t>
      </w:r>
      <w:r>
        <w:rPr>
          <w:rFonts w:hint="eastAsia"/>
          <w:b/>
          <w:bCs/>
          <w:color w:val="FF0000"/>
          <w:sz w:val="40"/>
          <w:szCs w:val="40"/>
        </w:rPr>
        <w:t>（加盖合同专用章）</w:t>
      </w:r>
    </w:p>
    <w:p w14:paraId="3A0F9E3A">
      <w:pPr>
        <w:snapToGrid w:val="0"/>
        <w:spacing w:line="264" w:lineRule="auto"/>
        <w:ind w:firstLine="643" w:firstLineChars="200"/>
        <w:jc w:val="center"/>
        <w:rPr>
          <w:rFonts w:hint="eastAsia"/>
          <w:b/>
          <w:bCs/>
          <w:sz w:val="32"/>
          <w:szCs w:val="32"/>
        </w:rPr>
      </w:pPr>
      <w:r>
        <w:rPr>
          <w:rFonts w:hint="eastAsia"/>
          <w:b/>
          <w:bCs/>
          <w:sz w:val="32"/>
          <w:szCs w:val="32"/>
          <w:u w:val="single"/>
        </w:rPr>
        <w:t xml:space="preserve">        （</w:t>
      </w:r>
      <w:r>
        <w:rPr>
          <w:rFonts w:hint="eastAsia"/>
          <w:b/>
          <w:bCs/>
          <w:sz w:val="32"/>
          <w:szCs w:val="32"/>
        </w:rPr>
        <w:t>型号）</w:t>
      </w:r>
      <w:r>
        <w:rPr>
          <w:rFonts w:hint="eastAsia"/>
          <w:b/>
          <w:bCs/>
          <w:sz w:val="32"/>
          <w:szCs w:val="32"/>
          <w:u w:val="single"/>
        </w:rPr>
        <w:t xml:space="preserve">        （</w:t>
      </w:r>
      <w:r>
        <w:rPr>
          <w:rFonts w:hint="eastAsia"/>
          <w:b/>
          <w:bCs/>
          <w:sz w:val="32"/>
          <w:szCs w:val="32"/>
        </w:rPr>
        <w:t>设备名称）</w:t>
      </w:r>
    </w:p>
    <w:p w14:paraId="2B016143">
      <w:pPr>
        <w:snapToGrid w:val="0"/>
        <w:spacing w:line="264" w:lineRule="auto"/>
        <w:ind w:firstLine="643" w:firstLineChars="200"/>
        <w:jc w:val="left"/>
        <w:rPr>
          <w:rFonts w:hint="eastAsia"/>
          <w:b/>
          <w:bCs/>
          <w:sz w:val="32"/>
          <w:szCs w:val="32"/>
        </w:rPr>
      </w:pPr>
    </w:p>
    <w:p w14:paraId="6E150FA6">
      <w:pPr>
        <w:snapToGrid w:val="0"/>
        <w:spacing w:line="264" w:lineRule="auto"/>
        <w:ind w:firstLine="643" w:firstLineChars="200"/>
        <w:jc w:val="left"/>
        <w:rPr>
          <w:rFonts w:hint="eastAsia"/>
          <w:b/>
          <w:bCs/>
          <w:sz w:val="32"/>
          <w:szCs w:val="32"/>
        </w:rPr>
      </w:pPr>
      <w:r>
        <w:rPr>
          <w:rFonts w:hint="eastAsia"/>
          <w:b/>
          <w:bCs/>
          <w:sz w:val="32"/>
          <w:szCs w:val="32"/>
        </w:rPr>
        <w:t>设备台数：</w:t>
      </w:r>
    </w:p>
    <w:tbl>
      <w:tblPr>
        <w:tblStyle w:val="3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0"/>
        <w:gridCol w:w="1982"/>
        <w:gridCol w:w="1416"/>
        <w:gridCol w:w="1416"/>
        <w:gridCol w:w="1416"/>
        <w:gridCol w:w="1420"/>
      </w:tblGrid>
      <w:tr w14:paraId="7A38E3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8500" w:type="dxa"/>
            <w:gridSpan w:val="6"/>
            <w:noWrap w:val="0"/>
            <w:vAlign w:val="top"/>
          </w:tcPr>
          <w:p w14:paraId="052D50B6">
            <w:pPr>
              <w:snapToGrid w:val="0"/>
              <w:spacing w:line="264" w:lineRule="auto"/>
              <w:jc w:val="center"/>
              <w:rPr>
                <w:rFonts w:hint="eastAsia"/>
                <w:b/>
                <w:bCs/>
                <w:sz w:val="32"/>
                <w:szCs w:val="32"/>
              </w:rPr>
            </w:pPr>
            <w:r>
              <w:rPr>
                <w:rFonts w:hint="eastAsia"/>
                <w:b/>
                <w:bCs/>
                <w:sz w:val="32"/>
                <w:szCs w:val="32"/>
              </w:rPr>
              <w:t>标准配置</w:t>
            </w:r>
          </w:p>
        </w:tc>
      </w:tr>
      <w:tr w14:paraId="5B0826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850" w:type="dxa"/>
            <w:noWrap w:val="0"/>
            <w:vAlign w:val="top"/>
          </w:tcPr>
          <w:p w14:paraId="31610C34">
            <w:pPr>
              <w:snapToGrid w:val="0"/>
              <w:spacing w:line="264" w:lineRule="auto"/>
              <w:jc w:val="center"/>
              <w:rPr>
                <w:rFonts w:hint="eastAsia"/>
                <w:b/>
                <w:bCs/>
                <w:sz w:val="32"/>
                <w:szCs w:val="32"/>
              </w:rPr>
            </w:pPr>
            <w:r>
              <w:rPr>
                <w:rFonts w:hint="eastAsia"/>
                <w:b/>
                <w:bCs/>
                <w:sz w:val="32"/>
                <w:szCs w:val="32"/>
              </w:rPr>
              <w:t>序号</w:t>
            </w:r>
          </w:p>
        </w:tc>
        <w:tc>
          <w:tcPr>
            <w:tcW w:w="1982" w:type="dxa"/>
            <w:noWrap w:val="0"/>
            <w:vAlign w:val="top"/>
          </w:tcPr>
          <w:p w14:paraId="3641BFBD">
            <w:pPr>
              <w:snapToGrid w:val="0"/>
              <w:spacing w:line="264" w:lineRule="auto"/>
              <w:jc w:val="center"/>
              <w:rPr>
                <w:rFonts w:hint="eastAsia"/>
                <w:b/>
                <w:bCs/>
                <w:sz w:val="32"/>
                <w:szCs w:val="32"/>
              </w:rPr>
            </w:pPr>
            <w:r>
              <w:rPr>
                <w:rFonts w:hint="eastAsia"/>
                <w:b/>
                <w:bCs/>
                <w:sz w:val="32"/>
                <w:szCs w:val="32"/>
              </w:rPr>
              <w:t>名称</w:t>
            </w:r>
          </w:p>
        </w:tc>
        <w:tc>
          <w:tcPr>
            <w:tcW w:w="1416" w:type="dxa"/>
            <w:noWrap w:val="0"/>
            <w:vAlign w:val="top"/>
          </w:tcPr>
          <w:p w14:paraId="49E52506">
            <w:pPr>
              <w:snapToGrid w:val="0"/>
              <w:spacing w:line="264" w:lineRule="auto"/>
              <w:jc w:val="center"/>
              <w:rPr>
                <w:rFonts w:hint="eastAsia"/>
                <w:b/>
                <w:bCs/>
                <w:sz w:val="32"/>
                <w:szCs w:val="32"/>
              </w:rPr>
            </w:pPr>
            <w:r>
              <w:rPr>
                <w:rFonts w:hint="eastAsia"/>
                <w:b/>
                <w:bCs/>
                <w:sz w:val="32"/>
                <w:szCs w:val="32"/>
              </w:rPr>
              <w:t>型号</w:t>
            </w:r>
          </w:p>
        </w:tc>
        <w:tc>
          <w:tcPr>
            <w:tcW w:w="1416" w:type="dxa"/>
            <w:noWrap w:val="0"/>
            <w:vAlign w:val="top"/>
          </w:tcPr>
          <w:p w14:paraId="5A1DB435">
            <w:pPr>
              <w:snapToGrid w:val="0"/>
              <w:spacing w:line="264" w:lineRule="auto"/>
              <w:jc w:val="center"/>
              <w:rPr>
                <w:rFonts w:hint="eastAsia"/>
                <w:b/>
                <w:bCs/>
                <w:sz w:val="32"/>
                <w:szCs w:val="32"/>
              </w:rPr>
            </w:pPr>
            <w:r>
              <w:rPr>
                <w:rFonts w:hint="eastAsia"/>
                <w:b/>
                <w:bCs/>
                <w:sz w:val="32"/>
                <w:szCs w:val="32"/>
              </w:rPr>
              <w:t>数量</w:t>
            </w:r>
          </w:p>
        </w:tc>
        <w:tc>
          <w:tcPr>
            <w:tcW w:w="1416" w:type="dxa"/>
            <w:noWrap w:val="0"/>
            <w:vAlign w:val="top"/>
          </w:tcPr>
          <w:p w14:paraId="40E47CF0">
            <w:pPr>
              <w:snapToGrid w:val="0"/>
              <w:spacing w:line="264" w:lineRule="auto"/>
              <w:jc w:val="center"/>
              <w:rPr>
                <w:rFonts w:hint="eastAsia"/>
                <w:b/>
                <w:bCs/>
                <w:sz w:val="32"/>
                <w:szCs w:val="32"/>
              </w:rPr>
            </w:pPr>
            <w:r>
              <w:rPr>
                <w:rFonts w:hint="eastAsia"/>
                <w:b/>
                <w:bCs/>
                <w:sz w:val="32"/>
                <w:szCs w:val="32"/>
              </w:rPr>
              <w:t>单位</w:t>
            </w:r>
          </w:p>
        </w:tc>
        <w:tc>
          <w:tcPr>
            <w:tcW w:w="1420" w:type="dxa"/>
            <w:noWrap w:val="0"/>
            <w:vAlign w:val="top"/>
          </w:tcPr>
          <w:p w14:paraId="7AE3D2CB">
            <w:pPr>
              <w:snapToGrid w:val="0"/>
              <w:spacing w:line="264" w:lineRule="auto"/>
              <w:jc w:val="center"/>
              <w:rPr>
                <w:rFonts w:hint="eastAsia"/>
                <w:b/>
                <w:bCs/>
                <w:sz w:val="32"/>
                <w:szCs w:val="32"/>
              </w:rPr>
            </w:pPr>
            <w:r>
              <w:rPr>
                <w:rFonts w:hint="eastAsia"/>
                <w:b/>
                <w:bCs/>
                <w:sz w:val="32"/>
                <w:szCs w:val="32"/>
              </w:rPr>
              <w:t>备注</w:t>
            </w:r>
          </w:p>
        </w:tc>
      </w:tr>
      <w:tr w14:paraId="45414D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850" w:type="dxa"/>
            <w:noWrap w:val="0"/>
            <w:vAlign w:val="top"/>
          </w:tcPr>
          <w:p w14:paraId="76FCED50">
            <w:pPr>
              <w:snapToGrid w:val="0"/>
              <w:spacing w:line="264" w:lineRule="auto"/>
              <w:jc w:val="center"/>
              <w:rPr>
                <w:rFonts w:hint="eastAsia"/>
                <w:sz w:val="32"/>
                <w:szCs w:val="32"/>
              </w:rPr>
            </w:pPr>
            <w:r>
              <w:rPr>
                <w:rFonts w:hint="eastAsia"/>
                <w:sz w:val="32"/>
                <w:szCs w:val="32"/>
              </w:rPr>
              <w:t>1</w:t>
            </w:r>
          </w:p>
        </w:tc>
        <w:tc>
          <w:tcPr>
            <w:tcW w:w="1982" w:type="dxa"/>
            <w:noWrap w:val="0"/>
            <w:vAlign w:val="top"/>
          </w:tcPr>
          <w:p w14:paraId="01E47D40">
            <w:pPr>
              <w:snapToGrid w:val="0"/>
              <w:spacing w:line="264" w:lineRule="auto"/>
              <w:jc w:val="center"/>
              <w:rPr>
                <w:rFonts w:hint="eastAsia"/>
                <w:sz w:val="32"/>
                <w:szCs w:val="32"/>
              </w:rPr>
            </w:pPr>
          </w:p>
        </w:tc>
        <w:tc>
          <w:tcPr>
            <w:tcW w:w="1416" w:type="dxa"/>
            <w:noWrap w:val="0"/>
            <w:vAlign w:val="top"/>
          </w:tcPr>
          <w:p w14:paraId="14EA6F96">
            <w:pPr>
              <w:snapToGrid w:val="0"/>
              <w:spacing w:line="264" w:lineRule="auto"/>
              <w:jc w:val="center"/>
              <w:rPr>
                <w:rFonts w:hint="eastAsia"/>
                <w:sz w:val="32"/>
                <w:szCs w:val="32"/>
              </w:rPr>
            </w:pPr>
          </w:p>
        </w:tc>
        <w:tc>
          <w:tcPr>
            <w:tcW w:w="1416" w:type="dxa"/>
            <w:noWrap w:val="0"/>
            <w:vAlign w:val="top"/>
          </w:tcPr>
          <w:p w14:paraId="772A8CB0">
            <w:pPr>
              <w:snapToGrid w:val="0"/>
              <w:spacing w:line="264" w:lineRule="auto"/>
              <w:jc w:val="center"/>
              <w:rPr>
                <w:rFonts w:hint="eastAsia"/>
                <w:sz w:val="32"/>
                <w:szCs w:val="32"/>
              </w:rPr>
            </w:pPr>
          </w:p>
        </w:tc>
        <w:tc>
          <w:tcPr>
            <w:tcW w:w="1416" w:type="dxa"/>
            <w:noWrap w:val="0"/>
            <w:vAlign w:val="top"/>
          </w:tcPr>
          <w:p w14:paraId="5B59E381">
            <w:pPr>
              <w:snapToGrid w:val="0"/>
              <w:spacing w:line="264" w:lineRule="auto"/>
              <w:jc w:val="center"/>
              <w:rPr>
                <w:rFonts w:hint="eastAsia"/>
                <w:sz w:val="32"/>
                <w:szCs w:val="32"/>
              </w:rPr>
            </w:pPr>
          </w:p>
        </w:tc>
        <w:tc>
          <w:tcPr>
            <w:tcW w:w="1420" w:type="dxa"/>
            <w:noWrap w:val="0"/>
            <w:vAlign w:val="top"/>
          </w:tcPr>
          <w:p w14:paraId="79BC837D">
            <w:pPr>
              <w:snapToGrid w:val="0"/>
              <w:spacing w:line="264" w:lineRule="auto"/>
              <w:jc w:val="center"/>
              <w:rPr>
                <w:rFonts w:hint="eastAsia"/>
                <w:sz w:val="32"/>
                <w:szCs w:val="32"/>
              </w:rPr>
            </w:pPr>
          </w:p>
        </w:tc>
      </w:tr>
      <w:tr w14:paraId="474037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850" w:type="dxa"/>
            <w:noWrap w:val="0"/>
            <w:vAlign w:val="top"/>
          </w:tcPr>
          <w:p w14:paraId="3A0BBA4A">
            <w:pPr>
              <w:snapToGrid w:val="0"/>
              <w:spacing w:line="264" w:lineRule="auto"/>
              <w:jc w:val="center"/>
              <w:rPr>
                <w:rFonts w:hint="eastAsia"/>
                <w:sz w:val="32"/>
                <w:szCs w:val="32"/>
              </w:rPr>
            </w:pPr>
            <w:r>
              <w:rPr>
                <w:rFonts w:hint="eastAsia"/>
                <w:sz w:val="32"/>
                <w:szCs w:val="32"/>
              </w:rPr>
              <w:t>2</w:t>
            </w:r>
          </w:p>
        </w:tc>
        <w:tc>
          <w:tcPr>
            <w:tcW w:w="1982" w:type="dxa"/>
            <w:noWrap w:val="0"/>
            <w:vAlign w:val="top"/>
          </w:tcPr>
          <w:p w14:paraId="1B59C465">
            <w:pPr>
              <w:snapToGrid w:val="0"/>
              <w:spacing w:line="264" w:lineRule="auto"/>
              <w:jc w:val="center"/>
              <w:rPr>
                <w:rFonts w:hint="eastAsia"/>
                <w:sz w:val="32"/>
                <w:szCs w:val="32"/>
              </w:rPr>
            </w:pPr>
          </w:p>
        </w:tc>
        <w:tc>
          <w:tcPr>
            <w:tcW w:w="1416" w:type="dxa"/>
            <w:noWrap w:val="0"/>
            <w:vAlign w:val="top"/>
          </w:tcPr>
          <w:p w14:paraId="150AEFB9">
            <w:pPr>
              <w:snapToGrid w:val="0"/>
              <w:spacing w:line="264" w:lineRule="auto"/>
              <w:jc w:val="center"/>
              <w:rPr>
                <w:rFonts w:hint="eastAsia"/>
                <w:sz w:val="32"/>
                <w:szCs w:val="32"/>
              </w:rPr>
            </w:pPr>
          </w:p>
        </w:tc>
        <w:tc>
          <w:tcPr>
            <w:tcW w:w="1416" w:type="dxa"/>
            <w:noWrap w:val="0"/>
            <w:vAlign w:val="top"/>
          </w:tcPr>
          <w:p w14:paraId="5F6B9B68">
            <w:pPr>
              <w:snapToGrid w:val="0"/>
              <w:spacing w:line="264" w:lineRule="auto"/>
              <w:jc w:val="center"/>
              <w:rPr>
                <w:rFonts w:hint="eastAsia"/>
                <w:sz w:val="32"/>
                <w:szCs w:val="32"/>
              </w:rPr>
            </w:pPr>
          </w:p>
        </w:tc>
        <w:tc>
          <w:tcPr>
            <w:tcW w:w="1416" w:type="dxa"/>
            <w:noWrap w:val="0"/>
            <w:vAlign w:val="top"/>
          </w:tcPr>
          <w:p w14:paraId="3CBA8F19">
            <w:pPr>
              <w:snapToGrid w:val="0"/>
              <w:spacing w:line="264" w:lineRule="auto"/>
              <w:jc w:val="center"/>
              <w:rPr>
                <w:rFonts w:hint="eastAsia"/>
                <w:sz w:val="32"/>
                <w:szCs w:val="32"/>
              </w:rPr>
            </w:pPr>
          </w:p>
        </w:tc>
        <w:tc>
          <w:tcPr>
            <w:tcW w:w="1420" w:type="dxa"/>
            <w:noWrap w:val="0"/>
            <w:vAlign w:val="top"/>
          </w:tcPr>
          <w:p w14:paraId="2EC5B5FC">
            <w:pPr>
              <w:snapToGrid w:val="0"/>
              <w:spacing w:line="264" w:lineRule="auto"/>
              <w:jc w:val="center"/>
              <w:rPr>
                <w:rFonts w:hint="eastAsia"/>
                <w:sz w:val="32"/>
                <w:szCs w:val="32"/>
              </w:rPr>
            </w:pPr>
          </w:p>
        </w:tc>
      </w:tr>
      <w:tr w14:paraId="56E111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850" w:type="dxa"/>
            <w:noWrap w:val="0"/>
            <w:vAlign w:val="top"/>
          </w:tcPr>
          <w:p w14:paraId="002BDBDB">
            <w:pPr>
              <w:snapToGrid w:val="0"/>
              <w:spacing w:line="264" w:lineRule="auto"/>
              <w:jc w:val="center"/>
              <w:rPr>
                <w:rFonts w:hint="eastAsia"/>
                <w:sz w:val="32"/>
                <w:szCs w:val="32"/>
              </w:rPr>
            </w:pPr>
            <w:r>
              <w:rPr>
                <w:rFonts w:hint="eastAsia"/>
                <w:sz w:val="32"/>
                <w:szCs w:val="32"/>
              </w:rPr>
              <w:t>3</w:t>
            </w:r>
          </w:p>
        </w:tc>
        <w:tc>
          <w:tcPr>
            <w:tcW w:w="1982" w:type="dxa"/>
            <w:noWrap w:val="0"/>
            <w:vAlign w:val="top"/>
          </w:tcPr>
          <w:p w14:paraId="58847BC1">
            <w:pPr>
              <w:snapToGrid w:val="0"/>
              <w:spacing w:line="264" w:lineRule="auto"/>
              <w:jc w:val="center"/>
              <w:rPr>
                <w:rFonts w:hint="eastAsia"/>
                <w:sz w:val="32"/>
                <w:szCs w:val="32"/>
              </w:rPr>
            </w:pPr>
          </w:p>
        </w:tc>
        <w:tc>
          <w:tcPr>
            <w:tcW w:w="1416" w:type="dxa"/>
            <w:noWrap w:val="0"/>
            <w:vAlign w:val="top"/>
          </w:tcPr>
          <w:p w14:paraId="4007B6CC">
            <w:pPr>
              <w:snapToGrid w:val="0"/>
              <w:spacing w:line="264" w:lineRule="auto"/>
              <w:jc w:val="center"/>
              <w:rPr>
                <w:rFonts w:hint="eastAsia"/>
                <w:sz w:val="32"/>
                <w:szCs w:val="32"/>
              </w:rPr>
            </w:pPr>
          </w:p>
        </w:tc>
        <w:tc>
          <w:tcPr>
            <w:tcW w:w="1416" w:type="dxa"/>
            <w:noWrap w:val="0"/>
            <w:vAlign w:val="top"/>
          </w:tcPr>
          <w:p w14:paraId="4CF6349E">
            <w:pPr>
              <w:snapToGrid w:val="0"/>
              <w:spacing w:line="264" w:lineRule="auto"/>
              <w:jc w:val="center"/>
              <w:rPr>
                <w:rFonts w:hint="eastAsia"/>
                <w:sz w:val="32"/>
                <w:szCs w:val="32"/>
              </w:rPr>
            </w:pPr>
          </w:p>
        </w:tc>
        <w:tc>
          <w:tcPr>
            <w:tcW w:w="1416" w:type="dxa"/>
            <w:noWrap w:val="0"/>
            <w:vAlign w:val="top"/>
          </w:tcPr>
          <w:p w14:paraId="7EA278FE">
            <w:pPr>
              <w:snapToGrid w:val="0"/>
              <w:spacing w:line="264" w:lineRule="auto"/>
              <w:jc w:val="center"/>
              <w:rPr>
                <w:rFonts w:hint="eastAsia"/>
                <w:sz w:val="32"/>
                <w:szCs w:val="32"/>
              </w:rPr>
            </w:pPr>
          </w:p>
        </w:tc>
        <w:tc>
          <w:tcPr>
            <w:tcW w:w="1420" w:type="dxa"/>
            <w:noWrap w:val="0"/>
            <w:vAlign w:val="top"/>
          </w:tcPr>
          <w:p w14:paraId="54ED0084">
            <w:pPr>
              <w:snapToGrid w:val="0"/>
              <w:spacing w:line="264" w:lineRule="auto"/>
              <w:jc w:val="center"/>
              <w:rPr>
                <w:rFonts w:hint="eastAsia"/>
                <w:sz w:val="32"/>
                <w:szCs w:val="32"/>
              </w:rPr>
            </w:pPr>
          </w:p>
        </w:tc>
      </w:tr>
      <w:tr w14:paraId="0B6B12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850" w:type="dxa"/>
            <w:noWrap w:val="0"/>
            <w:vAlign w:val="top"/>
          </w:tcPr>
          <w:p w14:paraId="6951D8F2">
            <w:pPr>
              <w:snapToGrid w:val="0"/>
              <w:spacing w:line="264" w:lineRule="auto"/>
              <w:jc w:val="center"/>
              <w:rPr>
                <w:rFonts w:hint="eastAsia"/>
                <w:sz w:val="32"/>
                <w:szCs w:val="32"/>
              </w:rPr>
            </w:pPr>
            <w:r>
              <w:rPr>
                <w:rFonts w:hint="eastAsia"/>
                <w:sz w:val="32"/>
                <w:szCs w:val="32"/>
              </w:rPr>
              <w:t>4</w:t>
            </w:r>
          </w:p>
        </w:tc>
        <w:tc>
          <w:tcPr>
            <w:tcW w:w="1982" w:type="dxa"/>
            <w:noWrap w:val="0"/>
            <w:vAlign w:val="top"/>
          </w:tcPr>
          <w:p w14:paraId="6EB08F15">
            <w:pPr>
              <w:snapToGrid w:val="0"/>
              <w:spacing w:line="264" w:lineRule="auto"/>
              <w:jc w:val="center"/>
              <w:rPr>
                <w:rFonts w:hint="eastAsia"/>
                <w:sz w:val="32"/>
                <w:szCs w:val="32"/>
              </w:rPr>
            </w:pPr>
          </w:p>
        </w:tc>
        <w:tc>
          <w:tcPr>
            <w:tcW w:w="1416" w:type="dxa"/>
            <w:noWrap w:val="0"/>
            <w:vAlign w:val="top"/>
          </w:tcPr>
          <w:p w14:paraId="2DB0AC15">
            <w:pPr>
              <w:snapToGrid w:val="0"/>
              <w:spacing w:line="264" w:lineRule="auto"/>
              <w:jc w:val="center"/>
              <w:rPr>
                <w:rFonts w:hint="eastAsia"/>
                <w:sz w:val="32"/>
                <w:szCs w:val="32"/>
              </w:rPr>
            </w:pPr>
          </w:p>
        </w:tc>
        <w:tc>
          <w:tcPr>
            <w:tcW w:w="1416" w:type="dxa"/>
            <w:noWrap w:val="0"/>
            <w:vAlign w:val="top"/>
          </w:tcPr>
          <w:p w14:paraId="2B611913">
            <w:pPr>
              <w:snapToGrid w:val="0"/>
              <w:spacing w:line="264" w:lineRule="auto"/>
              <w:jc w:val="center"/>
              <w:rPr>
                <w:rFonts w:hint="eastAsia"/>
                <w:sz w:val="32"/>
                <w:szCs w:val="32"/>
              </w:rPr>
            </w:pPr>
          </w:p>
        </w:tc>
        <w:tc>
          <w:tcPr>
            <w:tcW w:w="1416" w:type="dxa"/>
            <w:noWrap w:val="0"/>
            <w:vAlign w:val="top"/>
          </w:tcPr>
          <w:p w14:paraId="5FAF4111">
            <w:pPr>
              <w:snapToGrid w:val="0"/>
              <w:spacing w:line="264" w:lineRule="auto"/>
              <w:jc w:val="center"/>
              <w:rPr>
                <w:rFonts w:hint="eastAsia"/>
                <w:sz w:val="32"/>
                <w:szCs w:val="32"/>
              </w:rPr>
            </w:pPr>
          </w:p>
        </w:tc>
        <w:tc>
          <w:tcPr>
            <w:tcW w:w="1420" w:type="dxa"/>
            <w:noWrap w:val="0"/>
            <w:vAlign w:val="top"/>
          </w:tcPr>
          <w:p w14:paraId="7D98F772">
            <w:pPr>
              <w:snapToGrid w:val="0"/>
              <w:spacing w:line="264" w:lineRule="auto"/>
              <w:jc w:val="center"/>
              <w:rPr>
                <w:rFonts w:hint="eastAsia"/>
                <w:sz w:val="32"/>
                <w:szCs w:val="32"/>
              </w:rPr>
            </w:pPr>
          </w:p>
        </w:tc>
      </w:tr>
      <w:tr w14:paraId="101C28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850" w:type="dxa"/>
            <w:noWrap w:val="0"/>
            <w:vAlign w:val="top"/>
          </w:tcPr>
          <w:p w14:paraId="521EF758">
            <w:pPr>
              <w:snapToGrid w:val="0"/>
              <w:spacing w:line="264" w:lineRule="auto"/>
              <w:jc w:val="center"/>
              <w:rPr>
                <w:rFonts w:hint="eastAsia"/>
                <w:sz w:val="32"/>
                <w:szCs w:val="32"/>
              </w:rPr>
            </w:pPr>
            <w:r>
              <w:rPr>
                <w:rFonts w:hint="eastAsia"/>
                <w:sz w:val="32"/>
                <w:szCs w:val="32"/>
              </w:rPr>
              <w:t>5</w:t>
            </w:r>
          </w:p>
        </w:tc>
        <w:tc>
          <w:tcPr>
            <w:tcW w:w="1982" w:type="dxa"/>
            <w:noWrap w:val="0"/>
            <w:vAlign w:val="top"/>
          </w:tcPr>
          <w:p w14:paraId="1D91C4EA">
            <w:pPr>
              <w:snapToGrid w:val="0"/>
              <w:spacing w:line="264" w:lineRule="auto"/>
              <w:jc w:val="center"/>
              <w:rPr>
                <w:rFonts w:hint="eastAsia"/>
                <w:sz w:val="32"/>
                <w:szCs w:val="32"/>
              </w:rPr>
            </w:pPr>
          </w:p>
        </w:tc>
        <w:tc>
          <w:tcPr>
            <w:tcW w:w="1416" w:type="dxa"/>
            <w:noWrap w:val="0"/>
            <w:vAlign w:val="top"/>
          </w:tcPr>
          <w:p w14:paraId="08F8296A">
            <w:pPr>
              <w:snapToGrid w:val="0"/>
              <w:spacing w:line="264" w:lineRule="auto"/>
              <w:jc w:val="center"/>
              <w:rPr>
                <w:rFonts w:hint="eastAsia"/>
                <w:sz w:val="32"/>
                <w:szCs w:val="32"/>
              </w:rPr>
            </w:pPr>
          </w:p>
        </w:tc>
        <w:tc>
          <w:tcPr>
            <w:tcW w:w="1416" w:type="dxa"/>
            <w:noWrap w:val="0"/>
            <w:vAlign w:val="top"/>
          </w:tcPr>
          <w:p w14:paraId="26903EA7">
            <w:pPr>
              <w:snapToGrid w:val="0"/>
              <w:spacing w:line="264" w:lineRule="auto"/>
              <w:jc w:val="center"/>
              <w:rPr>
                <w:rFonts w:hint="eastAsia"/>
                <w:sz w:val="32"/>
                <w:szCs w:val="32"/>
              </w:rPr>
            </w:pPr>
          </w:p>
        </w:tc>
        <w:tc>
          <w:tcPr>
            <w:tcW w:w="1416" w:type="dxa"/>
            <w:noWrap w:val="0"/>
            <w:vAlign w:val="top"/>
          </w:tcPr>
          <w:p w14:paraId="4A1655E1">
            <w:pPr>
              <w:snapToGrid w:val="0"/>
              <w:spacing w:line="264" w:lineRule="auto"/>
              <w:jc w:val="center"/>
              <w:rPr>
                <w:rFonts w:hint="eastAsia"/>
                <w:sz w:val="32"/>
                <w:szCs w:val="32"/>
              </w:rPr>
            </w:pPr>
          </w:p>
        </w:tc>
        <w:tc>
          <w:tcPr>
            <w:tcW w:w="1420" w:type="dxa"/>
            <w:noWrap w:val="0"/>
            <w:vAlign w:val="top"/>
          </w:tcPr>
          <w:p w14:paraId="231D367A">
            <w:pPr>
              <w:snapToGrid w:val="0"/>
              <w:spacing w:line="264" w:lineRule="auto"/>
              <w:jc w:val="center"/>
              <w:rPr>
                <w:rFonts w:hint="eastAsia"/>
                <w:sz w:val="32"/>
                <w:szCs w:val="32"/>
              </w:rPr>
            </w:pPr>
          </w:p>
        </w:tc>
      </w:tr>
      <w:tr w14:paraId="61A22D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8500" w:type="dxa"/>
            <w:gridSpan w:val="6"/>
            <w:noWrap w:val="0"/>
            <w:vAlign w:val="top"/>
          </w:tcPr>
          <w:p w14:paraId="7048E629">
            <w:pPr>
              <w:snapToGrid w:val="0"/>
              <w:spacing w:line="264" w:lineRule="auto"/>
              <w:jc w:val="center"/>
              <w:rPr>
                <w:rFonts w:hint="eastAsia"/>
                <w:b/>
                <w:bCs/>
                <w:sz w:val="32"/>
                <w:szCs w:val="32"/>
              </w:rPr>
            </w:pPr>
            <w:r>
              <w:rPr>
                <w:rFonts w:hint="eastAsia"/>
                <w:b/>
                <w:bCs/>
                <w:sz w:val="32"/>
                <w:szCs w:val="32"/>
              </w:rPr>
              <w:t>增配</w:t>
            </w:r>
          </w:p>
        </w:tc>
      </w:tr>
      <w:tr w14:paraId="4B3F8A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850" w:type="dxa"/>
            <w:noWrap w:val="0"/>
            <w:vAlign w:val="top"/>
          </w:tcPr>
          <w:p w14:paraId="31C53C15">
            <w:pPr>
              <w:snapToGrid w:val="0"/>
              <w:spacing w:line="264" w:lineRule="auto"/>
              <w:jc w:val="center"/>
              <w:rPr>
                <w:rFonts w:hint="eastAsia"/>
                <w:b/>
                <w:bCs/>
                <w:sz w:val="32"/>
                <w:szCs w:val="32"/>
              </w:rPr>
            </w:pPr>
            <w:r>
              <w:rPr>
                <w:rFonts w:hint="eastAsia"/>
                <w:b/>
                <w:bCs/>
                <w:sz w:val="32"/>
                <w:szCs w:val="32"/>
              </w:rPr>
              <w:t>序号</w:t>
            </w:r>
          </w:p>
        </w:tc>
        <w:tc>
          <w:tcPr>
            <w:tcW w:w="1982" w:type="dxa"/>
            <w:noWrap w:val="0"/>
            <w:vAlign w:val="top"/>
          </w:tcPr>
          <w:p w14:paraId="3E2C7ADB">
            <w:pPr>
              <w:snapToGrid w:val="0"/>
              <w:spacing w:line="264" w:lineRule="auto"/>
              <w:jc w:val="center"/>
              <w:rPr>
                <w:rFonts w:hint="eastAsia"/>
                <w:b/>
                <w:bCs/>
                <w:sz w:val="32"/>
                <w:szCs w:val="32"/>
              </w:rPr>
            </w:pPr>
            <w:r>
              <w:rPr>
                <w:rFonts w:hint="eastAsia"/>
                <w:b/>
                <w:bCs/>
                <w:sz w:val="32"/>
                <w:szCs w:val="32"/>
              </w:rPr>
              <w:t>名称</w:t>
            </w:r>
          </w:p>
        </w:tc>
        <w:tc>
          <w:tcPr>
            <w:tcW w:w="1416" w:type="dxa"/>
            <w:noWrap w:val="0"/>
            <w:vAlign w:val="top"/>
          </w:tcPr>
          <w:p w14:paraId="249BFA46">
            <w:pPr>
              <w:snapToGrid w:val="0"/>
              <w:spacing w:line="264" w:lineRule="auto"/>
              <w:jc w:val="center"/>
              <w:rPr>
                <w:rFonts w:hint="eastAsia"/>
                <w:b/>
                <w:bCs/>
                <w:sz w:val="32"/>
                <w:szCs w:val="32"/>
              </w:rPr>
            </w:pPr>
            <w:r>
              <w:rPr>
                <w:rFonts w:hint="eastAsia"/>
                <w:b/>
                <w:bCs/>
                <w:sz w:val="32"/>
                <w:szCs w:val="32"/>
              </w:rPr>
              <w:t>型号</w:t>
            </w:r>
          </w:p>
        </w:tc>
        <w:tc>
          <w:tcPr>
            <w:tcW w:w="1416" w:type="dxa"/>
            <w:noWrap w:val="0"/>
            <w:vAlign w:val="top"/>
          </w:tcPr>
          <w:p w14:paraId="12451224">
            <w:pPr>
              <w:snapToGrid w:val="0"/>
              <w:spacing w:line="264" w:lineRule="auto"/>
              <w:jc w:val="center"/>
              <w:rPr>
                <w:rFonts w:hint="eastAsia"/>
                <w:b/>
                <w:bCs/>
                <w:sz w:val="32"/>
                <w:szCs w:val="32"/>
              </w:rPr>
            </w:pPr>
            <w:r>
              <w:rPr>
                <w:rFonts w:hint="eastAsia"/>
                <w:b/>
                <w:bCs/>
                <w:sz w:val="32"/>
                <w:szCs w:val="32"/>
              </w:rPr>
              <w:t>数量</w:t>
            </w:r>
          </w:p>
        </w:tc>
        <w:tc>
          <w:tcPr>
            <w:tcW w:w="1416" w:type="dxa"/>
            <w:noWrap w:val="0"/>
            <w:vAlign w:val="top"/>
          </w:tcPr>
          <w:p w14:paraId="24AAD408">
            <w:pPr>
              <w:snapToGrid w:val="0"/>
              <w:spacing w:line="264" w:lineRule="auto"/>
              <w:jc w:val="center"/>
              <w:rPr>
                <w:rFonts w:hint="eastAsia"/>
                <w:b/>
                <w:bCs/>
                <w:sz w:val="32"/>
                <w:szCs w:val="32"/>
              </w:rPr>
            </w:pPr>
            <w:r>
              <w:rPr>
                <w:rFonts w:hint="eastAsia"/>
                <w:b/>
                <w:bCs/>
                <w:sz w:val="32"/>
                <w:szCs w:val="32"/>
              </w:rPr>
              <w:t>单位</w:t>
            </w:r>
          </w:p>
        </w:tc>
        <w:tc>
          <w:tcPr>
            <w:tcW w:w="1420" w:type="dxa"/>
            <w:noWrap w:val="0"/>
            <w:vAlign w:val="top"/>
          </w:tcPr>
          <w:p w14:paraId="2B73B437">
            <w:pPr>
              <w:snapToGrid w:val="0"/>
              <w:spacing w:line="264" w:lineRule="auto"/>
              <w:jc w:val="center"/>
              <w:rPr>
                <w:rFonts w:hint="eastAsia"/>
                <w:b/>
                <w:bCs/>
                <w:sz w:val="32"/>
                <w:szCs w:val="32"/>
              </w:rPr>
            </w:pPr>
            <w:r>
              <w:rPr>
                <w:rFonts w:hint="eastAsia"/>
                <w:b/>
                <w:bCs/>
                <w:sz w:val="32"/>
                <w:szCs w:val="32"/>
              </w:rPr>
              <w:t>备注</w:t>
            </w:r>
          </w:p>
        </w:tc>
      </w:tr>
      <w:tr w14:paraId="05CF01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850" w:type="dxa"/>
            <w:noWrap w:val="0"/>
            <w:vAlign w:val="top"/>
          </w:tcPr>
          <w:p w14:paraId="2A7C1438">
            <w:pPr>
              <w:snapToGrid w:val="0"/>
              <w:spacing w:line="264" w:lineRule="auto"/>
              <w:jc w:val="center"/>
              <w:rPr>
                <w:rFonts w:hint="eastAsia"/>
                <w:sz w:val="32"/>
                <w:szCs w:val="32"/>
              </w:rPr>
            </w:pPr>
            <w:r>
              <w:rPr>
                <w:rFonts w:hint="eastAsia"/>
                <w:sz w:val="32"/>
                <w:szCs w:val="32"/>
              </w:rPr>
              <w:t>1</w:t>
            </w:r>
          </w:p>
        </w:tc>
        <w:tc>
          <w:tcPr>
            <w:tcW w:w="1982" w:type="dxa"/>
            <w:noWrap w:val="0"/>
            <w:vAlign w:val="top"/>
          </w:tcPr>
          <w:p w14:paraId="25844F3D">
            <w:pPr>
              <w:snapToGrid w:val="0"/>
              <w:spacing w:line="264" w:lineRule="auto"/>
              <w:jc w:val="center"/>
              <w:rPr>
                <w:rFonts w:hint="eastAsia"/>
                <w:sz w:val="32"/>
                <w:szCs w:val="32"/>
              </w:rPr>
            </w:pPr>
          </w:p>
        </w:tc>
        <w:tc>
          <w:tcPr>
            <w:tcW w:w="1416" w:type="dxa"/>
            <w:noWrap w:val="0"/>
            <w:vAlign w:val="top"/>
          </w:tcPr>
          <w:p w14:paraId="66A454B8">
            <w:pPr>
              <w:snapToGrid w:val="0"/>
              <w:spacing w:line="264" w:lineRule="auto"/>
              <w:jc w:val="center"/>
              <w:rPr>
                <w:rFonts w:hint="eastAsia"/>
                <w:sz w:val="32"/>
                <w:szCs w:val="32"/>
              </w:rPr>
            </w:pPr>
          </w:p>
        </w:tc>
        <w:tc>
          <w:tcPr>
            <w:tcW w:w="1416" w:type="dxa"/>
            <w:noWrap w:val="0"/>
            <w:vAlign w:val="top"/>
          </w:tcPr>
          <w:p w14:paraId="4D6C0962">
            <w:pPr>
              <w:snapToGrid w:val="0"/>
              <w:spacing w:line="264" w:lineRule="auto"/>
              <w:jc w:val="center"/>
              <w:rPr>
                <w:rFonts w:hint="eastAsia"/>
                <w:sz w:val="32"/>
                <w:szCs w:val="32"/>
              </w:rPr>
            </w:pPr>
          </w:p>
        </w:tc>
        <w:tc>
          <w:tcPr>
            <w:tcW w:w="1416" w:type="dxa"/>
            <w:noWrap w:val="0"/>
            <w:vAlign w:val="top"/>
          </w:tcPr>
          <w:p w14:paraId="1591F257">
            <w:pPr>
              <w:snapToGrid w:val="0"/>
              <w:spacing w:line="264" w:lineRule="auto"/>
              <w:jc w:val="center"/>
              <w:rPr>
                <w:rFonts w:hint="eastAsia"/>
                <w:sz w:val="32"/>
                <w:szCs w:val="32"/>
              </w:rPr>
            </w:pPr>
          </w:p>
        </w:tc>
        <w:tc>
          <w:tcPr>
            <w:tcW w:w="1420" w:type="dxa"/>
            <w:noWrap w:val="0"/>
            <w:vAlign w:val="top"/>
          </w:tcPr>
          <w:p w14:paraId="67860542">
            <w:pPr>
              <w:snapToGrid w:val="0"/>
              <w:spacing w:line="264" w:lineRule="auto"/>
              <w:jc w:val="center"/>
              <w:rPr>
                <w:rFonts w:hint="eastAsia"/>
                <w:sz w:val="32"/>
                <w:szCs w:val="32"/>
              </w:rPr>
            </w:pPr>
          </w:p>
        </w:tc>
      </w:tr>
      <w:tr w14:paraId="2079DC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31" w:hRule="atLeast"/>
        </w:trPr>
        <w:tc>
          <w:tcPr>
            <w:tcW w:w="850" w:type="dxa"/>
            <w:noWrap w:val="0"/>
            <w:vAlign w:val="top"/>
          </w:tcPr>
          <w:p w14:paraId="4A2F057D">
            <w:pPr>
              <w:snapToGrid w:val="0"/>
              <w:spacing w:line="264" w:lineRule="auto"/>
              <w:jc w:val="center"/>
              <w:rPr>
                <w:rFonts w:hint="eastAsia"/>
                <w:sz w:val="32"/>
                <w:szCs w:val="32"/>
              </w:rPr>
            </w:pPr>
            <w:r>
              <w:rPr>
                <w:rFonts w:hint="eastAsia"/>
                <w:sz w:val="32"/>
                <w:szCs w:val="32"/>
              </w:rPr>
              <w:t>2</w:t>
            </w:r>
          </w:p>
        </w:tc>
        <w:tc>
          <w:tcPr>
            <w:tcW w:w="1982" w:type="dxa"/>
            <w:noWrap w:val="0"/>
            <w:vAlign w:val="top"/>
          </w:tcPr>
          <w:p w14:paraId="2541BDE1">
            <w:pPr>
              <w:snapToGrid w:val="0"/>
              <w:spacing w:line="264" w:lineRule="auto"/>
              <w:jc w:val="center"/>
              <w:rPr>
                <w:rFonts w:hint="eastAsia"/>
                <w:sz w:val="32"/>
                <w:szCs w:val="32"/>
              </w:rPr>
            </w:pPr>
          </w:p>
        </w:tc>
        <w:tc>
          <w:tcPr>
            <w:tcW w:w="1416" w:type="dxa"/>
            <w:noWrap w:val="0"/>
            <w:vAlign w:val="top"/>
          </w:tcPr>
          <w:p w14:paraId="0D85DD21">
            <w:pPr>
              <w:snapToGrid w:val="0"/>
              <w:spacing w:line="264" w:lineRule="auto"/>
              <w:jc w:val="center"/>
              <w:rPr>
                <w:rFonts w:hint="eastAsia"/>
                <w:sz w:val="32"/>
                <w:szCs w:val="32"/>
              </w:rPr>
            </w:pPr>
          </w:p>
        </w:tc>
        <w:tc>
          <w:tcPr>
            <w:tcW w:w="1416" w:type="dxa"/>
            <w:noWrap w:val="0"/>
            <w:vAlign w:val="top"/>
          </w:tcPr>
          <w:p w14:paraId="10914DB7">
            <w:pPr>
              <w:snapToGrid w:val="0"/>
              <w:spacing w:line="264" w:lineRule="auto"/>
              <w:jc w:val="center"/>
              <w:rPr>
                <w:rFonts w:hint="eastAsia"/>
                <w:sz w:val="32"/>
                <w:szCs w:val="32"/>
              </w:rPr>
            </w:pPr>
          </w:p>
        </w:tc>
        <w:tc>
          <w:tcPr>
            <w:tcW w:w="1416" w:type="dxa"/>
            <w:noWrap w:val="0"/>
            <w:vAlign w:val="top"/>
          </w:tcPr>
          <w:p w14:paraId="2B7A323C">
            <w:pPr>
              <w:snapToGrid w:val="0"/>
              <w:spacing w:line="264" w:lineRule="auto"/>
              <w:jc w:val="center"/>
              <w:rPr>
                <w:rFonts w:hint="eastAsia"/>
                <w:sz w:val="32"/>
                <w:szCs w:val="32"/>
              </w:rPr>
            </w:pPr>
          </w:p>
        </w:tc>
        <w:tc>
          <w:tcPr>
            <w:tcW w:w="1420" w:type="dxa"/>
            <w:noWrap w:val="0"/>
            <w:vAlign w:val="top"/>
          </w:tcPr>
          <w:p w14:paraId="7C74F3EF">
            <w:pPr>
              <w:snapToGrid w:val="0"/>
              <w:spacing w:line="264" w:lineRule="auto"/>
              <w:jc w:val="center"/>
              <w:rPr>
                <w:rFonts w:hint="eastAsia"/>
                <w:sz w:val="32"/>
                <w:szCs w:val="32"/>
              </w:rPr>
            </w:pPr>
          </w:p>
        </w:tc>
      </w:tr>
      <w:tr w14:paraId="6A6411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40" w:hRule="atLeast"/>
        </w:trPr>
        <w:tc>
          <w:tcPr>
            <w:tcW w:w="850" w:type="dxa"/>
            <w:noWrap w:val="0"/>
            <w:vAlign w:val="top"/>
          </w:tcPr>
          <w:p w14:paraId="19EAEA42">
            <w:pPr>
              <w:snapToGrid w:val="0"/>
              <w:spacing w:line="264" w:lineRule="auto"/>
              <w:jc w:val="center"/>
              <w:rPr>
                <w:rFonts w:hint="eastAsia"/>
                <w:sz w:val="32"/>
                <w:szCs w:val="32"/>
              </w:rPr>
            </w:pPr>
            <w:r>
              <w:rPr>
                <w:rFonts w:hint="eastAsia"/>
                <w:sz w:val="32"/>
                <w:szCs w:val="32"/>
              </w:rPr>
              <w:t>3</w:t>
            </w:r>
          </w:p>
        </w:tc>
        <w:tc>
          <w:tcPr>
            <w:tcW w:w="1982" w:type="dxa"/>
            <w:noWrap w:val="0"/>
            <w:vAlign w:val="top"/>
          </w:tcPr>
          <w:p w14:paraId="34BC116C">
            <w:pPr>
              <w:snapToGrid w:val="0"/>
              <w:spacing w:line="264" w:lineRule="auto"/>
              <w:jc w:val="center"/>
              <w:rPr>
                <w:rFonts w:hint="eastAsia"/>
                <w:sz w:val="32"/>
                <w:szCs w:val="32"/>
              </w:rPr>
            </w:pPr>
          </w:p>
        </w:tc>
        <w:tc>
          <w:tcPr>
            <w:tcW w:w="1416" w:type="dxa"/>
            <w:noWrap w:val="0"/>
            <w:vAlign w:val="top"/>
          </w:tcPr>
          <w:p w14:paraId="46AE857F">
            <w:pPr>
              <w:snapToGrid w:val="0"/>
              <w:spacing w:line="264" w:lineRule="auto"/>
              <w:jc w:val="center"/>
              <w:rPr>
                <w:rFonts w:hint="eastAsia"/>
                <w:sz w:val="32"/>
                <w:szCs w:val="32"/>
              </w:rPr>
            </w:pPr>
          </w:p>
        </w:tc>
        <w:tc>
          <w:tcPr>
            <w:tcW w:w="1416" w:type="dxa"/>
            <w:noWrap w:val="0"/>
            <w:vAlign w:val="top"/>
          </w:tcPr>
          <w:p w14:paraId="72BD63BF">
            <w:pPr>
              <w:snapToGrid w:val="0"/>
              <w:spacing w:line="264" w:lineRule="auto"/>
              <w:jc w:val="center"/>
              <w:rPr>
                <w:rFonts w:hint="eastAsia"/>
                <w:sz w:val="32"/>
                <w:szCs w:val="32"/>
              </w:rPr>
            </w:pPr>
          </w:p>
        </w:tc>
        <w:tc>
          <w:tcPr>
            <w:tcW w:w="1416" w:type="dxa"/>
            <w:noWrap w:val="0"/>
            <w:vAlign w:val="top"/>
          </w:tcPr>
          <w:p w14:paraId="5A7A41DB">
            <w:pPr>
              <w:snapToGrid w:val="0"/>
              <w:spacing w:line="264" w:lineRule="auto"/>
              <w:jc w:val="center"/>
              <w:rPr>
                <w:rFonts w:hint="eastAsia"/>
                <w:sz w:val="32"/>
                <w:szCs w:val="32"/>
              </w:rPr>
            </w:pPr>
          </w:p>
        </w:tc>
        <w:tc>
          <w:tcPr>
            <w:tcW w:w="1420" w:type="dxa"/>
            <w:noWrap w:val="0"/>
            <w:vAlign w:val="top"/>
          </w:tcPr>
          <w:p w14:paraId="586C34AD">
            <w:pPr>
              <w:snapToGrid w:val="0"/>
              <w:spacing w:line="264" w:lineRule="auto"/>
              <w:jc w:val="center"/>
              <w:rPr>
                <w:rFonts w:hint="eastAsia"/>
                <w:sz w:val="32"/>
                <w:szCs w:val="32"/>
              </w:rPr>
            </w:pPr>
          </w:p>
        </w:tc>
      </w:tr>
    </w:tbl>
    <w:p w14:paraId="441BBD56">
      <w:pPr>
        <w:snapToGrid w:val="0"/>
        <w:spacing w:line="264" w:lineRule="auto"/>
        <w:ind w:firstLine="640" w:firstLineChars="200"/>
        <w:rPr>
          <w:rFonts w:hint="eastAsia"/>
          <w:sz w:val="32"/>
          <w:szCs w:val="32"/>
        </w:rPr>
      </w:pPr>
    </w:p>
    <w:p w14:paraId="4D2A39D8">
      <w:pPr>
        <w:snapToGrid w:val="0"/>
        <w:spacing w:line="264" w:lineRule="auto"/>
        <w:ind w:firstLine="640" w:firstLineChars="200"/>
        <w:rPr>
          <w:rFonts w:hint="eastAsia"/>
          <w:sz w:val="32"/>
          <w:szCs w:val="32"/>
        </w:rPr>
      </w:pPr>
    </w:p>
    <w:p w14:paraId="26DAE229">
      <w:pPr>
        <w:snapToGrid w:val="0"/>
        <w:spacing w:line="264" w:lineRule="auto"/>
        <w:ind w:firstLine="640" w:firstLineChars="200"/>
        <w:rPr>
          <w:rFonts w:hint="eastAsia"/>
          <w:sz w:val="32"/>
          <w:szCs w:val="32"/>
        </w:rPr>
      </w:pPr>
    </w:p>
    <w:p w14:paraId="2B53F93D">
      <w:pPr>
        <w:snapToGrid w:val="0"/>
        <w:spacing w:line="264" w:lineRule="auto"/>
        <w:ind w:firstLine="640" w:firstLineChars="200"/>
        <w:rPr>
          <w:rFonts w:hint="eastAsia"/>
          <w:sz w:val="32"/>
          <w:szCs w:val="32"/>
        </w:rPr>
      </w:pPr>
    </w:p>
    <w:p w14:paraId="1002446F">
      <w:pPr>
        <w:snapToGrid w:val="0"/>
        <w:spacing w:line="264" w:lineRule="auto"/>
        <w:ind w:firstLine="640" w:firstLineChars="200"/>
        <w:rPr>
          <w:rFonts w:hint="eastAsia"/>
          <w:sz w:val="32"/>
          <w:szCs w:val="32"/>
        </w:rPr>
      </w:pPr>
    </w:p>
    <w:p w14:paraId="56C99F24">
      <w:pPr>
        <w:snapToGrid w:val="0"/>
        <w:spacing w:line="264" w:lineRule="auto"/>
        <w:ind w:firstLine="640" w:firstLineChars="200"/>
        <w:rPr>
          <w:rFonts w:hint="eastAsia"/>
          <w:sz w:val="32"/>
          <w:szCs w:val="32"/>
        </w:rPr>
      </w:pPr>
    </w:p>
    <w:p w14:paraId="204DF7BC">
      <w:pPr>
        <w:snapToGrid w:val="0"/>
        <w:spacing w:line="264" w:lineRule="auto"/>
        <w:ind w:firstLine="640" w:firstLineChars="200"/>
        <w:rPr>
          <w:rFonts w:hint="eastAsia"/>
          <w:sz w:val="32"/>
          <w:szCs w:val="32"/>
        </w:rPr>
      </w:pPr>
      <w:r>
        <w:rPr>
          <w:rFonts w:hint="eastAsia"/>
          <w:sz w:val="32"/>
          <w:szCs w:val="32"/>
        </w:rPr>
        <w:t>使用科室：</w:t>
      </w:r>
    </w:p>
    <w:p w14:paraId="4DB25525">
      <w:pPr>
        <w:snapToGrid w:val="0"/>
        <w:spacing w:line="264" w:lineRule="auto"/>
        <w:ind w:firstLine="640" w:firstLineChars="200"/>
        <w:rPr>
          <w:rFonts w:hint="eastAsia"/>
          <w:sz w:val="32"/>
          <w:szCs w:val="32"/>
        </w:rPr>
      </w:pPr>
    </w:p>
    <w:p w14:paraId="67297FE5">
      <w:pPr>
        <w:snapToGrid w:val="0"/>
        <w:spacing w:line="264" w:lineRule="auto"/>
        <w:ind w:firstLine="640" w:firstLineChars="200"/>
        <w:rPr>
          <w:rFonts w:hint="eastAsia"/>
          <w:sz w:val="32"/>
          <w:szCs w:val="32"/>
        </w:rPr>
      </w:pPr>
      <w:r>
        <w:rPr>
          <w:rFonts w:hint="eastAsia"/>
          <w:sz w:val="32"/>
          <w:szCs w:val="32"/>
        </w:rPr>
        <w:t>科室负责人（签字）：</w:t>
      </w:r>
    </w:p>
    <w:p w14:paraId="68C9E46A">
      <w:pPr>
        <w:rPr>
          <w:rFonts w:hint="eastAsia"/>
          <w:b/>
          <w:bCs/>
          <w:sz w:val="28"/>
          <w:szCs w:val="28"/>
        </w:rPr>
      </w:pPr>
      <w:r>
        <w:rPr>
          <w:rFonts w:hint="eastAsia"/>
          <w:b/>
          <w:bCs/>
          <w:sz w:val="28"/>
          <w:szCs w:val="28"/>
        </w:rPr>
        <w:br w:type="page"/>
      </w:r>
    </w:p>
    <w:p w14:paraId="0246FFDC">
      <w:pPr>
        <w:snapToGrid w:val="0"/>
        <w:spacing w:line="264" w:lineRule="auto"/>
        <w:ind w:firstLine="562" w:firstLineChars="200"/>
        <w:jc w:val="left"/>
        <w:rPr>
          <w:b/>
          <w:bCs/>
          <w:sz w:val="28"/>
          <w:szCs w:val="28"/>
        </w:rPr>
      </w:pPr>
      <w:r>
        <w:rPr>
          <w:rFonts w:hint="eastAsia"/>
          <w:b/>
          <w:bCs/>
          <w:sz w:val="28"/>
          <w:szCs w:val="28"/>
        </w:rPr>
        <w:t>附件</w:t>
      </w:r>
      <w:r>
        <w:rPr>
          <w:rFonts w:hint="eastAsia"/>
          <w:b/>
          <w:bCs/>
          <w:sz w:val="28"/>
          <w:szCs w:val="28"/>
          <w:lang w:val="en-US" w:eastAsia="zh-CN"/>
        </w:rPr>
        <w:t>4</w:t>
      </w:r>
      <w:r>
        <w:rPr>
          <w:rFonts w:hint="eastAsia"/>
          <w:b/>
          <w:bCs/>
          <w:sz w:val="28"/>
          <w:szCs w:val="28"/>
        </w:rPr>
        <w:t>：</w:t>
      </w:r>
    </w:p>
    <w:p w14:paraId="0AA107A6">
      <w:pPr>
        <w:snapToGrid w:val="0"/>
        <w:spacing w:line="264" w:lineRule="auto"/>
        <w:jc w:val="center"/>
        <w:rPr>
          <w:b/>
          <w:bCs/>
          <w:sz w:val="28"/>
          <w:szCs w:val="28"/>
        </w:rPr>
      </w:pPr>
      <w:r>
        <w:rPr>
          <w:rFonts w:hint="eastAsia"/>
          <w:b/>
          <w:bCs/>
          <w:sz w:val="40"/>
          <w:szCs w:val="40"/>
          <w:lang w:val="en-US" w:eastAsia="zh-CN"/>
        </w:rPr>
        <w:t>备品备件清单</w:t>
      </w:r>
      <w:r>
        <w:rPr>
          <w:rFonts w:hint="eastAsia"/>
          <w:b/>
          <w:bCs/>
          <w:color w:val="FF0000"/>
          <w:sz w:val="40"/>
          <w:szCs w:val="40"/>
        </w:rPr>
        <w:t>（加盖合同专用章）</w:t>
      </w:r>
    </w:p>
    <w:p w14:paraId="64C8D964">
      <w:pPr>
        <w:snapToGrid w:val="0"/>
        <w:spacing w:line="264" w:lineRule="auto"/>
        <w:jc w:val="left"/>
        <w:rPr>
          <w:rFonts w:hint="eastAsia"/>
          <w:b/>
          <w:bCs/>
          <w:sz w:val="28"/>
          <w:szCs w:val="28"/>
        </w:rPr>
      </w:pPr>
    </w:p>
    <w:tbl>
      <w:tblPr>
        <w:tblStyle w:val="3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50"/>
        <w:gridCol w:w="3379"/>
        <w:gridCol w:w="2414"/>
        <w:gridCol w:w="2416"/>
      </w:tblGrid>
      <w:tr w14:paraId="3C1EA9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1450" w:type="dxa"/>
            <w:noWrap w:val="0"/>
            <w:vAlign w:val="top"/>
          </w:tcPr>
          <w:p w14:paraId="20775F91">
            <w:pPr>
              <w:snapToGrid w:val="0"/>
              <w:spacing w:line="264" w:lineRule="auto"/>
              <w:jc w:val="center"/>
              <w:rPr>
                <w:rFonts w:hint="eastAsia"/>
                <w:b/>
                <w:bCs/>
                <w:sz w:val="32"/>
                <w:szCs w:val="32"/>
              </w:rPr>
            </w:pPr>
            <w:r>
              <w:rPr>
                <w:rFonts w:hint="eastAsia"/>
                <w:b/>
                <w:bCs/>
                <w:sz w:val="32"/>
                <w:szCs w:val="32"/>
              </w:rPr>
              <w:t>序号</w:t>
            </w:r>
          </w:p>
        </w:tc>
        <w:tc>
          <w:tcPr>
            <w:tcW w:w="3379" w:type="dxa"/>
            <w:noWrap w:val="0"/>
            <w:vAlign w:val="top"/>
          </w:tcPr>
          <w:p w14:paraId="5B184FF0">
            <w:pPr>
              <w:snapToGrid w:val="0"/>
              <w:spacing w:line="264" w:lineRule="auto"/>
              <w:jc w:val="center"/>
              <w:rPr>
                <w:rFonts w:hint="default" w:eastAsia="宋体"/>
                <w:b/>
                <w:bCs/>
                <w:sz w:val="32"/>
                <w:szCs w:val="32"/>
                <w:lang w:val="en-US" w:eastAsia="zh-CN"/>
              </w:rPr>
            </w:pPr>
            <w:r>
              <w:rPr>
                <w:rFonts w:hint="eastAsia"/>
                <w:b/>
                <w:bCs/>
                <w:sz w:val="32"/>
                <w:szCs w:val="32"/>
                <w:lang w:val="en-US" w:eastAsia="zh-CN"/>
              </w:rPr>
              <w:t>备品备件名称</w:t>
            </w:r>
          </w:p>
        </w:tc>
        <w:tc>
          <w:tcPr>
            <w:tcW w:w="2414" w:type="dxa"/>
            <w:noWrap w:val="0"/>
            <w:vAlign w:val="top"/>
          </w:tcPr>
          <w:p w14:paraId="6F6B3F6C">
            <w:pPr>
              <w:snapToGrid w:val="0"/>
              <w:spacing w:line="264" w:lineRule="auto"/>
              <w:jc w:val="center"/>
              <w:rPr>
                <w:rFonts w:hint="eastAsia"/>
                <w:b/>
                <w:bCs/>
                <w:sz w:val="32"/>
                <w:szCs w:val="32"/>
              </w:rPr>
            </w:pPr>
            <w:r>
              <w:rPr>
                <w:rFonts w:hint="eastAsia"/>
                <w:b/>
                <w:bCs/>
                <w:sz w:val="32"/>
                <w:szCs w:val="32"/>
              </w:rPr>
              <w:t>型号</w:t>
            </w:r>
          </w:p>
        </w:tc>
        <w:tc>
          <w:tcPr>
            <w:tcW w:w="2416" w:type="dxa"/>
            <w:noWrap w:val="0"/>
            <w:vAlign w:val="top"/>
          </w:tcPr>
          <w:p w14:paraId="61C432A9">
            <w:pPr>
              <w:snapToGrid w:val="0"/>
              <w:spacing w:line="264" w:lineRule="auto"/>
              <w:jc w:val="center"/>
              <w:rPr>
                <w:rFonts w:hint="eastAsia"/>
                <w:b/>
                <w:bCs/>
                <w:sz w:val="32"/>
                <w:szCs w:val="32"/>
              </w:rPr>
            </w:pPr>
            <w:r>
              <w:rPr>
                <w:rFonts w:hint="eastAsia"/>
                <w:b/>
                <w:bCs/>
                <w:sz w:val="32"/>
                <w:szCs w:val="32"/>
              </w:rPr>
              <w:t>备注</w:t>
            </w:r>
          </w:p>
        </w:tc>
      </w:tr>
      <w:tr w14:paraId="55CC1F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1450" w:type="dxa"/>
            <w:noWrap w:val="0"/>
            <w:vAlign w:val="top"/>
          </w:tcPr>
          <w:p w14:paraId="36520315">
            <w:pPr>
              <w:snapToGrid w:val="0"/>
              <w:spacing w:line="264" w:lineRule="auto"/>
              <w:jc w:val="center"/>
              <w:rPr>
                <w:rFonts w:hint="eastAsia"/>
                <w:sz w:val="32"/>
                <w:szCs w:val="32"/>
              </w:rPr>
            </w:pPr>
            <w:r>
              <w:rPr>
                <w:rFonts w:hint="eastAsia"/>
                <w:sz w:val="32"/>
                <w:szCs w:val="32"/>
              </w:rPr>
              <w:t>1</w:t>
            </w:r>
          </w:p>
        </w:tc>
        <w:tc>
          <w:tcPr>
            <w:tcW w:w="3379" w:type="dxa"/>
            <w:noWrap w:val="0"/>
            <w:vAlign w:val="top"/>
          </w:tcPr>
          <w:p w14:paraId="68D88792">
            <w:pPr>
              <w:snapToGrid w:val="0"/>
              <w:spacing w:line="264" w:lineRule="auto"/>
              <w:jc w:val="center"/>
              <w:rPr>
                <w:rFonts w:hint="eastAsia"/>
                <w:sz w:val="32"/>
                <w:szCs w:val="32"/>
              </w:rPr>
            </w:pPr>
          </w:p>
        </w:tc>
        <w:tc>
          <w:tcPr>
            <w:tcW w:w="2414" w:type="dxa"/>
            <w:noWrap w:val="0"/>
            <w:vAlign w:val="top"/>
          </w:tcPr>
          <w:p w14:paraId="0F951B06">
            <w:pPr>
              <w:snapToGrid w:val="0"/>
              <w:spacing w:line="264" w:lineRule="auto"/>
              <w:jc w:val="center"/>
              <w:rPr>
                <w:rFonts w:hint="eastAsia"/>
                <w:sz w:val="32"/>
                <w:szCs w:val="32"/>
              </w:rPr>
            </w:pPr>
          </w:p>
        </w:tc>
        <w:tc>
          <w:tcPr>
            <w:tcW w:w="2416" w:type="dxa"/>
            <w:noWrap w:val="0"/>
            <w:vAlign w:val="top"/>
          </w:tcPr>
          <w:p w14:paraId="441927F9">
            <w:pPr>
              <w:snapToGrid w:val="0"/>
              <w:spacing w:line="264" w:lineRule="auto"/>
              <w:jc w:val="center"/>
              <w:rPr>
                <w:rFonts w:hint="eastAsia"/>
                <w:sz w:val="32"/>
                <w:szCs w:val="32"/>
              </w:rPr>
            </w:pPr>
          </w:p>
        </w:tc>
      </w:tr>
      <w:tr w14:paraId="031FE2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1450" w:type="dxa"/>
            <w:noWrap w:val="0"/>
            <w:vAlign w:val="top"/>
          </w:tcPr>
          <w:p w14:paraId="60956C49">
            <w:pPr>
              <w:snapToGrid w:val="0"/>
              <w:spacing w:line="264" w:lineRule="auto"/>
              <w:jc w:val="center"/>
              <w:rPr>
                <w:rFonts w:hint="eastAsia"/>
                <w:sz w:val="32"/>
                <w:szCs w:val="32"/>
              </w:rPr>
            </w:pPr>
            <w:r>
              <w:rPr>
                <w:rFonts w:hint="eastAsia"/>
                <w:sz w:val="32"/>
                <w:szCs w:val="32"/>
              </w:rPr>
              <w:t>2</w:t>
            </w:r>
          </w:p>
        </w:tc>
        <w:tc>
          <w:tcPr>
            <w:tcW w:w="3379" w:type="dxa"/>
            <w:noWrap w:val="0"/>
            <w:vAlign w:val="top"/>
          </w:tcPr>
          <w:p w14:paraId="6AFDFE46">
            <w:pPr>
              <w:snapToGrid w:val="0"/>
              <w:spacing w:line="264" w:lineRule="auto"/>
              <w:jc w:val="center"/>
              <w:rPr>
                <w:rFonts w:hint="eastAsia"/>
                <w:sz w:val="32"/>
                <w:szCs w:val="32"/>
              </w:rPr>
            </w:pPr>
          </w:p>
        </w:tc>
        <w:tc>
          <w:tcPr>
            <w:tcW w:w="2414" w:type="dxa"/>
            <w:noWrap w:val="0"/>
            <w:vAlign w:val="top"/>
          </w:tcPr>
          <w:p w14:paraId="3EF2C1B0">
            <w:pPr>
              <w:snapToGrid w:val="0"/>
              <w:spacing w:line="264" w:lineRule="auto"/>
              <w:jc w:val="center"/>
              <w:rPr>
                <w:rFonts w:hint="eastAsia"/>
                <w:sz w:val="32"/>
                <w:szCs w:val="32"/>
              </w:rPr>
            </w:pPr>
          </w:p>
        </w:tc>
        <w:tc>
          <w:tcPr>
            <w:tcW w:w="2416" w:type="dxa"/>
            <w:noWrap w:val="0"/>
            <w:vAlign w:val="top"/>
          </w:tcPr>
          <w:p w14:paraId="28C11DBD">
            <w:pPr>
              <w:snapToGrid w:val="0"/>
              <w:spacing w:line="264" w:lineRule="auto"/>
              <w:jc w:val="center"/>
              <w:rPr>
                <w:rFonts w:hint="eastAsia"/>
                <w:sz w:val="32"/>
                <w:szCs w:val="32"/>
              </w:rPr>
            </w:pPr>
          </w:p>
        </w:tc>
      </w:tr>
      <w:tr w14:paraId="015BBF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1450" w:type="dxa"/>
            <w:noWrap w:val="0"/>
            <w:vAlign w:val="top"/>
          </w:tcPr>
          <w:p w14:paraId="401D2CFD">
            <w:pPr>
              <w:snapToGrid w:val="0"/>
              <w:spacing w:line="264" w:lineRule="auto"/>
              <w:jc w:val="center"/>
              <w:rPr>
                <w:rFonts w:hint="eastAsia"/>
                <w:sz w:val="32"/>
                <w:szCs w:val="32"/>
              </w:rPr>
            </w:pPr>
            <w:r>
              <w:rPr>
                <w:rFonts w:hint="eastAsia"/>
                <w:sz w:val="32"/>
                <w:szCs w:val="32"/>
              </w:rPr>
              <w:t>3</w:t>
            </w:r>
          </w:p>
        </w:tc>
        <w:tc>
          <w:tcPr>
            <w:tcW w:w="3379" w:type="dxa"/>
            <w:noWrap w:val="0"/>
            <w:vAlign w:val="top"/>
          </w:tcPr>
          <w:p w14:paraId="7093B6E1">
            <w:pPr>
              <w:snapToGrid w:val="0"/>
              <w:spacing w:line="264" w:lineRule="auto"/>
              <w:jc w:val="center"/>
              <w:rPr>
                <w:rFonts w:hint="eastAsia"/>
                <w:sz w:val="32"/>
                <w:szCs w:val="32"/>
              </w:rPr>
            </w:pPr>
          </w:p>
        </w:tc>
        <w:tc>
          <w:tcPr>
            <w:tcW w:w="2414" w:type="dxa"/>
            <w:noWrap w:val="0"/>
            <w:vAlign w:val="top"/>
          </w:tcPr>
          <w:p w14:paraId="554A6ED0">
            <w:pPr>
              <w:snapToGrid w:val="0"/>
              <w:spacing w:line="264" w:lineRule="auto"/>
              <w:jc w:val="center"/>
              <w:rPr>
                <w:rFonts w:hint="eastAsia"/>
                <w:sz w:val="32"/>
                <w:szCs w:val="32"/>
              </w:rPr>
            </w:pPr>
          </w:p>
        </w:tc>
        <w:tc>
          <w:tcPr>
            <w:tcW w:w="2416" w:type="dxa"/>
            <w:noWrap w:val="0"/>
            <w:vAlign w:val="top"/>
          </w:tcPr>
          <w:p w14:paraId="4D4344EE">
            <w:pPr>
              <w:snapToGrid w:val="0"/>
              <w:spacing w:line="264" w:lineRule="auto"/>
              <w:jc w:val="center"/>
              <w:rPr>
                <w:rFonts w:hint="eastAsia"/>
                <w:sz w:val="32"/>
                <w:szCs w:val="32"/>
              </w:rPr>
            </w:pPr>
          </w:p>
        </w:tc>
      </w:tr>
      <w:tr w14:paraId="3451B8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1450" w:type="dxa"/>
            <w:noWrap w:val="0"/>
            <w:vAlign w:val="top"/>
          </w:tcPr>
          <w:p w14:paraId="107060C2">
            <w:pPr>
              <w:snapToGrid w:val="0"/>
              <w:spacing w:line="264" w:lineRule="auto"/>
              <w:jc w:val="center"/>
              <w:rPr>
                <w:rFonts w:hint="eastAsia"/>
                <w:sz w:val="32"/>
                <w:szCs w:val="32"/>
              </w:rPr>
            </w:pPr>
            <w:r>
              <w:rPr>
                <w:rFonts w:hint="eastAsia"/>
                <w:sz w:val="32"/>
                <w:szCs w:val="32"/>
              </w:rPr>
              <w:t>4</w:t>
            </w:r>
          </w:p>
        </w:tc>
        <w:tc>
          <w:tcPr>
            <w:tcW w:w="3379" w:type="dxa"/>
            <w:noWrap w:val="0"/>
            <w:vAlign w:val="top"/>
          </w:tcPr>
          <w:p w14:paraId="6AFA8CA2">
            <w:pPr>
              <w:snapToGrid w:val="0"/>
              <w:spacing w:line="264" w:lineRule="auto"/>
              <w:jc w:val="center"/>
              <w:rPr>
                <w:rFonts w:hint="eastAsia"/>
                <w:sz w:val="32"/>
                <w:szCs w:val="32"/>
              </w:rPr>
            </w:pPr>
          </w:p>
        </w:tc>
        <w:tc>
          <w:tcPr>
            <w:tcW w:w="2414" w:type="dxa"/>
            <w:noWrap w:val="0"/>
            <w:vAlign w:val="top"/>
          </w:tcPr>
          <w:p w14:paraId="6167EC5A">
            <w:pPr>
              <w:snapToGrid w:val="0"/>
              <w:spacing w:line="264" w:lineRule="auto"/>
              <w:jc w:val="center"/>
              <w:rPr>
                <w:rFonts w:hint="eastAsia"/>
                <w:sz w:val="32"/>
                <w:szCs w:val="32"/>
              </w:rPr>
            </w:pPr>
          </w:p>
        </w:tc>
        <w:tc>
          <w:tcPr>
            <w:tcW w:w="2416" w:type="dxa"/>
            <w:noWrap w:val="0"/>
            <w:vAlign w:val="top"/>
          </w:tcPr>
          <w:p w14:paraId="25C6308E">
            <w:pPr>
              <w:snapToGrid w:val="0"/>
              <w:spacing w:line="264" w:lineRule="auto"/>
              <w:jc w:val="center"/>
              <w:rPr>
                <w:rFonts w:hint="eastAsia"/>
                <w:sz w:val="32"/>
                <w:szCs w:val="32"/>
              </w:rPr>
            </w:pPr>
          </w:p>
        </w:tc>
      </w:tr>
      <w:tr w14:paraId="4202C3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1450" w:type="dxa"/>
            <w:noWrap w:val="0"/>
            <w:vAlign w:val="top"/>
          </w:tcPr>
          <w:p w14:paraId="157533B5">
            <w:pPr>
              <w:snapToGrid w:val="0"/>
              <w:spacing w:line="264" w:lineRule="auto"/>
              <w:jc w:val="center"/>
              <w:rPr>
                <w:rFonts w:hint="eastAsia"/>
                <w:sz w:val="32"/>
                <w:szCs w:val="32"/>
              </w:rPr>
            </w:pPr>
            <w:r>
              <w:rPr>
                <w:rFonts w:hint="eastAsia"/>
                <w:sz w:val="32"/>
                <w:szCs w:val="32"/>
              </w:rPr>
              <w:t>5</w:t>
            </w:r>
          </w:p>
        </w:tc>
        <w:tc>
          <w:tcPr>
            <w:tcW w:w="3379" w:type="dxa"/>
            <w:noWrap w:val="0"/>
            <w:vAlign w:val="top"/>
          </w:tcPr>
          <w:p w14:paraId="333610BC">
            <w:pPr>
              <w:snapToGrid w:val="0"/>
              <w:spacing w:line="264" w:lineRule="auto"/>
              <w:jc w:val="center"/>
              <w:rPr>
                <w:rFonts w:hint="eastAsia"/>
                <w:sz w:val="32"/>
                <w:szCs w:val="32"/>
              </w:rPr>
            </w:pPr>
          </w:p>
        </w:tc>
        <w:tc>
          <w:tcPr>
            <w:tcW w:w="2414" w:type="dxa"/>
            <w:noWrap w:val="0"/>
            <w:vAlign w:val="top"/>
          </w:tcPr>
          <w:p w14:paraId="50DCDE1B">
            <w:pPr>
              <w:snapToGrid w:val="0"/>
              <w:spacing w:line="264" w:lineRule="auto"/>
              <w:jc w:val="center"/>
              <w:rPr>
                <w:rFonts w:hint="eastAsia"/>
                <w:sz w:val="32"/>
                <w:szCs w:val="32"/>
              </w:rPr>
            </w:pPr>
          </w:p>
        </w:tc>
        <w:tc>
          <w:tcPr>
            <w:tcW w:w="2416" w:type="dxa"/>
            <w:noWrap w:val="0"/>
            <w:vAlign w:val="top"/>
          </w:tcPr>
          <w:p w14:paraId="4467A475">
            <w:pPr>
              <w:snapToGrid w:val="0"/>
              <w:spacing w:line="264" w:lineRule="auto"/>
              <w:jc w:val="center"/>
              <w:rPr>
                <w:rFonts w:hint="eastAsia"/>
                <w:sz w:val="32"/>
                <w:szCs w:val="32"/>
              </w:rPr>
            </w:pPr>
          </w:p>
        </w:tc>
      </w:tr>
      <w:tr w14:paraId="01B338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1450" w:type="dxa"/>
            <w:noWrap w:val="0"/>
            <w:vAlign w:val="top"/>
          </w:tcPr>
          <w:p w14:paraId="6D43E629">
            <w:pPr>
              <w:snapToGrid w:val="0"/>
              <w:spacing w:line="264" w:lineRule="auto"/>
              <w:jc w:val="center"/>
              <w:rPr>
                <w:rFonts w:hint="eastAsia"/>
                <w:sz w:val="32"/>
                <w:szCs w:val="32"/>
              </w:rPr>
            </w:pPr>
          </w:p>
        </w:tc>
        <w:tc>
          <w:tcPr>
            <w:tcW w:w="3379" w:type="dxa"/>
            <w:noWrap w:val="0"/>
            <w:vAlign w:val="top"/>
          </w:tcPr>
          <w:p w14:paraId="60C2C146">
            <w:pPr>
              <w:snapToGrid w:val="0"/>
              <w:spacing w:line="264" w:lineRule="auto"/>
              <w:jc w:val="center"/>
              <w:rPr>
                <w:rFonts w:hint="eastAsia"/>
                <w:sz w:val="32"/>
                <w:szCs w:val="32"/>
              </w:rPr>
            </w:pPr>
          </w:p>
        </w:tc>
        <w:tc>
          <w:tcPr>
            <w:tcW w:w="2414" w:type="dxa"/>
            <w:noWrap w:val="0"/>
            <w:vAlign w:val="top"/>
          </w:tcPr>
          <w:p w14:paraId="29F57E76">
            <w:pPr>
              <w:snapToGrid w:val="0"/>
              <w:spacing w:line="264" w:lineRule="auto"/>
              <w:jc w:val="center"/>
              <w:rPr>
                <w:rFonts w:hint="eastAsia"/>
                <w:sz w:val="32"/>
                <w:szCs w:val="32"/>
              </w:rPr>
            </w:pPr>
          </w:p>
        </w:tc>
        <w:tc>
          <w:tcPr>
            <w:tcW w:w="2416" w:type="dxa"/>
            <w:noWrap w:val="0"/>
            <w:vAlign w:val="top"/>
          </w:tcPr>
          <w:p w14:paraId="32264529">
            <w:pPr>
              <w:snapToGrid w:val="0"/>
              <w:spacing w:line="264" w:lineRule="auto"/>
              <w:jc w:val="center"/>
              <w:rPr>
                <w:rFonts w:hint="eastAsia"/>
                <w:sz w:val="32"/>
                <w:szCs w:val="32"/>
              </w:rPr>
            </w:pPr>
          </w:p>
        </w:tc>
      </w:tr>
      <w:tr w14:paraId="39081D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1450" w:type="dxa"/>
            <w:noWrap w:val="0"/>
            <w:vAlign w:val="top"/>
          </w:tcPr>
          <w:p w14:paraId="36A67FB9">
            <w:pPr>
              <w:snapToGrid w:val="0"/>
              <w:spacing w:line="264" w:lineRule="auto"/>
              <w:jc w:val="center"/>
              <w:rPr>
                <w:rFonts w:hint="eastAsia"/>
                <w:sz w:val="32"/>
                <w:szCs w:val="32"/>
              </w:rPr>
            </w:pPr>
          </w:p>
        </w:tc>
        <w:tc>
          <w:tcPr>
            <w:tcW w:w="3379" w:type="dxa"/>
            <w:noWrap w:val="0"/>
            <w:vAlign w:val="top"/>
          </w:tcPr>
          <w:p w14:paraId="7DE72228">
            <w:pPr>
              <w:snapToGrid w:val="0"/>
              <w:spacing w:line="264" w:lineRule="auto"/>
              <w:jc w:val="center"/>
              <w:rPr>
                <w:rFonts w:hint="eastAsia"/>
                <w:sz w:val="32"/>
                <w:szCs w:val="32"/>
              </w:rPr>
            </w:pPr>
          </w:p>
        </w:tc>
        <w:tc>
          <w:tcPr>
            <w:tcW w:w="2414" w:type="dxa"/>
            <w:noWrap w:val="0"/>
            <w:vAlign w:val="top"/>
          </w:tcPr>
          <w:p w14:paraId="34EBFBFD">
            <w:pPr>
              <w:snapToGrid w:val="0"/>
              <w:spacing w:line="264" w:lineRule="auto"/>
              <w:jc w:val="center"/>
              <w:rPr>
                <w:rFonts w:hint="eastAsia"/>
                <w:sz w:val="32"/>
                <w:szCs w:val="32"/>
              </w:rPr>
            </w:pPr>
          </w:p>
        </w:tc>
        <w:tc>
          <w:tcPr>
            <w:tcW w:w="2416" w:type="dxa"/>
            <w:noWrap w:val="0"/>
            <w:vAlign w:val="top"/>
          </w:tcPr>
          <w:p w14:paraId="06293C6B">
            <w:pPr>
              <w:snapToGrid w:val="0"/>
              <w:spacing w:line="264" w:lineRule="auto"/>
              <w:jc w:val="center"/>
              <w:rPr>
                <w:rFonts w:hint="eastAsia"/>
                <w:sz w:val="32"/>
                <w:szCs w:val="32"/>
              </w:rPr>
            </w:pPr>
          </w:p>
        </w:tc>
      </w:tr>
      <w:tr w14:paraId="069D5C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1450" w:type="dxa"/>
            <w:noWrap w:val="0"/>
            <w:vAlign w:val="top"/>
          </w:tcPr>
          <w:p w14:paraId="31AEAE8D">
            <w:pPr>
              <w:snapToGrid w:val="0"/>
              <w:spacing w:line="264" w:lineRule="auto"/>
              <w:jc w:val="center"/>
              <w:rPr>
                <w:rFonts w:hint="eastAsia"/>
                <w:sz w:val="32"/>
                <w:szCs w:val="32"/>
              </w:rPr>
            </w:pPr>
          </w:p>
        </w:tc>
        <w:tc>
          <w:tcPr>
            <w:tcW w:w="3379" w:type="dxa"/>
            <w:noWrap w:val="0"/>
            <w:vAlign w:val="top"/>
          </w:tcPr>
          <w:p w14:paraId="0EBA03BB">
            <w:pPr>
              <w:snapToGrid w:val="0"/>
              <w:spacing w:line="264" w:lineRule="auto"/>
              <w:jc w:val="center"/>
              <w:rPr>
                <w:rFonts w:hint="eastAsia"/>
                <w:sz w:val="32"/>
                <w:szCs w:val="32"/>
              </w:rPr>
            </w:pPr>
          </w:p>
        </w:tc>
        <w:tc>
          <w:tcPr>
            <w:tcW w:w="2414" w:type="dxa"/>
            <w:noWrap w:val="0"/>
            <w:vAlign w:val="top"/>
          </w:tcPr>
          <w:p w14:paraId="6D9B0D1C">
            <w:pPr>
              <w:snapToGrid w:val="0"/>
              <w:spacing w:line="264" w:lineRule="auto"/>
              <w:jc w:val="center"/>
              <w:rPr>
                <w:rFonts w:hint="eastAsia"/>
                <w:sz w:val="32"/>
                <w:szCs w:val="32"/>
              </w:rPr>
            </w:pPr>
          </w:p>
        </w:tc>
        <w:tc>
          <w:tcPr>
            <w:tcW w:w="2416" w:type="dxa"/>
            <w:noWrap w:val="0"/>
            <w:vAlign w:val="top"/>
          </w:tcPr>
          <w:p w14:paraId="01F56D1C">
            <w:pPr>
              <w:snapToGrid w:val="0"/>
              <w:spacing w:line="264" w:lineRule="auto"/>
              <w:jc w:val="center"/>
              <w:rPr>
                <w:rFonts w:hint="eastAsia"/>
                <w:sz w:val="32"/>
                <w:szCs w:val="32"/>
              </w:rPr>
            </w:pPr>
          </w:p>
        </w:tc>
      </w:tr>
      <w:tr w14:paraId="477D2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9659" w:type="dxa"/>
            <w:gridSpan w:val="4"/>
            <w:noWrap w:val="0"/>
            <w:vAlign w:val="top"/>
          </w:tcPr>
          <w:p w14:paraId="5537615B">
            <w:pPr>
              <w:snapToGrid w:val="0"/>
              <w:spacing w:line="264" w:lineRule="auto"/>
              <w:jc w:val="left"/>
              <w:rPr>
                <w:rFonts w:hint="eastAsia"/>
                <w:b/>
                <w:bCs/>
                <w:sz w:val="32"/>
                <w:szCs w:val="32"/>
                <w:lang w:val="en-US" w:eastAsia="zh-CN"/>
              </w:rPr>
            </w:pPr>
            <w:r>
              <w:rPr>
                <w:rFonts w:hint="eastAsia"/>
                <w:b/>
                <w:bCs/>
                <w:sz w:val="32"/>
                <w:szCs w:val="32"/>
                <w:lang w:val="en-US" w:eastAsia="zh-CN"/>
              </w:rPr>
              <w:t>说明：质保期内免费提供以上备品备件</w:t>
            </w:r>
          </w:p>
        </w:tc>
      </w:tr>
    </w:tbl>
    <w:p w14:paraId="46438009">
      <w:pPr>
        <w:snapToGrid w:val="0"/>
        <w:spacing w:line="264" w:lineRule="auto"/>
        <w:ind w:firstLine="562" w:firstLineChars="200"/>
        <w:jc w:val="left"/>
        <w:rPr>
          <w:rFonts w:hint="eastAsia"/>
          <w:b/>
          <w:bCs/>
          <w:sz w:val="28"/>
          <w:szCs w:val="28"/>
        </w:rPr>
      </w:pPr>
    </w:p>
    <w:p w14:paraId="1A707522">
      <w:pPr>
        <w:snapToGrid w:val="0"/>
        <w:spacing w:line="264" w:lineRule="auto"/>
        <w:ind w:firstLine="562" w:firstLineChars="200"/>
        <w:jc w:val="left"/>
        <w:rPr>
          <w:rFonts w:hint="eastAsia"/>
          <w:b/>
          <w:bCs/>
          <w:sz w:val="28"/>
          <w:szCs w:val="28"/>
        </w:rPr>
      </w:pPr>
    </w:p>
    <w:p w14:paraId="6D7D3414">
      <w:pPr>
        <w:snapToGrid w:val="0"/>
        <w:spacing w:line="264" w:lineRule="auto"/>
        <w:ind w:firstLine="562" w:firstLineChars="200"/>
        <w:jc w:val="left"/>
        <w:rPr>
          <w:rFonts w:hint="eastAsia"/>
          <w:b/>
          <w:bCs/>
          <w:sz w:val="28"/>
          <w:szCs w:val="28"/>
        </w:rPr>
      </w:pPr>
    </w:p>
    <w:p w14:paraId="35DB787B">
      <w:pPr>
        <w:snapToGrid w:val="0"/>
        <w:spacing w:line="264" w:lineRule="auto"/>
        <w:ind w:firstLine="562" w:firstLineChars="200"/>
        <w:jc w:val="left"/>
        <w:rPr>
          <w:rFonts w:hint="eastAsia"/>
          <w:b/>
          <w:bCs/>
          <w:sz w:val="28"/>
          <w:szCs w:val="28"/>
        </w:rPr>
      </w:pPr>
    </w:p>
    <w:p w14:paraId="76C31AF3">
      <w:pPr>
        <w:snapToGrid w:val="0"/>
        <w:spacing w:line="264" w:lineRule="auto"/>
        <w:ind w:firstLine="562" w:firstLineChars="200"/>
        <w:jc w:val="left"/>
        <w:rPr>
          <w:rFonts w:hint="eastAsia"/>
          <w:b/>
          <w:bCs/>
          <w:sz w:val="28"/>
          <w:szCs w:val="28"/>
        </w:rPr>
      </w:pPr>
    </w:p>
    <w:p w14:paraId="46A194F7">
      <w:pPr>
        <w:snapToGrid w:val="0"/>
        <w:spacing w:line="264" w:lineRule="auto"/>
        <w:ind w:firstLine="562" w:firstLineChars="200"/>
        <w:jc w:val="left"/>
        <w:rPr>
          <w:rFonts w:hint="eastAsia"/>
          <w:b/>
          <w:bCs/>
          <w:sz w:val="28"/>
          <w:szCs w:val="28"/>
        </w:rPr>
      </w:pPr>
    </w:p>
    <w:p w14:paraId="61A11486">
      <w:pPr>
        <w:snapToGrid w:val="0"/>
        <w:spacing w:line="264" w:lineRule="auto"/>
        <w:ind w:firstLine="562" w:firstLineChars="200"/>
        <w:jc w:val="left"/>
        <w:rPr>
          <w:rFonts w:hint="eastAsia"/>
          <w:b/>
          <w:bCs/>
          <w:sz w:val="28"/>
          <w:szCs w:val="28"/>
        </w:rPr>
      </w:pPr>
    </w:p>
    <w:p w14:paraId="12F15776">
      <w:pPr>
        <w:snapToGrid w:val="0"/>
        <w:spacing w:line="264" w:lineRule="auto"/>
        <w:ind w:firstLine="562" w:firstLineChars="200"/>
        <w:jc w:val="left"/>
        <w:rPr>
          <w:rFonts w:hint="eastAsia"/>
          <w:b/>
          <w:bCs/>
          <w:sz w:val="28"/>
          <w:szCs w:val="28"/>
        </w:rPr>
      </w:pPr>
    </w:p>
    <w:p w14:paraId="66EB9FCD">
      <w:pPr>
        <w:snapToGrid w:val="0"/>
        <w:spacing w:line="264" w:lineRule="auto"/>
        <w:ind w:firstLine="562" w:firstLineChars="200"/>
        <w:jc w:val="left"/>
        <w:rPr>
          <w:rFonts w:hint="eastAsia"/>
          <w:b/>
          <w:bCs/>
          <w:sz w:val="28"/>
          <w:szCs w:val="28"/>
        </w:rPr>
      </w:pPr>
    </w:p>
    <w:p w14:paraId="7515886A">
      <w:pPr>
        <w:snapToGrid w:val="0"/>
        <w:spacing w:line="264" w:lineRule="auto"/>
        <w:ind w:firstLine="562" w:firstLineChars="200"/>
        <w:jc w:val="left"/>
        <w:rPr>
          <w:rFonts w:hint="eastAsia"/>
          <w:b/>
          <w:bCs/>
          <w:sz w:val="28"/>
          <w:szCs w:val="28"/>
        </w:rPr>
      </w:pPr>
    </w:p>
    <w:p w14:paraId="67708D3B">
      <w:pPr>
        <w:snapToGrid w:val="0"/>
        <w:spacing w:line="264" w:lineRule="auto"/>
        <w:ind w:firstLine="562" w:firstLineChars="200"/>
        <w:jc w:val="left"/>
        <w:rPr>
          <w:rFonts w:hint="eastAsia"/>
          <w:b/>
          <w:bCs/>
          <w:sz w:val="28"/>
          <w:szCs w:val="28"/>
        </w:rPr>
      </w:pPr>
    </w:p>
    <w:p w14:paraId="69B71CA3">
      <w:pPr>
        <w:snapToGrid w:val="0"/>
        <w:spacing w:line="264" w:lineRule="auto"/>
        <w:ind w:firstLine="562" w:firstLineChars="200"/>
        <w:jc w:val="left"/>
        <w:rPr>
          <w:rFonts w:hint="eastAsia"/>
          <w:b/>
          <w:bCs/>
          <w:sz w:val="28"/>
          <w:szCs w:val="28"/>
        </w:rPr>
      </w:pPr>
    </w:p>
    <w:p w14:paraId="614D3F46">
      <w:pPr>
        <w:snapToGrid w:val="0"/>
        <w:spacing w:line="264" w:lineRule="auto"/>
        <w:ind w:firstLine="562" w:firstLineChars="200"/>
        <w:jc w:val="left"/>
        <w:rPr>
          <w:rFonts w:hint="eastAsia"/>
          <w:b/>
          <w:bCs/>
          <w:sz w:val="28"/>
          <w:szCs w:val="28"/>
        </w:rPr>
      </w:pPr>
    </w:p>
    <w:p w14:paraId="4F805D96">
      <w:pPr>
        <w:rPr>
          <w:rFonts w:hint="eastAsia"/>
          <w:b/>
          <w:bCs/>
          <w:sz w:val="28"/>
          <w:szCs w:val="28"/>
        </w:rPr>
      </w:pPr>
      <w:r>
        <w:rPr>
          <w:rFonts w:hint="eastAsia"/>
          <w:b/>
          <w:bCs/>
          <w:sz w:val="28"/>
          <w:szCs w:val="28"/>
        </w:rPr>
        <w:br w:type="page"/>
      </w:r>
    </w:p>
    <w:p w14:paraId="5AE2EE58">
      <w:pPr>
        <w:snapToGrid w:val="0"/>
        <w:spacing w:line="264" w:lineRule="auto"/>
        <w:ind w:firstLine="562" w:firstLineChars="200"/>
        <w:jc w:val="left"/>
        <w:rPr>
          <w:b/>
          <w:bCs/>
          <w:sz w:val="28"/>
          <w:szCs w:val="28"/>
        </w:rPr>
      </w:pPr>
      <w:r>
        <w:rPr>
          <w:rFonts w:hint="eastAsia"/>
          <w:b/>
          <w:bCs/>
          <w:sz w:val="28"/>
          <w:szCs w:val="28"/>
        </w:rPr>
        <w:t>附件</w:t>
      </w:r>
      <w:r>
        <w:rPr>
          <w:rFonts w:hint="eastAsia"/>
          <w:b/>
          <w:bCs/>
          <w:sz w:val="28"/>
          <w:szCs w:val="28"/>
          <w:lang w:val="en-US" w:eastAsia="zh-CN"/>
        </w:rPr>
        <w:t>5</w:t>
      </w:r>
      <w:r>
        <w:rPr>
          <w:rFonts w:hint="eastAsia"/>
          <w:b/>
          <w:bCs/>
          <w:sz w:val="28"/>
          <w:szCs w:val="28"/>
        </w:rPr>
        <w:t>：</w:t>
      </w:r>
    </w:p>
    <w:p w14:paraId="7D46002A">
      <w:pPr>
        <w:snapToGrid w:val="0"/>
        <w:spacing w:line="264" w:lineRule="auto"/>
        <w:jc w:val="center"/>
        <w:rPr>
          <w:b/>
          <w:bCs/>
          <w:sz w:val="28"/>
          <w:szCs w:val="28"/>
        </w:rPr>
      </w:pPr>
      <w:r>
        <w:rPr>
          <w:rFonts w:hint="eastAsia"/>
          <w:b/>
          <w:bCs/>
          <w:sz w:val="40"/>
          <w:szCs w:val="40"/>
        </w:rPr>
        <w:t>技术参数</w:t>
      </w:r>
      <w:r>
        <w:rPr>
          <w:rFonts w:hint="eastAsia"/>
          <w:b/>
          <w:bCs/>
          <w:color w:val="FF0000"/>
          <w:sz w:val="40"/>
          <w:szCs w:val="40"/>
        </w:rPr>
        <w:t>（加盖合同专用章）</w:t>
      </w:r>
    </w:p>
    <w:p w14:paraId="0EFCDDAD">
      <w:pPr>
        <w:snapToGrid w:val="0"/>
        <w:spacing w:line="264" w:lineRule="auto"/>
        <w:jc w:val="left"/>
        <w:rPr>
          <w:rFonts w:hint="eastAsia"/>
          <w:b/>
          <w:bCs/>
          <w:sz w:val="28"/>
          <w:szCs w:val="28"/>
        </w:rPr>
      </w:pPr>
    </w:p>
    <w:p w14:paraId="1029397B">
      <w:pPr>
        <w:snapToGrid w:val="0"/>
        <w:spacing w:line="264" w:lineRule="auto"/>
        <w:ind w:firstLine="562" w:firstLineChars="200"/>
        <w:jc w:val="left"/>
        <w:rPr>
          <w:rFonts w:hint="eastAsia"/>
          <w:b/>
          <w:bCs/>
          <w:sz w:val="28"/>
          <w:szCs w:val="28"/>
        </w:rPr>
      </w:pPr>
    </w:p>
    <w:p w14:paraId="6DDE9FB6">
      <w:pPr>
        <w:snapToGrid w:val="0"/>
        <w:spacing w:line="264" w:lineRule="auto"/>
        <w:ind w:firstLine="562" w:firstLineChars="200"/>
        <w:jc w:val="left"/>
        <w:rPr>
          <w:rFonts w:hint="eastAsia"/>
          <w:b/>
          <w:bCs/>
          <w:sz w:val="28"/>
          <w:szCs w:val="28"/>
        </w:rPr>
      </w:pPr>
    </w:p>
    <w:p w14:paraId="0FC21B7A">
      <w:pPr>
        <w:snapToGrid w:val="0"/>
        <w:spacing w:line="264" w:lineRule="auto"/>
        <w:ind w:firstLine="562" w:firstLineChars="200"/>
        <w:jc w:val="left"/>
        <w:rPr>
          <w:rFonts w:hint="eastAsia"/>
          <w:b/>
          <w:bCs/>
          <w:sz w:val="28"/>
          <w:szCs w:val="28"/>
        </w:rPr>
      </w:pPr>
    </w:p>
    <w:p w14:paraId="6C5D8935">
      <w:pPr>
        <w:snapToGrid w:val="0"/>
        <w:spacing w:line="264" w:lineRule="auto"/>
        <w:ind w:firstLine="562" w:firstLineChars="200"/>
        <w:jc w:val="left"/>
        <w:rPr>
          <w:rFonts w:hint="eastAsia"/>
          <w:b/>
          <w:bCs/>
          <w:sz w:val="28"/>
          <w:szCs w:val="28"/>
        </w:rPr>
      </w:pPr>
    </w:p>
    <w:p w14:paraId="33A90CB3">
      <w:pPr>
        <w:snapToGrid w:val="0"/>
        <w:spacing w:line="264" w:lineRule="auto"/>
        <w:ind w:firstLine="562" w:firstLineChars="200"/>
        <w:jc w:val="left"/>
        <w:rPr>
          <w:rFonts w:hint="eastAsia"/>
          <w:b/>
          <w:bCs/>
          <w:sz w:val="28"/>
          <w:szCs w:val="28"/>
        </w:rPr>
      </w:pPr>
    </w:p>
    <w:p w14:paraId="002AD1DF">
      <w:pPr>
        <w:snapToGrid w:val="0"/>
        <w:spacing w:line="264" w:lineRule="auto"/>
        <w:ind w:firstLine="562" w:firstLineChars="200"/>
        <w:jc w:val="left"/>
        <w:rPr>
          <w:rFonts w:hint="eastAsia"/>
          <w:b/>
          <w:bCs/>
          <w:sz w:val="28"/>
          <w:szCs w:val="28"/>
        </w:rPr>
      </w:pPr>
    </w:p>
    <w:p w14:paraId="2B56369D">
      <w:pPr>
        <w:snapToGrid w:val="0"/>
        <w:spacing w:line="264" w:lineRule="auto"/>
        <w:ind w:firstLine="562" w:firstLineChars="200"/>
        <w:jc w:val="left"/>
        <w:rPr>
          <w:rFonts w:hint="eastAsia"/>
          <w:b/>
          <w:bCs/>
          <w:sz w:val="28"/>
          <w:szCs w:val="28"/>
        </w:rPr>
      </w:pPr>
    </w:p>
    <w:p w14:paraId="0938C39D">
      <w:pPr>
        <w:snapToGrid w:val="0"/>
        <w:spacing w:line="264" w:lineRule="auto"/>
        <w:ind w:firstLine="562" w:firstLineChars="200"/>
        <w:jc w:val="left"/>
        <w:rPr>
          <w:rFonts w:hint="eastAsia"/>
          <w:b/>
          <w:bCs/>
          <w:sz w:val="28"/>
          <w:szCs w:val="28"/>
        </w:rPr>
      </w:pPr>
    </w:p>
    <w:p w14:paraId="79624ED0">
      <w:pPr>
        <w:snapToGrid w:val="0"/>
        <w:spacing w:line="264" w:lineRule="auto"/>
        <w:ind w:firstLine="562" w:firstLineChars="200"/>
        <w:jc w:val="left"/>
        <w:rPr>
          <w:rFonts w:hint="eastAsia"/>
          <w:b/>
          <w:bCs/>
          <w:sz w:val="28"/>
          <w:szCs w:val="28"/>
        </w:rPr>
      </w:pPr>
    </w:p>
    <w:p w14:paraId="67B28548">
      <w:pPr>
        <w:snapToGrid w:val="0"/>
        <w:spacing w:line="264" w:lineRule="auto"/>
        <w:ind w:firstLine="562" w:firstLineChars="200"/>
        <w:jc w:val="left"/>
        <w:rPr>
          <w:rFonts w:hint="eastAsia"/>
          <w:b/>
          <w:bCs/>
          <w:sz w:val="28"/>
          <w:szCs w:val="28"/>
        </w:rPr>
      </w:pPr>
    </w:p>
    <w:p w14:paraId="2A3CE8CC">
      <w:pPr>
        <w:snapToGrid w:val="0"/>
        <w:spacing w:line="264" w:lineRule="auto"/>
        <w:ind w:firstLine="562" w:firstLineChars="200"/>
        <w:jc w:val="left"/>
        <w:rPr>
          <w:rFonts w:hint="eastAsia"/>
          <w:b/>
          <w:bCs/>
          <w:sz w:val="28"/>
          <w:szCs w:val="28"/>
        </w:rPr>
      </w:pPr>
    </w:p>
    <w:p w14:paraId="48B78948">
      <w:pPr>
        <w:snapToGrid w:val="0"/>
        <w:spacing w:line="264" w:lineRule="auto"/>
        <w:ind w:firstLine="562" w:firstLineChars="200"/>
        <w:jc w:val="left"/>
        <w:rPr>
          <w:rFonts w:hint="eastAsia"/>
          <w:b/>
          <w:bCs/>
          <w:sz w:val="28"/>
          <w:szCs w:val="28"/>
        </w:rPr>
      </w:pPr>
    </w:p>
    <w:p w14:paraId="62B3285D">
      <w:pPr>
        <w:snapToGrid w:val="0"/>
        <w:spacing w:line="264" w:lineRule="auto"/>
        <w:ind w:firstLine="562" w:firstLineChars="200"/>
        <w:jc w:val="left"/>
        <w:rPr>
          <w:rFonts w:hint="eastAsia"/>
          <w:b/>
          <w:bCs/>
          <w:sz w:val="28"/>
          <w:szCs w:val="28"/>
        </w:rPr>
      </w:pPr>
    </w:p>
    <w:p w14:paraId="39E3F3F4">
      <w:pPr>
        <w:snapToGrid w:val="0"/>
        <w:spacing w:line="264" w:lineRule="auto"/>
        <w:ind w:firstLine="562" w:firstLineChars="200"/>
        <w:jc w:val="left"/>
        <w:rPr>
          <w:rFonts w:hint="eastAsia"/>
          <w:b/>
          <w:bCs/>
          <w:sz w:val="28"/>
          <w:szCs w:val="28"/>
        </w:rPr>
      </w:pPr>
    </w:p>
    <w:p w14:paraId="7CB30704">
      <w:pPr>
        <w:snapToGrid w:val="0"/>
        <w:spacing w:line="264" w:lineRule="auto"/>
        <w:ind w:firstLine="562" w:firstLineChars="200"/>
        <w:jc w:val="left"/>
        <w:rPr>
          <w:rFonts w:hint="eastAsia"/>
          <w:b/>
          <w:bCs/>
          <w:sz w:val="28"/>
          <w:szCs w:val="28"/>
        </w:rPr>
      </w:pPr>
    </w:p>
    <w:p w14:paraId="1B474669">
      <w:pPr>
        <w:snapToGrid w:val="0"/>
        <w:spacing w:line="264" w:lineRule="auto"/>
        <w:ind w:firstLine="562" w:firstLineChars="200"/>
        <w:jc w:val="left"/>
        <w:rPr>
          <w:rFonts w:hint="eastAsia"/>
          <w:b/>
          <w:bCs/>
          <w:sz w:val="28"/>
          <w:szCs w:val="28"/>
        </w:rPr>
      </w:pPr>
    </w:p>
    <w:p w14:paraId="637E516D">
      <w:pPr>
        <w:snapToGrid w:val="0"/>
        <w:spacing w:line="264" w:lineRule="auto"/>
        <w:ind w:firstLine="562" w:firstLineChars="200"/>
        <w:jc w:val="left"/>
        <w:rPr>
          <w:rFonts w:hint="eastAsia"/>
          <w:b/>
          <w:bCs/>
          <w:sz w:val="28"/>
          <w:szCs w:val="28"/>
        </w:rPr>
      </w:pPr>
    </w:p>
    <w:p w14:paraId="20A866E2">
      <w:pPr>
        <w:snapToGrid w:val="0"/>
        <w:spacing w:line="264" w:lineRule="auto"/>
        <w:ind w:firstLine="562" w:firstLineChars="200"/>
        <w:jc w:val="left"/>
        <w:rPr>
          <w:rFonts w:hint="eastAsia"/>
          <w:b/>
          <w:bCs/>
          <w:sz w:val="28"/>
          <w:szCs w:val="28"/>
        </w:rPr>
      </w:pPr>
    </w:p>
    <w:p w14:paraId="13CF36CD">
      <w:pPr>
        <w:snapToGrid w:val="0"/>
        <w:spacing w:line="264" w:lineRule="auto"/>
        <w:ind w:firstLine="562" w:firstLineChars="200"/>
        <w:jc w:val="left"/>
        <w:rPr>
          <w:rFonts w:hint="eastAsia"/>
          <w:b/>
          <w:bCs/>
          <w:sz w:val="28"/>
          <w:szCs w:val="28"/>
        </w:rPr>
      </w:pPr>
    </w:p>
    <w:p w14:paraId="1C1444B4">
      <w:pPr>
        <w:snapToGrid w:val="0"/>
        <w:spacing w:line="264" w:lineRule="auto"/>
        <w:ind w:firstLine="562" w:firstLineChars="200"/>
        <w:jc w:val="left"/>
        <w:rPr>
          <w:rFonts w:hint="eastAsia"/>
          <w:b/>
          <w:bCs/>
          <w:sz w:val="28"/>
          <w:szCs w:val="28"/>
        </w:rPr>
      </w:pPr>
    </w:p>
    <w:p w14:paraId="61EF0167">
      <w:pPr>
        <w:snapToGrid w:val="0"/>
        <w:spacing w:line="264" w:lineRule="auto"/>
        <w:ind w:firstLine="562" w:firstLineChars="200"/>
        <w:jc w:val="left"/>
        <w:rPr>
          <w:rFonts w:hint="eastAsia"/>
          <w:b/>
          <w:bCs/>
          <w:sz w:val="28"/>
          <w:szCs w:val="28"/>
        </w:rPr>
      </w:pPr>
    </w:p>
    <w:p w14:paraId="1126C5D9">
      <w:pPr>
        <w:snapToGrid w:val="0"/>
        <w:spacing w:line="264" w:lineRule="auto"/>
        <w:ind w:firstLine="562" w:firstLineChars="200"/>
        <w:jc w:val="left"/>
        <w:rPr>
          <w:rFonts w:hint="eastAsia"/>
          <w:b/>
          <w:bCs/>
          <w:sz w:val="28"/>
          <w:szCs w:val="28"/>
        </w:rPr>
      </w:pPr>
    </w:p>
    <w:p w14:paraId="133367FA">
      <w:pPr>
        <w:snapToGrid w:val="0"/>
        <w:spacing w:line="264" w:lineRule="auto"/>
        <w:ind w:firstLine="562" w:firstLineChars="200"/>
        <w:jc w:val="left"/>
        <w:rPr>
          <w:rFonts w:hint="eastAsia"/>
          <w:b/>
          <w:bCs/>
          <w:sz w:val="28"/>
          <w:szCs w:val="28"/>
        </w:rPr>
      </w:pPr>
    </w:p>
    <w:p w14:paraId="1C57E55F">
      <w:pPr>
        <w:snapToGrid w:val="0"/>
        <w:spacing w:line="264" w:lineRule="auto"/>
        <w:ind w:firstLine="562" w:firstLineChars="200"/>
        <w:jc w:val="left"/>
        <w:rPr>
          <w:rFonts w:hint="eastAsia"/>
          <w:b/>
          <w:bCs/>
          <w:sz w:val="28"/>
          <w:szCs w:val="28"/>
        </w:rPr>
      </w:pPr>
    </w:p>
    <w:p w14:paraId="6AE5357B">
      <w:pPr>
        <w:snapToGrid w:val="0"/>
        <w:spacing w:line="264" w:lineRule="auto"/>
        <w:ind w:firstLine="562" w:firstLineChars="200"/>
        <w:jc w:val="left"/>
        <w:rPr>
          <w:rFonts w:hint="eastAsia"/>
          <w:b/>
          <w:bCs/>
          <w:sz w:val="28"/>
          <w:szCs w:val="28"/>
        </w:rPr>
      </w:pPr>
    </w:p>
    <w:p w14:paraId="48BE9469">
      <w:pPr>
        <w:snapToGrid w:val="0"/>
        <w:spacing w:line="264" w:lineRule="auto"/>
        <w:ind w:firstLine="562" w:firstLineChars="200"/>
        <w:jc w:val="left"/>
        <w:rPr>
          <w:rFonts w:hint="eastAsia"/>
          <w:b/>
          <w:bCs/>
          <w:sz w:val="28"/>
          <w:szCs w:val="28"/>
        </w:rPr>
      </w:pPr>
    </w:p>
    <w:p w14:paraId="3EC61160">
      <w:pPr>
        <w:snapToGrid w:val="0"/>
        <w:spacing w:line="264" w:lineRule="auto"/>
        <w:ind w:firstLine="562" w:firstLineChars="200"/>
        <w:jc w:val="left"/>
        <w:rPr>
          <w:rFonts w:hint="eastAsia"/>
          <w:b/>
          <w:bCs/>
          <w:sz w:val="28"/>
          <w:szCs w:val="28"/>
        </w:rPr>
      </w:pPr>
    </w:p>
    <w:p w14:paraId="44901F9D">
      <w:pPr>
        <w:snapToGrid w:val="0"/>
        <w:spacing w:line="264" w:lineRule="auto"/>
        <w:ind w:firstLine="562" w:firstLineChars="200"/>
        <w:jc w:val="left"/>
        <w:rPr>
          <w:rFonts w:hint="eastAsia"/>
          <w:b/>
          <w:bCs/>
          <w:sz w:val="28"/>
          <w:szCs w:val="28"/>
        </w:rPr>
      </w:pPr>
    </w:p>
    <w:p w14:paraId="2B82E687">
      <w:pPr>
        <w:snapToGrid w:val="0"/>
        <w:spacing w:line="264" w:lineRule="auto"/>
        <w:ind w:firstLine="562" w:firstLineChars="200"/>
        <w:jc w:val="left"/>
        <w:rPr>
          <w:rFonts w:hint="eastAsia"/>
          <w:b/>
          <w:bCs/>
          <w:sz w:val="28"/>
          <w:szCs w:val="28"/>
        </w:rPr>
      </w:pPr>
    </w:p>
    <w:p w14:paraId="436EC36E">
      <w:pPr>
        <w:snapToGrid w:val="0"/>
        <w:spacing w:line="264" w:lineRule="auto"/>
        <w:ind w:firstLine="562" w:firstLineChars="200"/>
        <w:jc w:val="left"/>
        <w:rPr>
          <w:rFonts w:hint="eastAsia"/>
          <w:b/>
          <w:bCs/>
          <w:sz w:val="28"/>
          <w:szCs w:val="28"/>
        </w:rPr>
      </w:pPr>
    </w:p>
    <w:p w14:paraId="608DFFAD">
      <w:pPr>
        <w:snapToGrid w:val="0"/>
        <w:spacing w:line="264" w:lineRule="auto"/>
        <w:ind w:firstLine="562" w:firstLineChars="200"/>
        <w:jc w:val="left"/>
        <w:rPr>
          <w:rFonts w:hint="eastAsia"/>
          <w:b/>
          <w:bCs/>
          <w:sz w:val="28"/>
          <w:szCs w:val="28"/>
        </w:rPr>
      </w:pPr>
    </w:p>
    <w:p w14:paraId="2D1A66E2">
      <w:pPr>
        <w:snapToGrid w:val="0"/>
        <w:spacing w:line="264" w:lineRule="auto"/>
        <w:ind w:firstLine="562" w:firstLineChars="200"/>
        <w:jc w:val="left"/>
        <w:rPr>
          <w:b/>
          <w:bCs/>
          <w:sz w:val="28"/>
          <w:szCs w:val="28"/>
        </w:rPr>
      </w:pPr>
      <w:r>
        <w:rPr>
          <w:rFonts w:hint="eastAsia"/>
          <w:b/>
          <w:bCs/>
          <w:sz w:val="28"/>
          <w:szCs w:val="28"/>
        </w:rPr>
        <w:t>附件</w:t>
      </w:r>
      <w:r>
        <w:rPr>
          <w:rFonts w:hint="eastAsia"/>
          <w:b/>
          <w:bCs/>
          <w:sz w:val="28"/>
          <w:szCs w:val="28"/>
          <w:lang w:val="en-US" w:eastAsia="zh-CN"/>
        </w:rPr>
        <w:t>6</w:t>
      </w:r>
      <w:r>
        <w:rPr>
          <w:rFonts w:hint="eastAsia"/>
          <w:b/>
          <w:bCs/>
          <w:sz w:val="28"/>
          <w:szCs w:val="28"/>
        </w:rPr>
        <w:t>：</w:t>
      </w:r>
    </w:p>
    <w:p w14:paraId="563182DF">
      <w:pPr>
        <w:snapToGrid w:val="0"/>
        <w:spacing w:line="264" w:lineRule="auto"/>
        <w:jc w:val="center"/>
        <w:rPr>
          <w:rFonts w:hint="eastAsia"/>
          <w:b/>
          <w:bCs/>
          <w:color w:val="FF0000"/>
          <w:sz w:val="40"/>
          <w:szCs w:val="40"/>
        </w:rPr>
      </w:pPr>
      <w:r>
        <w:rPr>
          <w:rFonts w:hint="eastAsia"/>
          <w:b/>
          <w:bCs/>
          <w:sz w:val="40"/>
          <w:szCs w:val="40"/>
        </w:rPr>
        <w:t>基本服务要求承诺函</w:t>
      </w:r>
      <w:r>
        <w:rPr>
          <w:rFonts w:hint="eastAsia"/>
          <w:b/>
          <w:bCs/>
          <w:color w:val="FF0000"/>
          <w:sz w:val="40"/>
          <w:szCs w:val="40"/>
        </w:rPr>
        <w:t>（加盖合同专用章）</w:t>
      </w:r>
    </w:p>
    <w:p w14:paraId="275AAF70">
      <w:pPr>
        <w:snapToGrid w:val="0"/>
        <w:spacing w:line="264" w:lineRule="auto"/>
        <w:jc w:val="center"/>
        <w:rPr>
          <w:rFonts w:hint="eastAsia"/>
          <w:b/>
          <w:bCs/>
          <w:color w:val="FF0000"/>
          <w:sz w:val="40"/>
          <w:szCs w:val="40"/>
        </w:rPr>
      </w:pPr>
    </w:p>
    <w:p w14:paraId="72C65786">
      <w:pPr>
        <w:keepNext w:val="0"/>
        <w:keepLines w:val="0"/>
        <w:pageBreakBefore w:val="0"/>
        <w:widowControl w:val="0"/>
        <w:numPr>
          <w:ilvl w:val="0"/>
          <w:numId w:val="38"/>
        </w:numPr>
        <w:kinsoku/>
        <w:wordWrap/>
        <w:overflowPunct/>
        <w:topLinePunct w:val="0"/>
        <w:autoSpaceDE/>
        <w:autoSpaceDN/>
        <w:bidi w:val="0"/>
        <w:adjustRightInd/>
        <w:snapToGrid/>
        <w:spacing w:line="560" w:lineRule="exact"/>
        <w:ind w:left="0" w:firstLine="600" w:firstLineChars="200"/>
        <w:textAlignment w:val="auto"/>
        <w:rPr>
          <w:rFonts w:hint="eastAsia"/>
          <w:sz w:val="30"/>
          <w:szCs w:val="30"/>
        </w:rPr>
      </w:pPr>
      <w:r>
        <w:rPr>
          <w:rFonts w:hint="eastAsia"/>
          <w:sz w:val="30"/>
          <w:szCs w:val="30"/>
        </w:rPr>
        <w:t>负责设备的安装、调试、培训等工作。</w:t>
      </w:r>
    </w:p>
    <w:p w14:paraId="0B102808">
      <w:pPr>
        <w:keepNext w:val="0"/>
        <w:keepLines w:val="0"/>
        <w:pageBreakBefore w:val="0"/>
        <w:widowControl w:val="0"/>
        <w:numPr>
          <w:ilvl w:val="0"/>
          <w:numId w:val="38"/>
        </w:numPr>
        <w:kinsoku/>
        <w:wordWrap/>
        <w:overflowPunct/>
        <w:topLinePunct w:val="0"/>
        <w:autoSpaceDE/>
        <w:autoSpaceDN/>
        <w:bidi w:val="0"/>
        <w:adjustRightInd/>
        <w:snapToGrid/>
        <w:spacing w:line="560" w:lineRule="exact"/>
        <w:ind w:left="0" w:firstLine="600" w:firstLineChars="200"/>
        <w:textAlignment w:val="auto"/>
        <w:rPr>
          <w:rFonts w:hint="eastAsia"/>
          <w:sz w:val="30"/>
          <w:szCs w:val="30"/>
        </w:rPr>
      </w:pPr>
      <w:r>
        <w:rPr>
          <w:rFonts w:hint="eastAsia"/>
          <w:sz w:val="30"/>
          <w:szCs w:val="30"/>
        </w:rPr>
        <w:t>如标配中含有打印机的，要求配置医院现有品牌（所用耗材需与医院现有耗材一致）。</w:t>
      </w:r>
    </w:p>
    <w:p w14:paraId="604A3E2E">
      <w:pPr>
        <w:keepNext w:val="0"/>
        <w:keepLines w:val="0"/>
        <w:pageBreakBefore w:val="0"/>
        <w:widowControl w:val="0"/>
        <w:numPr>
          <w:ilvl w:val="0"/>
          <w:numId w:val="38"/>
        </w:numPr>
        <w:kinsoku/>
        <w:wordWrap/>
        <w:overflowPunct/>
        <w:topLinePunct w:val="0"/>
        <w:autoSpaceDE/>
        <w:autoSpaceDN/>
        <w:bidi w:val="0"/>
        <w:adjustRightInd/>
        <w:snapToGrid/>
        <w:spacing w:line="560" w:lineRule="exact"/>
        <w:ind w:left="0" w:firstLine="600" w:firstLineChars="200"/>
        <w:textAlignment w:val="auto"/>
        <w:rPr>
          <w:sz w:val="30"/>
          <w:szCs w:val="30"/>
        </w:rPr>
      </w:pPr>
      <w:r>
        <w:rPr>
          <w:rFonts w:hint="eastAsia"/>
          <w:sz w:val="30"/>
          <w:szCs w:val="30"/>
        </w:rPr>
        <w:t>如具有数据存储功能，产生信息数据的设备必须终生免费开放各类数据接口，包含但不限于DICOM、WEBservice等数据接口格式，以保证与我院现有信息系统的数据对接。</w:t>
      </w:r>
    </w:p>
    <w:p w14:paraId="2A8874AE">
      <w:pPr>
        <w:keepNext w:val="0"/>
        <w:keepLines w:val="0"/>
        <w:pageBreakBefore w:val="0"/>
        <w:widowControl w:val="0"/>
        <w:numPr>
          <w:ilvl w:val="0"/>
          <w:numId w:val="38"/>
        </w:numPr>
        <w:kinsoku/>
        <w:wordWrap/>
        <w:overflowPunct/>
        <w:topLinePunct w:val="0"/>
        <w:autoSpaceDE/>
        <w:autoSpaceDN/>
        <w:bidi w:val="0"/>
        <w:adjustRightInd/>
        <w:snapToGrid/>
        <w:spacing w:line="560" w:lineRule="exact"/>
        <w:ind w:left="0" w:firstLine="600" w:firstLineChars="200"/>
        <w:textAlignment w:val="auto"/>
        <w:rPr>
          <w:rFonts w:hint="eastAsia"/>
          <w:sz w:val="30"/>
          <w:szCs w:val="30"/>
        </w:rPr>
      </w:pPr>
      <w:r>
        <w:rPr>
          <w:rFonts w:hint="eastAsia"/>
          <w:sz w:val="30"/>
          <w:szCs w:val="30"/>
        </w:rPr>
        <w:t xml:space="preserve">如具备工作站或相关操作系统，厂商应具备系统接口定制化开发能力，并免费完成我院信息化接口开发、测试及对接上线，包含但不限于HIS、LIS、PACS、CA数字签名、无纸化归档、专科应用系统等医院生产系统接口开发。新增数据接口应完全满足医院信息化业务流程需求。 </w:t>
      </w:r>
    </w:p>
    <w:p w14:paraId="1B8F62DB">
      <w:pPr>
        <w:keepNext w:val="0"/>
        <w:keepLines w:val="0"/>
        <w:pageBreakBefore w:val="0"/>
        <w:widowControl w:val="0"/>
        <w:numPr>
          <w:ilvl w:val="0"/>
          <w:numId w:val="38"/>
        </w:numPr>
        <w:kinsoku/>
        <w:wordWrap/>
        <w:overflowPunct/>
        <w:topLinePunct w:val="0"/>
        <w:autoSpaceDE/>
        <w:autoSpaceDN/>
        <w:bidi w:val="0"/>
        <w:adjustRightInd/>
        <w:snapToGrid/>
        <w:spacing w:line="560" w:lineRule="exact"/>
        <w:ind w:left="0" w:firstLine="600" w:firstLineChars="200"/>
        <w:textAlignment w:val="auto"/>
        <w:rPr>
          <w:rFonts w:hint="eastAsia"/>
          <w:sz w:val="30"/>
          <w:szCs w:val="30"/>
        </w:rPr>
      </w:pPr>
      <w:r>
        <w:rPr>
          <w:rFonts w:hint="eastAsia"/>
          <w:sz w:val="30"/>
          <w:szCs w:val="30"/>
        </w:rPr>
        <w:t>如</w:t>
      </w:r>
      <w:r>
        <w:rPr>
          <w:sz w:val="30"/>
          <w:szCs w:val="30"/>
        </w:rPr>
        <w:t>具有</w:t>
      </w:r>
      <w:r>
        <w:rPr>
          <w:rFonts w:hint="eastAsia"/>
          <w:sz w:val="30"/>
          <w:szCs w:val="30"/>
        </w:rPr>
        <w:t>工作站或相关</w:t>
      </w:r>
      <w:r>
        <w:rPr>
          <w:sz w:val="30"/>
          <w:szCs w:val="30"/>
        </w:rPr>
        <w:t>操作</w:t>
      </w:r>
      <w:r>
        <w:rPr>
          <w:rFonts w:hint="eastAsia"/>
          <w:sz w:val="30"/>
          <w:szCs w:val="30"/>
        </w:rPr>
        <w:t>系统，其中</w:t>
      </w:r>
      <w:r>
        <w:rPr>
          <w:sz w:val="30"/>
          <w:szCs w:val="30"/>
        </w:rPr>
        <w:t>包</w:t>
      </w:r>
      <w:r>
        <w:rPr>
          <w:rFonts w:hint="eastAsia"/>
          <w:sz w:val="30"/>
          <w:szCs w:val="30"/>
        </w:rPr>
        <w:t xml:space="preserve">含的所有软件，无年度维护费用；软件中涉及到存储病人就诊信息的，无单独就诊卡或芯片类存储介质。 </w:t>
      </w:r>
    </w:p>
    <w:p w14:paraId="7C4CFA65">
      <w:pPr>
        <w:snapToGrid w:val="0"/>
        <w:spacing w:line="264" w:lineRule="auto"/>
        <w:ind w:firstLine="562" w:firstLineChars="200"/>
        <w:jc w:val="left"/>
        <w:rPr>
          <w:rFonts w:hint="eastAsia"/>
          <w:b/>
          <w:bCs/>
          <w:sz w:val="28"/>
          <w:szCs w:val="28"/>
        </w:rPr>
      </w:pPr>
    </w:p>
    <w:p w14:paraId="26A8479C">
      <w:pPr>
        <w:snapToGrid w:val="0"/>
        <w:spacing w:line="264" w:lineRule="auto"/>
        <w:ind w:firstLine="562" w:firstLineChars="200"/>
        <w:jc w:val="left"/>
        <w:rPr>
          <w:rFonts w:hint="eastAsia"/>
          <w:b/>
          <w:bCs/>
          <w:sz w:val="28"/>
          <w:szCs w:val="28"/>
        </w:rPr>
      </w:pPr>
    </w:p>
    <w:p w14:paraId="6CCAF5A1">
      <w:pPr>
        <w:snapToGrid w:val="0"/>
        <w:spacing w:line="264" w:lineRule="auto"/>
        <w:ind w:firstLine="562" w:firstLineChars="200"/>
        <w:jc w:val="left"/>
        <w:rPr>
          <w:rFonts w:hint="eastAsia"/>
          <w:b/>
          <w:bCs/>
          <w:sz w:val="28"/>
          <w:szCs w:val="28"/>
        </w:rPr>
      </w:pPr>
    </w:p>
    <w:p w14:paraId="24E1F2A2">
      <w:pPr>
        <w:snapToGrid w:val="0"/>
        <w:spacing w:line="264" w:lineRule="auto"/>
        <w:ind w:firstLine="562" w:firstLineChars="200"/>
        <w:jc w:val="left"/>
        <w:rPr>
          <w:rFonts w:hint="eastAsia"/>
          <w:b/>
          <w:bCs/>
          <w:sz w:val="28"/>
          <w:szCs w:val="28"/>
        </w:rPr>
      </w:pPr>
    </w:p>
    <w:p w14:paraId="605FBDA1">
      <w:pPr>
        <w:snapToGrid w:val="0"/>
        <w:spacing w:line="264" w:lineRule="auto"/>
        <w:ind w:firstLine="600" w:firstLineChars="200"/>
        <w:jc w:val="center"/>
        <w:rPr>
          <w:rFonts w:hint="eastAsia"/>
          <w:b/>
          <w:bCs/>
          <w:sz w:val="28"/>
          <w:szCs w:val="28"/>
        </w:rPr>
      </w:pPr>
      <w:r>
        <w:rPr>
          <w:rFonts w:hint="eastAsia" w:ascii="Times New Roman" w:hAnsi="Times New Roman" w:eastAsia="宋体" w:cs="Times New Roman"/>
          <w:sz w:val="30"/>
          <w:szCs w:val="30"/>
          <w:lang w:val="en-US" w:eastAsia="zh-CN"/>
        </w:rPr>
        <w:t xml:space="preserve">                  </w:t>
      </w:r>
      <w:r>
        <w:rPr>
          <w:rFonts w:hint="eastAsia" w:ascii="Times New Roman" w:hAnsi="Times New Roman" w:eastAsia="宋体" w:cs="Times New Roman"/>
          <w:sz w:val="30"/>
          <w:szCs w:val="30"/>
        </w:rPr>
        <w:t>（公司名称）</w:t>
      </w:r>
    </w:p>
    <w:p w14:paraId="2CB03F8F">
      <w:pPr>
        <w:snapToGrid w:val="0"/>
        <w:spacing w:line="264" w:lineRule="auto"/>
        <w:ind w:firstLine="562" w:firstLineChars="200"/>
        <w:jc w:val="left"/>
        <w:rPr>
          <w:rFonts w:hint="eastAsia"/>
          <w:b/>
          <w:bCs/>
          <w:sz w:val="28"/>
          <w:szCs w:val="28"/>
        </w:rPr>
      </w:pPr>
    </w:p>
    <w:p w14:paraId="30AB75C6">
      <w:pPr>
        <w:snapToGrid w:val="0"/>
        <w:spacing w:line="264" w:lineRule="auto"/>
        <w:ind w:firstLine="562" w:firstLineChars="200"/>
        <w:jc w:val="left"/>
        <w:rPr>
          <w:rFonts w:hint="eastAsia"/>
          <w:b/>
          <w:bCs/>
          <w:sz w:val="28"/>
          <w:szCs w:val="28"/>
        </w:rPr>
      </w:pPr>
    </w:p>
    <w:p w14:paraId="56BBE3FC">
      <w:pPr>
        <w:snapToGrid w:val="0"/>
        <w:spacing w:line="264" w:lineRule="auto"/>
        <w:ind w:firstLine="562" w:firstLineChars="200"/>
        <w:jc w:val="left"/>
        <w:rPr>
          <w:rFonts w:hint="eastAsia"/>
          <w:b/>
          <w:bCs/>
          <w:sz w:val="28"/>
          <w:szCs w:val="28"/>
        </w:rPr>
      </w:pPr>
    </w:p>
    <w:p w14:paraId="7B64EFC4">
      <w:pPr>
        <w:snapToGrid w:val="0"/>
        <w:spacing w:line="264" w:lineRule="auto"/>
        <w:ind w:firstLine="562" w:firstLineChars="200"/>
        <w:jc w:val="left"/>
        <w:rPr>
          <w:rFonts w:hint="eastAsia"/>
          <w:b/>
          <w:bCs/>
          <w:sz w:val="28"/>
          <w:szCs w:val="28"/>
        </w:rPr>
      </w:pPr>
    </w:p>
    <w:p w14:paraId="6CE271C1">
      <w:pPr>
        <w:snapToGrid w:val="0"/>
        <w:spacing w:line="264" w:lineRule="auto"/>
        <w:ind w:firstLine="562" w:firstLineChars="200"/>
        <w:jc w:val="left"/>
        <w:rPr>
          <w:rFonts w:hint="eastAsia"/>
          <w:b/>
          <w:bCs/>
          <w:sz w:val="28"/>
          <w:szCs w:val="28"/>
        </w:rPr>
      </w:pPr>
    </w:p>
    <w:p w14:paraId="040F3817">
      <w:pPr>
        <w:snapToGrid w:val="0"/>
        <w:spacing w:line="264" w:lineRule="auto"/>
        <w:ind w:firstLine="562" w:firstLineChars="200"/>
        <w:jc w:val="left"/>
        <w:rPr>
          <w:rFonts w:hint="eastAsia"/>
          <w:b/>
          <w:bCs/>
          <w:sz w:val="28"/>
          <w:szCs w:val="28"/>
        </w:rPr>
      </w:pPr>
    </w:p>
    <w:p w14:paraId="109F24AB">
      <w:pPr>
        <w:rPr>
          <w:rFonts w:hint="eastAsia"/>
          <w:b/>
          <w:bCs/>
          <w:sz w:val="28"/>
          <w:szCs w:val="28"/>
        </w:rPr>
      </w:pPr>
      <w:r>
        <w:rPr>
          <w:rFonts w:hint="eastAsia"/>
          <w:b/>
          <w:bCs/>
          <w:sz w:val="28"/>
          <w:szCs w:val="28"/>
        </w:rPr>
        <w:br w:type="page"/>
      </w:r>
    </w:p>
    <w:p w14:paraId="17899AB5">
      <w:pPr>
        <w:snapToGrid w:val="0"/>
        <w:spacing w:line="264" w:lineRule="auto"/>
        <w:ind w:firstLine="562" w:firstLineChars="200"/>
        <w:jc w:val="left"/>
        <w:rPr>
          <w:rFonts w:hint="eastAsia"/>
          <w:b/>
          <w:bCs/>
          <w:sz w:val="28"/>
          <w:szCs w:val="28"/>
        </w:rPr>
      </w:pPr>
      <w:r>
        <w:rPr>
          <w:rFonts w:hint="eastAsia"/>
          <w:b/>
          <w:bCs/>
          <w:sz w:val="28"/>
          <w:szCs w:val="28"/>
        </w:rPr>
        <w:t>附件</w:t>
      </w:r>
      <w:r>
        <w:rPr>
          <w:rFonts w:hint="eastAsia"/>
          <w:b/>
          <w:bCs/>
          <w:sz w:val="28"/>
          <w:szCs w:val="28"/>
          <w:lang w:val="en-US" w:eastAsia="zh-CN"/>
        </w:rPr>
        <w:t>7</w:t>
      </w:r>
      <w:r>
        <w:rPr>
          <w:rFonts w:hint="eastAsia"/>
          <w:b/>
          <w:bCs/>
          <w:sz w:val="28"/>
          <w:szCs w:val="28"/>
        </w:rPr>
        <w:t>：</w:t>
      </w:r>
    </w:p>
    <w:p w14:paraId="37A3B6A3">
      <w:pPr>
        <w:snapToGrid w:val="0"/>
        <w:spacing w:line="264" w:lineRule="auto"/>
        <w:ind w:firstLine="560" w:firstLineChars="200"/>
        <w:jc w:val="left"/>
        <w:rPr>
          <w:rFonts w:hint="eastAsia"/>
          <w:sz w:val="28"/>
          <w:szCs w:val="28"/>
        </w:rPr>
      </w:pPr>
    </w:p>
    <w:p w14:paraId="2EBB6CBB">
      <w:pPr>
        <w:snapToGrid w:val="0"/>
        <w:spacing w:line="264" w:lineRule="auto"/>
        <w:ind w:firstLine="640" w:firstLineChars="200"/>
        <w:jc w:val="center"/>
        <w:rPr>
          <w:rFonts w:hint="eastAsia"/>
          <w:b/>
          <w:bCs/>
          <w:color w:val="FF0000"/>
          <w:sz w:val="32"/>
          <w:szCs w:val="32"/>
        </w:rPr>
      </w:pPr>
      <w:r>
        <w:rPr>
          <w:rFonts w:hint="eastAsia"/>
          <w:sz w:val="32"/>
          <w:szCs w:val="32"/>
        </w:rPr>
        <w:t>代理商售后服务承诺书</w:t>
      </w:r>
      <w:r>
        <w:rPr>
          <w:rFonts w:hint="eastAsia"/>
          <w:b/>
          <w:bCs/>
          <w:color w:val="FF0000"/>
          <w:sz w:val="32"/>
          <w:szCs w:val="32"/>
        </w:rPr>
        <w:t>（加盖合同专用章）</w:t>
      </w:r>
    </w:p>
    <w:p w14:paraId="33D5AA44">
      <w:pPr>
        <w:snapToGrid w:val="0"/>
        <w:spacing w:line="264" w:lineRule="auto"/>
        <w:ind w:firstLine="643" w:firstLineChars="200"/>
        <w:rPr>
          <w:rFonts w:hint="eastAsia"/>
          <w:b/>
          <w:bCs/>
          <w:color w:val="FF0000"/>
          <w:sz w:val="32"/>
          <w:szCs w:val="32"/>
        </w:rPr>
      </w:pPr>
    </w:p>
    <w:p w14:paraId="7620164A">
      <w:pPr>
        <w:snapToGrid w:val="0"/>
        <w:spacing w:line="264" w:lineRule="auto"/>
        <w:ind w:firstLine="643" w:firstLineChars="200"/>
        <w:rPr>
          <w:rFonts w:hint="eastAsia"/>
          <w:b/>
          <w:bCs/>
          <w:color w:val="FF0000"/>
          <w:sz w:val="32"/>
          <w:szCs w:val="32"/>
        </w:rPr>
      </w:pPr>
      <w:r>
        <w:rPr>
          <w:rFonts w:hint="eastAsia"/>
          <w:b/>
          <w:bCs/>
          <w:color w:val="FF0000"/>
          <w:sz w:val="32"/>
          <w:szCs w:val="32"/>
        </w:rPr>
        <w:t>必须包含以下内容：</w:t>
      </w:r>
    </w:p>
    <w:p w14:paraId="27B370A0">
      <w:pPr>
        <w:pStyle w:val="14"/>
        <w:numPr>
          <w:ilvl w:val="0"/>
          <w:numId w:val="40"/>
        </w:numPr>
        <w:spacing w:line="760" w:lineRule="exact"/>
        <w:ind w:firstLine="560"/>
        <w:rPr>
          <w:rFonts w:hint="eastAsia" w:ascii="Times New Roman" w:hAnsi="Times New Roman" w:eastAsia="宋体" w:cs="Calibri"/>
          <w:sz w:val="28"/>
          <w:szCs w:val="28"/>
        </w:rPr>
      </w:pPr>
      <w:r>
        <w:rPr>
          <w:rFonts w:hint="eastAsia" w:ascii="Times New Roman" w:hAnsi="Times New Roman" w:eastAsia="宋体" w:cs="Calibri"/>
          <w:sz w:val="28"/>
          <w:szCs w:val="28"/>
        </w:rPr>
        <w:t>自验收合格之日起计售后服务期，提供整机（包含球管、探测器、晶体等所有到货安装设备</w:t>
      </w:r>
      <w:r>
        <w:rPr>
          <w:rFonts w:hint="eastAsia" w:ascii="Times New Roman" w:hAnsi="Times New Roman" w:eastAsia="宋体" w:cs="Calibri"/>
          <w:sz w:val="28"/>
          <w:szCs w:val="28"/>
          <w:highlight w:val="none"/>
        </w:rPr>
        <w:t>）原厂保修服务</w:t>
      </w:r>
      <w:r>
        <w:rPr>
          <w:rFonts w:hint="eastAsia" w:ascii="Times New Roman" w:hAnsi="Times New Roman" w:eastAsia="宋体" w:cs="Calibri"/>
          <w:sz w:val="28"/>
          <w:szCs w:val="28"/>
          <w:highlight w:val="none"/>
          <w:u w:val="single"/>
          <w:lang w:val="en-US" w:eastAsia="zh-CN"/>
        </w:rPr>
        <w:t xml:space="preserve">   </w:t>
      </w:r>
      <w:r>
        <w:rPr>
          <w:rFonts w:hint="eastAsia" w:ascii="Times New Roman" w:hAnsi="Times New Roman" w:eastAsia="宋体" w:cs="Calibri"/>
          <w:sz w:val="28"/>
          <w:szCs w:val="28"/>
          <w:highlight w:val="none"/>
        </w:rPr>
        <w:t>年，承</w:t>
      </w:r>
      <w:r>
        <w:rPr>
          <w:rFonts w:hint="eastAsia" w:ascii="Times New Roman" w:hAnsi="Times New Roman" w:eastAsia="宋体" w:cs="Calibri"/>
          <w:sz w:val="28"/>
          <w:szCs w:val="28"/>
        </w:rPr>
        <w:t>担售后服务期内设备任何故障产生的费用。</w:t>
      </w:r>
      <w:r>
        <w:rPr>
          <w:rFonts w:hint="eastAsia" w:ascii="Times New Roman" w:hAnsi="Times New Roman" w:eastAsia="宋体"/>
          <w:sz w:val="28"/>
          <w:szCs w:val="28"/>
        </w:rPr>
        <w:t>（</w:t>
      </w:r>
      <w:r>
        <w:rPr>
          <w:rFonts w:hint="eastAsia" w:ascii="Times New Roman" w:hAnsi="Times New Roman" w:eastAsia="宋体"/>
          <w:color w:val="FF0000"/>
          <w:sz w:val="28"/>
          <w:szCs w:val="28"/>
        </w:rPr>
        <w:t>需提供原厂保修证明</w:t>
      </w:r>
      <w:r>
        <w:rPr>
          <w:rFonts w:hint="eastAsia" w:ascii="Times New Roman" w:hAnsi="Times New Roman" w:eastAsia="宋体"/>
          <w:sz w:val="28"/>
          <w:szCs w:val="28"/>
        </w:rPr>
        <w:t>）。</w:t>
      </w:r>
    </w:p>
    <w:p w14:paraId="164CCFA5">
      <w:pPr>
        <w:pStyle w:val="14"/>
        <w:numPr>
          <w:ilvl w:val="0"/>
          <w:numId w:val="40"/>
        </w:numPr>
        <w:spacing w:line="760" w:lineRule="exact"/>
        <w:ind w:firstLine="560"/>
        <w:rPr>
          <w:rFonts w:hint="eastAsia" w:ascii="Times New Roman" w:hAnsi="Times New Roman" w:eastAsia="宋体" w:cs="Calibri"/>
          <w:sz w:val="28"/>
          <w:szCs w:val="28"/>
        </w:rPr>
      </w:pPr>
      <w:r>
        <w:rPr>
          <w:rFonts w:hint="eastAsia" w:ascii="Times New Roman" w:hAnsi="Times New Roman" w:eastAsia="宋体" w:cs="Calibri"/>
          <w:sz w:val="28"/>
          <w:szCs w:val="28"/>
        </w:rPr>
        <w:t>售后服务期内每季度定期由专业工程师对设备进行巡检，并出具相应工单交使用科室及医学工程科备案。</w:t>
      </w:r>
      <w:r>
        <w:rPr>
          <w:rFonts w:hint="eastAsia" w:ascii="Times New Roman" w:hAnsi="Times New Roman" w:eastAsia="宋体"/>
          <w:sz w:val="28"/>
          <w:szCs w:val="28"/>
          <w:u w:val="single"/>
        </w:rPr>
        <w:t>（注：以上记录将作为支付设备尾款的依据。）</w:t>
      </w:r>
    </w:p>
    <w:p w14:paraId="4809AFC0">
      <w:pPr>
        <w:snapToGrid w:val="0"/>
        <w:spacing w:line="264" w:lineRule="auto"/>
        <w:rPr>
          <w:rFonts w:hint="default" w:eastAsia="宋体"/>
          <w:sz w:val="32"/>
          <w:szCs w:val="32"/>
          <w:lang w:val="en-US" w:eastAsia="zh-CN"/>
        </w:rPr>
      </w:pPr>
    </w:p>
    <w:p w14:paraId="4A60E753">
      <w:pPr>
        <w:snapToGrid w:val="0"/>
        <w:spacing w:line="264" w:lineRule="auto"/>
        <w:rPr>
          <w:rFonts w:hint="default" w:eastAsia="宋体"/>
          <w:sz w:val="32"/>
          <w:szCs w:val="32"/>
          <w:lang w:val="en-US" w:eastAsia="zh-CN"/>
        </w:rPr>
      </w:pPr>
    </w:p>
    <w:p w14:paraId="7AF1BCFD">
      <w:pPr>
        <w:snapToGrid w:val="0"/>
        <w:spacing w:line="264" w:lineRule="auto"/>
        <w:rPr>
          <w:rFonts w:hint="default" w:eastAsia="宋体"/>
          <w:sz w:val="32"/>
          <w:szCs w:val="32"/>
          <w:lang w:val="en-US" w:eastAsia="zh-CN"/>
        </w:rPr>
      </w:pPr>
    </w:p>
    <w:p w14:paraId="237FEC07">
      <w:pPr>
        <w:snapToGrid w:val="0"/>
        <w:spacing w:line="264" w:lineRule="auto"/>
        <w:rPr>
          <w:rFonts w:hint="default" w:eastAsia="宋体"/>
          <w:sz w:val="32"/>
          <w:szCs w:val="32"/>
          <w:lang w:val="en-US" w:eastAsia="zh-CN"/>
        </w:rPr>
      </w:pPr>
    </w:p>
    <w:p w14:paraId="634FDB8E">
      <w:pPr>
        <w:snapToGrid w:val="0"/>
        <w:spacing w:line="264" w:lineRule="auto"/>
        <w:rPr>
          <w:rFonts w:hint="default" w:eastAsia="宋体"/>
          <w:sz w:val="32"/>
          <w:szCs w:val="32"/>
          <w:lang w:val="en-US" w:eastAsia="zh-CN"/>
        </w:rPr>
      </w:pPr>
    </w:p>
    <w:p w14:paraId="5F5464CC">
      <w:pPr>
        <w:snapToGrid w:val="0"/>
        <w:spacing w:line="264" w:lineRule="auto"/>
        <w:rPr>
          <w:rFonts w:hint="default" w:eastAsia="宋体"/>
          <w:sz w:val="32"/>
          <w:szCs w:val="32"/>
          <w:lang w:val="en-US" w:eastAsia="zh-CN"/>
        </w:rPr>
      </w:pPr>
    </w:p>
    <w:p w14:paraId="186889AC">
      <w:pPr>
        <w:snapToGrid w:val="0"/>
        <w:spacing w:line="264" w:lineRule="auto"/>
        <w:rPr>
          <w:rFonts w:hint="default" w:eastAsia="宋体"/>
          <w:sz w:val="32"/>
          <w:szCs w:val="32"/>
          <w:lang w:val="en-US" w:eastAsia="zh-CN"/>
        </w:rPr>
      </w:pPr>
    </w:p>
    <w:p w14:paraId="232B196E">
      <w:pPr>
        <w:snapToGrid w:val="0"/>
        <w:spacing w:line="264" w:lineRule="auto"/>
        <w:rPr>
          <w:rFonts w:hint="default" w:eastAsia="宋体"/>
          <w:sz w:val="32"/>
          <w:szCs w:val="32"/>
          <w:lang w:val="en-US" w:eastAsia="zh-CN"/>
        </w:rPr>
      </w:pPr>
    </w:p>
    <w:p w14:paraId="18F672A4">
      <w:pPr>
        <w:snapToGrid w:val="0"/>
        <w:spacing w:line="264" w:lineRule="auto"/>
        <w:rPr>
          <w:rFonts w:hint="default" w:eastAsia="宋体"/>
          <w:sz w:val="32"/>
          <w:szCs w:val="32"/>
          <w:lang w:val="en-US" w:eastAsia="zh-CN"/>
        </w:rPr>
      </w:pPr>
    </w:p>
    <w:p w14:paraId="1DD62802">
      <w:pPr>
        <w:snapToGrid w:val="0"/>
        <w:spacing w:line="264" w:lineRule="auto"/>
        <w:rPr>
          <w:rFonts w:hint="default" w:eastAsia="宋体"/>
          <w:sz w:val="32"/>
          <w:szCs w:val="32"/>
          <w:lang w:val="en-US" w:eastAsia="zh-CN"/>
        </w:rPr>
      </w:pPr>
    </w:p>
    <w:p w14:paraId="4C868BF9">
      <w:pPr>
        <w:snapToGrid w:val="0"/>
        <w:spacing w:line="264" w:lineRule="auto"/>
        <w:rPr>
          <w:rFonts w:hint="default" w:eastAsia="宋体"/>
          <w:sz w:val="32"/>
          <w:szCs w:val="32"/>
          <w:lang w:val="en-US" w:eastAsia="zh-CN"/>
        </w:rPr>
      </w:pPr>
    </w:p>
    <w:p w14:paraId="0B39D00B">
      <w:pPr>
        <w:snapToGrid w:val="0"/>
        <w:spacing w:line="264" w:lineRule="auto"/>
        <w:rPr>
          <w:rFonts w:hint="default" w:eastAsia="宋体"/>
          <w:sz w:val="32"/>
          <w:szCs w:val="32"/>
          <w:lang w:val="en-US" w:eastAsia="zh-CN"/>
        </w:rPr>
      </w:pPr>
    </w:p>
    <w:p w14:paraId="37706342">
      <w:pPr>
        <w:snapToGrid w:val="0"/>
        <w:spacing w:line="264" w:lineRule="auto"/>
        <w:rPr>
          <w:rFonts w:hint="default" w:eastAsia="宋体"/>
          <w:sz w:val="32"/>
          <w:szCs w:val="32"/>
          <w:lang w:val="en-US" w:eastAsia="zh-CN"/>
        </w:rPr>
      </w:pPr>
    </w:p>
    <w:p w14:paraId="11047AA0">
      <w:pPr>
        <w:snapToGrid w:val="0"/>
        <w:spacing w:line="264" w:lineRule="auto"/>
        <w:rPr>
          <w:rFonts w:hint="default" w:eastAsia="宋体"/>
          <w:sz w:val="32"/>
          <w:szCs w:val="32"/>
          <w:lang w:val="en-US" w:eastAsia="zh-CN"/>
        </w:rPr>
      </w:pPr>
    </w:p>
    <w:p w14:paraId="2DC3C03F">
      <w:pPr>
        <w:snapToGrid w:val="0"/>
        <w:spacing w:line="264" w:lineRule="auto"/>
        <w:rPr>
          <w:rFonts w:hint="default" w:eastAsia="宋体"/>
          <w:sz w:val="32"/>
          <w:szCs w:val="32"/>
          <w:lang w:val="en-US" w:eastAsia="zh-CN"/>
        </w:rPr>
      </w:pPr>
    </w:p>
    <w:p w14:paraId="6F8D8E4B">
      <w:pPr>
        <w:snapToGrid w:val="0"/>
        <w:spacing w:line="264" w:lineRule="auto"/>
        <w:ind w:firstLine="562" w:firstLineChars="200"/>
        <w:rPr>
          <w:rFonts w:hint="eastAsia"/>
          <w:b/>
          <w:bCs/>
          <w:sz w:val="28"/>
          <w:szCs w:val="28"/>
        </w:rPr>
      </w:pPr>
    </w:p>
    <w:p w14:paraId="282B7111">
      <w:pPr>
        <w:snapToGrid w:val="0"/>
        <w:spacing w:line="264" w:lineRule="auto"/>
        <w:ind w:firstLine="562" w:firstLineChars="200"/>
        <w:rPr>
          <w:rFonts w:hint="eastAsia"/>
          <w:b/>
          <w:bCs/>
          <w:sz w:val="28"/>
          <w:szCs w:val="28"/>
        </w:rPr>
      </w:pPr>
      <w:r>
        <w:rPr>
          <w:rFonts w:hint="eastAsia"/>
          <w:b/>
          <w:bCs/>
          <w:sz w:val="28"/>
          <w:szCs w:val="28"/>
        </w:rPr>
        <w:t>附件</w:t>
      </w:r>
      <w:r>
        <w:rPr>
          <w:rFonts w:hint="eastAsia"/>
          <w:b/>
          <w:bCs/>
          <w:sz w:val="28"/>
          <w:szCs w:val="28"/>
          <w:lang w:val="en-US" w:eastAsia="zh-CN"/>
        </w:rPr>
        <w:t>8</w:t>
      </w:r>
      <w:r>
        <w:rPr>
          <w:rFonts w:hint="eastAsia"/>
          <w:b/>
          <w:bCs/>
          <w:sz w:val="28"/>
          <w:szCs w:val="28"/>
        </w:rPr>
        <w:t>：</w:t>
      </w:r>
    </w:p>
    <w:p w14:paraId="051ED9B0">
      <w:pPr>
        <w:snapToGrid w:val="0"/>
        <w:spacing w:line="264" w:lineRule="auto"/>
        <w:ind w:firstLine="560" w:firstLineChars="200"/>
        <w:jc w:val="left"/>
        <w:rPr>
          <w:rFonts w:hint="eastAsia"/>
          <w:sz w:val="28"/>
          <w:szCs w:val="28"/>
        </w:rPr>
      </w:pPr>
    </w:p>
    <w:p w14:paraId="7DD65995">
      <w:pPr>
        <w:snapToGrid w:val="0"/>
        <w:spacing w:line="264" w:lineRule="auto"/>
        <w:ind w:firstLine="640" w:firstLineChars="200"/>
        <w:jc w:val="center"/>
        <w:rPr>
          <w:rFonts w:hint="eastAsia"/>
          <w:b/>
          <w:bCs/>
          <w:color w:val="FF0000"/>
          <w:sz w:val="32"/>
          <w:szCs w:val="32"/>
        </w:rPr>
      </w:pPr>
      <w:r>
        <w:rPr>
          <w:rFonts w:hint="eastAsia"/>
          <w:sz w:val="32"/>
          <w:szCs w:val="32"/>
        </w:rPr>
        <w:t>厂家售后服务承诺书</w:t>
      </w:r>
      <w:r>
        <w:rPr>
          <w:rFonts w:hint="eastAsia"/>
          <w:b/>
          <w:bCs/>
          <w:color w:val="FF0000"/>
          <w:sz w:val="32"/>
          <w:szCs w:val="32"/>
        </w:rPr>
        <w:t>（加盖合同专用章）</w:t>
      </w:r>
    </w:p>
    <w:p w14:paraId="190155CD">
      <w:pPr>
        <w:snapToGrid w:val="0"/>
        <w:spacing w:line="264" w:lineRule="auto"/>
        <w:ind w:firstLine="560" w:firstLineChars="200"/>
        <w:rPr>
          <w:rFonts w:hint="eastAsia"/>
          <w:b/>
          <w:bCs/>
          <w:sz w:val="28"/>
          <w:szCs w:val="28"/>
        </w:rPr>
      </w:pPr>
      <w:r>
        <w:rPr>
          <w:rFonts w:hint="eastAsia"/>
          <w:sz w:val="28"/>
          <w:szCs w:val="28"/>
        </w:rPr>
        <w:br w:type="page"/>
      </w:r>
      <w:r>
        <w:rPr>
          <w:rFonts w:hint="eastAsia"/>
          <w:b/>
          <w:bCs/>
          <w:sz w:val="28"/>
          <w:szCs w:val="28"/>
        </w:rPr>
        <w:t>附件</w:t>
      </w:r>
      <w:r>
        <w:rPr>
          <w:rFonts w:hint="eastAsia"/>
          <w:b/>
          <w:bCs/>
          <w:sz w:val="28"/>
          <w:szCs w:val="28"/>
          <w:lang w:val="en-US" w:eastAsia="zh-CN"/>
        </w:rPr>
        <w:t>9</w:t>
      </w:r>
      <w:r>
        <w:rPr>
          <w:rFonts w:hint="eastAsia"/>
          <w:b/>
          <w:bCs/>
          <w:sz w:val="28"/>
          <w:szCs w:val="28"/>
        </w:rPr>
        <w:t>：</w:t>
      </w:r>
    </w:p>
    <w:p w14:paraId="6FB89DB3">
      <w:pPr>
        <w:snapToGrid w:val="0"/>
        <w:spacing w:line="264" w:lineRule="auto"/>
        <w:ind w:firstLine="640" w:firstLineChars="200"/>
        <w:jc w:val="center"/>
        <w:rPr>
          <w:rFonts w:hint="eastAsia"/>
          <w:b/>
          <w:bCs/>
          <w:color w:val="FF0000"/>
          <w:sz w:val="32"/>
          <w:szCs w:val="32"/>
        </w:rPr>
      </w:pPr>
      <w:r>
        <w:rPr>
          <w:rFonts w:hint="eastAsia" w:ascii="Calibri" w:hAnsi="Calibri" w:eastAsia="宋体" w:cs="Calibri"/>
          <w:sz w:val="32"/>
          <w:szCs w:val="32"/>
          <w:lang w:val="en-US" w:eastAsia="zh-CN"/>
        </w:rPr>
        <w:t>培训计划</w:t>
      </w:r>
      <w:r>
        <w:rPr>
          <w:rFonts w:hint="eastAsia"/>
          <w:b/>
          <w:bCs/>
          <w:color w:val="FF0000"/>
          <w:sz w:val="32"/>
          <w:szCs w:val="32"/>
        </w:rPr>
        <w:t>（加盖合同专用章）</w:t>
      </w:r>
    </w:p>
    <w:p w14:paraId="45E20228">
      <w:pPr>
        <w:snapToGrid w:val="0"/>
        <w:spacing w:line="264" w:lineRule="auto"/>
        <w:ind w:firstLine="640" w:firstLineChars="200"/>
        <w:jc w:val="center"/>
        <w:rPr>
          <w:rFonts w:hint="default" w:ascii="Calibri" w:hAnsi="Calibri" w:eastAsia="宋体" w:cs="Calibri"/>
          <w:sz w:val="32"/>
          <w:szCs w:val="32"/>
          <w:lang w:val="en-US" w:eastAsia="zh-CN"/>
        </w:rPr>
      </w:pPr>
    </w:p>
    <w:p w14:paraId="14A5B6FA">
      <w:pPr>
        <w:snapToGrid w:val="0"/>
        <w:spacing w:line="264" w:lineRule="auto"/>
        <w:ind w:firstLine="560" w:firstLineChars="200"/>
        <w:jc w:val="left"/>
        <w:rPr>
          <w:rFonts w:hint="eastAsia"/>
          <w:sz w:val="28"/>
          <w:szCs w:val="28"/>
        </w:rPr>
      </w:pPr>
    </w:p>
    <w:p w14:paraId="0A984419">
      <w:pPr>
        <w:snapToGrid w:val="0"/>
        <w:spacing w:line="264" w:lineRule="auto"/>
        <w:ind w:firstLine="560" w:firstLineChars="200"/>
        <w:jc w:val="left"/>
        <w:rPr>
          <w:rFonts w:hint="eastAsia"/>
          <w:sz w:val="28"/>
          <w:szCs w:val="28"/>
        </w:rPr>
      </w:pPr>
    </w:p>
    <w:p w14:paraId="1657212D">
      <w:pPr>
        <w:snapToGrid w:val="0"/>
        <w:spacing w:line="264" w:lineRule="auto"/>
        <w:ind w:firstLine="560" w:firstLineChars="200"/>
        <w:jc w:val="left"/>
        <w:rPr>
          <w:rFonts w:hint="eastAsia"/>
          <w:sz w:val="28"/>
          <w:szCs w:val="28"/>
        </w:rPr>
      </w:pPr>
    </w:p>
    <w:p w14:paraId="01A5FB9B">
      <w:pPr>
        <w:snapToGrid w:val="0"/>
        <w:spacing w:line="264" w:lineRule="auto"/>
        <w:ind w:firstLine="560" w:firstLineChars="200"/>
        <w:jc w:val="left"/>
        <w:rPr>
          <w:rFonts w:hint="eastAsia"/>
          <w:sz w:val="28"/>
          <w:szCs w:val="28"/>
        </w:rPr>
      </w:pPr>
    </w:p>
    <w:p w14:paraId="6DBD276D">
      <w:pPr>
        <w:snapToGrid w:val="0"/>
        <w:spacing w:line="264" w:lineRule="auto"/>
        <w:ind w:firstLine="560" w:firstLineChars="200"/>
        <w:jc w:val="left"/>
        <w:rPr>
          <w:rFonts w:hint="eastAsia"/>
          <w:sz w:val="28"/>
          <w:szCs w:val="28"/>
        </w:rPr>
      </w:pPr>
    </w:p>
    <w:p w14:paraId="0B7DAC3B">
      <w:pPr>
        <w:snapToGrid w:val="0"/>
        <w:spacing w:line="264" w:lineRule="auto"/>
        <w:ind w:firstLine="560" w:firstLineChars="200"/>
        <w:jc w:val="left"/>
        <w:rPr>
          <w:rFonts w:hint="eastAsia"/>
          <w:sz w:val="28"/>
          <w:szCs w:val="28"/>
        </w:rPr>
      </w:pPr>
    </w:p>
    <w:p w14:paraId="050EB43C">
      <w:pPr>
        <w:snapToGrid w:val="0"/>
        <w:spacing w:line="264" w:lineRule="auto"/>
        <w:ind w:firstLine="560" w:firstLineChars="200"/>
        <w:jc w:val="left"/>
        <w:rPr>
          <w:rFonts w:hint="eastAsia"/>
          <w:sz w:val="28"/>
          <w:szCs w:val="28"/>
        </w:rPr>
      </w:pPr>
    </w:p>
    <w:p w14:paraId="3EA24619">
      <w:pPr>
        <w:snapToGrid w:val="0"/>
        <w:spacing w:line="264" w:lineRule="auto"/>
        <w:ind w:firstLine="560" w:firstLineChars="200"/>
        <w:jc w:val="left"/>
        <w:rPr>
          <w:rFonts w:hint="eastAsia"/>
          <w:sz w:val="28"/>
          <w:szCs w:val="28"/>
        </w:rPr>
      </w:pPr>
    </w:p>
    <w:p w14:paraId="22C3B416">
      <w:pPr>
        <w:snapToGrid w:val="0"/>
        <w:spacing w:line="264" w:lineRule="auto"/>
        <w:ind w:firstLine="560" w:firstLineChars="200"/>
        <w:jc w:val="left"/>
        <w:rPr>
          <w:rFonts w:hint="eastAsia"/>
          <w:sz w:val="28"/>
          <w:szCs w:val="28"/>
        </w:rPr>
      </w:pPr>
    </w:p>
    <w:p w14:paraId="2020648E">
      <w:pPr>
        <w:snapToGrid w:val="0"/>
        <w:spacing w:line="264" w:lineRule="auto"/>
        <w:ind w:firstLine="560" w:firstLineChars="200"/>
        <w:jc w:val="left"/>
        <w:rPr>
          <w:rFonts w:hint="eastAsia"/>
          <w:sz w:val="28"/>
          <w:szCs w:val="28"/>
        </w:rPr>
      </w:pPr>
    </w:p>
    <w:p w14:paraId="09B6E2B6">
      <w:pPr>
        <w:snapToGrid w:val="0"/>
        <w:spacing w:line="264" w:lineRule="auto"/>
        <w:ind w:firstLine="560" w:firstLineChars="200"/>
        <w:jc w:val="left"/>
        <w:rPr>
          <w:rFonts w:hint="eastAsia"/>
          <w:sz w:val="28"/>
          <w:szCs w:val="28"/>
        </w:rPr>
      </w:pPr>
    </w:p>
    <w:p w14:paraId="273DF17F">
      <w:pPr>
        <w:snapToGrid w:val="0"/>
        <w:spacing w:line="264" w:lineRule="auto"/>
        <w:ind w:firstLine="560" w:firstLineChars="200"/>
        <w:jc w:val="left"/>
        <w:rPr>
          <w:rFonts w:hint="eastAsia"/>
          <w:sz w:val="28"/>
          <w:szCs w:val="28"/>
        </w:rPr>
      </w:pPr>
    </w:p>
    <w:p w14:paraId="3B705FDC">
      <w:pPr>
        <w:snapToGrid w:val="0"/>
        <w:spacing w:line="264" w:lineRule="auto"/>
        <w:ind w:firstLine="560" w:firstLineChars="200"/>
        <w:jc w:val="left"/>
        <w:rPr>
          <w:rFonts w:hint="eastAsia"/>
          <w:sz w:val="28"/>
          <w:szCs w:val="28"/>
        </w:rPr>
      </w:pPr>
    </w:p>
    <w:p w14:paraId="19EC5B13">
      <w:pPr>
        <w:snapToGrid w:val="0"/>
        <w:spacing w:line="264" w:lineRule="auto"/>
        <w:ind w:firstLine="560" w:firstLineChars="200"/>
        <w:jc w:val="left"/>
        <w:rPr>
          <w:rFonts w:hint="eastAsia"/>
          <w:sz w:val="28"/>
          <w:szCs w:val="28"/>
        </w:rPr>
      </w:pPr>
    </w:p>
    <w:p w14:paraId="32E1DEC2">
      <w:pPr>
        <w:snapToGrid w:val="0"/>
        <w:spacing w:line="264" w:lineRule="auto"/>
        <w:ind w:firstLine="560" w:firstLineChars="200"/>
        <w:jc w:val="left"/>
        <w:rPr>
          <w:rFonts w:hint="eastAsia"/>
          <w:sz w:val="28"/>
          <w:szCs w:val="28"/>
        </w:rPr>
      </w:pPr>
    </w:p>
    <w:p w14:paraId="22D0A244">
      <w:pPr>
        <w:snapToGrid w:val="0"/>
        <w:spacing w:line="264" w:lineRule="auto"/>
        <w:ind w:firstLine="560" w:firstLineChars="200"/>
        <w:jc w:val="left"/>
        <w:rPr>
          <w:rFonts w:hint="eastAsia"/>
          <w:sz w:val="28"/>
          <w:szCs w:val="28"/>
        </w:rPr>
      </w:pPr>
    </w:p>
    <w:p w14:paraId="1D386984">
      <w:pPr>
        <w:snapToGrid w:val="0"/>
        <w:spacing w:line="264" w:lineRule="auto"/>
        <w:ind w:firstLine="560" w:firstLineChars="200"/>
        <w:jc w:val="left"/>
        <w:rPr>
          <w:rFonts w:hint="eastAsia"/>
          <w:sz w:val="28"/>
          <w:szCs w:val="28"/>
        </w:rPr>
      </w:pPr>
    </w:p>
    <w:p w14:paraId="57C9F179">
      <w:pPr>
        <w:snapToGrid w:val="0"/>
        <w:spacing w:line="264" w:lineRule="auto"/>
        <w:ind w:firstLine="560" w:firstLineChars="200"/>
        <w:jc w:val="left"/>
        <w:rPr>
          <w:rFonts w:hint="eastAsia"/>
          <w:sz w:val="28"/>
          <w:szCs w:val="28"/>
        </w:rPr>
      </w:pPr>
    </w:p>
    <w:p w14:paraId="7C72AE98">
      <w:pPr>
        <w:snapToGrid w:val="0"/>
        <w:spacing w:line="264" w:lineRule="auto"/>
        <w:ind w:firstLine="560" w:firstLineChars="200"/>
        <w:jc w:val="left"/>
        <w:rPr>
          <w:rFonts w:hint="eastAsia"/>
          <w:sz w:val="28"/>
          <w:szCs w:val="28"/>
        </w:rPr>
      </w:pPr>
    </w:p>
    <w:p w14:paraId="427DC14F">
      <w:pPr>
        <w:snapToGrid w:val="0"/>
        <w:spacing w:line="264" w:lineRule="auto"/>
        <w:ind w:firstLine="560" w:firstLineChars="200"/>
        <w:jc w:val="left"/>
        <w:rPr>
          <w:rFonts w:hint="eastAsia"/>
          <w:sz w:val="28"/>
          <w:szCs w:val="28"/>
        </w:rPr>
      </w:pPr>
    </w:p>
    <w:p w14:paraId="2B4FF68F">
      <w:pPr>
        <w:snapToGrid w:val="0"/>
        <w:spacing w:line="264" w:lineRule="auto"/>
        <w:ind w:firstLine="560" w:firstLineChars="200"/>
        <w:jc w:val="left"/>
        <w:rPr>
          <w:rFonts w:hint="eastAsia"/>
          <w:sz w:val="28"/>
          <w:szCs w:val="28"/>
        </w:rPr>
      </w:pPr>
    </w:p>
    <w:p w14:paraId="46B0CA7E">
      <w:pPr>
        <w:snapToGrid w:val="0"/>
        <w:spacing w:line="264" w:lineRule="auto"/>
        <w:ind w:firstLine="560" w:firstLineChars="200"/>
        <w:jc w:val="left"/>
        <w:rPr>
          <w:rFonts w:hint="eastAsia"/>
          <w:sz w:val="28"/>
          <w:szCs w:val="28"/>
        </w:rPr>
      </w:pPr>
    </w:p>
    <w:p w14:paraId="14C3D237">
      <w:pPr>
        <w:snapToGrid w:val="0"/>
        <w:spacing w:line="264" w:lineRule="auto"/>
        <w:ind w:firstLine="560" w:firstLineChars="200"/>
        <w:jc w:val="left"/>
        <w:rPr>
          <w:rFonts w:hint="eastAsia"/>
          <w:sz w:val="28"/>
          <w:szCs w:val="28"/>
        </w:rPr>
      </w:pPr>
    </w:p>
    <w:p w14:paraId="33CA87CE">
      <w:pPr>
        <w:snapToGrid w:val="0"/>
        <w:spacing w:line="264" w:lineRule="auto"/>
        <w:ind w:firstLine="560" w:firstLineChars="200"/>
        <w:jc w:val="left"/>
        <w:rPr>
          <w:rFonts w:hint="eastAsia"/>
          <w:sz w:val="28"/>
          <w:szCs w:val="28"/>
        </w:rPr>
      </w:pPr>
    </w:p>
    <w:p w14:paraId="5CA1147F">
      <w:pPr>
        <w:snapToGrid w:val="0"/>
        <w:spacing w:line="264" w:lineRule="auto"/>
        <w:ind w:firstLine="560" w:firstLineChars="200"/>
        <w:jc w:val="left"/>
        <w:rPr>
          <w:rFonts w:hint="eastAsia"/>
          <w:sz w:val="28"/>
          <w:szCs w:val="28"/>
        </w:rPr>
      </w:pPr>
    </w:p>
    <w:p w14:paraId="21B00EBE">
      <w:pPr>
        <w:snapToGrid w:val="0"/>
        <w:spacing w:line="264" w:lineRule="auto"/>
        <w:ind w:firstLine="560" w:firstLineChars="200"/>
        <w:jc w:val="left"/>
        <w:rPr>
          <w:rFonts w:hint="eastAsia"/>
          <w:sz w:val="28"/>
          <w:szCs w:val="28"/>
        </w:rPr>
      </w:pPr>
    </w:p>
    <w:p w14:paraId="1A852A2E">
      <w:pPr>
        <w:snapToGrid w:val="0"/>
        <w:spacing w:line="264" w:lineRule="auto"/>
        <w:ind w:firstLine="560" w:firstLineChars="200"/>
        <w:jc w:val="left"/>
        <w:rPr>
          <w:rFonts w:hint="eastAsia"/>
          <w:sz w:val="28"/>
          <w:szCs w:val="28"/>
        </w:rPr>
      </w:pPr>
    </w:p>
    <w:p w14:paraId="18C0FEA5">
      <w:pPr>
        <w:snapToGrid w:val="0"/>
        <w:spacing w:line="264" w:lineRule="auto"/>
        <w:ind w:firstLine="560" w:firstLineChars="200"/>
        <w:jc w:val="left"/>
        <w:rPr>
          <w:rFonts w:hint="eastAsia"/>
          <w:sz w:val="28"/>
          <w:szCs w:val="28"/>
        </w:rPr>
      </w:pPr>
    </w:p>
    <w:p w14:paraId="19605CE0">
      <w:pPr>
        <w:snapToGrid w:val="0"/>
        <w:spacing w:line="264" w:lineRule="auto"/>
        <w:ind w:firstLine="560" w:firstLineChars="200"/>
        <w:jc w:val="left"/>
        <w:rPr>
          <w:rFonts w:hint="eastAsia"/>
          <w:sz w:val="28"/>
          <w:szCs w:val="28"/>
        </w:rPr>
      </w:pPr>
    </w:p>
    <w:p w14:paraId="4DD469B6">
      <w:pPr>
        <w:snapToGrid w:val="0"/>
        <w:spacing w:line="264" w:lineRule="auto"/>
        <w:ind w:firstLine="560" w:firstLineChars="200"/>
        <w:jc w:val="left"/>
        <w:rPr>
          <w:rFonts w:hint="eastAsia"/>
          <w:sz w:val="28"/>
          <w:szCs w:val="28"/>
        </w:rPr>
      </w:pPr>
    </w:p>
    <w:p w14:paraId="6088714A">
      <w:pPr>
        <w:snapToGrid w:val="0"/>
        <w:spacing w:line="264" w:lineRule="auto"/>
        <w:ind w:firstLine="560" w:firstLineChars="200"/>
        <w:jc w:val="left"/>
        <w:rPr>
          <w:rFonts w:hint="eastAsia"/>
          <w:sz w:val="28"/>
          <w:szCs w:val="28"/>
        </w:rPr>
      </w:pPr>
    </w:p>
    <w:p w14:paraId="00250AAF">
      <w:pPr>
        <w:snapToGrid w:val="0"/>
        <w:spacing w:line="264" w:lineRule="auto"/>
        <w:ind w:firstLine="562" w:firstLineChars="200"/>
        <w:rPr>
          <w:rFonts w:hint="eastAsia"/>
          <w:b/>
          <w:bCs/>
          <w:sz w:val="28"/>
          <w:szCs w:val="28"/>
        </w:rPr>
      </w:pPr>
      <w:r>
        <w:rPr>
          <w:rFonts w:hint="eastAsia"/>
          <w:b/>
          <w:bCs/>
          <w:sz w:val="28"/>
          <w:szCs w:val="28"/>
        </w:rPr>
        <w:t>附件</w:t>
      </w:r>
      <w:r>
        <w:rPr>
          <w:rFonts w:hint="eastAsia"/>
          <w:b/>
          <w:bCs/>
          <w:sz w:val="28"/>
          <w:szCs w:val="28"/>
          <w:lang w:val="en-US" w:eastAsia="zh-CN"/>
        </w:rPr>
        <w:t>10</w:t>
      </w:r>
      <w:r>
        <w:rPr>
          <w:rFonts w:hint="eastAsia"/>
          <w:b/>
          <w:bCs/>
          <w:sz w:val="28"/>
          <w:szCs w:val="28"/>
        </w:rPr>
        <w:t>：</w:t>
      </w:r>
    </w:p>
    <w:p w14:paraId="03B28507">
      <w:pPr>
        <w:snapToGrid w:val="0"/>
        <w:spacing w:line="264" w:lineRule="auto"/>
        <w:ind w:firstLine="560" w:firstLineChars="200"/>
        <w:jc w:val="left"/>
        <w:rPr>
          <w:rFonts w:hint="eastAsia"/>
          <w:sz w:val="28"/>
          <w:szCs w:val="28"/>
        </w:rPr>
      </w:pPr>
    </w:p>
    <w:p w14:paraId="4C6E18E2">
      <w:pPr>
        <w:snapToGrid w:val="0"/>
        <w:spacing w:line="264" w:lineRule="auto"/>
        <w:ind w:firstLine="640" w:firstLineChars="200"/>
        <w:jc w:val="center"/>
        <w:rPr>
          <w:rFonts w:hint="eastAsia"/>
          <w:sz w:val="32"/>
          <w:szCs w:val="32"/>
        </w:rPr>
      </w:pPr>
      <w:r>
        <w:rPr>
          <w:rFonts w:hint="eastAsia"/>
          <w:sz w:val="32"/>
          <w:szCs w:val="32"/>
        </w:rPr>
        <w:t>中标（成交）通知书</w:t>
      </w:r>
      <w:r>
        <w:rPr>
          <w:rFonts w:hint="eastAsia"/>
          <w:b/>
          <w:bCs/>
          <w:color w:val="FF0000"/>
          <w:sz w:val="32"/>
          <w:szCs w:val="32"/>
        </w:rPr>
        <w:t>（加盖合同专用章）</w:t>
      </w:r>
    </w:p>
    <w:p w14:paraId="05CA5B57">
      <w:pPr>
        <w:snapToGrid w:val="0"/>
        <w:spacing w:line="264" w:lineRule="auto"/>
        <w:ind w:firstLine="643" w:firstLineChars="200"/>
        <w:jc w:val="center"/>
        <w:rPr>
          <w:rFonts w:hint="eastAsia"/>
          <w:b/>
          <w:bCs/>
          <w:color w:val="FF0000"/>
          <w:sz w:val="32"/>
          <w:szCs w:val="32"/>
          <w:lang w:eastAsia="zh-CN"/>
        </w:rPr>
      </w:pPr>
    </w:p>
    <w:p w14:paraId="30FAC2F4">
      <w:pPr>
        <w:snapToGrid w:val="0"/>
        <w:spacing w:line="264" w:lineRule="auto"/>
        <w:ind w:firstLine="643" w:firstLineChars="200"/>
        <w:jc w:val="center"/>
        <w:rPr>
          <w:rFonts w:hint="eastAsia"/>
          <w:b/>
          <w:bCs/>
          <w:color w:val="FF0000"/>
          <w:sz w:val="32"/>
          <w:szCs w:val="32"/>
          <w:lang w:eastAsia="zh-CN"/>
        </w:rPr>
      </w:pPr>
    </w:p>
    <w:p w14:paraId="108678BB">
      <w:pPr>
        <w:snapToGrid w:val="0"/>
        <w:spacing w:line="264" w:lineRule="auto"/>
        <w:ind w:firstLine="643" w:firstLineChars="200"/>
        <w:jc w:val="center"/>
        <w:rPr>
          <w:rFonts w:hint="eastAsia"/>
          <w:b/>
          <w:bCs/>
          <w:color w:val="FF0000"/>
          <w:sz w:val="32"/>
          <w:szCs w:val="32"/>
          <w:lang w:eastAsia="zh-CN"/>
        </w:rPr>
      </w:pPr>
    </w:p>
    <w:p w14:paraId="6A66F6BA">
      <w:pPr>
        <w:snapToGrid w:val="0"/>
        <w:spacing w:line="264" w:lineRule="auto"/>
        <w:ind w:firstLine="643" w:firstLineChars="200"/>
        <w:jc w:val="center"/>
        <w:rPr>
          <w:rFonts w:hint="eastAsia"/>
          <w:b/>
          <w:bCs/>
          <w:color w:val="FF0000"/>
          <w:sz w:val="32"/>
          <w:szCs w:val="32"/>
          <w:lang w:eastAsia="zh-CN"/>
        </w:rPr>
      </w:pPr>
    </w:p>
    <w:p w14:paraId="5DC855EE">
      <w:pPr>
        <w:snapToGrid w:val="0"/>
        <w:spacing w:line="264" w:lineRule="auto"/>
        <w:ind w:firstLine="643" w:firstLineChars="200"/>
        <w:jc w:val="center"/>
        <w:rPr>
          <w:rFonts w:hint="eastAsia"/>
          <w:b/>
          <w:bCs/>
          <w:color w:val="FF0000"/>
          <w:sz w:val="32"/>
          <w:szCs w:val="32"/>
          <w:lang w:eastAsia="zh-CN"/>
        </w:rPr>
      </w:pPr>
    </w:p>
    <w:p w14:paraId="2124C66B">
      <w:pPr>
        <w:snapToGrid w:val="0"/>
        <w:spacing w:line="264" w:lineRule="auto"/>
        <w:ind w:firstLine="643" w:firstLineChars="200"/>
        <w:jc w:val="center"/>
        <w:rPr>
          <w:rFonts w:hint="eastAsia"/>
          <w:b/>
          <w:bCs/>
          <w:color w:val="FF0000"/>
          <w:sz w:val="32"/>
          <w:szCs w:val="32"/>
          <w:lang w:eastAsia="zh-CN"/>
        </w:rPr>
      </w:pPr>
    </w:p>
    <w:p w14:paraId="4FECCE9F">
      <w:pPr>
        <w:snapToGrid w:val="0"/>
        <w:spacing w:line="264" w:lineRule="auto"/>
        <w:ind w:firstLine="643" w:firstLineChars="200"/>
        <w:jc w:val="center"/>
        <w:rPr>
          <w:rFonts w:hint="eastAsia"/>
          <w:b/>
          <w:bCs/>
          <w:color w:val="FF0000"/>
          <w:sz w:val="32"/>
          <w:szCs w:val="32"/>
          <w:lang w:eastAsia="zh-CN"/>
        </w:rPr>
      </w:pPr>
    </w:p>
    <w:p w14:paraId="630E7FC1">
      <w:pPr>
        <w:snapToGrid w:val="0"/>
        <w:spacing w:line="264" w:lineRule="auto"/>
        <w:ind w:firstLine="643" w:firstLineChars="200"/>
        <w:jc w:val="center"/>
        <w:rPr>
          <w:rFonts w:hint="eastAsia"/>
          <w:b/>
          <w:bCs/>
          <w:color w:val="FF0000"/>
          <w:sz w:val="32"/>
          <w:szCs w:val="32"/>
          <w:lang w:eastAsia="zh-CN"/>
        </w:rPr>
      </w:pPr>
    </w:p>
    <w:p w14:paraId="70FD2793">
      <w:pPr>
        <w:snapToGrid w:val="0"/>
        <w:spacing w:line="264" w:lineRule="auto"/>
        <w:ind w:firstLine="643" w:firstLineChars="200"/>
        <w:jc w:val="center"/>
        <w:rPr>
          <w:rFonts w:hint="eastAsia"/>
          <w:b/>
          <w:bCs/>
          <w:color w:val="FF0000"/>
          <w:sz w:val="32"/>
          <w:szCs w:val="32"/>
          <w:lang w:eastAsia="zh-CN"/>
        </w:rPr>
      </w:pPr>
    </w:p>
    <w:p w14:paraId="1E5AC457">
      <w:pPr>
        <w:snapToGrid w:val="0"/>
        <w:spacing w:line="264" w:lineRule="auto"/>
        <w:ind w:firstLine="643" w:firstLineChars="200"/>
        <w:jc w:val="center"/>
        <w:rPr>
          <w:rFonts w:hint="eastAsia"/>
          <w:b/>
          <w:bCs/>
          <w:color w:val="FF0000"/>
          <w:sz w:val="32"/>
          <w:szCs w:val="32"/>
          <w:lang w:eastAsia="zh-CN"/>
        </w:rPr>
      </w:pPr>
    </w:p>
    <w:p w14:paraId="5F56AC22">
      <w:pPr>
        <w:snapToGrid w:val="0"/>
        <w:spacing w:line="264" w:lineRule="auto"/>
        <w:ind w:firstLine="643" w:firstLineChars="200"/>
        <w:jc w:val="center"/>
        <w:rPr>
          <w:rFonts w:hint="eastAsia"/>
          <w:b/>
          <w:bCs/>
          <w:color w:val="FF0000"/>
          <w:sz w:val="32"/>
          <w:szCs w:val="32"/>
          <w:lang w:eastAsia="zh-CN"/>
        </w:rPr>
      </w:pPr>
    </w:p>
    <w:p w14:paraId="700ADEBE">
      <w:pPr>
        <w:snapToGrid w:val="0"/>
        <w:spacing w:line="264" w:lineRule="auto"/>
        <w:ind w:firstLine="643" w:firstLineChars="200"/>
        <w:jc w:val="center"/>
        <w:rPr>
          <w:rFonts w:hint="eastAsia"/>
          <w:b/>
          <w:bCs/>
          <w:color w:val="FF0000"/>
          <w:sz w:val="32"/>
          <w:szCs w:val="32"/>
          <w:lang w:eastAsia="zh-CN"/>
        </w:rPr>
      </w:pPr>
    </w:p>
    <w:p w14:paraId="09B02508">
      <w:pPr>
        <w:snapToGrid w:val="0"/>
        <w:spacing w:line="264" w:lineRule="auto"/>
        <w:ind w:firstLine="643" w:firstLineChars="200"/>
        <w:jc w:val="center"/>
        <w:rPr>
          <w:rFonts w:hint="eastAsia"/>
          <w:b/>
          <w:bCs/>
          <w:color w:val="FF0000"/>
          <w:sz w:val="32"/>
          <w:szCs w:val="32"/>
          <w:lang w:eastAsia="zh-CN"/>
        </w:rPr>
      </w:pPr>
    </w:p>
    <w:p w14:paraId="78C68F7F">
      <w:pPr>
        <w:snapToGrid w:val="0"/>
        <w:spacing w:line="264" w:lineRule="auto"/>
        <w:ind w:firstLine="643" w:firstLineChars="200"/>
        <w:jc w:val="center"/>
        <w:rPr>
          <w:rFonts w:hint="eastAsia"/>
          <w:b/>
          <w:bCs/>
          <w:color w:val="FF0000"/>
          <w:sz w:val="32"/>
          <w:szCs w:val="32"/>
          <w:lang w:eastAsia="zh-CN"/>
        </w:rPr>
      </w:pPr>
    </w:p>
    <w:p w14:paraId="2B919F7D">
      <w:pPr>
        <w:snapToGrid w:val="0"/>
        <w:spacing w:line="264" w:lineRule="auto"/>
        <w:ind w:firstLine="643" w:firstLineChars="200"/>
        <w:jc w:val="center"/>
        <w:rPr>
          <w:rFonts w:hint="eastAsia"/>
          <w:b/>
          <w:bCs/>
          <w:color w:val="FF0000"/>
          <w:sz w:val="32"/>
          <w:szCs w:val="32"/>
          <w:lang w:eastAsia="zh-CN"/>
        </w:rPr>
      </w:pPr>
    </w:p>
    <w:p w14:paraId="21CD0460">
      <w:pPr>
        <w:snapToGrid w:val="0"/>
        <w:spacing w:line="264" w:lineRule="auto"/>
        <w:ind w:firstLine="643" w:firstLineChars="200"/>
        <w:jc w:val="center"/>
        <w:rPr>
          <w:rFonts w:hint="eastAsia"/>
          <w:b/>
          <w:bCs/>
          <w:color w:val="FF0000"/>
          <w:sz w:val="32"/>
          <w:szCs w:val="32"/>
          <w:lang w:eastAsia="zh-CN"/>
        </w:rPr>
      </w:pPr>
    </w:p>
    <w:p w14:paraId="2D428E36">
      <w:pPr>
        <w:snapToGrid w:val="0"/>
        <w:spacing w:line="264" w:lineRule="auto"/>
        <w:ind w:firstLine="643" w:firstLineChars="200"/>
        <w:jc w:val="center"/>
        <w:rPr>
          <w:rFonts w:hint="eastAsia"/>
          <w:b/>
          <w:bCs/>
          <w:color w:val="FF0000"/>
          <w:sz w:val="32"/>
          <w:szCs w:val="32"/>
          <w:lang w:eastAsia="zh-CN"/>
        </w:rPr>
      </w:pPr>
    </w:p>
    <w:p w14:paraId="604F9C9F">
      <w:pPr>
        <w:snapToGrid w:val="0"/>
        <w:spacing w:line="264" w:lineRule="auto"/>
        <w:ind w:firstLine="643" w:firstLineChars="200"/>
        <w:jc w:val="center"/>
        <w:rPr>
          <w:rFonts w:hint="eastAsia"/>
          <w:b/>
          <w:bCs/>
          <w:color w:val="FF0000"/>
          <w:sz w:val="32"/>
          <w:szCs w:val="32"/>
          <w:lang w:eastAsia="zh-CN"/>
        </w:rPr>
      </w:pPr>
    </w:p>
    <w:p w14:paraId="692E0776">
      <w:pPr>
        <w:snapToGrid w:val="0"/>
        <w:spacing w:line="264" w:lineRule="auto"/>
        <w:ind w:firstLine="643" w:firstLineChars="200"/>
        <w:jc w:val="center"/>
        <w:rPr>
          <w:rFonts w:hint="eastAsia"/>
          <w:b/>
          <w:bCs/>
          <w:color w:val="FF0000"/>
          <w:sz w:val="32"/>
          <w:szCs w:val="32"/>
          <w:lang w:eastAsia="zh-CN"/>
        </w:rPr>
      </w:pPr>
    </w:p>
    <w:p w14:paraId="306BF85A">
      <w:pPr>
        <w:snapToGrid w:val="0"/>
        <w:spacing w:line="264" w:lineRule="auto"/>
        <w:ind w:firstLine="643" w:firstLineChars="200"/>
        <w:jc w:val="center"/>
        <w:rPr>
          <w:rFonts w:hint="eastAsia"/>
          <w:b/>
          <w:bCs/>
          <w:color w:val="FF0000"/>
          <w:sz w:val="32"/>
          <w:szCs w:val="32"/>
          <w:lang w:eastAsia="zh-CN"/>
        </w:rPr>
      </w:pPr>
    </w:p>
    <w:p w14:paraId="57116541">
      <w:pPr>
        <w:snapToGrid w:val="0"/>
        <w:spacing w:line="264" w:lineRule="auto"/>
        <w:ind w:firstLine="643" w:firstLineChars="200"/>
        <w:jc w:val="center"/>
        <w:rPr>
          <w:rFonts w:hint="eastAsia"/>
          <w:b/>
          <w:bCs/>
          <w:color w:val="FF0000"/>
          <w:sz w:val="32"/>
          <w:szCs w:val="32"/>
          <w:lang w:eastAsia="zh-CN"/>
        </w:rPr>
      </w:pPr>
    </w:p>
    <w:p w14:paraId="6E6698DE">
      <w:pPr>
        <w:snapToGrid w:val="0"/>
        <w:spacing w:line="264" w:lineRule="auto"/>
        <w:ind w:firstLine="643" w:firstLineChars="200"/>
        <w:jc w:val="center"/>
        <w:rPr>
          <w:rFonts w:hint="eastAsia"/>
          <w:b/>
          <w:bCs/>
          <w:color w:val="FF0000"/>
          <w:sz w:val="32"/>
          <w:szCs w:val="32"/>
          <w:lang w:eastAsia="zh-CN"/>
        </w:rPr>
      </w:pPr>
    </w:p>
    <w:p w14:paraId="1CD695F2">
      <w:pPr>
        <w:snapToGrid w:val="0"/>
        <w:spacing w:line="264" w:lineRule="auto"/>
        <w:ind w:firstLine="643" w:firstLineChars="200"/>
        <w:jc w:val="center"/>
        <w:rPr>
          <w:rFonts w:hint="eastAsia"/>
          <w:b/>
          <w:bCs/>
          <w:color w:val="FF0000"/>
          <w:sz w:val="32"/>
          <w:szCs w:val="32"/>
          <w:lang w:eastAsia="zh-CN"/>
        </w:rPr>
      </w:pPr>
    </w:p>
    <w:p w14:paraId="162F2EB8">
      <w:pPr>
        <w:snapToGrid w:val="0"/>
        <w:spacing w:line="264" w:lineRule="auto"/>
        <w:ind w:firstLine="643" w:firstLineChars="200"/>
        <w:jc w:val="center"/>
        <w:rPr>
          <w:rFonts w:hint="eastAsia"/>
          <w:b/>
          <w:bCs/>
          <w:color w:val="FF0000"/>
          <w:sz w:val="32"/>
          <w:szCs w:val="32"/>
          <w:lang w:eastAsia="zh-CN"/>
        </w:rPr>
      </w:pPr>
    </w:p>
    <w:p w14:paraId="2B7955E2">
      <w:pPr>
        <w:snapToGrid w:val="0"/>
        <w:spacing w:line="264" w:lineRule="auto"/>
        <w:ind w:firstLine="643" w:firstLineChars="200"/>
        <w:jc w:val="center"/>
        <w:rPr>
          <w:rFonts w:hint="eastAsia"/>
          <w:b/>
          <w:bCs/>
          <w:color w:val="FF0000"/>
          <w:sz w:val="32"/>
          <w:szCs w:val="32"/>
          <w:lang w:eastAsia="zh-CN"/>
        </w:rPr>
      </w:pPr>
    </w:p>
    <w:p w14:paraId="4FC584F9">
      <w:pPr>
        <w:snapToGrid w:val="0"/>
        <w:spacing w:line="264" w:lineRule="auto"/>
        <w:ind w:firstLine="643" w:firstLineChars="200"/>
        <w:jc w:val="center"/>
        <w:rPr>
          <w:rFonts w:hint="eastAsia"/>
          <w:b/>
          <w:bCs/>
          <w:color w:val="FF0000"/>
          <w:sz w:val="32"/>
          <w:szCs w:val="32"/>
          <w:lang w:eastAsia="zh-CN"/>
        </w:rPr>
      </w:pPr>
    </w:p>
    <w:p w14:paraId="4AEA7C0A">
      <w:pPr>
        <w:snapToGrid w:val="0"/>
        <w:spacing w:line="264" w:lineRule="auto"/>
        <w:ind w:firstLine="643" w:firstLineChars="200"/>
        <w:jc w:val="center"/>
        <w:rPr>
          <w:rFonts w:hint="eastAsia"/>
          <w:b/>
          <w:bCs/>
          <w:color w:val="FF0000"/>
          <w:sz w:val="32"/>
          <w:szCs w:val="32"/>
          <w:lang w:eastAsia="zh-CN"/>
        </w:rPr>
      </w:pPr>
    </w:p>
    <w:bookmarkEnd w:id="579"/>
    <w:p w14:paraId="15A9EE91">
      <w:pPr>
        <w:rPr>
          <w:rFonts w:hint="eastAsia" w:ascii="宋体" w:hAnsi="宋体" w:eastAsia="宋体" w:cs="宋体"/>
          <w:b/>
          <w:bCs/>
          <w:color w:val="auto"/>
          <w:kern w:val="44"/>
          <w:sz w:val="36"/>
          <w:szCs w:val="36"/>
          <w:highlight w:val="none"/>
          <w:lang w:val="en-US" w:eastAsia="zh-CN" w:bidi="ar-SA"/>
        </w:rPr>
      </w:pPr>
      <w:bookmarkStart w:id="580" w:name="_Toc5888"/>
      <w:bookmarkStart w:id="581" w:name="_Toc155185919"/>
      <w:r>
        <w:rPr>
          <w:rFonts w:hint="eastAsia" w:ascii="宋体" w:hAnsi="宋体" w:eastAsia="宋体" w:cs="宋体"/>
          <w:b/>
          <w:bCs/>
          <w:color w:val="auto"/>
          <w:kern w:val="44"/>
          <w:sz w:val="36"/>
          <w:szCs w:val="36"/>
          <w:highlight w:val="none"/>
          <w:lang w:val="en-US" w:eastAsia="zh-CN" w:bidi="ar-SA"/>
        </w:rPr>
        <w:br w:type="page"/>
      </w:r>
    </w:p>
    <w:p w14:paraId="4DE7C3A6">
      <w:pPr>
        <w:pageBreakBefore/>
        <w:snapToGrid w:val="0"/>
        <w:spacing w:line="264" w:lineRule="auto"/>
        <w:jc w:val="left"/>
        <w:rPr>
          <w:rFonts w:hint="eastAsia"/>
          <w:sz w:val="28"/>
          <w:szCs w:val="28"/>
        </w:rPr>
      </w:pPr>
      <w:r>
        <w:rPr>
          <w:rFonts w:hint="eastAsia"/>
          <w:sz w:val="28"/>
          <w:szCs w:val="28"/>
        </w:rPr>
        <w:t>◆</w:t>
      </w:r>
      <w:r>
        <w:rPr>
          <w:rFonts w:hint="eastAsia"/>
          <w:b/>
          <w:sz w:val="28"/>
          <w:szCs w:val="28"/>
        </w:rPr>
        <w:t>合同签订流程：</w:t>
      </w:r>
    </w:p>
    <w:tbl>
      <w:tblPr>
        <w:tblStyle w:val="3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6"/>
        <w:gridCol w:w="8666"/>
      </w:tblGrid>
      <w:tr w14:paraId="7C88D6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666" w:type="dxa"/>
            <w:noWrap w:val="0"/>
            <w:vAlign w:val="center"/>
          </w:tcPr>
          <w:p w14:paraId="6DEA2689">
            <w:pPr>
              <w:snapToGrid w:val="0"/>
              <w:spacing w:line="264" w:lineRule="auto"/>
              <w:rPr>
                <w:rFonts w:ascii="Times New Roman" w:hAnsi="Times New Roman"/>
                <w:sz w:val="28"/>
                <w:szCs w:val="28"/>
              </w:rPr>
            </w:pPr>
          </w:p>
        </w:tc>
        <w:tc>
          <w:tcPr>
            <w:tcW w:w="8666" w:type="dxa"/>
            <w:noWrap w:val="0"/>
            <w:vAlign w:val="center"/>
          </w:tcPr>
          <w:p w14:paraId="0B75FA7F">
            <w:pPr>
              <w:snapToGrid w:val="0"/>
              <w:spacing w:line="264" w:lineRule="auto"/>
              <w:rPr>
                <w:rFonts w:hint="eastAsia" w:ascii="Times New Roman" w:hAnsi="Times New Roman"/>
                <w:b/>
                <w:sz w:val="28"/>
                <w:szCs w:val="28"/>
              </w:rPr>
            </w:pPr>
            <w:r>
              <w:rPr>
                <w:rFonts w:ascii="Times New Roman" w:hAnsi="Times New Roman"/>
                <w:b/>
                <w:sz w:val="28"/>
                <w:szCs w:val="28"/>
              </w:rPr>
              <w:t>招标</w:t>
            </w:r>
          </w:p>
        </w:tc>
      </w:tr>
      <w:tr w14:paraId="28574E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5" w:hRule="atLeast"/>
          <w:jc w:val="center"/>
        </w:trPr>
        <w:tc>
          <w:tcPr>
            <w:tcW w:w="666" w:type="dxa"/>
            <w:noWrap w:val="0"/>
            <w:vAlign w:val="center"/>
          </w:tcPr>
          <w:p w14:paraId="75AD9202">
            <w:pPr>
              <w:snapToGrid w:val="0"/>
              <w:spacing w:line="264" w:lineRule="auto"/>
              <w:rPr>
                <w:rFonts w:ascii="Times New Roman" w:hAnsi="Times New Roman"/>
                <w:sz w:val="28"/>
                <w:szCs w:val="28"/>
              </w:rPr>
            </w:pPr>
            <w:r>
              <w:rPr>
                <w:rFonts w:ascii="Times New Roman" w:hAnsi="Times New Roman"/>
                <w:sz w:val="28"/>
                <w:szCs w:val="28"/>
              </w:rPr>
              <w:t>1</w:t>
            </w:r>
          </w:p>
        </w:tc>
        <w:tc>
          <w:tcPr>
            <w:tcW w:w="8666" w:type="dxa"/>
            <w:noWrap w:val="0"/>
            <w:vAlign w:val="center"/>
          </w:tcPr>
          <w:p w14:paraId="6CF0C5E1">
            <w:pPr>
              <w:numPr>
                <w:ilvl w:val="0"/>
                <w:numId w:val="41"/>
              </w:numPr>
              <w:snapToGrid w:val="0"/>
              <w:spacing w:line="264" w:lineRule="auto"/>
              <w:rPr>
                <w:rFonts w:hint="eastAsia" w:ascii="Times New Roman" w:hAnsi="Times New Roman" w:cs="Times New Roman"/>
                <w:sz w:val="27"/>
                <w:szCs w:val="27"/>
              </w:rPr>
            </w:pPr>
            <w:r>
              <w:rPr>
                <w:rFonts w:hint="eastAsia" w:ascii="Times New Roman" w:hAnsi="Times New Roman" w:cs="Times New Roman"/>
                <w:sz w:val="27"/>
                <w:szCs w:val="27"/>
              </w:rPr>
              <w:t>按要求制作合同</w:t>
            </w:r>
            <w:r>
              <w:rPr>
                <w:rFonts w:hint="eastAsia" w:ascii="Times New Roman" w:hAnsi="Times New Roman" w:cs="Times New Roman"/>
                <w:b/>
                <w:bCs/>
                <w:color w:val="FF0000"/>
                <w:sz w:val="27"/>
                <w:szCs w:val="27"/>
              </w:rPr>
              <w:t>Word文档版</w:t>
            </w:r>
            <w:r>
              <w:rPr>
                <w:rFonts w:hint="eastAsia" w:ascii="Times New Roman" w:hAnsi="Times New Roman" w:cs="Times New Roman"/>
                <w:sz w:val="27"/>
                <w:szCs w:val="27"/>
              </w:rPr>
              <w:t>（无需签字盖章），确保合同正文及相关附件均可修改；</w:t>
            </w:r>
          </w:p>
          <w:p w14:paraId="13BF4417">
            <w:pPr>
              <w:numPr>
                <w:ilvl w:val="0"/>
                <w:numId w:val="41"/>
              </w:numPr>
              <w:snapToGrid w:val="0"/>
              <w:spacing w:line="264" w:lineRule="auto"/>
              <w:rPr>
                <w:rFonts w:hint="eastAsia" w:ascii="Times New Roman" w:hAnsi="Times New Roman" w:cs="Times New Roman"/>
                <w:sz w:val="27"/>
                <w:szCs w:val="27"/>
              </w:rPr>
            </w:pPr>
            <w:r>
              <w:rPr>
                <w:rFonts w:hint="eastAsia" w:ascii="Times New Roman" w:hAnsi="Times New Roman" w:cs="Times New Roman"/>
                <w:sz w:val="27"/>
                <w:szCs w:val="27"/>
              </w:rPr>
              <w:t>将文件名以</w:t>
            </w:r>
            <w:r>
              <w:rPr>
                <w:rFonts w:hint="eastAsia" w:ascii="Times New Roman" w:hAnsi="Times New Roman" w:cs="Times New Roman"/>
                <w:b/>
                <w:bCs/>
                <w:color w:val="FF0000"/>
                <w:sz w:val="27"/>
                <w:szCs w:val="27"/>
              </w:rPr>
              <w:t>“合同编号--设备名称”</w:t>
            </w:r>
            <w:r>
              <w:rPr>
                <w:rFonts w:hint="eastAsia" w:ascii="Times New Roman" w:hAnsi="Times New Roman" w:cs="Times New Roman"/>
                <w:sz w:val="27"/>
                <w:szCs w:val="27"/>
              </w:rPr>
              <w:t>格式重命名；</w:t>
            </w:r>
          </w:p>
          <w:p w14:paraId="0380C508">
            <w:pPr>
              <w:numPr>
                <w:ilvl w:val="0"/>
                <w:numId w:val="41"/>
              </w:numPr>
              <w:snapToGrid w:val="0"/>
              <w:spacing w:line="264" w:lineRule="auto"/>
              <w:rPr>
                <w:rFonts w:ascii="Times New Roman" w:hAnsi="Times New Roman"/>
                <w:sz w:val="24"/>
              </w:rPr>
            </w:pPr>
            <w:r>
              <w:rPr>
                <w:rFonts w:hint="eastAsia" w:ascii="Times New Roman" w:hAnsi="Times New Roman" w:cs="Times New Roman"/>
                <w:sz w:val="27"/>
                <w:szCs w:val="27"/>
              </w:rPr>
              <w:t>合同制作完成请将所有指导性文字及批注</w:t>
            </w:r>
            <w:r>
              <w:rPr>
                <w:rFonts w:hint="eastAsia" w:ascii="Times New Roman" w:hAnsi="Times New Roman" w:cs="Times New Roman"/>
                <w:b/>
                <w:bCs/>
                <w:color w:val="FF0000"/>
                <w:sz w:val="27"/>
                <w:szCs w:val="27"/>
              </w:rPr>
              <w:t>进行删除</w:t>
            </w:r>
            <w:r>
              <w:rPr>
                <w:rFonts w:hint="eastAsia" w:ascii="Times New Roman" w:hAnsi="Times New Roman" w:cs="Times New Roman"/>
                <w:sz w:val="27"/>
                <w:szCs w:val="27"/>
              </w:rPr>
              <w:t>；</w:t>
            </w:r>
          </w:p>
          <w:p w14:paraId="1BFFEA38">
            <w:pPr>
              <w:numPr>
                <w:ilvl w:val="0"/>
                <w:numId w:val="41"/>
              </w:numPr>
              <w:snapToGrid w:val="0"/>
              <w:spacing w:line="264" w:lineRule="auto"/>
              <w:rPr>
                <w:rFonts w:ascii="Times New Roman" w:hAnsi="Times New Roman"/>
                <w:sz w:val="24"/>
              </w:rPr>
            </w:pPr>
            <w:r>
              <w:rPr>
                <w:rFonts w:hint="eastAsia" w:ascii="Times New Roman" w:hAnsi="Times New Roman" w:cs="Times New Roman"/>
                <w:b/>
                <w:bCs/>
                <w:color w:val="FF0000"/>
                <w:sz w:val="27"/>
                <w:szCs w:val="27"/>
                <w:lang w:val="en-US" w:eastAsia="zh-CN"/>
              </w:rPr>
              <w:t>2</w:t>
            </w:r>
            <w:r>
              <w:rPr>
                <w:rFonts w:hint="eastAsia" w:ascii="Times New Roman" w:hAnsi="Times New Roman" w:cs="Times New Roman"/>
                <w:b/>
                <w:bCs/>
                <w:color w:val="FF0000"/>
                <w:sz w:val="27"/>
                <w:szCs w:val="27"/>
              </w:rPr>
              <w:t>个工作日内</w:t>
            </w:r>
            <w:r>
              <w:rPr>
                <w:rFonts w:hint="eastAsia" w:ascii="Times New Roman" w:hAnsi="Times New Roman" w:cs="Times New Roman"/>
                <w:sz w:val="27"/>
                <w:szCs w:val="27"/>
              </w:rPr>
              <w:t>发至</w:t>
            </w:r>
            <w:r>
              <w:rPr>
                <w:rStyle w:val="36"/>
                <w:rFonts w:ascii="Times New Roman" w:hAnsi="Times New Roman" w:eastAsia="Arial Unicode MS" w:cs="Times New Roman"/>
                <w:color w:val="0000FF"/>
                <w:sz w:val="28"/>
                <w:szCs w:val="28"/>
                <w:u w:val="none"/>
              </w:rPr>
              <w:t>yfy_yxgck@163.com</w:t>
            </w:r>
            <w:r>
              <w:rPr>
                <w:rFonts w:hint="eastAsia" w:ascii="Times New Roman" w:hAnsi="Times New Roman" w:cs="Times New Roman"/>
                <w:sz w:val="27"/>
                <w:szCs w:val="27"/>
              </w:rPr>
              <w:t>邮箱审核。</w:t>
            </w:r>
          </w:p>
        </w:tc>
      </w:tr>
      <w:tr w14:paraId="066256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28" w:hRule="atLeast"/>
          <w:jc w:val="center"/>
        </w:trPr>
        <w:tc>
          <w:tcPr>
            <w:tcW w:w="666" w:type="dxa"/>
            <w:noWrap w:val="0"/>
            <w:vAlign w:val="center"/>
          </w:tcPr>
          <w:p w14:paraId="69C11942">
            <w:pPr>
              <w:snapToGrid w:val="0"/>
              <w:spacing w:line="264" w:lineRule="auto"/>
              <w:rPr>
                <w:rFonts w:ascii="Times New Roman" w:hAnsi="Times New Roman"/>
                <w:sz w:val="28"/>
                <w:szCs w:val="28"/>
              </w:rPr>
            </w:pPr>
            <w:r>
              <w:rPr>
                <w:rFonts w:ascii="Times New Roman" w:hAnsi="Times New Roman"/>
                <w:sz w:val="28"/>
                <w:szCs w:val="28"/>
              </w:rPr>
              <w:t>2</w:t>
            </w:r>
          </w:p>
        </w:tc>
        <w:tc>
          <w:tcPr>
            <w:tcW w:w="8666" w:type="dxa"/>
            <w:noWrap w:val="0"/>
            <w:vAlign w:val="center"/>
          </w:tcPr>
          <w:p w14:paraId="4F29D0E3">
            <w:pPr>
              <w:tabs>
                <w:tab w:val="left" w:pos="420"/>
              </w:tabs>
              <w:snapToGrid w:val="0"/>
              <w:spacing w:line="264" w:lineRule="auto"/>
              <w:rPr>
                <w:rFonts w:ascii="Times New Roman" w:hAnsi="Times New Roman" w:cs="Times New Roman"/>
                <w:sz w:val="27"/>
                <w:szCs w:val="27"/>
              </w:rPr>
            </w:pPr>
            <w:r>
              <w:rPr>
                <w:rFonts w:hint="eastAsia" w:ascii="Times New Roman" w:hAnsi="Times New Roman" w:cs="Times New Roman"/>
                <w:sz w:val="27"/>
                <w:szCs w:val="27"/>
              </w:rPr>
              <w:t>设备与信息管理部</w:t>
            </w:r>
            <w:r>
              <w:rPr>
                <w:rFonts w:hint="eastAsia" w:ascii="Times New Roman" w:hAnsi="Times New Roman" w:cs="Times New Roman"/>
                <w:b/>
                <w:bCs/>
                <w:color w:val="FF0000"/>
                <w:sz w:val="27"/>
                <w:szCs w:val="27"/>
              </w:rPr>
              <w:t>初审+二次复合</w:t>
            </w:r>
            <w:r>
              <w:rPr>
                <w:rFonts w:hint="eastAsia" w:ascii="Times New Roman" w:hAnsi="Times New Roman" w:cs="Times New Roman"/>
                <w:sz w:val="27"/>
                <w:szCs w:val="27"/>
              </w:rPr>
              <w:t>完成后，统一邮箱回复修改意见：</w:t>
            </w:r>
          </w:p>
          <w:p w14:paraId="42AAD2E0">
            <w:pPr>
              <w:numPr>
                <w:ilvl w:val="0"/>
                <w:numId w:val="41"/>
              </w:numPr>
              <w:snapToGrid w:val="0"/>
              <w:spacing w:line="264" w:lineRule="auto"/>
              <w:rPr>
                <w:rFonts w:hint="eastAsia" w:ascii="Times New Roman" w:hAnsi="Times New Roman"/>
                <w:sz w:val="28"/>
                <w:szCs w:val="28"/>
              </w:rPr>
            </w:pPr>
            <w:r>
              <w:rPr>
                <w:rFonts w:hint="eastAsia" w:ascii="Times New Roman" w:hAnsi="Times New Roman" w:cs="Times New Roman"/>
                <w:sz w:val="27"/>
                <w:szCs w:val="27"/>
              </w:rPr>
              <w:t>中标单位按照修改意见逐条修改后，重新发至</w:t>
            </w:r>
            <w:r>
              <w:rPr>
                <w:rStyle w:val="36"/>
                <w:rFonts w:ascii="Times New Roman" w:hAnsi="Times New Roman" w:eastAsia="Arial Unicode MS" w:cs="Times New Roman"/>
                <w:color w:val="0000FF"/>
                <w:sz w:val="28"/>
                <w:szCs w:val="28"/>
                <w:u w:val="none"/>
              </w:rPr>
              <w:t>yfy_yxgck@163.com</w:t>
            </w:r>
            <w:r>
              <w:rPr>
                <w:rFonts w:hint="eastAsia" w:ascii="Times New Roman" w:hAnsi="Times New Roman" w:cs="Times New Roman"/>
                <w:sz w:val="27"/>
                <w:szCs w:val="27"/>
              </w:rPr>
              <w:t>邮箱再次审核，审核通过后</w:t>
            </w:r>
            <w:r>
              <w:rPr>
                <w:rFonts w:hint="eastAsia" w:ascii="Times New Roman" w:hAnsi="Times New Roman" w:cs="Times New Roman"/>
                <w:sz w:val="27"/>
                <w:szCs w:val="27"/>
                <w:lang w:eastAsia="zh-CN"/>
              </w:rPr>
              <w:t>，发起合同会签流程，</w:t>
            </w:r>
            <w:r>
              <w:rPr>
                <w:rFonts w:hint="eastAsia" w:ascii="Times New Roman" w:hAnsi="Times New Roman" w:cs="Times New Roman"/>
                <w:sz w:val="27"/>
                <w:szCs w:val="27"/>
              </w:rPr>
              <w:t>交于审计科</w:t>
            </w:r>
            <w:r>
              <w:rPr>
                <w:rFonts w:hint="eastAsia" w:ascii="Times New Roman" w:hAnsi="Times New Roman" w:cs="Times New Roman"/>
                <w:sz w:val="27"/>
                <w:szCs w:val="27"/>
                <w:lang w:eastAsia="zh-CN"/>
              </w:rPr>
              <w:t>、会计科及律师</w:t>
            </w:r>
            <w:r>
              <w:rPr>
                <w:rFonts w:hint="eastAsia" w:ascii="Times New Roman" w:hAnsi="Times New Roman" w:cs="Times New Roman"/>
                <w:sz w:val="27"/>
                <w:szCs w:val="27"/>
              </w:rPr>
              <w:t>审理。</w:t>
            </w:r>
          </w:p>
        </w:tc>
      </w:tr>
      <w:tr w14:paraId="24613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666" w:type="dxa"/>
            <w:noWrap w:val="0"/>
            <w:vAlign w:val="center"/>
          </w:tcPr>
          <w:p w14:paraId="66132489">
            <w:pPr>
              <w:tabs>
                <w:tab w:val="left" w:pos="420"/>
              </w:tabs>
              <w:snapToGrid w:val="0"/>
              <w:spacing w:line="264" w:lineRule="auto"/>
              <w:rPr>
                <w:rFonts w:ascii="Times New Roman" w:hAnsi="Times New Roman" w:cs="Times New Roman"/>
                <w:sz w:val="27"/>
                <w:szCs w:val="27"/>
              </w:rPr>
            </w:pPr>
            <w:r>
              <w:rPr>
                <w:rFonts w:ascii="Times New Roman" w:hAnsi="Times New Roman" w:cs="Times New Roman"/>
                <w:sz w:val="27"/>
                <w:szCs w:val="27"/>
              </w:rPr>
              <w:t>3</w:t>
            </w:r>
          </w:p>
        </w:tc>
        <w:tc>
          <w:tcPr>
            <w:tcW w:w="8666" w:type="dxa"/>
            <w:noWrap w:val="0"/>
            <w:vAlign w:val="center"/>
          </w:tcPr>
          <w:p w14:paraId="06CF0CB2">
            <w:pPr>
              <w:tabs>
                <w:tab w:val="left" w:pos="420"/>
              </w:tabs>
              <w:snapToGrid w:val="0"/>
              <w:spacing w:line="264" w:lineRule="auto"/>
              <w:rPr>
                <w:rFonts w:ascii="Times New Roman" w:hAnsi="Times New Roman" w:cs="Times New Roman"/>
                <w:sz w:val="27"/>
                <w:szCs w:val="27"/>
              </w:rPr>
            </w:pPr>
            <w:r>
              <w:rPr>
                <w:rFonts w:hint="eastAsia" w:ascii="Times New Roman" w:hAnsi="Times New Roman" w:cs="Times New Roman"/>
                <w:sz w:val="27"/>
                <w:szCs w:val="27"/>
                <w:lang w:eastAsia="zh-CN"/>
              </w:rPr>
              <w:t>会签部门</w:t>
            </w:r>
            <w:r>
              <w:rPr>
                <w:rFonts w:hint="eastAsia" w:ascii="Times New Roman" w:hAnsi="Times New Roman" w:cs="Times New Roman"/>
                <w:sz w:val="27"/>
                <w:szCs w:val="27"/>
              </w:rPr>
              <w:t>审理意见出来后，</w:t>
            </w:r>
            <w:r>
              <w:rPr>
                <w:rFonts w:hint="eastAsia" w:ascii="Times New Roman" w:hAnsi="Times New Roman" w:cs="Times New Roman"/>
                <w:b/>
                <w:bCs/>
                <w:color w:val="FF0000"/>
                <w:sz w:val="27"/>
                <w:szCs w:val="27"/>
              </w:rPr>
              <w:t>审理意见</w:t>
            </w:r>
            <w:r>
              <w:rPr>
                <w:rFonts w:hint="eastAsia" w:ascii="Times New Roman" w:hAnsi="Times New Roman" w:cs="Times New Roman"/>
                <w:sz w:val="27"/>
                <w:szCs w:val="27"/>
              </w:rPr>
              <w:t>返回中标单位，中标单位</w:t>
            </w:r>
            <w:r>
              <w:rPr>
                <w:rFonts w:ascii="Times New Roman" w:hAnsi="Times New Roman" w:cs="Times New Roman"/>
                <w:sz w:val="27"/>
                <w:szCs w:val="27"/>
              </w:rPr>
              <w:t>按要求</w:t>
            </w:r>
            <w:r>
              <w:rPr>
                <w:rFonts w:hint="eastAsia" w:ascii="Times New Roman" w:hAnsi="Times New Roman" w:cs="Times New Roman"/>
                <w:sz w:val="27"/>
                <w:szCs w:val="27"/>
              </w:rPr>
              <w:t>逐条</w:t>
            </w:r>
            <w:r>
              <w:rPr>
                <w:rFonts w:ascii="Times New Roman" w:hAnsi="Times New Roman" w:cs="Times New Roman"/>
                <w:sz w:val="27"/>
                <w:szCs w:val="27"/>
              </w:rPr>
              <w:t>修改合同，</w:t>
            </w:r>
            <w:r>
              <w:rPr>
                <w:rFonts w:hint="eastAsia" w:ascii="Times New Roman" w:hAnsi="Times New Roman" w:cs="Times New Roman"/>
                <w:sz w:val="27"/>
                <w:szCs w:val="27"/>
              </w:rPr>
              <w:t>制作</w:t>
            </w:r>
            <w:r>
              <w:rPr>
                <w:rFonts w:ascii="Times New Roman" w:hAnsi="Times New Roman" w:cs="Times New Roman"/>
                <w:sz w:val="27"/>
                <w:szCs w:val="27"/>
              </w:rPr>
              <w:t>5份正稿</w:t>
            </w:r>
            <w:r>
              <w:rPr>
                <w:rFonts w:hint="eastAsia" w:ascii="Times New Roman" w:hAnsi="Times New Roman" w:cs="Times New Roman"/>
                <w:sz w:val="27"/>
                <w:szCs w:val="27"/>
              </w:rPr>
              <w:t>，</w:t>
            </w:r>
            <w:r>
              <w:rPr>
                <w:rFonts w:ascii="Times New Roman" w:hAnsi="Times New Roman" w:cs="Times New Roman"/>
                <w:sz w:val="27"/>
                <w:szCs w:val="27"/>
              </w:rPr>
              <w:t>开始正式签订合同</w:t>
            </w:r>
            <w:r>
              <w:rPr>
                <w:rFonts w:hint="eastAsia" w:ascii="Times New Roman" w:hAnsi="Times New Roman" w:cs="Times New Roman"/>
                <w:sz w:val="27"/>
                <w:szCs w:val="27"/>
              </w:rPr>
              <w:t>。</w:t>
            </w:r>
          </w:p>
        </w:tc>
      </w:tr>
      <w:tr w14:paraId="2EC790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jc w:val="center"/>
        </w:trPr>
        <w:tc>
          <w:tcPr>
            <w:tcW w:w="666" w:type="dxa"/>
            <w:noWrap w:val="0"/>
            <w:vAlign w:val="center"/>
          </w:tcPr>
          <w:p w14:paraId="3D8991D6">
            <w:pPr>
              <w:snapToGrid w:val="0"/>
              <w:spacing w:line="264" w:lineRule="auto"/>
              <w:rPr>
                <w:rFonts w:hint="eastAsia" w:ascii="Times New Roman" w:hAnsi="Times New Roman"/>
                <w:sz w:val="28"/>
                <w:szCs w:val="28"/>
              </w:rPr>
            </w:pPr>
            <w:r>
              <w:rPr>
                <w:rFonts w:hint="eastAsia" w:ascii="Times New Roman" w:hAnsi="Times New Roman"/>
                <w:sz w:val="28"/>
                <w:szCs w:val="28"/>
              </w:rPr>
              <w:t>4</w:t>
            </w:r>
          </w:p>
        </w:tc>
        <w:tc>
          <w:tcPr>
            <w:tcW w:w="8666" w:type="dxa"/>
            <w:noWrap w:val="0"/>
            <w:vAlign w:val="center"/>
          </w:tcPr>
          <w:p w14:paraId="426E3DC2">
            <w:pPr>
              <w:tabs>
                <w:tab w:val="left" w:pos="420"/>
              </w:tabs>
              <w:snapToGrid w:val="0"/>
              <w:spacing w:line="264" w:lineRule="auto"/>
              <w:rPr>
                <w:rFonts w:ascii="Times New Roman" w:hAnsi="Times New Roman"/>
                <w:sz w:val="24"/>
              </w:rPr>
            </w:pPr>
            <w:r>
              <w:rPr>
                <w:rFonts w:ascii="Times New Roman" w:hAnsi="Times New Roman" w:cs="Times New Roman"/>
                <w:sz w:val="27"/>
                <w:szCs w:val="27"/>
              </w:rPr>
              <w:t>合同生效，</w:t>
            </w:r>
            <w:r>
              <w:rPr>
                <w:rFonts w:hint="eastAsia" w:ascii="Times New Roman" w:hAnsi="Times New Roman" w:cs="Times New Roman"/>
                <w:sz w:val="27"/>
                <w:szCs w:val="27"/>
              </w:rPr>
              <w:t>电话或者邮箱通知中标单位领取合同，</w:t>
            </w:r>
            <w:r>
              <w:rPr>
                <w:rFonts w:ascii="Times New Roman" w:hAnsi="Times New Roman" w:cs="Times New Roman"/>
                <w:sz w:val="27"/>
                <w:szCs w:val="27"/>
              </w:rPr>
              <w:t>办理相关手续</w:t>
            </w:r>
            <w:r>
              <w:rPr>
                <w:rFonts w:hint="eastAsia" w:ascii="Times New Roman" w:hAnsi="Times New Roman" w:cs="Times New Roman"/>
                <w:sz w:val="27"/>
                <w:szCs w:val="27"/>
              </w:rPr>
              <w:t>。</w:t>
            </w:r>
          </w:p>
        </w:tc>
      </w:tr>
    </w:tbl>
    <w:p w14:paraId="4C8060EF">
      <w:pPr>
        <w:snapToGrid w:val="0"/>
        <w:spacing w:line="264" w:lineRule="auto"/>
        <w:jc w:val="left"/>
        <w:rPr>
          <w:rFonts w:hint="eastAsia"/>
          <w:color w:val="FF00FF"/>
          <w:sz w:val="28"/>
          <w:szCs w:val="28"/>
        </w:rPr>
      </w:pPr>
    </w:p>
    <w:p w14:paraId="3AD300B2">
      <w:pPr>
        <w:snapToGrid w:val="0"/>
        <w:spacing w:line="264" w:lineRule="auto"/>
        <w:ind w:firstLine="560" w:firstLineChars="200"/>
        <w:jc w:val="left"/>
        <w:rPr>
          <w:rFonts w:hint="eastAsia"/>
          <w:color w:val="FF00FF"/>
          <w:sz w:val="28"/>
          <w:szCs w:val="28"/>
        </w:rPr>
      </w:pPr>
      <w:r>
        <w:rPr>
          <w:rFonts w:hint="eastAsia"/>
          <w:color w:val="FF00FF"/>
          <w:sz w:val="28"/>
          <w:szCs w:val="28"/>
        </w:rPr>
        <w:t>◆</w:t>
      </w:r>
      <w:r>
        <w:rPr>
          <w:rFonts w:hint="eastAsia"/>
          <w:b/>
          <w:color w:val="FF00FF"/>
          <w:sz w:val="28"/>
          <w:szCs w:val="28"/>
        </w:rPr>
        <w:t>每份合同</w:t>
      </w:r>
      <w:r>
        <w:rPr>
          <w:rFonts w:hint="eastAsia"/>
          <w:b/>
          <w:color w:val="FF6600"/>
          <w:sz w:val="28"/>
          <w:szCs w:val="28"/>
          <w:u w:val="double"/>
          <w:em w:val="dot"/>
        </w:rPr>
        <w:t>必须</w:t>
      </w:r>
      <w:r>
        <w:rPr>
          <w:rFonts w:hint="eastAsia"/>
          <w:b/>
          <w:color w:val="FF00FF"/>
          <w:sz w:val="28"/>
          <w:szCs w:val="28"/>
        </w:rPr>
        <w:t>含以下附件(按顺序附于合同正文后)</w:t>
      </w:r>
      <w:r>
        <w:rPr>
          <w:rFonts w:hint="eastAsia"/>
          <w:color w:val="FF00FF"/>
          <w:sz w:val="28"/>
          <w:szCs w:val="28"/>
        </w:rPr>
        <w:t>：</w:t>
      </w:r>
    </w:p>
    <w:p w14:paraId="4AF26FBC">
      <w:pPr>
        <w:snapToGrid w:val="0"/>
        <w:spacing w:line="264" w:lineRule="auto"/>
        <w:ind w:firstLine="560" w:firstLineChars="200"/>
        <w:jc w:val="left"/>
        <w:rPr>
          <w:rFonts w:hint="eastAsia"/>
          <w:color w:val="FF00FF"/>
          <w:sz w:val="28"/>
          <w:szCs w:val="28"/>
        </w:rPr>
      </w:pPr>
      <w:r>
        <w:rPr>
          <w:rFonts w:hint="eastAsia"/>
          <w:color w:val="FF00FF"/>
          <w:sz w:val="28"/>
          <w:szCs w:val="28"/>
        </w:rPr>
        <w:t>附件</w:t>
      </w:r>
      <w:r>
        <w:rPr>
          <w:rFonts w:hint="eastAsia"/>
          <w:color w:val="FF00FF"/>
          <w:sz w:val="28"/>
          <w:szCs w:val="28"/>
          <w:lang w:val="en-US" w:eastAsia="zh-CN"/>
        </w:rPr>
        <w:t>1</w:t>
      </w:r>
      <w:r>
        <w:rPr>
          <w:rFonts w:hint="eastAsia"/>
          <w:color w:val="FF00FF"/>
          <w:sz w:val="28"/>
          <w:szCs w:val="28"/>
        </w:rPr>
        <w:t>：法人身份证明书或法人代表授权书（如果有授权代表）（加盖公章）</w:t>
      </w:r>
    </w:p>
    <w:p w14:paraId="4AE5D445">
      <w:pPr>
        <w:snapToGrid w:val="0"/>
        <w:spacing w:line="264" w:lineRule="auto"/>
        <w:ind w:firstLine="560" w:firstLineChars="200"/>
        <w:jc w:val="left"/>
        <w:rPr>
          <w:rFonts w:hint="eastAsia"/>
          <w:color w:val="FF00FF"/>
          <w:sz w:val="28"/>
          <w:szCs w:val="28"/>
        </w:rPr>
      </w:pPr>
      <w:r>
        <w:rPr>
          <w:rFonts w:hint="eastAsia"/>
          <w:color w:val="FF00FF"/>
          <w:sz w:val="28"/>
          <w:szCs w:val="28"/>
        </w:rPr>
        <w:t>附件</w:t>
      </w:r>
      <w:r>
        <w:rPr>
          <w:rFonts w:hint="eastAsia"/>
          <w:color w:val="FF00FF"/>
          <w:sz w:val="28"/>
          <w:szCs w:val="28"/>
          <w:lang w:val="en-US" w:eastAsia="zh-CN"/>
        </w:rPr>
        <w:t>2</w:t>
      </w:r>
      <w:r>
        <w:rPr>
          <w:rFonts w:hint="eastAsia"/>
          <w:color w:val="FF00FF"/>
          <w:sz w:val="28"/>
          <w:szCs w:val="28"/>
        </w:rPr>
        <w:t>：医疗器械注册证（加盖公章）</w:t>
      </w:r>
    </w:p>
    <w:p w14:paraId="7EB64353">
      <w:pPr>
        <w:snapToGrid w:val="0"/>
        <w:spacing w:line="264" w:lineRule="auto"/>
        <w:ind w:firstLine="562" w:firstLineChars="200"/>
        <w:jc w:val="left"/>
        <w:rPr>
          <w:rStyle w:val="36"/>
          <w:rFonts w:hint="default" w:ascii="Calibri" w:hAnsi="Calibri" w:eastAsia="Arial Unicode MS" w:cs="Calibri"/>
          <w:b/>
          <w:bCs/>
          <w:color w:val="FF0000"/>
          <w:sz w:val="28"/>
          <w:szCs w:val="28"/>
          <w:u w:val="single"/>
          <w:lang w:val="en-US" w:eastAsia="zh-CN"/>
        </w:rPr>
      </w:pPr>
      <w:r>
        <w:rPr>
          <w:rStyle w:val="36"/>
          <w:rFonts w:hint="eastAsia" w:ascii="Calibri" w:hAnsi="Calibri" w:eastAsia="Arial Unicode MS" w:cs="Calibri"/>
          <w:b/>
          <w:bCs/>
          <w:color w:val="FF0000"/>
          <w:sz w:val="28"/>
          <w:szCs w:val="28"/>
          <w:u w:val="single"/>
          <w:lang w:val="en-US" w:eastAsia="zh-CN"/>
        </w:rPr>
        <w:t>特殊说明：若无医疗器械注册证的需放置说明（加盖公章）</w:t>
      </w:r>
    </w:p>
    <w:p w14:paraId="41BF29EF">
      <w:pPr>
        <w:snapToGrid w:val="0"/>
        <w:spacing w:line="264" w:lineRule="auto"/>
        <w:ind w:firstLine="560" w:firstLineChars="200"/>
        <w:jc w:val="left"/>
        <w:rPr>
          <w:color w:val="FF00FF"/>
          <w:sz w:val="28"/>
          <w:szCs w:val="28"/>
        </w:rPr>
      </w:pPr>
      <w:r>
        <w:rPr>
          <w:rFonts w:hint="eastAsia"/>
          <w:color w:val="FF00FF"/>
          <w:sz w:val="28"/>
          <w:szCs w:val="28"/>
        </w:rPr>
        <w:t>附件</w:t>
      </w:r>
      <w:r>
        <w:rPr>
          <w:rFonts w:hint="eastAsia"/>
          <w:color w:val="FF00FF"/>
          <w:sz w:val="28"/>
          <w:szCs w:val="28"/>
          <w:lang w:val="en-US" w:eastAsia="zh-CN"/>
        </w:rPr>
        <w:t>3</w:t>
      </w:r>
      <w:r>
        <w:rPr>
          <w:rFonts w:hint="eastAsia"/>
          <w:color w:val="FF00FF"/>
          <w:sz w:val="28"/>
          <w:szCs w:val="28"/>
        </w:rPr>
        <w:t>：配置清单（</w:t>
      </w:r>
      <w:r>
        <w:rPr>
          <w:rStyle w:val="36"/>
          <w:rFonts w:hint="eastAsia" w:eastAsia="Arial Unicode MS"/>
          <w:b/>
          <w:bCs/>
          <w:color w:val="0000FF"/>
          <w:sz w:val="28"/>
          <w:szCs w:val="28"/>
          <w:u w:val="single"/>
        </w:rPr>
        <w:t>使用科室主任</w:t>
      </w:r>
      <w:r>
        <w:rPr>
          <w:rFonts w:hint="eastAsia"/>
          <w:color w:val="FF00FF"/>
          <w:sz w:val="28"/>
          <w:szCs w:val="28"/>
        </w:rPr>
        <w:t>签字、加盖合同专用章）</w:t>
      </w:r>
    </w:p>
    <w:p w14:paraId="2F11D7B2">
      <w:pPr>
        <w:snapToGrid w:val="0"/>
        <w:spacing w:line="264" w:lineRule="auto"/>
        <w:ind w:firstLine="560" w:firstLineChars="200"/>
        <w:jc w:val="left"/>
        <w:rPr>
          <w:color w:val="FF00FF"/>
          <w:sz w:val="28"/>
          <w:szCs w:val="28"/>
        </w:rPr>
      </w:pPr>
      <w:r>
        <w:rPr>
          <w:rFonts w:hint="eastAsia"/>
          <w:color w:val="FF00FF"/>
          <w:sz w:val="28"/>
          <w:szCs w:val="28"/>
        </w:rPr>
        <w:t>附件</w:t>
      </w:r>
      <w:r>
        <w:rPr>
          <w:rFonts w:hint="eastAsia"/>
          <w:color w:val="FF00FF"/>
          <w:sz w:val="28"/>
          <w:szCs w:val="28"/>
          <w:lang w:val="en-US" w:eastAsia="zh-CN"/>
        </w:rPr>
        <w:t>4</w:t>
      </w:r>
      <w:r>
        <w:rPr>
          <w:rFonts w:hint="eastAsia"/>
          <w:color w:val="FF00FF"/>
          <w:sz w:val="28"/>
          <w:szCs w:val="28"/>
        </w:rPr>
        <w:t>：技术参数（加盖合同专用章）</w:t>
      </w:r>
    </w:p>
    <w:p w14:paraId="4C6339AC">
      <w:pPr>
        <w:snapToGrid w:val="0"/>
        <w:spacing w:line="264" w:lineRule="auto"/>
        <w:ind w:firstLine="560" w:firstLineChars="200"/>
        <w:jc w:val="left"/>
        <w:rPr>
          <w:rFonts w:hint="eastAsia"/>
          <w:color w:val="FF00FF"/>
          <w:sz w:val="28"/>
          <w:szCs w:val="28"/>
        </w:rPr>
      </w:pPr>
      <w:r>
        <w:rPr>
          <w:rFonts w:hint="eastAsia"/>
          <w:color w:val="FF00FF"/>
          <w:sz w:val="28"/>
          <w:szCs w:val="28"/>
        </w:rPr>
        <w:t>附件</w:t>
      </w:r>
      <w:r>
        <w:rPr>
          <w:rFonts w:hint="eastAsia"/>
          <w:color w:val="FF00FF"/>
          <w:sz w:val="28"/>
          <w:szCs w:val="28"/>
          <w:lang w:val="en-US" w:eastAsia="zh-CN"/>
        </w:rPr>
        <w:t>5</w:t>
      </w:r>
      <w:r>
        <w:rPr>
          <w:rFonts w:hint="eastAsia"/>
          <w:color w:val="FF00FF"/>
          <w:sz w:val="28"/>
          <w:szCs w:val="28"/>
        </w:rPr>
        <w:t>：基本服务要求承诺函（加盖合同专用章）</w:t>
      </w:r>
    </w:p>
    <w:p w14:paraId="48D159EC">
      <w:pPr>
        <w:snapToGrid w:val="0"/>
        <w:spacing w:line="264" w:lineRule="auto"/>
        <w:ind w:firstLine="560" w:firstLineChars="200"/>
        <w:jc w:val="left"/>
        <w:rPr>
          <w:rFonts w:hint="eastAsia"/>
          <w:color w:val="FF00FF"/>
          <w:sz w:val="28"/>
          <w:szCs w:val="28"/>
        </w:rPr>
      </w:pPr>
      <w:r>
        <w:rPr>
          <w:rFonts w:hint="eastAsia"/>
          <w:color w:val="FF00FF"/>
          <w:sz w:val="28"/>
          <w:szCs w:val="28"/>
        </w:rPr>
        <w:t>附件</w:t>
      </w:r>
      <w:r>
        <w:rPr>
          <w:rFonts w:hint="eastAsia"/>
          <w:color w:val="FF00FF"/>
          <w:sz w:val="28"/>
          <w:szCs w:val="28"/>
          <w:lang w:val="en-US" w:eastAsia="zh-CN"/>
        </w:rPr>
        <w:t>6</w:t>
      </w:r>
      <w:r>
        <w:rPr>
          <w:rFonts w:hint="eastAsia"/>
          <w:color w:val="FF00FF"/>
          <w:sz w:val="28"/>
          <w:szCs w:val="28"/>
        </w:rPr>
        <w:t>：代理商售后服务承诺书（加盖合同专用章）</w:t>
      </w:r>
    </w:p>
    <w:p w14:paraId="0978890F">
      <w:pPr>
        <w:snapToGrid w:val="0"/>
        <w:spacing w:line="264" w:lineRule="auto"/>
        <w:ind w:firstLine="560" w:firstLineChars="200"/>
        <w:jc w:val="left"/>
        <w:rPr>
          <w:rFonts w:hint="eastAsia"/>
          <w:color w:val="FF00FF"/>
          <w:sz w:val="28"/>
          <w:szCs w:val="28"/>
        </w:rPr>
      </w:pPr>
      <w:r>
        <w:rPr>
          <w:rFonts w:hint="eastAsia"/>
          <w:color w:val="FF00FF"/>
          <w:sz w:val="28"/>
          <w:szCs w:val="28"/>
        </w:rPr>
        <w:t>附件</w:t>
      </w:r>
      <w:r>
        <w:rPr>
          <w:rFonts w:hint="eastAsia"/>
          <w:color w:val="FF00FF"/>
          <w:sz w:val="28"/>
          <w:szCs w:val="28"/>
          <w:lang w:val="en-US" w:eastAsia="zh-CN"/>
        </w:rPr>
        <w:t>7</w:t>
      </w:r>
      <w:r>
        <w:rPr>
          <w:rFonts w:hint="eastAsia"/>
          <w:color w:val="FF00FF"/>
          <w:sz w:val="28"/>
          <w:szCs w:val="28"/>
        </w:rPr>
        <w:t>：厂家售后服务承诺书（加盖合同专用章）</w:t>
      </w:r>
    </w:p>
    <w:p w14:paraId="47D566E4">
      <w:pPr>
        <w:snapToGrid w:val="0"/>
        <w:spacing w:line="264" w:lineRule="auto"/>
        <w:ind w:firstLine="560" w:firstLineChars="200"/>
        <w:jc w:val="left"/>
        <w:rPr>
          <w:rFonts w:hint="eastAsia"/>
          <w:color w:val="FF00FF"/>
          <w:sz w:val="28"/>
          <w:szCs w:val="28"/>
        </w:rPr>
      </w:pPr>
      <w:r>
        <w:rPr>
          <w:rFonts w:hint="eastAsia"/>
          <w:color w:val="FF00FF"/>
          <w:sz w:val="28"/>
          <w:szCs w:val="28"/>
        </w:rPr>
        <w:t>附件</w:t>
      </w:r>
      <w:r>
        <w:rPr>
          <w:rFonts w:hint="eastAsia"/>
          <w:color w:val="FF00FF"/>
          <w:sz w:val="28"/>
          <w:szCs w:val="28"/>
          <w:lang w:val="en-US" w:eastAsia="zh-CN"/>
        </w:rPr>
        <w:t>8</w:t>
      </w:r>
      <w:r>
        <w:rPr>
          <w:rFonts w:hint="eastAsia"/>
          <w:color w:val="FF00FF"/>
          <w:sz w:val="28"/>
          <w:szCs w:val="28"/>
        </w:rPr>
        <w:t>：</w:t>
      </w:r>
      <w:r>
        <w:rPr>
          <w:rFonts w:hint="eastAsia"/>
          <w:color w:val="FF00FF"/>
          <w:sz w:val="28"/>
          <w:szCs w:val="28"/>
          <w:lang w:val="en-US" w:eastAsia="zh-CN"/>
        </w:rPr>
        <w:t>培训计划</w:t>
      </w:r>
      <w:r>
        <w:rPr>
          <w:rFonts w:hint="eastAsia"/>
          <w:color w:val="FF00FF"/>
          <w:sz w:val="28"/>
          <w:szCs w:val="28"/>
        </w:rPr>
        <w:t>（加盖合同专用章）</w:t>
      </w:r>
    </w:p>
    <w:p w14:paraId="6E4ED77C">
      <w:pPr>
        <w:snapToGrid w:val="0"/>
        <w:spacing w:line="264" w:lineRule="auto"/>
        <w:ind w:firstLine="560" w:firstLineChars="200"/>
        <w:jc w:val="left"/>
        <w:rPr>
          <w:rFonts w:hint="eastAsia"/>
          <w:color w:val="FF00FF"/>
          <w:sz w:val="28"/>
          <w:szCs w:val="28"/>
        </w:rPr>
      </w:pPr>
      <w:r>
        <w:rPr>
          <w:rFonts w:hint="eastAsia"/>
          <w:color w:val="FF00FF"/>
          <w:sz w:val="28"/>
          <w:szCs w:val="28"/>
        </w:rPr>
        <w:t>附件</w:t>
      </w:r>
      <w:r>
        <w:rPr>
          <w:rFonts w:hint="eastAsia"/>
          <w:color w:val="FF00FF"/>
          <w:sz w:val="28"/>
          <w:szCs w:val="28"/>
          <w:lang w:val="en-US" w:eastAsia="zh-CN"/>
        </w:rPr>
        <w:t>9</w:t>
      </w:r>
      <w:r>
        <w:rPr>
          <w:rFonts w:hint="eastAsia"/>
          <w:color w:val="FF00FF"/>
          <w:sz w:val="28"/>
          <w:szCs w:val="28"/>
        </w:rPr>
        <w:t>：中标（成交）通知书（加盖合同专用章）</w:t>
      </w:r>
    </w:p>
    <w:p w14:paraId="3168AFF6">
      <w:pPr>
        <w:snapToGrid w:val="0"/>
        <w:spacing w:line="264" w:lineRule="auto"/>
        <w:ind w:firstLine="560" w:firstLineChars="200"/>
        <w:jc w:val="left"/>
        <w:rPr>
          <w:rFonts w:hint="eastAsia"/>
          <w:color w:val="FF00FF"/>
          <w:sz w:val="28"/>
          <w:szCs w:val="28"/>
        </w:rPr>
      </w:pPr>
      <w:r>
        <w:rPr>
          <w:rFonts w:hint="eastAsia"/>
          <w:color w:val="FF00FF"/>
          <w:sz w:val="28"/>
          <w:szCs w:val="28"/>
        </w:rPr>
        <w:t>附件</w:t>
      </w:r>
      <w:r>
        <w:rPr>
          <w:rFonts w:hint="eastAsia"/>
          <w:color w:val="FF00FF"/>
          <w:sz w:val="28"/>
          <w:szCs w:val="28"/>
          <w:lang w:val="en-US" w:eastAsia="zh-CN"/>
        </w:rPr>
        <w:t>10</w:t>
      </w:r>
      <w:r>
        <w:rPr>
          <w:rFonts w:hint="eastAsia"/>
          <w:color w:val="FF00FF"/>
          <w:sz w:val="28"/>
          <w:szCs w:val="28"/>
        </w:rPr>
        <w:t>：招标合同还需附答疑函（如果有答疑函）（加盖合同专用章）</w:t>
      </w:r>
    </w:p>
    <w:p w14:paraId="0E0624BF">
      <w:pPr>
        <w:snapToGrid w:val="0"/>
        <w:spacing w:line="264" w:lineRule="auto"/>
        <w:jc w:val="center"/>
        <w:rPr>
          <w:rFonts w:hint="eastAsia"/>
          <w:color w:val="FF00FF"/>
          <w:sz w:val="28"/>
          <w:szCs w:val="28"/>
        </w:rPr>
      </w:pPr>
      <w:r>
        <w:rPr>
          <w:rFonts w:hint="eastAsia"/>
          <w:color w:val="FF00FF"/>
          <w:sz w:val="28"/>
          <w:szCs w:val="28"/>
        </w:rPr>
        <w:t>联系电话：</w:t>
      </w:r>
      <w:r>
        <w:rPr>
          <w:rFonts w:hint="eastAsia"/>
          <w:color w:val="FF00FF"/>
          <w:sz w:val="28"/>
          <w:szCs w:val="28"/>
          <w:lang w:eastAsia="zh-CN"/>
        </w:rPr>
        <w:t>范志斌</w:t>
      </w:r>
      <w:r>
        <w:rPr>
          <w:rFonts w:hint="eastAsia"/>
          <w:color w:val="FF00FF"/>
          <w:sz w:val="28"/>
          <w:szCs w:val="28"/>
          <w:lang w:val="en-US" w:eastAsia="zh-CN"/>
        </w:rPr>
        <w:t>15199189511</w:t>
      </w:r>
      <w:r>
        <w:rPr>
          <w:rFonts w:hint="eastAsia"/>
          <w:color w:val="FF00FF"/>
          <w:sz w:val="28"/>
          <w:szCs w:val="28"/>
        </w:rPr>
        <w:t xml:space="preserve">   合同审核邮箱：</w:t>
      </w:r>
      <w:r>
        <w:rPr>
          <w:rStyle w:val="36"/>
          <w:rFonts w:ascii="Times New Roman" w:hAnsi="Times New Roman" w:eastAsia="Arial Unicode MS" w:cs="Times New Roman"/>
          <w:color w:val="0000FF"/>
          <w:sz w:val="28"/>
          <w:szCs w:val="28"/>
          <w:u w:val="none"/>
        </w:rPr>
        <w:t>yfy_yxgck@163.com</w:t>
      </w:r>
    </w:p>
    <w:p w14:paraId="5A0210D5">
      <w:pPr>
        <w:rPr>
          <w:rFonts w:hint="eastAsia" w:ascii="宋体" w:hAnsi="宋体" w:eastAsia="宋体" w:cs="宋体"/>
          <w:b/>
          <w:bCs/>
          <w:color w:val="auto"/>
          <w:kern w:val="44"/>
          <w:sz w:val="36"/>
          <w:szCs w:val="36"/>
          <w:highlight w:val="none"/>
          <w:lang w:val="en-US" w:eastAsia="zh-CN" w:bidi="ar-SA"/>
        </w:rPr>
      </w:pPr>
      <w:r>
        <w:rPr>
          <w:rFonts w:hint="eastAsia" w:ascii="宋体" w:hAnsi="宋体" w:eastAsia="宋体" w:cs="宋体"/>
          <w:b/>
          <w:bCs/>
          <w:color w:val="auto"/>
          <w:kern w:val="44"/>
          <w:sz w:val="36"/>
          <w:szCs w:val="36"/>
          <w:highlight w:val="none"/>
          <w:lang w:val="en-US" w:eastAsia="zh-CN" w:bidi="ar-SA"/>
        </w:rPr>
        <w:br w:type="page"/>
      </w:r>
    </w:p>
    <w:p w14:paraId="5CAF3138">
      <w:pPr>
        <w:pStyle w:val="2"/>
        <w:keepNext/>
        <w:keepLines/>
        <w:pageBreakBefore w:val="0"/>
        <w:widowControl w:val="0"/>
        <w:numPr>
          <w:ilvl w:val="0"/>
          <w:numId w:val="0"/>
        </w:numPr>
        <w:kinsoku/>
        <w:wordWrap/>
        <w:overflowPunct/>
        <w:topLinePunct w:val="0"/>
        <w:autoSpaceDE/>
        <w:autoSpaceDN/>
        <w:bidi w:val="0"/>
        <w:adjustRightInd/>
        <w:snapToGrid/>
        <w:spacing w:before="220" w:after="220" w:line="480" w:lineRule="auto"/>
        <w:ind w:left="420" w:leftChars="0" w:hanging="420" w:firstLineChars="0"/>
        <w:textAlignment w:val="auto"/>
        <w:rPr>
          <w:rFonts w:hint="eastAsia" w:ascii="宋体" w:hAnsi="宋体" w:eastAsia="宋体" w:cs="宋体"/>
          <w:b/>
          <w:bCs/>
          <w:color w:val="auto"/>
          <w:kern w:val="44"/>
          <w:sz w:val="36"/>
          <w:szCs w:val="36"/>
          <w:highlight w:val="none"/>
          <w:lang w:val="en-US" w:eastAsia="zh-CN" w:bidi="ar-SA"/>
        </w:rPr>
      </w:pPr>
      <w:r>
        <w:rPr>
          <w:rFonts w:hint="eastAsia" w:ascii="宋体" w:hAnsi="宋体" w:eastAsia="宋体" w:cs="宋体"/>
          <w:b/>
          <w:bCs/>
          <w:color w:val="auto"/>
          <w:kern w:val="44"/>
          <w:sz w:val="36"/>
          <w:szCs w:val="36"/>
          <w:highlight w:val="none"/>
          <w:lang w:val="en-US" w:eastAsia="zh-CN" w:bidi="ar-SA"/>
        </w:rPr>
        <w:t>第七章 投标文件格式</w:t>
      </w:r>
      <w:bookmarkEnd w:id="580"/>
      <w:bookmarkEnd w:id="581"/>
    </w:p>
    <w:p w14:paraId="6DC90E3C">
      <w:pPr>
        <w:rPr>
          <w:rFonts w:cs="仿宋_GB2312"/>
          <w:color w:val="auto"/>
          <w:szCs w:val="24"/>
          <w:highlight w:val="none"/>
          <w:lang w:val="zh-CN"/>
        </w:rPr>
      </w:pPr>
      <w:r>
        <w:rPr>
          <w:rFonts w:hint="eastAsia" w:cs="仿宋_GB2312"/>
          <w:color w:val="auto"/>
          <w:szCs w:val="24"/>
          <w:highlight w:val="none"/>
          <w:lang w:val="zh-CN"/>
        </w:rPr>
        <w:t>封面：</w:t>
      </w:r>
    </w:p>
    <w:p w14:paraId="202803F7">
      <w:pPr>
        <w:autoSpaceDE w:val="0"/>
        <w:autoSpaceDN w:val="0"/>
        <w:adjustRightInd w:val="0"/>
        <w:rPr>
          <w:color w:val="auto"/>
          <w:sz w:val="21"/>
          <w:szCs w:val="24"/>
          <w:highlight w:val="none"/>
        </w:rPr>
      </w:pPr>
    </w:p>
    <w:p w14:paraId="73B11C8A">
      <w:pPr>
        <w:autoSpaceDE w:val="0"/>
        <w:autoSpaceDN w:val="0"/>
        <w:adjustRightInd w:val="0"/>
        <w:rPr>
          <w:color w:val="auto"/>
          <w:sz w:val="21"/>
          <w:szCs w:val="24"/>
          <w:highlight w:val="none"/>
        </w:rPr>
      </w:pPr>
    </w:p>
    <w:p w14:paraId="36DF3F4E">
      <w:pPr>
        <w:autoSpaceDE w:val="0"/>
        <w:autoSpaceDN w:val="0"/>
        <w:adjustRightInd w:val="0"/>
        <w:jc w:val="center"/>
        <w:rPr>
          <w:color w:val="auto"/>
          <w:sz w:val="21"/>
          <w:szCs w:val="24"/>
          <w:highlight w:val="none"/>
        </w:rPr>
      </w:pPr>
    </w:p>
    <w:p w14:paraId="336E03FA">
      <w:pPr>
        <w:bidi w:val="0"/>
        <w:jc w:val="center"/>
        <w:outlineLvl w:val="9"/>
        <w:rPr>
          <w:sz w:val="84"/>
          <w:szCs w:val="84"/>
        </w:rPr>
      </w:pPr>
      <w:bookmarkStart w:id="582" w:name="_Toc7054"/>
      <w:r>
        <w:rPr>
          <w:rFonts w:hint="eastAsia"/>
          <w:sz w:val="84"/>
          <w:szCs w:val="84"/>
        </w:rPr>
        <w:t>投 标 文 件</w:t>
      </w:r>
      <w:bookmarkEnd w:id="582"/>
    </w:p>
    <w:p w14:paraId="0D217A8D">
      <w:pPr>
        <w:bidi w:val="0"/>
        <w:jc w:val="center"/>
        <w:outlineLvl w:val="1"/>
        <w:rPr>
          <w:sz w:val="52"/>
          <w:szCs w:val="52"/>
        </w:rPr>
      </w:pPr>
      <w:bookmarkStart w:id="583" w:name="_Toc17826"/>
      <w:r>
        <w:rPr>
          <w:rFonts w:hint="eastAsia"/>
          <w:sz w:val="52"/>
          <w:szCs w:val="52"/>
        </w:rPr>
        <w:t>资格证明文件</w:t>
      </w:r>
      <w:bookmarkEnd w:id="583"/>
    </w:p>
    <w:p w14:paraId="3713B9EF">
      <w:pPr>
        <w:autoSpaceDE w:val="0"/>
        <w:autoSpaceDN w:val="0"/>
        <w:adjustRightInd w:val="0"/>
        <w:rPr>
          <w:b/>
          <w:bCs/>
          <w:color w:val="auto"/>
          <w:sz w:val="22"/>
          <w:highlight w:val="none"/>
        </w:rPr>
      </w:pPr>
    </w:p>
    <w:p w14:paraId="3861A6F5">
      <w:pPr>
        <w:autoSpaceDE w:val="0"/>
        <w:autoSpaceDN w:val="0"/>
        <w:adjustRightInd w:val="0"/>
        <w:jc w:val="center"/>
        <w:rPr>
          <w:rFonts w:hint="eastAsia" w:eastAsia="宋体"/>
          <w:color w:val="auto"/>
          <w:sz w:val="36"/>
          <w:szCs w:val="36"/>
          <w:highlight w:val="none"/>
          <w:lang w:eastAsia="zh-CN"/>
        </w:rPr>
      </w:pPr>
      <w:r>
        <w:rPr>
          <w:rFonts w:hint="eastAsia"/>
          <w:color w:val="auto"/>
          <w:sz w:val="36"/>
          <w:szCs w:val="36"/>
          <w:highlight w:val="none"/>
          <w:lang w:val="en-US" w:eastAsia="zh-CN"/>
        </w:rPr>
        <w:t>（第XX包</w:t>
      </w:r>
      <w:r>
        <w:rPr>
          <w:rFonts w:hint="eastAsia"/>
          <w:color w:val="auto"/>
          <w:sz w:val="36"/>
          <w:szCs w:val="36"/>
          <w:highlight w:val="none"/>
          <w:lang w:eastAsia="zh-CN"/>
        </w:rPr>
        <w:t>）【</w:t>
      </w:r>
      <w:r>
        <w:rPr>
          <w:rFonts w:hint="eastAsia"/>
          <w:color w:val="auto"/>
          <w:sz w:val="36"/>
          <w:szCs w:val="36"/>
          <w:highlight w:val="none"/>
          <w:lang w:val="en-US" w:eastAsia="zh-CN"/>
        </w:rPr>
        <w:t>如不分包，请删去本行</w:t>
      </w:r>
      <w:r>
        <w:rPr>
          <w:rFonts w:hint="eastAsia"/>
          <w:color w:val="auto"/>
          <w:sz w:val="36"/>
          <w:szCs w:val="36"/>
          <w:highlight w:val="none"/>
          <w:lang w:eastAsia="zh-CN"/>
        </w:rPr>
        <w:t>】</w:t>
      </w:r>
    </w:p>
    <w:p w14:paraId="4C95B1E8">
      <w:pPr>
        <w:autoSpaceDE w:val="0"/>
        <w:autoSpaceDN w:val="0"/>
        <w:adjustRightInd w:val="0"/>
        <w:rPr>
          <w:color w:val="auto"/>
          <w:sz w:val="21"/>
          <w:szCs w:val="21"/>
          <w:highlight w:val="none"/>
        </w:rPr>
      </w:pPr>
    </w:p>
    <w:p w14:paraId="6D2F1984">
      <w:pPr>
        <w:autoSpaceDE w:val="0"/>
        <w:autoSpaceDN w:val="0"/>
        <w:adjustRightInd w:val="0"/>
        <w:rPr>
          <w:color w:val="auto"/>
          <w:sz w:val="21"/>
          <w:szCs w:val="21"/>
          <w:highlight w:val="none"/>
        </w:rPr>
      </w:pPr>
    </w:p>
    <w:p w14:paraId="13936900">
      <w:pPr>
        <w:autoSpaceDE w:val="0"/>
        <w:autoSpaceDN w:val="0"/>
        <w:adjustRightInd w:val="0"/>
        <w:rPr>
          <w:color w:val="auto"/>
          <w:sz w:val="21"/>
          <w:szCs w:val="21"/>
          <w:highlight w:val="none"/>
        </w:rPr>
      </w:pPr>
    </w:p>
    <w:p w14:paraId="7F8AB2C1">
      <w:pPr>
        <w:ind w:left="420" w:leftChars="175"/>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项目编号</w:t>
      </w:r>
      <w:r>
        <w:rPr>
          <w:rFonts w:hint="eastAsia" w:ascii="宋体" w:hAnsi="宋体" w:eastAsia="宋体" w:cs="宋体"/>
          <w:color w:val="auto"/>
          <w:sz w:val="36"/>
          <w:szCs w:val="36"/>
          <w:highlight w:val="none"/>
          <w:lang w:val="en-US" w:eastAsia="zh-CN"/>
        </w:rPr>
        <w:t>/包号</w:t>
      </w:r>
      <w:r>
        <w:rPr>
          <w:rFonts w:hint="eastAsia" w:ascii="宋体" w:hAnsi="宋体" w:eastAsia="宋体" w:cs="宋体"/>
          <w:color w:val="auto"/>
          <w:sz w:val="36"/>
          <w:szCs w:val="36"/>
          <w:highlight w:val="none"/>
        </w:rPr>
        <w:t>：</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24FB0392">
      <w:pPr>
        <w:ind w:left="420" w:leftChars="175"/>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项目名称：</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6B06112D">
      <w:pPr>
        <w:ind w:left="420" w:leftChars="175"/>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投</w:t>
      </w:r>
      <w:r>
        <w:rPr>
          <w:rFonts w:hint="eastAsia" w:ascii="宋体" w:hAnsi="宋体" w:eastAsia="宋体" w:cs="宋体"/>
          <w:color w:val="auto"/>
          <w:sz w:val="36"/>
          <w:szCs w:val="36"/>
          <w:highlight w:val="none"/>
          <w:lang w:val="en-US" w:eastAsia="zh-CN"/>
        </w:rPr>
        <w:t xml:space="preserve"> </w:t>
      </w:r>
      <w:r>
        <w:rPr>
          <w:rFonts w:hint="eastAsia" w:ascii="宋体" w:hAnsi="宋体" w:eastAsia="宋体" w:cs="宋体"/>
          <w:color w:val="auto"/>
          <w:sz w:val="36"/>
          <w:szCs w:val="36"/>
          <w:highlight w:val="none"/>
        </w:rPr>
        <w:t>标</w:t>
      </w:r>
      <w:r>
        <w:rPr>
          <w:rFonts w:hint="eastAsia" w:ascii="宋体" w:hAnsi="宋体" w:eastAsia="宋体" w:cs="宋体"/>
          <w:color w:val="auto"/>
          <w:sz w:val="36"/>
          <w:szCs w:val="36"/>
          <w:highlight w:val="none"/>
          <w:lang w:val="en-US" w:eastAsia="zh-CN"/>
        </w:rPr>
        <w:t xml:space="preserve"> </w:t>
      </w:r>
      <w:r>
        <w:rPr>
          <w:rFonts w:hint="eastAsia" w:ascii="宋体" w:hAnsi="宋体" w:eastAsia="宋体" w:cs="宋体"/>
          <w:color w:val="auto"/>
          <w:sz w:val="36"/>
          <w:szCs w:val="36"/>
          <w:highlight w:val="none"/>
        </w:rPr>
        <w:t>人：</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4720DE04">
      <w:pPr>
        <w:ind w:left="840" w:firstLine="420"/>
        <w:rPr>
          <w:b/>
          <w:bCs/>
          <w:color w:val="auto"/>
          <w:sz w:val="28"/>
          <w:szCs w:val="28"/>
          <w:highlight w:val="none"/>
        </w:rPr>
      </w:pPr>
    </w:p>
    <w:p w14:paraId="5D0DC607">
      <w:pPr>
        <w:ind w:left="840" w:firstLine="420"/>
        <w:rPr>
          <w:b/>
          <w:bCs/>
          <w:color w:val="auto"/>
          <w:sz w:val="28"/>
          <w:szCs w:val="28"/>
          <w:highlight w:val="none"/>
        </w:rPr>
      </w:pPr>
    </w:p>
    <w:p w14:paraId="306FCCBF">
      <w:pPr>
        <w:ind w:left="840" w:firstLine="420"/>
        <w:rPr>
          <w:b/>
          <w:bCs/>
          <w:color w:val="auto"/>
          <w:sz w:val="28"/>
          <w:szCs w:val="28"/>
          <w:highlight w:val="none"/>
        </w:rPr>
      </w:pPr>
    </w:p>
    <w:p w14:paraId="22CE1A9B">
      <w:pPr>
        <w:jc w:val="center"/>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年   月    日</w:t>
      </w:r>
    </w:p>
    <w:p w14:paraId="6447D651">
      <w:pPr>
        <w:rPr>
          <w:color w:val="auto"/>
          <w:highlight w:val="none"/>
          <w:lang w:val="zh-CN"/>
        </w:rPr>
      </w:pPr>
      <w:r>
        <w:rPr>
          <w:color w:val="auto"/>
          <w:highlight w:val="none"/>
          <w:lang w:val="zh-CN"/>
        </w:rPr>
        <w:br w:type="page"/>
      </w:r>
    </w:p>
    <w:p w14:paraId="215FC2E3">
      <w:pPr>
        <w:pStyle w:val="3"/>
        <w:bidi w:val="0"/>
        <w:rPr>
          <w:rFonts w:hint="eastAsia"/>
          <w:lang w:val="en-US" w:eastAsia="zh-CN"/>
        </w:rPr>
      </w:pPr>
      <w:bookmarkStart w:id="584" w:name="_Toc24224"/>
      <w:bookmarkStart w:id="585" w:name="_Toc3692"/>
      <w:bookmarkStart w:id="586" w:name="_Toc155185927"/>
      <w:r>
        <w:rPr>
          <w:rFonts w:hint="eastAsia"/>
          <w:lang w:val="en-US" w:eastAsia="zh-CN"/>
        </w:rPr>
        <w:t>一、满足《中华人民共和国政府采购法》第二十二条规定</w:t>
      </w:r>
      <w:bookmarkEnd w:id="584"/>
      <w:bookmarkEnd w:id="585"/>
    </w:p>
    <w:bookmarkEnd w:id="586"/>
    <w:p w14:paraId="61960CA7">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eastAsia" w:ascii="宋体" w:hAnsi="宋体" w:eastAsia="宋体" w:cs="宋体"/>
          <w:b/>
          <w:bCs/>
          <w:color w:val="auto"/>
          <w:kern w:val="2"/>
          <w:sz w:val="24"/>
          <w:szCs w:val="24"/>
          <w:highlight w:val="none"/>
          <w:lang w:val="en-US" w:eastAsia="zh-CN" w:bidi="ar-SA"/>
        </w:rPr>
      </w:pPr>
      <w:bookmarkStart w:id="587" w:name="_Toc155185928"/>
      <w:bookmarkStart w:id="588" w:name="_Toc163492922"/>
      <w:r>
        <w:rPr>
          <w:rFonts w:hint="eastAsia" w:ascii="宋体" w:hAnsi="宋体" w:eastAsia="宋体" w:cs="宋体"/>
          <w:b/>
          <w:bCs/>
          <w:color w:val="auto"/>
          <w:kern w:val="2"/>
          <w:sz w:val="24"/>
          <w:szCs w:val="24"/>
          <w:highlight w:val="none"/>
          <w:lang w:val="en-US" w:eastAsia="zh-CN" w:bidi="ar-SA"/>
        </w:rPr>
        <w:t>（一）法人、其他组织或者自然人的证明文件</w:t>
      </w:r>
    </w:p>
    <w:p w14:paraId="6E9D2077">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auto"/>
          <w:kern w:val="0"/>
          <w:sz w:val="24"/>
          <w:szCs w:val="24"/>
          <w:highlight w:val="none"/>
          <w:lang w:val="en-US" w:eastAsia="zh-CN"/>
        </w:rPr>
      </w:pPr>
      <w:r>
        <w:rPr>
          <w:rFonts w:hint="eastAsia" w:cs="宋体"/>
          <w:b w:val="0"/>
          <w:bCs w:val="0"/>
          <w:color w:val="auto"/>
          <w:kern w:val="0"/>
          <w:sz w:val="24"/>
          <w:szCs w:val="24"/>
          <w:highlight w:val="none"/>
          <w:lang w:val="en-US" w:eastAsia="zh-CN"/>
        </w:rPr>
        <w:t>1、投标人</w:t>
      </w:r>
      <w:r>
        <w:rPr>
          <w:rFonts w:hint="eastAsia" w:ascii="宋体" w:hAnsi="宋体" w:eastAsia="宋体" w:cs="宋体"/>
          <w:b w:val="0"/>
          <w:bCs w:val="0"/>
          <w:color w:val="auto"/>
          <w:kern w:val="0"/>
          <w:sz w:val="24"/>
          <w:szCs w:val="24"/>
          <w:highlight w:val="none"/>
          <w:lang w:val="en-US" w:eastAsia="zh-CN"/>
        </w:rPr>
        <w:t>为企业（包括合伙企业）的，应提供有效的“营业执照”；</w:t>
      </w:r>
    </w:p>
    <w:p w14:paraId="420A9C0D">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auto"/>
          <w:kern w:val="0"/>
          <w:sz w:val="24"/>
          <w:szCs w:val="24"/>
          <w:highlight w:val="none"/>
          <w:lang w:val="en-US" w:eastAsia="zh-CN"/>
        </w:rPr>
      </w:pPr>
      <w:r>
        <w:rPr>
          <w:rFonts w:hint="eastAsia" w:cs="宋体"/>
          <w:b w:val="0"/>
          <w:bCs w:val="0"/>
          <w:color w:val="auto"/>
          <w:kern w:val="0"/>
          <w:sz w:val="24"/>
          <w:szCs w:val="24"/>
          <w:highlight w:val="none"/>
          <w:lang w:val="en-US" w:eastAsia="zh-CN"/>
        </w:rPr>
        <w:t>2、投标人</w:t>
      </w:r>
      <w:r>
        <w:rPr>
          <w:rFonts w:hint="eastAsia" w:ascii="宋体" w:hAnsi="宋体" w:eastAsia="宋体" w:cs="宋体"/>
          <w:b w:val="0"/>
          <w:bCs w:val="0"/>
          <w:color w:val="auto"/>
          <w:kern w:val="0"/>
          <w:sz w:val="24"/>
          <w:szCs w:val="24"/>
          <w:highlight w:val="none"/>
          <w:lang w:val="en-US" w:eastAsia="zh-CN"/>
        </w:rPr>
        <w:t>为事业单位的，应提供有效的“事业单位法人证书”；</w:t>
      </w:r>
    </w:p>
    <w:p w14:paraId="30B26513">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auto"/>
          <w:kern w:val="0"/>
          <w:sz w:val="24"/>
          <w:szCs w:val="24"/>
          <w:highlight w:val="none"/>
          <w:lang w:val="en-US" w:eastAsia="zh-CN"/>
        </w:rPr>
      </w:pPr>
      <w:r>
        <w:rPr>
          <w:rFonts w:hint="eastAsia" w:cs="宋体"/>
          <w:b w:val="0"/>
          <w:bCs w:val="0"/>
          <w:color w:val="auto"/>
          <w:kern w:val="0"/>
          <w:sz w:val="24"/>
          <w:szCs w:val="24"/>
          <w:highlight w:val="none"/>
          <w:lang w:val="en-US" w:eastAsia="zh-CN"/>
        </w:rPr>
        <w:t>3、投标人</w:t>
      </w:r>
      <w:r>
        <w:rPr>
          <w:rFonts w:hint="eastAsia" w:ascii="宋体" w:hAnsi="宋体" w:eastAsia="宋体" w:cs="宋体"/>
          <w:b w:val="0"/>
          <w:bCs w:val="0"/>
          <w:color w:val="auto"/>
          <w:kern w:val="0"/>
          <w:sz w:val="24"/>
          <w:szCs w:val="24"/>
          <w:highlight w:val="none"/>
          <w:lang w:val="en-US" w:eastAsia="zh-CN"/>
        </w:rPr>
        <w:t>为非企业机构的，应提供有效的“执业许可证”、“登记证书”等证明文件；</w:t>
      </w:r>
    </w:p>
    <w:p w14:paraId="4FDE6433">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auto"/>
          <w:kern w:val="0"/>
          <w:sz w:val="24"/>
          <w:szCs w:val="24"/>
          <w:highlight w:val="none"/>
          <w:lang w:val="en-US" w:eastAsia="zh-CN"/>
        </w:rPr>
      </w:pPr>
      <w:r>
        <w:rPr>
          <w:rFonts w:hint="eastAsia" w:cs="宋体"/>
          <w:b w:val="0"/>
          <w:bCs w:val="0"/>
          <w:color w:val="auto"/>
          <w:kern w:val="0"/>
          <w:sz w:val="24"/>
          <w:szCs w:val="24"/>
          <w:highlight w:val="none"/>
          <w:lang w:val="en-US" w:eastAsia="zh-CN"/>
        </w:rPr>
        <w:t>4、投标人</w:t>
      </w:r>
      <w:r>
        <w:rPr>
          <w:rFonts w:hint="eastAsia" w:ascii="宋体" w:hAnsi="宋体" w:eastAsia="宋体" w:cs="宋体"/>
          <w:b w:val="0"/>
          <w:bCs w:val="0"/>
          <w:color w:val="auto"/>
          <w:kern w:val="0"/>
          <w:sz w:val="24"/>
          <w:szCs w:val="24"/>
          <w:highlight w:val="none"/>
          <w:lang w:val="en-US" w:eastAsia="zh-CN"/>
        </w:rPr>
        <w:t>是个体工商户的，应提供有效的“个体工商户营业执照”；</w:t>
      </w:r>
    </w:p>
    <w:p w14:paraId="1DE16BBB">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auto"/>
          <w:kern w:val="0"/>
          <w:sz w:val="24"/>
          <w:szCs w:val="24"/>
          <w:highlight w:val="none"/>
          <w:lang w:val="en-US" w:eastAsia="zh-CN"/>
        </w:rPr>
      </w:pPr>
      <w:r>
        <w:rPr>
          <w:rFonts w:hint="eastAsia" w:cs="宋体"/>
          <w:b w:val="0"/>
          <w:bCs w:val="0"/>
          <w:color w:val="auto"/>
          <w:kern w:val="0"/>
          <w:sz w:val="24"/>
          <w:szCs w:val="24"/>
          <w:highlight w:val="none"/>
          <w:lang w:val="en-US" w:eastAsia="zh-CN"/>
        </w:rPr>
        <w:t>5、投标人</w:t>
      </w:r>
      <w:r>
        <w:rPr>
          <w:rFonts w:hint="eastAsia" w:ascii="宋体" w:hAnsi="宋体" w:eastAsia="宋体" w:cs="宋体"/>
          <w:b w:val="0"/>
          <w:bCs w:val="0"/>
          <w:color w:val="auto"/>
          <w:kern w:val="0"/>
          <w:sz w:val="24"/>
          <w:szCs w:val="24"/>
          <w:highlight w:val="none"/>
          <w:lang w:val="en-US" w:eastAsia="zh-CN"/>
        </w:rPr>
        <w:t>是自然人的，应提供有效的自然人身份证明。</w:t>
      </w:r>
    </w:p>
    <w:p w14:paraId="77687BEB">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auto"/>
          <w:kern w:val="0"/>
          <w:sz w:val="24"/>
          <w:szCs w:val="24"/>
          <w:highlight w:val="none"/>
          <w:lang w:val="en-US" w:eastAsia="zh-CN"/>
        </w:rPr>
      </w:pPr>
    </w:p>
    <w:p w14:paraId="128F3677">
      <w:pP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br w:type="page"/>
      </w:r>
    </w:p>
    <w:bookmarkEnd w:id="587"/>
    <w:bookmarkEnd w:id="588"/>
    <w:p w14:paraId="58938591">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（二）具有良好的商业信誉和健全的财务会计制度；</w:t>
      </w:r>
    </w:p>
    <w:p w14:paraId="7D391728">
      <w:pPr>
        <w:pStyle w:val="77"/>
        <w:adjustRightInd w:val="0"/>
        <w:snapToGrid w:val="0"/>
        <w:spacing w:line="360" w:lineRule="auto"/>
        <w:ind w:firstLine="420" w:firstLineChars="200"/>
        <w:jc w:val="left"/>
        <w:rPr>
          <w:rFonts w:hint="eastAsia" w:ascii="宋体" w:hAnsi="宋体" w:cs="宋体"/>
          <w:b/>
          <w:color w:val="auto"/>
          <w:sz w:val="24"/>
          <w:szCs w:val="24"/>
          <w:highlight w:val="none"/>
        </w:rPr>
      </w:pPr>
      <w:r>
        <w:rPr>
          <w:rFonts w:hint="eastAsia" w:ascii="宋体" w:hAnsi="宋体" w:cs="宋体"/>
          <w:b w:val="0"/>
          <w:bCs/>
          <w:color w:val="auto"/>
          <w:sz w:val="21"/>
          <w:szCs w:val="21"/>
          <w:highlight w:val="none"/>
          <w:lang w:eastAsia="zh-CN"/>
        </w:rPr>
        <w:t>投标人</w:t>
      </w:r>
      <w:r>
        <w:rPr>
          <w:rFonts w:hint="eastAsia" w:ascii="宋体" w:hAnsi="宋体" w:eastAsia="宋体" w:cs="宋体"/>
          <w:b w:val="0"/>
          <w:bCs/>
          <w:color w:val="auto"/>
          <w:sz w:val="21"/>
          <w:szCs w:val="21"/>
          <w:highlight w:val="none"/>
        </w:rPr>
        <w:t>是法人的，法人单位成立一年以上的须提供投标截止日前</w:t>
      </w:r>
      <w:r>
        <w:rPr>
          <w:rFonts w:hint="eastAsia" w:ascii="宋体" w:hAnsi="宋体" w:eastAsia="宋体" w:cs="宋体"/>
          <w:b w:val="0"/>
          <w:bCs/>
          <w:color w:val="auto"/>
          <w:sz w:val="21"/>
          <w:szCs w:val="21"/>
          <w:highlight w:val="none"/>
          <w:lang w:val="en-US" w:eastAsia="zh-CN"/>
        </w:rPr>
        <w:t>近三年任一年度</w:t>
      </w:r>
      <w:r>
        <w:rPr>
          <w:rFonts w:hint="eastAsia" w:ascii="宋体" w:hAnsi="宋体" w:eastAsia="宋体" w:cs="宋体"/>
          <w:b w:val="0"/>
          <w:bCs/>
          <w:color w:val="auto"/>
          <w:sz w:val="21"/>
          <w:szCs w:val="21"/>
          <w:highlight w:val="none"/>
        </w:rPr>
        <w:t>经审计的财务审计报告复印件加盖公章</w:t>
      </w:r>
      <w:r>
        <w:rPr>
          <w:rFonts w:hint="eastAsia" w:ascii="宋体" w:hAnsi="宋体" w:eastAsia="宋体" w:cs="宋体"/>
          <w:b w:val="0"/>
          <w:bCs/>
          <w:color w:val="auto"/>
          <w:sz w:val="21"/>
          <w:szCs w:val="21"/>
          <w:highlight w:val="none"/>
          <w:lang w:eastAsia="zh-CN"/>
        </w:rPr>
        <w:t>；</w:t>
      </w:r>
      <w:r>
        <w:rPr>
          <w:rFonts w:hint="eastAsia" w:ascii="宋体" w:hAnsi="宋体" w:eastAsia="宋体" w:cs="宋体"/>
          <w:b w:val="0"/>
          <w:bCs/>
          <w:color w:val="auto"/>
          <w:sz w:val="21"/>
          <w:szCs w:val="21"/>
          <w:highlight w:val="none"/>
        </w:rPr>
        <w:t>法人单位成立一年以内的须提供成立当月至投标截止日前上个月的财务报表复印件加盖公章（须包括资产负债表、利润表、现金流量表等）或基本开户银行在投标截止日前三个月内开具的资信证明（原件或该原件的复印件，复印件须加盖</w:t>
      </w:r>
      <w:r>
        <w:rPr>
          <w:rFonts w:hint="eastAsia" w:ascii="宋体" w:hAnsi="宋体" w:cs="宋体"/>
          <w:b w:val="0"/>
          <w:bCs/>
          <w:color w:val="auto"/>
          <w:sz w:val="21"/>
          <w:szCs w:val="21"/>
          <w:highlight w:val="none"/>
          <w:lang w:eastAsia="zh-CN"/>
        </w:rPr>
        <w:t>投标人</w:t>
      </w:r>
      <w:r>
        <w:rPr>
          <w:rFonts w:hint="eastAsia" w:ascii="宋体" w:hAnsi="宋体" w:eastAsia="宋体" w:cs="宋体"/>
          <w:b w:val="0"/>
          <w:bCs/>
          <w:color w:val="auto"/>
          <w:sz w:val="21"/>
          <w:szCs w:val="21"/>
          <w:highlight w:val="none"/>
        </w:rPr>
        <w:t>公章，银行存款证明无效）；法人单位成立三个月以内的须提供基本开户银行开具的资信证明（原件或该原件的复印件，复印件须加盖</w:t>
      </w:r>
      <w:r>
        <w:rPr>
          <w:rFonts w:hint="eastAsia" w:ascii="宋体" w:hAnsi="宋体" w:cs="宋体"/>
          <w:b w:val="0"/>
          <w:bCs/>
          <w:color w:val="auto"/>
          <w:sz w:val="21"/>
          <w:szCs w:val="21"/>
          <w:highlight w:val="none"/>
          <w:lang w:eastAsia="zh-CN"/>
        </w:rPr>
        <w:t>投标人</w:t>
      </w:r>
      <w:r>
        <w:rPr>
          <w:rFonts w:hint="eastAsia" w:ascii="宋体" w:hAnsi="宋体" w:eastAsia="宋体" w:cs="宋体"/>
          <w:b w:val="0"/>
          <w:bCs/>
          <w:color w:val="auto"/>
          <w:sz w:val="21"/>
          <w:szCs w:val="21"/>
          <w:highlight w:val="none"/>
        </w:rPr>
        <w:t>公章，银行存款证明无效），或自行编写具有良好的商业信誉和健全的财务会计制度的承诺书；</w:t>
      </w:r>
      <w:r>
        <w:rPr>
          <w:rFonts w:hint="eastAsia" w:ascii="宋体" w:hAnsi="宋体" w:cs="宋体"/>
          <w:b w:val="0"/>
          <w:bCs/>
          <w:color w:val="auto"/>
          <w:sz w:val="21"/>
          <w:szCs w:val="21"/>
          <w:highlight w:val="none"/>
          <w:lang w:eastAsia="zh-CN"/>
        </w:rPr>
        <w:t>投标人</w:t>
      </w:r>
      <w:r>
        <w:rPr>
          <w:rFonts w:hint="eastAsia" w:ascii="宋体" w:hAnsi="宋体" w:eastAsia="宋体" w:cs="宋体"/>
          <w:b w:val="0"/>
          <w:bCs/>
          <w:color w:val="auto"/>
          <w:sz w:val="21"/>
          <w:szCs w:val="21"/>
          <w:highlight w:val="none"/>
        </w:rPr>
        <w:t>是其他组织或自然人的，须提供银行出具的资信证明原件或自行编写具有良好的商业信誉和健全的财务会计制度的承诺书。</w:t>
      </w:r>
    </w:p>
    <w:p w14:paraId="72233AB5">
      <w:pPr>
        <w:rPr>
          <w:rFonts w:hint="eastAsia" w:ascii="宋体" w:hAnsi="宋体" w:eastAsia="宋体" w:cs="宋体"/>
          <w:b/>
          <w:bCs/>
          <w:i w:val="0"/>
          <w:iCs w:val="0"/>
          <w:color w:val="auto"/>
          <w:kern w:val="2"/>
          <w:sz w:val="24"/>
          <w:szCs w:val="24"/>
          <w:highlight w:val="none"/>
          <w:lang w:val="en-US" w:eastAsia="zh-CN" w:bidi="ar-SA"/>
        </w:rPr>
      </w:pPr>
      <w:bookmarkStart w:id="589" w:name="_Toc28292"/>
      <w:bookmarkStart w:id="590" w:name="_Toc11370"/>
      <w:r>
        <w:rPr>
          <w:rFonts w:hint="eastAsia" w:ascii="宋体" w:hAnsi="宋体" w:eastAsia="宋体" w:cs="宋体"/>
          <w:b/>
          <w:bCs/>
          <w:i w:val="0"/>
          <w:iCs w:val="0"/>
          <w:color w:val="auto"/>
          <w:kern w:val="2"/>
          <w:sz w:val="24"/>
          <w:szCs w:val="24"/>
          <w:highlight w:val="none"/>
          <w:lang w:val="en-US" w:eastAsia="zh-CN" w:bidi="ar-SA"/>
        </w:rPr>
        <w:br w:type="page"/>
      </w:r>
    </w:p>
    <w:p w14:paraId="6B59A976">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（三）有依法缴纳税收和社会保障资金的良好记录</w:t>
      </w:r>
      <w:bookmarkEnd w:id="589"/>
      <w:bookmarkEnd w:id="590"/>
    </w:p>
    <w:p w14:paraId="4CC2A716">
      <w:pPr>
        <w:pStyle w:val="77"/>
        <w:adjustRightInd w:val="0"/>
        <w:snapToGrid w:val="0"/>
        <w:spacing w:line="360" w:lineRule="auto"/>
        <w:ind w:firstLine="420" w:firstLineChars="200"/>
        <w:jc w:val="left"/>
        <w:rPr>
          <w:rFonts w:hint="eastAsia" w:ascii="宋体" w:hAnsi="宋体" w:eastAsia="宋体" w:cs="宋体"/>
          <w:b w:val="0"/>
          <w:bCs/>
          <w:color w:val="auto"/>
          <w:sz w:val="21"/>
          <w:szCs w:val="21"/>
          <w:highlight w:val="none"/>
        </w:rPr>
      </w:pPr>
      <w:r>
        <w:rPr>
          <w:rFonts w:hint="eastAsia" w:ascii="宋体" w:hAnsi="宋体" w:cs="宋体"/>
          <w:b w:val="0"/>
          <w:bCs/>
          <w:color w:val="auto"/>
          <w:sz w:val="21"/>
          <w:szCs w:val="21"/>
          <w:highlight w:val="none"/>
          <w:lang w:eastAsia="zh-CN"/>
        </w:rPr>
        <w:t>投标人</w:t>
      </w:r>
      <w:r>
        <w:rPr>
          <w:rFonts w:hint="eastAsia" w:ascii="宋体" w:hAnsi="宋体" w:eastAsia="宋体" w:cs="宋体"/>
          <w:b w:val="0"/>
          <w:bCs/>
          <w:color w:val="auto"/>
          <w:sz w:val="21"/>
          <w:szCs w:val="21"/>
          <w:highlight w:val="none"/>
        </w:rPr>
        <w:t>依法缴纳税收的证明材料：本项目投标截止时间前6个月内（至少提供1个月）缴纳税收的凭据（完税证、缴款书、印花税票、银行代扣（代缴）转账凭证等均可）；</w:t>
      </w:r>
    </w:p>
    <w:p w14:paraId="2A249556">
      <w:pPr>
        <w:pStyle w:val="77"/>
        <w:adjustRightInd w:val="0"/>
        <w:snapToGrid w:val="0"/>
        <w:spacing w:line="360" w:lineRule="auto"/>
        <w:ind w:firstLine="420" w:firstLineChars="20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依法免税的</w:t>
      </w:r>
      <w:r>
        <w:rPr>
          <w:rFonts w:hint="eastAsia" w:ascii="宋体" w:hAnsi="宋体" w:cs="宋体"/>
          <w:b w:val="0"/>
          <w:bCs/>
          <w:color w:val="auto"/>
          <w:sz w:val="21"/>
          <w:szCs w:val="21"/>
          <w:highlight w:val="none"/>
          <w:lang w:eastAsia="zh-CN"/>
        </w:rPr>
        <w:t>投标人</w:t>
      </w:r>
      <w:r>
        <w:rPr>
          <w:rFonts w:hint="eastAsia" w:ascii="宋体" w:hAnsi="宋体" w:eastAsia="宋体" w:cs="宋体"/>
          <w:b w:val="0"/>
          <w:bCs/>
          <w:color w:val="auto"/>
          <w:sz w:val="21"/>
          <w:szCs w:val="21"/>
          <w:highlight w:val="none"/>
        </w:rPr>
        <w:t>，须提供相应文件证明其依法免税。</w:t>
      </w:r>
    </w:p>
    <w:p w14:paraId="32828CE6">
      <w:pPr>
        <w:pStyle w:val="77"/>
        <w:adjustRightInd w:val="0"/>
        <w:snapToGrid w:val="0"/>
        <w:spacing w:line="360" w:lineRule="auto"/>
        <w:ind w:firstLine="420" w:firstLineChars="200"/>
        <w:jc w:val="left"/>
        <w:rPr>
          <w:rFonts w:hint="eastAsia" w:ascii="宋体" w:hAnsi="宋体" w:eastAsia="宋体" w:cs="宋体"/>
          <w:b w:val="0"/>
          <w:bCs/>
          <w:color w:val="auto"/>
          <w:sz w:val="21"/>
          <w:szCs w:val="21"/>
          <w:highlight w:val="none"/>
        </w:rPr>
      </w:pPr>
      <w:r>
        <w:rPr>
          <w:rFonts w:hint="eastAsia" w:ascii="宋体" w:hAnsi="宋体" w:cs="宋体"/>
          <w:b w:val="0"/>
          <w:bCs/>
          <w:color w:val="auto"/>
          <w:sz w:val="21"/>
          <w:szCs w:val="21"/>
          <w:highlight w:val="none"/>
          <w:lang w:eastAsia="zh-CN"/>
        </w:rPr>
        <w:t>投标人</w:t>
      </w:r>
      <w:r>
        <w:rPr>
          <w:rFonts w:hint="eastAsia" w:ascii="宋体" w:hAnsi="宋体" w:eastAsia="宋体" w:cs="宋体"/>
          <w:b w:val="0"/>
          <w:bCs/>
          <w:color w:val="auto"/>
          <w:sz w:val="21"/>
          <w:szCs w:val="21"/>
          <w:highlight w:val="none"/>
        </w:rPr>
        <w:t>依法缴纳社会保障资金的证明材料：本项目投标截止时间时间前6个月内（至少提供1个月）缴纳社会保险的凭据（专用收据或社会保险交纳清单）；</w:t>
      </w:r>
    </w:p>
    <w:p w14:paraId="52D324BE">
      <w:pPr>
        <w:pStyle w:val="77"/>
        <w:adjustRightInd w:val="0"/>
        <w:snapToGrid w:val="0"/>
        <w:spacing w:line="360" w:lineRule="auto"/>
        <w:ind w:firstLine="420" w:firstLineChars="200"/>
        <w:jc w:val="left"/>
        <w:rPr>
          <w:rFonts w:hint="eastAsia" w:ascii="宋体" w:hAnsi="宋体" w:eastAsia="宋体" w:cs="宋体"/>
          <w:b w:val="0"/>
          <w:bCs/>
          <w:color w:val="auto"/>
          <w:sz w:val="21"/>
          <w:szCs w:val="21"/>
          <w:highlight w:val="none"/>
        </w:rPr>
      </w:pPr>
      <w:r>
        <w:rPr>
          <w:rFonts w:hint="eastAsia" w:ascii="宋体" w:hAnsi="宋体" w:cs="宋体"/>
          <w:b w:val="0"/>
          <w:bCs/>
          <w:color w:val="auto"/>
          <w:sz w:val="21"/>
          <w:szCs w:val="21"/>
          <w:highlight w:val="none"/>
          <w:lang w:eastAsia="zh-CN"/>
        </w:rPr>
        <w:t>投标人</w:t>
      </w:r>
      <w:r>
        <w:rPr>
          <w:rFonts w:hint="eastAsia" w:ascii="宋体" w:hAnsi="宋体" w:eastAsia="宋体" w:cs="宋体"/>
          <w:b w:val="0"/>
          <w:bCs/>
          <w:color w:val="auto"/>
          <w:sz w:val="21"/>
          <w:szCs w:val="21"/>
          <w:highlight w:val="none"/>
        </w:rPr>
        <w:t>为其他组织或自然人的，也需要按此项规定提供缴纳税收的凭据和交纳社会保险的凭据。</w:t>
      </w:r>
    </w:p>
    <w:p w14:paraId="7835F54D">
      <w:pPr>
        <w:pStyle w:val="77"/>
        <w:adjustRightInd w:val="0"/>
        <w:snapToGrid w:val="0"/>
        <w:spacing w:line="360" w:lineRule="auto"/>
        <w:ind w:firstLine="420" w:firstLineChars="200"/>
        <w:jc w:val="left"/>
        <w:rPr>
          <w:rFonts w:hint="eastAsia" w:ascii="宋体" w:hAnsi="宋体" w:eastAsia="宋体" w:cs="宋体"/>
          <w:b w:val="0"/>
          <w:bCs/>
          <w:color w:val="auto"/>
          <w:sz w:val="21"/>
          <w:szCs w:val="21"/>
          <w:highlight w:val="none"/>
        </w:rPr>
        <w:sectPr>
          <w:footerReference r:id="rId11" w:type="default"/>
          <w:pgSz w:w="11906" w:h="16838"/>
          <w:pgMar w:top="1440" w:right="1797" w:bottom="1440" w:left="1797" w:header="851" w:footer="992" w:gutter="0"/>
          <w:pgNumType w:fmt="numberInDash"/>
          <w:cols w:space="720" w:num="1"/>
        </w:sectPr>
      </w:pPr>
      <w:r>
        <w:rPr>
          <w:rFonts w:hint="eastAsia" w:ascii="宋体" w:hAnsi="宋体" w:eastAsia="宋体" w:cs="宋体"/>
          <w:b w:val="0"/>
          <w:bCs/>
          <w:color w:val="auto"/>
          <w:sz w:val="21"/>
          <w:szCs w:val="21"/>
          <w:highlight w:val="none"/>
        </w:rPr>
        <w:t>依法不需要缴纳社会保障资金的</w:t>
      </w:r>
      <w:r>
        <w:rPr>
          <w:rFonts w:hint="eastAsia" w:ascii="宋体" w:hAnsi="宋体" w:cs="宋体"/>
          <w:b w:val="0"/>
          <w:bCs/>
          <w:color w:val="auto"/>
          <w:sz w:val="21"/>
          <w:szCs w:val="21"/>
          <w:highlight w:val="none"/>
          <w:lang w:eastAsia="zh-CN"/>
        </w:rPr>
        <w:t>投标人</w:t>
      </w:r>
      <w:r>
        <w:rPr>
          <w:rFonts w:hint="eastAsia" w:ascii="宋体" w:hAnsi="宋体" w:eastAsia="宋体" w:cs="宋体"/>
          <w:b w:val="0"/>
          <w:bCs/>
          <w:color w:val="auto"/>
          <w:sz w:val="21"/>
          <w:szCs w:val="21"/>
          <w:highlight w:val="none"/>
        </w:rPr>
        <w:t>，须提供相应文件证明其依法不需要缴纳社会保障资金。</w:t>
      </w:r>
    </w:p>
    <w:p w14:paraId="500C7621">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eastAsia" w:ascii="宋体" w:hAnsi="宋体" w:eastAsia="宋体" w:cs="宋体"/>
          <w:b/>
          <w:bCs/>
          <w:i w:val="0"/>
          <w:iCs w:val="0"/>
          <w:color w:val="auto"/>
          <w:kern w:val="2"/>
          <w:sz w:val="24"/>
          <w:szCs w:val="24"/>
          <w:highlight w:val="none"/>
          <w:lang w:val="en-US" w:eastAsia="zh-CN" w:bidi="ar-SA"/>
        </w:rPr>
      </w:pPr>
      <w:bookmarkStart w:id="591" w:name="_Toc19442"/>
      <w:bookmarkStart w:id="592" w:name="_Toc7342"/>
      <w:r>
        <w:rPr>
          <w:rFonts w:hint="eastAsia" w:ascii="宋体" w:hAnsi="宋体" w:eastAsia="宋体" w:cs="宋体"/>
          <w:b/>
          <w:bCs/>
          <w:i w:val="0"/>
          <w:iCs w:val="0"/>
          <w:color w:val="auto"/>
          <w:kern w:val="2"/>
          <w:sz w:val="24"/>
          <w:szCs w:val="24"/>
          <w:highlight w:val="none"/>
          <w:lang w:val="en-US" w:eastAsia="zh-CN" w:bidi="ar-SA"/>
        </w:rPr>
        <w:t>（四）</w:t>
      </w:r>
      <w:r>
        <w:rPr>
          <w:rFonts w:hint="eastAsia" w:cs="宋体"/>
          <w:b/>
          <w:bCs/>
          <w:i w:val="0"/>
          <w:iCs w:val="0"/>
          <w:color w:val="auto"/>
          <w:kern w:val="2"/>
          <w:sz w:val="24"/>
          <w:szCs w:val="24"/>
          <w:highlight w:val="none"/>
          <w:lang w:val="en-US" w:eastAsia="zh-CN" w:bidi="ar-SA"/>
        </w:rPr>
        <w:t>投标人</w:t>
      </w:r>
      <w:r>
        <w:rPr>
          <w:rFonts w:hint="eastAsia" w:ascii="宋体" w:hAnsi="宋体" w:eastAsia="宋体" w:cs="宋体"/>
          <w:b/>
          <w:bCs/>
          <w:i w:val="0"/>
          <w:iCs w:val="0"/>
          <w:color w:val="auto"/>
          <w:kern w:val="2"/>
          <w:sz w:val="24"/>
          <w:szCs w:val="24"/>
          <w:highlight w:val="none"/>
          <w:lang w:val="en-US" w:eastAsia="zh-CN" w:bidi="ar-SA"/>
        </w:rPr>
        <w:t>须具有履行合同所必需的设备和专业技术能力，须附相关证明材料或声明：</w:t>
      </w:r>
      <w:bookmarkEnd w:id="591"/>
      <w:bookmarkEnd w:id="592"/>
    </w:p>
    <w:p w14:paraId="626DCA74">
      <w:pPr>
        <w:pStyle w:val="77"/>
        <w:autoSpaceDE w:val="0"/>
        <w:autoSpaceDN w:val="0"/>
        <w:adjustRightInd w:val="0"/>
        <w:spacing w:line="440" w:lineRule="exact"/>
        <w:jc w:val="left"/>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格式：</w:t>
      </w:r>
    </w:p>
    <w:p w14:paraId="075804AB">
      <w:pPr>
        <w:pStyle w:val="77"/>
        <w:autoSpaceDE w:val="0"/>
        <w:autoSpaceDN w:val="0"/>
        <w:adjustRightInd w:val="0"/>
        <w:spacing w:line="440" w:lineRule="exact"/>
        <w:ind w:firstLine="120" w:firstLineChars="50"/>
        <w:jc w:val="center"/>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本</w:t>
      </w:r>
      <w:r>
        <w:rPr>
          <w:rFonts w:hint="eastAsia" w:ascii="宋体" w:hAnsi="宋体" w:cs="宋体"/>
          <w:color w:val="auto"/>
          <w:kern w:val="0"/>
          <w:sz w:val="24"/>
          <w:szCs w:val="24"/>
          <w:highlight w:val="none"/>
          <w:lang w:eastAsia="zh-CN"/>
        </w:rPr>
        <w:t>投标人</w:t>
      </w:r>
      <w:r>
        <w:rPr>
          <w:rFonts w:hint="eastAsia" w:ascii="宋体" w:hAnsi="宋体" w:cs="宋体"/>
          <w:color w:val="auto"/>
          <w:kern w:val="0"/>
          <w:sz w:val="24"/>
          <w:szCs w:val="24"/>
          <w:highlight w:val="none"/>
        </w:rPr>
        <w:t>郑重声明：</w:t>
      </w:r>
    </w:p>
    <w:p w14:paraId="0B74D338">
      <w:pPr>
        <w:pStyle w:val="77"/>
        <w:autoSpaceDE w:val="0"/>
        <w:autoSpaceDN w:val="0"/>
        <w:adjustRightInd w:val="0"/>
        <w:spacing w:line="440" w:lineRule="exact"/>
        <w:jc w:val="left"/>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 xml:space="preserve">本公司（或单位）具备本项目履行合同所必需的设备和专业技术能力，特此承诺。 </w:t>
      </w:r>
    </w:p>
    <w:p w14:paraId="7E630E63">
      <w:pPr>
        <w:pStyle w:val="78"/>
        <w:adjustRightInd w:val="0"/>
        <w:snapToGrid w:val="0"/>
        <w:spacing w:line="500" w:lineRule="exact"/>
        <w:rPr>
          <w:rFonts w:hint="eastAsia" w:ascii="宋体" w:hAnsi="宋体" w:cs="宋体"/>
          <w:color w:val="auto"/>
          <w:sz w:val="24"/>
          <w:szCs w:val="24"/>
          <w:highlight w:val="none"/>
        </w:rPr>
      </w:pPr>
    </w:p>
    <w:p w14:paraId="5F6A3088">
      <w:pPr>
        <w:pStyle w:val="78"/>
        <w:adjustRightInd w:val="0"/>
        <w:snapToGrid w:val="0"/>
        <w:spacing w:line="500" w:lineRule="exact"/>
        <w:rPr>
          <w:rFonts w:hint="eastAsia" w:ascii="宋体" w:hAnsi="宋体" w:cs="宋体"/>
          <w:color w:val="auto"/>
          <w:sz w:val="24"/>
          <w:szCs w:val="24"/>
          <w:highlight w:val="none"/>
        </w:rPr>
      </w:pPr>
    </w:p>
    <w:p w14:paraId="50A9A630">
      <w:pPr>
        <w:pStyle w:val="78"/>
        <w:adjustRightInd w:val="0"/>
        <w:snapToGrid w:val="0"/>
        <w:spacing w:line="500" w:lineRule="exact"/>
        <w:rPr>
          <w:rFonts w:hint="eastAsia" w:ascii="宋体" w:hAnsi="宋体" w:cs="宋体"/>
          <w:color w:val="auto"/>
          <w:sz w:val="24"/>
          <w:szCs w:val="24"/>
          <w:highlight w:val="none"/>
        </w:rPr>
      </w:pPr>
    </w:p>
    <w:p w14:paraId="6B35B0A6">
      <w:pPr>
        <w:pStyle w:val="78"/>
        <w:adjustRightInd w:val="0"/>
        <w:snapToGrid w:val="0"/>
        <w:spacing w:line="500" w:lineRule="exact"/>
        <w:rPr>
          <w:rFonts w:hint="eastAsia" w:ascii="宋体" w:hAnsi="宋体" w:cs="宋体"/>
          <w:color w:val="auto"/>
          <w:sz w:val="24"/>
          <w:szCs w:val="24"/>
          <w:highlight w:val="none"/>
        </w:rPr>
      </w:pPr>
    </w:p>
    <w:p w14:paraId="206746F6">
      <w:pPr>
        <w:pStyle w:val="78"/>
        <w:adjustRightInd w:val="0"/>
        <w:snapToGrid w:val="0"/>
        <w:spacing w:line="500" w:lineRule="exact"/>
        <w:rPr>
          <w:rFonts w:hint="eastAsia" w:ascii="宋体" w:hAnsi="宋体" w:cs="宋体"/>
          <w:color w:val="auto"/>
          <w:sz w:val="24"/>
          <w:szCs w:val="24"/>
          <w:highlight w:val="none"/>
        </w:rPr>
      </w:pPr>
    </w:p>
    <w:p w14:paraId="66E0DD06">
      <w:pPr>
        <w:pStyle w:val="78"/>
        <w:adjustRightInd w:val="0"/>
        <w:snapToGrid w:val="0"/>
        <w:spacing w:line="500" w:lineRule="exact"/>
        <w:rPr>
          <w:rFonts w:hint="eastAsia" w:ascii="宋体" w:hAnsi="宋体" w:cs="宋体"/>
          <w:color w:val="auto"/>
          <w:sz w:val="24"/>
          <w:szCs w:val="24"/>
          <w:highlight w:val="none"/>
        </w:rPr>
      </w:pPr>
      <w:r>
        <w:rPr>
          <w:rFonts w:hint="eastAsia" w:ascii="宋体" w:hAnsi="宋体" w:cs="宋体"/>
          <w:color w:val="auto"/>
          <w:sz w:val="24"/>
          <w:szCs w:val="24"/>
          <w:highlight w:val="none"/>
        </w:rPr>
        <w:t>法定代表人（单位负责人）或其委托代理人（签字或电子签章）：</w:t>
      </w:r>
      <w:r>
        <w:rPr>
          <w:rFonts w:hint="eastAsia" w:ascii="宋体" w:hAnsi="宋体" w:cs="宋体"/>
          <w:color w:val="auto"/>
          <w:sz w:val="24"/>
          <w:szCs w:val="24"/>
          <w:highlight w:val="none"/>
          <w:u w:val="single"/>
        </w:rPr>
        <w:t xml:space="preserve">                  </w:t>
      </w:r>
    </w:p>
    <w:p w14:paraId="6321F185">
      <w:pPr>
        <w:pStyle w:val="78"/>
        <w:adjustRightInd w:val="0"/>
        <w:snapToGrid w:val="0"/>
        <w:spacing w:line="500" w:lineRule="exact"/>
        <w:rPr>
          <w:rFonts w:hint="eastAsia" w:ascii="宋体" w:hAnsi="宋体" w:cs="宋体"/>
          <w:color w:val="auto"/>
          <w:sz w:val="24"/>
          <w:szCs w:val="24"/>
          <w:highlight w:val="none"/>
          <w:u w:val="single"/>
        </w:rPr>
      </w:pPr>
      <w:r>
        <w:rPr>
          <w:rFonts w:hint="eastAsia" w:ascii="宋体" w:hAnsi="宋体" w:cs="宋体"/>
          <w:color w:val="auto"/>
          <w:sz w:val="24"/>
          <w:szCs w:val="24"/>
          <w:highlight w:val="none"/>
          <w:lang w:eastAsia="zh-CN"/>
        </w:rPr>
        <w:t>投标人</w:t>
      </w:r>
      <w:r>
        <w:rPr>
          <w:rFonts w:hint="eastAsia" w:ascii="宋体" w:hAnsi="宋体" w:cs="宋体"/>
          <w:color w:val="auto"/>
          <w:sz w:val="24"/>
          <w:szCs w:val="24"/>
          <w:highlight w:val="none"/>
        </w:rPr>
        <w:t>名称（签章）：</w:t>
      </w:r>
      <w:r>
        <w:rPr>
          <w:rFonts w:hint="eastAsia" w:ascii="宋体" w:hAnsi="宋体" w:cs="宋体"/>
          <w:color w:val="auto"/>
          <w:sz w:val="24"/>
          <w:szCs w:val="24"/>
          <w:highlight w:val="none"/>
          <w:u w:val="single"/>
        </w:rPr>
        <w:t xml:space="preserve">                       </w:t>
      </w:r>
    </w:p>
    <w:p w14:paraId="7C78611C">
      <w:pPr>
        <w:pStyle w:val="78"/>
        <w:spacing w:line="500" w:lineRule="exact"/>
        <w:rPr>
          <w:rFonts w:hint="eastAsia" w:ascii="宋体" w:hAnsi="宋体" w:cs="宋体"/>
          <w:color w:val="auto"/>
          <w:highlight w:val="none"/>
        </w:rPr>
      </w:pPr>
      <w:r>
        <w:rPr>
          <w:rFonts w:hint="eastAsia" w:ascii="宋体" w:hAnsi="宋体" w:cs="宋体"/>
          <w:color w:val="auto"/>
          <w:sz w:val="24"/>
          <w:szCs w:val="24"/>
          <w:highlight w:val="none"/>
        </w:rPr>
        <w:t>日期：</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年</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 xml:space="preserve"> 月</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 xml:space="preserve"> 日</w:t>
      </w:r>
    </w:p>
    <w:p w14:paraId="57FADDA7">
      <w:pPr>
        <w:pStyle w:val="77"/>
        <w:adjustRightInd w:val="0"/>
        <w:snapToGrid w:val="0"/>
        <w:spacing w:line="360" w:lineRule="auto"/>
        <w:jc w:val="left"/>
        <w:rPr>
          <w:rFonts w:hint="eastAsia" w:ascii="宋体" w:hAnsi="宋体" w:cs="宋体"/>
          <w:b/>
          <w:color w:val="auto"/>
          <w:sz w:val="24"/>
          <w:szCs w:val="24"/>
          <w:highlight w:val="none"/>
        </w:rPr>
      </w:pPr>
    </w:p>
    <w:p w14:paraId="27801B9A">
      <w:pPr>
        <w:pStyle w:val="79"/>
        <w:outlineLvl w:val="2"/>
        <w:rPr>
          <w:rFonts w:hint="eastAsia" w:ascii="宋体" w:hAnsi="宋体" w:eastAsia="宋体" w:cs="宋体"/>
          <w:color w:val="auto"/>
          <w:highlight w:val="none"/>
        </w:rPr>
        <w:sectPr>
          <w:pgSz w:w="11906" w:h="16838"/>
          <w:pgMar w:top="1440" w:right="1797" w:bottom="1440" w:left="1797" w:header="851" w:footer="992" w:gutter="0"/>
          <w:pgNumType w:fmt="numberInDash"/>
          <w:cols w:space="720" w:num="1"/>
        </w:sectPr>
      </w:pPr>
    </w:p>
    <w:p w14:paraId="636F4592">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eastAsia" w:ascii="宋体" w:hAnsi="宋体" w:eastAsia="宋体" w:cs="宋体"/>
          <w:b/>
          <w:bCs/>
          <w:i w:val="0"/>
          <w:iCs w:val="0"/>
          <w:color w:val="auto"/>
          <w:kern w:val="2"/>
          <w:sz w:val="24"/>
          <w:szCs w:val="24"/>
          <w:highlight w:val="none"/>
          <w:lang w:val="en-US" w:eastAsia="zh-CN" w:bidi="ar-SA"/>
        </w:rPr>
      </w:pPr>
      <w:bookmarkStart w:id="593" w:name="_Toc16347"/>
      <w:bookmarkStart w:id="594" w:name="_Toc21544"/>
      <w:r>
        <w:rPr>
          <w:rFonts w:hint="eastAsia" w:ascii="宋体" w:hAnsi="宋体" w:eastAsia="宋体" w:cs="宋体"/>
          <w:b/>
          <w:bCs/>
          <w:i w:val="0"/>
          <w:iCs w:val="0"/>
          <w:color w:val="auto"/>
          <w:kern w:val="2"/>
          <w:sz w:val="24"/>
          <w:szCs w:val="24"/>
          <w:highlight w:val="none"/>
          <w:lang w:val="en-US" w:eastAsia="zh-CN" w:bidi="ar-SA"/>
        </w:rPr>
        <w:t>（五）参加政府采购活动前三年内，在经营活动中没有重大违法记录的书面声明：</w:t>
      </w:r>
      <w:bookmarkEnd w:id="593"/>
      <w:bookmarkEnd w:id="594"/>
    </w:p>
    <w:p w14:paraId="3DE04F31">
      <w:pPr>
        <w:pStyle w:val="77"/>
        <w:adjustRightInd w:val="0"/>
        <w:snapToGrid w:val="0"/>
        <w:spacing w:line="360" w:lineRule="auto"/>
        <w:rPr>
          <w:rFonts w:hint="eastAsia" w:ascii="宋体" w:hAnsi="宋体" w:cs="宋体"/>
          <w:color w:val="auto"/>
          <w:sz w:val="24"/>
          <w:szCs w:val="24"/>
          <w:highlight w:val="none"/>
        </w:rPr>
      </w:pPr>
    </w:p>
    <w:p w14:paraId="2BB28356">
      <w:pPr>
        <w:pStyle w:val="77"/>
        <w:adjustRightInd w:val="0"/>
        <w:snapToGrid w:val="0"/>
        <w:spacing w:line="360" w:lineRule="auto"/>
        <w:rPr>
          <w:rFonts w:hint="eastAsia" w:ascii="宋体" w:hAnsi="宋体" w:cs="宋体"/>
          <w:color w:val="auto"/>
          <w:sz w:val="24"/>
          <w:szCs w:val="24"/>
          <w:highlight w:val="none"/>
        </w:rPr>
      </w:pPr>
    </w:p>
    <w:p w14:paraId="3D4E0AEB">
      <w:pPr>
        <w:pStyle w:val="77"/>
        <w:adjustRightInd w:val="0"/>
        <w:snapToGrid w:val="0"/>
        <w:spacing w:line="360" w:lineRule="auto"/>
        <w:rPr>
          <w:rFonts w:hint="eastAsia" w:ascii="宋体" w:hAnsi="宋体" w:cs="宋体"/>
          <w:color w:val="auto"/>
          <w:sz w:val="24"/>
          <w:szCs w:val="24"/>
          <w:highlight w:val="none"/>
        </w:rPr>
      </w:pPr>
      <w:r>
        <w:rPr>
          <w:rFonts w:hint="eastAsia" w:ascii="宋体" w:hAnsi="宋体" w:cs="宋体"/>
          <w:color w:val="auto"/>
          <w:sz w:val="24"/>
          <w:szCs w:val="24"/>
          <w:highlight w:val="none"/>
        </w:rPr>
        <w:t>格式：</w:t>
      </w:r>
    </w:p>
    <w:p w14:paraId="3FFF7805">
      <w:pPr>
        <w:pStyle w:val="80"/>
        <w:adjustRightInd w:val="0"/>
        <w:snapToGrid w:val="0"/>
        <w:spacing w:line="360" w:lineRule="auto"/>
        <w:ind w:firstLine="480" w:firstLineChars="20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无重大违法记录声明书</w:t>
      </w:r>
    </w:p>
    <w:p w14:paraId="75A4F865">
      <w:pPr>
        <w:pStyle w:val="77"/>
        <w:adjustRightInd w:val="0"/>
        <w:snapToGrid w:val="0"/>
        <w:spacing w:line="360" w:lineRule="auto"/>
        <w:rPr>
          <w:rFonts w:hint="eastAsia" w:ascii="宋体" w:hAnsi="宋体" w:cs="宋体"/>
          <w:color w:val="auto"/>
          <w:sz w:val="24"/>
          <w:szCs w:val="24"/>
          <w:highlight w:val="none"/>
        </w:rPr>
      </w:pPr>
    </w:p>
    <w:p w14:paraId="7E359740">
      <w:pPr>
        <w:pStyle w:val="77"/>
        <w:adjustRightInd w:val="0"/>
        <w:snapToGrid w:val="0"/>
        <w:spacing w:line="360" w:lineRule="auto"/>
        <w:rPr>
          <w:rFonts w:hint="eastAsia" w:ascii="宋体" w:hAnsi="宋体" w:cs="宋体"/>
          <w:color w:val="auto"/>
          <w:sz w:val="24"/>
          <w:szCs w:val="24"/>
          <w:highlight w:val="none"/>
        </w:rPr>
      </w:pPr>
      <w:r>
        <w:rPr>
          <w:rFonts w:hint="eastAsia" w:ascii="宋体" w:hAnsi="宋体" w:cs="宋体"/>
          <w:color w:val="auto"/>
          <w:sz w:val="24"/>
          <w:szCs w:val="24"/>
          <w:highlight w:val="none"/>
          <w:u w:val="single"/>
        </w:rPr>
        <w:t xml:space="preserve">（采购人）         </w:t>
      </w:r>
      <w:r>
        <w:rPr>
          <w:rFonts w:hint="eastAsia" w:ascii="宋体" w:hAnsi="宋体" w:cs="宋体"/>
          <w:color w:val="auto"/>
          <w:sz w:val="24"/>
          <w:szCs w:val="24"/>
          <w:highlight w:val="none"/>
        </w:rPr>
        <w:t>：</w:t>
      </w:r>
    </w:p>
    <w:p w14:paraId="677E29B3">
      <w:pPr>
        <w:pStyle w:val="77"/>
        <w:adjustRightInd w:val="0"/>
        <w:snapToGrid w:val="0"/>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我公司参与</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项目名称、编号）投标，本公司郑重声明，我方参加本项目政府采购活动前三年内无重大违法记录，符合《政府采购法》规定的供应商条件。若贵方在本项目采购过程中发现我方政府采购活动前三年内有重大违法记录，我公司将无条件退出本项目的投标，并承担因此引起的一切后果。我方对此声明负全部法律责任。</w:t>
      </w:r>
    </w:p>
    <w:p w14:paraId="0C41029F">
      <w:pPr>
        <w:pStyle w:val="77"/>
        <w:adjustRightInd w:val="0"/>
        <w:snapToGrid w:val="0"/>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 xml:space="preserve">特此声明  </w:t>
      </w:r>
    </w:p>
    <w:p w14:paraId="7F9E87B6">
      <w:pPr>
        <w:pStyle w:val="78"/>
        <w:adjustRightInd w:val="0"/>
        <w:snapToGrid w:val="0"/>
        <w:spacing w:line="500" w:lineRule="exact"/>
        <w:rPr>
          <w:rFonts w:hint="eastAsia" w:ascii="宋体" w:hAnsi="宋体" w:cs="宋体"/>
          <w:color w:val="auto"/>
          <w:sz w:val="24"/>
          <w:szCs w:val="24"/>
          <w:highlight w:val="none"/>
        </w:rPr>
      </w:pPr>
      <w:r>
        <w:rPr>
          <w:rFonts w:hint="eastAsia" w:ascii="宋体" w:hAnsi="宋体" w:cs="宋体"/>
          <w:color w:val="auto"/>
          <w:sz w:val="24"/>
          <w:szCs w:val="24"/>
          <w:highlight w:val="none"/>
        </w:rPr>
        <w:t>法定代表人（单位负责人）或其委托代理人（签字或电子签章）：</w:t>
      </w:r>
      <w:r>
        <w:rPr>
          <w:rFonts w:hint="eastAsia" w:ascii="宋体" w:hAnsi="宋体" w:cs="宋体"/>
          <w:color w:val="auto"/>
          <w:sz w:val="24"/>
          <w:szCs w:val="24"/>
          <w:highlight w:val="none"/>
          <w:u w:val="single"/>
        </w:rPr>
        <w:t xml:space="preserve">                  </w:t>
      </w:r>
    </w:p>
    <w:p w14:paraId="677C23E7">
      <w:pPr>
        <w:pStyle w:val="78"/>
        <w:adjustRightInd w:val="0"/>
        <w:snapToGrid w:val="0"/>
        <w:spacing w:line="500" w:lineRule="exact"/>
        <w:rPr>
          <w:rFonts w:hint="eastAsia" w:ascii="宋体" w:hAnsi="宋体" w:cs="宋体"/>
          <w:color w:val="auto"/>
          <w:sz w:val="24"/>
          <w:szCs w:val="24"/>
          <w:highlight w:val="none"/>
          <w:u w:val="single"/>
        </w:rPr>
      </w:pPr>
      <w:r>
        <w:rPr>
          <w:rFonts w:hint="eastAsia" w:ascii="宋体" w:hAnsi="宋体" w:cs="宋体"/>
          <w:color w:val="auto"/>
          <w:sz w:val="24"/>
          <w:szCs w:val="24"/>
          <w:highlight w:val="none"/>
          <w:lang w:eastAsia="zh-CN"/>
        </w:rPr>
        <w:t>投标人</w:t>
      </w:r>
      <w:r>
        <w:rPr>
          <w:rFonts w:hint="eastAsia" w:ascii="宋体" w:hAnsi="宋体" w:cs="宋体"/>
          <w:color w:val="auto"/>
          <w:sz w:val="24"/>
          <w:szCs w:val="24"/>
          <w:highlight w:val="none"/>
        </w:rPr>
        <w:t>名称（签章）：</w:t>
      </w:r>
      <w:r>
        <w:rPr>
          <w:rFonts w:hint="eastAsia" w:ascii="宋体" w:hAnsi="宋体" w:cs="宋体"/>
          <w:color w:val="auto"/>
          <w:sz w:val="24"/>
          <w:szCs w:val="24"/>
          <w:highlight w:val="none"/>
          <w:u w:val="single"/>
        </w:rPr>
        <w:t xml:space="preserve">                       </w:t>
      </w:r>
    </w:p>
    <w:p w14:paraId="619878C0">
      <w:pPr>
        <w:pStyle w:val="78"/>
        <w:spacing w:line="500" w:lineRule="exact"/>
        <w:rPr>
          <w:rFonts w:hint="eastAsia" w:ascii="宋体" w:hAnsi="宋体" w:cs="宋体"/>
          <w:color w:val="auto"/>
          <w:highlight w:val="none"/>
        </w:rPr>
      </w:pPr>
      <w:r>
        <w:rPr>
          <w:rFonts w:hint="eastAsia" w:ascii="宋体" w:hAnsi="宋体" w:cs="宋体"/>
          <w:color w:val="auto"/>
          <w:sz w:val="24"/>
          <w:szCs w:val="24"/>
          <w:highlight w:val="none"/>
        </w:rPr>
        <w:t>日期：</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年</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 xml:space="preserve"> 月</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 xml:space="preserve"> 日</w:t>
      </w:r>
    </w:p>
    <w:p w14:paraId="79C88CE7">
      <w:pPr>
        <w:pStyle w:val="77"/>
        <w:adjustRightInd w:val="0"/>
        <w:snapToGrid w:val="0"/>
        <w:spacing w:line="360" w:lineRule="auto"/>
        <w:jc w:val="left"/>
        <w:rPr>
          <w:rFonts w:hint="eastAsia" w:ascii="宋体" w:hAnsi="宋体" w:cs="宋体"/>
          <w:color w:val="auto"/>
          <w:sz w:val="24"/>
          <w:szCs w:val="24"/>
          <w:highlight w:val="none"/>
        </w:rPr>
      </w:pPr>
    </w:p>
    <w:p w14:paraId="5D736265">
      <w:pPr>
        <w:pStyle w:val="77"/>
        <w:adjustRightInd w:val="0"/>
        <w:snapToGrid w:val="0"/>
        <w:spacing w:line="360" w:lineRule="auto"/>
        <w:jc w:val="left"/>
        <w:rPr>
          <w:rFonts w:hint="eastAsia" w:ascii="宋体" w:hAnsi="宋体" w:cs="宋体"/>
          <w:b/>
          <w:color w:val="auto"/>
          <w:kern w:val="0"/>
          <w:sz w:val="32"/>
          <w:szCs w:val="24"/>
          <w:highlight w:val="none"/>
        </w:rPr>
        <w:sectPr>
          <w:pgSz w:w="11906" w:h="16838"/>
          <w:pgMar w:top="1440" w:right="1797" w:bottom="1440" w:left="1797" w:header="851" w:footer="992" w:gutter="0"/>
          <w:pgNumType w:fmt="numberInDash"/>
          <w:cols w:space="720" w:num="1"/>
        </w:sectPr>
      </w:pPr>
    </w:p>
    <w:p w14:paraId="0B170F88">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eastAsia" w:ascii="宋体" w:hAnsi="宋体" w:eastAsia="宋体" w:cs="宋体"/>
          <w:b/>
          <w:bCs/>
          <w:i w:val="0"/>
          <w:iCs w:val="0"/>
          <w:color w:val="auto"/>
          <w:kern w:val="2"/>
          <w:sz w:val="24"/>
          <w:szCs w:val="24"/>
          <w:highlight w:val="none"/>
          <w:lang w:val="en-US" w:eastAsia="zh-CN" w:bidi="ar-SA"/>
        </w:rPr>
      </w:pPr>
      <w:bookmarkStart w:id="595" w:name="_Toc31574"/>
      <w:bookmarkStart w:id="596" w:name="_Toc32053"/>
      <w:r>
        <w:rPr>
          <w:rFonts w:hint="eastAsia" w:ascii="宋体" w:hAnsi="宋体" w:eastAsia="宋体" w:cs="宋体"/>
          <w:b/>
          <w:bCs/>
          <w:i w:val="0"/>
          <w:iCs w:val="0"/>
          <w:color w:val="auto"/>
          <w:kern w:val="2"/>
          <w:sz w:val="24"/>
          <w:szCs w:val="24"/>
          <w:highlight w:val="none"/>
          <w:lang w:val="en-US" w:eastAsia="zh-CN" w:bidi="ar-SA"/>
        </w:rPr>
        <w:t>（六）</w:t>
      </w:r>
      <w:r>
        <w:rPr>
          <w:rFonts w:hint="eastAsia" w:cs="宋体"/>
          <w:b/>
          <w:bCs/>
          <w:i w:val="0"/>
          <w:iCs w:val="0"/>
          <w:color w:val="auto"/>
          <w:kern w:val="2"/>
          <w:sz w:val="24"/>
          <w:szCs w:val="24"/>
          <w:highlight w:val="none"/>
          <w:lang w:val="en-US" w:eastAsia="zh-CN" w:bidi="ar-SA"/>
        </w:rPr>
        <w:t>投标人</w:t>
      </w:r>
      <w:r>
        <w:rPr>
          <w:rFonts w:hint="eastAsia" w:ascii="宋体" w:hAnsi="宋体" w:eastAsia="宋体" w:cs="宋体"/>
          <w:b/>
          <w:bCs/>
          <w:i w:val="0"/>
          <w:iCs w:val="0"/>
          <w:color w:val="auto"/>
          <w:kern w:val="2"/>
          <w:sz w:val="24"/>
          <w:szCs w:val="24"/>
          <w:highlight w:val="none"/>
          <w:lang w:val="en-US" w:eastAsia="zh-CN" w:bidi="ar-SA"/>
        </w:rPr>
        <w:t>未列入失信被执行人、重大税收违法案件当事人名单、政府采购严重违法失信行为记录名单</w:t>
      </w:r>
      <w:bookmarkEnd w:id="595"/>
      <w:bookmarkEnd w:id="596"/>
    </w:p>
    <w:p w14:paraId="00359217">
      <w:pPr>
        <w:pStyle w:val="81"/>
        <w:spacing w:line="360" w:lineRule="auto"/>
        <w:ind w:firstLine="504" w:firstLineChars="200"/>
        <w:jc w:val="left"/>
        <w:rPr>
          <w:rFonts w:hint="eastAsia" w:ascii="宋体" w:hAnsi="宋体" w:cs="宋体"/>
          <w:color w:val="auto"/>
          <w:spacing w:val="6"/>
          <w:kern w:val="0"/>
          <w:sz w:val="24"/>
          <w:szCs w:val="24"/>
          <w:highlight w:val="none"/>
        </w:rPr>
      </w:pPr>
    </w:p>
    <w:p w14:paraId="533F7BD7">
      <w:pPr>
        <w:pStyle w:val="81"/>
        <w:spacing w:line="360" w:lineRule="auto"/>
        <w:ind w:firstLine="504" w:firstLineChars="200"/>
        <w:jc w:val="left"/>
        <w:rPr>
          <w:rFonts w:hint="eastAsia" w:ascii="宋体" w:hAnsi="宋体" w:cs="宋体"/>
          <w:color w:val="auto"/>
          <w:spacing w:val="6"/>
          <w:kern w:val="0"/>
          <w:sz w:val="24"/>
          <w:szCs w:val="24"/>
          <w:highlight w:val="none"/>
        </w:rPr>
      </w:pPr>
      <w:r>
        <w:rPr>
          <w:rFonts w:hint="eastAsia" w:ascii="宋体" w:hAnsi="宋体" w:cs="宋体"/>
          <w:color w:val="auto"/>
          <w:spacing w:val="6"/>
          <w:kern w:val="0"/>
          <w:sz w:val="24"/>
          <w:szCs w:val="24"/>
          <w:highlight w:val="none"/>
        </w:rPr>
        <w:t>“信用中国”网站查询信息：</w:t>
      </w:r>
    </w:p>
    <w:p w14:paraId="424A8B06">
      <w:pPr>
        <w:pStyle w:val="81"/>
        <w:spacing w:line="360" w:lineRule="auto"/>
        <w:ind w:firstLine="504" w:firstLineChars="200"/>
        <w:jc w:val="left"/>
        <w:rPr>
          <w:rFonts w:hint="eastAsia" w:ascii="宋体" w:hAnsi="宋体" w:cs="宋体"/>
          <w:color w:val="auto"/>
          <w:spacing w:val="6"/>
          <w:kern w:val="0"/>
          <w:sz w:val="24"/>
          <w:szCs w:val="24"/>
          <w:highlight w:val="none"/>
        </w:rPr>
      </w:pPr>
      <w:r>
        <w:rPr>
          <w:rFonts w:hint="eastAsia" w:ascii="宋体" w:hAnsi="宋体" w:cs="宋体"/>
          <w:color w:val="auto"/>
          <w:spacing w:val="6"/>
          <w:kern w:val="0"/>
          <w:sz w:val="24"/>
          <w:szCs w:val="24"/>
          <w:highlight w:val="none"/>
        </w:rPr>
        <w:t xml:space="preserve">①未被列入失信被执行人； </w:t>
      </w:r>
    </w:p>
    <w:p w14:paraId="2219CAB2">
      <w:pPr>
        <w:pStyle w:val="81"/>
        <w:spacing w:line="360" w:lineRule="auto"/>
        <w:ind w:firstLine="504" w:firstLineChars="200"/>
        <w:jc w:val="left"/>
        <w:rPr>
          <w:rFonts w:hint="eastAsia" w:ascii="宋体" w:hAnsi="宋体" w:cs="宋体"/>
          <w:color w:val="auto"/>
          <w:spacing w:val="6"/>
          <w:kern w:val="0"/>
          <w:sz w:val="24"/>
          <w:szCs w:val="24"/>
          <w:highlight w:val="none"/>
        </w:rPr>
      </w:pPr>
      <w:r>
        <w:rPr>
          <w:rFonts w:hint="eastAsia" w:ascii="宋体" w:hAnsi="宋体" w:cs="宋体"/>
          <w:color w:val="auto"/>
          <w:spacing w:val="6"/>
          <w:kern w:val="0"/>
          <w:sz w:val="24"/>
          <w:szCs w:val="24"/>
          <w:highlight w:val="none"/>
        </w:rPr>
        <w:t>②不是重大税收违法案件当事人名单的</w:t>
      </w:r>
      <w:r>
        <w:rPr>
          <w:rFonts w:hint="eastAsia" w:ascii="宋体" w:hAnsi="宋体" w:cs="宋体"/>
          <w:color w:val="auto"/>
          <w:spacing w:val="6"/>
          <w:kern w:val="0"/>
          <w:sz w:val="24"/>
          <w:szCs w:val="24"/>
          <w:highlight w:val="none"/>
          <w:lang w:eastAsia="zh-CN"/>
        </w:rPr>
        <w:t>投标人</w:t>
      </w:r>
      <w:r>
        <w:rPr>
          <w:rFonts w:hint="eastAsia" w:ascii="宋体" w:hAnsi="宋体" w:cs="宋体"/>
          <w:color w:val="auto"/>
          <w:spacing w:val="6"/>
          <w:kern w:val="0"/>
          <w:sz w:val="24"/>
          <w:szCs w:val="24"/>
          <w:highlight w:val="none"/>
        </w:rPr>
        <w:t xml:space="preserve">； </w:t>
      </w:r>
    </w:p>
    <w:p w14:paraId="12FA55DF">
      <w:pPr>
        <w:pStyle w:val="81"/>
        <w:spacing w:line="360" w:lineRule="auto"/>
        <w:ind w:firstLine="504" w:firstLineChars="200"/>
        <w:jc w:val="left"/>
        <w:rPr>
          <w:rFonts w:hint="eastAsia" w:ascii="宋体" w:hAnsi="宋体" w:cs="宋体"/>
          <w:color w:val="auto"/>
          <w:spacing w:val="6"/>
          <w:kern w:val="0"/>
          <w:sz w:val="24"/>
          <w:szCs w:val="24"/>
          <w:highlight w:val="none"/>
        </w:rPr>
      </w:pPr>
      <w:r>
        <w:rPr>
          <w:rFonts w:hint="eastAsia" w:ascii="宋体" w:hAnsi="宋体" w:cs="宋体"/>
          <w:color w:val="auto"/>
          <w:spacing w:val="6"/>
          <w:kern w:val="0"/>
          <w:sz w:val="24"/>
          <w:szCs w:val="24"/>
          <w:highlight w:val="none"/>
        </w:rPr>
        <w:t>③未被列入政府采购严重违法失信行为记录名单。</w:t>
      </w:r>
    </w:p>
    <w:p w14:paraId="51027317">
      <w:pPr>
        <w:pStyle w:val="81"/>
        <w:spacing w:line="360" w:lineRule="auto"/>
        <w:ind w:firstLine="504" w:firstLineChars="200"/>
        <w:jc w:val="left"/>
        <w:rPr>
          <w:rFonts w:hint="eastAsia" w:ascii="宋体" w:hAnsi="宋体" w:cs="宋体"/>
          <w:color w:val="auto"/>
          <w:spacing w:val="6"/>
          <w:kern w:val="0"/>
          <w:sz w:val="24"/>
          <w:szCs w:val="24"/>
          <w:highlight w:val="none"/>
        </w:rPr>
      </w:pPr>
    </w:p>
    <w:p w14:paraId="4EF20C84">
      <w:pPr>
        <w:pStyle w:val="81"/>
        <w:spacing w:line="360" w:lineRule="auto"/>
        <w:ind w:firstLine="504" w:firstLineChars="200"/>
        <w:jc w:val="left"/>
        <w:rPr>
          <w:rFonts w:hint="eastAsia" w:ascii="宋体" w:hAnsi="宋体" w:cs="宋体"/>
          <w:color w:val="auto"/>
          <w:spacing w:val="6"/>
          <w:kern w:val="0"/>
          <w:sz w:val="24"/>
          <w:szCs w:val="24"/>
          <w:highlight w:val="none"/>
        </w:rPr>
      </w:pPr>
    </w:p>
    <w:p w14:paraId="1EDAE741">
      <w:pPr>
        <w:pStyle w:val="81"/>
        <w:spacing w:line="360" w:lineRule="auto"/>
        <w:ind w:firstLine="504" w:firstLineChars="200"/>
        <w:jc w:val="left"/>
        <w:rPr>
          <w:rFonts w:hint="eastAsia" w:ascii="宋体" w:hAnsi="宋体" w:cs="宋体"/>
          <w:color w:val="auto"/>
          <w:spacing w:val="6"/>
          <w:kern w:val="0"/>
          <w:sz w:val="24"/>
          <w:szCs w:val="24"/>
          <w:highlight w:val="none"/>
        </w:rPr>
      </w:pPr>
    </w:p>
    <w:p w14:paraId="4126F63B">
      <w:pPr>
        <w:pStyle w:val="81"/>
        <w:spacing w:line="360" w:lineRule="auto"/>
        <w:ind w:firstLine="504" w:firstLineChars="200"/>
        <w:jc w:val="left"/>
        <w:rPr>
          <w:rFonts w:hint="eastAsia" w:ascii="宋体" w:hAnsi="宋体" w:eastAsia="宋体" w:cs="宋体"/>
          <w:color w:val="auto"/>
          <w:spacing w:val="6"/>
          <w:kern w:val="0"/>
          <w:sz w:val="24"/>
          <w:szCs w:val="24"/>
          <w:highlight w:val="none"/>
          <w:lang w:val="en-US" w:eastAsia="zh-CN"/>
        </w:rPr>
      </w:pPr>
      <w:r>
        <w:rPr>
          <w:rFonts w:hint="eastAsia" w:ascii="宋体" w:hAnsi="宋体" w:cs="宋体"/>
          <w:color w:val="auto"/>
          <w:spacing w:val="6"/>
          <w:kern w:val="0"/>
          <w:sz w:val="24"/>
          <w:szCs w:val="24"/>
          <w:highlight w:val="none"/>
          <w:lang w:val="en-US" w:eastAsia="zh-CN"/>
        </w:rPr>
        <w:t xml:space="preserve"> </w:t>
      </w:r>
    </w:p>
    <w:p w14:paraId="132BAE81">
      <w:pPr>
        <w:pStyle w:val="81"/>
        <w:spacing w:line="360" w:lineRule="auto"/>
        <w:ind w:firstLine="756" w:firstLineChars="300"/>
        <w:jc w:val="left"/>
        <w:rPr>
          <w:rFonts w:hint="eastAsia" w:ascii="宋体" w:hAnsi="宋体" w:cs="宋体"/>
          <w:color w:val="auto"/>
          <w:spacing w:val="6"/>
          <w:kern w:val="0"/>
          <w:sz w:val="24"/>
          <w:szCs w:val="24"/>
          <w:highlight w:val="none"/>
          <w:lang w:eastAsia="zh-CN"/>
        </w:rPr>
      </w:pPr>
      <w:r>
        <w:rPr>
          <w:rFonts w:hint="eastAsia" w:ascii="宋体" w:hAnsi="宋体" w:cs="宋体"/>
          <w:color w:val="auto"/>
          <w:spacing w:val="6"/>
          <w:kern w:val="0"/>
          <w:sz w:val="24"/>
          <w:szCs w:val="24"/>
          <w:highlight w:val="none"/>
        </w:rPr>
        <w:t>“中国政府采购网”查询信息</w:t>
      </w:r>
      <w:r>
        <w:rPr>
          <w:rFonts w:hint="eastAsia" w:ascii="宋体" w:hAnsi="宋体" w:cs="宋体"/>
          <w:color w:val="auto"/>
          <w:spacing w:val="6"/>
          <w:kern w:val="0"/>
          <w:sz w:val="24"/>
          <w:szCs w:val="24"/>
          <w:highlight w:val="none"/>
          <w:lang w:eastAsia="zh-CN"/>
        </w:rPr>
        <w:t>：</w:t>
      </w:r>
    </w:p>
    <w:p w14:paraId="282D3BE6">
      <w:pPr>
        <w:ind w:firstLine="720" w:firstLineChars="300"/>
        <w:rPr>
          <w:rFonts w:ascii="Arial" w:hAnsi="Arial" w:cs="Arial"/>
          <w:color w:val="auto"/>
          <w:szCs w:val="21"/>
          <w:highlight w:val="none"/>
        </w:rPr>
      </w:pPr>
      <w:r>
        <w:rPr>
          <w:rFonts w:hint="eastAsia" w:ascii="宋体" w:hAnsi="宋体" w:cs="宋体"/>
          <w:color w:val="auto"/>
          <w:sz w:val="24"/>
          <w:szCs w:val="24"/>
          <w:highlight w:val="none"/>
          <w:lang w:val="en-US" w:eastAsia="zh-CN"/>
        </w:rPr>
        <w:t>①</w:t>
      </w:r>
      <w:r>
        <w:rPr>
          <w:rFonts w:hint="eastAsia" w:ascii="宋体" w:hAnsi="宋体" w:eastAsia="宋体" w:cs="宋体"/>
          <w:color w:val="auto"/>
          <w:sz w:val="24"/>
          <w:szCs w:val="24"/>
          <w:highlight w:val="none"/>
        </w:rPr>
        <w:t>政府采购严重违法失信行为信息记录</w:t>
      </w:r>
      <w:r>
        <w:rPr>
          <w:rFonts w:hint="eastAsia" w:ascii="宋体" w:hAnsi="宋体" w:cs="宋体"/>
          <w:color w:val="auto"/>
          <w:sz w:val="24"/>
          <w:szCs w:val="24"/>
          <w:highlight w:val="none"/>
          <w:lang w:eastAsia="zh-CN"/>
        </w:rPr>
        <w:t>：</w:t>
      </w:r>
      <w:r>
        <w:rPr>
          <w:rFonts w:ascii="Arial" w:hAnsi="Arial" w:cs="Arial"/>
          <w:color w:val="auto"/>
          <w:szCs w:val="21"/>
          <w:highlight w:val="none"/>
        </w:rPr>
        <w:br w:type="page"/>
      </w:r>
    </w:p>
    <w:p w14:paraId="7478D641">
      <w:pPr>
        <w:pStyle w:val="3"/>
        <w:bidi w:val="0"/>
        <w:rPr>
          <w:rFonts w:hint="eastAsia"/>
          <w:lang w:val="zh-CN" w:eastAsia="zh-CN"/>
        </w:rPr>
      </w:pPr>
      <w:bookmarkStart w:id="597" w:name="_Toc140132840"/>
      <w:bookmarkStart w:id="598" w:name="_Toc163492923"/>
      <w:bookmarkStart w:id="599" w:name="_Toc109899498"/>
      <w:bookmarkStart w:id="600" w:name="_Toc109899917"/>
      <w:bookmarkStart w:id="601" w:name="_Toc155185930"/>
      <w:bookmarkStart w:id="602" w:name="_Toc109900336"/>
      <w:bookmarkStart w:id="603" w:name="_Toc27506"/>
      <w:bookmarkStart w:id="604" w:name="_Toc1571"/>
      <w:r>
        <w:rPr>
          <w:rFonts w:hint="eastAsia"/>
          <w:lang w:val="en-US" w:eastAsia="zh-CN"/>
        </w:rPr>
        <w:t>二、</w:t>
      </w:r>
      <w:bookmarkEnd w:id="597"/>
      <w:bookmarkEnd w:id="598"/>
      <w:bookmarkEnd w:id="599"/>
      <w:bookmarkEnd w:id="600"/>
      <w:bookmarkEnd w:id="601"/>
      <w:bookmarkEnd w:id="602"/>
      <w:bookmarkStart w:id="605" w:name="_Toc155185931"/>
      <w:r>
        <w:rPr>
          <w:rFonts w:hint="eastAsia"/>
          <w:lang w:val="zh-CN" w:eastAsia="zh-CN"/>
        </w:rPr>
        <w:t>联合体协议书</w:t>
      </w:r>
      <w:bookmarkEnd w:id="605"/>
      <w:r>
        <w:rPr>
          <w:rFonts w:hint="eastAsia"/>
          <w:lang w:val="zh-CN" w:eastAsia="zh-CN"/>
        </w:rPr>
        <w:t>【</w:t>
      </w:r>
      <w:r>
        <w:rPr>
          <w:rFonts w:hint="eastAsia"/>
          <w:lang w:val="en-US" w:eastAsia="zh-CN"/>
        </w:rPr>
        <w:t>不适用可不提供</w:t>
      </w:r>
      <w:r>
        <w:rPr>
          <w:rFonts w:hint="eastAsia"/>
          <w:lang w:val="zh-CN" w:eastAsia="zh-CN"/>
        </w:rPr>
        <w:t>】</w:t>
      </w:r>
      <w:bookmarkEnd w:id="603"/>
      <w:bookmarkEnd w:id="604"/>
    </w:p>
    <w:p w14:paraId="39563C7F">
      <w:pPr>
        <w:snapToGrid w:val="0"/>
        <w:spacing w:line="360" w:lineRule="auto"/>
        <w:jc w:val="center"/>
        <w:outlineLvl w:val="9"/>
        <w:rPr>
          <w:rFonts w:hint="eastAsia" w:ascii="宋体" w:hAnsi="宋体" w:cs="宋体"/>
          <w:b/>
          <w:color w:val="auto"/>
          <w:kern w:val="0"/>
          <w:sz w:val="32"/>
          <w:szCs w:val="32"/>
          <w:highlight w:val="none"/>
        </w:rPr>
      </w:pPr>
    </w:p>
    <w:p w14:paraId="7BBF9D1F">
      <w:pPr>
        <w:snapToGrid w:val="0"/>
        <w:spacing w:line="360" w:lineRule="auto"/>
        <w:jc w:val="center"/>
        <w:outlineLvl w:val="9"/>
        <w:rPr>
          <w:rFonts w:hint="eastAsia" w:ascii="宋体" w:hAnsi="宋体" w:cs="宋体"/>
          <w:b/>
          <w:color w:val="auto"/>
          <w:kern w:val="0"/>
          <w:sz w:val="32"/>
          <w:szCs w:val="32"/>
          <w:highlight w:val="none"/>
        </w:rPr>
      </w:pPr>
      <w:bookmarkStart w:id="606" w:name="_Toc27802"/>
      <w:r>
        <w:rPr>
          <w:rFonts w:hint="eastAsia" w:ascii="宋体" w:hAnsi="宋体" w:cs="宋体"/>
          <w:b/>
          <w:color w:val="auto"/>
          <w:kern w:val="0"/>
          <w:sz w:val="32"/>
          <w:szCs w:val="32"/>
          <w:highlight w:val="none"/>
        </w:rPr>
        <w:t>联合体协议书</w:t>
      </w:r>
      <w:bookmarkEnd w:id="606"/>
    </w:p>
    <w:p w14:paraId="67954623">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w:t>
      </w:r>
      <w:r>
        <w:rPr>
          <w:rFonts w:hint="eastAsia" w:cs="宋体"/>
          <w:b/>
          <w:color w:val="auto"/>
          <w:sz w:val="24"/>
          <w:highlight w:val="none"/>
          <w:lang w:val="en-US" w:eastAsia="zh-CN"/>
        </w:rPr>
        <w:t>体</w:t>
      </w:r>
      <w:r>
        <w:rPr>
          <w:rFonts w:hint="eastAsia" w:ascii="宋体" w:hAnsi="宋体" w:cs="宋体"/>
          <w:b/>
          <w:color w:val="auto"/>
          <w:sz w:val="24"/>
          <w:highlight w:val="none"/>
        </w:rPr>
        <w:t>协议</w:t>
      </w:r>
      <w:r>
        <w:rPr>
          <w:rFonts w:hint="eastAsia" w:cs="宋体"/>
          <w:b/>
          <w:color w:val="auto"/>
          <w:sz w:val="24"/>
          <w:highlight w:val="none"/>
          <w:lang w:val="en-US" w:eastAsia="zh-CN"/>
        </w:rPr>
        <w:t>书</w:t>
      </w:r>
      <w:r>
        <w:rPr>
          <w:rFonts w:hint="eastAsia" w:ascii="宋体" w:hAnsi="宋体" w:cs="宋体"/>
          <w:b/>
          <w:color w:val="auto"/>
          <w:sz w:val="24"/>
          <w:highlight w:val="none"/>
        </w:rPr>
        <w:t>；本项目不接受联合体投标或者投标人不以联合体形式投标的，则不需要提供）</w:t>
      </w:r>
    </w:p>
    <w:p w14:paraId="14187E6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rPr>
        <w:t>（项目名称）【</w:t>
      </w:r>
      <w:r>
        <w:rPr>
          <w:rFonts w:hint="eastAsia" w:cs="宋体"/>
          <w:color w:val="auto"/>
          <w:sz w:val="24"/>
          <w:highlight w:val="none"/>
          <w:lang w:val="en-US" w:eastAsia="zh-CN"/>
        </w:rPr>
        <w:t>项目</w:t>
      </w:r>
      <w:r>
        <w:rPr>
          <w:rFonts w:hint="eastAsia" w:ascii="宋体" w:hAnsi="宋体" w:cs="宋体"/>
          <w:color w:val="auto"/>
          <w:sz w:val="24"/>
          <w:highlight w:val="none"/>
        </w:rPr>
        <w:t>编号</w:t>
      </w:r>
      <w:r>
        <w:rPr>
          <w:rFonts w:hint="eastAsia" w:cs="宋体"/>
          <w:color w:val="auto"/>
          <w:sz w:val="24"/>
          <w:highlight w:val="none"/>
          <w:lang w:val="en-US" w:eastAsia="zh-CN"/>
        </w:rPr>
        <w:t>/包号</w:t>
      </w:r>
      <w:r>
        <w:rPr>
          <w:rFonts w:hint="eastAsia" w:ascii="宋体" w:hAnsi="宋体" w:cs="宋体"/>
          <w:color w:val="auto"/>
          <w:sz w:val="24"/>
          <w:highlight w:val="none"/>
        </w:rPr>
        <w:t>：</w:t>
      </w:r>
      <w:r>
        <w:rPr>
          <w:rFonts w:hint="eastAsia" w:cs="宋体"/>
          <w:color w:val="auto"/>
          <w:sz w:val="24"/>
          <w:highlight w:val="none"/>
          <w:lang w:val="en-US" w:eastAsia="zh-CN"/>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投标。 </w:t>
      </w:r>
    </w:p>
    <w:p w14:paraId="682E874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2FA3C75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授权代表根据招标文件规定及投标内容而对采购人、采购代理机构所作的任何合法承诺，包括书面澄清及相应等均对联合投标各方产生约束力。</w:t>
      </w:r>
    </w:p>
    <w:p w14:paraId="794C756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5742291A">
      <w:pPr>
        <w:snapToGrid w:val="0"/>
        <w:spacing w:line="360" w:lineRule="auto"/>
        <w:ind w:firstLine="576"/>
        <w:rPr>
          <w:rFonts w:ascii="宋体" w:hAnsi="宋体" w:cs="宋体"/>
          <w:color w:val="auto"/>
          <w:kern w:val="0"/>
          <w:sz w:val="24"/>
          <w:highlight w:val="none"/>
          <w:lang w:val="zh-CN"/>
        </w:rPr>
      </w:pPr>
      <w:bookmarkStart w:id="607" w:name="_Hlk101134295"/>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承担</w:t>
      </w:r>
      <w:r>
        <w:rPr>
          <w:rFonts w:hint="eastAsia" w:ascii="宋体" w:hAnsi="宋体" w:cs="宋体"/>
          <w:color w:val="auto"/>
          <w:kern w:val="0"/>
          <w:sz w:val="24"/>
          <w:highlight w:val="none"/>
          <w:lang w:val="en-US" w:eastAsia="zh-CN"/>
        </w:rPr>
        <w:t>项目采购合同金额的</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none"/>
          <w:lang w:val="en-US" w:eastAsia="zh-CN"/>
        </w:rPr>
        <w:t>，负责</w:t>
      </w:r>
      <w:r>
        <w:rPr>
          <w:rFonts w:hint="eastAsia" w:ascii="宋体" w:hAnsi="宋体" w:cs="宋体"/>
          <w:color w:val="auto"/>
          <w:kern w:val="0"/>
          <w:sz w:val="24"/>
          <w:highlight w:val="none"/>
          <w:lang w:val="zh-CN"/>
        </w:rPr>
        <w:t>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51F758B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承担</w:t>
      </w:r>
      <w:r>
        <w:rPr>
          <w:rFonts w:hint="eastAsia" w:ascii="宋体" w:hAnsi="宋体" w:cs="宋体"/>
          <w:color w:val="auto"/>
          <w:kern w:val="0"/>
          <w:sz w:val="24"/>
          <w:highlight w:val="none"/>
          <w:lang w:val="en-US" w:eastAsia="zh-CN"/>
        </w:rPr>
        <w:t>项目采购合同金额的</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none"/>
          <w:lang w:val="en-US" w:eastAsia="zh-CN"/>
        </w:rPr>
        <w:t>，负责</w:t>
      </w:r>
      <w:r>
        <w:rPr>
          <w:rFonts w:hint="eastAsia" w:ascii="宋体" w:hAnsi="宋体" w:cs="宋体"/>
          <w:color w:val="auto"/>
          <w:kern w:val="0"/>
          <w:sz w:val="24"/>
          <w:highlight w:val="none"/>
          <w:lang w:val="zh-CN"/>
        </w:rPr>
        <w:t>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6E4350A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bookmarkEnd w:id="607"/>
    <w:p w14:paraId="417425E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40493970">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X,</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提供的全部货物由小微企业制造，其合同份额占到合同总金额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w:t>
      </w:r>
      <w:r>
        <w:rPr>
          <w:rFonts w:hint="eastAsia" w:cs="宋体"/>
          <w:b/>
          <w:color w:val="auto"/>
          <w:kern w:val="0"/>
          <w:sz w:val="24"/>
          <w:highlight w:val="none"/>
          <w:lang w:val="en-US" w:eastAsia="zh-CN"/>
        </w:rPr>
        <w:t>体</w:t>
      </w:r>
      <w:r>
        <w:rPr>
          <w:rFonts w:hint="eastAsia" w:ascii="宋体" w:hAnsi="宋体" w:cs="宋体"/>
          <w:b/>
          <w:color w:val="auto"/>
          <w:kern w:val="0"/>
          <w:sz w:val="24"/>
          <w:highlight w:val="none"/>
          <w:lang w:val="zh-CN"/>
        </w:rPr>
        <w:t>协议</w:t>
      </w:r>
      <w:r>
        <w:rPr>
          <w:rFonts w:hint="eastAsia" w:cs="宋体"/>
          <w:b/>
          <w:color w:val="auto"/>
          <w:kern w:val="0"/>
          <w:sz w:val="24"/>
          <w:highlight w:val="none"/>
          <w:lang w:val="en-US" w:eastAsia="zh-CN"/>
        </w:rPr>
        <w:t>书</w:t>
      </w:r>
      <w:r>
        <w:rPr>
          <w:rFonts w:hint="eastAsia" w:ascii="宋体" w:hAnsi="宋体" w:cs="宋体"/>
          <w:b/>
          <w:color w:val="auto"/>
          <w:kern w:val="0"/>
          <w:sz w:val="24"/>
          <w:highlight w:val="none"/>
          <w:lang w:val="zh-CN"/>
        </w:rPr>
        <w:t>约定小微企业的合同份额占到合同总金额</w:t>
      </w:r>
      <w:r>
        <w:rPr>
          <w:rFonts w:hint="eastAsia" w:cs="宋体"/>
          <w:b/>
          <w:color w:val="auto"/>
          <w:kern w:val="0"/>
          <w:sz w:val="24"/>
          <w:highlight w:val="none"/>
          <w:lang w:val="en-US" w:eastAsia="zh-CN"/>
        </w:rPr>
        <w:t>3</w:t>
      </w:r>
      <w:r>
        <w:rPr>
          <w:rFonts w:hint="eastAsia" w:ascii="宋体" w:hAnsi="宋体" w:cs="宋体"/>
          <w:b/>
          <w:color w:val="auto"/>
          <w:kern w:val="0"/>
          <w:sz w:val="24"/>
          <w:highlight w:val="none"/>
          <w:lang w:val="zh-CN"/>
        </w:rPr>
        <w:t>0%以上的，对联合体报价按评标标准确定的比例给予扣除。供应商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1C0B640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w:t>
      </w:r>
      <w:r>
        <w:rPr>
          <w:rFonts w:hint="eastAsia" w:cs="宋体"/>
          <w:b/>
          <w:bCs/>
          <w:color w:val="auto"/>
          <w:sz w:val="24"/>
          <w:highlight w:val="none"/>
          <w:lang w:val="en-US" w:eastAsia="zh-CN"/>
        </w:rPr>
        <w:t>体</w:t>
      </w:r>
      <w:r>
        <w:rPr>
          <w:rFonts w:hint="eastAsia" w:ascii="宋体" w:hAnsi="宋体" w:cs="宋体"/>
          <w:b/>
          <w:bCs/>
          <w:color w:val="auto"/>
          <w:sz w:val="24"/>
          <w:highlight w:val="none"/>
        </w:rPr>
        <w:t>协议</w:t>
      </w:r>
      <w:r>
        <w:rPr>
          <w:rFonts w:hint="eastAsia" w:cs="宋体"/>
          <w:b/>
          <w:bCs/>
          <w:color w:val="auto"/>
          <w:sz w:val="24"/>
          <w:highlight w:val="none"/>
          <w:lang w:val="en-US" w:eastAsia="zh-CN"/>
        </w:rPr>
        <w:t>书</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1EC462A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w:t>
      </w:r>
      <w:r>
        <w:rPr>
          <w:rFonts w:hint="eastAsia" w:ascii="宋体" w:hAnsi="宋体" w:cs="宋体"/>
          <w:color w:val="auto"/>
          <w:sz w:val="24"/>
          <w:highlight w:val="none"/>
          <w:lang w:val="en-US" w:eastAsia="zh-CN"/>
        </w:rPr>
        <w:t>采购</w:t>
      </w:r>
      <w:r>
        <w:rPr>
          <w:rFonts w:hint="eastAsia" w:ascii="宋体" w:hAnsi="宋体" w:cs="宋体"/>
          <w:color w:val="auto"/>
          <w:sz w:val="24"/>
          <w:highlight w:val="none"/>
        </w:rPr>
        <w:t>合同，并就采购合同约定的事项对采购人承担连带责任。</w:t>
      </w:r>
    </w:p>
    <w:p w14:paraId="0B6A82F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518CE91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23C062C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0DAC4003">
      <w:pPr>
        <w:snapToGrid w:val="0"/>
        <w:spacing w:line="360" w:lineRule="auto"/>
        <w:ind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5B293209">
      <w:pPr>
        <w:snapToGrid w:val="0"/>
        <w:spacing w:line="360" w:lineRule="auto"/>
        <w:ind w:firstLine="576"/>
        <w:rPr>
          <w:rFonts w:hint="eastAsia" w:ascii="宋体" w:hAnsi="宋体" w:cs="宋体"/>
          <w:color w:val="auto"/>
          <w:kern w:val="0"/>
          <w:sz w:val="24"/>
          <w:highlight w:val="none"/>
          <w:lang w:val="zh-CN"/>
        </w:rPr>
      </w:pPr>
      <w:r>
        <w:rPr>
          <w:rFonts w:hint="eastAsia" w:cs="宋体"/>
          <w:color w:val="auto"/>
          <w:kern w:val="0"/>
          <w:sz w:val="24"/>
          <w:highlight w:val="none"/>
          <w:lang w:val="en-US" w:eastAsia="zh-CN"/>
        </w:rPr>
        <w:t>4、</w:t>
      </w:r>
      <w:r>
        <w:rPr>
          <w:rFonts w:hint="eastAsia" w:ascii="宋体" w:hAnsi="宋体" w:cs="宋体"/>
          <w:color w:val="auto"/>
          <w:kern w:val="0"/>
          <w:sz w:val="24"/>
          <w:highlight w:val="none"/>
          <w:lang w:val="zh-CN"/>
        </w:rPr>
        <w:t>其他：……</w:t>
      </w:r>
    </w:p>
    <w:p w14:paraId="43009373">
      <w:pPr>
        <w:snapToGrid w:val="0"/>
        <w:spacing w:line="360" w:lineRule="auto"/>
        <w:ind w:firstLine="576"/>
        <w:rPr>
          <w:rFonts w:hint="eastAsia" w:ascii="宋体" w:hAnsi="宋体" w:cs="宋体"/>
          <w:color w:val="auto"/>
          <w:kern w:val="0"/>
          <w:sz w:val="24"/>
          <w:highlight w:val="none"/>
          <w:lang w:val="zh-CN"/>
        </w:rPr>
      </w:pPr>
      <w:r>
        <w:rPr>
          <w:rFonts w:hint="eastAsia" w:cs="宋体"/>
          <w:color w:val="auto"/>
          <w:kern w:val="0"/>
          <w:sz w:val="24"/>
          <w:highlight w:val="none"/>
          <w:lang w:val="en-US" w:eastAsia="zh-CN"/>
        </w:rPr>
        <w:t>5、</w:t>
      </w:r>
      <w:r>
        <w:rPr>
          <w:rFonts w:hint="eastAsia" w:ascii="宋体" w:hAnsi="宋体" w:cs="宋体"/>
          <w:color w:val="auto"/>
          <w:kern w:val="0"/>
          <w:sz w:val="24"/>
          <w:highlight w:val="none"/>
          <w:lang w:val="zh-CN"/>
        </w:rPr>
        <w:t>本协议书自签署之日起生效，若未中标，自本次投标有效期结束后自行失效；若中标，自合同书规定的期限之后自行失效。</w:t>
      </w:r>
    </w:p>
    <w:p w14:paraId="580F475F">
      <w:pPr>
        <w:snapToGrid w:val="0"/>
        <w:spacing w:line="360" w:lineRule="auto"/>
        <w:ind w:firstLine="576"/>
        <w:rPr>
          <w:rFonts w:hint="eastAsia" w:ascii="宋体" w:hAnsi="宋体" w:cs="宋体"/>
          <w:color w:val="auto"/>
          <w:kern w:val="0"/>
          <w:sz w:val="24"/>
          <w:highlight w:val="none"/>
          <w:lang w:val="zh-CN"/>
        </w:rPr>
      </w:pPr>
      <w:r>
        <w:rPr>
          <w:rFonts w:hint="eastAsia" w:cs="宋体"/>
          <w:color w:val="auto"/>
          <w:kern w:val="0"/>
          <w:sz w:val="24"/>
          <w:highlight w:val="none"/>
          <w:lang w:val="en-US" w:eastAsia="zh-CN"/>
        </w:rPr>
        <w:t>6、</w:t>
      </w:r>
      <w:r>
        <w:rPr>
          <w:rFonts w:hint="eastAsia" w:ascii="宋体" w:hAnsi="宋体" w:cs="宋体"/>
          <w:color w:val="auto"/>
          <w:kern w:val="0"/>
          <w:sz w:val="24"/>
          <w:highlight w:val="none"/>
          <w:lang w:val="zh-CN"/>
        </w:rPr>
        <w:t>本协议书正本一式</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份，联合体成员各执</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份；副本一式</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份，联合体成员各执</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份。</w:t>
      </w:r>
    </w:p>
    <w:p w14:paraId="1797DC92">
      <w:pPr>
        <w:outlineLvl w:val="9"/>
        <w:rPr>
          <w:color w:val="auto"/>
          <w:highlight w:val="none"/>
          <w:lang w:val="zh-CN"/>
        </w:rPr>
      </w:pPr>
    </w:p>
    <w:p w14:paraId="6A1B5B57">
      <w:pPr>
        <w:snapToGrid w:val="0"/>
        <w:spacing w:line="360" w:lineRule="auto"/>
        <w:ind w:firstLine="3840" w:firstLineChars="16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w:t>
      </w:r>
      <w:r>
        <w:rPr>
          <w:rFonts w:hint="eastAsia" w:ascii="宋体" w:hAnsi="宋体" w:cs="宋体"/>
          <w:color w:val="auto"/>
          <w:kern w:val="0"/>
          <w:sz w:val="24"/>
          <w:highlight w:val="none"/>
          <w:lang w:val="en-US" w:eastAsia="zh-CN"/>
        </w:rPr>
        <w:t>1</w:t>
      </w:r>
      <w:r>
        <w:rPr>
          <w:rFonts w:hint="eastAsia" w:ascii="宋体" w:hAnsi="宋体" w:cs="宋体"/>
          <w:color w:val="auto"/>
          <w:kern w:val="0"/>
          <w:sz w:val="24"/>
          <w:highlight w:val="none"/>
          <w:lang w:val="zh-CN"/>
        </w:rPr>
        <w:t>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p>
    <w:p w14:paraId="21DBA726">
      <w:pPr>
        <w:snapToGrid w:val="0"/>
        <w:spacing w:line="360" w:lineRule="auto"/>
        <w:ind w:firstLine="3840" w:firstLineChars="16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lang w:val="zh-CN"/>
        </w:rPr>
        <w:t>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p>
    <w:p w14:paraId="2C01AA77">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64D03F6B">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69BB115A">
      <w:pPr>
        <w:spacing w:line="360" w:lineRule="auto"/>
        <w:ind w:right="420"/>
        <w:rPr>
          <w:rFonts w:ascii="宋体" w:hAnsi="宋体" w:cs="宋体"/>
          <w:color w:val="auto"/>
          <w:sz w:val="21"/>
          <w:szCs w:val="21"/>
          <w:highlight w:val="none"/>
        </w:rPr>
      </w:pPr>
      <w:r>
        <w:rPr>
          <w:rFonts w:hint="eastAsia" w:ascii="宋体" w:hAnsi="宋体" w:cs="宋体"/>
          <w:color w:val="auto"/>
          <w:sz w:val="21"/>
          <w:szCs w:val="21"/>
          <w:highlight w:val="none"/>
        </w:rPr>
        <w:t>注：按本格式和要求提供。</w:t>
      </w:r>
    </w:p>
    <w:p w14:paraId="68A2ACB2">
      <w:pPr>
        <w:keepNext w:val="0"/>
        <w:keepLines w:val="0"/>
        <w:pageBreakBefore w:val="0"/>
        <w:kinsoku/>
        <w:overflowPunct/>
        <w:topLinePunct w:val="0"/>
        <w:autoSpaceDE/>
        <w:autoSpaceDN/>
        <w:bidi w:val="0"/>
        <w:spacing w:before="157" w:beforeLines="50" w:after="157" w:afterLines="50"/>
        <w:ind w:left="2520" w:leftChars="1050"/>
        <w:textAlignment w:val="auto"/>
        <w:rPr>
          <w:rFonts w:cs="Tahoma"/>
          <w:color w:val="auto"/>
          <w:highlight w:val="none"/>
          <w:u w:val="single"/>
        </w:rPr>
      </w:pPr>
      <w:r>
        <w:rPr>
          <w:rFonts w:cs="Tahoma"/>
          <w:color w:val="auto"/>
          <w:highlight w:val="none"/>
          <w:u w:val="single"/>
        </w:rPr>
        <w:br w:type="page"/>
      </w:r>
    </w:p>
    <w:p w14:paraId="01005797">
      <w:pPr>
        <w:pStyle w:val="3"/>
        <w:bidi w:val="0"/>
        <w:rPr>
          <w:rFonts w:hint="eastAsia"/>
          <w:lang w:val="zh-CN" w:eastAsia="zh-CN"/>
        </w:rPr>
      </w:pPr>
      <w:bookmarkStart w:id="608" w:name="_Toc156490356"/>
      <w:bookmarkStart w:id="609" w:name="_Toc18444"/>
      <w:bookmarkStart w:id="610" w:name="_Toc162299566"/>
      <w:r>
        <w:rPr>
          <w:rFonts w:hint="eastAsia"/>
          <w:lang w:val="en-US" w:eastAsia="zh-CN"/>
        </w:rPr>
        <w:t>三、</w:t>
      </w:r>
      <w:r>
        <w:rPr>
          <w:rFonts w:hint="eastAsia"/>
          <w:lang w:val="zh-CN" w:eastAsia="zh-CN"/>
        </w:rPr>
        <w:t>分包意向协议书【</w:t>
      </w:r>
      <w:r>
        <w:rPr>
          <w:rFonts w:hint="eastAsia"/>
          <w:lang w:val="en-US" w:eastAsia="zh-CN"/>
        </w:rPr>
        <w:t>不适用可不提供</w:t>
      </w:r>
      <w:r>
        <w:rPr>
          <w:rFonts w:hint="eastAsia"/>
          <w:lang w:val="zh-CN" w:eastAsia="zh-CN"/>
        </w:rPr>
        <w:t>】</w:t>
      </w:r>
      <w:bookmarkEnd w:id="608"/>
      <w:bookmarkEnd w:id="609"/>
      <w:bookmarkEnd w:id="610"/>
    </w:p>
    <w:p w14:paraId="72EF9FB2">
      <w:pPr>
        <w:snapToGrid w:val="0"/>
        <w:spacing w:line="360" w:lineRule="auto"/>
        <w:jc w:val="center"/>
        <w:outlineLvl w:val="9"/>
        <w:rPr>
          <w:rFonts w:hint="eastAsia" w:ascii="宋体" w:hAnsi="宋体" w:cs="宋体"/>
          <w:b/>
          <w:color w:val="auto"/>
          <w:kern w:val="0"/>
          <w:sz w:val="32"/>
          <w:szCs w:val="32"/>
          <w:highlight w:val="none"/>
        </w:rPr>
      </w:pPr>
      <w:bookmarkStart w:id="611" w:name="_Hlk101169080"/>
    </w:p>
    <w:p w14:paraId="3FDEAFA2">
      <w:pPr>
        <w:snapToGrid w:val="0"/>
        <w:spacing w:line="360" w:lineRule="auto"/>
        <w:jc w:val="center"/>
        <w:outlineLvl w:val="9"/>
        <w:rPr>
          <w:rFonts w:hint="eastAsia" w:ascii="宋体" w:hAnsi="宋体" w:eastAsia="宋体" w:cs="宋体"/>
          <w:b/>
          <w:color w:val="auto"/>
          <w:kern w:val="0"/>
          <w:sz w:val="32"/>
          <w:szCs w:val="32"/>
          <w:highlight w:val="none"/>
          <w:lang w:val="en-US" w:eastAsia="zh-CN"/>
        </w:rPr>
      </w:pPr>
      <w:bookmarkStart w:id="612" w:name="_Toc5286"/>
      <w:r>
        <w:rPr>
          <w:rFonts w:hint="eastAsia" w:ascii="宋体" w:hAnsi="宋体" w:cs="宋体"/>
          <w:b/>
          <w:color w:val="auto"/>
          <w:kern w:val="0"/>
          <w:sz w:val="32"/>
          <w:szCs w:val="32"/>
          <w:highlight w:val="none"/>
        </w:rPr>
        <w:t>分包意向协议</w:t>
      </w:r>
      <w:r>
        <w:rPr>
          <w:rFonts w:hint="eastAsia" w:ascii="宋体" w:hAnsi="宋体" w:cs="宋体"/>
          <w:b/>
          <w:color w:val="auto"/>
          <w:kern w:val="0"/>
          <w:sz w:val="32"/>
          <w:szCs w:val="32"/>
          <w:highlight w:val="none"/>
          <w:lang w:val="en-US" w:eastAsia="zh-CN"/>
        </w:rPr>
        <w:t>书</w:t>
      </w:r>
      <w:bookmarkEnd w:id="612"/>
    </w:p>
    <w:p w14:paraId="4E9F0BF4">
      <w:pPr>
        <w:widowControl/>
        <w:spacing w:line="360" w:lineRule="auto"/>
        <w:ind w:firstLine="120" w:firstLineChars="50"/>
        <w:jc w:val="left"/>
        <w:rPr>
          <w:rFonts w:hint="eastAsia" w:ascii="宋体" w:hAnsi="宋体" w:eastAsia="宋体" w:cs="宋体"/>
          <w:color w:val="auto"/>
          <w:sz w:val="24"/>
          <w:highlight w:val="none"/>
          <w:lang w:eastAsia="zh-CN"/>
        </w:rPr>
      </w:pPr>
      <w:r>
        <w:rPr>
          <w:rFonts w:hint="eastAsia" w:cs="宋体"/>
          <w:color w:val="auto"/>
          <w:sz w:val="24"/>
          <w:highlight w:val="none"/>
          <w:lang w:eastAsia="zh-CN"/>
        </w:rPr>
        <w:t>【</w:t>
      </w:r>
      <w:r>
        <w:rPr>
          <w:rFonts w:hint="eastAsia" w:ascii="宋体" w:hAnsi="宋体" w:cs="宋体"/>
          <w:b/>
          <w:color w:val="auto"/>
          <w:sz w:val="24"/>
          <w:highlight w:val="none"/>
        </w:rPr>
        <w:t>中标后以分包方式履行合同的，提供分包意向协议</w:t>
      </w:r>
      <w:r>
        <w:rPr>
          <w:rFonts w:hint="eastAsia" w:cs="宋体"/>
          <w:b/>
          <w:color w:val="auto"/>
          <w:sz w:val="24"/>
          <w:highlight w:val="none"/>
          <w:lang w:val="en-US" w:eastAsia="zh-CN"/>
        </w:rPr>
        <w:t>书</w:t>
      </w:r>
      <w:r>
        <w:rPr>
          <w:rFonts w:hint="eastAsia" w:ascii="宋体" w:hAnsi="宋体" w:cs="宋体"/>
          <w:b/>
          <w:color w:val="auto"/>
          <w:sz w:val="24"/>
          <w:highlight w:val="none"/>
        </w:rPr>
        <w:t>；采购人不同意分包或者投标人中标后不以分包方式履行合同的，则不需要提供。</w:t>
      </w:r>
      <w:r>
        <w:rPr>
          <w:rFonts w:hint="eastAsia" w:cs="宋体"/>
          <w:color w:val="auto"/>
          <w:sz w:val="24"/>
          <w:highlight w:val="none"/>
          <w:lang w:eastAsia="zh-CN"/>
        </w:rPr>
        <w:t>】</w:t>
      </w:r>
    </w:p>
    <w:p w14:paraId="5791A45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rPr>
        <w:t>（项目名称）【</w:t>
      </w:r>
      <w:r>
        <w:rPr>
          <w:rFonts w:hint="eastAsia" w:cs="宋体"/>
          <w:color w:val="auto"/>
          <w:sz w:val="24"/>
          <w:highlight w:val="none"/>
          <w:lang w:val="en-US" w:eastAsia="zh-CN"/>
        </w:rPr>
        <w:t>项目</w:t>
      </w:r>
      <w:r>
        <w:rPr>
          <w:rFonts w:hint="eastAsia" w:ascii="宋体" w:hAnsi="宋体" w:cs="宋体"/>
          <w:color w:val="auto"/>
          <w:sz w:val="24"/>
          <w:highlight w:val="none"/>
        </w:rPr>
        <w:t>编号</w:t>
      </w:r>
      <w:r>
        <w:rPr>
          <w:rFonts w:hint="eastAsia" w:cs="宋体"/>
          <w:color w:val="auto"/>
          <w:sz w:val="24"/>
          <w:highlight w:val="none"/>
          <w:lang w:val="en-US" w:eastAsia="zh-CN"/>
        </w:rPr>
        <w:t>/包号</w:t>
      </w:r>
      <w:r>
        <w:rPr>
          <w:rFonts w:hint="eastAsia" w:ascii="宋体" w:hAnsi="宋体" w:cs="宋体"/>
          <w:color w:val="auto"/>
          <w:sz w:val="24"/>
          <w:highlight w:val="none"/>
        </w:rPr>
        <w:t>：</w:t>
      </w:r>
      <w:r>
        <w:rPr>
          <w:rFonts w:hint="eastAsia" w:cs="宋体"/>
          <w:color w:val="auto"/>
          <w:sz w:val="24"/>
          <w:highlight w:val="none"/>
          <w:lang w:val="en-US" w:eastAsia="zh-CN"/>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cs="宋体"/>
          <w:color w:val="auto"/>
          <w:kern w:val="0"/>
          <w:sz w:val="24"/>
          <w:highlight w:val="none"/>
          <w:lang w:val="en-US" w:eastAsia="zh-CN"/>
        </w:rPr>
        <w:t>书</w:t>
      </w:r>
      <w:r>
        <w:rPr>
          <w:rFonts w:hint="eastAsia" w:ascii="宋体" w:hAnsi="宋体" w:cs="宋体"/>
          <w:color w:val="auto"/>
          <w:kern w:val="0"/>
          <w:sz w:val="24"/>
          <w:highlight w:val="none"/>
          <w:lang w:val="zh-CN"/>
        </w:rPr>
        <w:t xml:space="preserve">。 </w:t>
      </w:r>
    </w:p>
    <w:p w14:paraId="545E907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5E08737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37B916C5">
      <w:pPr>
        <w:tabs>
          <w:tab w:val="left" w:pos="432"/>
        </w:tabs>
        <w:ind w:left="758" w:leftChars="316" w:firstLine="228" w:firstLineChars="95"/>
        <w:outlineLvl w:val="9"/>
        <w:rPr>
          <w:rFonts w:ascii="宋体" w:hAnsi="宋体" w:eastAsia="宋体" w:cs="宋体"/>
          <w:color w:val="auto"/>
          <w:kern w:val="0"/>
          <w:sz w:val="24"/>
          <w:szCs w:val="24"/>
          <w:highlight w:val="none"/>
        </w:rPr>
      </w:pPr>
      <w:bookmarkStart w:id="613" w:name="_Toc24317"/>
      <w:r>
        <w:rPr>
          <w:rFonts w:hint="eastAsia" w:ascii="宋体" w:hAnsi="宋体" w:eastAsia="宋体" w:cs="宋体"/>
          <w:color w:val="auto"/>
          <w:kern w:val="0"/>
          <w:sz w:val="24"/>
          <w:szCs w:val="24"/>
          <w:highlight w:val="none"/>
        </w:rPr>
        <w:t>……</w:t>
      </w:r>
      <w:bookmarkEnd w:id="613"/>
    </w:p>
    <w:p w14:paraId="0426889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188898B5">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……）提供的货物全部由小微企业制造，</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w:t>
      </w:r>
      <w:r>
        <w:rPr>
          <w:rFonts w:hint="eastAsia" w:cs="宋体"/>
          <w:b/>
          <w:color w:val="auto"/>
          <w:kern w:val="0"/>
          <w:sz w:val="24"/>
          <w:highlight w:val="none"/>
          <w:lang w:val="en-US" w:eastAsia="zh-CN"/>
        </w:rPr>
        <w:t>书</w:t>
      </w:r>
      <w:r>
        <w:rPr>
          <w:rFonts w:hint="eastAsia" w:ascii="宋体" w:hAnsi="宋体" w:cs="宋体"/>
          <w:b/>
          <w:color w:val="auto"/>
          <w:kern w:val="0"/>
          <w:sz w:val="24"/>
          <w:highlight w:val="none"/>
          <w:lang w:val="zh-CN"/>
        </w:rPr>
        <w:t>约定小微企业的合同份额占到合同总金额</w:t>
      </w:r>
      <w:r>
        <w:rPr>
          <w:rFonts w:hint="eastAsia" w:cs="宋体"/>
          <w:b/>
          <w:color w:val="auto"/>
          <w:kern w:val="0"/>
          <w:sz w:val="24"/>
          <w:highlight w:val="none"/>
          <w:lang w:val="en-US" w:eastAsia="zh-CN"/>
        </w:rPr>
        <w:t>3</w:t>
      </w:r>
      <w:r>
        <w:rPr>
          <w:rFonts w:hint="eastAsia" w:ascii="宋体" w:hAnsi="宋体" w:cs="宋体"/>
          <w:b/>
          <w:color w:val="auto"/>
          <w:kern w:val="0"/>
          <w:sz w:val="24"/>
          <w:highlight w:val="none"/>
          <w:lang w:val="zh-CN"/>
        </w:rPr>
        <w:t>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145FF207">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614"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cs="宋体"/>
          <w:b/>
          <w:color w:val="auto"/>
          <w:kern w:val="0"/>
          <w:sz w:val="24"/>
          <w:highlight w:val="none"/>
          <w:lang w:val="en-US" w:eastAsia="zh-CN"/>
        </w:rPr>
        <w:t>书</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bookmarkEnd w:id="614"/>
    </w:p>
    <w:p w14:paraId="51C56E7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7F26E4A3">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7925029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7369B1B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E7AB09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632B92C8">
      <w:pPr>
        <w:snapToGrid w:val="0"/>
        <w:spacing w:line="360" w:lineRule="auto"/>
        <w:ind w:left="655"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C79FAF7">
      <w:pPr>
        <w:snapToGrid w:val="0"/>
        <w:spacing w:line="360" w:lineRule="auto"/>
        <w:ind w:left="655"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17F77B9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22CBB9B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5D83C45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2A9066DF">
      <w:pPr>
        <w:snapToGrid w:val="0"/>
        <w:spacing w:line="360" w:lineRule="auto"/>
        <w:ind w:left="5861"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p>
    <w:p w14:paraId="665C464B">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p>
    <w:p w14:paraId="102F6BD9">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22C38D7A">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49A2F910">
      <w:pPr>
        <w:spacing w:line="360" w:lineRule="auto"/>
        <w:ind w:right="420"/>
        <w:rPr>
          <w:rFonts w:ascii="宋体" w:hAnsi="宋体" w:cs="宋体"/>
          <w:color w:val="auto"/>
          <w:sz w:val="21"/>
          <w:szCs w:val="21"/>
          <w:highlight w:val="none"/>
        </w:rPr>
      </w:pPr>
      <w:r>
        <w:rPr>
          <w:rFonts w:hint="eastAsia" w:ascii="宋体" w:hAnsi="宋体" w:cs="宋体"/>
          <w:color w:val="auto"/>
          <w:sz w:val="21"/>
          <w:szCs w:val="21"/>
          <w:highlight w:val="none"/>
        </w:rPr>
        <w:t>注：按本格式和要求提供。</w:t>
      </w:r>
    </w:p>
    <w:p w14:paraId="7F0D76CC">
      <w:pPr>
        <w:topLinePunct/>
        <w:ind w:firstLine="480" w:firstLineChars="200"/>
        <w:rPr>
          <w:rFonts w:hint="eastAsia"/>
          <w:color w:val="auto"/>
          <w:szCs w:val="32"/>
          <w:highlight w:val="none"/>
        </w:rPr>
      </w:pPr>
    </w:p>
    <w:p w14:paraId="5F400CB9">
      <w:pPr>
        <w:topLinePunct/>
        <w:ind w:firstLine="480" w:firstLineChars="200"/>
        <w:rPr>
          <w:rFonts w:hint="eastAsia"/>
          <w:color w:val="auto"/>
          <w:szCs w:val="32"/>
          <w:highlight w:val="none"/>
        </w:rPr>
      </w:pPr>
    </w:p>
    <w:p w14:paraId="11CAF290">
      <w:pPr>
        <w:topLinePunct/>
        <w:ind w:firstLine="480" w:firstLineChars="200"/>
        <w:rPr>
          <w:rFonts w:hint="eastAsia"/>
          <w:color w:val="auto"/>
          <w:szCs w:val="32"/>
          <w:highlight w:val="none"/>
        </w:rPr>
      </w:pPr>
    </w:p>
    <w:p w14:paraId="35CFE103">
      <w:pPr>
        <w:topLinePunct/>
        <w:ind w:firstLine="480" w:firstLineChars="200"/>
        <w:rPr>
          <w:rFonts w:hint="eastAsia"/>
          <w:color w:val="auto"/>
          <w:szCs w:val="32"/>
          <w:highlight w:val="none"/>
        </w:rPr>
      </w:pPr>
    </w:p>
    <w:bookmarkEnd w:id="611"/>
    <w:p w14:paraId="5775F461">
      <w:pPr>
        <w:ind w:left="2520" w:leftChars="1050"/>
        <w:rPr>
          <w:color w:val="auto"/>
          <w:highlight w:val="none"/>
        </w:rPr>
      </w:pPr>
      <w:r>
        <w:rPr>
          <w:rFonts w:cs="Courier New"/>
          <w:color w:val="auto"/>
          <w:szCs w:val="24"/>
          <w:highlight w:val="none"/>
        </w:rPr>
        <w:br w:type="page"/>
      </w:r>
    </w:p>
    <w:p w14:paraId="674386CF">
      <w:pPr>
        <w:pStyle w:val="3"/>
        <w:bidi w:val="0"/>
        <w:rPr>
          <w:rFonts w:hint="eastAsia"/>
          <w:lang w:val="en-US" w:eastAsia="zh-CN"/>
        </w:rPr>
      </w:pPr>
      <w:bookmarkStart w:id="615" w:name="_Toc155185932"/>
      <w:bookmarkStart w:id="616" w:name="_Toc163492926"/>
      <w:bookmarkStart w:id="617" w:name="_Toc18617"/>
      <w:r>
        <w:rPr>
          <w:rFonts w:hint="eastAsia"/>
          <w:lang w:val="en-US" w:eastAsia="zh-CN"/>
        </w:rPr>
        <w:t>四、</w:t>
      </w:r>
      <w:bookmarkEnd w:id="615"/>
      <w:bookmarkEnd w:id="616"/>
      <w:r>
        <w:rPr>
          <w:rFonts w:hint="eastAsia"/>
          <w:lang w:val="en-US" w:eastAsia="zh-CN"/>
        </w:rPr>
        <w:t>落实政府采购政策相关证明文件</w:t>
      </w:r>
      <w:bookmarkEnd w:id="617"/>
    </w:p>
    <w:p w14:paraId="41716825">
      <w:pPr>
        <w:pStyle w:val="4"/>
        <w:keepNext/>
        <w:keepLines/>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618" w:name="_Toc26028"/>
      <w:bookmarkStart w:id="619" w:name="_Toc163492938"/>
      <w:r>
        <w:rPr>
          <w:rFonts w:hint="eastAsia" w:ascii="宋体" w:hAnsi="宋体" w:eastAsia="宋体" w:cs="宋体"/>
          <w:b/>
          <w:bCs/>
          <w:color w:val="auto"/>
          <w:kern w:val="2"/>
          <w:sz w:val="24"/>
          <w:szCs w:val="24"/>
          <w:highlight w:val="none"/>
          <w:lang w:val="en-US" w:eastAsia="zh-CN" w:bidi="ar-SA"/>
        </w:rPr>
        <w:t>（一）节能环保产品清单及证明材料</w:t>
      </w:r>
      <w:r>
        <w:rPr>
          <w:rFonts w:hint="eastAsia" w:ascii="宋体" w:hAnsi="宋体" w:eastAsia="宋体" w:cs="宋体"/>
          <w:b w:val="0"/>
          <w:bCs w:val="0"/>
          <w:color w:val="auto"/>
          <w:kern w:val="2"/>
          <w:sz w:val="24"/>
          <w:szCs w:val="24"/>
          <w:highlight w:val="none"/>
          <w:lang w:val="en-US" w:eastAsia="zh-CN" w:bidi="ar-SA"/>
        </w:rPr>
        <w:t>【</w:t>
      </w:r>
      <w:r>
        <w:rPr>
          <w:rFonts w:hint="eastAsia" w:cs="宋体"/>
          <w:b w:val="0"/>
          <w:bCs w:val="0"/>
          <w:color w:val="auto"/>
          <w:kern w:val="2"/>
          <w:sz w:val="24"/>
          <w:szCs w:val="24"/>
          <w:highlight w:val="none"/>
          <w:lang w:val="en-US" w:eastAsia="zh-CN" w:bidi="ar-SA"/>
        </w:rPr>
        <w:t>不适用可不提供</w:t>
      </w:r>
      <w:r>
        <w:rPr>
          <w:rFonts w:hint="eastAsia" w:ascii="宋体" w:hAnsi="宋体" w:eastAsia="宋体" w:cs="宋体"/>
          <w:b w:val="0"/>
          <w:bCs w:val="0"/>
          <w:color w:val="auto"/>
          <w:kern w:val="2"/>
          <w:sz w:val="24"/>
          <w:szCs w:val="24"/>
          <w:highlight w:val="none"/>
          <w:lang w:val="en-US" w:eastAsia="zh-CN" w:bidi="ar-SA"/>
        </w:rPr>
        <w:t>】</w:t>
      </w:r>
      <w:bookmarkEnd w:id="618"/>
      <w:bookmarkEnd w:id="619"/>
    </w:p>
    <w:p w14:paraId="641C9B9A">
      <w:pPr>
        <w:spacing w:line="300" w:lineRule="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项目名称：</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项目编号</w:t>
      </w:r>
      <w:r>
        <w:rPr>
          <w:rFonts w:hint="eastAsia" w:ascii="宋体" w:hAnsi="宋体" w:eastAsia="宋体" w:cs="宋体"/>
          <w:color w:val="auto"/>
          <w:sz w:val="24"/>
          <w:szCs w:val="24"/>
          <w:highlight w:val="none"/>
          <w:lang w:val="en-US" w:eastAsia="zh-CN"/>
        </w:rPr>
        <w:t>/包号</w:t>
      </w:r>
      <w:r>
        <w:rPr>
          <w:rFonts w:hint="eastAsia" w:ascii="宋体" w:hAnsi="宋体" w:eastAsia="宋体" w:cs="宋体"/>
          <w:color w:val="auto"/>
          <w:sz w:val="24"/>
          <w:szCs w:val="24"/>
          <w:highlight w:val="none"/>
        </w:rPr>
        <w:t>：</w:t>
      </w:r>
    </w:p>
    <w:p w14:paraId="47803A74">
      <w:pPr>
        <w:spacing w:line="30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节能产品</w:t>
      </w:r>
    </w:p>
    <w:tbl>
      <w:tblPr>
        <w:tblStyle w:val="31"/>
        <w:tblW w:w="89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
      <w:tblGrid>
        <w:gridCol w:w="757"/>
        <w:gridCol w:w="1147"/>
        <w:gridCol w:w="972"/>
        <w:gridCol w:w="792"/>
        <w:gridCol w:w="696"/>
        <w:gridCol w:w="648"/>
        <w:gridCol w:w="1128"/>
        <w:gridCol w:w="1224"/>
        <w:gridCol w:w="1582"/>
      </w:tblGrid>
      <w:tr w14:paraId="32910B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57" w:type="dxa"/>
            <w:tcBorders>
              <w:top w:val="single" w:color="auto" w:sz="4" w:space="0"/>
              <w:left w:val="single" w:color="auto" w:sz="4" w:space="0"/>
              <w:bottom w:val="single" w:color="auto" w:sz="4" w:space="0"/>
              <w:right w:val="single" w:color="auto" w:sz="4" w:space="0"/>
            </w:tcBorders>
            <w:vAlign w:val="center"/>
          </w:tcPr>
          <w:p w14:paraId="272F949B">
            <w:pPr>
              <w:pStyle w:val="52"/>
              <w:jc w:val="center"/>
              <w:rPr>
                <w:color w:val="auto"/>
                <w:sz w:val="21"/>
                <w:szCs w:val="21"/>
                <w:highlight w:val="none"/>
              </w:rPr>
            </w:pPr>
            <w:r>
              <w:rPr>
                <w:rFonts w:hint="eastAsia"/>
                <w:color w:val="auto"/>
                <w:sz w:val="21"/>
                <w:szCs w:val="21"/>
                <w:highlight w:val="none"/>
              </w:rPr>
              <w:t>序号</w:t>
            </w:r>
          </w:p>
        </w:tc>
        <w:tc>
          <w:tcPr>
            <w:tcW w:w="1147" w:type="dxa"/>
            <w:tcBorders>
              <w:top w:val="single" w:color="auto" w:sz="4" w:space="0"/>
              <w:left w:val="single" w:color="auto" w:sz="4" w:space="0"/>
              <w:bottom w:val="single" w:color="auto" w:sz="4" w:space="0"/>
              <w:right w:val="single" w:color="auto" w:sz="4" w:space="0"/>
            </w:tcBorders>
            <w:vAlign w:val="center"/>
          </w:tcPr>
          <w:p w14:paraId="40FC7763">
            <w:pPr>
              <w:pStyle w:val="52"/>
              <w:jc w:val="center"/>
              <w:rPr>
                <w:color w:val="auto"/>
                <w:sz w:val="21"/>
                <w:szCs w:val="21"/>
                <w:highlight w:val="none"/>
              </w:rPr>
            </w:pPr>
            <w:r>
              <w:rPr>
                <w:rFonts w:hint="eastAsia"/>
                <w:color w:val="auto"/>
                <w:sz w:val="21"/>
                <w:szCs w:val="21"/>
                <w:highlight w:val="none"/>
              </w:rPr>
              <w:t>设备名称</w:t>
            </w:r>
          </w:p>
        </w:tc>
        <w:tc>
          <w:tcPr>
            <w:tcW w:w="972" w:type="dxa"/>
            <w:tcBorders>
              <w:top w:val="single" w:color="auto" w:sz="4" w:space="0"/>
              <w:left w:val="single" w:color="auto" w:sz="4" w:space="0"/>
              <w:bottom w:val="single" w:color="auto" w:sz="4" w:space="0"/>
              <w:right w:val="single" w:color="auto" w:sz="4" w:space="0"/>
            </w:tcBorders>
            <w:vAlign w:val="center"/>
          </w:tcPr>
          <w:p w14:paraId="3633BCC6">
            <w:pPr>
              <w:pStyle w:val="52"/>
              <w:jc w:val="center"/>
              <w:rPr>
                <w:color w:val="auto"/>
                <w:sz w:val="21"/>
                <w:szCs w:val="21"/>
                <w:highlight w:val="none"/>
              </w:rPr>
            </w:pPr>
            <w:r>
              <w:rPr>
                <w:rFonts w:hint="eastAsia"/>
                <w:color w:val="auto"/>
                <w:sz w:val="21"/>
                <w:szCs w:val="21"/>
                <w:highlight w:val="none"/>
              </w:rPr>
              <w:t>制造商名称</w:t>
            </w:r>
          </w:p>
        </w:tc>
        <w:tc>
          <w:tcPr>
            <w:tcW w:w="792" w:type="dxa"/>
            <w:tcBorders>
              <w:top w:val="single" w:color="auto" w:sz="4" w:space="0"/>
              <w:left w:val="single" w:color="auto" w:sz="4" w:space="0"/>
              <w:bottom w:val="single" w:color="auto" w:sz="4" w:space="0"/>
              <w:right w:val="single" w:color="auto" w:sz="4" w:space="0"/>
            </w:tcBorders>
            <w:vAlign w:val="center"/>
          </w:tcPr>
          <w:p w14:paraId="7E976350">
            <w:pPr>
              <w:pStyle w:val="52"/>
              <w:jc w:val="center"/>
              <w:rPr>
                <w:color w:val="auto"/>
                <w:sz w:val="21"/>
                <w:szCs w:val="21"/>
                <w:highlight w:val="none"/>
              </w:rPr>
            </w:pPr>
            <w:r>
              <w:rPr>
                <w:rFonts w:hint="eastAsia"/>
                <w:color w:val="auto"/>
                <w:sz w:val="21"/>
                <w:szCs w:val="21"/>
                <w:highlight w:val="none"/>
              </w:rPr>
              <w:t>品牌</w:t>
            </w:r>
          </w:p>
        </w:tc>
        <w:tc>
          <w:tcPr>
            <w:tcW w:w="696" w:type="dxa"/>
            <w:tcBorders>
              <w:top w:val="single" w:color="auto" w:sz="4" w:space="0"/>
              <w:left w:val="single" w:color="auto" w:sz="4" w:space="0"/>
              <w:bottom w:val="single" w:color="auto" w:sz="4" w:space="0"/>
              <w:right w:val="single" w:color="auto" w:sz="4" w:space="0"/>
            </w:tcBorders>
            <w:vAlign w:val="center"/>
          </w:tcPr>
          <w:p w14:paraId="17DFEC52">
            <w:pPr>
              <w:pStyle w:val="52"/>
              <w:jc w:val="center"/>
              <w:rPr>
                <w:color w:val="auto"/>
                <w:sz w:val="21"/>
                <w:szCs w:val="21"/>
                <w:highlight w:val="none"/>
              </w:rPr>
            </w:pPr>
            <w:r>
              <w:rPr>
                <w:rFonts w:hint="eastAsia"/>
                <w:color w:val="auto"/>
                <w:sz w:val="21"/>
                <w:szCs w:val="21"/>
                <w:highlight w:val="none"/>
              </w:rPr>
              <w:t>型号</w:t>
            </w:r>
          </w:p>
        </w:tc>
        <w:tc>
          <w:tcPr>
            <w:tcW w:w="648" w:type="dxa"/>
            <w:tcBorders>
              <w:top w:val="single" w:color="auto" w:sz="4" w:space="0"/>
              <w:left w:val="single" w:color="auto" w:sz="4" w:space="0"/>
              <w:bottom w:val="single" w:color="auto" w:sz="4" w:space="0"/>
              <w:right w:val="single" w:color="auto" w:sz="4" w:space="0"/>
            </w:tcBorders>
            <w:vAlign w:val="center"/>
          </w:tcPr>
          <w:p w14:paraId="53A14857">
            <w:pPr>
              <w:pStyle w:val="52"/>
              <w:jc w:val="center"/>
              <w:rPr>
                <w:color w:val="auto"/>
                <w:sz w:val="21"/>
                <w:szCs w:val="21"/>
                <w:highlight w:val="none"/>
              </w:rPr>
            </w:pPr>
            <w:r>
              <w:rPr>
                <w:rFonts w:hint="eastAsia"/>
                <w:color w:val="auto"/>
                <w:sz w:val="21"/>
                <w:szCs w:val="21"/>
                <w:highlight w:val="none"/>
              </w:rPr>
              <w:t>数量</w:t>
            </w:r>
          </w:p>
        </w:tc>
        <w:tc>
          <w:tcPr>
            <w:tcW w:w="1128" w:type="dxa"/>
            <w:tcBorders>
              <w:top w:val="single" w:color="auto" w:sz="4" w:space="0"/>
              <w:left w:val="single" w:color="auto" w:sz="4" w:space="0"/>
              <w:bottom w:val="single" w:color="auto" w:sz="4" w:space="0"/>
              <w:right w:val="single" w:color="auto" w:sz="4" w:space="0"/>
            </w:tcBorders>
            <w:vAlign w:val="center"/>
          </w:tcPr>
          <w:p w14:paraId="3D34C27C">
            <w:pPr>
              <w:pStyle w:val="52"/>
              <w:jc w:val="center"/>
              <w:rPr>
                <w:color w:val="auto"/>
                <w:sz w:val="21"/>
                <w:szCs w:val="21"/>
                <w:highlight w:val="none"/>
              </w:rPr>
            </w:pPr>
            <w:r>
              <w:rPr>
                <w:rFonts w:hint="eastAsia"/>
                <w:color w:val="auto"/>
                <w:sz w:val="21"/>
                <w:szCs w:val="21"/>
                <w:highlight w:val="none"/>
              </w:rPr>
              <w:t>单价</w:t>
            </w:r>
          </w:p>
          <w:p w14:paraId="13DCA98A">
            <w:pPr>
              <w:pStyle w:val="52"/>
              <w:jc w:val="center"/>
              <w:rPr>
                <w:color w:val="auto"/>
                <w:sz w:val="21"/>
                <w:szCs w:val="21"/>
                <w:highlight w:val="none"/>
              </w:rPr>
            </w:pPr>
            <w:r>
              <w:rPr>
                <w:rFonts w:hint="eastAsia"/>
                <w:color w:val="auto"/>
                <w:sz w:val="21"/>
                <w:szCs w:val="21"/>
                <w:highlight w:val="none"/>
              </w:rPr>
              <w:t>（万元）</w:t>
            </w:r>
          </w:p>
        </w:tc>
        <w:tc>
          <w:tcPr>
            <w:tcW w:w="1224" w:type="dxa"/>
            <w:tcBorders>
              <w:top w:val="single" w:color="auto" w:sz="4" w:space="0"/>
              <w:left w:val="single" w:color="auto" w:sz="4" w:space="0"/>
              <w:bottom w:val="single" w:color="auto" w:sz="4" w:space="0"/>
              <w:right w:val="single" w:color="auto" w:sz="4" w:space="0"/>
            </w:tcBorders>
            <w:vAlign w:val="center"/>
          </w:tcPr>
          <w:p w14:paraId="7B58FD30">
            <w:pPr>
              <w:pStyle w:val="52"/>
              <w:jc w:val="center"/>
              <w:rPr>
                <w:color w:val="auto"/>
                <w:sz w:val="21"/>
                <w:szCs w:val="21"/>
                <w:highlight w:val="none"/>
              </w:rPr>
            </w:pPr>
            <w:r>
              <w:rPr>
                <w:rFonts w:hint="eastAsia"/>
                <w:color w:val="auto"/>
                <w:sz w:val="21"/>
                <w:szCs w:val="21"/>
                <w:highlight w:val="none"/>
              </w:rPr>
              <w:t>总价</w:t>
            </w:r>
          </w:p>
          <w:p w14:paraId="2B8D01D4">
            <w:pPr>
              <w:pStyle w:val="52"/>
              <w:jc w:val="center"/>
              <w:rPr>
                <w:color w:val="auto"/>
                <w:sz w:val="21"/>
                <w:szCs w:val="21"/>
                <w:highlight w:val="none"/>
              </w:rPr>
            </w:pPr>
            <w:r>
              <w:rPr>
                <w:rFonts w:hint="eastAsia"/>
                <w:color w:val="auto"/>
                <w:sz w:val="21"/>
                <w:szCs w:val="21"/>
                <w:highlight w:val="none"/>
              </w:rPr>
              <w:t>（万元）</w:t>
            </w:r>
          </w:p>
        </w:tc>
        <w:tc>
          <w:tcPr>
            <w:tcW w:w="1582" w:type="dxa"/>
            <w:tcBorders>
              <w:top w:val="single" w:color="auto" w:sz="4" w:space="0"/>
              <w:left w:val="single" w:color="auto" w:sz="4" w:space="0"/>
              <w:bottom w:val="single" w:color="auto" w:sz="4" w:space="0"/>
              <w:right w:val="single" w:color="auto" w:sz="4" w:space="0"/>
            </w:tcBorders>
            <w:vAlign w:val="center"/>
          </w:tcPr>
          <w:p w14:paraId="04FBA906">
            <w:pPr>
              <w:pStyle w:val="52"/>
              <w:jc w:val="center"/>
              <w:rPr>
                <w:color w:val="auto"/>
                <w:sz w:val="21"/>
                <w:szCs w:val="21"/>
                <w:highlight w:val="none"/>
              </w:rPr>
            </w:pPr>
            <w:r>
              <w:rPr>
                <w:rFonts w:hint="eastAsia"/>
                <w:color w:val="auto"/>
                <w:sz w:val="21"/>
                <w:szCs w:val="21"/>
                <w:highlight w:val="none"/>
              </w:rPr>
              <w:t>属强制采购或优先采购</w:t>
            </w:r>
          </w:p>
        </w:tc>
      </w:tr>
      <w:tr w14:paraId="0B7A99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57" w:type="dxa"/>
            <w:tcBorders>
              <w:top w:val="single" w:color="auto" w:sz="4" w:space="0"/>
              <w:left w:val="single" w:color="auto" w:sz="4" w:space="0"/>
              <w:bottom w:val="single" w:color="auto" w:sz="4" w:space="0"/>
              <w:right w:val="single" w:color="auto" w:sz="4" w:space="0"/>
            </w:tcBorders>
            <w:vAlign w:val="center"/>
          </w:tcPr>
          <w:p w14:paraId="3062F6E4">
            <w:pPr>
              <w:pStyle w:val="52"/>
              <w:numPr>
                <w:ilvl w:val="0"/>
                <w:numId w:val="42"/>
              </w:numPr>
              <w:jc w:val="center"/>
              <w:rPr>
                <w:color w:val="auto"/>
                <w:sz w:val="21"/>
                <w:szCs w:val="21"/>
                <w:highlight w:val="none"/>
              </w:rPr>
            </w:pPr>
          </w:p>
        </w:tc>
        <w:tc>
          <w:tcPr>
            <w:tcW w:w="1147" w:type="dxa"/>
            <w:tcBorders>
              <w:top w:val="single" w:color="auto" w:sz="4" w:space="0"/>
              <w:left w:val="single" w:color="auto" w:sz="4" w:space="0"/>
              <w:bottom w:val="single" w:color="auto" w:sz="4" w:space="0"/>
              <w:right w:val="single" w:color="auto" w:sz="4" w:space="0"/>
            </w:tcBorders>
            <w:vAlign w:val="center"/>
          </w:tcPr>
          <w:p w14:paraId="40150CC3">
            <w:pPr>
              <w:pStyle w:val="52"/>
              <w:jc w:val="center"/>
              <w:rPr>
                <w:color w:val="auto"/>
                <w:sz w:val="21"/>
                <w:szCs w:val="21"/>
                <w:highlight w:val="none"/>
              </w:rPr>
            </w:pPr>
          </w:p>
        </w:tc>
        <w:tc>
          <w:tcPr>
            <w:tcW w:w="972" w:type="dxa"/>
            <w:tcBorders>
              <w:top w:val="single" w:color="auto" w:sz="4" w:space="0"/>
              <w:left w:val="single" w:color="auto" w:sz="4" w:space="0"/>
              <w:bottom w:val="single" w:color="auto" w:sz="4" w:space="0"/>
              <w:right w:val="single" w:color="auto" w:sz="4" w:space="0"/>
            </w:tcBorders>
            <w:vAlign w:val="center"/>
          </w:tcPr>
          <w:p w14:paraId="13B14BA8">
            <w:pPr>
              <w:pStyle w:val="52"/>
              <w:jc w:val="center"/>
              <w:rPr>
                <w:color w:val="auto"/>
                <w:sz w:val="21"/>
                <w:szCs w:val="21"/>
                <w:highlight w:val="none"/>
              </w:rPr>
            </w:pPr>
          </w:p>
        </w:tc>
        <w:tc>
          <w:tcPr>
            <w:tcW w:w="792" w:type="dxa"/>
            <w:tcBorders>
              <w:top w:val="single" w:color="auto" w:sz="4" w:space="0"/>
              <w:left w:val="single" w:color="auto" w:sz="4" w:space="0"/>
              <w:bottom w:val="single" w:color="auto" w:sz="4" w:space="0"/>
              <w:right w:val="single" w:color="auto" w:sz="4" w:space="0"/>
            </w:tcBorders>
            <w:vAlign w:val="center"/>
          </w:tcPr>
          <w:p w14:paraId="608F47C0">
            <w:pPr>
              <w:pStyle w:val="52"/>
              <w:jc w:val="center"/>
              <w:rPr>
                <w:color w:val="auto"/>
                <w:sz w:val="21"/>
                <w:szCs w:val="21"/>
                <w:highlight w:val="none"/>
              </w:rPr>
            </w:pPr>
          </w:p>
        </w:tc>
        <w:tc>
          <w:tcPr>
            <w:tcW w:w="696" w:type="dxa"/>
            <w:tcBorders>
              <w:top w:val="single" w:color="auto" w:sz="4" w:space="0"/>
              <w:left w:val="single" w:color="auto" w:sz="4" w:space="0"/>
              <w:bottom w:val="single" w:color="auto" w:sz="4" w:space="0"/>
              <w:right w:val="single" w:color="auto" w:sz="4" w:space="0"/>
            </w:tcBorders>
            <w:vAlign w:val="center"/>
          </w:tcPr>
          <w:p w14:paraId="24405E13">
            <w:pPr>
              <w:pStyle w:val="52"/>
              <w:jc w:val="center"/>
              <w:rPr>
                <w:color w:val="auto"/>
                <w:sz w:val="21"/>
                <w:szCs w:val="21"/>
                <w:highlight w:val="none"/>
              </w:rPr>
            </w:pPr>
          </w:p>
        </w:tc>
        <w:tc>
          <w:tcPr>
            <w:tcW w:w="648" w:type="dxa"/>
            <w:tcBorders>
              <w:top w:val="single" w:color="auto" w:sz="4" w:space="0"/>
              <w:left w:val="single" w:color="auto" w:sz="4" w:space="0"/>
              <w:bottom w:val="single" w:color="auto" w:sz="4" w:space="0"/>
              <w:right w:val="single" w:color="auto" w:sz="4" w:space="0"/>
            </w:tcBorders>
            <w:vAlign w:val="center"/>
          </w:tcPr>
          <w:p w14:paraId="13F13E44">
            <w:pPr>
              <w:pStyle w:val="52"/>
              <w:jc w:val="center"/>
              <w:rPr>
                <w:color w:val="auto"/>
                <w:sz w:val="21"/>
                <w:szCs w:val="21"/>
                <w:highlight w:val="none"/>
              </w:rPr>
            </w:pPr>
          </w:p>
        </w:tc>
        <w:tc>
          <w:tcPr>
            <w:tcW w:w="1128" w:type="dxa"/>
            <w:tcBorders>
              <w:top w:val="single" w:color="auto" w:sz="4" w:space="0"/>
              <w:left w:val="single" w:color="auto" w:sz="4" w:space="0"/>
              <w:bottom w:val="single" w:color="auto" w:sz="4" w:space="0"/>
              <w:right w:val="single" w:color="auto" w:sz="4" w:space="0"/>
            </w:tcBorders>
            <w:vAlign w:val="center"/>
          </w:tcPr>
          <w:p w14:paraId="48B5DB96">
            <w:pPr>
              <w:pStyle w:val="52"/>
              <w:jc w:val="center"/>
              <w:rPr>
                <w:color w:val="auto"/>
                <w:sz w:val="21"/>
                <w:szCs w:val="21"/>
                <w:highlight w:val="none"/>
              </w:rPr>
            </w:pPr>
          </w:p>
        </w:tc>
        <w:tc>
          <w:tcPr>
            <w:tcW w:w="1224" w:type="dxa"/>
            <w:tcBorders>
              <w:top w:val="single" w:color="auto" w:sz="4" w:space="0"/>
              <w:left w:val="single" w:color="auto" w:sz="4" w:space="0"/>
              <w:bottom w:val="single" w:color="auto" w:sz="4" w:space="0"/>
              <w:right w:val="single" w:color="auto" w:sz="4" w:space="0"/>
            </w:tcBorders>
            <w:vAlign w:val="center"/>
          </w:tcPr>
          <w:p w14:paraId="6B625590">
            <w:pPr>
              <w:pStyle w:val="52"/>
              <w:jc w:val="center"/>
              <w:rPr>
                <w:color w:val="auto"/>
                <w:sz w:val="21"/>
                <w:szCs w:val="21"/>
                <w:highlight w:val="none"/>
              </w:rPr>
            </w:pPr>
          </w:p>
        </w:tc>
        <w:tc>
          <w:tcPr>
            <w:tcW w:w="1582" w:type="dxa"/>
            <w:tcBorders>
              <w:top w:val="single" w:color="auto" w:sz="4" w:space="0"/>
              <w:left w:val="single" w:color="auto" w:sz="4" w:space="0"/>
              <w:bottom w:val="single" w:color="auto" w:sz="4" w:space="0"/>
              <w:right w:val="single" w:color="auto" w:sz="4" w:space="0"/>
            </w:tcBorders>
            <w:vAlign w:val="center"/>
          </w:tcPr>
          <w:p w14:paraId="1E92B067">
            <w:pPr>
              <w:pStyle w:val="52"/>
              <w:jc w:val="center"/>
              <w:rPr>
                <w:color w:val="auto"/>
                <w:sz w:val="21"/>
                <w:szCs w:val="21"/>
                <w:highlight w:val="none"/>
              </w:rPr>
            </w:pPr>
          </w:p>
        </w:tc>
      </w:tr>
      <w:tr w14:paraId="0E72F7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57" w:type="dxa"/>
            <w:tcBorders>
              <w:top w:val="single" w:color="auto" w:sz="4" w:space="0"/>
              <w:left w:val="single" w:color="auto" w:sz="4" w:space="0"/>
              <w:bottom w:val="single" w:color="auto" w:sz="4" w:space="0"/>
              <w:right w:val="single" w:color="auto" w:sz="4" w:space="0"/>
            </w:tcBorders>
            <w:vAlign w:val="center"/>
          </w:tcPr>
          <w:p w14:paraId="33194D91">
            <w:pPr>
              <w:pStyle w:val="52"/>
              <w:numPr>
                <w:ilvl w:val="0"/>
                <w:numId w:val="42"/>
              </w:numPr>
              <w:jc w:val="center"/>
              <w:rPr>
                <w:color w:val="auto"/>
                <w:sz w:val="21"/>
                <w:szCs w:val="21"/>
                <w:highlight w:val="none"/>
              </w:rPr>
            </w:pPr>
          </w:p>
        </w:tc>
        <w:tc>
          <w:tcPr>
            <w:tcW w:w="1147" w:type="dxa"/>
            <w:tcBorders>
              <w:top w:val="single" w:color="auto" w:sz="4" w:space="0"/>
              <w:left w:val="single" w:color="auto" w:sz="4" w:space="0"/>
              <w:bottom w:val="single" w:color="auto" w:sz="4" w:space="0"/>
              <w:right w:val="single" w:color="auto" w:sz="4" w:space="0"/>
            </w:tcBorders>
            <w:vAlign w:val="center"/>
          </w:tcPr>
          <w:p w14:paraId="19339E9C">
            <w:pPr>
              <w:pStyle w:val="52"/>
              <w:jc w:val="center"/>
              <w:rPr>
                <w:color w:val="auto"/>
                <w:sz w:val="21"/>
                <w:szCs w:val="21"/>
                <w:highlight w:val="none"/>
              </w:rPr>
            </w:pPr>
          </w:p>
        </w:tc>
        <w:tc>
          <w:tcPr>
            <w:tcW w:w="972" w:type="dxa"/>
            <w:tcBorders>
              <w:top w:val="single" w:color="auto" w:sz="4" w:space="0"/>
              <w:left w:val="single" w:color="auto" w:sz="4" w:space="0"/>
              <w:bottom w:val="single" w:color="auto" w:sz="4" w:space="0"/>
              <w:right w:val="single" w:color="auto" w:sz="4" w:space="0"/>
            </w:tcBorders>
            <w:vAlign w:val="center"/>
          </w:tcPr>
          <w:p w14:paraId="6588A5D6">
            <w:pPr>
              <w:pStyle w:val="52"/>
              <w:jc w:val="center"/>
              <w:rPr>
                <w:color w:val="auto"/>
                <w:sz w:val="21"/>
                <w:szCs w:val="21"/>
                <w:highlight w:val="none"/>
              </w:rPr>
            </w:pPr>
          </w:p>
        </w:tc>
        <w:tc>
          <w:tcPr>
            <w:tcW w:w="792" w:type="dxa"/>
            <w:tcBorders>
              <w:top w:val="single" w:color="auto" w:sz="4" w:space="0"/>
              <w:left w:val="single" w:color="auto" w:sz="4" w:space="0"/>
              <w:bottom w:val="single" w:color="auto" w:sz="4" w:space="0"/>
              <w:right w:val="single" w:color="auto" w:sz="4" w:space="0"/>
            </w:tcBorders>
            <w:vAlign w:val="center"/>
          </w:tcPr>
          <w:p w14:paraId="3487ED51">
            <w:pPr>
              <w:pStyle w:val="52"/>
              <w:jc w:val="center"/>
              <w:rPr>
                <w:color w:val="auto"/>
                <w:sz w:val="21"/>
                <w:szCs w:val="21"/>
                <w:highlight w:val="none"/>
              </w:rPr>
            </w:pPr>
          </w:p>
        </w:tc>
        <w:tc>
          <w:tcPr>
            <w:tcW w:w="696" w:type="dxa"/>
            <w:tcBorders>
              <w:top w:val="single" w:color="auto" w:sz="4" w:space="0"/>
              <w:left w:val="single" w:color="auto" w:sz="4" w:space="0"/>
              <w:bottom w:val="single" w:color="auto" w:sz="4" w:space="0"/>
              <w:right w:val="single" w:color="auto" w:sz="4" w:space="0"/>
            </w:tcBorders>
            <w:vAlign w:val="center"/>
          </w:tcPr>
          <w:p w14:paraId="5BED723B">
            <w:pPr>
              <w:pStyle w:val="52"/>
              <w:jc w:val="center"/>
              <w:rPr>
                <w:color w:val="auto"/>
                <w:sz w:val="21"/>
                <w:szCs w:val="21"/>
                <w:highlight w:val="none"/>
              </w:rPr>
            </w:pPr>
          </w:p>
        </w:tc>
        <w:tc>
          <w:tcPr>
            <w:tcW w:w="648" w:type="dxa"/>
            <w:tcBorders>
              <w:top w:val="single" w:color="auto" w:sz="4" w:space="0"/>
              <w:left w:val="single" w:color="auto" w:sz="4" w:space="0"/>
              <w:bottom w:val="single" w:color="auto" w:sz="4" w:space="0"/>
              <w:right w:val="single" w:color="auto" w:sz="4" w:space="0"/>
            </w:tcBorders>
            <w:vAlign w:val="center"/>
          </w:tcPr>
          <w:p w14:paraId="29FD1D1D">
            <w:pPr>
              <w:pStyle w:val="52"/>
              <w:jc w:val="center"/>
              <w:rPr>
                <w:color w:val="auto"/>
                <w:sz w:val="21"/>
                <w:szCs w:val="21"/>
                <w:highlight w:val="none"/>
              </w:rPr>
            </w:pPr>
          </w:p>
        </w:tc>
        <w:tc>
          <w:tcPr>
            <w:tcW w:w="1128" w:type="dxa"/>
            <w:tcBorders>
              <w:top w:val="single" w:color="auto" w:sz="4" w:space="0"/>
              <w:left w:val="single" w:color="auto" w:sz="4" w:space="0"/>
              <w:bottom w:val="single" w:color="auto" w:sz="4" w:space="0"/>
              <w:right w:val="single" w:color="auto" w:sz="4" w:space="0"/>
            </w:tcBorders>
            <w:vAlign w:val="center"/>
          </w:tcPr>
          <w:p w14:paraId="07077735">
            <w:pPr>
              <w:pStyle w:val="52"/>
              <w:jc w:val="center"/>
              <w:rPr>
                <w:color w:val="auto"/>
                <w:sz w:val="21"/>
                <w:szCs w:val="21"/>
                <w:highlight w:val="none"/>
              </w:rPr>
            </w:pPr>
          </w:p>
        </w:tc>
        <w:tc>
          <w:tcPr>
            <w:tcW w:w="1224" w:type="dxa"/>
            <w:tcBorders>
              <w:top w:val="single" w:color="auto" w:sz="4" w:space="0"/>
              <w:left w:val="single" w:color="auto" w:sz="4" w:space="0"/>
              <w:bottom w:val="single" w:color="auto" w:sz="4" w:space="0"/>
              <w:right w:val="single" w:color="auto" w:sz="4" w:space="0"/>
            </w:tcBorders>
            <w:vAlign w:val="center"/>
          </w:tcPr>
          <w:p w14:paraId="5509E830">
            <w:pPr>
              <w:pStyle w:val="52"/>
              <w:jc w:val="center"/>
              <w:rPr>
                <w:color w:val="auto"/>
                <w:sz w:val="21"/>
                <w:szCs w:val="21"/>
                <w:highlight w:val="none"/>
              </w:rPr>
            </w:pPr>
          </w:p>
        </w:tc>
        <w:tc>
          <w:tcPr>
            <w:tcW w:w="1582" w:type="dxa"/>
            <w:tcBorders>
              <w:top w:val="single" w:color="auto" w:sz="4" w:space="0"/>
              <w:left w:val="single" w:color="auto" w:sz="4" w:space="0"/>
              <w:bottom w:val="single" w:color="auto" w:sz="4" w:space="0"/>
              <w:right w:val="single" w:color="auto" w:sz="4" w:space="0"/>
            </w:tcBorders>
            <w:vAlign w:val="center"/>
          </w:tcPr>
          <w:p w14:paraId="23F870C5">
            <w:pPr>
              <w:pStyle w:val="52"/>
              <w:jc w:val="center"/>
              <w:rPr>
                <w:color w:val="auto"/>
                <w:sz w:val="21"/>
                <w:szCs w:val="21"/>
                <w:highlight w:val="none"/>
              </w:rPr>
            </w:pPr>
          </w:p>
        </w:tc>
      </w:tr>
      <w:tr w14:paraId="34C020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57" w:type="dxa"/>
            <w:tcBorders>
              <w:top w:val="single" w:color="auto" w:sz="4" w:space="0"/>
              <w:left w:val="single" w:color="auto" w:sz="4" w:space="0"/>
              <w:bottom w:val="single" w:color="auto" w:sz="4" w:space="0"/>
              <w:right w:val="single" w:color="auto" w:sz="4" w:space="0"/>
            </w:tcBorders>
            <w:vAlign w:val="center"/>
          </w:tcPr>
          <w:p w14:paraId="2D699565">
            <w:pPr>
              <w:pStyle w:val="52"/>
              <w:numPr>
                <w:ilvl w:val="0"/>
                <w:numId w:val="42"/>
              </w:numPr>
              <w:jc w:val="center"/>
              <w:rPr>
                <w:color w:val="auto"/>
                <w:sz w:val="21"/>
                <w:szCs w:val="21"/>
                <w:highlight w:val="none"/>
              </w:rPr>
            </w:pPr>
          </w:p>
        </w:tc>
        <w:tc>
          <w:tcPr>
            <w:tcW w:w="1147" w:type="dxa"/>
            <w:tcBorders>
              <w:top w:val="single" w:color="auto" w:sz="4" w:space="0"/>
              <w:left w:val="single" w:color="auto" w:sz="4" w:space="0"/>
              <w:bottom w:val="single" w:color="auto" w:sz="4" w:space="0"/>
              <w:right w:val="single" w:color="auto" w:sz="4" w:space="0"/>
            </w:tcBorders>
            <w:vAlign w:val="center"/>
          </w:tcPr>
          <w:p w14:paraId="5597DB33">
            <w:pPr>
              <w:pStyle w:val="52"/>
              <w:jc w:val="center"/>
              <w:rPr>
                <w:color w:val="auto"/>
                <w:sz w:val="21"/>
                <w:szCs w:val="21"/>
                <w:highlight w:val="none"/>
              </w:rPr>
            </w:pPr>
            <w:r>
              <w:rPr>
                <w:color w:val="auto"/>
                <w:sz w:val="21"/>
                <w:szCs w:val="21"/>
                <w:highlight w:val="none"/>
              </w:rPr>
              <w:t>……</w:t>
            </w:r>
          </w:p>
        </w:tc>
        <w:tc>
          <w:tcPr>
            <w:tcW w:w="972" w:type="dxa"/>
            <w:tcBorders>
              <w:top w:val="single" w:color="auto" w:sz="4" w:space="0"/>
              <w:left w:val="single" w:color="auto" w:sz="4" w:space="0"/>
              <w:bottom w:val="single" w:color="auto" w:sz="4" w:space="0"/>
              <w:right w:val="single" w:color="auto" w:sz="4" w:space="0"/>
            </w:tcBorders>
            <w:vAlign w:val="center"/>
          </w:tcPr>
          <w:p w14:paraId="05F43678">
            <w:pPr>
              <w:pStyle w:val="52"/>
              <w:jc w:val="center"/>
              <w:rPr>
                <w:color w:val="auto"/>
                <w:sz w:val="21"/>
                <w:szCs w:val="21"/>
                <w:highlight w:val="none"/>
              </w:rPr>
            </w:pPr>
          </w:p>
        </w:tc>
        <w:tc>
          <w:tcPr>
            <w:tcW w:w="792" w:type="dxa"/>
            <w:tcBorders>
              <w:top w:val="single" w:color="auto" w:sz="4" w:space="0"/>
              <w:left w:val="single" w:color="auto" w:sz="4" w:space="0"/>
              <w:bottom w:val="single" w:color="auto" w:sz="4" w:space="0"/>
              <w:right w:val="single" w:color="auto" w:sz="4" w:space="0"/>
            </w:tcBorders>
            <w:vAlign w:val="center"/>
          </w:tcPr>
          <w:p w14:paraId="16995ABF">
            <w:pPr>
              <w:pStyle w:val="52"/>
              <w:jc w:val="center"/>
              <w:rPr>
                <w:color w:val="auto"/>
                <w:sz w:val="21"/>
                <w:szCs w:val="21"/>
                <w:highlight w:val="none"/>
              </w:rPr>
            </w:pPr>
          </w:p>
        </w:tc>
        <w:tc>
          <w:tcPr>
            <w:tcW w:w="696" w:type="dxa"/>
            <w:tcBorders>
              <w:top w:val="single" w:color="auto" w:sz="4" w:space="0"/>
              <w:left w:val="single" w:color="auto" w:sz="4" w:space="0"/>
              <w:bottom w:val="single" w:color="auto" w:sz="4" w:space="0"/>
              <w:right w:val="single" w:color="auto" w:sz="4" w:space="0"/>
            </w:tcBorders>
            <w:vAlign w:val="center"/>
          </w:tcPr>
          <w:p w14:paraId="0FADCDC4">
            <w:pPr>
              <w:pStyle w:val="52"/>
              <w:jc w:val="center"/>
              <w:rPr>
                <w:color w:val="auto"/>
                <w:sz w:val="21"/>
                <w:szCs w:val="21"/>
                <w:highlight w:val="none"/>
              </w:rPr>
            </w:pPr>
          </w:p>
        </w:tc>
        <w:tc>
          <w:tcPr>
            <w:tcW w:w="648" w:type="dxa"/>
            <w:tcBorders>
              <w:top w:val="single" w:color="auto" w:sz="4" w:space="0"/>
              <w:left w:val="single" w:color="auto" w:sz="4" w:space="0"/>
              <w:bottom w:val="single" w:color="auto" w:sz="4" w:space="0"/>
              <w:right w:val="single" w:color="auto" w:sz="4" w:space="0"/>
            </w:tcBorders>
            <w:vAlign w:val="center"/>
          </w:tcPr>
          <w:p w14:paraId="076DB47F">
            <w:pPr>
              <w:pStyle w:val="52"/>
              <w:jc w:val="center"/>
              <w:rPr>
                <w:color w:val="auto"/>
                <w:sz w:val="21"/>
                <w:szCs w:val="21"/>
                <w:highlight w:val="none"/>
              </w:rPr>
            </w:pPr>
          </w:p>
        </w:tc>
        <w:tc>
          <w:tcPr>
            <w:tcW w:w="1128" w:type="dxa"/>
            <w:tcBorders>
              <w:top w:val="single" w:color="auto" w:sz="4" w:space="0"/>
              <w:left w:val="single" w:color="auto" w:sz="4" w:space="0"/>
              <w:bottom w:val="single" w:color="auto" w:sz="4" w:space="0"/>
              <w:right w:val="single" w:color="auto" w:sz="4" w:space="0"/>
            </w:tcBorders>
            <w:vAlign w:val="center"/>
          </w:tcPr>
          <w:p w14:paraId="31B52845">
            <w:pPr>
              <w:pStyle w:val="52"/>
              <w:jc w:val="center"/>
              <w:rPr>
                <w:color w:val="auto"/>
                <w:sz w:val="21"/>
                <w:szCs w:val="21"/>
                <w:highlight w:val="none"/>
              </w:rPr>
            </w:pPr>
          </w:p>
        </w:tc>
        <w:tc>
          <w:tcPr>
            <w:tcW w:w="1224" w:type="dxa"/>
            <w:tcBorders>
              <w:top w:val="single" w:color="auto" w:sz="4" w:space="0"/>
              <w:left w:val="single" w:color="auto" w:sz="4" w:space="0"/>
              <w:bottom w:val="single" w:color="auto" w:sz="4" w:space="0"/>
              <w:right w:val="single" w:color="auto" w:sz="4" w:space="0"/>
            </w:tcBorders>
            <w:vAlign w:val="center"/>
          </w:tcPr>
          <w:p w14:paraId="45544B80">
            <w:pPr>
              <w:pStyle w:val="52"/>
              <w:jc w:val="center"/>
              <w:rPr>
                <w:color w:val="auto"/>
                <w:sz w:val="21"/>
                <w:szCs w:val="21"/>
                <w:highlight w:val="none"/>
              </w:rPr>
            </w:pPr>
          </w:p>
        </w:tc>
        <w:tc>
          <w:tcPr>
            <w:tcW w:w="1582" w:type="dxa"/>
            <w:tcBorders>
              <w:top w:val="single" w:color="auto" w:sz="4" w:space="0"/>
              <w:left w:val="single" w:color="auto" w:sz="4" w:space="0"/>
              <w:bottom w:val="single" w:color="auto" w:sz="4" w:space="0"/>
              <w:right w:val="single" w:color="auto" w:sz="4" w:space="0"/>
            </w:tcBorders>
            <w:vAlign w:val="center"/>
          </w:tcPr>
          <w:p w14:paraId="71E6D10A">
            <w:pPr>
              <w:pStyle w:val="52"/>
              <w:jc w:val="center"/>
              <w:rPr>
                <w:color w:val="auto"/>
                <w:sz w:val="21"/>
                <w:szCs w:val="21"/>
                <w:highlight w:val="none"/>
              </w:rPr>
            </w:pPr>
          </w:p>
        </w:tc>
      </w:tr>
    </w:tbl>
    <w:p w14:paraId="69FC8255">
      <w:pPr>
        <w:spacing w:line="300" w:lineRule="auto"/>
        <w:rPr>
          <w:rFonts w:ascii="Arial" w:hAnsi="Arial" w:cs="Arial"/>
          <w:color w:val="auto"/>
          <w:szCs w:val="21"/>
          <w:highlight w:val="none"/>
        </w:rPr>
      </w:pPr>
    </w:p>
    <w:p w14:paraId="690A0756">
      <w:pPr>
        <w:spacing w:line="30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环保产品</w:t>
      </w:r>
    </w:p>
    <w:tbl>
      <w:tblPr>
        <w:tblStyle w:val="31"/>
        <w:tblW w:w="89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
      <w:tblGrid>
        <w:gridCol w:w="776"/>
        <w:gridCol w:w="1140"/>
        <w:gridCol w:w="1272"/>
        <w:gridCol w:w="816"/>
        <w:gridCol w:w="816"/>
        <w:gridCol w:w="1032"/>
        <w:gridCol w:w="1380"/>
        <w:gridCol w:w="1714"/>
      </w:tblGrid>
      <w:tr w14:paraId="2A8D62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76" w:type="dxa"/>
            <w:tcBorders>
              <w:top w:val="single" w:color="auto" w:sz="4" w:space="0"/>
              <w:left w:val="single" w:color="auto" w:sz="4" w:space="0"/>
              <w:bottom w:val="single" w:color="auto" w:sz="4" w:space="0"/>
              <w:right w:val="single" w:color="auto" w:sz="4" w:space="0"/>
            </w:tcBorders>
            <w:vAlign w:val="center"/>
          </w:tcPr>
          <w:p w14:paraId="77E4A95E">
            <w:pPr>
              <w:pStyle w:val="52"/>
              <w:jc w:val="center"/>
              <w:rPr>
                <w:color w:val="auto"/>
                <w:sz w:val="21"/>
                <w:szCs w:val="21"/>
                <w:highlight w:val="none"/>
              </w:rPr>
            </w:pPr>
            <w:r>
              <w:rPr>
                <w:rFonts w:hint="eastAsia"/>
                <w:color w:val="auto"/>
                <w:sz w:val="21"/>
                <w:szCs w:val="21"/>
                <w:highlight w:val="none"/>
              </w:rPr>
              <w:t>序号</w:t>
            </w:r>
          </w:p>
        </w:tc>
        <w:tc>
          <w:tcPr>
            <w:tcW w:w="1140" w:type="dxa"/>
            <w:tcBorders>
              <w:top w:val="single" w:color="auto" w:sz="4" w:space="0"/>
              <w:left w:val="single" w:color="auto" w:sz="4" w:space="0"/>
              <w:bottom w:val="single" w:color="auto" w:sz="4" w:space="0"/>
              <w:right w:val="single" w:color="auto" w:sz="4" w:space="0"/>
            </w:tcBorders>
            <w:vAlign w:val="center"/>
          </w:tcPr>
          <w:p w14:paraId="6AA91FB1">
            <w:pPr>
              <w:pStyle w:val="52"/>
              <w:jc w:val="center"/>
              <w:rPr>
                <w:color w:val="auto"/>
                <w:sz w:val="21"/>
                <w:szCs w:val="21"/>
                <w:highlight w:val="none"/>
              </w:rPr>
            </w:pPr>
            <w:r>
              <w:rPr>
                <w:rFonts w:hint="eastAsia"/>
                <w:color w:val="auto"/>
                <w:sz w:val="21"/>
                <w:szCs w:val="21"/>
                <w:highlight w:val="none"/>
              </w:rPr>
              <w:t>设备名称</w:t>
            </w:r>
          </w:p>
        </w:tc>
        <w:tc>
          <w:tcPr>
            <w:tcW w:w="1272" w:type="dxa"/>
            <w:tcBorders>
              <w:top w:val="single" w:color="auto" w:sz="4" w:space="0"/>
              <w:left w:val="single" w:color="auto" w:sz="4" w:space="0"/>
              <w:bottom w:val="single" w:color="auto" w:sz="4" w:space="0"/>
              <w:right w:val="single" w:color="auto" w:sz="4" w:space="0"/>
            </w:tcBorders>
            <w:vAlign w:val="center"/>
          </w:tcPr>
          <w:p w14:paraId="67EAA52F">
            <w:pPr>
              <w:pStyle w:val="52"/>
              <w:jc w:val="center"/>
              <w:rPr>
                <w:color w:val="auto"/>
                <w:sz w:val="21"/>
                <w:szCs w:val="21"/>
                <w:highlight w:val="none"/>
              </w:rPr>
            </w:pPr>
            <w:r>
              <w:rPr>
                <w:rFonts w:hint="eastAsia"/>
                <w:color w:val="auto"/>
                <w:sz w:val="21"/>
                <w:szCs w:val="21"/>
                <w:highlight w:val="none"/>
              </w:rPr>
              <w:t>制造商</w:t>
            </w:r>
          </w:p>
          <w:p w14:paraId="5B3863C9">
            <w:pPr>
              <w:pStyle w:val="52"/>
              <w:jc w:val="center"/>
              <w:rPr>
                <w:color w:val="auto"/>
                <w:sz w:val="21"/>
                <w:szCs w:val="21"/>
                <w:highlight w:val="none"/>
              </w:rPr>
            </w:pPr>
            <w:r>
              <w:rPr>
                <w:rFonts w:hint="eastAsia"/>
                <w:color w:val="auto"/>
                <w:sz w:val="21"/>
                <w:szCs w:val="21"/>
                <w:highlight w:val="none"/>
              </w:rPr>
              <w:t>名称</w:t>
            </w:r>
          </w:p>
        </w:tc>
        <w:tc>
          <w:tcPr>
            <w:tcW w:w="816" w:type="dxa"/>
            <w:tcBorders>
              <w:top w:val="single" w:color="auto" w:sz="4" w:space="0"/>
              <w:left w:val="single" w:color="auto" w:sz="4" w:space="0"/>
              <w:bottom w:val="single" w:color="auto" w:sz="4" w:space="0"/>
              <w:right w:val="single" w:color="auto" w:sz="4" w:space="0"/>
            </w:tcBorders>
            <w:vAlign w:val="center"/>
          </w:tcPr>
          <w:p w14:paraId="2D914167">
            <w:pPr>
              <w:pStyle w:val="52"/>
              <w:jc w:val="center"/>
              <w:rPr>
                <w:color w:val="auto"/>
                <w:sz w:val="21"/>
                <w:szCs w:val="21"/>
                <w:highlight w:val="none"/>
              </w:rPr>
            </w:pPr>
            <w:r>
              <w:rPr>
                <w:rFonts w:hint="eastAsia"/>
                <w:color w:val="auto"/>
                <w:sz w:val="21"/>
                <w:szCs w:val="21"/>
                <w:highlight w:val="none"/>
              </w:rPr>
              <w:t>品牌</w:t>
            </w:r>
          </w:p>
        </w:tc>
        <w:tc>
          <w:tcPr>
            <w:tcW w:w="816" w:type="dxa"/>
            <w:tcBorders>
              <w:top w:val="single" w:color="auto" w:sz="4" w:space="0"/>
              <w:left w:val="single" w:color="auto" w:sz="4" w:space="0"/>
              <w:bottom w:val="single" w:color="auto" w:sz="4" w:space="0"/>
              <w:right w:val="single" w:color="auto" w:sz="4" w:space="0"/>
            </w:tcBorders>
            <w:vAlign w:val="center"/>
          </w:tcPr>
          <w:p w14:paraId="17525B5A">
            <w:pPr>
              <w:pStyle w:val="52"/>
              <w:jc w:val="center"/>
              <w:rPr>
                <w:color w:val="auto"/>
                <w:sz w:val="21"/>
                <w:szCs w:val="21"/>
                <w:highlight w:val="none"/>
              </w:rPr>
            </w:pPr>
            <w:r>
              <w:rPr>
                <w:rFonts w:hint="eastAsia"/>
                <w:color w:val="auto"/>
                <w:sz w:val="21"/>
                <w:szCs w:val="21"/>
                <w:highlight w:val="none"/>
              </w:rPr>
              <w:t>型号</w:t>
            </w:r>
          </w:p>
        </w:tc>
        <w:tc>
          <w:tcPr>
            <w:tcW w:w="1032" w:type="dxa"/>
            <w:tcBorders>
              <w:top w:val="single" w:color="auto" w:sz="4" w:space="0"/>
              <w:left w:val="single" w:color="auto" w:sz="4" w:space="0"/>
              <w:bottom w:val="single" w:color="auto" w:sz="4" w:space="0"/>
              <w:right w:val="single" w:color="auto" w:sz="4" w:space="0"/>
            </w:tcBorders>
            <w:vAlign w:val="center"/>
          </w:tcPr>
          <w:p w14:paraId="14090041">
            <w:pPr>
              <w:pStyle w:val="52"/>
              <w:jc w:val="center"/>
              <w:rPr>
                <w:color w:val="auto"/>
                <w:sz w:val="21"/>
                <w:szCs w:val="21"/>
                <w:highlight w:val="none"/>
              </w:rPr>
            </w:pPr>
            <w:r>
              <w:rPr>
                <w:rFonts w:hint="eastAsia"/>
                <w:color w:val="auto"/>
                <w:sz w:val="21"/>
                <w:szCs w:val="21"/>
                <w:highlight w:val="none"/>
              </w:rPr>
              <w:t>数量</w:t>
            </w:r>
          </w:p>
        </w:tc>
        <w:tc>
          <w:tcPr>
            <w:tcW w:w="1380" w:type="dxa"/>
            <w:tcBorders>
              <w:top w:val="single" w:color="auto" w:sz="4" w:space="0"/>
              <w:left w:val="single" w:color="auto" w:sz="4" w:space="0"/>
              <w:bottom w:val="single" w:color="auto" w:sz="4" w:space="0"/>
              <w:right w:val="single" w:color="auto" w:sz="4" w:space="0"/>
            </w:tcBorders>
            <w:vAlign w:val="center"/>
          </w:tcPr>
          <w:p w14:paraId="2B9678EA">
            <w:pPr>
              <w:pStyle w:val="52"/>
              <w:jc w:val="center"/>
              <w:rPr>
                <w:color w:val="auto"/>
                <w:sz w:val="21"/>
                <w:szCs w:val="21"/>
                <w:highlight w:val="none"/>
              </w:rPr>
            </w:pPr>
            <w:r>
              <w:rPr>
                <w:rFonts w:hint="eastAsia"/>
                <w:color w:val="auto"/>
                <w:sz w:val="21"/>
                <w:szCs w:val="21"/>
                <w:highlight w:val="none"/>
              </w:rPr>
              <w:t>单价</w:t>
            </w:r>
          </w:p>
          <w:p w14:paraId="6E63CBD3">
            <w:pPr>
              <w:pStyle w:val="52"/>
              <w:jc w:val="center"/>
              <w:rPr>
                <w:color w:val="auto"/>
                <w:sz w:val="21"/>
                <w:szCs w:val="21"/>
                <w:highlight w:val="none"/>
              </w:rPr>
            </w:pPr>
            <w:r>
              <w:rPr>
                <w:rFonts w:hint="eastAsia"/>
                <w:color w:val="auto"/>
                <w:sz w:val="21"/>
                <w:szCs w:val="21"/>
                <w:highlight w:val="none"/>
              </w:rPr>
              <w:t>（万元）</w:t>
            </w:r>
          </w:p>
        </w:tc>
        <w:tc>
          <w:tcPr>
            <w:tcW w:w="1714" w:type="dxa"/>
            <w:tcBorders>
              <w:top w:val="single" w:color="auto" w:sz="4" w:space="0"/>
              <w:left w:val="single" w:color="auto" w:sz="4" w:space="0"/>
              <w:bottom w:val="single" w:color="auto" w:sz="4" w:space="0"/>
              <w:right w:val="single" w:color="auto" w:sz="4" w:space="0"/>
            </w:tcBorders>
            <w:vAlign w:val="center"/>
          </w:tcPr>
          <w:p w14:paraId="26EF66A1">
            <w:pPr>
              <w:pStyle w:val="52"/>
              <w:jc w:val="center"/>
              <w:rPr>
                <w:color w:val="auto"/>
                <w:sz w:val="21"/>
                <w:szCs w:val="21"/>
                <w:highlight w:val="none"/>
              </w:rPr>
            </w:pPr>
            <w:r>
              <w:rPr>
                <w:rFonts w:hint="eastAsia"/>
                <w:color w:val="auto"/>
                <w:sz w:val="21"/>
                <w:szCs w:val="21"/>
                <w:highlight w:val="none"/>
              </w:rPr>
              <w:t>总价</w:t>
            </w:r>
          </w:p>
          <w:p w14:paraId="1881B9EC">
            <w:pPr>
              <w:pStyle w:val="52"/>
              <w:jc w:val="center"/>
              <w:rPr>
                <w:color w:val="auto"/>
                <w:sz w:val="21"/>
                <w:szCs w:val="21"/>
                <w:highlight w:val="none"/>
              </w:rPr>
            </w:pPr>
            <w:r>
              <w:rPr>
                <w:rFonts w:hint="eastAsia"/>
                <w:color w:val="auto"/>
                <w:sz w:val="21"/>
                <w:szCs w:val="21"/>
                <w:highlight w:val="none"/>
              </w:rPr>
              <w:t>（万元）</w:t>
            </w:r>
          </w:p>
        </w:tc>
      </w:tr>
      <w:tr w14:paraId="5F476D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76" w:type="dxa"/>
            <w:tcBorders>
              <w:top w:val="single" w:color="auto" w:sz="4" w:space="0"/>
              <w:left w:val="single" w:color="auto" w:sz="4" w:space="0"/>
              <w:bottom w:val="single" w:color="auto" w:sz="4" w:space="0"/>
              <w:right w:val="single" w:color="auto" w:sz="4" w:space="0"/>
            </w:tcBorders>
            <w:vAlign w:val="center"/>
          </w:tcPr>
          <w:p w14:paraId="08E36FE7">
            <w:pPr>
              <w:pStyle w:val="52"/>
              <w:numPr>
                <w:ilvl w:val="0"/>
                <w:numId w:val="43"/>
              </w:numPr>
              <w:jc w:val="center"/>
              <w:rPr>
                <w:color w:val="auto"/>
                <w:sz w:val="21"/>
                <w:szCs w:val="21"/>
                <w:highlight w:val="none"/>
              </w:rPr>
            </w:pPr>
          </w:p>
        </w:tc>
        <w:tc>
          <w:tcPr>
            <w:tcW w:w="1140" w:type="dxa"/>
            <w:tcBorders>
              <w:top w:val="single" w:color="auto" w:sz="4" w:space="0"/>
              <w:left w:val="single" w:color="auto" w:sz="4" w:space="0"/>
              <w:bottom w:val="single" w:color="auto" w:sz="4" w:space="0"/>
              <w:right w:val="single" w:color="auto" w:sz="4" w:space="0"/>
            </w:tcBorders>
            <w:vAlign w:val="center"/>
          </w:tcPr>
          <w:p w14:paraId="1A20E62A">
            <w:pPr>
              <w:pStyle w:val="52"/>
              <w:jc w:val="center"/>
              <w:rPr>
                <w:color w:val="auto"/>
                <w:sz w:val="21"/>
                <w:szCs w:val="21"/>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14:paraId="22CDEC64">
            <w:pPr>
              <w:pStyle w:val="52"/>
              <w:jc w:val="center"/>
              <w:rPr>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138AE6B2">
            <w:pPr>
              <w:pStyle w:val="52"/>
              <w:jc w:val="center"/>
              <w:rPr>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30C76BF9">
            <w:pPr>
              <w:pStyle w:val="52"/>
              <w:jc w:val="center"/>
              <w:rPr>
                <w:color w:val="auto"/>
                <w:sz w:val="21"/>
                <w:szCs w:val="21"/>
                <w:highlight w:val="none"/>
              </w:rPr>
            </w:pPr>
          </w:p>
        </w:tc>
        <w:tc>
          <w:tcPr>
            <w:tcW w:w="1032" w:type="dxa"/>
            <w:tcBorders>
              <w:top w:val="single" w:color="auto" w:sz="4" w:space="0"/>
              <w:left w:val="single" w:color="auto" w:sz="4" w:space="0"/>
              <w:bottom w:val="single" w:color="auto" w:sz="4" w:space="0"/>
              <w:right w:val="single" w:color="auto" w:sz="4" w:space="0"/>
            </w:tcBorders>
            <w:vAlign w:val="center"/>
          </w:tcPr>
          <w:p w14:paraId="4B09EBD6">
            <w:pPr>
              <w:pStyle w:val="52"/>
              <w:jc w:val="center"/>
              <w:rPr>
                <w:color w:val="auto"/>
                <w:sz w:val="21"/>
                <w:szCs w:val="21"/>
                <w:highlight w:val="none"/>
              </w:rPr>
            </w:pPr>
          </w:p>
        </w:tc>
        <w:tc>
          <w:tcPr>
            <w:tcW w:w="1380" w:type="dxa"/>
            <w:tcBorders>
              <w:top w:val="single" w:color="auto" w:sz="4" w:space="0"/>
              <w:left w:val="single" w:color="auto" w:sz="4" w:space="0"/>
              <w:bottom w:val="single" w:color="auto" w:sz="4" w:space="0"/>
              <w:right w:val="single" w:color="auto" w:sz="4" w:space="0"/>
            </w:tcBorders>
            <w:vAlign w:val="center"/>
          </w:tcPr>
          <w:p w14:paraId="3251BCE0">
            <w:pPr>
              <w:pStyle w:val="52"/>
              <w:jc w:val="center"/>
              <w:rPr>
                <w:color w:val="auto"/>
                <w:sz w:val="21"/>
                <w:szCs w:val="21"/>
                <w:highlight w:val="none"/>
              </w:rPr>
            </w:pPr>
          </w:p>
        </w:tc>
        <w:tc>
          <w:tcPr>
            <w:tcW w:w="1714" w:type="dxa"/>
            <w:tcBorders>
              <w:top w:val="single" w:color="auto" w:sz="4" w:space="0"/>
              <w:left w:val="single" w:color="auto" w:sz="4" w:space="0"/>
              <w:bottom w:val="single" w:color="auto" w:sz="4" w:space="0"/>
              <w:right w:val="single" w:color="auto" w:sz="4" w:space="0"/>
            </w:tcBorders>
            <w:vAlign w:val="center"/>
          </w:tcPr>
          <w:p w14:paraId="05694893">
            <w:pPr>
              <w:pStyle w:val="52"/>
              <w:jc w:val="center"/>
              <w:rPr>
                <w:color w:val="auto"/>
                <w:sz w:val="21"/>
                <w:szCs w:val="21"/>
                <w:highlight w:val="none"/>
              </w:rPr>
            </w:pPr>
          </w:p>
        </w:tc>
      </w:tr>
      <w:tr w14:paraId="6A99C5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76" w:type="dxa"/>
            <w:tcBorders>
              <w:top w:val="single" w:color="auto" w:sz="4" w:space="0"/>
              <w:left w:val="single" w:color="auto" w:sz="4" w:space="0"/>
              <w:bottom w:val="single" w:color="auto" w:sz="4" w:space="0"/>
              <w:right w:val="single" w:color="auto" w:sz="4" w:space="0"/>
            </w:tcBorders>
            <w:vAlign w:val="center"/>
          </w:tcPr>
          <w:p w14:paraId="18EBBE11">
            <w:pPr>
              <w:pStyle w:val="52"/>
              <w:numPr>
                <w:ilvl w:val="0"/>
                <w:numId w:val="43"/>
              </w:numPr>
              <w:jc w:val="center"/>
              <w:rPr>
                <w:color w:val="auto"/>
                <w:sz w:val="21"/>
                <w:szCs w:val="21"/>
                <w:highlight w:val="none"/>
              </w:rPr>
            </w:pPr>
          </w:p>
        </w:tc>
        <w:tc>
          <w:tcPr>
            <w:tcW w:w="1140" w:type="dxa"/>
            <w:tcBorders>
              <w:top w:val="single" w:color="auto" w:sz="4" w:space="0"/>
              <w:left w:val="single" w:color="auto" w:sz="4" w:space="0"/>
              <w:bottom w:val="single" w:color="auto" w:sz="4" w:space="0"/>
              <w:right w:val="single" w:color="auto" w:sz="4" w:space="0"/>
            </w:tcBorders>
            <w:vAlign w:val="center"/>
          </w:tcPr>
          <w:p w14:paraId="7A771DE4">
            <w:pPr>
              <w:pStyle w:val="52"/>
              <w:jc w:val="center"/>
              <w:rPr>
                <w:color w:val="auto"/>
                <w:sz w:val="21"/>
                <w:szCs w:val="21"/>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14:paraId="0F663DA6">
            <w:pPr>
              <w:pStyle w:val="52"/>
              <w:jc w:val="center"/>
              <w:rPr>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2FCE4627">
            <w:pPr>
              <w:pStyle w:val="52"/>
              <w:jc w:val="center"/>
              <w:rPr>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1E80F2A5">
            <w:pPr>
              <w:pStyle w:val="52"/>
              <w:jc w:val="center"/>
              <w:rPr>
                <w:color w:val="auto"/>
                <w:sz w:val="21"/>
                <w:szCs w:val="21"/>
                <w:highlight w:val="none"/>
              </w:rPr>
            </w:pPr>
          </w:p>
        </w:tc>
        <w:tc>
          <w:tcPr>
            <w:tcW w:w="1032" w:type="dxa"/>
            <w:tcBorders>
              <w:top w:val="single" w:color="auto" w:sz="4" w:space="0"/>
              <w:left w:val="single" w:color="auto" w:sz="4" w:space="0"/>
              <w:bottom w:val="single" w:color="auto" w:sz="4" w:space="0"/>
              <w:right w:val="single" w:color="auto" w:sz="4" w:space="0"/>
            </w:tcBorders>
            <w:vAlign w:val="center"/>
          </w:tcPr>
          <w:p w14:paraId="5493FC86">
            <w:pPr>
              <w:pStyle w:val="52"/>
              <w:jc w:val="center"/>
              <w:rPr>
                <w:color w:val="auto"/>
                <w:sz w:val="21"/>
                <w:szCs w:val="21"/>
                <w:highlight w:val="none"/>
              </w:rPr>
            </w:pPr>
          </w:p>
        </w:tc>
        <w:tc>
          <w:tcPr>
            <w:tcW w:w="1380" w:type="dxa"/>
            <w:tcBorders>
              <w:top w:val="single" w:color="auto" w:sz="4" w:space="0"/>
              <w:left w:val="single" w:color="auto" w:sz="4" w:space="0"/>
              <w:bottom w:val="single" w:color="auto" w:sz="4" w:space="0"/>
              <w:right w:val="single" w:color="auto" w:sz="4" w:space="0"/>
            </w:tcBorders>
            <w:vAlign w:val="center"/>
          </w:tcPr>
          <w:p w14:paraId="3C2160F0">
            <w:pPr>
              <w:pStyle w:val="52"/>
              <w:jc w:val="center"/>
              <w:rPr>
                <w:color w:val="auto"/>
                <w:sz w:val="21"/>
                <w:szCs w:val="21"/>
                <w:highlight w:val="none"/>
              </w:rPr>
            </w:pPr>
          </w:p>
        </w:tc>
        <w:tc>
          <w:tcPr>
            <w:tcW w:w="1714" w:type="dxa"/>
            <w:tcBorders>
              <w:top w:val="single" w:color="auto" w:sz="4" w:space="0"/>
              <w:left w:val="single" w:color="auto" w:sz="4" w:space="0"/>
              <w:bottom w:val="single" w:color="auto" w:sz="4" w:space="0"/>
              <w:right w:val="single" w:color="auto" w:sz="4" w:space="0"/>
            </w:tcBorders>
            <w:vAlign w:val="center"/>
          </w:tcPr>
          <w:p w14:paraId="7238DDC0">
            <w:pPr>
              <w:pStyle w:val="52"/>
              <w:jc w:val="center"/>
              <w:rPr>
                <w:color w:val="auto"/>
                <w:sz w:val="21"/>
                <w:szCs w:val="21"/>
                <w:highlight w:val="none"/>
              </w:rPr>
            </w:pPr>
          </w:p>
        </w:tc>
      </w:tr>
      <w:tr w14:paraId="24B691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76" w:type="dxa"/>
            <w:tcBorders>
              <w:top w:val="single" w:color="auto" w:sz="4" w:space="0"/>
              <w:left w:val="single" w:color="auto" w:sz="4" w:space="0"/>
              <w:bottom w:val="single" w:color="auto" w:sz="4" w:space="0"/>
              <w:right w:val="single" w:color="auto" w:sz="4" w:space="0"/>
            </w:tcBorders>
            <w:vAlign w:val="center"/>
          </w:tcPr>
          <w:p w14:paraId="6C90CD05">
            <w:pPr>
              <w:pStyle w:val="52"/>
              <w:numPr>
                <w:ilvl w:val="0"/>
                <w:numId w:val="43"/>
              </w:numPr>
              <w:jc w:val="center"/>
              <w:rPr>
                <w:color w:val="auto"/>
                <w:sz w:val="21"/>
                <w:szCs w:val="21"/>
                <w:highlight w:val="none"/>
              </w:rPr>
            </w:pPr>
          </w:p>
        </w:tc>
        <w:tc>
          <w:tcPr>
            <w:tcW w:w="1140" w:type="dxa"/>
            <w:tcBorders>
              <w:top w:val="single" w:color="auto" w:sz="4" w:space="0"/>
              <w:left w:val="single" w:color="auto" w:sz="4" w:space="0"/>
              <w:bottom w:val="single" w:color="auto" w:sz="4" w:space="0"/>
              <w:right w:val="single" w:color="auto" w:sz="4" w:space="0"/>
            </w:tcBorders>
            <w:vAlign w:val="center"/>
          </w:tcPr>
          <w:p w14:paraId="728A1074">
            <w:pPr>
              <w:pStyle w:val="52"/>
              <w:jc w:val="center"/>
              <w:rPr>
                <w:color w:val="auto"/>
                <w:sz w:val="21"/>
                <w:szCs w:val="21"/>
                <w:highlight w:val="none"/>
              </w:rPr>
            </w:pPr>
            <w:r>
              <w:rPr>
                <w:color w:val="auto"/>
                <w:sz w:val="21"/>
                <w:szCs w:val="21"/>
                <w:highlight w:val="none"/>
              </w:rPr>
              <w:t>……</w:t>
            </w:r>
          </w:p>
        </w:tc>
        <w:tc>
          <w:tcPr>
            <w:tcW w:w="1272" w:type="dxa"/>
            <w:tcBorders>
              <w:top w:val="single" w:color="auto" w:sz="4" w:space="0"/>
              <w:left w:val="single" w:color="auto" w:sz="4" w:space="0"/>
              <w:bottom w:val="single" w:color="auto" w:sz="4" w:space="0"/>
              <w:right w:val="single" w:color="auto" w:sz="4" w:space="0"/>
            </w:tcBorders>
            <w:vAlign w:val="center"/>
          </w:tcPr>
          <w:p w14:paraId="47CBFD42">
            <w:pPr>
              <w:pStyle w:val="52"/>
              <w:jc w:val="center"/>
              <w:rPr>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52A3673E">
            <w:pPr>
              <w:pStyle w:val="52"/>
              <w:jc w:val="center"/>
              <w:rPr>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03112494">
            <w:pPr>
              <w:pStyle w:val="52"/>
              <w:jc w:val="center"/>
              <w:rPr>
                <w:color w:val="auto"/>
                <w:sz w:val="21"/>
                <w:szCs w:val="21"/>
                <w:highlight w:val="none"/>
              </w:rPr>
            </w:pPr>
          </w:p>
        </w:tc>
        <w:tc>
          <w:tcPr>
            <w:tcW w:w="1032" w:type="dxa"/>
            <w:tcBorders>
              <w:top w:val="single" w:color="auto" w:sz="4" w:space="0"/>
              <w:left w:val="single" w:color="auto" w:sz="4" w:space="0"/>
              <w:bottom w:val="single" w:color="auto" w:sz="4" w:space="0"/>
              <w:right w:val="single" w:color="auto" w:sz="4" w:space="0"/>
            </w:tcBorders>
            <w:vAlign w:val="center"/>
          </w:tcPr>
          <w:p w14:paraId="1FF974A1">
            <w:pPr>
              <w:pStyle w:val="52"/>
              <w:jc w:val="center"/>
              <w:rPr>
                <w:color w:val="auto"/>
                <w:sz w:val="21"/>
                <w:szCs w:val="21"/>
                <w:highlight w:val="none"/>
              </w:rPr>
            </w:pPr>
          </w:p>
        </w:tc>
        <w:tc>
          <w:tcPr>
            <w:tcW w:w="1380" w:type="dxa"/>
            <w:tcBorders>
              <w:top w:val="single" w:color="auto" w:sz="4" w:space="0"/>
              <w:left w:val="single" w:color="auto" w:sz="4" w:space="0"/>
              <w:bottom w:val="single" w:color="auto" w:sz="4" w:space="0"/>
              <w:right w:val="single" w:color="auto" w:sz="4" w:space="0"/>
            </w:tcBorders>
            <w:vAlign w:val="center"/>
          </w:tcPr>
          <w:p w14:paraId="57425C45">
            <w:pPr>
              <w:pStyle w:val="52"/>
              <w:jc w:val="center"/>
              <w:rPr>
                <w:color w:val="auto"/>
                <w:sz w:val="21"/>
                <w:szCs w:val="21"/>
                <w:highlight w:val="none"/>
              </w:rPr>
            </w:pPr>
          </w:p>
        </w:tc>
        <w:tc>
          <w:tcPr>
            <w:tcW w:w="1714" w:type="dxa"/>
            <w:tcBorders>
              <w:top w:val="single" w:color="auto" w:sz="4" w:space="0"/>
              <w:left w:val="single" w:color="auto" w:sz="4" w:space="0"/>
              <w:bottom w:val="single" w:color="auto" w:sz="4" w:space="0"/>
              <w:right w:val="single" w:color="auto" w:sz="4" w:space="0"/>
            </w:tcBorders>
            <w:vAlign w:val="center"/>
          </w:tcPr>
          <w:p w14:paraId="31F5DC44">
            <w:pPr>
              <w:pStyle w:val="52"/>
              <w:jc w:val="center"/>
              <w:rPr>
                <w:color w:val="auto"/>
                <w:sz w:val="21"/>
                <w:szCs w:val="21"/>
                <w:highlight w:val="none"/>
              </w:rPr>
            </w:pPr>
          </w:p>
        </w:tc>
      </w:tr>
    </w:tbl>
    <w:p w14:paraId="7D386FE8">
      <w:pPr>
        <w:spacing w:line="300" w:lineRule="auto"/>
        <w:rPr>
          <w:rFonts w:ascii="Arial" w:hAnsi="Arial" w:cs="Arial"/>
          <w:color w:val="auto"/>
          <w:szCs w:val="21"/>
          <w:highlight w:val="none"/>
        </w:rPr>
      </w:pPr>
    </w:p>
    <w:p w14:paraId="606E5A08">
      <w:pPr>
        <w:rPr>
          <w:rFonts w:hint="eastAsia" w:ascii="Arial" w:hAnsi="Arial" w:cs="Arial"/>
          <w:b/>
          <w:color w:val="auto"/>
          <w:sz w:val="21"/>
          <w:szCs w:val="21"/>
          <w:highlight w:val="none"/>
        </w:rPr>
      </w:pPr>
      <w:r>
        <w:rPr>
          <w:rFonts w:hint="eastAsia" w:ascii="Arial" w:hAnsi="Arial" w:cs="Arial"/>
          <w:b/>
          <w:color w:val="auto"/>
          <w:sz w:val="21"/>
          <w:szCs w:val="21"/>
          <w:highlight w:val="none"/>
        </w:rPr>
        <w:t>特别说明：投标人应将所投产品中节能、环保产品分别列入上表中，并按本招标文件</w:t>
      </w:r>
      <w:r>
        <w:rPr>
          <w:rFonts w:hint="eastAsia" w:ascii="Arial" w:hAnsi="Arial" w:cs="Arial"/>
          <w:b/>
          <w:color w:val="auto"/>
          <w:sz w:val="21"/>
          <w:szCs w:val="21"/>
          <w:highlight w:val="none"/>
          <w:lang w:val="en-US" w:eastAsia="zh-CN"/>
        </w:rPr>
        <w:t>“</w:t>
      </w:r>
      <w:r>
        <w:rPr>
          <w:rFonts w:hint="eastAsia" w:ascii="Arial" w:hAnsi="Arial" w:cs="Arial"/>
          <w:b/>
          <w:color w:val="auto"/>
          <w:sz w:val="21"/>
          <w:szCs w:val="21"/>
          <w:highlight w:val="none"/>
        </w:rPr>
        <w:t>第二章</w:t>
      </w:r>
      <w:r>
        <w:rPr>
          <w:rFonts w:hint="eastAsia" w:ascii="Arial" w:hAnsi="Arial" w:cs="Arial"/>
          <w:b/>
          <w:color w:val="auto"/>
          <w:sz w:val="21"/>
          <w:szCs w:val="21"/>
          <w:highlight w:val="none"/>
          <w:lang w:val="en-US" w:eastAsia="zh-CN"/>
        </w:rPr>
        <w:t>投标人须知”</w:t>
      </w:r>
      <w:r>
        <w:rPr>
          <w:rFonts w:hint="eastAsia" w:ascii="Arial" w:hAnsi="Arial" w:cs="Arial"/>
          <w:b/>
          <w:color w:val="auto"/>
          <w:sz w:val="21"/>
          <w:szCs w:val="21"/>
          <w:highlight w:val="none"/>
        </w:rPr>
        <w:t>提供相关证明材料，未填写本表或未提供有效认证证书</w:t>
      </w:r>
      <w:r>
        <w:rPr>
          <w:rFonts w:ascii="Arial" w:hAnsi="Arial" w:cs="Arial"/>
          <w:b/>
          <w:color w:val="auto"/>
          <w:sz w:val="21"/>
          <w:szCs w:val="21"/>
          <w:highlight w:val="none"/>
        </w:rPr>
        <w:t>的</w:t>
      </w:r>
      <w:r>
        <w:rPr>
          <w:rFonts w:hint="eastAsia" w:ascii="Arial" w:hAnsi="Arial" w:cs="Arial"/>
          <w:b/>
          <w:color w:val="auto"/>
          <w:sz w:val="21"/>
          <w:szCs w:val="21"/>
          <w:highlight w:val="none"/>
        </w:rPr>
        <w:t>不给予</w:t>
      </w:r>
      <w:r>
        <w:rPr>
          <w:rFonts w:ascii="Arial" w:hAnsi="Arial" w:cs="Arial"/>
          <w:b/>
          <w:color w:val="auto"/>
          <w:sz w:val="21"/>
          <w:szCs w:val="21"/>
          <w:highlight w:val="none"/>
        </w:rPr>
        <w:t>价格扣除</w:t>
      </w:r>
      <w:r>
        <w:rPr>
          <w:rFonts w:hint="eastAsia" w:ascii="Arial" w:hAnsi="Arial" w:cs="Arial"/>
          <w:b/>
          <w:color w:val="auto"/>
          <w:sz w:val="21"/>
          <w:szCs w:val="21"/>
          <w:highlight w:val="none"/>
        </w:rPr>
        <w:t>。</w:t>
      </w:r>
    </w:p>
    <w:p w14:paraId="054DF8DB">
      <w:pPr>
        <w:spacing w:line="300" w:lineRule="auto"/>
        <w:rPr>
          <w:rFonts w:ascii="Arial" w:hAnsi="Arial" w:cs="Arial"/>
          <w:color w:val="auto"/>
          <w:szCs w:val="21"/>
          <w:highlight w:val="none"/>
        </w:rPr>
      </w:pPr>
      <w:r>
        <w:rPr>
          <w:rFonts w:ascii="Arial" w:hAnsi="Arial" w:cs="Arial"/>
          <w:color w:val="auto"/>
          <w:szCs w:val="21"/>
          <w:highlight w:val="none"/>
        </w:rPr>
        <w:t>投标人名称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ascii="Arial" w:hAnsi="Arial" w:cs="Arial"/>
          <w:color w:val="auto"/>
          <w:szCs w:val="21"/>
          <w:highlight w:val="none"/>
        </w:rPr>
        <w:t>：</w:t>
      </w:r>
    </w:p>
    <w:p w14:paraId="0FC93E65">
      <w:pPr>
        <w:rPr>
          <w:rFonts w:ascii="Arial" w:hAnsi="Arial" w:cs="Arial"/>
          <w:color w:val="auto"/>
          <w:szCs w:val="21"/>
          <w:highlight w:val="none"/>
        </w:rPr>
      </w:pPr>
      <w:r>
        <w:rPr>
          <w:rFonts w:ascii="Arial" w:hAnsi="Arial" w:cs="Arial"/>
          <w:color w:val="auto"/>
          <w:szCs w:val="21"/>
          <w:highlight w:val="none"/>
        </w:rPr>
        <w:t>日期：</w:t>
      </w:r>
    </w:p>
    <w:p w14:paraId="3C57C5C1">
      <w:pPr>
        <w:jc w:val="center"/>
        <w:rPr>
          <w:rFonts w:hint="eastAsia" w:ascii="Arial" w:hAnsi="Arial" w:cs="Arial"/>
          <w:b/>
          <w:color w:val="auto"/>
          <w:sz w:val="21"/>
          <w:szCs w:val="21"/>
          <w:highlight w:val="none"/>
          <w:lang w:val="en-US" w:eastAsia="zh-CN"/>
        </w:rPr>
      </w:pPr>
    </w:p>
    <w:p w14:paraId="1004B8DB">
      <w:pPr>
        <w:jc w:val="center"/>
        <w:rPr>
          <w:rFonts w:hint="eastAsia" w:ascii="Arial" w:hAnsi="Arial" w:cs="Arial"/>
          <w:b/>
          <w:color w:val="auto"/>
          <w:sz w:val="21"/>
          <w:szCs w:val="21"/>
          <w:highlight w:val="none"/>
        </w:rPr>
      </w:pPr>
      <w:r>
        <w:rPr>
          <w:rFonts w:hint="eastAsia" w:ascii="Arial" w:hAnsi="Arial" w:cs="Arial"/>
          <w:b/>
          <w:color w:val="auto"/>
          <w:sz w:val="21"/>
          <w:szCs w:val="21"/>
          <w:highlight w:val="none"/>
          <w:lang w:val="en-US" w:eastAsia="zh-CN"/>
        </w:rPr>
        <w:t>节</w:t>
      </w:r>
      <w:r>
        <w:rPr>
          <w:rFonts w:hint="eastAsia" w:ascii="Arial" w:hAnsi="Arial" w:cs="Arial"/>
          <w:b/>
          <w:color w:val="auto"/>
          <w:sz w:val="21"/>
          <w:szCs w:val="21"/>
          <w:highlight w:val="none"/>
        </w:rPr>
        <w:t>能、环境标志产品证明材料</w:t>
      </w:r>
    </w:p>
    <w:p w14:paraId="679AC31B">
      <w:pPr>
        <w:rPr>
          <w:rFonts w:hint="eastAsia" w:ascii="Arial" w:hAnsi="Arial" w:cs="Arial"/>
          <w:b w:val="0"/>
          <w:bCs/>
          <w:color w:val="auto"/>
          <w:sz w:val="21"/>
          <w:szCs w:val="21"/>
          <w:highlight w:val="none"/>
        </w:rPr>
      </w:pPr>
      <w:r>
        <w:rPr>
          <w:rFonts w:hint="eastAsia" w:ascii="Arial" w:hAnsi="Arial" w:cs="Arial"/>
          <w:b w:val="0"/>
          <w:bCs/>
          <w:color w:val="auto"/>
          <w:sz w:val="21"/>
          <w:szCs w:val="21"/>
          <w:highlight w:val="none"/>
        </w:rPr>
        <w:t>1.节能产品：应在中国政府采购网（ http://www.ccgp.gov.cn ）</w:t>
      </w:r>
    </w:p>
    <w:p w14:paraId="6AF87EBE">
      <w:pPr>
        <w:rPr>
          <w:rFonts w:hint="eastAsia" w:ascii="Arial" w:hAnsi="Arial" w:cs="Arial"/>
          <w:b w:val="0"/>
          <w:bCs/>
          <w:color w:val="auto"/>
          <w:sz w:val="21"/>
          <w:szCs w:val="21"/>
          <w:highlight w:val="none"/>
        </w:rPr>
      </w:pPr>
      <w:r>
        <w:rPr>
          <w:rFonts w:hint="eastAsia" w:ascii="Arial" w:hAnsi="Arial" w:cs="Arial"/>
          <w:b w:val="0"/>
          <w:bCs/>
          <w:color w:val="auto"/>
          <w:sz w:val="21"/>
          <w:szCs w:val="21"/>
          <w:highlight w:val="none"/>
        </w:rPr>
        <w:t>2.环境标志产品：应在中国政府采购网（ http://www.ccgp.gov.cn ）</w:t>
      </w:r>
    </w:p>
    <w:p w14:paraId="065F65DC">
      <w:pPr>
        <w:rPr>
          <w:rFonts w:hint="eastAsia" w:ascii="Arial" w:hAnsi="Arial" w:cs="Arial"/>
          <w:b w:val="0"/>
          <w:bCs/>
          <w:color w:val="auto"/>
          <w:sz w:val="21"/>
          <w:szCs w:val="21"/>
          <w:highlight w:val="none"/>
        </w:rPr>
      </w:pPr>
      <w:r>
        <w:rPr>
          <w:rFonts w:hint="eastAsia" w:ascii="Arial" w:hAnsi="Arial" w:cs="Arial"/>
          <w:b w:val="0"/>
          <w:bCs/>
          <w:color w:val="auto"/>
          <w:sz w:val="21"/>
          <w:szCs w:val="21"/>
          <w:highlight w:val="none"/>
        </w:rPr>
        <w:t>3.属优先采购节能、环境标志产品须从以上权威媒体网站上查询并打印结果。</w:t>
      </w:r>
    </w:p>
    <w:p w14:paraId="6754D15F">
      <w:pPr>
        <w:rPr>
          <w:rFonts w:hint="eastAsia" w:ascii="Arial" w:hAnsi="Arial" w:cs="Arial"/>
          <w:b w:val="0"/>
          <w:bCs/>
          <w:color w:val="auto"/>
          <w:sz w:val="21"/>
          <w:szCs w:val="21"/>
          <w:highlight w:val="none"/>
        </w:rPr>
      </w:pPr>
      <w:r>
        <w:rPr>
          <w:rFonts w:hint="eastAsia" w:ascii="Arial" w:hAnsi="Arial" w:cs="Arial"/>
          <w:b w:val="0"/>
          <w:bCs/>
          <w:color w:val="auto"/>
          <w:sz w:val="21"/>
          <w:szCs w:val="21"/>
          <w:highlight w:val="none"/>
        </w:rPr>
        <w:t>4.证明材料加盖投标人公章。</w:t>
      </w:r>
    </w:p>
    <w:p w14:paraId="675C9164">
      <w:pPr>
        <w:spacing w:line="300" w:lineRule="auto"/>
        <w:rPr>
          <w:rFonts w:ascii="Arial" w:hAnsi="Arial" w:cs="Arial"/>
          <w:color w:val="auto"/>
          <w:szCs w:val="21"/>
          <w:highlight w:val="none"/>
        </w:rPr>
      </w:pPr>
    </w:p>
    <w:p w14:paraId="70617D68">
      <w:pPr>
        <w:rPr>
          <w:rFonts w:ascii="Arial" w:hAnsi="Arial" w:cs="Arial"/>
          <w:color w:val="auto"/>
          <w:szCs w:val="21"/>
          <w:highlight w:val="none"/>
        </w:rPr>
      </w:pPr>
      <w:r>
        <w:rPr>
          <w:rFonts w:ascii="Arial" w:hAnsi="Arial" w:cs="Arial"/>
          <w:color w:val="auto"/>
          <w:szCs w:val="21"/>
          <w:highlight w:val="none"/>
        </w:rPr>
        <w:br w:type="page"/>
      </w:r>
    </w:p>
    <w:p w14:paraId="606B2EA5">
      <w:pPr>
        <w:pStyle w:val="4"/>
        <w:keepNext/>
        <w:keepLines/>
        <w:pageBreakBefore w:val="0"/>
        <w:widowControl w:val="0"/>
        <w:numPr>
          <w:ilvl w:val="0"/>
          <w:numId w:val="0"/>
        </w:numPr>
        <w:kinsoku/>
        <w:wordWrap/>
        <w:overflowPunct/>
        <w:topLinePunct w:val="0"/>
        <w:autoSpaceDE/>
        <w:autoSpaceDN/>
        <w:bidi w:val="0"/>
        <w:adjustRightInd/>
        <w:snapToGrid/>
        <w:spacing w:before="0" w:after="0" w:line="360" w:lineRule="auto"/>
        <w:textAlignment w:val="auto"/>
        <w:rPr>
          <w:rFonts w:hint="eastAsia" w:ascii="宋体" w:hAnsi="宋体" w:eastAsia="宋体" w:cstheme="minorBidi"/>
          <w:b/>
          <w:bCs/>
          <w:color w:val="auto"/>
          <w:kern w:val="2"/>
          <w:sz w:val="24"/>
          <w:szCs w:val="24"/>
          <w:highlight w:val="none"/>
          <w:lang w:val="en-US" w:eastAsia="zh-CN" w:bidi="ar-SA"/>
        </w:rPr>
      </w:pPr>
      <w:bookmarkStart w:id="620" w:name="_Toc163492939"/>
      <w:bookmarkStart w:id="621" w:name="_Toc8969"/>
      <w:r>
        <w:rPr>
          <w:rFonts w:hint="eastAsia" w:ascii="宋体" w:hAnsi="宋体" w:eastAsia="宋体" w:cstheme="minorBidi"/>
          <w:b/>
          <w:bCs/>
          <w:color w:val="auto"/>
          <w:kern w:val="2"/>
          <w:sz w:val="24"/>
          <w:szCs w:val="24"/>
          <w:highlight w:val="none"/>
          <w:lang w:val="en-US" w:eastAsia="zh-CN" w:bidi="ar-SA"/>
        </w:rPr>
        <w:t>（二）中小企业声明函</w:t>
      </w:r>
      <w:r>
        <w:rPr>
          <w:rFonts w:hint="eastAsia" w:ascii="宋体" w:hAnsi="宋体" w:eastAsia="宋体" w:cstheme="minorBidi"/>
          <w:b w:val="0"/>
          <w:bCs w:val="0"/>
          <w:color w:val="auto"/>
          <w:kern w:val="2"/>
          <w:sz w:val="24"/>
          <w:szCs w:val="24"/>
          <w:highlight w:val="none"/>
          <w:lang w:val="en-US" w:eastAsia="zh-CN" w:bidi="ar-SA"/>
        </w:rPr>
        <w:t>【</w:t>
      </w:r>
      <w:r>
        <w:rPr>
          <w:rFonts w:hint="eastAsia" w:cstheme="minorBidi"/>
          <w:b w:val="0"/>
          <w:bCs w:val="0"/>
          <w:i w:val="0"/>
          <w:iCs w:val="0"/>
          <w:color w:val="auto"/>
          <w:kern w:val="2"/>
          <w:sz w:val="24"/>
          <w:szCs w:val="24"/>
          <w:highlight w:val="none"/>
          <w:lang w:val="en-US" w:eastAsia="zh-CN" w:bidi="ar-SA"/>
        </w:rPr>
        <w:t>如专门面向中小企业采购的项目，此函可放于此处，否则，应后置于“其他资格证明文件”</w:t>
      </w:r>
      <w:r>
        <w:rPr>
          <w:rFonts w:hint="eastAsia" w:ascii="宋体" w:hAnsi="宋体" w:eastAsia="宋体" w:cstheme="minorBidi"/>
          <w:b w:val="0"/>
          <w:bCs w:val="0"/>
          <w:color w:val="auto"/>
          <w:kern w:val="2"/>
          <w:sz w:val="24"/>
          <w:szCs w:val="24"/>
          <w:highlight w:val="none"/>
          <w:lang w:val="en-US" w:eastAsia="zh-CN" w:bidi="ar-SA"/>
        </w:rPr>
        <w:t>】</w:t>
      </w:r>
      <w:bookmarkEnd w:id="620"/>
      <w:bookmarkEnd w:id="621"/>
    </w:p>
    <w:p w14:paraId="7A518507">
      <w:pPr>
        <w:pStyle w:val="42"/>
        <w:keepNext w:val="0"/>
        <w:keepLines w:val="0"/>
        <w:pageBreakBefore w:val="0"/>
        <w:widowControl w:val="0"/>
        <w:numPr>
          <w:ilvl w:val="0"/>
          <w:numId w:val="0"/>
        </w:numPr>
        <w:kinsoku/>
        <w:wordWrap/>
        <w:overflowPunct/>
        <w:topLinePunct w:val="0"/>
        <w:autoSpaceDE/>
        <w:autoSpaceDN/>
        <w:bidi w:val="0"/>
        <w:adjustRightInd/>
        <w:snapToGrid/>
        <w:spacing w:line="300" w:lineRule="exact"/>
        <w:ind w:left="420" w:leftChars="0" w:hanging="420" w:firstLineChars="0"/>
        <w:jc w:val="center"/>
        <w:textAlignment w:val="auto"/>
        <w:rPr>
          <w:rFonts w:hint="eastAsia"/>
          <w:b/>
          <w:bCs/>
          <w:color w:val="auto"/>
          <w:sz w:val="32"/>
          <w:szCs w:val="32"/>
          <w:highlight w:val="none"/>
        </w:rPr>
      </w:pPr>
    </w:p>
    <w:p w14:paraId="760F43E1">
      <w:pPr>
        <w:pStyle w:val="42"/>
        <w:numPr>
          <w:ilvl w:val="0"/>
          <w:numId w:val="0"/>
        </w:numPr>
        <w:ind w:left="420" w:leftChars="0" w:hanging="420" w:firstLineChars="0"/>
        <w:jc w:val="center"/>
        <w:rPr>
          <w:b/>
          <w:bCs/>
          <w:color w:val="auto"/>
          <w:sz w:val="32"/>
          <w:szCs w:val="32"/>
          <w:highlight w:val="none"/>
        </w:rPr>
      </w:pPr>
      <w:r>
        <w:rPr>
          <w:rFonts w:hint="eastAsia"/>
          <w:b/>
          <w:bCs/>
          <w:color w:val="auto"/>
          <w:sz w:val="32"/>
          <w:szCs w:val="32"/>
          <w:highlight w:val="none"/>
        </w:rPr>
        <w:t>中小企业声明函</w:t>
      </w:r>
    </w:p>
    <w:p w14:paraId="78BC1CF1">
      <w:pPr>
        <w:ind w:firstLine="504" w:firstLineChars="200"/>
        <w:rPr>
          <w:rFonts w:cs="宋体"/>
          <w:color w:val="auto"/>
          <w:spacing w:val="6"/>
          <w:szCs w:val="24"/>
          <w:highlight w:val="none"/>
        </w:rPr>
      </w:pPr>
      <w:r>
        <w:rPr>
          <w:rFonts w:hint="eastAsia" w:cs="宋体"/>
          <w:color w:val="auto"/>
          <w:spacing w:val="6"/>
          <w:szCs w:val="24"/>
          <w:highlight w:val="none"/>
        </w:rPr>
        <w:t>本公司（联合体）郑重声明，根据《政府采购促进中小企业发展管理办法》（财库﹝2020﹞46 号）的规定，本公司（联合体）参加</w:t>
      </w:r>
      <w:r>
        <w:rPr>
          <w:rFonts w:hint="eastAsia" w:cs="宋体"/>
          <w:color w:val="auto"/>
          <w:spacing w:val="6"/>
          <w:szCs w:val="24"/>
          <w:highlight w:val="none"/>
          <w:u w:val="single"/>
        </w:rPr>
        <w:t xml:space="preserve"> （单位名称）</w:t>
      </w:r>
      <w:r>
        <w:rPr>
          <w:rFonts w:hint="eastAsia" w:cs="宋体"/>
          <w:color w:val="auto"/>
          <w:spacing w:val="6"/>
          <w:szCs w:val="24"/>
          <w:highlight w:val="none"/>
        </w:rPr>
        <w:t xml:space="preserve"> 的</w:t>
      </w:r>
      <w:r>
        <w:rPr>
          <w:rFonts w:hint="eastAsia" w:cs="宋体"/>
          <w:color w:val="auto"/>
          <w:spacing w:val="6"/>
          <w:szCs w:val="24"/>
          <w:highlight w:val="none"/>
          <w:u w:val="single"/>
        </w:rPr>
        <w:t xml:space="preserve"> （项目名称） </w:t>
      </w:r>
      <w:r>
        <w:rPr>
          <w:rFonts w:hint="eastAsia" w:cs="宋体"/>
          <w:color w:val="auto"/>
          <w:spacing w:val="6"/>
          <w:szCs w:val="24"/>
          <w:highlight w:val="none"/>
        </w:rPr>
        <w:t>采购活动，提供的货物全部由符合政策要求的中小企业制造。相关企业（含联合体中的中小企业、签订分包意向协议的中小企业）的具体情况如下：</w:t>
      </w:r>
    </w:p>
    <w:p w14:paraId="5FCC96F1">
      <w:pPr>
        <w:ind w:firstLine="504" w:firstLineChars="200"/>
        <w:rPr>
          <w:rFonts w:cs="宋体"/>
          <w:color w:val="auto"/>
          <w:spacing w:val="6"/>
          <w:szCs w:val="24"/>
          <w:highlight w:val="none"/>
        </w:rPr>
      </w:pPr>
      <w:r>
        <w:rPr>
          <w:rFonts w:hint="eastAsia" w:cs="宋体"/>
          <w:color w:val="auto"/>
          <w:spacing w:val="6"/>
          <w:szCs w:val="24"/>
          <w:highlight w:val="none"/>
        </w:rPr>
        <w:t>1.</w:t>
      </w:r>
      <w:r>
        <w:rPr>
          <w:rFonts w:hint="eastAsia" w:cs="宋体"/>
          <w:color w:val="auto"/>
          <w:spacing w:val="6"/>
          <w:szCs w:val="24"/>
          <w:highlight w:val="none"/>
          <w:u w:val="single"/>
        </w:rPr>
        <w:t xml:space="preserve"> （标的名称） </w:t>
      </w:r>
      <w:r>
        <w:rPr>
          <w:rFonts w:hint="eastAsia" w:cs="宋体"/>
          <w:color w:val="auto"/>
          <w:spacing w:val="6"/>
          <w:szCs w:val="24"/>
          <w:highlight w:val="none"/>
        </w:rPr>
        <w:t>，属于</w:t>
      </w:r>
      <w:r>
        <w:rPr>
          <w:rFonts w:hint="eastAsia" w:cs="宋体"/>
          <w:color w:val="auto"/>
          <w:spacing w:val="6"/>
          <w:szCs w:val="24"/>
          <w:highlight w:val="none"/>
          <w:u w:val="single"/>
        </w:rPr>
        <w:t xml:space="preserve"> （采购文件中明确的所属行业）</w:t>
      </w:r>
      <w:r>
        <w:rPr>
          <w:rFonts w:hint="eastAsia" w:cs="宋体"/>
          <w:color w:val="auto"/>
          <w:spacing w:val="6"/>
          <w:szCs w:val="24"/>
          <w:highlight w:val="none"/>
        </w:rPr>
        <w:t>行业 ；制造商为</w:t>
      </w:r>
      <w:r>
        <w:rPr>
          <w:rFonts w:hint="eastAsia" w:cs="宋体"/>
          <w:color w:val="auto"/>
          <w:spacing w:val="6"/>
          <w:szCs w:val="24"/>
          <w:highlight w:val="none"/>
          <w:u w:val="single"/>
        </w:rPr>
        <w:t xml:space="preserve"> （企业名称） </w:t>
      </w:r>
      <w:r>
        <w:rPr>
          <w:rFonts w:hint="eastAsia" w:cs="宋体"/>
          <w:color w:val="auto"/>
          <w:spacing w:val="6"/>
          <w:szCs w:val="24"/>
          <w:highlight w:val="none"/>
        </w:rPr>
        <w:t>，从业人员</w:t>
      </w:r>
      <w:r>
        <w:rPr>
          <w:rFonts w:hint="eastAsia" w:cs="宋体"/>
          <w:color w:val="auto"/>
          <w:spacing w:val="6"/>
          <w:szCs w:val="24"/>
          <w:highlight w:val="none"/>
          <w:u w:val="single"/>
          <w:lang w:val="en-US" w:eastAsia="zh-CN"/>
        </w:rPr>
        <w:t xml:space="preserve">     </w:t>
      </w:r>
      <w:r>
        <w:rPr>
          <w:rFonts w:hint="eastAsia" w:cs="宋体"/>
          <w:color w:val="auto"/>
          <w:spacing w:val="6"/>
          <w:szCs w:val="24"/>
          <w:highlight w:val="none"/>
        </w:rPr>
        <w:t>人，营业收入为</w:t>
      </w:r>
      <w:r>
        <w:rPr>
          <w:rFonts w:hint="eastAsia" w:cs="宋体"/>
          <w:color w:val="auto"/>
          <w:spacing w:val="6"/>
          <w:szCs w:val="24"/>
          <w:highlight w:val="none"/>
          <w:u w:val="single"/>
          <w:lang w:val="en-US" w:eastAsia="zh-CN"/>
        </w:rPr>
        <w:t xml:space="preserve">      </w:t>
      </w:r>
      <w:r>
        <w:rPr>
          <w:rFonts w:hint="eastAsia" w:cs="宋体"/>
          <w:color w:val="auto"/>
          <w:spacing w:val="6"/>
          <w:szCs w:val="24"/>
          <w:highlight w:val="none"/>
        </w:rPr>
        <w:t>万元，资产总额为</w:t>
      </w:r>
      <w:r>
        <w:rPr>
          <w:rFonts w:hint="eastAsia" w:cs="宋体"/>
          <w:color w:val="auto"/>
          <w:spacing w:val="6"/>
          <w:szCs w:val="24"/>
          <w:highlight w:val="none"/>
          <w:u w:val="single"/>
          <w:lang w:val="en-US" w:eastAsia="zh-CN"/>
        </w:rPr>
        <w:t xml:space="preserve">       </w:t>
      </w:r>
      <w:r>
        <w:rPr>
          <w:rFonts w:hint="eastAsia" w:cs="宋体"/>
          <w:color w:val="auto"/>
          <w:spacing w:val="6"/>
          <w:szCs w:val="24"/>
          <w:highlight w:val="none"/>
        </w:rPr>
        <w:t>万元，属于</w:t>
      </w:r>
      <w:r>
        <w:rPr>
          <w:rFonts w:hint="eastAsia" w:cs="宋体"/>
          <w:color w:val="auto"/>
          <w:spacing w:val="6"/>
          <w:szCs w:val="24"/>
          <w:highlight w:val="none"/>
          <w:u w:val="single"/>
        </w:rPr>
        <w:t xml:space="preserve"> （中型企业、小型企业、微型企业）</w:t>
      </w:r>
      <w:r>
        <w:rPr>
          <w:rFonts w:hint="eastAsia" w:cs="宋体"/>
          <w:color w:val="auto"/>
          <w:spacing w:val="6"/>
          <w:szCs w:val="24"/>
          <w:highlight w:val="none"/>
        </w:rPr>
        <w:t>；</w:t>
      </w:r>
    </w:p>
    <w:p w14:paraId="1D01E102">
      <w:pPr>
        <w:ind w:firstLine="504" w:firstLineChars="200"/>
        <w:rPr>
          <w:rFonts w:cs="宋体"/>
          <w:color w:val="auto"/>
          <w:spacing w:val="6"/>
          <w:szCs w:val="24"/>
          <w:highlight w:val="none"/>
        </w:rPr>
      </w:pPr>
      <w:r>
        <w:rPr>
          <w:rFonts w:hint="eastAsia" w:cs="宋体"/>
          <w:color w:val="auto"/>
          <w:spacing w:val="6"/>
          <w:szCs w:val="24"/>
          <w:highlight w:val="none"/>
        </w:rPr>
        <w:t>2.</w:t>
      </w:r>
      <w:r>
        <w:rPr>
          <w:rFonts w:hint="eastAsia" w:cs="宋体"/>
          <w:color w:val="auto"/>
          <w:spacing w:val="6"/>
          <w:szCs w:val="24"/>
          <w:highlight w:val="none"/>
          <w:u w:val="single"/>
        </w:rPr>
        <w:t xml:space="preserve"> （标的名称） </w:t>
      </w:r>
      <w:r>
        <w:rPr>
          <w:rFonts w:hint="eastAsia" w:cs="宋体"/>
          <w:color w:val="auto"/>
          <w:spacing w:val="6"/>
          <w:szCs w:val="24"/>
          <w:highlight w:val="none"/>
        </w:rPr>
        <w:t>，属于</w:t>
      </w:r>
      <w:r>
        <w:rPr>
          <w:rFonts w:hint="eastAsia" w:cs="宋体"/>
          <w:color w:val="auto"/>
          <w:spacing w:val="6"/>
          <w:szCs w:val="24"/>
          <w:highlight w:val="none"/>
          <w:u w:val="single"/>
        </w:rPr>
        <w:t xml:space="preserve"> （采购文件中明确的所属行业）</w:t>
      </w:r>
      <w:r>
        <w:rPr>
          <w:rFonts w:hint="eastAsia" w:cs="宋体"/>
          <w:color w:val="auto"/>
          <w:spacing w:val="6"/>
          <w:szCs w:val="24"/>
          <w:highlight w:val="none"/>
        </w:rPr>
        <w:t>行业 ；制造商为</w:t>
      </w:r>
      <w:r>
        <w:rPr>
          <w:rFonts w:hint="eastAsia" w:cs="宋体"/>
          <w:color w:val="auto"/>
          <w:spacing w:val="6"/>
          <w:szCs w:val="24"/>
          <w:highlight w:val="none"/>
          <w:u w:val="single"/>
        </w:rPr>
        <w:t xml:space="preserve"> （企业名称） </w:t>
      </w:r>
      <w:r>
        <w:rPr>
          <w:rFonts w:hint="eastAsia" w:cs="宋体"/>
          <w:color w:val="auto"/>
          <w:spacing w:val="6"/>
          <w:szCs w:val="24"/>
          <w:highlight w:val="none"/>
        </w:rPr>
        <w:t>，从业人员</w:t>
      </w:r>
      <w:r>
        <w:rPr>
          <w:rFonts w:hint="eastAsia" w:cs="宋体"/>
          <w:color w:val="auto"/>
          <w:spacing w:val="6"/>
          <w:szCs w:val="24"/>
          <w:highlight w:val="none"/>
          <w:u w:val="single"/>
          <w:lang w:val="en-US" w:eastAsia="zh-CN"/>
        </w:rPr>
        <w:t xml:space="preserve">      </w:t>
      </w:r>
      <w:r>
        <w:rPr>
          <w:rFonts w:hint="eastAsia" w:cs="宋体"/>
          <w:color w:val="auto"/>
          <w:spacing w:val="6"/>
          <w:szCs w:val="24"/>
          <w:highlight w:val="none"/>
        </w:rPr>
        <w:t>人，营业收入为</w:t>
      </w:r>
      <w:r>
        <w:rPr>
          <w:rFonts w:hint="eastAsia" w:cs="宋体"/>
          <w:color w:val="auto"/>
          <w:spacing w:val="6"/>
          <w:szCs w:val="24"/>
          <w:highlight w:val="none"/>
          <w:u w:val="single"/>
          <w:lang w:val="en-US" w:eastAsia="zh-CN"/>
        </w:rPr>
        <w:t xml:space="preserve">      </w:t>
      </w:r>
      <w:r>
        <w:rPr>
          <w:rFonts w:hint="eastAsia" w:cs="宋体"/>
          <w:color w:val="auto"/>
          <w:spacing w:val="6"/>
          <w:szCs w:val="24"/>
          <w:highlight w:val="none"/>
        </w:rPr>
        <w:t>万元，资产总额为</w:t>
      </w:r>
      <w:r>
        <w:rPr>
          <w:rFonts w:hint="eastAsia" w:cs="宋体"/>
          <w:color w:val="auto"/>
          <w:spacing w:val="6"/>
          <w:szCs w:val="24"/>
          <w:highlight w:val="none"/>
          <w:u w:val="single"/>
          <w:lang w:val="en-US" w:eastAsia="zh-CN"/>
        </w:rPr>
        <w:t xml:space="preserve">       </w:t>
      </w:r>
      <w:r>
        <w:rPr>
          <w:rFonts w:hint="eastAsia" w:cs="宋体"/>
          <w:color w:val="auto"/>
          <w:spacing w:val="6"/>
          <w:szCs w:val="24"/>
          <w:highlight w:val="none"/>
        </w:rPr>
        <w:t>万元，属于</w:t>
      </w:r>
      <w:r>
        <w:rPr>
          <w:rFonts w:hint="eastAsia" w:cs="宋体"/>
          <w:color w:val="auto"/>
          <w:spacing w:val="6"/>
          <w:szCs w:val="24"/>
          <w:highlight w:val="none"/>
          <w:u w:val="single"/>
        </w:rPr>
        <w:t xml:space="preserve"> （中型企业、小型企业、微型企业）</w:t>
      </w:r>
      <w:r>
        <w:rPr>
          <w:rFonts w:hint="eastAsia" w:cs="宋体"/>
          <w:color w:val="auto"/>
          <w:spacing w:val="6"/>
          <w:szCs w:val="24"/>
          <w:highlight w:val="none"/>
        </w:rPr>
        <w:t>；</w:t>
      </w:r>
    </w:p>
    <w:p w14:paraId="7CB1DD8C">
      <w:pPr>
        <w:ind w:firstLine="504" w:firstLineChars="200"/>
        <w:rPr>
          <w:rFonts w:cs="宋体"/>
          <w:color w:val="auto"/>
          <w:spacing w:val="6"/>
          <w:szCs w:val="24"/>
          <w:highlight w:val="none"/>
        </w:rPr>
      </w:pPr>
      <w:r>
        <w:rPr>
          <w:rFonts w:hint="eastAsia" w:cs="宋体"/>
          <w:color w:val="auto"/>
          <w:spacing w:val="6"/>
          <w:szCs w:val="24"/>
          <w:highlight w:val="none"/>
        </w:rPr>
        <w:t>……</w:t>
      </w:r>
    </w:p>
    <w:p w14:paraId="776FE44A">
      <w:pPr>
        <w:ind w:firstLine="504" w:firstLineChars="200"/>
        <w:rPr>
          <w:rFonts w:cs="宋体"/>
          <w:color w:val="auto"/>
          <w:spacing w:val="6"/>
          <w:szCs w:val="24"/>
          <w:highlight w:val="none"/>
        </w:rPr>
      </w:pPr>
      <w:r>
        <w:rPr>
          <w:rFonts w:hint="eastAsia" w:cs="宋体"/>
          <w:color w:val="auto"/>
          <w:spacing w:val="6"/>
          <w:szCs w:val="24"/>
          <w:highlight w:val="none"/>
        </w:rPr>
        <w:t>以上企业，不属于大企业的分支机构，不存在控股股东为大企业的情形，也不存在与大企业的负责人为同一人的情形。</w:t>
      </w:r>
    </w:p>
    <w:p w14:paraId="3A720EA2">
      <w:pPr>
        <w:ind w:firstLine="504" w:firstLineChars="200"/>
        <w:rPr>
          <w:rFonts w:cs="宋体"/>
          <w:color w:val="auto"/>
          <w:spacing w:val="6"/>
          <w:szCs w:val="24"/>
          <w:highlight w:val="none"/>
        </w:rPr>
      </w:pPr>
      <w:r>
        <w:rPr>
          <w:rFonts w:hint="eastAsia" w:cs="宋体"/>
          <w:color w:val="auto"/>
          <w:spacing w:val="6"/>
          <w:szCs w:val="24"/>
          <w:highlight w:val="none"/>
        </w:rPr>
        <w:t>本企业对上述声明内容的真实性负责。如有虚假，将依法承担相应责任。</w:t>
      </w:r>
    </w:p>
    <w:p w14:paraId="5A6D844B">
      <w:pPr>
        <w:ind w:right="1008" w:firstLine="4788" w:firstLineChars="1900"/>
        <w:rPr>
          <w:rFonts w:cs="宋体"/>
          <w:color w:val="auto"/>
          <w:spacing w:val="6"/>
          <w:szCs w:val="24"/>
          <w:highlight w:val="none"/>
        </w:rPr>
      </w:pPr>
    </w:p>
    <w:p w14:paraId="165AEE2D">
      <w:pPr>
        <w:ind w:right="1008" w:firstLine="4284" w:firstLineChars="1700"/>
        <w:rPr>
          <w:rFonts w:cs="宋体"/>
          <w:color w:val="auto"/>
          <w:spacing w:val="6"/>
          <w:szCs w:val="24"/>
          <w:highlight w:val="none"/>
        </w:rPr>
      </w:pPr>
      <w:r>
        <w:rPr>
          <w:rFonts w:hint="eastAsia" w:cs="宋体"/>
          <w:color w:val="auto"/>
          <w:spacing w:val="6"/>
          <w:szCs w:val="24"/>
          <w:highlight w:val="none"/>
          <w:lang w:val="en-US" w:eastAsia="zh-CN"/>
        </w:rPr>
        <w:t>投标人</w:t>
      </w:r>
      <w:r>
        <w:rPr>
          <w:rFonts w:hint="eastAsia" w:cs="宋体"/>
          <w:color w:val="auto"/>
          <w:spacing w:val="6"/>
          <w:szCs w:val="24"/>
          <w:highlight w:val="none"/>
        </w:rPr>
        <w:t>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hint="eastAsia" w:cs="宋体"/>
          <w:color w:val="auto"/>
          <w:spacing w:val="6"/>
          <w:szCs w:val="24"/>
          <w:highlight w:val="none"/>
        </w:rPr>
        <w:t>：</w:t>
      </w:r>
    </w:p>
    <w:p w14:paraId="5183E380">
      <w:pPr>
        <w:ind w:right="1008" w:firstLine="4284" w:firstLineChars="1700"/>
        <w:rPr>
          <w:rFonts w:hint="default" w:eastAsia="宋体" w:cs="宋体"/>
          <w:color w:val="auto"/>
          <w:spacing w:val="6"/>
          <w:szCs w:val="24"/>
          <w:highlight w:val="none"/>
          <w:lang w:val="en-US" w:eastAsia="zh-CN"/>
        </w:rPr>
      </w:pPr>
      <w:r>
        <w:rPr>
          <w:rFonts w:hint="eastAsia" w:cs="宋体"/>
          <w:color w:val="auto"/>
          <w:spacing w:val="6"/>
          <w:szCs w:val="24"/>
          <w:highlight w:val="none"/>
        </w:rPr>
        <w:t>日期：</w:t>
      </w:r>
      <w:r>
        <w:rPr>
          <w:rFonts w:hint="eastAsia" w:cs="宋体"/>
          <w:color w:val="auto"/>
          <w:spacing w:val="6"/>
          <w:szCs w:val="24"/>
          <w:highlight w:val="none"/>
          <w:lang w:val="en-US" w:eastAsia="zh-CN"/>
        </w:rPr>
        <w:t xml:space="preserve">   年  月  日</w:t>
      </w:r>
    </w:p>
    <w:p w14:paraId="7BA8C73B">
      <w:pPr>
        <w:ind w:firstLine="504" w:firstLineChars="200"/>
        <w:rPr>
          <w:rFonts w:cs="宋体"/>
          <w:color w:val="auto"/>
          <w:spacing w:val="6"/>
          <w:szCs w:val="24"/>
          <w:highlight w:val="none"/>
        </w:rPr>
      </w:pPr>
    </w:p>
    <w:p w14:paraId="748B4DD4">
      <w:pPr>
        <w:rPr>
          <w:rFonts w:hint="default" w:cs="宋体"/>
          <w:b/>
          <w:bCs/>
          <w:color w:val="auto"/>
          <w:spacing w:val="6"/>
          <w:sz w:val="21"/>
          <w:szCs w:val="21"/>
          <w:highlight w:val="none"/>
          <w:lang w:val="en-US" w:eastAsia="zh-CN"/>
        </w:rPr>
      </w:pPr>
      <w:r>
        <w:rPr>
          <w:rFonts w:hint="eastAsia" w:cs="宋体"/>
          <w:b/>
          <w:bCs/>
          <w:color w:val="auto"/>
          <w:spacing w:val="6"/>
          <w:sz w:val="21"/>
          <w:szCs w:val="21"/>
          <w:highlight w:val="none"/>
        </w:rPr>
        <w:t>说明：</w:t>
      </w:r>
      <w:r>
        <w:rPr>
          <w:rFonts w:hint="eastAsia" w:cs="宋体"/>
          <w:b/>
          <w:bCs/>
          <w:color w:val="auto"/>
          <w:spacing w:val="6"/>
          <w:sz w:val="21"/>
          <w:szCs w:val="21"/>
          <w:highlight w:val="none"/>
          <w:lang w:val="en-US" w:eastAsia="zh-CN"/>
        </w:rPr>
        <w:t>1.重要提示：供应商应仔细阅读本函附件1关于</w:t>
      </w:r>
      <w:r>
        <w:rPr>
          <w:rFonts w:hint="eastAsia" w:cs="宋体"/>
          <w:color w:val="auto"/>
          <w:spacing w:val="-6"/>
          <w:kern w:val="0"/>
          <w:sz w:val="21"/>
          <w:szCs w:val="21"/>
          <w:highlight w:val="none"/>
          <w:lang w:val="en-US" w:eastAsia="zh-CN" w:bidi="ar"/>
        </w:rPr>
        <w:t>“</w:t>
      </w:r>
      <w:r>
        <w:rPr>
          <w:rFonts w:hint="eastAsia" w:cs="宋体"/>
          <w:b/>
          <w:bCs/>
          <w:color w:val="auto"/>
          <w:spacing w:val="6"/>
          <w:sz w:val="21"/>
          <w:szCs w:val="21"/>
          <w:highlight w:val="none"/>
          <w:lang w:val="en-US" w:eastAsia="zh-CN"/>
        </w:rPr>
        <w:t>中小企业声明函”的填写要求及提交要求，否则，因填写或提交等产生的一切不利后果，须自行承担。</w:t>
      </w:r>
    </w:p>
    <w:p w14:paraId="126DF3AF">
      <w:pPr>
        <w:ind w:firstLine="668" w:firstLineChars="300"/>
        <w:rPr>
          <w:rFonts w:cs="宋体"/>
          <w:color w:val="auto"/>
          <w:spacing w:val="6"/>
          <w:sz w:val="21"/>
          <w:szCs w:val="21"/>
          <w:highlight w:val="none"/>
        </w:rPr>
      </w:pPr>
      <w:r>
        <w:rPr>
          <w:rFonts w:hint="eastAsia" w:cs="宋体"/>
          <w:b/>
          <w:bCs/>
          <w:color w:val="auto"/>
          <w:spacing w:val="6"/>
          <w:sz w:val="21"/>
          <w:szCs w:val="21"/>
          <w:highlight w:val="none"/>
          <w:lang w:val="en-US" w:eastAsia="zh-CN"/>
        </w:rPr>
        <w:t>2.</w:t>
      </w:r>
      <w:r>
        <w:rPr>
          <w:rFonts w:hint="eastAsia" w:cs="宋体"/>
          <w:color w:val="auto"/>
          <w:spacing w:val="6"/>
          <w:sz w:val="21"/>
          <w:szCs w:val="21"/>
          <w:highlight w:val="none"/>
        </w:rPr>
        <w:t>从业人员、营业收入、资产总额填报上一年度数据，无上一年度数据的新成立企业可不填报。</w:t>
      </w:r>
    </w:p>
    <w:p w14:paraId="54C60C67">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b/>
          <w:bCs/>
          <w:color w:val="auto"/>
          <w:highlight w:val="none"/>
          <w:lang w:val="en-US" w:eastAsia="zh-CN"/>
        </w:rPr>
      </w:pPr>
    </w:p>
    <w:p w14:paraId="44B8976A">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b/>
          <w:bCs/>
          <w:color w:val="auto"/>
          <w:highlight w:val="none"/>
          <w:lang w:val="en-US" w:eastAsia="zh-CN"/>
        </w:rPr>
      </w:pPr>
    </w:p>
    <w:p w14:paraId="76657691">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b/>
          <w:bCs/>
          <w:color w:val="auto"/>
          <w:highlight w:val="none"/>
          <w:lang w:val="en-US" w:eastAsia="zh-CN"/>
        </w:rPr>
      </w:pPr>
    </w:p>
    <w:p w14:paraId="779FDA63">
      <w:pPr>
        <w:rPr>
          <w:rFonts w:hint="eastAsia"/>
          <w:b/>
          <w:bCs/>
          <w:color w:val="auto"/>
          <w:highlight w:val="none"/>
          <w:lang w:val="en-US" w:eastAsia="zh-CN"/>
        </w:rPr>
      </w:pPr>
      <w:r>
        <w:rPr>
          <w:rFonts w:hint="eastAsia"/>
          <w:b/>
          <w:bCs/>
          <w:color w:val="auto"/>
          <w:highlight w:val="none"/>
          <w:lang w:val="en-US" w:eastAsia="zh-CN"/>
        </w:rPr>
        <w:br w:type="page"/>
      </w:r>
    </w:p>
    <w:p w14:paraId="02C73CD9">
      <w:pPr>
        <w:jc w:val="center"/>
        <w:rPr>
          <w:rFonts w:hint="eastAsia" w:ascii="宋体" w:hAnsi="宋体" w:eastAsia="宋体" w:cs="宋体"/>
          <w:bCs/>
          <w:sz w:val="24"/>
          <w:szCs w:val="24"/>
          <w:highlight w:val="none"/>
        </w:rPr>
      </w:pPr>
      <w:r>
        <w:rPr>
          <w:rFonts w:hint="eastAsia" w:ascii="宋体" w:hAnsi="宋体" w:eastAsia="宋体" w:cs="宋体"/>
          <w:b/>
          <w:bCs w:val="0"/>
          <w:color w:val="000000" w:themeColor="text1"/>
          <w:sz w:val="24"/>
          <w:szCs w:val="24"/>
          <w:highlight w:val="none"/>
          <w14:textFill>
            <w14:solidFill>
              <w14:schemeClr w14:val="tx1"/>
            </w14:solidFill>
          </w14:textFill>
        </w:rPr>
        <w:t>小微企业生产或销售的产品优惠明细表</w:t>
      </w:r>
    </w:p>
    <w:p w14:paraId="6DD0473E">
      <w:pPr>
        <w:rPr>
          <w:rFonts w:hint="eastAsia" w:ascii="宋体" w:hAnsi="宋体" w:eastAsia="宋体" w:cs="宋体"/>
          <w:sz w:val="24"/>
          <w:szCs w:val="24"/>
          <w:highlight w:val="none"/>
        </w:rPr>
      </w:pPr>
    </w:p>
    <w:p w14:paraId="16E5958D">
      <w:pPr>
        <w:pStyle w:val="87"/>
        <w:tabs>
          <w:tab w:val="left" w:pos="480"/>
          <w:tab w:val="clear" w:pos="576"/>
          <w:tab w:val="clear" w:pos="1296"/>
        </w:tabs>
        <w:spacing w:line="440" w:lineRule="exact"/>
        <w:ind w:left="1920" w:leftChars="800" w:firstLine="4320" w:firstLineChars="1800"/>
        <w:outlineLvl w:val="9"/>
        <w:rPr>
          <w:rFonts w:hint="eastAsia" w:ascii="宋体" w:hAnsi="宋体" w:eastAsia="宋体" w:cs="宋体"/>
          <w:bCs/>
          <w:sz w:val="24"/>
          <w:szCs w:val="24"/>
          <w:highlight w:val="none"/>
        </w:rPr>
      </w:pPr>
      <w:r>
        <w:rPr>
          <w:rFonts w:hint="eastAsia" w:ascii="宋体" w:hAnsi="宋体" w:eastAsia="宋体" w:cs="宋体"/>
          <w:sz w:val="24"/>
          <w:szCs w:val="24"/>
          <w:highlight w:val="none"/>
        </w:rPr>
        <w:t xml:space="preserve">报价货币种类：  </w:t>
      </w:r>
    </w:p>
    <w:tbl>
      <w:tblPr>
        <w:tblStyle w:val="3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7"/>
        <w:gridCol w:w="2012"/>
        <w:gridCol w:w="1123"/>
        <w:gridCol w:w="1050"/>
        <w:gridCol w:w="1561"/>
        <w:gridCol w:w="1260"/>
        <w:gridCol w:w="1641"/>
      </w:tblGrid>
      <w:tr w14:paraId="042760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1207" w:type="dxa"/>
            <w:noWrap w:val="0"/>
            <w:vAlign w:val="center"/>
          </w:tcPr>
          <w:p w14:paraId="6CDBBE56">
            <w:pPr>
              <w:tabs>
                <w:tab w:val="left" w:pos="5355"/>
              </w:tabs>
              <w:spacing w:line="380" w:lineRule="atLeas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1</w:t>
            </w:r>
          </w:p>
        </w:tc>
        <w:tc>
          <w:tcPr>
            <w:tcW w:w="2012" w:type="dxa"/>
            <w:noWrap w:val="0"/>
            <w:vAlign w:val="center"/>
          </w:tcPr>
          <w:p w14:paraId="2EE63505">
            <w:pPr>
              <w:tabs>
                <w:tab w:val="left" w:pos="5355"/>
              </w:tabs>
              <w:spacing w:line="380" w:lineRule="atLeas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2</w:t>
            </w:r>
          </w:p>
        </w:tc>
        <w:tc>
          <w:tcPr>
            <w:tcW w:w="1123" w:type="dxa"/>
            <w:noWrap w:val="0"/>
            <w:vAlign w:val="center"/>
          </w:tcPr>
          <w:p w14:paraId="161CB0F3">
            <w:pPr>
              <w:tabs>
                <w:tab w:val="left" w:pos="5355"/>
              </w:tabs>
              <w:spacing w:line="380" w:lineRule="atLeas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3</w:t>
            </w:r>
          </w:p>
        </w:tc>
        <w:tc>
          <w:tcPr>
            <w:tcW w:w="1050" w:type="dxa"/>
            <w:noWrap w:val="0"/>
            <w:vAlign w:val="center"/>
          </w:tcPr>
          <w:p w14:paraId="6A222F35">
            <w:pPr>
              <w:tabs>
                <w:tab w:val="left" w:pos="5355"/>
              </w:tabs>
              <w:spacing w:line="380" w:lineRule="atLeas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4</w:t>
            </w:r>
          </w:p>
        </w:tc>
        <w:tc>
          <w:tcPr>
            <w:tcW w:w="1561" w:type="dxa"/>
            <w:noWrap w:val="0"/>
            <w:vAlign w:val="center"/>
          </w:tcPr>
          <w:p w14:paraId="57B195CD">
            <w:pPr>
              <w:tabs>
                <w:tab w:val="left" w:pos="5355"/>
              </w:tabs>
              <w:spacing w:line="380" w:lineRule="atLeas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5</w:t>
            </w:r>
          </w:p>
        </w:tc>
        <w:tc>
          <w:tcPr>
            <w:tcW w:w="1260" w:type="dxa"/>
            <w:noWrap w:val="0"/>
            <w:vAlign w:val="center"/>
          </w:tcPr>
          <w:p w14:paraId="0C9CF913">
            <w:pPr>
              <w:tabs>
                <w:tab w:val="left" w:pos="5355"/>
              </w:tabs>
              <w:spacing w:line="380" w:lineRule="atLeas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6</w:t>
            </w:r>
          </w:p>
        </w:tc>
        <w:tc>
          <w:tcPr>
            <w:tcW w:w="1641" w:type="dxa"/>
            <w:noWrap w:val="0"/>
            <w:vAlign w:val="center"/>
          </w:tcPr>
          <w:p w14:paraId="4F0A9FCA">
            <w:pPr>
              <w:tabs>
                <w:tab w:val="left" w:pos="5355"/>
              </w:tabs>
              <w:spacing w:line="380" w:lineRule="atLeas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7</w:t>
            </w:r>
          </w:p>
        </w:tc>
      </w:tr>
      <w:tr w14:paraId="7489BA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207" w:type="dxa"/>
            <w:tcBorders>
              <w:bottom w:val="single" w:color="auto" w:sz="6" w:space="0"/>
            </w:tcBorders>
            <w:noWrap w:val="0"/>
            <w:vAlign w:val="center"/>
          </w:tcPr>
          <w:p w14:paraId="4B821E12">
            <w:pPr>
              <w:tabs>
                <w:tab w:val="left" w:pos="5355"/>
              </w:tabs>
              <w:spacing w:line="380" w:lineRule="atLeas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标段（包）</w:t>
            </w:r>
          </w:p>
        </w:tc>
        <w:tc>
          <w:tcPr>
            <w:tcW w:w="2012" w:type="dxa"/>
            <w:noWrap w:val="0"/>
            <w:vAlign w:val="center"/>
          </w:tcPr>
          <w:p w14:paraId="34A287A3">
            <w:pPr>
              <w:tabs>
                <w:tab w:val="left" w:pos="5355"/>
              </w:tabs>
              <w:spacing w:line="380" w:lineRule="atLeas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小型和微型企业产品名称</w:t>
            </w:r>
          </w:p>
        </w:tc>
        <w:tc>
          <w:tcPr>
            <w:tcW w:w="1123" w:type="dxa"/>
            <w:noWrap w:val="0"/>
            <w:vAlign w:val="center"/>
          </w:tcPr>
          <w:p w14:paraId="1FDD2F7E">
            <w:pPr>
              <w:tabs>
                <w:tab w:val="left" w:pos="5355"/>
              </w:tabs>
              <w:spacing w:line="380" w:lineRule="atLeas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数量</w:t>
            </w:r>
          </w:p>
        </w:tc>
        <w:tc>
          <w:tcPr>
            <w:tcW w:w="1050" w:type="dxa"/>
            <w:noWrap w:val="0"/>
            <w:vAlign w:val="center"/>
          </w:tcPr>
          <w:p w14:paraId="73301867">
            <w:pPr>
              <w:tabs>
                <w:tab w:val="left" w:pos="5355"/>
              </w:tabs>
              <w:spacing w:line="380" w:lineRule="atLeas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报价（元）</w:t>
            </w:r>
          </w:p>
        </w:tc>
        <w:tc>
          <w:tcPr>
            <w:tcW w:w="1561" w:type="dxa"/>
            <w:noWrap w:val="0"/>
            <w:vAlign w:val="center"/>
          </w:tcPr>
          <w:p w14:paraId="4DEF9603">
            <w:pPr>
              <w:tabs>
                <w:tab w:val="left" w:pos="5355"/>
              </w:tabs>
              <w:spacing w:line="380" w:lineRule="atLeas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价格评审扣除金额（元）</w:t>
            </w:r>
          </w:p>
        </w:tc>
        <w:tc>
          <w:tcPr>
            <w:tcW w:w="1260" w:type="dxa"/>
            <w:noWrap w:val="0"/>
            <w:vAlign w:val="center"/>
          </w:tcPr>
          <w:p w14:paraId="7F81E191">
            <w:pPr>
              <w:tabs>
                <w:tab w:val="left" w:pos="5355"/>
              </w:tabs>
              <w:spacing w:line="380" w:lineRule="atLeas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品牌型号规格</w:t>
            </w:r>
          </w:p>
        </w:tc>
        <w:tc>
          <w:tcPr>
            <w:tcW w:w="1641" w:type="dxa"/>
            <w:noWrap w:val="0"/>
            <w:vAlign w:val="center"/>
          </w:tcPr>
          <w:p w14:paraId="163A234E">
            <w:pPr>
              <w:tabs>
                <w:tab w:val="left" w:pos="5355"/>
              </w:tabs>
              <w:spacing w:line="380" w:lineRule="atLeas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制造商</w:t>
            </w:r>
          </w:p>
          <w:p w14:paraId="3C961F1B">
            <w:pPr>
              <w:tabs>
                <w:tab w:val="left" w:pos="5355"/>
              </w:tabs>
              <w:spacing w:line="380" w:lineRule="atLeas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全称</w:t>
            </w:r>
          </w:p>
        </w:tc>
      </w:tr>
      <w:tr w14:paraId="0772F9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jc w:val="center"/>
        </w:trPr>
        <w:tc>
          <w:tcPr>
            <w:tcW w:w="1207" w:type="dxa"/>
            <w:tcBorders>
              <w:top w:val="single" w:color="auto" w:sz="6" w:space="0"/>
              <w:bottom w:val="single" w:color="auto" w:sz="6" w:space="0"/>
            </w:tcBorders>
            <w:noWrap w:val="0"/>
            <w:vAlign w:val="center"/>
          </w:tcPr>
          <w:p w14:paraId="4A4F9046">
            <w:pPr>
              <w:tabs>
                <w:tab w:val="left" w:pos="5355"/>
              </w:tabs>
              <w:spacing w:line="380" w:lineRule="atLeast"/>
              <w:jc w:val="center"/>
              <w:rPr>
                <w:rFonts w:hint="eastAsia" w:ascii="宋体" w:hAnsi="宋体" w:eastAsia="宋体" w:cs="宋体"/>
                <w:bCs/>
                <w:sz w:val="24"/>
                <w:szCs w:val="24"/>
                <w:highlight w:val="none"/>
              </w:rPr>
            </w:pPr>
          </w:p>
        </w:tc>
        <w:tc>
          <w:tcPr>
            <w:tcW w:w="2012" w:type="dxa"/>
            <w:noWrap w:val="0"/>
            <w:vAlign w:val="top"/>
          </w:tcPr>
          <w:p w14:paraId="03439CEF">
            <w:pPr>
              <w:tabs>
                <w:tab w:val="left" w:pos="5355"/>
              </w:tabs>
              <w:spacing w:line="380" w:lineRule="atLeast"/>
              <w:jc w:val="center"/>
              <w:rPr>
                <w:rFonts w:hint="eastAsia" w:ascii="宋体" w:hAnsi="宋体" w:eastAsia="宋体" w:cs="宋体"/>
                <w:bCs/>
                <w:sz w:val="24"/>
                <w:szCs w:val="24"/>
                <w:highlight w:val="none"/>
              </w:rPr>
            </w:pPr>
          </w:p>
        </w:tc>
        <w:tc>
          <w:tcPr>
            <w:tcW w:w="1123" w:type="dxa"/>
            <w:noWrap w:val="0"/>
            <w:vAlign w:val="center"/>
          </w:tcPr>
          <w:p w14:paraId="2D181A79">
            <w:pPr>
              <w:tabs>
                <w:tab w:val="left" w:pos="5355"/>
              </w:tabs>
              <w:spacing w:line="380" w:lineRule="atLeast"/>
              <w:jc w:val="center"/>
              <w:rPr>
                <w:rFonts w:hint="eastAsia" w:ascii="宋体" w:hAnsi="宋体" w:eastAsia="宋体" w:cs="宋体"/>
                <w:bCs/>
                <w:sz w:val="24"/>
                <w:szCs w:val="24"/>
                <w:highlight w:val="none"/>
              </w:rPr>
            </w:pPr>
          </w:p>
        </w:tc>
        <w:tc>
          <w:tcPr>
            <w:tcW w:w="1050" w:type="dxa"/>
            <w:noWrap w:val="0"/>
            <w:vAlign w:val="center"/>
          </w:tcPr>
          <w:p w14:paraId="08C47F1E">
            <w:pPr>
              <w:tabs>
                <w:tab w:val="left" w:pos="5355"/>
              </w:tabs>
              <w:spacing w:line="380" w:lineRule="atLeast"/>
              <w:jc w:val="center"/>
              <w:rPr>
                <w:rFonts w:hint="eastAsia" w:ascii="宋体" w:hAnsi="宋体" w:eastAsia="宋体" w:cs="宋体"/>
                <w:bCs/>
                <w:sz w:val="24"/>
                <w:szCs w:val="24"/>
                <w:highlight w:val="none"/>
              </w:rPr>
            </w:pPr>
          </w:p>
        </w:tc>
        <w:tc>
          <w:tcPr>
            <w:tcW w:w="1561" w:type="dxa"/>
            <w:noWrap w:val="0"/>
            <w:vAlign w:val="center"/>
          </w:tcPr>
          <w:p w14:paraId="64401751">
            <w:pPr>
              <w:tabs>
                <w:tab w:val="left" w:pos="5355"/>
              </w:tabs>
              <w:spacing w:line="380" w:lineRule="atLeast"/>
              <w:jc w:val="center"/>
              <w:rPr>
                <w:rFonts w:hint="eastAsia" w:ascii="宋体" w:hAnsi="宋体" w:eastAsia="宋体" w:cs="宋体"/>
                <w:bCs/>
                <w:sz w:val="24"/>
                <w:szCs w:val="24"/>
                <w:highlight w:val="none"/>
              </w:rPr>
            </w:pPr>
          </w:p>
        </w:tc>
        <w:tc>
          <w:tcPr>
            <w:tcW w:w="1260" w:type="dxa"/>
            <w:noWrap w:val="0"/>
            <w:vAlign w:val="center"/>
          </w:tcPr>
          <w:p w14:paraId="03D29903">
            <w:pPr>
              <w:tabs>
                <w:tab w:val="left" w:pos="5355"/>
              </w:tabs>
              <w:spacing w:line="380" w:lineRule="atLeast"/>
              <w:jc w:val="center"/>
              <w:rPr>
                <w:rFonts w:hint="eastAsia" w:ascii="宋体" w:hAnsi="宋体" w:eastAsia="宋体" w:cs="宋体"/>
                <w:bCs/>
                <w:sz w:val="24"/>
                <w:szCs w:val="24"/>
                <w:highlight w:val="none"/>
              </w:rPr>
            </w:pPr>
          </w:p>
        </w:tc>
        <w:tc>
          <w:tcPr>
            <w:tcW w:w="1641" w:type="dxa"/>
            <w:noWrap w:val="0"/>
            <w:vAlign w:val="center"/>
          </w:tcPr>
          <w:p w14:paraId="34108F28">
            <w:pPr>
              <w:tabs>
                <w:tab w:val="left" w:pos="5355"/>
              </w:tabs>
              <w:spacing w:line="380" w:lineRule="atLeast"/>
              <w:jc w:val="center"/>
              <w:rPr>
                <w:rFonts w:hint="eastAsia" w:ascii="宋体" w:hAnsi="宋体" w:eastAsia="宋体" w:cs="宋体"/>
                <w:bCs/>
                <w:sz w:val="24"/>
                <w:szCs w:val="24"/>
                <w:highlight w:val="none"/>
              </w:rPr>
            </w:pPr>
          </w:p>
        </w:tc>
      </w:tr>
      <w:tr w14:paraId="3314CF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jc w:val="center"/>
        </w:trPr>
        <w:tc>
          <w:tcPr>
            <w:tcW w:w="1207" w:type="dxa"/>
            <w:tcBorders>
              <w:top w:val="single" w:color="auto" w:sz="6" w:space="0"/>
              <w:bottom w:val="single" w:color="auto" w:sz="6" w:space="0"/>
            </w:tcBorders>
            <w:noWrap w:val="0"/>
            <w:vAlign w:val="center"/>
          </w:tcPr>
          <w:p w14:paraId="39EB87FA">
            <w:pPr>
              <w:tabs>
                <w:tab w:val="left" w:pos="5355"/>
              </w:tabs>
              <w:spacing w:line="380" w:lineRule="atLeast"/>
              <w:jc w:val="center"/>
              <w:rPr>
                <w:rFonts w:hint="eastAsia" w:ascii="宋体" w:hAnsi="宋体" w:eastAsia="宋体" w:cs="宋体"/>
                <w:bCs/>
                <w:sz w:val="24"/>
                <w:szCs w:val="24"/>
                <w:highlight w:val="none"/>
              </w:rPr>
            </w:pPr>
          </w:p>
        </w:tc>
        <w:tc>
          <w:tcPr>
            <w:tcW w:w="2012" w:type="dxa"/>
            <w:noWrap w:val="0"/>
            <w:vAlign w:val="top"/>
          </w:tcPr>
          <w:p w14:paraId="54BEC1BA">
            <w:pPr>
              <w:tabs>
                <w:tab w:val="left" w:pos="5355"/>
              </w:tabs>
              <w:spacing w:line="380" w:lineRule="atLeast"/>
              <w:jc w:val="center"/>
              <w:rPr>
                <w:rFonts w:hint="eastAsia" w:ascii="宋体" w:hAnsi="宋体" w:eastAsia="宋体" w:cs="宋体"/>
                <w:bCs/>
                <w:sz w:val="24"/>
                <w:szCs w:val="24"/>
                <w:highlight w:val="none"/>
              </w:rPr>
            </w:pPr>
          </w:p>
        </w:tc>
        <w:tc>
          <w:tcPr>
            <w:tcW w:w="1123" w:type="dxa"/>
            <w:noWrap w:val="0"/>
            <w:vAlign w:val="center"/>
          </w:tcPr>
          <w:p w14:paraId="14D12AF1">
            <w:pPr>
              <w:tabs>
                <w:tab w:val="left" w:pos="5355"/>
              </w:tabs>
              <w:spacing w:line="380" w:lineRule="atLeast"/>
              <w:jc w:val="center"/>
              <w:rPr>
                <w:rFonts w:hint="eastAsia" w:ascii="宋体" w:hAnsi="宋体" w:eastAsia="宋体" w:cs="宋体"/>
                <w:bCs/>
                <w:sz w:val="24"/>
                <w:szCs w:val="24"/>
                <w:highlight w:val="none"/>
              </w:rPr>
            </w:pPr>
          </w:p>
        </w:tc>
        <w:tc>
          <w:tcPr>
            <w:tcW w:w="1050" w:type="dxa"/>
            <w:noWrap w:val="0"/>
            <w:vAlign w:val="center"/>
          </w:tcPr>
          <w:p w14:paraId="694772F9">
            <w:pPr>
              <w:tabs>
                <w:tab w:val="left" w:pos="5355"/>
              </w:tabs>
              <w:spacing w:line="380" w:lineRule="atLeast"/>
              <w:jc w:val="center"/>
              <w:rPr>
                <w:rFonts w:hint="eastAsia" w:ascii="宋体" w:hAnsi="宋体" w:eastAsia="宋体" w:cs="宋体"/>
                <w:bCs/>
                <w:sz w:val="24"/>
                <w:szCs w:val="24"/>
                <w:highlight w:val="none"/>
              </w:rPr>
            </w:pPr>
          </w:p>
        </w:tc>
        <w:tc>
          <w:tcPr>
            <w:tcW w:w="1561" w:type="dxa"/>
            <w:noWrap w:val="0"/>
            <w:vAlign w:val="center"/>
          </w:tcPr>
          <w:p w14:paraId="7461C155">
            <w:pPr>
              <w:tabs>
                <w:tab w:val="left" w:pos="5355"/>
              </w:tabs>
              <w:spacing w:line="380" w:lineRule="atLeast"/>
              <w:jc w:val="center"/>
              <w:rPr>
                <w:rFonts w:hint="eastAsia" w:ascii="宋体" w:hAnsi="宋体" w:eastAsia="宋体" w:cs="宋体"/>
                <w:bCs/>
                <w:sz w:val="24"/>
                <w:szCs w:val="24"/>
                <w:highlight w:val="none"/>
              </w:rPr>
            </w:pPr>
          </w:p>
        </w:tc>
        <w:tc>
          <w:tcPr>
            <w:tcW w:w="1260" w:type="dxa"/>
            <w:noWrap w:val="0"/>
            <w:vAlign w:val="center"/>
          </w:tcPr>
          <w:p w14:paraId="3BE7E4DB">
            <w:pPr>
              <w:tabs>
                <w:tab w:val="left" w:pos="5355"/>
              </w:tabs>
              <w:spacing w:line="380" w:lineRule="atLeast"/>
              <w:jc w:val="center"/>
              <w:rPr>
                <w:rFonts w:hint="eastAsia" w:ascii="宋体" w:hAnsi="宋体" w:eastAsia="宋体" w:cs="宋体"/>
                <w:bCs/>
                <w:sz w:val="24"/>
                <w:szCs w:val="24"/>
                <w:highlight w:val="none"/>
              </w:rPr>
            </w:pPr>
          </w:p>
        </w:tc>
        <w:tc>
          <w:tcPr>
            <w:tcW w:w="1641" w:type="dxa"/>
            <w:noWrap w:val="0"/>
            <w:vAlign w:val="center"/>
          </w:tcPr>
          <w:p w14:paraId="0A2EB0A3">
            <w:pPr>
              <w:tabs>
                <w:tab w:val="left" w:pos="5355"/>
              </w:tabs>
              <w:spacing w:line="380" w:lineRule="atLeast"/>
              <w:jc w:val="center"/>
              <w:rPr>
                <w:rFonts w:hint="eastAsia" w:ascii="宋体" w:hAnsi="宋体" w:eastAsia="宋体" w:cs="宋体"/>
                <w:bCs/>
                <w:sz w:val="24"/>
                <w:szCs w:val="24"/>
                <w:highlight w:val="none"/>
              </w:rPr>
            </w:pPr>
          </w:p>
        </w:tc>
      </w:tr>
      <w:tr w14:paraId="261686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1207" w:type="dxa"/>
            <w:tcBorders>
              <w:top w:val="single" w:color="auto" w:sz="6" w:space="0"/>
            </w:tcBorders>
            <w:noWrap w:val="0"/>
            <w:vAlign w:val="center"/>
          </w:tcPr>
          <w:p w14:paraId="5AE10A27">
            <w:pPr>
              <w:tabs>
                <w:tab w:val="left" w:pos="5355"/>
              </w:tabs>
              <w:spacing w:line="380" w:lineRule="atLeast"/>
              <w:jc w:val="center"/>
              <w:rPr>
                <w:rFonts w:hint="eastAsia" w:ascii="宋体" w:hAnsi="宋体" w:eastAsia="宋体" w:cs="宋体"/>
                <w:bCs/>
                <w:sz w:val="24"/>
                <w:szCs w:val="24"/>
                <w:highlight w:val="none"/>
              </w:rPr>
            </w:pPr>
          </w:p>
        </w:tc>
        <w:tc>
          <w:tcPr>
            <w:tcW w:w="8647" w:type="dxa"/>
            <w:gridSpan w:val="6"/>
            <w:noWrap w:val="0"/>
            <w:vAlign w:val="center"/>
          </w:tcPr>
          <w:p w14:paraId="3B0E4C7B">
            <w:pPr>
              <w:tabs>
                <w:tab w:val="left" w:pos="5355"/>
              </w:tabs>
              <w:spacing w:line="380" w:lineRule="atLeast"/>
              <w:rPr>
                <w:rFonts w:hint="eastAsia" w:ascii="宋体" w:hAnsi="宋体" w:eastAsia="宋体" w:cs="宋体"/>
                <w:bCs/>
                <w:sz w:val="24"/>
                <w:szCs w:val="24"/>
                <w:highlight w:val="none"/>
              </w:rPr>
            </w:pPr>
            <w:r>
              <w:rPr>
                <w:rFonts w:hint="eastAsia" w:ascii="宋体" w:hAnsi="宋体" w:eastAsia="宋体" w:cs="宋体"/>
                <w:bCs/>
                <w:sz w:val="24"/>
                <w:szCs w:val="24"/>
                <w:highlight w:val="none"/>
              </w:rPr>
              <w:t>本标段（包）总计：           （元）</w:t>
            </w:r>
          </w:p>
        </w:tc>
      </w:tr>
    </w:tbl>
    <w:p w14:paraId="28D3464E">
      <w:pPr>
        <w:pStyle w:val="87"/>
        <w:tabs>
          <w:tab w:val="left" w:pos="480"/>
          <w:tab w:val="clear" w:pos="576"/>
          <w:tab w:val="clear" w:pos="1296"/>
        </w:tabs>
        <w:spacing w:line="440" w:lineRule="exact"/>
        <w:ind w:left="0" w:firstLine="0"/>
        <w:outlineLvl w:val="9"/>
        <w:rPr>
          <w:rFonts w:hint="eastAsia" w:ascii="宋体" w:hAnsi="宋体" w:eastAsia="宋体" w:cs="宋体"/>
          <w:bCs/>
          <w:sz w:val="24"/>
          <w:szCs w:val="24"/>
          <w:highlight w:val="none"/>
        </w:rPr>
      </w:pPr>
    </w:p>
    <w:p w14:paraId="3F0A4308">
      <w:pPr>
        <w:tabs>
          <w:tab w:val="left" w:pos="13000"/>
        </w:tabs>
        <w:spacing w:line="440" w:lineRule="exact"/>
        <w:rPr>
          <w:rFonts w:hint="eastAsia" w:ascii="宋体" w:hAnsi="宋体" w:eastAsia="宋体" w:cs="宋体"/>
          <w:bCs/>
          <w:sz w:val="24"/>
          <w:szCs w:val="24"/>
          <w:highlight w:val="none"/>
        </w:rPr>
      </w:pPr>
      <w:r>
        <w:rPr>
          <w:rFonts w:hint="eastAsia" w:ascii="宋体" w:hAnsi="宋体" w:eastAsia="宋体" w:cs="宋体"/>
          <w:bCs/>
          <w:sz w:val="24"/>
          <w:szCs w:val="24"/>
          <w:highlight w:val="none"/>
        </w:rPr>
        <w:t>注：</w:t>
      </w:r>
    </w:p>
    <w:p w14:paraId="65D5B457">
      <w:pPr>
        <w:spacing w:line="440" w:lineRule="exact"/>
        <w:ind w:firstLine="420"/>
        <w:rPr>
          <w:rFonts w:hint="eastAsia" w:ascii="宋体" w:hAnsi="宋体" w:eastAsia="宋体" w:cs="宋体"/>
          <w:bCs/>
          <w:sz w:val="24"/>
          <w:szCs w:val="24"/>
          <w:highlight w:val="none"/>
        </w:rPr>
      </w:pPr>
      <w:r>
        <w:rPr>
          <w:rFonts w:hint="eastAsia" w:ascii="宋体" w:hAnsi="宋体" w:eastAsia="宋体" w:cs="宋体"/>
          <w:bCs/>
          <w:sz w:val="24"/>
          <w:szCs w:val="24"/>
          <w:highlight w:val="none"/>
        </w:rPr>
        <w:t>1、当一个标段（包）内有多个属于小型和微型企业的产品时， 投标人应按序号详细填写。</w:t>
      </w:r>
    </w:p>
    <w:p w14:paraId="4FE4261E">
      <w:pPr>
        <w:spacing w:line="440" w:lineRule="exact"/>
        <w:ind w:left="480" w:leftChars="200"/>
        <w:rPr>
          <w:rFonts w:hint="eastAsia" w:ascii="宋体" w:hAnsi="宋体" w:eastAsia="宋体" w:cs="宋体"/>
          <w:bCs/>
          <w:sz w:val="24"/>
          <w:szCs w:val="24"/>
          <w:highlight w:val="none"/>
        </w:rPr>
      </w:pPr>
      <w:r>
        <w:rPr>
          <w:rFonts w:hint="eastAsia" w:ascii="宋体" w:hAnsi="宋体" w:eastAsia="宋体" w:cs="宋体"/>
          <w:bCs/>
          <w:sz w:val="24"/>
          <w:szCs w:val="24"/>
          <w:highlight w:val="none"/>
        </w:rPr>
        <w:t>2、栏目5=栏目4×招标文件规定的价格扣除比率的优惠幅度。</w:t>
      </w:r>
    </w:p>
    <w:p w14:paraId="2E9E88B9">
      <w:pPr>
        <w:spacing w:line="440" w:lineRule="exact"/>
        <w:ind w:firstLine="420"/>
        <w:rPr>
          <w:rFonts w:hint="eastAsia" w:ascii="宋体" w:hAnsi="宋体" w:eastAsia="宋体" w:cs="宋体"/>
          <w:bCs/>
          <w:sz w:val="24"/>
          <w:szCs w:val="24"/>
          <w:highlight w:val="none"/>
        </w:rPr>
      </w:pPr>
      <w:r>
        <w:rPr>
          <w:rFonts w:hint="eastAsia" w:ascii="宋体" w:hAnsi="宋体" w:eastAsia="宋体" w:cs="宋体"/>
          <w:bCs/>
          <w:sz w:val="24"/>
          <w:szCs w:val="24"/>
          <w:highlight w:val="none"/>
        </w:rPr>
        <w:t>3、若所供应的产品不具备此类评审优惠条件，本“中小价格扣除明细表” 不必填写。</w:t>
      </w:r>
    </w:p>
    <w:p w14:paraId="77B0F153">
      <w:pPr>
        <w:spacing w:line="440" w:lineRule="exact"/>
        <w:ind w:firstLine="600"/>
        <w:rPr>
          <w:rFonts w:hint="eastAsia" w:ascii="宋体" w:hAnsi="宋体" w:eastAsia="宋体" w:cs="宋体"/>
          <w:bCs/>
          <w:sz w:val="24"/>
          <w:szCs w:val="24"/>
          <w:highlight w:val="none"/>
        </w:rPr>
      </w:pPr>
    </w:p>
    <w:p w14:paraId="7A0F17D9">
      <w:pPr>
        <w:adjustRightInd w:val="0"/>
        <w:snapToGrid w:val="0"/>
        <w:spacing w:line="360" w:lineRule="auto"/>
        <w:jc w:val="right"/>
        <w:rPr>
          <w:rFonts w:hint="eastAsia" w:ascii="宋体" w:hAnsi="宋体" w:eastAsia="宋体" w:cs="宋体"/>
          <w:bCs/>
          <w:sz w:val="24"/>
          <w:szCs w:val="24"/>
          <w:highlight w:val="none"/>
        </w:rPr>
      </w:pPr>
    </w:p>
    <w:p w14:paraId="38F57AFA">
      <w:pPr>
        <w:adjustRightInd w:val="0"/>
        <w:snapToGrid w:val="0"/>
        <w:spacing w:line="360" w:lineRule="auto"/>
        <w:jc w:val="right"/>
        <w:rPr>
          <w:rFonts w:hint="eastAsia" w:ascii="宋体" w:hAnsi="宋体" w:eastAsia="宋体" w:cs="宋体"/>
          <w:bCs/>
          <w:sz w:val="24"/>
          <w:szCs w:val="24"/>
          <w:highlight w:val="none"/>
        </w:rPr>
      </w:pPr>
      <w:r>
        <w:rPr>
          <w:rFonts w:hint="eastAsia" w:ascii="宋体" w:hAnsi="宋体" w:eastAsia="宋体" w:cs="宋体"/>
          <w:bCs/>
          <w:sz w:val="24"/>
          <w:szCs w:val="24"/>
          <w:highlight w:val="none"/>
        </w:rPr>
        <w:t>投标人（盖单位章）：</w:t>
      </w:r>
    </w:p>
    <w:p w14:paraId="11E2BF60">
      <w:pPr>
        <w:adjustRightInd w:val="0"/>
        <w:snapToGrid w:val="0"/>
        <w:spacing w:line="360" w:lineRule="auto"/>
        <w:jc w:val="right"/>
        <w:rPr>
          <w:rFonts w:hint="eastAsia" w:ascii="宋体" w:hAnsi="宋体" w:eastAsia="宋体" w:cs="宋体"/>
          <w:bCs/>
          <w:sz w:val="24"/>
          <w:szCs w:val="24"/>
          <w:highlight w:val="none"/>
        </w:rPr>
      </w:pPr>
      <w:r>
        <w:rPr>
          <w:rFonts w:hint="eastAsia" w:ascii="宋体" w:hAnsi="宋体" w:eastAsia="宋体" w:cs="宋体"/>
          <w:bCs/>
          <w:sz w:val="24"/>
          <w:szCs w:val="24"/>
          <w:highlight w:val="none"/>
        </w:rPr>
        <w:t>法定代表人或其委托代理人签字：</w:t>
      </w:r>
      <w:r>
        <w:rPr>
          <w:rFonts w:hint="eastAsia" w:ascii="宋体" w:hAnsi="宋体" w:eastAsia="宋体" w:cs="宋体"/>
          <w:bCs/>
          <w:sz w:val="24"/>
          <w:szCs w:val="24"/>
          <w:highlight w:val="none"/>
          <w:u w:val="single"/>
        </w:rPr>
        <w:t xml:space="preserve">       </w:t>
      </w:r>
    </w:p>
    <w:p w14:paraId="76374865">
      <w:pPr>
        <w:adjustRightInd w:val="0"/>
        <w:snapToGrid w:val="0"/>
        <w:jc w:val="right"/>
        <w:rPr>
          <w:rFonts w:hint="eastAsia" w:ascii="宋体" w:hAnsi="宋体" w:eastAsia="宋体" w:cs="宋体"/>
          <w:bCs/>
          <w:sz w:val="24"/>
          <w:szCs w:val="24"/>
          <w:highlight w:val="none"/>
        </w:rPr>
      </w:pPr>
      <w:r>
        <w:rPr>
          <w:rFonts w:hint="eastAsia" w:ascii="宋体" w:hAnsi="宋体" w:eastAsia="宋体" w:cs="宋体"/>
          <w:bCs/>
          <w:sz w:val="24"/>
          <w:szCs w:val="24"/>
          <w:highlight w:val="none"/>
        </w:rPr>
        <w:t>日期：</w:t>
      </w:r>
      <w:r>
        <w:rPr>
          <w:rFonts w:hint="eastAsia" w:ascii="宋体" w:hAnsi="宋体" w:eastAsia="宋体" w:cs="宋体"/>
          <w:bCs/>
          <w:sz w:val="24"/>
          <w:szCs w:val="24"/>
          <w:highlight w:val="none"/>
          <w:u w:val="single"/>
        </w:rPr>
        <w:t xml:space="preserve">         </w:t>
      </w:r>
      <w:r>
        <w:rPr>
          <w:rFonts w:hint="eastAsia" w:ascii="宋体" w:hAnsi="宋体" w:eastAsia="宋体" w:cs="宋体"/>
          <w:bCs/>
          <w:sz w:val="24"/>
          <w:szCs w:val="24"/>
          <w:highlight w:val="none"/>
        </w:rPr>
        <w:t>年</w:t>
      </w:r>
      <w:r>
        <w:rPr>
          <w:rFonts w:hint="eastAsia" w:ascii="宋体" w:hAnsi="宋体" w:eastAsia="宋体" w:cs="宋体"/>
          <w:bCs/>
          <w:sz w:val="24"/>
          <w:szCs w:val="24"/>
          <w:highlight w:val="none"/>
          <w:u w:val="single"/>
        </w:rPr>
        <w:t xml:space="preserve">    </w:t>
      </w:r>
      <w:r>
        <w:rPr>
          <w:rFonts w:hint="eastAsia" w:ascii="宋体" w:hAnsi="宋体" w:eastAsia="宋体" w:cs="宋体"/>
          <w:bCs/>
          <w:sz w:val="24"/>
          <w:szCs w:val="24"/>
          <w:highlight w:val="none"/>
        </w:rPr>
        <w:t>月</w:t>
      </w:r>
      <w:r>
        <w:rPr>
          <w:rFonts w:hint="eastAsia" w:ascii="宋体" w:hAnsi="宋体" w:eastAsia="宋体" w:cs="宋体"/>
          <w:bCs/>
          <w:sz w:val="24"/>
          <w:szCs w:val="24"/>
          <w:highlight w:val="none"/>
          <w:u w:val="single"/>
        </w:rPr>
        <w:t xml:space="preserve">   </w:t>
      </w:r>
      <w:r>
        <w:rPr>
          <w:rFonts w:hint="eastAsia" w:ascii="宋体" w:hAnsi="宋体" w:eastAsia="宋体" w:cs="宋体"/>
          <w:bCs/>
          <w:sz w:val="24"/>
          <w:szCs w:val="24"/>
          <w:highlight w:val="none"/>
        </w:rPr>
        <w:t>日</w:t>
      </w:r>
    </w:p>
    <w:p w14:paraId="15270BB7">
      <w:pPr>
        <w:rPr>
          <w:rFonts w:hint="eastAsia" w:ascii="宋体" w:hAnsi="宋体" w:eastAsia="宋体" w:cstheme="minorBidi"/>
          <w:b/>
          <w:bCs/>
          <w:color w:val="auto"/>
          <w:kern w:val="2"/>
          <w:sz w:val="24"/>
          <w:szCs w:val="24"/>
          <w:highlight w:val="none"/>
          <w:lang w:val="en-US" w:eastAsia="zh-CN" w:bidi="ar-SA"/>
        </w:rPr>
      </w:pPr>
    </w:p>
    <w:p w14:paraId="3BBCE9A3">
      <w:pPr>
        <w:rPr>
          <w:rFonts w:hint="eastAsia"/>
          <w:b/>
          <w:bCs/>
          <w:color w:val="auto"/>
          <w:highlight w:val="none"/>
          <w:lang w:val="en-US" w:eastAsia="zh-CN"/>
        </w:rPr>
      </w:pPr>
    </w:p>
    <w:p w14:paraId="7947D588">
      <w:pPr>
        <w:rPr>
          <w:rFonts w:hint="eastAsia"/>
          <w:b/>
          <w:bCs/>
          <w:color w:val="auto"/>
          <w:highlight w:val="none"/>
          <w:lang w:val="en-US" w:eastAsia="zh-CN"/>
        </w:rPr>
      </w:pPr>
      <w:r>
        <w:rPr>
          <w:rFonts w:hint="eastAsia"/>
          <w:b/>
          <w:bCs/>
          <w:color w:val="auto"/>
          <w:highlight w:val="none"/>
          <w:lang w:val="en-US" w:eastAsia="zh-CN"/>
        </w:rPr>
        <w:br w:type="page"/>
      </w:r>
    </w:p>
    <w:p w14:paraId="00376C39">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b/>
          <w:bCs/>
          <w:color w:val="auto"/>
          <w:highlight w:val="none"/>
          <w:lang w:val="en-US" w:eastAsia="zh-CN"/>
        </w:rPr>
      </w:pPr>
      <w:r>
        <w:rPr>
          <w:rFonts w:hint="eastAsia"/>
          <w:b/>
          <w:bCs/>
          <w:color w:val="auto"/>
          <w:highlight w:val="none"/>
          <w:lang w:val="en-US" w:eastAsia="zh-CN"/>
        </w:rPr>
        <w:t xml:space="preserve">附件1 </w:t>
      </w:r>
    </w:p>
    <w:p w14:paraId="1B7EF9B9">
      <w:pPr>
        <w:keepNext w:val="0"/>
        <w:keepLines w:val="0"/>
        <w:widowControl/>
        <w:suppressLineNumbers w:val="0"/>
        <w:ind w:firstLine="562" w:firstLineChars="200"/>
        <w:jc w:val="left"/>
        <w:rPr>
          <w:rStyle w:val="34"/>
          <w:rFonts w:hint="eastAsia" w:ascii="宋体" w:hAnsi="宋体" w:eastAsia="宋体" w:cs="宋体"/>
          <w:color w:val="auto"/>
          <w:kern w:val="0"/>
          <w:sz w:val="28"/>
          <w:szCs w:val="28"/>
          <w:highlight w:val="none"/>
          <w:lang w:val="en-US" w:eastAsia="zh-CN" w:bidi="ar"/>
        </w:rPr>
      </w:pPr>
    </w:p>
    <w:p w14:paraId="2B5549A9">
      <w:pPr>
        <w:keepNext w:val="0"/>
        <w:keepLines w:val="0"/>
        <w:widowControl/>
        <w:suppressLineNumbers w:val="0"/>
        <w:ind w:firstLine="482" w:firstLineChars="200"/>
        <w:jc w:val="left"/>
        <w:rPr>
          <w:rStyle w:val="34"/>
          <w:rFonts w:hint="eastAsia" w:ascii="宋体" w:hAnsi="宋体" w:eastAsia="宋体" w:cs="宋体"/>
          <w:color w:val="auto"/>
          <w:kern w:val="0"/>
          <w:sz w:val="24"/>
          <w:szCs w:val="24"/>
          <w:highlight w:val="none"/>
          <w:lang w:val="en-US" w:eastAsia="zh-CN" w:bidi="ar"/>
        </w:rPr>
      </w:pPr>
      <w:r>
        <w:rPr>
          <w:rStyle w:val="34"/>
          <w:rFonts w:hint="eastAsia" w:ascii="宋体" w:hAnsi="宋体" w:eastAsia="宋体" w:cs="宋体"/>
          <w:color w:val="auto"/>
          <w:kern w:val="0"/>
          <w:sz w:val="24"/>
          <w:szCs w:val="24"/>
          <w:highlight w:val="none"/>
          <w:lang w:val="en-US" w:eastAsia="zh-CN" w:bidi="ar"/>
        </w:rPr>
        <w:t>（一）关于</w:t>
      </w:r>
      <w:r>
        <w:rPr>
          <w:rStyle w:val="34"/>
          <w:rFonts w:hint="eastAsia" w:cs="宋体"/>
          <w:color w:val="auto"/>
          <w:kern w:val="0"/>
          <w:sz w:val="24"/>
          <w:szCs w:val="24"/>
          <w:highlight w:val="none"/>
          <w:lang w:val="en-US" w:eastAsia="zh-CN" w:bidi="ar"/>
        </w:rPr>
        <w:t>“</w:t>
      </w:r>
      <w:r>
        <w:rPr>
          <w:rStyle w:val="34"/>
          <w:rFonts w:hint="eastAsia" w:ascii="宋体" w:hAnsi="宋体" w:eastAsia="宋体" w:cs="宋体"/>
          <w:color w:val="auto"/>
          <w:kern w:val="0"/>
          <w:sz w:val="24"/>
          <w:szCs w:val="24"/>
          <w:highlight w:val="none"/>
          <w:lang w:val="en-US" w:eastAsia="zh-CN" w:bidi="ar"/>
        </w:rPr>
        <w:t>中小企业声明函</w:t>
      </w:r>
      <w:r>
        <w:rPr>
          <w:rStyle w:val="34"/>
          <w:rFonts w:hint="eastAsia" w:cs="宋体"/>
          <w:color w:val="auto"/>
          <w:kern w:val="0"/>
          <w:sz w:val="24"/>
          <w:szCs w:val="24"/>
          <w:highlight w:val="none"/>
          <w:lang w:val="en-US" w:eastAsia="zh-CN" w:bidi="ar"/>
        </w:rPr>
        <w:t>”</w:t>
      </w:r>
      <w:r>
        <w:rPr>
          <w:rStyle w:val="34"/>
          <w:rFonts w:hint="eastAsia" w:ascii="宋体" w:hAnsi="宋体" w:eastAsia="宋体" w:cs="宋体"/>
          <w:color w:val="auto"/>
          <w:kern w:val="0"/>
          <w:sz w:val="24"/>
          <w:szCs w:val="24"/>
          <w:highlight w:val="none"/>
          <w:lang w:val="en-US" w:eastAsia="zh-CN" w:bidi="ar"/>
        </w:rPr>
        <w:t>的填写要求</w:t>
      </w:r>
    </w:p>
    <w:p w14:paraId="6BC4DFBE">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highlight w:val="none"/>
          <w:lang w:val="en-US" w:eastAsia="zh-CN" w:bidi="ar"/>
        </w:rPr>
      </w:pPr>
      <w:r>
        <w:rPr>
          <w:rFonts w:hint="eastAsia" w:cs="宋体"/>
          <w:color w:val="auto"/>
          <w:kern w:val="0"/>
          <w:sz w:val="24"/>
          <w:szCs w:val="24"/>
          <w:highlight w:val="none"/>
          <w:lang w:val="en-US" w:eastAsia="zh-CN" w:bidi="ar"/>
        </w:rPr>
        <w:t>“</w:t>
      </w:r>
      <w:r>
        <w:rPr>
          <w:rFonts w:hint="eastAsia" w:ascii="宋体" w:hAnsi="宋体" w:eastAsia="宋体" w:cs="宋体"/>
          <w:color w:val="auto"/>
          <w:kern w:val="0"/>
          <w:sz w:val="24"/>
          <w:szCs w:val="24"/>
          <w:highlight w:val="none"/>
          <w:lang w:val="en-US" w:eastAsia="zh-CN" w:bidi="ar"/>
        </w:rPr>
        <w:t>中小企业声明函</w:t>
      </w:r>
      <w:r>
        <w:rPr>
          <w:rFonts w:hint="eastAsia" w:cs="宋体"/>
          <w:color w:val="auto"/>
          <w:kern w:val="0"/>
          <w:sz w:val="24"/>
          <w:szCs w:val="24"/>
          <w:highlight w:val="none"/>
          <w:lang w:val="en-US" w:eastAsia="zh-CN" w:bidi="ar"/>
        </w:rPr>
        <w:t>”</w:t>
      </w:r>
      <w:r>
        <w:rPr>
          <w:rFonts w:hint="eastAsia" w:ascii="宋体" w:hAnsi="宋体" w:eastAsia="宋体" w:cs="宋体"/>
          <w:color w:val="auto"/>
          <w:kern w:val="0"/>
          <w:sz w:val="24"/>
          <w:szCs w:val="24"/>
          <w:highlight w:val="none"/>
          <w:lang w:val="en-US" w:eastAsia="zh-CN" w:bidi="ar"/>
        </w:rPr>
        <w:t>具体填写要求如下：</w:t>
      </w:r>
    </w:p>
    <w:p w14:paraId="414BDEE0">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1.“单位名称”应填写采购人名称。</w:t>
      </w:r>
    </w:p>
    <w:p w14:paraId="3C11145C">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2.“项目名称”应按照采购文件中确定的项目名称填写。对于分包方式面向中小企业采购的项目，应标明中小企业的具体分包内容；对于以联合体方式面向中小企业采购的项目，应标明联合体中中小企业所承担的具体内容。</w:t>
      </w:r>
    </w:p>
    <w:p w14:paraId="02B61C13">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3.“标的名称”应填写采购文件中细化载明的采购标的名称。对于分包方式面向中小企业采购的项目，“标的名称”应填写采购文件中注明的分包给中小企业的采购标的名称；对于以联合体方式面向中小企业采购的项目，“标的名称”应填写采购文件中注明的联合体中中小企业承担的采购标的名称。</w:t>
      </w:r>
    </w:p>
    <w:p w14:paraId="29C82323">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4.“采购文件中明确的所属行业”应填写采购文件中明确的采购标的所属行业，并应确保与采购标的涉及的货物制造商/服务承接商/工程承建商（根据项目属性确定）本身的所属行业保持一致。</w:t>
      </w:r>
    </w:p>
    <w:p w14:paraId="634D6616">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对于分包方式面向中小企业采购的项目，“采购文件中明确的所属行业”应按照采购文件中注明的分包给中小企业的采购标的所属行业填写，并应确保与该分包部分采购标的涉及的货物制造商/服务承接商/工程承建商（根据项目属性确定）本身的所属行业保持一致。</w:t>
      </w:r>
    </w:p>
    <w:p w14:paraId="3941B3F1">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对于以联合体方式面向中小企业采购的项目，“采购文件中明确的所属行业”应按照采购文件中注明的联合体中中小企业承担的采购标的所属行业填写，并应确保与该承担部分采购标的涉及的货物制造商/服务承接商/工程承建商（根据项目属性确定）本身的所属行业保持一致。</w:t>
      </w:r>
    </w:p>
    <w:p w14:paraId="3C9C37F1">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5.“企业名称”应填写投标（响应）的货物制造商/服务承接商/工程承建商（根据项目属性确定）。</w:t>
      </w:r>
    </w:p>
    <w:p w14:paraId="1A04AFA6">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对于分包方式面向中小企业采购的项目，“企业名称”应填写分包部分采购标的对应的货物制造商/服务承接商/工程承建商（根据项目属性确定）。</w:t>
      </w:r>
    </w:p>
    <w:p w14:paraId="67D0083B">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对于以联合体方式面向中小企业采购的项目，“企业名称”应填写联合体中中小企业承担采购标的对应的货物制造商/服务承接商/工程承建商（根据项目属性确定）。</w:t>
      </w:r>
    </w:p>
    <w:p w14:paraId="47482CF1">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6.从业人员、资产总额指标以上年度末数据为依据，营业收入指标以上年度累计数据为依据。无上年度数据的新成立企业可不填报。</w:t>
      </w:r>
    </w:p>
    <w:p w14:paraId="417BBFD2">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7.“中型企业/小型企业/微型企业”部分，供应商应依据企业上年度从业人员、营业收入、资产总额等指标，按照《中小企业划型标准规定》（工信部联企业〔2011〕300号）、《金融业企业划型标准规定》（银发〔2015〕309号），判断</w:t>
      </w:r>
      <w:r>
        <w:rPr>
          <w:rFonts w:hint="eastAsia" w:cs="宋体"/>
          <w:color w:val="auto"/>
          <w:kern w:val="0"/>
          <w:sz w:val="24"/>
          <w:szCs w:val="24"/>
          <w:highlight w:val="none"/>
          <w:lang w:val="en-US" w:eastAsia="zh-CN" w:bidi="ar"/>
        </w:rPr>
        <w:t>“</w:t>
      </w:r>
      <w:r>
        <w:rPr>
          <w:rFonts w:hint="eastAsia" w:ascii="宋体" w:hAnsi="宋体" w:eastAsia="宋体" w:cs="宋体"/>
          <w:color w:val="auto"/>
          <w:kern w:val="0"/>
          <w:sz w:val="24"/>
          <w:szCs w:val="24"/>
          <w:highlight w:val="none"/>
          <w:lang w:val="en-US" w:eastAsia="zh-CN" w:bidi="ar"/>
        </w:rPr>
        <w:t>中小企业声明函</w:t>
      </w:r>
      <w:r>
        <w:rPr>
          <w:rFonts w:hint="eastAsia" w:cs="宋体"/>
          <w:color w:val="auto"/>
          <w:kern w:val="0"/>
          <w:sz w:val="24"/>
          <w:szCs w:val="24"/>
          <w:highlight w:val="none"/>
          <w:lang w:val="en-US" w:eastAsia="zh-CN" w:bidi="ar"/>
        </w:rPr>
        <w:t>”</w:t>
      </w:r>
      <w:r>
        <w:rPr>
          <w:rFonts w:hint="eastAsia" w:ascii="宋体" w:hAnsi="宋体" w:eastAsia="宋体" w:cs="宋体"/>
          <w:color w:val="auto"/>
          <w:kern w:val="0"/>
          <w:sz w:val="24"/>
          <w:szCs w:val="24"/>
          <w:highlight w:val="none"/>
          <w:lang w:val="en-US" w:eastAsia="zh-CN" w:bidi="ar"/>
        </w:rPr>
        <w:t>载明的货物制造商/服务承接商/工程承建商（根据项目属性确定）是否属于采购文件所属行业的中型企业/小型企业/微型企业。</w:t>
      </w:r>
    </w:p>
    <w:p w14:paraId="0A3DD53E">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8.对于已纳入统计部门统计范围的企业，所属行业、从业人员、营业收入、资产总额、规模类型应与统计部门报表保持一致。对于未纳入统计部门统计范围的企业，应对照《国民经济行业分类》确定所属行业，当企业从事两种以上的经济活动时，按照企业从事的主要活动确定所属行业；从业人员、营业收入、资产总额应按照上年度末实际情况填报，并应确保在争议纠纷处理时，可提供相关数据的来源依据。</w:t>
      </w:r>
    </w:p>
    <w:p w14:paraId="7BA9439A">
      <w:pPr>
        <w:keepNext w:val="0"/>
        <w:keepLines w:val="0"/>
        <w:widowControl/>
        <w:suppressLineNumbers w:val="0"/>
        <w:ind w:firstLine="482" w:firstLineChars="200"/>
        <w:jc w:val="left"/>
        <w:rPr>
          <w:rStyle w:val="34"/>
          <w:rFonts w:hint="eastAsia" w:ascii="宋体" w:hAnsi="宋体" w:eastAsia="宋体" w:cs="宋体"/>
          <w:color w:val="auto"/>
          <w:kern w:val="0"/>
          <w:sz w:val="24"/>
          <w:szCs w:val="24"/>
          <w:highlight w:val="none"/>
          <w:lang w:val="en-US" w:eastAsia="zh-CN" w:bidi="ar"/>
        </w:rPr>
      </w:pPr>
      <w:r>
        <w:rPr>
          <w:rStyle w:val="34"/>
          <w:rFonts w:hint="eastAsia" w:ascii="宋体" w:hAnsi="宋体" w:eastAsia="宋体" w:cs="宋体"/>
          <w:color w:val="auto"/>
          <w:kern w:val="0"/>
          <w:sz w:val="24"/>
          <w:szCs w:val="24"/>
          <w:highlight w:val="none"/>
          <w:lang w:val="en-US" w:eastAsia="zh-CN" w:bidi="ar"/>
        </w:rPr>
        <w:t>（二）关于</w:t>
      </w:r>
      <w:r>
        <w:rPr>
          <w:rStyle w:val="34"/>
          <w:rFonts w:hint="eastAsia" w:cs="宋体"/>
          <w:color w:val="auto"/>
          <w:kern w:val="0"/>
          <w:sz w:val="24"/>
          <w:szCs w:val="24"/>
          <w:highlight w:val="none"/>
          <w:lang w:val="en-US" w:eastAsia="zh-CN" w:bidi="ar"/>
        </w:rPr>
        <w:t>“</w:t>
      </w:r>
      <w:r>
        <w:rPr>
          <w:rStyle w:val="34"/>
          <w:rFonts w:hint="eastAsia" w:ascii="宋体" w:hAnsi="宋体" w:eastAsia="宋体" w:cs="宋体"/>
          <w:color w:val="auto"/>
          <w:kern w:val="0"/>
          <w:sz w:val="24"/>
          <w:szCs w:val="24"/>
          <w:highlight w:val="none"/>
          <w:lang w:val="en-US" w:eastAsia="zh-CN" w:bidi="ar"/>
        </w:rPr>
        <w:t>中小企业声明函</w:t>
      </w:r>
      <w:r>
        <w:rPr>
          <w:rStyle w:val="34"/>
          <w:rFonts w:hint="eastAsia" w:cs="宋体"/>
          <w:color w:val="auto"/>
          <w:kern w:val="0"/>
          <w:sz w:val="24"/>
          <w:szCs w:val="24"/>
          <w:highlight w:val="none"/>
          <w:lang w:val="en-US" w:eastAsia="zh-CN" w:bidi="ar"/>
        </w:rPr>
        <w:t>”</w:t>
      </w:r>
      <w:r>
        <w:rPr>
          <w:rStyle w:val="34"/>
          <w:rFonts w:hint="eastAsia" w:ascii="宋体" w:hAnsi="宋体" w:eastAsia="宋体" w:cs="宋体"/>
          <w:color w:val="auto"/>
          <w:kern w:val="0"/>
          <w:sz w:val="24"/>
          <w:szCs w:val="24"/>
          <w:highlight w:val="none"/>
          <w:lang w:val="en-US" w:eastAsia="zh-CN" w:bidi="ar"/>
        </w:rPr>
        <w:t>的提交要求</w:t>
      </w:r>
    </w:p>
    <w:p w14:paraId="5F29A0D2">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1.投标（响应）供应商对</w:t>
      </w:r>
      <w:r>
        <w:rPr>
          <w:rFonts w:hint="eastAsia" w:cs="宋体"/>
          <w:color w:val="auto"/>
          <w:kern w:val="0"/>
          <w:sz w:val="24"/>
          <w:szCs w:val="24"/>
          <w:highlight w:val="none"/>
          <w:lang w:val="en-US" w:eastAsia="zh-CN" w:bidi="ar"/>
        </w:rPr>
        <w:t>“</w:t>
      </w:r>
      <w:r>
        <w:rPr>
          <w:rFonts w:hint="eastAsia" w:ascii="宋体" w:hAnsi="宋体" w:eastAsia="宋体" w:cs="宋体"/>
          <w:color w:val="auto"/>
          <w:kern w:val="0"/>
          <w:sz w:val="24"/>
          <w:szCs w:val="24"/>
          <w:highlight w:val="none"/>
          <w:lang w:val="en-US" w:eastAsia="zh-CN" w:bidi="ar"/>
        </w:rPr>
        <w:t>中小企业声明函</w:t>
      </w:r>
      <w:r>
        <w:rPr>
          <w:rFonts w:hint="eastAsia" w:cs="宋体"/>
          <w:color w:val="auto"/>
          <w:kern w:val="0"/>
          <w:sz w:val="24"/>
          <w:szCs w:val="24"/>
          <w:highlight w:val="none"/>
          <w:lang w:val="en-US" w:eastAsia="zh-CN" w:bidi="ar"/>
        </w:rPr>
        <w:t>”</w:t>
      </w:r>
      <w:r>
        <w:rPr>
          <w:rFonts w:hint="eastAsia" w:ascii="宋体" w:hAnsi="宋体" w:eastAsia="宋体" w:cs="宋体"/>
          <w:color w:val="auto"/>
          <w:kern w:val="0"/>
          <w:sz w:val="24"/>
          <w:szCs w:val="24"/>
          <w:highlight w:val="none"/>
          <w:lang w:val="en-US" w:eastAsia="zh-CN" w:bidi="ar"/>
        </w:rPr>
        <w:t>的真实性负责。投标（响应）供应商应当核实投标（响应）的货物制造商/服务承接商/工程承建商（根据项目属性确定）的相关信息，如对相关信息了解不充分，或者不能确定相关信息真实、准确的，不建议出具</w:t>
      </w:r>
      <w:r>
        <w:rPr>
          <w:rFonts w:hint="eastAsia" w:cs="宋体"/>
          <w:color w:val="auto"/>
          <w:kern w:val="0"/>
          <w:sz w:val="24"/>
          <w:szCs w:val="24"/>
          <w:highlight w:val="none"/>
          <w:lang w:val="en-US" w:eastAsia="zh-CN" w:bidi="ar"/>
        </w:rPr>
        <w:t>“</w:t>
      </w:r>
      <w:r>
        <w:rPr>
          <w:rFonts w:hint="eastAsia" w:ascii="宋体" w:hAnsi="宋体" w:eastAsia="宋体" w:cs="宋体"/>
          <w:color w:val="auto"/>
          <w:kern w:val="0"/>
          <w:sz w:val="24"/>
          <w:szCs w:val="24"/>
          <w:highlight w:val="none"/>
          <w:lang w:val="en-US" w:eastAsia="zh-CN" w:bidi="ar"/>
        </w:rPr>
        <w:t>中小企业声明函</w:t>
      </w:r>
      <w:r>
        <w:rPr>
          <w:rFonts w:hint="eastAsia" w:cs="宋体"/>
          <w:color w:val="auto"/>
          <w:kern w:val="0"/>
          <w:sz w:val="24"/>
          <w:szCs w:val="24"/>
          <w:highlight w:val="none"/>
          <w:lang w:val="en-US" w:eastAsia="zh-CN" w:bidi="ar"/>
        </w:rPr>
        <w:t>”</w:t>
      </w:r>
      <w:r>
        <w:rPr>
          <w:rFonts w:hint="eastAsia" w:ascii="宋体" w:hAnsi="宋体" w:eastAsia="宋体" w:cs="宋体"/>
          <w:color w:val="auto"/>
          <w:kern w:val="0"/>
          <w:sz w:val="24"/>
          <w:szCs w:val="24"/>
          <w:highlight w:val="none"/>
          <w:lang w:val="en-US" w:eastAsia="zh-CN" w:bidi="ar"/>
        </w:rPr>
        <w:t>。</w:t>
      </w:r>
    </w:p>
    <w:p w14:paraId="49FFD352">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2.鼓励供应商在投标（响应）时一并提供对货物制造商、服务承接商、工程承建商相关信息的核实核验情况以及其他佐证材料。</w:t>
      </w:r>
    </w:p>
    <w:p w14:paraId="15483C28">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3.如供应商提供的</w:t>
      </w:r>
      <w:r>
        <w:rPr>
          <w:rFonts w:hint="eastAsia" w:cs="宋体"/>
          <w:color w:val="auto"/>
          <w:kern w:val="0"/>
          <w:sz w:val="24"/>
          <w:szCs w:val="24"/>
          <w:highlight w:val="none"/>
          <w:lang w:val="en-US" w:eastAsia="zh-CN" w:bidi="ar"/>
        </w:rPr>
        <w:t>“</w:t>
      </w:r>
      <w:r>
        <w:rPr>
          <w:rFonts w:hint="eastAsia" w:ascii="宋体" w:hAnsi="宋体" w:eastAsia="宋体" w:cs="宋体"/>
          <w:color w:val="auto"/>
          <w:kern w:val="0"/>
          <w:sz w:val="24"/>
          <w:szCs w:val="24"/>
          <w:highlight w:val="none"/>
          <w:lang w:val="en-US" w:eastAsia="zh-CN" w:bidi="ar"/>
        </w:rPr>
        <w:t>中小企业声明函</w:t>
      </w:r>
      <w:r>
        <w:rPr>
          <w:rFonts w:hint="eastAsia" w:cs="宋体"/>
          <w:color w:val="auto"/>
          <w:kern w:val="0"/>
          <w:sz w:val="24"/>
          <w:szCs w:val="24"/>
          <w:highlight w:val="none"/>
          <w:lang w:val="en-US" w:eastAsia="zh-CN" w:bidi="ar"/>
        </w:rPr>
        <w:t>”</w:t>
      </w:r>
      <w:r>
        <w:rPr>
          <w:rFonts w:hint="eastAsia" w:ascii="宋体" w:hAnsi="宋体" w:eastAsia="宋体" w:cs="宋体"/>
          <w:color w:val="auto"/>
          <w:kern w:val="0"/>
          <w:sz w:val="24"/>
          <w:szCs w:val="24"/>
          <w:highlight w:val="none"/>
          <w:lang w:val="en-US" w:eastAsia="zh-CN" w:bidi="ar"/>
        </w:rPr>
        <w:t>存在按采购文件所属行业划型不实的，属于提供虚假材料谋取中标、成交，依照《中华人民共和国政府采购法》第七十七条的规定，将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6E224C04">
      <w:pPr>
        <w:rPr>
          <w:rFonts w:cs="宋体"/>
          <w:color w:val="auto"/>
          <w:spacing w:val="6"/>
          <w:sz w:val="21"/>
          <w:szCs w:val="21"/>
          <w:highlight w:val="none"/>
        </w:rPr>
      </w:pPr>
    </w:p>
    <w:p w14:paraId="511B2BB4">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eastAsia="宋体"/>
          <w:b/>
          <w:bCs/>
          <w:color w:val="auto"/>
          <w:highlight w:val="none"/>
          <w:lang w:val="en-US" w:eastAsia="zh-CN"/>
        </w:rPr>
      </w:pPr>
      <w:r>
        <w:rPr>
          <w:rFonts w:hint="eastAsia"/>
          <w:b/>
          <w:bCs/>
          <w:color w:val="auto"/>
          <w:highlight w:val="none"/>
          <w:lang w:val="en-US" w:eastAsia="zh-CN"/>
        </w:rPr>
        <w:t>附件2：</w:t>
      </w:r>
    </w:p>
    <w:p w14:paraId="39036397">
      <w:pPr>
        <w:pStyle w:val="1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val="0"/>
          <w:color w:val="auto"/>
          <w:sz w:val="32"/>
          <w:szCs w:val="32"/>
          <w:highlight w:val="none"/>
        </w:rPr>
      </w:pPr>
      <w:r>
        <w:rPr>
          <w:rFonts w:hint="eastAsia" w:ascii="宋体" w:hAnsi="宋体" w:eastAsia="宋体" w:cs="宋体"/>
          <w:b/>
          <w:bCs w:val="0"/>
          <w:color w:val="auto"/>
          <w:sz w:val="32"/>
          <w:szCs w:val="32"/>
          <w:highlight w:val="none"/>
        </w:rPr>
        <w:t>关于印发中小企业划型标准规定的通知</w:t>
      </w:r>
    </w:p>
    <w:p w14:paraId="7A2004AF">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Style w:val="34"/>
          <w:rFonts w:hint="eastAsia" w:ascii="宋体" w:hAnsi="宋体" w:eastAsia="宋体" w:cs="宋体"/>
          <w:b w:val="0"/>
          <w:color w:val="auto"/>
          <w:sz w:val="24"/>
          <w:szCs w:val="24"/>
          <w:highlight w:val="none"/>
        </w:rPr>
      </w:pPr>
      <w:r>
        <w:rPr>
          <w:rStyle w:val="34"/>
          <w:rFonts w:hint="eastAsia" w:ascii="宋体" w:hAnsi="宋体" w:eastAsia="宋体" w:cs="宋体"/>
          <w:b w:val="0"/>
          <w:color w:val="auto"/>
          <w:sz w:val="24"/>
          <w:szCs w:val="24"/>
          <w:highlight w:val="none"/>
        </w:rPr>
        <w:t>工信部联企业〔2011〕300号</w:t>
      </w:r>
    </w:p>
    <w:p w14:paraId="0E959BE7">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Style w:val="34"/>
          <w:rFonts w:hint="eastAsia" w:ascii="宋体" w:hAnsi="宋体" w:eastAsia="宋体" w:cs="宋体"/>
          <w:b w:val="0"/>
          <w:color w:val="auto"/>
          <w:sz w:val="24"/>
          <w:szCs w:val="24"/>
          <w:highlight w:val="none"/>
        </w:rPr>
      </w:pPr>
    </w:p>
    <w:p w14:paraId="289C59A7">
      <w:pPr>
        <w:keepNext w:val="0"/>
        <w:keepLines w:val="0"/>
        <w:pageBreakBefore w:val="0"/>
        <w:widowControl w:val="0"/>
        <w:kinsoku/>
        <w:wordWrap/>
        <w:overflowPunct/>
        <w:topLinePunct w:val="0"/>
        <w:autoSpaceDE/>
        <w:autoSpaceDN/>
        <w:bidi w:val="0"/>
        <w:adjustRightInd/>
        <w:snapToGrid/>
        <w:spacing w:line="360" w:lineRule="exact"/>
        <w:textAlignment w:val="auto"/>
        <w:rPr>
          <w:rStyle w:val="34"/>
          <w:rFonts w:hint="eastAsia" w:ascii="宋体" w:hAnsi="宋体" w:eastAsia="宋体" w:cs="宋体"/>
          <w:b w:val="0"/>
          <w:color w:val="auto"/>
          <w:sz w:val="24"/>
          <w:szCs w:val="24"/>
          <w:highlight w:val="none"/>
        </w:rPr>
      </w:pPr>
      <w:r>
        <w:rPr>
          <w:rStyle w:val="34"/>
          <w:rFonts w:hint="eastAsia" w:ascii="宋体" w:hAnsi="宋体" w:eastAsia="宋体" w:cs="宋体"/>
          <w:b w:val="0"/>
          <w:color w:val="auto"/>
          <w:sz w:val="24"/>
          <w:szCs w:val="24"/>
          <w:highlight w:val="none"/>
        </w:rPr>
        <w:t>各省、自治区、直辖市人民政府，国务院各部委、各直属机构及有关单位：</w:t>
      </w:r>
    </w:p>
    <w:p w14:paraId="11AACCD7">
      <w:pPr>
        <w:keepNext w:val="0"/>
        <w:keepLines w:val="0"/>
        <w:pageBreakBefore w:val="0"/>
        <w:widowControl w:val="0"/>
        <w:kinsoku/>
        <w:wordWrap/>
        <w:overflowPunct/>
        <w:topLinePunct w:val="0"/>
        <w:autoSpaceDE/>
        <w:autoSpaceDN/>
        <w:bidi w:val="0"/>
        <w:adjustRightInd/>
        <w:snapToGrid/>
        <w:spacing w:line="360" w:lineRule="exact"/>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69C30634">
      <w:pPr>
        <w:keepNext w:val="0"/>
        <w:keepLines w:val="0"/>
        <w:pageBreakBefore w:val="0"/>
        <w:widowControl w:val="0"/>
        <w:kinsoku/>
        <w:wordWrap/>
        <w:overflowPunct/>
        <w:topLinePunct w:val="0"/>
        <w:autoSpaceDE/>
        <w:autoSpaceDN/>
        <w:bidi w:val="0"/>
        <w:adjustRightInd/>
        <w:snapToGrid/>
        <w:spacing w:line="360" w:lineRule="exact"/>
        <w:jc w:val="right"/>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工业和信息化部　国家统计局</w:t>
      </w:r>
    </w:p>
    <w:p w14:paraId="5C55A29B">
      <w:pPr>
        <w:keepNext w:val="0"/>
        <w:keepLines w:val="0"/>
        <w:pageBreakBefore w:val="0"/>
        <w:widowControl w:val="0"/>
        <w:kinsoku/>
        <w:wordWrap/>
        <w:overflowPunct/>
        <w:topLinePunct w:val="0"/>
        <w:autoSpaceDE/>
        <w:autoSpaceDN/>
        <w:bidi w:val="0"/>
        <w:adjustRightInd/>
        <w:snapToGrid/>
        <w:spacing w:line="360" w:lineRule="exact"/>
        <w:jc w:val="right"/>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国家发展和改革委员会　财政部</w:t>
      </w:r>
    </w:p>
    <w:p w14:paraId="6F52758A">
      <w:pPr>
        <w:keepNext w:val="0"/>
        <w:keepLines w:val="0"/>
        <w:pageBreakBefore w:val="0"/>
        <w:widowControl w:val="0"/>
        <w:kinsoku/>
        <w:wordWrap/>
        <w:overflowPunct/>
        <w:topLinePunct w:val="0"/>
        <w:autoSpaceDE/>
        <w:autoSpaceDN/>
        <w:bidi w:val="0"/>
        <w:adjustRightInd/>
        <w:snapToGrid/>
        <w:spacing w:line="360" w:lineRule="exact"/>
        <w:jc w:val="right"/>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二○一一年六月十八日</w:t>
      </w:r>
    </w:p>
    <w:p w14:paraId="75F0B3C6">
      <w:pPr>
        <w:keepNext w:val="0"/>
        <w:keepLines w:val="0"/>
        <w:pageBreakBefore w:val="0"/>
        <w:widowControl w:val="0"/>
        <w:kinsoku/>
        <w:wordWrap/>
        <w:overflowPunct/>
        <w:topLinePunct w:val="0"/>
        <w:autoSpaceDE/>
        <w:autoSpaceDN/>
        <w:bidi w:val="0"/>
        <w:adjustRightInd/>
        <w:snapToGrid/>
        <w:spacing w:line="360" w:lineRule="exact"/>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 xml:space="preserve"> </w:t>
      </w:r>
    </w:p>
    <w:p w14:paraId="3E2FDBA7">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Style w:val="34"/>
          <w:rFonts w:hint="eastAsia" w:ascii="宋体" w:hAnsi="宋体" w:eastAsia="宋体" w:cs="宋体"/>
          <w:b/>
          <w:bCs w:val="0"/>
          <w:color w:val="auto"/>
          <w:sz w:val="28"/>
          <w:szCs w:val="28"/>
          <w:highlight w:val="none"/>
        </w:rPr>
      </w:pPr>
      <w:r>
        <w:rPr>
          <w:rStyle w:val="34"/>
          <w:rFonts w:hint="eastAsia" w:ascii="宋体" w:hAnsi="宋体" w:eastAsia="宋体" w:cs="宋体"/>
          <w:b/>
          <w:bCs w:val="0"/>
          <w:color w:val="auto"/>
          <w:sz w:val="28"/>
          <w:szCs w:val="28"/>
          <w:highlight w:val="none"/>
        </w:rPr>
        <w:t>中小企业划型标准规定</w:t>
      </w:r>
    </w:p>
    <w:p w14:paraId="7440C465">
      <w:pPr>
        <w:keepNext w:val="0"/>
        <w:keepLines w:val="0"/>
        <w:pageBreakBefore w:val="0"/>
        <w:widowControl w:val="0"/>
        <w:kinsoku/>
        <w:wordWrap/>
        <w:overflowPunct/>
        <w:topLinePunct w:val="0"/>
        <w:autoSpaceDE/>
        <w:autoSpaceDN/>
        <w:bidi w:val="0"/>
        <w:adjustRightInd/>
        <w:snapToGrid/>
        <w:spacing w:line="400" w:lineRule="exact"/>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　　一、根据《中华人民共和国中小企业促进法》和《国务院关于进一步促进中小企业发展的若干意见》(国发〔2009〕36号)，制定本规定。</w:t>
      </w:r>
    </w:p>
    <w:p w14:paraId="507AD261">
      <w:pPr>
        <w:keepNext w:val="0"/>
        <w:keepLines w:val="0"/>
        <w:pageBreakBefore w:val="0"/>
        <w:widowControl w:val="0"/>
        <w:kinsoku/>
        <w:wordWrap/>
        <w:overflowPunct/>
        <w:topLinePunct w:val="0"/>
        <w:autoSpaceDE/>
        <w:autoSpaceDN/>
        <w:bidi w:val="0"/>
        <w:adjustRightInd/>
        <w:snapToGrid/>
        <w:spacing w:line="400" w:lineRule="exact"/>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　　二、中小企业划分为中型、小型、微型三种类型，具体标准根据企业从业人员、营业收入、资产总额等指标，结合行业特点制定。</w:t>
      </w:r>
    </w:p>
    <w:p w14:paraId="58A39619">
      <w:pPr>
        <w:keepNext w:val="0"/>
        <w:keepLines w:val="0"/>
        <w:pageBreakBefore w:val="0"/>
        <w:widowControl w:val="0"/>
        <w:kinsoku/>
        <w:wordWrap/>
        <w:overflowPunct/>
        <w:topLinePunct w:val="0"/>
        <w:autoSpaceDE/>
        <w:autoSpaceDN/>
        <w:bidi w:val="0"/>
        <w:adjustRightInd/>
        <w:snapToGrid/>
        <w:spacing w:line="400" w:lineRule="exact"/>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7F5AE90D">
      <w:pPr>
        <w:keepNext w:val="0"/>
        <w:keepLines w:val="0"/>
        <w:pageBreakBefore w:val="0"/>
        <w:widowControl w:val="0"/>
        <w:kinsoku/>
        <w:wordWrap/>
        <w:overflowPunct/>
        <w:topLinePunct w:val="0"/>
        <w:autoSpaceDE/>
        <w:autoSpaceDN/>
        <w:bidi w:val="0"/>
        <w:adjustRightInd/>
        <w:snapToGrid/>
        <w:spacing w:line="400" w:lineRule="exact"/>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　　四、各行业划型标准为：</w:t>
      </w:r>
    </w:p>
    <w:p w14:paraId="6B4E2D0C">
      <w:pPr>
        <w:keepNext w:val="0"/>
        <w:keepLines w:val="0"/>
        <w:pageBreakBefore w:val="0"/>
        <w:widowControl w:val="0"/>
        <w:kinsoku/>
        <w:wordWrap/>
        <w:overflowPunct/>
        <w:topLinePunct w:val="0"/>
        <w:autoSpaceDE/>
        <w:autoSpaceDN/>
        <w:bidi w:val="0"/>
        <w:adjustRightInd/>
        <w:snapToGrid/>
        <w:spacing w:line="400" w:lineRule="exact"/>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　　（一）农、林、牧、渔业。营业收入20000万元以下的为中小微型企业。其中，营业收入500万元及以上的为中型企业，营业收入50万元及以上的为小型企业，营业收入50万元以下的为微型企业。</w:t>
      </w:r>
    </w:p>
    <w:p w14:paraId="79E2F5AC">
      <w:pPr>
        <w:keepNext w:val="0"/>
        <w:keepLines w:val="0"/>
        <w:pageBreakBefore w:val="0"/>
        <w:widowControl w:val="0"/>
        <w:kinsoku/>
        <w:wordWrap/>
        <w:overflowPunct/>
        <w:topLinePunct w:val="0"/>
        <w:autoSpaceDE/>
        <w:autoSpaceDN/>
        <w:bidi w:val="0"/>
        <w:adjustRightInd/>
        <w:snapToGrid/>
        <w:spacing w:line="400" w:lineRule="exact"/>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3AA582AE">
      <w:pPr>
        <w:keepNext w:val="0"/>
        <w:keepLines w:val="0"/>
        <w:pageBreakBefore w:val="0"/>
        <w:widowControl w:val="0"/>
        <w:kinsoku/>
        <w:wordWrap/>
        <w:overflowPunct/>
        <w:topLinePunct w:val="0"/>
        <w:autoSpaceDE/>
        <w:autoSpaceDN/>
        <w:bidi w:val="0"/>
        <w:adjustRightInd/>
        <w:snapToGrid/>
        <w:spacing w:line="400" w:lineRule="exact"/>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521D138B">
      <w:pPr>
        <w:keepNext w:val="0"/>
        <w:keepLines w:val="0"/>
        <w:pageBreakBefore w:val="0"/>
        <w:widowControl w:val="0"/>
        <w:kinsoku/>
        <w:wordWrap/>
        <w:overflowPunct/>
        <w:topLinePunct w:val="0"/>
        <w:autoSpaceDE/>
        <w:autoSpaceDN/>
        <w:bidi w:val="0"/>
        <w:adjustRightInd/>
        <w:snapToGrid/>
        <w:spacing w:line="400" w:lineRule="exact"/>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217EB3B7">
      <w:pPr>
        <w:keepNext w:val="0"/>
        <w:keepLines w:val="0"/>
        <w:pageBreakBefore w:val="0"/>
        <w:widowControl w:val="0"/>
        <w:kinsoku/>
        <w:wordWrap/>
        <w:overflowPunct/>
        <w:topLinePunct w:val="0"/>
        <w:autoSpaceDE/>
        <w:autoSpaceDN/>
        <w:bidi w:val="0"/>
        <w:adjustRightInd/>
        <w:snapToGrid/>
        <w:spacing w:line="400" w:lineRule="exact"/>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1FEB118A">
      <w:pPr>
        <w:keepNext w:val="0"/>
        <w:keepLines w:val="0"/>
        <w:pageBreakBefore w:val="0"/>
        <w:widowControl w:val="0"/>
        <w:kinsoku/>
        <w:wordWrap/>
        <w:overflowPunct/>
        <w:topLinePunct w:val="0"/>
        <w:autoSpaceDE/>
        <w:autoSpaceDN/>
        <w:bidi w:val="0"/>
        <w:adjustRightInd/>
        <w:snapToGrid/>
        <w:spacing w:line="400" w:lineRule="exact"/>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7514A6D2">
      <w:pPr>
        <w:keepNext w:val="0"/>
        <w:keepLines w:val="0"/>
        <w:pageBreakBefore w:val="0"/>
        <w:widowControl w:val="0"/>
        <w:kinsoku/>
        <w:wordWrap/>
        <w:overflowPunct/>
        <w:topLinePunct w:val="0"/>
        <w:autoSpaceDE/>
        <w:autoSpaceDN/>
        <w:bidi w:val="0"/>
        <w:adjustRightInd/>
        <w:snapToGrid/>
        <w:spacing w:line="400" w:lineRule="exact"/>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3EFCEC98">
      <w:pPr>
        <w:keepNext w:val="0"/>
        <w:keepLines w:val="0"/>
        <w:pageBreakBefore w:val="0"/>
        <w:widowControl w:val="0"/>
        <w:kinsoku/>
        <w:wordWrap/>
        <w:overflowPunct/>
        <w:topLinePunct w:val="0"/>
        <w:autoSpaceDE/>
        <w:autoSpaceDN/>
        <w:bidi w:val="0"/>
        <w:adjustRightInd/>
        <w:snapToGrid/>
        <w:spacing w:line="400" w:lineRule="exact"/>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6D4D3E4D">
      <w:pPr>
        <w:keepNext w:val="0"/>
        <w:keepLines w:val="0"/>
        <w:pageBreakBefore w:val="0"/>
        <w:widowControl w:val="0"/>
        <w:kinsoku/>
        <w:wordWrap/>
        <w:overflowPunct/>
        <w:topLinePunct w:val="0"/>
        <w:autoSpaceDE/>
        <w:autoSpaceDN/>
        <w:bidi w:val="0"/>
        <w:adjustRightInd/>
        <w:snapToGrid/>
        <w:spacing w:line="400" w:lineRule="exact"/>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A462725">
      <w:pPr>
        <w:keepNext w:val="0"/>
        <w:keepLines w:val="0"/>
        <w:pageBreakBefore w:val="0"/>
        <w:widowControl w:val="0"/>
        <w:kinsoku/>
        <w:wordWrap/>
        <w:overflowPunct/>
        <w:topLinePunct w:val="0"/>
        <w:autoSpaceDE/>
        <w:autoSpaceDN/>
        <w:bidi w:val="0"/>
        <w:adjustRightInd/>
        <w:snapToGrid/>
        <w:spacing w:line="400" w:lineRule="exact"/>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537CBAA6">
      <w:pPr>
        <w:keepNext w:val="0"/>
        <w:keepLines w:val="0"/>
        <w:pageBreakBefore w:val="0"/>
        <w:widowControl w:val="0"/>
        <w:kinsoku/>
        <w:wordWrap/>
        <w:overflowPunct/>
        <w:topLinePunct w:val="0"/>
        <w:autoSpaceDE/>
        <w:autoSpaceDN/>
        <w:bidi w:val="0"/>
        <w:adjustRightInd/>
        <w:snapToGrid/>
        <w:spacing w:line="400" w:lineRule="exact"/>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710AAA96">
      <w:pPr>
        <w:keepNext w:val="0"/>
        <w:keepLines w:val="0"/>
        <w:pageBreakBefore w:val="0"/>
        <w:widowControl w:val="0"/>
        <w:kinsoku/>
        <w:wordWrap/>
        <w:overflowPunct/>
        <w:topLinePunct w:val="0"/>
        <w:autoSpaceDE/>
        <w:autoSpaceDN/>
        <w:bidi w:val="0"/>
        <w:adjustRightInd/>
        <w:snapToGrid/>
        <w:spacing w:line="400" w:lineRule="exact"/>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1EC394A7">
      <w:pPr>
        <w:keepNext w:val="0"/>
        <w:keepLines w:val="0"/>
        <w:pageBreakBefore w:val="0"/>
        <w:widowControl w:val="0"/>
        <w:kinsoku/>
        <w:wordWrap/>
        <w:overflowPunct/>
        <w:topLinePunct w:val="0"/>
        <w:autoSpaceDE/>
        <w:autoSpaceDN/>
        <w:bidi w:val="0"/>
        <w:adjustRightInd/>
        <w:snapToGrid/>
        <w:spacing w:line="400" w:lineRule="exact"/>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61121D1E">
      <w:pPr>
        <w:keepNext w:val="0"/>
        <w:keepLines w:val="0"/>
        <w:pageBreakBefore w:val="0"/>
        <w:widowControl w:val="0"/>
        <w:kinsoku/>
        <w:wordWrap/>
        <w:overflowPunct/>
        <w:topLinePunct w:val="0"/>
        <w:autoSpaceDE/>
        <w:autoSpaceDN/>
        <w:bidi w:val="0"/>
        <w:adjustRightInd/>
        <w:snapToGrid/>
        <w:spacing w:line="400" w:lineRule="exact"/>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46AB8718">
      <w:pPr>
        <w:keepNext w:val="0"/>
        <w:keepLines w:val="0"/>
        <w:pageBreakBefore w:val="0"/>
        <w:widowControl w:val="0"/>
        <w:kinsoku/>
        <w:wordWrap/>
        <w:overflowPunct/>
        <w:topLinePunct w:val="0"/>
        <w:autoSpaceDE/>
        <w:autoSpaceDN/>
        <w:bidi w:val="0"/>
        <w:adjustRightInd/>
        <w:snapToGrid/>
        <w:spacing w:line="400" w:lineRule="exact"/>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40881398">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（十六）其他未列明行业。从业人员300人以下的为中小微型企业。其中，从业人员100人及以上的为中型企业；从业人员10人及以上的为小型企业；从业人员10人以下的为微型企业。　　</w:t>
      </w:r>
    </w:p>
    <w:p w14:paraId="509B953B">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五、企业类型的划分以统计部门的统计数据为依据。</w:t>
      </w:r>
    </w:p>
    <w:p w14:paraId="77228C0D">
      <w:pPr>
        <w:keepNext w:val="0"/>
        <w:keepLines w:val="0"/>
        <w:pageBreakBefore w:val="0"/>
        <w:widowControl w:val="0"/>
        <w:kinsoku/>
        <w:wordWrap/>
        <w:overflowPunct/>
        <w:topLinePunct w:val="0"/>
        <w:autoSpaceDE/>
        <w:autoSpaceDN/>
        <w:bidi w:val="0"/>
        <w:adjustRightInd/>
        <w:snapToGrid/>
        <w:spacing w:line="400" w:lineRule="exact"/>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　　六、本规定适用于在中华人民共和国境内依法设立的各类所有制和各种组织形式的企业。个体工商户和本规定以外的行业，参照本规定进行划型。</w:t>
      </w:r>
    </w:p>
    <w:p w14:paraId="5F4BB8EA">
      <w:pPr>
        <w:keepNext w:val="0"/>
        <w:keepLines w:val="0"/>
        <w:pageBreakBefore w:val="0"/>
        <w:widowControl w:val="0"/>
        <w:kinsoku/>
        <w:wordWrap/>
        <w:overflowPunct/>
        <w:topLinePunct w:val="0"/>
        <w:autoSpaceDE/>
        <w:autoSpaceDN/>
        <w:bidi w:val="0"/>
        <w:adjustRightInd/>
        <w:snapToGrid/>
        <w:spacing w:line="400" w:lineRule="exact"/>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　　七、本规定的中型企业标准上限即为大型企业标准的下限，国家统计部门据此制定大中小微型企业的统计分类。国务院有关部门据此进行相关数据分析，不得制定与本规定不一致的企业划型标准。</w:t>
      </w:r>
    </w:p>
    <w:p w14:paraId="0450AEC1">
      <w:pPr>
        <w:keepNext w:val="0"/>
        <w:keepLines w:val="0"/>
        <w:pageBreakBefore w:val="0"/>
        <w:widowControl w:val="0"/>
        <w:kinsoku/>
        <w:wordWrap/>
        <w:overflowPunct/>
        <w:topLinePunct w:val="0"/>
        <w:autoSpaceDE/>
        <w:autoSpaceDN/>
        <w:bidi w:val="0"/>
        <w:adjustRightInd/>
        <w:snapToGrid/>
        <w:spacing w:line="400" w:lineRule="exact"/>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　　八、本规定由工业和信息化部、国家统计局会同有关部门根据《国民经济行业分类》修订情况和企业发展变化情况适时修订。</w:t>
      </w:r>
    </w:p>
    <w:p w14:paraId="69D789A4">
      <w:pPr>
        <w:keepNext w:val="0"/>
        <w:keepLines w:val="0"/>
        <w:pageBreakBefore w:val="0"/>
        <w:widowControl w:val="0"/>
        <w:kinsoku/>
        <w:wordWrap/>
        <w:overflowPunct/>
        <w:topLinePunct w:val="0"/>
        <w:autoSpaceDE/>
        <w:autoSpaceDN/>
        <w:bidi w:val="0"/>
        <w:adjustRightInd/>
        <w:snapToGrid/>
        <w:spacing w:line="400" w:lineRule="exact"/>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　　九、本规定由工业和信息化部、国家统计局会同有关部门负责解释。</w:t>
      </w:r>
    </w:p>
    <w:p w14:paraId="4299A031">
      <w:pPr>
        <w:keepNext w:val="0"/>
        <w:keepLines w:val="0"/>
        <w:pageBreakBefore w:val="0"/>
        <w:widowControl w:val="0"/>
        <w:kinsoku/>
        <w:wordWrap/>
        <w:overflowPunct/>
        <w:topLinePunct w:val="0"/>
        <w:autoSpaceDE/>
        <w:autoSpaceDN/>
        <w:bidi w:val="0"/>
        <w:adjustRightInd/>
        <w:snapToGrid/>
        <w:spacing w:line="400" w:lineRule="exact"/>
        <w:textAlignment w:val="auto"/>
        <w:rPr>
          <w:rFonts w:cs="宋体"/>
          <w:color w:val="auto"/>
          <w:spacing w:val="6"/>
          <w:sz w:val="21"/>
          <w:szCs w:val="21"/>
          <w:highlight w:val="none"/>
        </w:rPr>
      </w:pPr>
      <w:r>
        <w:rPr>
          <w:rStyle w:val="34"/>
          <w:rFonts w:hint="eastAsia" w:ascii="宋体" w:hAnsi="宋体" w:eastAsia="宋体" w:cs="宋体"/>
          <w:b w:val="0"/>
          <w:bCs w:val="0"/>
          <w:color w:val="auto"/>
          <w:sz w:val="24"/>
          <w:szCs w:val="24"/>
          <w:highlight w:val="none"/>
        </w:rPr>
        <w:t>十、本规定自发布之日起执行，原国家经贸委、原国家计委、财政部和国家统计局2003年颁布的《中小企业标准暂行规定》同时废止。</w:t>
      </w:r>
    </w:p>
    <w:p w14:paraId="2CABEDA6">
      <w:pPr>
        <w:rPr>
          <w:rFonts w:cs="宋体"/>
          <w:color w:val="auto"/>
          <w:spacing w:val="6"/>
          <w:sz w:val="21"/>
          <w:szCs w:val="21"/>
          <w:highlight w:val="none"/>
        </w:rPr>
      </w:pPr>
    </w:p>
    <w:p w14:paraId="69E3A359">
      <w:pPr>
        <w:rPr>
          <w:rFonts w:cs="宋体"/>
          <w:color w:val="auto"/>
          <w:spacing w:val="6"/>
          <w:sz w:val="21"/>
          <w:szCs w:val="21"/>
          <w:highlight w:val="none"/>
        </w:rPr>
      </w:pPr>
    </w:p>
    <w:p w14:paraId="11402136">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eastAsia="宋体"/>
          <w:b/>
          <w:bCs/>
          <w:color w:val="auto"/>
          <w:highlight w:val="none"/>
          <w:lang w:val="en-US" w:eastAsia="zh-CN"/>
        </w:rPr>
      </w:pPr>
      <w:r>
        <w:rPr>
          <w:rFonts w:hint="eastAsia"/>
          <w:b/>
          <w:bCs/>
          <w:color w:val="auto"/>
          <w:highlight w:val="none"/>
          <w:lang w:val="en-US" w:eastAsia="zh-CN"/>
        </w:rPr>
        <w:t>附件3：</w:t>
      </w:r>
    </w:p>
    <w:p w14:paraId="69CF5111">
      <w:pPr>
        <w:rPr>
          <w:rFonts w:hint="eastAsia" w:cs="宋体"/>
          <w:color w:val="auto"/>
          <w:spacing w:val="6"/>
          <w:sz w:val="21"/>
          <w:szCs w:val="21"/>
          <w:highlight w:val="none"/>
        </w:rPr>
      </w:pPr>
    </w:p>
    <w:p w14:paraId="1C50A461">
      <w:pPr>
        <w:pStyle w:val="1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val="0"/>
          <w:color w:val="auto"/>
          <w:sz w:val="32"/>
          <w:szCs w:val="32"/>
          <w:highlight w:val="none"/>
        </w:rPr>
      </w:pPr>
      <w:r>
        <w:rPr>
          <w:rFonts w:hint="eastAsia" w:ascii="宋体" w:hAnsi="宋体" w:eastAsia="宋体" w:cs="宋体"/>
          <w:b/>
          <w:bCs w:val="0"/>
          <w:color w:val="auto"/>
          <w:sz w:val="32"/>
          <w:szCs w:val="32"/>
          <w:highlight w:val="none"/>
        </w:rPr>
        <w:t>关于印发《金融业企业划型标准规定》的通知</w:t>
      </w:r>
    </w:p>
    <w:p w14:paraId="2EC1ECF3">
      <w:pPr>
        <w:jc w:val="center"/>
        <w:rPr>
          <w:rStyle w:val="34"/>
          <w:rFonts w:hint="eastAsia" w:ascii="宋体" w:hAnsi="宋体" w:eastAsia="宋体" w:cs="宋体"/>
          <w:b w:val="0"/>
          <w:color w:val="auto"/>
          <w:sz w:val="24"/>
          <w:szCs w:val="24"/>
          <w:highlight w:val="none"/>
        </w:rPr>
      </w:pPr>
      <w:r>
        <w:rPr>
          <w:rStyle w:val="34"/>
          <w:rFonts w:hint="eastAsia" w:ascii="宋体" w:hAnsi="宋体" w:eastAsia="宋体" w:cs="宋体"/>
          <w:b w:val="0"/>
          <w:color w:val="auto"/>
          <w:sz w:val="24"/>
          <w:szCs w:val="24"/>
          <w:highlight w:val="none"/>
        </w:rPr>
        <w:t>银发〔2015〕309号</w:t>
      </w:r>
    </w:p>
    <w:p w14:paraId="6EBA1AEF">
      <w:pPr>
        <w:keepNext w:val="0"/>
        <w:keepLines w:val="0"/>
        <w:pageBreakBefore w:val="0"/>
        <w:widowControl w:val="0"/>
        <w:kinsoku/>
        <w:wordWrap/>
        <w:overflowPunct/>
        <w:topLinePunct w:val="0"/>
        <w:autoSpaceDE/>
        <w:autoSpaceDN/>
        <w:bidi w:val="0"/>
        <w:adjustRightInd/>
        <w:snapToGrid/>
        <w:spacing w:line="460" w:lineRule="exact"/>
        <w:ind w:firstLine="483"/>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经国务院同意，现印发给你们，请遵照执行。</w:t>
      </w:r>
    </w:p>
    <w:p w14:paraId="12B6BFCB">
      <w:pPr>
        <w:keepNext w:val="0"/>
        <w:keepLines w:val="0"/>
        <w:pageBreakBefore w:val="0"/>
        <w:widowControl w:val="0"/>
        <w:kinsoku/>
        <w:wordWrap/>
        <w:overflowPunct/>
        <w:topLinePunct w:val="0"/>
        <w:autoSpaceDE/>
        <w:autoSpaceDN/>
        <w:bidi w:val="0"/>
        <w:adjustRightInd/>
        <w:snapToGrid/>
        <w:spacing w:line="460" w:lineRule="exact"/>
        <w:ind w:firstLine="483"/>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请人民银行上海总部，各分行、营业管理部、省会（首府）城市中心支行、副省级城市中心支行会同所在省（区、市）银监局、证监局、保监局、统计局将本通知联合转发至辖内相关机构。</w:t>
      </w:r>
    </w:p>
    <w:p w14:paraId="53F6A9E3">
      <w:pPr>
        <w:keepNext w:val="0"/>
        <w:keepLines w:val="0"/>
        <w:pageBreakBefore w:val="0"/>
        <w:widowControl w:val="0"/>
        <w:kinsoku/>
        <w:wordWrap/>
        <w:overflowPunct/>
        <w:topLinePunct w:val="0"/>
        <w:autoSpaceDE/>
        <w:autoSpaceDN/>
        <w:bidi w:val="0"/>
        <w:adjustRightInd/>
        <w:snapToGrid/>
        <w:spacing w:line="460" w:lineRule="exact"/>
        <w:ind w:firstLine="483"/>
        <w:textAlignment w:val="auto"/>
        <w:rPr>
          <w:rStyle w:val="34"/>
          <w:rFonts w:hint="eastAsia" w:ascii="宋体" w:hAnsi="宋体" w:eastAsia="宋体" w:cs="宋体"/>
          <w:b w:val="0"/>
          <w:bCs w:val="0"/>
          <w:color w:val="auto"/>
          <w:sz w:val="24"/>
          <w:szCs w:val="24"/>
          <w:highlight w:val="none"/>
        </w:rPr>
      </w:pPr>
    </w:p>
    <w:p w14:paraId="5AE5F476">
      <w:pPr>
        <w:keepNext w:val="0"/>
        <w:keepLines w:val="0"/>
        <w:pageBreakBefore w:val="0"/>
        <w:widowControl w:val="0"/>
        <w:kinsoku/>
        <w:wordWrap/>
        <w:overflowPunct/>
        <w:topLinePunct w:val="0"/>
        <w:autoSpaceDE/>
        <w:autoSpaceDN/>
        <w:bidi w:val="0"/>
        <w:adjustRightInd/>
        <w:snapToGrid/>
        <w:spacing w:line="460" w:lineRule="exact"/>
        <w:ind w:firstLine="483"/>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附件：金融业企业划型标准规定</w:t>
      </w:r>
    </w:p>
    <w:p w14:paraId="575D4BF4">
      <w:pPr>
        <w:keepNext w:val="0"/>
        <w:keepLines w:val="0"/>
        <w:pageBreakBefore w:val="0"/>
        <w:widowControl w:val="0"/>
        <w:kinsoku/>
        <w:wordWrap/>
        <w:overflowPunct/>
        <w:topLinePunct w:val="0"/>
        <w:autoSpaceDE/>
        <w:autoSpaceDN/>
        <w:bidi w:val="0"/>
        <w:adjustRightInd/>
        <w:snapToGrid/>
        <w:spacing w:line="460" w:lineRule="exact"/>
        <w:textAlignment w:val="auto"/>
        <w:rPr>
          <w:rStyle w:val="34"/>
          <w:rFonts w:hint="eastAsia" w:ascii="宋体" w:hAnsi="宋体" w:eastAsia="宋体" w:cs="宋体"/>
          <w:b w:val="0"/>
          <w:bCs w:val="0"/>
          <w:color w:val="auto"/>
          <w:sz w:val="24"/>
          <w:szCs w:val="24"/>
          <w:highlight w:val="none"/>
        </w:rPr>
      </w:pPr>
      <w:r>
        <w:rPr>
          <w:rFonts w:hint="eastAsia" w:cs="宋体"/>
          <w:color w:val="auto"/>
          <w:spacing w:val="6"/>
          <w:sz w:val="24"/>
          <w:szCs w:val="24"/>
          <w:highlight w:val="none"/>
        </w:rPr>
        <w:t>                                      </w:t>
      </w:r>
      <w:r>
        <w:rPr>
          <w:rStyle w:val="34"/>
          <w:rFonts w:hint="eastAsia" w:ascii="宋体" w:hAnsi="宋体" w:eastAsia="宋体" w:cs="宋体"/>
          <w:b w:val="0"/>
          <w:bCs w:val="0"/>
          <w:color w:val="auto"/>
          <w:sz w:val="24"/>
          <w:szCs w:val="24"/>
          <w:highlight w:val="none"/>
        </w:rPr>
        <w:t>       </w:t>
      </w:r>
      <w:r>
        <w:rPr>
          <w:rStyle w:val="34"/>
          <w:rFonts w:hint="eastAsia" w:cs="宋体"/>
          <w:b w:val="0"/>
          <w:bCs w:val="0"/>
          <w:color w:val="auto"/>
          <w:sz w:val="24"/>
          <w:szCs w:val="24"/>
          <w:highlight w:val="none"/>
          <w:lang w:val="en-US" w:eastAsia="zh-CN"/>
        </w:rPr>
        <w:t xml:space="preserve">                            </w:t>
      </w:r>
      <w:r>
        <w:rPr>
          <w:rStyle w:val="34"/>
          <w:rFonts w:hint="eastAsia" w:ascii="宋体" w:hAnsi="宋体" w:eastAsia="宋体" w:cs="宋体"/>
          <w:b w:val="0"/>
          <w:bCs w:val="0"/>
          <w:color w:val="auto"/>
          <w:sz w:val="24"/>
          <w:szCs w:val="24"/>
          <w:highlight w:val="none"/>
        </w:rPr>
        <w:t>中国人民银行</w:t>
      </w:r>
    </w:p>
    <w:p w14:paraId="0E162F05">
      <w:pPr>
        <w:keepNext w:val="0"/>
        <w:keepLines w:val="0"/>
        <w:pageBreakBefore w:val="0"/>
        <w:widowControl w:val="0"/>
        <w:kinsoku/>
        <w:wordWrap/>
        <w:overflowPunct/>
        <w:topLinePunct w:val="0"/>
        <w:autoSpaceDE/>
        <w:autoSpaceDN/>
        <w:bidi w:val="0"/>
        <w:adjustRightInd/>
        <w:snapToGrid/>
        <w:spacing w:line="460" w:lineRule="exact"/>
        <w:ind w:firstLine="2400" w:firstLineChars="1000"/>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          中国银行业监督管理委员会</w:t>
      </w:r>
    </w:p>
    <w:p w14:paraId="644A820C">
      <w:pPr>
        <w:keepNext w:val="0"/>
        <w:keepLines w:val="0"/>
        <w:pageBreakBefore w:val="0"/>
        <w:widowControl w:val="0"/>
        <w:kinsoku/>
        <w:wordWrap/>
        <w:overflowPunct/>
        <w:topLinePunct w:val="0"/>
        <w:autoSpaceDE/>
        <w:autoSpaceDN/>
        <w:bidi w:val="0"/>
        <w:adjustRightInd/>
        <w:snapToGrid/>
        <w:spacing w:line="460" w:lineRule="exact"/>
        <w:ind w:firstLine="2400" w:firstLineChars="1000"/>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           中国证券监督管理委员会</w:t>
      </w:r>
    </w:p>
    <w:p w14:paraId="13427FED">
      <w:pPr>
        <w:keepNext w:val="0"/>
        <w:keepLines w:val="0"/>
        <w:pageBreakBefore w:val="0"/>
        <w:widowControl w:val="0"/>
        <w:kinsoku/>
        <w:wordWrap/>
        <w:overflowPunct/>
        <w:topLinePunct w:val="0"/>
        <w:autoSpaceDE/>
        <w:autoSpaceDN/>
        <w:bidi w:val="0"/>
        <w:adjustRightInd/>
        <w:snapToGrid/>
        <w:spacing w:line="460" w:lineRule="exact"/>
        <w:ind w:firstLine="2400" w:firstLineChars="1000"/>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           中国保险监督管理委员会</w:t>
      </w:r>
    </w:p>
    <w:p w14:paraId="189E390E">
      <w:pPr>
        <w:keepNext w:val="0"/>
        <w:keepLines w:val="0"/>
        <w:pageBreakBefore w:val="0"/>
        <w:widowControl w:val="0"/>
        <w:kinsoku/>
        <w:wordWrap/>
        <w:overflowPunct/>
        <w:topLinePunct w:val="0"/>
        <w:autoSpaceDE/>
        <w:autoSpaceDN/>
        <w:bidi w:val="0"/>
        <w:adjustRightInd/>
        <w:snapToGrid/>
        <w:spacing w:line="460" w:lineRule="exact"/>
        <w:ind w:firstLine="2160" w:firstLineChars="900"/>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           中华人民共和国国家统计局</w:t>
      </w:r>
    </w:p>
    <w:p w14:paraId="35EB1163">
      <w:pPr>
        <w:keepNext w:val="0"/>
        <w:keepLines w:val="0"/>
        <w:pageBreakBefore w:val="0"/>
        <w:widowControl w:val="0"/>
        <w:kinsoku/>
        <w:wordWrap/>
        <w:overflowPunct/>
        <w:topLinePunct w:val="0"/>
        <w:autoSpaceDE/>
        <w:autoSpaceDN/>
        <w:bidi w:val="0"/>
        <w:adjustRightInd/>
        <w:snapToGrid/>
        <w:spacing w:line="460" w:lineRule="exact"/>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                                                     </w:t>
      </w:r>
      <w:r>
        <w:rPr>
          <w:rStyle w:val="34"/>
          <w:rFonts w:hint="eastAsia" w:cs="宋体"/>
          <w:b w:val="0"/>
          <w:bCs w:val="0"/>
          <w:color w:val="auto"/>
          <w:sz w:val="24"/>
          <w:szCs w:val="24"/>
          <w:highlight w:val="none"/>
          <w:lang w:val="en-US" w:eastAsia="zh-CN"/>
        </w:rPr>
        <w:t xml:space="preserve">     </w:t>
      </w:r>
      <w:r>
        <w:rPr>
          <w:rStyle w:val="34"/>
          <w:rFonts w:hint="eastAsia" w:ascii="宋体" w:hAnsi="宋体" w:eastAsia="宋体" w:cs="宋体"/>
          <w:b w:val="0"/>
          <w:bCs w:val="0"/>
          <w:color w:val="auto"/>
          <w:sz w:val="24"/>
          <w:szCs w:val="24"/>
          <w:highlight w:val="none"/>
        </w:rPr>
        <w:t> 2015年9月28日</w:t>
      </w:r>
    </w:p>
    <w:p w14:paraId="2D875BF0">
      <w:pPr>
        <w:rPr>
          <w:rFonts w:hint="eastAsia" w:cs="宋体"/>
          <w:color w:val="auto"/>
          <w:spacing w:val="6"/>
          <w:sz w:val="21"/>
          <w:szCs w:val="21"/>
          <w:highlight w:val="none"/>
        </w:rPr>
      </w:pPr>
    </w:p>
    <w:p w14:paraId="3D3E2F07">
      <w:pPr>
        <w:rPr>
          <w:rFonts w:hint="eastAsia" w:cs="宋体"/>
          <w:color w:val="auto"/>
          <w:spacing w:val="6"/>
          <w:sz w:val="21"/>
          <w:szCs w:val="21"/>
          <w:highlight w:val="none"/>
          <w:lang w:val="en-US" w:eastAsia="zh-CN"/>
        </w:rPr>
      </w:pPr>
    </w:p>
    <w:p w14:paraId="7D55D2C4">
      <w:pPr>
        <w:rPr>
          <w:rFonts w:hint="eastAsia" w:cs="宋体"/>
          <w:color w:val="auto"/>
          <w:spacing w:val="6"/>
          <w:sz w:val="21"/>
          <w:szCs w:val="21"/>
          <w:highlight w:val="none"/>
          <w:lang w:val="en-US" w:eastAsia="zh-CN"/>
        </w:rPr>
      </w:pPr>
    </w:p>
    <w:p w14:paraId="535B7B3C">
      <w:pPr>
        <w:rPr>
          <w:rFonts w:hint="eastAsia" w:cs="宋体"/>
          <w:color w:val="auto"/>
          <w:spacing w:val="6"/>
          <w:sz w:val="21"/>
          <w:szCs w:val="21"/>
          <w:highlight w:val="none"/>
          <w:lang w:val="en-US" w:eastAsia="zh-CN"/>
        </w:rPr>
      </w:pPr>
    </w:p>
    <w:p w14:paraId="0003DA46">
      <w:pPr>
        <w:rPr>
          <w:rFonts w:hint="eastAsia" w:cs="宋体"/>
          <w:color w:val="auto"/>
          <w:spacing w:val="6"/>
          <w:sz w:val="21"/>
          <w:szCs w:val="21"/>
          <w:highlight w:val="none"/>
          <w:lang w:val="en-US" w:eastAsia="zh-CN"/>
        </w:rPr>
      </w:pPr>
    </w:p>
    <w:p w14:paraId="2EB5298D">
      <w:pPr>
        <w:rPr>
          <w:rFonts w:hint="eastAsia" w:cs="宋体"/>
          <w:color w:val="auto"/>
          <w:spacing w:val="6"/>
          <w:sz w:val="21"/>
          <w:szCs w:val="21"/>
          <w:highlight w:val="none"/>
          <w:lang w:val="en-US" w:eastAsia="zh-CN"/>
        </w:rPr>
      </w:pPr>
    </w:p>
    <w:p w14:paraId="56C175D4">
      <w:pPr>
        <w:rPr>
          <w:rFonts w:hint="eastAsia" w:cs="宋体"/>
          <w:color w:val="auto"/>
          <w:spacing w:val="6"/>
          <w:sz w:val="21"/>
          <w:szCs w:val="21"/>
          <w:highlight w:val="none"/>
          <w:lang w:val="en-US" w:eastAsia="zh-CN"/>
        </w:rPr>
      </w:pPr>
    </w:p>
    <w:p w14:paraId="4E7B262E">
      <w:pPr>
        <w:rPr>
          <w:rFonts w:hint="eastAsia" w:cs="宋体"/>
          <w:color w:val="auto"/>
          <w:spacing w:val="6"/>
          <w:sz w:val="21"/>
          <w:szCs w:val="21"/>
          <w:highlight w:val="none"/>
        </w:rPr>
      </w:pPr>
      <w:r>
        <w:rPr>
          <w:rFonts w:hint="eastAsia" w:cs="宋体"/>
          <w:color w:val="auto"/>
          <w:spacing w:val="6"/>
          <w:sz w:val="21"/>
          <w:szCs w:val="21"/>
          <w:highlight w:val="none"/>
          <w:lang w:val="en-US" w:eastAsia="zh-CN"/>
        </w:rPr>
        <w:t>附件</w:t>
      </w:r>
      <w:r>
        <w:rPr>
          <w:rFonts w:hint="eastAsia" w:cs="宋体"/>
          <w:color w:val="auto"/>
          <w:spacing w:val="6"/>
          <w:sz w:val="21"/>
          <w:szCs w:val="21"/>
          <w:highlight w:val="none"/>
        </w:rPr>
        <w:t>              </w:t>
      </w:r>
    </w:p>
    <w:p w14:paraId="23A68F67">
      <w:pPr>
        <w:pStyle w:val="1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val="0"/>
          <w:color w:val="auto"/>
          <w:sz w:val="28"/>
          <w:szCs w:val="28"/>
          <w:highlight w:val="none"/>
        </w:rPr>
      </w:pPr>
      <w:r>
        <w:rPr>
          <w:rFonts w:hint="eastAsia" w:ascii="宋体" w:hAnsi="宋体" w:eastAsia="宋体" w:cs="宋体"/>
          <w:b/>
          <w:bCs w:val="0"/>
          <w:color w:val="auto"/>
          <w:sz w:val="28"/>
          <w:szCs w:val="28"/>
          <w:highlight w:val="none"/>
        </w:rPr>
        <w:t>金融业企业划型标准规定</w:t>
      </w:r>
    </w:p>
    <w:p w14:paraId="35BCA7B1">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一、根据《中华人民共和国中小企业促进法》、《国务院关于进一步促进中小企业发展的若干意见》（国发〔2009〕36号）和《国务院办公厅关于金融支持小微企业发展的实施意见》（国办发〔2013〕87号），制定本规定。</w:t>
      </w:r>
    </w:p>
    <w:p w14:paraId="465CF45A">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二、适用范围。本规定适用于从事《国民经济行业分类》（GB/T4754-2011）中J门类（金融业）活动的企业。</w:t>
      </w:r>
    </w:p>
    <w:p w14:paraId="777FDD5F">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三、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0292D970">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四、划型标准指标。采用一个完整会计年度中四个季度末法人并表口径的资产总额（信托公司为信托资产）平均值作为划型指标，该指标以监管部门数据为准。</w:t>
      </w:r>
    </w:p>
    <w:p w14:paraId="3BF83806">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五、指标标准值。依据指标标准值，将各类金融业企业划分为大、中、小、微四个规模类型，中型企业标准上限及以上的为大型企业。</w:t>
      </w:r>
    </w:p>
    <w:p w14:paraId="74257710">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（一）银行业存款类金融机构。资产总额40000亿元以下的为中小微型企业。其中，资产总额5000亿元及以上的为中型企业，资产总额50亿元及以上的为小型企业，资产总额50亿元以下的为微型企业。</w:t>
      </w:r>
    </w:p>
    <w:p w14:paraId="6C9C1B6A">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（二）银行业非存款类金融机构。资产总额1000亿元以下的为中小微企业。其中，资产总额200亿元及以上的为中型企业，资产总额50亿元及以上的为小型企业，资产总额50亿元以下的为微型企业。</w:t>
      </w:r>
    </w:p>
    <w:p w14:paraId="192CC4C7">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（三）贷款公司、小额贷款公司及典当行。资产总额1000亿元以下的为中小微型企业。其中，资产总额200亿元及以上的为中型企业，资产总额50亿元及以上的为小型企业，资产总额50亿元以下的为微型企业。</w:t>
      </w:r>
    </w:p>
    <w:p w14:paraId="2B49DF90">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（四）证券业金融机构。资产总额1000亿元以下的为中小微型企业。其中，资产总额100亿元及以上的为中型企业，资产总额10亿元及以上的为小型企业，资产总额10亿元以下的为微型企业。</w:t>
      </w:r>
    </w:p>
    <w:p w14:paraId="0D837DC3">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（五）保险业金融机构。资产总额5000亿元以下的为中小微型企业。其中，资产总额400亿元及以上的为中型企业，资产总额20亿元及以上的为小型企业，资产总额20亿元以下的为微型企业。</w:t>
      </w:r>
    </w:p>
    <w:p w14:paraId="266F6F91">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（六）信托公司。信托资产1000亿元以下的为中小微型企业。其中，信托资产400亿元及以上的为中型企业，信托资产20亿元及以上的为小型企业，信托资产20亿元以下的为微型企业。</w:t>
      </w:r>
    </w:p>
    <w:p w14:paraId="2D1B4E7F">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（七）金融控股公司。资产总额40000亿元以下的为中小微企业。其中，资产总额5000亿元及以上的为中型企业，资产总额50亿元及以上的为小型企业，资产总额50亿元以下的为微型企业。、</w:t>
      </w:r>
    </w:p>
    <w:p w14:paraId="0E5BB8B0">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4"/>
          <w:rFonts w:hint="eastAsia" w:ascii="宋体" w:hAnsi="宋体" w:eastAsia="宋体" w:cs="宋体"/>
          <w:b w:val="0"/>
          <w:bCs w:val="0"/>
          <w:color w:val="auto"/>
          <w:sz w:val="24"/>
          <w:szCs w:val="24"/>
          <w:highlight w:val="none"/>
          <w:lang w:eastAsia="zh-CN"/>
        </w:rPr>
      </w:pPr>
      <w:r>
        <w:rPr>
          <w:rStyle w:val="34"/>
          <w:rFonts w:hint="eastAsia" w:ascii="宋体" w:hAnsi="宋体" w:eastAsia="宋体" w:cs="宋体"/>
          <w:b w:val="0"/>
          <w:bCs w:val="0"/>
          <w:color w:val="auto"/>
          <w:sz w:val="24"/>
          <w:szCs w:val="24"/>
          <w:highlight w:val="none"/>
        </w:rPr>
        <w:t>(八)除贷款公司、小额贷款公司、典当行以外的其他金融机构。资产总额1000亿元以下的为中小微型企业。其中，资产总额200亿元及以上的为中型企业，资产总额50亿元及以上的为小型企业，资产总额50亿元以下的为微型企业</w:t>
      </w:r>
      <w:r>
        <w:rPr>
          <w:rStyle w:val="34"/>
          <w:rFonts w:hint="eastAsia" w:cs="宋体"/>
          <w:b w:val="0"/>
          <w:bCs w:val="0"/>
          <w:color w:val="auto"/>
          <w:sz w:val="24"/>
          <w:szCs w:val="24"/>
          <w:highlight w:val="none"/>
          <w:lang w:eastAsia="zh-CN"/>
        </w:rPr>
        <w:t>。</w:t>
      </w:r>
    </w:p>
    <w:p w14:paraId="32994D2F">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六、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加相应的字段模块。经过认定的金融业企业在系统中进行规模登记</w:t>
      </w:r>
      <w:r>
        <w:rPr>
          <w:rStyle w:val="34"/>
          <w:rFonts w:hint="eastAsia" w:cs="宋体"/>
          <w:b w:val="0"/>
          <w:bCs w:val="0"/>
          <w:color w:val="auto"/>
          <w:sz w:val="24"/>
          <w:szCs w:val="24"/>
          <w:highlight w:val="none"/>
          <w:lang w:eastAsia="zh-CN"/>
        </w:rPr>
        <w:t>，</w:t>
      </w:r>
      <w:r>
        <w:rPr>
          <w:rStyle w:val="34"/>
          <w:rFonts w:hint="eastAsia" w:ascii="宋体" w:hAnsi="宋体" w:eastAsia="宋体" w:cs="宋体"/>
          <w:b w:val="0"/>
          <w:bCs w:val="0"/>
          <w:color w:val="auto"/>
          <w:sz w:val="24"/>
          <w:szCs w:val="24"/>
          <w:highlight w:val="none"/>
        </w:rPr>
        <w:t>方便政府部门和社会各界查询使用。</w:t>
      </w:r>
    </w:p>
    <w:p w14:paraId="034C4839">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七、标准值的评估和调整。金融业企业划型标准工作组每五年对划型标准值受经济发展与通货膨胀等因素的影响程度进行评估和调整。</w:t>
      </w:r>
    </w:p>
    <w:p w14:paraId="01F56FF4">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4"/>
          <w:rFonts w:hint="eastAsia" w:ascii="宋体" w:hAnsi="宋体" w:eastAsia="宋体" w:cs="宋体"/>
          <w:b w:val="0"/>
          <w:bCs w:val="0"/>
          <w:color w:val="auto"/>
          <w:sz w:val="24"/>
          <w:szCs w:val="24"/>
          <w:highlight w:val="none"/>
          <w:lang w:eastAsia="zh-CN"/>
        </w:rPr>
      </w:pPr>
      <w:r>
        <w:rPr>
          <w:rStyle w:val="34"/>
          <w:rFonts w:hint="eastAsia" w:ascii="宋体" w:hAnsi="宋体" w:eastAsia="宋体" w:cs="宋体"/>
          <w:b w:val="0"/>
          <w:bCs w:val="0"/>
          <w:color w:val="auto"/>
          <w:sz w:val="24"/>
          <w:szCs w:val="24"/>
          <w:highlight w:val="none"/>
        </w:rPr>
        <w:t>八、本规定的中型金融业企业标准上限即为大型金融业企业下限。国务院有关部门据此进行相关数据的统计分析，不得制定与本规定不一致的金融业企业划型标准</w:t>
      </w:r>
      <w:r>
        <w:rPr>
          <w:rStyle w:val="34"/>
          <w:rFonts w:hint="eastAsia" w:cs="宋体"/>
          <w:b w:val="0"/>
          <w:bCs w:val="0"/>
          <w:color w:val="auto"/>
          <w:sz w:val="24"/>
          <w:szCs w:val="24"/>
          <w:highlight w:val="none"/>
          <w:lang w:eastAsia="zh-CN"/>
        </w:rPr>
        <w:t>。</w:t>
      </w:r>
    </w:p>
    <w:p w14:paraId="62B89F50">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4"/>
          <w:rFonts w:hint="eastAsia" w:ascii="宋体" w:hAnsi="宋体" w:eastAsia="宋体" w:cs="宋体"/>
          <w:b w:val="0"/>
          <w:bCs w:val="0"/>
          <w:color w:val="auto"/>
          <w:sz w:val="24"/>
          <w:szCs w:val="24"/>
          <w:highlight w:val="none"/>
          <w:lang w:eastAsia="zh-CN"/>
        </w:rPr>
      </w:pPr>
      <w:r>
        <w:rPr>
          <w:rStyle w:val="34"/>
          <w:rFonts w:hint="eastAsia" w:ascii="宋体" w:hAnsi="宋体" w:eastAsia="宋体" w:cs="宋体"/>
          <w:b w:val="0"/>
          <w:bCs w:val="0"/>
          <w:color w:val="auto"/>
          <w:sz w:val="24"/>
          <w:szCs w:val="24"/>
          <w:highlight w:val="none"/>
        </w:rPr>
        <w:t>九、融资担保公司参照本规定中“除贷款公司、小额贷款公司、典当行以外的其他金融机构”标准划型</w:t>
      </w:r>
      <w:r>
        <w:rPr>
          <w:rStyle w:val="34"/>
          <w:rFonts w:hint="eastAsia" w:cs="宋体"/>
          <w:b w:val="0"/>
          <w:bCs w:val="0"/>
          <w:color w:val="auto"/>
          <w:sz w:val="24"/>
          <w:szCs w:val="24"/>
          <w:highlight w:val="none"/>
          <w:lang w:eastAsia="zh-CN"/>
        </w:rPr>
        <w:t>。</w:t>
      </w:r>
    </w:p>
    <w:p w14:paraId="5562FAB9">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十、本规定由人民银行会同银监会、证监会、保监会和统计局负责解释。</w:t>
      </w:r>
    </w:p>
    <w:p w14:paraId="0CD76B78">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4"/>
          <w:rFonts w:hint="eastAsia" w:ascii="宋体" w:hAnsi="宋体" w:eastAsia="宋体" w:cs="宋体"/>
          <w:b w:val="0"/>
          <w:bCs w:val="0"/>
          <w:color w:val="auto"/>
          <w:sz w:val="24"/>
          <w:szCs w:val="24"/>
          <w:highlight w:val="none"/>
          <w:lang w:eastAsia="zh-CN"/>
        </w:rPr>
      </w:pPr>
      <w:r>
        <w:rPr>
          <w:rStyle w:val="34"/>
          <w:rFonts w:hint="eastAsia" w:ascii="宋体" w:hAnsi="宋体" w:eastAsia="宋体" w:cs="宋体"/>
          <w:b w:val="0"/>
          <w:bCs w:val="0"/>
          <w:color w:val="auto"/>
          <w:sz w:val="24"/>
          <w:szCs w:val="24"/>
          <w:highlight w:val="none"/>
        </w:rPr>
        <w:t>十一、本规定自发布之日起实施</w:t>
      </w:r>
      <w:r>
        <w:rPr>
          <w:rStyle w:val="34"/>
          <w:rFonts w:hint="eastAsia" w:cs="宋体"/>
          <w:b w:val="0"/>
          <w:bCs w:val="0"/>
          <w:color w:val="auto"/>
          <w:sz w:val="24"/>
          <w:szCs w:val="24"/>
          <w:highlight w:val="none"/>
          <w:lang w:eastAsia="zh-CN"/>
        </w:rPr>
        <w:t>。</w:t>
      </w:r>
    </w:p>
    <w:p w14:paraId="5DAE7F9E">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4"/>
          <w:rFonts w:hint="eastAsia" w:ascii="宋体" w:hAnsi="宋体" w:eastAsia="宋体" w:cs="宋体"/>
          <w:b w:val="0"/>
          <w:bCs w:val="0"/>
          <w:color w:val="auto"/>
          <w:sz w:val="24"/>
          <w:szCs w:val="24"/>
          <w:highlight w:val="none"/>
        </w:rPr>
      </w:pPr>
    </w:p>
    <w:p w14:paraId="13D9865C">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4"/>
          <w:rFonts w:hint="eastAsia" w:ascii="宋体" w:hAnsi="宋体" w:eastAsia="宋体" w:cs="宋体"/>
          <w:b w:val="0"/>
          <w:bCs w:val="0"/>
          <w:color w:val="auto"/>
          <w:sz w:val="24"/>
          <w:szCs w:val="24"/>
          <w:highlight w:val="none"/>
        </w:rPr>
      </w:pPr>
      <w:r>
        <w:rPr>
          <w:rStyle w:val="34"/>
          <w:rFonts w:hint="eastAsia" w:ascii="宋体" w:hAnsi="宋体" w:eastAsia="宋体" w:cs="宋体"/>
          <w:b w:val="0"/>
          <w:bCs w:val="0"/>
          <w:color w:val="auto"/>
          <w:sz w:val="24"/>
          <w:szCs w:val="24"/>
          <w:highlight w:val="none"/>
        </w:rPr>
        <w:t>附:金融业企业划型标准</w:t>
      </w:r>
    </w:p>
    <w:p w14:paraId="4CB94869">
      <w:pPr>
        <w:rPr>
          <w:rFonts w:cs="宋体"/>
          <w:color w:val="auto"/>
          <w:spacing w:val="6"/>
          <w:sz w:val="21"/>
          <w:szCs w:val="21"/>
          <w:highlight w:val="none"/>
        </w:rPr>
      </w:pPr>
    </w:p>
    <w:p w14:paraId="018058A8">
      <w:pPr>
        <w:rPr>
          <w:rFonts w:hint="eastAsia" w:cs="宋体"/>
          <w:color w:val="auto"/>
          <w:spacing w:val="6"/>
          <w:sz w:val="24"/>
          <w:szCs w:val="24"/>
          <w:highlight w:val="none"/>
          <w:lang w:val="en-US" w:eastAsia="zh-CN"/>
        </w:rPr>
      </w:pPr>
    </w:p>
    <w:p w14:paraId="5023B69E">
      <w:pPr>
        <w:rPr>
          <w:rFonts w:hint="eastAsia" w:cs="宋体"/>
          <w:color w:val="auto"/>
          <w:spacing w:val="6"/>
          <w:sz w:val="24"/>
          <w:szCs w:val="24"/>
          <w:highlight w:val="none"/>
          <w:lang w:val="en-US" w:eastAsia="zh-CN"/>
        </w:rPr>
      </w:pPr>
    </w:p>
    <w:p w14:paraId="5F7D4B83">
      <w:pPr>
        <w:rPr>
          <w:rFonts w:hint="eastAsia" w:cs="宋体"/>
          <w:color w:val="auto"/>
          <w:spacing w:val="6"/>
          <w:sz w:val="24"/>
          <w:szCs w:val="24"/>
          <w:highlight w:val="none"/>
          <w:lang w:val="en-US" w:eastAsia="zh-CN"/>
        </w:rPr>
      </w:pPr>
    </w:p>
    <w:p w14:paraId="20B74F82">
      <w:pPr>
        <w:rPr>
          <w:rFonts w:hint="eastAsia" w:cs="宋体"/>
          <w:color w:val="auto"/>
          <w:spacing w:val="6"/>
          <w:sz w:val="24"/>
          <w:szCs w:val="24"/>
          <w:highlight w:val="none"/>
          <w:lang w:val="en-US" w:eastAsia="zh-CN"/>
        </w:rPr>
      </w:pPr>
    </w:p>
    <w:p w14:paraId="2C0B2223">
      <w:pPr>
        <w:rPr>
          <w:rFonts w:hint="eastAsia" w:cs="宋体"/>
          <w:color w:val="auto"/>
          <w:spacing w:val="6"/>
          <w:sz w:val="24"/>
          <w:szCs w:val="24"/>
          <w:highlight w:val="none"/>
          <w:lang w:val="en-US" w:eastAsia="zh-CN"/>
        </w:rPr>
      </w:pPr>
    </w:p>
    <w:p w14:paraId="70123D58">
      <w:pPr>
        <w:rPr>
          <w:rFonts w:hint="eastAsia" w:cs="宋体"/>
          <w:color w:val="auto"/>
          <w:spacing w:val="6"/>
          <w:sz w:val="24"/>
          <w:szCs w:val="24"/>
          <w:highlight w:val="none"/>
          <w:lang w:val="en-US" w:eastAsia="zh-CN"/>
        </w:rPr>
      </w:pPr>
      <w:r>
        <w:rPr>
          <w:rFonts w:hint="eastAsia" w:cs="宋体"/>
          <w:color w:val="auto"/>
          <w:spacing w:val="6"/>
          <w:sz w:val="24"/>
          <w:szCs w:val="24"/>
          <w:highlight w:val="none"/>
          <w:lang w:val="en-US" w:eastAsia="zh-CN"/>
        </w:rPr>
        <w:t>附</w:t>
      </w:r>
    </w:p>
    <w:p w14:paraId="7EB97DB1">
      <w:pPr>
        <w:pStyle w:val="1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val="0"/>
          <w:color w:val="auto"/>
          <w:sz w:val="28"/>
          <w:szCs w:val="28"/>
          <w:highlight w:val="none"/>
        </w:rPr>
      </w:pPr>
      <w:r>
        <w:rPr>
          <w:rFonts w:hint="eastAsia" w:ascii="宋体" w:hAnsi="宋体" w:eastAsia="宋体" w:cs="宋体"/>
          <w:b/>
          <w:bCs w:val="0"/>
          <w:color w:val="auto"/>
          <w:sz w:val="28"/>
          <w:szCs w:val="28"/>
          <w:highlight w:val="none"/>
        </w:rPr>
        <w:t>金融业企业划型标准</w:t>
      </w:r>
    </w:p>
    <w:tbl>
      <w:tblPr>
        <w:tblStyle w:val="32"/>
        <w:tblW w:w="8498" w:type="dxa"/>
        <w:tblInd w:w="1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19"/>
        <w:gridCol w:w="1168"/>
        <w:gridCol w:w="1817"/>
        <w:gridCol w:w="1143"/>
        <w:gridCol w:w="3251"/>
      </w:tblGrid>
      <w:tr w14:paraId="26CBCA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2287" w:type="dxa"/>
            <w:gridSpan w:val="2"/>
            <w:vAlign w:val="center"/>
          </w:tcPr>
          <w:p w14:paraId="25F9841A">
            <w:pPr>
              <w:spacing w:line="240" w:lineRule="auto"/>
              <w:jc w:val="center"/>
              <w:rPr>
                <w:rFonts w:hint="eastAsia" w:ascii="宋体" w:hAnsi="宋体" w:eastAsia="宋体" w:cs="宋体"/>
                <w:b/>
                <w:color w:val="auto"/>
                <w:spacing w:val="6"/>
                <w:sz w:val="21"/>
                <w:szCs w:val="21"/>
                <w:highlight w:val="none"/>
                <w:vertAlign w:val="baseline"/>
                <w:lang w:val="en-US" w:eastAsia="zh-CN"/>
              </w:rPr>
            </w:pPr>
            <w:r>
              <w:rPr>
                <w:rFonts w:hint="eastAsia" w:ascii="宋体" w:hAnsi="宋体" w:eastAsia="宋体" w:cs="宋体"/>
                <w:b/>
                <w:color w:val="auto"/>
                <w:spacing w:val="6"/>
                <w:sz w:val="21"/>
                <w:szCs w:val="21"/>
                <w:highlight w:val="none"/>
                <w:vertAlign w:val="baseline"/>
                <w:lang w:val="en-US" w:eastAsia="zh-CN"/>
              </w:rPr>
              <w:t>行业</w:t>
            </w:r>
          </w:p>
        </w:tc>
        <w:tc>
          <w:tcPr>
            <w:tcW w:w="1817" w:type="dxa"/>
            <w:vAlign w:val="center"/>
          </w:tcPr>
          <w:p w14:paraId="3B4008BC">
            <w:pPr>
              <w:spacing w:line="240" w:lineRule="auto"/>
              <w:jc w:val="center"/>
              <w:rPr>
                <w:rFonts w:hint="eastAsia" w:ascii="宋体" w:hAnsi="宋体" w:eastAsia="宋体" w:cs="宋体"/>
                <w:b/>
                <w:color w:val="auto"/>
                <w:spacing w:val="6"/>
                <w:sz w:val="21"/>
                <w:szCs w:val="21"/>
                <w:highlight w:val="none"/>
                <w:vertAlign w:val="baseline"/>
                <w:lang w:val="en-US" w:eastAsia="zh-CN"/>
              </w:rPr>
            </w:pPr>
            <w:r>
              <w:rPr>
                <w:rFonts w:hint="eastAsia" w:ascii="宋体" w:hAnsi="宋体" w:eastAsia="宋体" w:cs="宋体"/>
                <w:b/>
                <w:color w:val="auto"/>
                <w:spacing w:val="6"/>
                <w:sz w:val="21"/>
                <w:szCs w:val="21"/>
                <w:highlight w:val="none"/>
                <w:vertAlign w:val="baseline"/>
                <w:lang w:val="en-US" w:eastAsia="zh-CN"/>
              </w:rPr>
              <w:t>类别</w:t>
            </w:r>
          </w:p>
        </w:tc>
        <w:tc>
          <w:tcPr>
            <w:tcW w:w="1143" w:type="dxa"/>
            <w:vAlign w:val="center"/>
          </w:tcPr>
          <w:p w14:paraId="199F0882">
            <w:pPr>
              <w:spacing w:line="240" w:lineRule="auto"/>
              <w:jc w:val="center"/>
              <w:rPr>
                <w:rFonts w:hint="eastAsia" w:ascii="宋体" w:hAnsi="宋体" w:eastAsia="宋体" w:cs="宋体"/>
                <w:b/>
                <w:color w:val="auto"/>
                <w:spacing w:val="6"/>
                <w:sz w:val="21"/>
                <w:szCs w:val="21"/>
                <w:highlight w:val="none"/>
                <w:vertAlign w:val="baseline"/>
                <w:lang w:val="en-US" w:eastAsia="zh-CN"/>
              </w:rPr>
            </w:pPr>
            <w:r>
              <w:rPr>
                <w:rFonts w:hint="eastAsia" w:ascii="宋体" w:hAnsi="宋体" w:eastAsia="宋体" w:cs="宋体"/>
                <w:b/>
                <w:color w:val="auto"/>
                <w:spacing w:val="6"/>
                <w:sz w:val="21"/>
                <w:szCs w:val="21"/>
                <w:highlight w:val="none"/>
                <w:vertAlign w:val="baseline"/>
                <w:lang w:val="en-US" w:eastAsia="zh-CN"/>
              </w:rPr>
              <w:t>类型</w:t>
            </w:r>
          </w:p>
        </w:tc>
        <w:tc>
          <w:tcPr>
            <w:tcW w:w="3251" w:type="dxa"/>
            <w:vAlign w:val="center"/>
          </w:tcPr>
          <w:p w14:paraId="715E5C3B">
            <w:pPr>
              <w:spacing w:line="240" w:lineRule="auto"/>
              <w:jc w:val="center"/>
              <w:rPr>
                <w:rFonts w:hint="eastAsia" w:ascii="宋体" w:hAnsi="宋体" w:eastAsia="宋体" w:cs="宋体"/>
                <w:b/>
                <w:color w:val="auto"/>
                <w:spacing w:val="6"/>
                <w:sz w:val="21"/>
                <w:szCs w:val="21"/>
                <w:highlight w:val="none"/>
                <w:vertAlign w:val="baseline"/>
                <w:lang w:val="en-US" w:eastAsia="zh-CN"/>
              </w:rPr>
            </w:pPr>
            <w:r>
              <w:rPr>
                <w:rFonts w:hint="eastAsia" w:ascii="宋体" w:hAnsi="宋体" w:eastAsia="宋体" w:cs="宋体"/>
                <w:b/>
                <w:color w:val="auto"/>
                <w:spacing w:val="6"/>
                <w:sz w:val="21"/>
                <w:szCs w:val="21"/>
                <w:highlight w:val="none"/>
                <w:vertAlign w:val="baseline"/>
                <w:lang w:val="en-US" w:eastAsia="zh-CN"/>
              </w:rPr>
              <w:t>资产总额</w:t>
            </w:r>
          </w:p>
        </w:tc>
      </w:tr>
      <w:tr w14:paraId="471A87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restart"/>
            <w:vAlign w:val="center"/>
          </w:tcPr>
          <w:p w14:paraId="1233504D">
            <w:pPr>
              <w:spacing w:line="240" w:lineRule="auto"/>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货币金融服务</w:t>
            </w:r>
          </w:p>
        </w:tc>
        <w:tc>
          <w:tcPr>
            <w:tcW w:w="1168" w:type="dxa"/>
            <w:vMerge w:val="restart"/>
            <w:vAlign w:val="center"/>
          </w:tcPr>
          <w:p w14:paraId="4350DE89">
            <w:pPr>
              <w:spacing w:line="240" w:lineRule="auto"/>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货币银行服务</w:t>
            </w:r>
          </w:p>
        </w:tc>
        <w:tc>
          <w:tcPr>
            <w:tcW w:w="1817" w:type="dxa"/>
            <w:vMerge w:val="restart"/>
            <w:vAlign w:val="center"/>
          </w:tcPr>
          <w:p w14:paraId="6D5CDA82">
            <w:pPr>
              <w:spacing w:line="240" w:lineRule="auto"/>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银行业存款类金融机构</w:t>
            </w:r>
          </w:p>
        </w:tc>
        <w:tc>
          <w:tcPr>
            <w:tcW w:w="1143" w:type="dxa"/>
            <w:vAlign w:val="center"/>
          </w:tcPr>
          <w:p w14:paraId="18DA8CED">
            <w:pPr>
              <w:spacing w:line="240" w:lineRule="auto"/>
              <w:jc w:val="center"/>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中型</w:t>
            </w:r>
          </w:p>
        </w:tc>
        <w:tc>
          <w:tcPr>
            <w:tcW w:w="3251" w:type="dxa"/>
            <w:vAlign w:val="center"/>
          </w:tcPr>
          <w:p w14:paraId="6553EDDF">
            <w:pPr>
              <w:spacing w:line="240" w:lineRule="auto"/>
              <w:jc w:val="center"/>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5000亿元（含）至40000亿元</w:t>
            </w:r>
          </w:p>
        </w:tc>
      </w:tr>
      <w:tr w14:paraId="7DDCE2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25D803A9">
            <w:pPr>
              <w:spacing w:line="240" w:lineRule="auto"/>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45CFC2BC">
            <w:pPr>
              <w:spacing w:line="240" w:lineRule="auto"/>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392AD96A">
            <w:pPr>
              <w:spacing w:line="240" w:lineRule="auto"/>
              <w:jc w:val="both"/>
              <w:rPr>
                <w:rFonts w:hint="eastAsia" w:ascii="宋体" w:hAnsi="宋体" w:eastAsia="宋体" w:cs="宋体"/>
                <w:color w:val="auto"/>
                <w:spacing w:val="6"/>
                <w:sz w:val="21"/>
                <w:szCs w:val="21"/>
                <w:highlight w:val="none"/>
                <w:vertAlign w:val="baseline"/>
              </w:rPr>
            </w:pPr>
          </w:p>
        </w:tc>
        <w:tc>
          <w:tcPr>
            <w:tcW w:w="1143" w:type="dxa"/>
            <w:vAlign w:val="center"/>
          </w:tcPr>
          <w:p w14:paraId="146F4352">
            <w:pPr>
              <w:spacing w:line="240" w:lineRule="auto"/>
              <w:jc w:val="center"/>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小型</w:t>
            </w:r>
          </w:p>
        </w:tc>
        <w:tc>
          <w:tcPr>
            <w:tcW w:w="3251" w:type="dxa"/>
            <w:shd w:val="clear" w:color="auto" w:fill="auto"/>
            <w:vAlign w:val="center"/>
          </w:tcPr>
          <w:p w14:paraId="0C955763">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50亿元（含）至5000亿元</w:t>
            </w:r>
          </w:p>
        </w:tc>
      </w:tr>
      <w:tr w14:paraId="738264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244DEC46">
            <w:pPr>
              <w:spacing w:line="240" w:lineRule="auto"/>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147E3A4E">
            <w:pPr>
              <w:spacing w:line="240" w:lineRule="auto"/>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543C1290">
            <w:pPr>
              <w:spacing w:line="240" w:lineRule="auto"/>
              <w:jc w:val="both"/>
              <w:rPr>
                <w:rFonts w:hint="eastAsia" w:ascii="宋体" w:hAnsi="宋体" w:eastAsia="宋体" w:cs="宋体"/>
                <w:color w:val="auto"/>
                <w:spacing w:val="6"/>
                <w:sz w:val="21"/>
                <w:szCs w:val="21"/>
                <w:highlight w:val="none"/>
                <w:vertAlign w:val="baseline"/>
              </w:rPr>
            </w:pPr>
          </w:p>
        </w:tc>
        <w:tc>
          <w:tcPr>
            <w:tcW w:w="1143" w:type="dxa"/>
            <w:vAlign w:val="center"/>
          </w:tcPr>
          <w:p w14:paraId="0A8569B9">
            <w:pPr>
              <w:spacing w:line="240" w:lineRule="auto"/>
              <w:jc w:val="center"/>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微型</w:t>
            </w:r>
          </w:p>
        </w:tc>
        <w:tc>
          <w:tcPr>
            <w:tcW w:w="3251" w:type="dxa"/>
            <w:vAlign w:val="center"/>
          </w:tcPr>
          <w:p w14:paraId="29C9E0F4">
            <w:pPr>
              <w:spacing w:line="240" w:lineRule="auto"/>
              <w:jc w:val="center"/>
              <w:rPr>
                <w:rFonts w:hint="eastAsia" w:ascii="宋体" w:hAnsi="宋体" w:eastAsia="宋体" w:cs="宋体"/>
                <w:color w:val="auto"/>
                <w:spacing w:val="6"/>
                <w:sz w:val="21"/>
                <w:szCs w:val="21"/>
                <w:highlight w:val="none"/>
                <w:vertAlign w:val="baseline"/>
                <w:lang w:val="en-US"/>
              </w:rPr>
            </w:pPr>
            <w:r>
              <w:rPr>
                <w:rFonts w:hint="eastAsia" w:ascii="宋体" w:hAnsi="宋体" w:eastAsia="宋体" w:cs="宋体"/>
                <w:color w:val="auto"/>
                <w:spacing w:val="6"/>
                <w:sz w:val="21"/>
                <w:szCs w:val="21"/>
                <w:highlight w:val="none"/>
                <w:vertAlign w:val="baseline"/>
                <w:lang w:val="en-US" w:eastAsia="zh-CN"/>
              </w:rPr>
              <w:t>50亿元以下</w:t>
            </w:r>
          </w:p>
        </w:tc>
      </w:tr>
      <w:tr w14:paraId="1C15D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22A12E1E">
            <w:pPr>
              <w:spacing w:line="240" w:lineRule="auto"/>
              <w:jc w:val="both"/>
              <w:rPr>
                <w:rFonts w:hint="eastAsia" w:ascii="宋体" w:hAnsi="宋体" w:eastAsia="宋体" w:cs="宋体"/>
                <w:color w:val="auto"/>
                <w:spacing w:val="6"/>
                <w:sz w:val="21"/>
                <w:szCs w:val="21"/>
                <w:highlight w:val="none"/>
                <w:vertAlign w:val="baseline"/>
              </w:rPr>
            </w:pPr>
          </w:p>
        </w:tc>
        <w:tc>
          <w:tcPr>
            <w:tcW w:w="1168" w:type="dxa"/>
            <w:vMerge w:val="restart"/>
            <w:vAlign w:val="center"/>
          </w:tcPr>
          <w:p w14:paraId="56574B6D">
            <w:pPr>
              <w:spacing w:line="240" w:lineRule="auto"/>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非货币银行服务</w:t>
            </w:r>
          </w:p>
        </w:tc>
        <w:tc>
          <w:tcPr>
            <w:tcW w:w="1817" w:type="dxa"/>
            <w:vMerge w:val="restart"/>
            <w:vAlign w:val="center"/>
          </w:tcPr>
          <w:p w14:paraId="7DD2F497">
            <w:pPr>
              <w:spacing w:line="240" w:lineRule="auto"/>
              <w:jc w:val="both"/>
              <w:rPr>
                <w:rFonts w:hint="eastAsia" w:ascii="宋体" w:hAnsi="宋体" w:eastAsia="宋体" w:cs="宋体"/>
                <w:color w:val="auto"/>
                <w:spacing w:val="6"/>
                <w:sz w:val="21"/>
                <w:szCs w:val="21"/>
                <w:highlight w:val="none"/>
                <w:vertAlign w:val="baseline"/>
              </w:rPr>
            </w:pPr>
            <w:r>
              <w:rPr>
                <w:rFonts w:hint="eastAsia" w:ascii="宋体" w:hAnsi="宋体" w:eastAsia="宋体" w:cs="宋体"/>
                <w:color w:val="auto"/>
                <w:spacing w:val="6"/>
                <w:sz w:val="21"/>
                <w:szCs w:val="21"/>
                <w:highlight w:val="none"/>
                <w:vertAlign w:val="baseline"/>
                <w:lang w:val="en-US" w:eastAsia="zh-CN"/>
              </w:rPr>
              <w:t>银行业非存款类金融机构</w:t>
            </w:r>
          </w:p>
        </w:tc>
        <w:tc>
          <w:tcPr>
            <w:tcW w:w="1143" w:type="dxa"/>
            <w:shd w:val="clear" w:color="auto" w:fill="auto"/>
            <w:vAlign w:val="center"/>
          </w:tcPr>
          <w:p w14:paraId="46609FB8">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中型</w:t>
            </w:r>
          </w:p>
        </w:tc>
        <w:tc>
          <w:tcPr>
            <w:tcW w:w="3251" w:type="dxa"/>
            <w:shd w:val="clear" w:color="auto" w:fill="auto"/>
            <w:vAlign w:val="center"/>
          </w:tcPr>
          <w:p w14:paraId="288F5BE5">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200亿元（含）至1000亿元</w:t>
            </w:r>
          </w:p>
        </w:tc>
      </w:tr>
      <w:tr w14:paraId="29DE01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40CFE49B">
            <w:pPr>
              <w:spacing w:line="240" w:lineRule="auto"/>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1EF9025F">
            <w:pPr>
              <w:spacing w:line="240" w:lineRule="auto"/>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6CC015F9">
            <w:pPr>
              <w:spacing w:line="240" w:lineRule="auto"/>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0699B1D7">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小型</w:t>
            </w:r>
          </w:p>
        </w:tc>
        <w:tc>
          <w:tcPr>
            <w:tcW w:w="3251" w:type="dxa"/>
            <w:shd w:val="clear" w:color="auto" w:fill="auto"/>
            <w:vAlign w:val="center"/>
          </w:tcPr>
          <w:p w14:paraId="56E78EC6">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50亿元（含）至200亿元</w:t>
            </w:r>
          </w:p>
        </w:tc>
      </w:tr>
      <w:tr w14:paraId="0CA590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6EE674B4">
            <w:pPr>
              <w:spacing w:line="240" w:lineRule="auto"/>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217EDCC4">
            <w:pPr>
              <w:spacing w:line="240" w:lineRule="auto"/>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7DEB5E22">
            <w:pPr>
              <w:spacing w:line="240" w:lineRule="auto"/>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24E9D4A7">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微型</w:t>
            </w:r>
          </w:p>
        </w:tc>
        <w:tc>
          <w:tcPr>
            <w:tcW w:w="3251" w:type="dxa"/>
            <w:vAlign w:val="center"/>
          </w:tcPr>
          <w:p w14:paraId="00D701CA">
            <w:pPr>
              <w:spacing w:line="240" w:lineRule="auto"/>
              <w:jc w:val="center"/>
              <w:rPr>
                <w:rFonts w:hint="eastAsia" w:ascii="宋体" w:hAnsi="宋体" w:eastAsia="宋体" w:cs="宋体"/>
                <w:color w:val="auto"/>
                <w:spacing w:val="6"/>
                <w:sz w:val="21"/>
                <w:szCs w:val="21"/>
                <w:highlight w:val="none"/>
                <w:vertAlign w:val="baseline"/>
              </w:rPr>
            </w:pPr>
            <w:r>
              <w:rPr>
                <w:rFonts w:hint="eastAsia" w:ascii="宋体" w:hAnsi="宋体" w:eastAsia="宋体" w:cs="宋体"/>
                <w:color w:val="auto"/>
                <w:spacing w:val="6"/>
                <w:sz w:val="21"/>
                <w:szCs w:val="21"/>
                <w:highlight w:val="none"/>
                <w:vertAlign w:val="baseline"/>
                <w:lang w:val="en-US" w:eastAsia="zh-CN"/>
              </w:rPr>
              <w:t>50亿元以下</w:t>
            </w:r>
          </w:p>
        </w:tc>
      </w:tr>
      <w:tr w14:paraId="4B5348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6D041F7C">
            <w:pPr>
              <w:spacing w:line="240" w:lineRule="auto"/>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295688AF">
            <w:pPr>
              <w:spacing w:line="240" w:lineRule="auto"/>
              <w:jc w:val="both"/>
              <w:rPr>
                <w:rFonts w:hint="eastAsia" w:ascii="宋体" w:hAnsi="宋体" w:eastAsia="宋体" w:cs="宋体"/>
                <w:color w:val="auto"/>
                <w:spacing w:val="6"/>
                <w:sz w:val="21"/>
                <w:szCs w:val="21"/>
                <w:highlight w:val="none"/>
                <w:vertAlign w:val="baseline"/>
              </w:rPr>
            </w:pPr>
          </w:p>
        </w:tc>
        <w:tc>
          <w:tcPr>
            <w:tcW w:w="1817" w:type="dxa"/>
            <w:vMerge w:val="restart"/>
            <w:vAlign w:val="center"/>
          </w:tcPr>
          <w:p w14:paraId="2420EBEF">
            <w:pPr>
              <w:spacing w:line="240" w:lineRule="auto"/>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贷款公司、小额贷款公司及典当行</w:t>
            </w:r>
          </w:p>
        </w:tc>
        <w:tc>
          <w:tcPr>
            <w:tcW w:w="1143" w:type="dxa"/>
            <w:shd w:val="clear" w:color="auto" w:fill="auto"/>
            <w:vAlign w:val="center"/>
          </w:tcPr>
          <w:p w14:paraId="705DE846">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中型</w:t>
            </w:r>
          </w:p>
        </w:tc>
        <w:tc>
          <w:tcPr>
            <w:tcW w:w="3251" w:type="dxa"/>
            <w:shd w:val="clear" w:color="auto" w:fill="auto"/>
            <w:vAlign w:val="center"/>
          </w:tcPr>
          <w:p w14:paraId="007BBC2E">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200亿元（含）至1000亿元</w:t>
            </w:r>
          </w:p>
        </w:tc>
      </w:tr>
      <w:tr w14:paraId="39E6EF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1180FDC1">
            <w:pPr>
              <w:spacing w:line="240" w:lineRule="auto"/>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078270CB">
            <w:pPr>
              <w:spacing w:line="240" w:lineRule="auto"/>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0CBA7696">
            <w:pPr>
              <w:spacing w:line="240" w:lineRule="auto"/>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2EA1A43D">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小型</w:t>
            </w:r>
          </w:p>
        </w:tc>
        <w:tc>
          <w:tcPr>
            <w:tcW w:w="3251" w:type="dxa"/>
            <w:shd w:val="clear" w:color="auto" w:fill="auto"/>
            <w:vAlign w:val="center"/>
          </w:tcPr>
          <w:p w14:paraId="220FC05B">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50亿元（含）至200亿元</w:t>
            </w:r>
          </w:p>
        </w:tc>
      </w:tr>
      <w:tr w14:paraId="7A6B2C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1C9F23C9">
            <w:pPr>
              <w:spacing w:line="240" w:lineRule="auto"/>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693061F1">
            <w:pPr>
              <w:spacing w:line="240" w:lineRule="auto"/>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7241FB1E">
            <w:pPr>
              <w:spacing w:line="240" w:lineRule="auto"/>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6076913A">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微型</w:t>
            </w:r>
          </w:p>
        </w:tc>
        <w:tc>
          <w:tcPr>
            <w:tcW w:w="3251" w:type="dxa"/>
            <w:shd w:val="clear" w:color="auto" w:fill="auto"/>
            <w:vAlign w:val="center"/>
          </w:tcPr>
          <w:p w14:paraId="03E9BD7B">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50亿元以下</w:t>
            </w:r>
          </w:p>
        </w:tc>
      </w:tr>
      <w:tr w14:paraId="10E75D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restart"/>
            <w:vAlign w:val="center"/>
          </w:tcPr>
          <w:p w14:paraId="3A884F55">
            <w:pPr>
              <w:spacing w:line="240" w:lineRule="auto"/>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资本市场服务</w:t>
            </w:r>
          </w:p>
        </w:tc>
        <w:tc>
          <w:tcPr>
            <w:tcW w:w="1817" w:type="dxa"/>
            <w:vMerge w:val="restart"/>
            <w:vAlign w:val="center"/>
          </w:tcPr>
          <w:p w14:paraId="6E78CF81">
            <w:pPr>
              <w:spacing w:line="240" w:lineRule="auto"/>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证券业金融机构</w:t>
            </w:r>
          </w:p>
        </w:tc>
        <w:tc>
          <w:tcPr>
            <w:tcW w:w="1143" w:type="dxa"/>
            <w:shd w:val="clear" w:color="auto" w:fill="auto"/>
            <w:vAlign w:val="center"/>
          </w:tcPr>
          <w:p w14:paraId="04142618">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中型</w:t>
            </w:r>
          </w:p>
        </w:tc>
        <w:tc>
          <w:tcPr>
            <w:tcW w:w="3251" w:type="dxa"/>
            <w:shd w:val="clear" w:color="auto" w:fill="auto"/>
            <w:vAlign w:val="center"/>
          </w:tcPr>
          <w:p w14:paraId="4444928A">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100亿元（含）至1000亿元</w:t>
            </w:r>
          </w:p>
        </w:tc>
      </w:tr>
      <w:tr w14:paraId="0F1C88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continue"/>
            <w:vAlign w:val="center"/>
          </w:tcPr>
          <w:p w14:paraId="43B06C7E">
            <w:pPr>
              <w:spacing w:line="240" w:lineRule="auto"/>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59421CAF">
            <w:pPr>
              <w:spacing w:line="240" w:lineRule="auto"/>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54B5A7F4">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小型</w:t>
            </w:r>
          </w:p>
        </w:tc>
        <w:tc>
          <w:tcPr>
            <w:tcW w:w="3251" w:type="dxa"/>
            <w:shd w:val="clear" w:color="auto" w:fill="auto"/>
            <w:vAlign w:val="center"/>
          </w:tcPr>
          <w:p w14:paraId="1A9C4DFF">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10亿元（含）至100亿元</w:t>
            </w:r>
          </w:p>
        </w:tc>
      </w:tr>
      <w:tr w14:paraId="01E761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continue"/>
            <w:vAlign w:val="center"/>
          </w:tcPr>
          <w:p w14:paraId="465FECCF">
            <w:pPr>
              <w:spacing w:line="240" w:lineRule="auto"/>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7ADD78C9">
            <w:pPr>
              <w:spacing w:line="240" w:lineRule="auto"/>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60F7AF91">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微型</w:t>
            </w:r>
          </w:p>
        </w:tc>
        <w:tc>
          <w:tcPr>
            <w:tcW w:w="3251" w:type="dxa"/>
            <w:shd w:val="clear" w:color="auto" w:fill="auto"/>
            <w:vAlign w:val="center"/>
          </w:tcPr>
          <w:p w14:paraId="43D0131F">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10亿元以下</w:t>
            </w:r>
          </w:p>
        </w:tc>
      </w:tr>
      <w:tr w14:paraId="33147E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restart"/>
            <w:vAlign w:val="center"/>
          </w:tcPr>
          <w:p w14:paraId="7FAED341">
            <w:pPr>
              <w:spacing w:line="240" w:lineRule="auto"/>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保险业</w:t>
            </w:r>
          </w:p>
        </w:tc>
        <w:tc>
          <w:tcPr>
            <w:tcW w:w="1817" w:type="dxa"/>
            <w:vMerge w:val="restart"/>
            <w:vAlign w:val="center"/>
          </w:tcPr>
          <w:p w14:paraId="73A1B699">
            <w:pPr>
              <w:spacing w:line="240" w:lineRule="auto"/>
              <w:jc w:val="both"/>
              <w:rPr>
                <w:rFonts w:hint="eastAsia" w:ascii="宋体" w:hAnsi="宋体" w:eastAsia="宋体" w:cs="宋体"/>
                <w:color w:val="auto"/>
                <w:spacing w:val="6"/>
                <w:sz w:val="21"/>
                <w:szCs w:val="21"/>
                <w:highlight w:val="none"/>
                <w:vertAlign w:val="baseline"/>
              </w:rPr>
            </w:pPr>
            <w:r>
              <w:rPr>
                <w:rFonts w:hint="eastAsia" w:ascii="宋体" w:hAnsi="宋体" w:eastAsia="宋体" w:cs="宋体"/>
                <w:color w:val="auto"/>
                <w:spacing w:val="6"/>
                <w:sz w:val="21"/>
                <w:szCs w:val="21"/>
                <w:highlight w:val="none"/>
                <w:vertAlign w:val="baseline"/>
                <w:lang w:val="en-US" w:eastAsia="zh-CN"/>
              </w:rPr>
              <w:t>保险业金融机构</w:t>
            </w:r>
          </w:p>
        </w:tc>
        <w:tc>
          <w:tcPr>
            <w:tcW w:w="1143" w:type="dxa"/>
            <w:shd w:val="clear" w:color="auto" w:fill="auto"/>
            <w:vAlign w:val="center"/>
          </w:tcPr>
          <w:p w14:paraId="7046BDEC">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中型</w:t>
            </w:r>
          </w:p>
        </w:tc>
        <w:tc>
          <w:tcPr>
            <w:tcW w:w="3251" w:type="dxa"/>
            <w:shd w:val="clear" w:color="auto" w:fill="auto"/>
            <w:vAlign w:val="center"/>
          </w:tcPr>
          <w:p w14:paraId="41B9BB44">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400亿元（含）至5000亿元</w:t>
            </w:r>
          </w:p>
        </w:tc>
      </w:tr>
      <w:tr w14:paraId="386FC4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continue"/>
            <w:vAlign w:val="center"/>
          </w:tcPr>
          <w:p w14:paraId="48C86132">
            <w:pPr>
              <w:spacing w:line="240" w:lineRule="auto"/>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62ACF5AB">
            <w:pPr>
              <w:spacing w:line="240" w:lineRule="auto"/>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361981C2">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小型</w:t>
            </w:r>
          </w:p>
        </w:tc>
        <w:tc>
          <w:tcPr>
            <w:tcW w:w="3251" w:type="dxa"/>
            <w:shd w:val="clear" w:color="auto" w:fill="auto"/>
            <w:vAlign w:val="center"/>
          </w:tcPr>
          <w:p w14:paraId="7F195A7E">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20亿元（含）至400亿元</w:t>
            </w:r>
          </w:p>
        </w:tc>
      </w:tr>
      <w:tr w14:paraId="133696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continue"/>
            <w:vAlign w:val="center"/>
          </w:tcPr>
          <w:p w14:paraId="7051FBA8">
            <w:pPr>
              <w:spacing w:line="240" w:lineRule="auto"/>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1A95E01E">
            <w:pPr>
              <w:spacing w:line="240" w:lineRule="auto"/>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5DD1435F">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微型</w:t>
            </w:r>
          </w:p>
        </w:tc>
        <w:tc>
          <w:tcPr>
            <w:tcW w:w="3251" w:type="dxa"/>
            <w:shd w:val="clear" w:color="auto" w:fill="auto"/>
            <w:vAlign w:val="center"/>
          </w:tcPr>
          <w:p w14:paraId="19F4DBB0">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20亿元以下</w:t>
            </w:r>
          </w:p>
        </w:tc>
      </w:tr>
      <w:tr w14:paraId="1B3827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restart"/>
            <w:vAlign w:val="center"/>
          </w:tcPr>
          <w:p w14:paraId="6A4EBA5D">
            <w:pPr>
              <w:spacing w:line="240" w:lineRule="auto"/>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其他金融业</w:t>
            </w:r>
          </w:p>
        </w:tc>
        <w:tc>
          <w:tcPr>
            <w:tcW w:w="1168" w:type="dxa"/>
            <w:vMerge w:val="restart"/>
            <w:vAlign w:val="center"/>
          </w:tcPr>
          <w:p w14:paraId="741CF031">
            <w:pPr>
              <w:spacing w:line="240" w:lineRule="auto"/>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金融信托与管理服务</w:t>
            </w:r>
          </w:p>
        </w:tc>
        <w:tc>
          <w:tcPr>
            <w:tcW w:w="1817" w:type="dxa"/>
            <w:vMerge w:val="restart"/>
            <w:vAlign w:val="center"/>
          </w:tcPr>
          <w:p w14:paraId="70836B6C">
            <w:pPr>
              <w:spacing w:line="240" w:lineRule="auto"/>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信托公司</w:t>
            </w:r>
          </w:p>
        </w:tc>
        <w:tc>
          <w:tcPr>
            <w:tcW w:w="1143" w:type="dxa"/>
            <w:shd w:val="clear" w:color="auto" w:fill="auto"/>
            <w:vAlign w:val="center"/>
          </w:tcPr>
          <w:p w14:paraId="03C999A9">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中型</w:t>
            </w:r>
          </w:p>
        </w:tc>
        <w:tc>
          <w:tcPr>
            <w:tcW w:w="3251" w:type="dxa"/>
            <w:shd w:val="clear" w:color="auto" w:fill="auto"/>
            <w:vAlign w:val="center"/>
          </w:tcPr>
          <w:p w14:paraId="0C96EEDA">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400亿元（含）至1000亿元</w:t>
            </w:r>
          </w:p>
        </w:tc>
      </w:tr>
      <w:tr w14:paraId="394AA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338E5D4F">
            <w:pPr>
              <w:spacing w:line="240" w:lineRule="auto"/>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2343FC29">
            <w:pPr>
              <w:spacing w:line="240" w:lineRule="auto"/>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7EB960A0">
            <w:pPr>
              <w:spacing w:line="240" w:lineRule="auto"/>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6D76C176">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小型</w:t>
            </w:r>
          </w:p>
        </w:tc>
        <w:tc>
          <w:tcPr>
            <w:tcW w:w="3251" w:type="dxa"/>
            <w:shd w:val="clear" w:color="auto" w:fill="auto"/>
            <w:vAlign w:val="center"/>
          </w:tcPr>
          <w:p w14:paraId="0E689FDB">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20亿元（含）至400亿元</w:t>
            </w:r>
          </w:p>
        </w:tc>
      </w:tr>
      <w:tr w14:paraId="3E9407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71E32AA3">
            <w:pPr>
              <w:spacing w:line="240" w:lineRule="auto"/>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441AB74F">
            <w:pPr>
              <w:spacing w:line="240" w:lineRule="auto"/>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715F254D">
            <w:pPr>
              <w:spacing w:line="240" w:lineRule="auto"/>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160C098A">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微型</w:t>
            </w:r>
          </w:p>
        </w:tc>
        <w:tc>
          <w:tcPr>
            <w:tcW w:w="3251" w:type="dxa"/>
            <w:shd w:val="clear" w:color="auto" w:fill="auto"/>
            <w:vAlign w:val="center"/>
          </w:tcPr>
          <w:p w14:paraId="33182E48">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20亿元以下</w:t>
            </w:r>
          </w:p>
        </w:tc>
      </w:tr>
      <w:tr w14:paraId="61CA03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0A3463AD">
            <w:pPr>
              <w:spacing w:line="240" w:lineRule="auto"/>
              <w:jc w:val="both"/>
              <w:rPr>
                <w:rFonts w:hint="eastAsia" w:ascii="宋体" w:hAnsi="宋体" w:eastAsia="宋体" w:cs="宋体"/>
                <w:color w:val="auto"/>
                <w:spacing w:val="6"/>
                <w:sz w:val="21"/>
                <w:szCs w:val="21"/>
                <w:highlight w:val="none"/>
                <w:vertAlign w:val="baseline"/>
              </w:rPr>
            </w:pPr>
          </w:p>
        </w:tc>
        <w:tc>
          <w:tcPr>
            <w:tcW w:w="1168" w:type="dxa"/>
            <w:vMerge w:val="restart"/>
            <w:vAlign w:val="center"/>
          </w:tcPr>
          <w:p w14:paraId="65B75359">
            <w:pPr>
              <w:spacing w:line="240" w:lineRule="auto"/>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控股公司服务</w:t>
            </w:r>
          </w:p>
        </w:tc>
        <w:tc>
          <w:tcPr>
            <w:tcW w:w="1817" w:type="dxa"/>
            <w:vMerge w:val="restart"/>
            <w:vAlign w:val="center"/>
          </w:tcPr>
          <w:p w14:paraId="5AA3A788">
            <w:pPr>
              <w:spacing w:line="240" w:lineRule="auto"/>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金融控股公司</w:t>
            </w:r>
          </w:p>
        </w:tc>
        <w:tc>
          <w:tcPr>
            <w:tcW w:w="1143" w:type="dxa"/>
            <w:shd w:val="clear" w:color="auto" w:fill="auto"/>
            <w:vAlign w:val="center"/>
          </w:tcPr>
          <w:p w14:paraId="6A34EBF4">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中型</w:t>
            </w:r>
          </w:p>
        </w:tc>
        <w:tc>
          <w:tcPr>
            <w:tcW w:w="3251" w:type="dxa"/>
            <w:shd w:val="clear" w:color="auto" w:fill="auto"/>
            <w:vAlign w:val="center"/>
          </w:tcPr>
          <w:p w14:paraId="2863D8FC">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5000亿元（含）至40000亿元</w:t>
            </w:r>
          </w:p>
        </w:tc>
      </w:tr>
      <w:tr w14:paraId="61EE78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57F9BDD8">
            <w:pPr>
              <w:spacing w:line="240" w:lineRule="auto"/>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774A5596">
            <w:pPr>
              <w:spacing w:line="240" w:lineRule="auto"/>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658174A6">
            <w:pPr>
              <w:spacing w:line="240" w:lineRule="auto"/>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43D84EB3">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小型</w:t>
            </w:r>
          </w:p>
        </w:tc>
        <w:tc>
          <w:tcPr>
            <w:tcW w:w="3251" w:type="dxa"/>
            <w:shd w:val="clear" w:color="auto" w:fill="auto"/>
            <w:vAlign w:val="center"/>
          </w:tcPr>
          <w:p w14:paraId="434D1F52">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50亿元（含）至5000亿元</w:t>
            </w:r>
          </w:p>
        </w:tc>
      </w:tr>
      <w:tr w14:paraId="245B39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288472CC">
            <w:pPr>
              <w:spacing w:line="240" w:lineRule="auto"/>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4DB4D286">
            <w:pPr>
              <w:spacing w:line="240" w:lineRule="auto"/>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72B6EDD2">
            <w:pPr>
              <w:spacing w:line="240" w:lineRule="auto"/>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472A904B">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微型</w:t>
            </w:r>
          </w:p>
        </w:tc>
        <w:tc>
          <w:tcPr>
            <w:tcW w:w="3251" w:type="dxa"/>
            <w:shd w:val="clear" w:color="auto" w:fill="auto"/>
            <w:vAlign w:val="center"/>
          </w:tcPr>
          <w:p w14:paraId="1FC344BB">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50亿元以下</w:t>
            </w:r>
          </w:p>
        </w:tc>
      </w:tr>
      <w:tr w14:paraId="3F9EFC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trPr>
        <w:tc>
          <w:tcPr>
            <w:tcW w:w="1119" w:type="dxa"/>
            <w:vMerge w:val="continue"/>
            <w:vAlign w:val="center"/>
          </w:tcPr>
          <w:p w14:paraId="046E9137">
            <w:pPr>
              <w:spacing w:line="240" w:lineRule="auto"/>
              <w:jc w:val="both"/>
              <w:rPr>
                <w:rFonts w:hint="eastAsia" w:ascii="宋体" w:hAnsi="宋体" w:eastAsia="宋体" w:cs="宋体"/>
                <w:color w:val="auto"/>
                <w:spacing w:val="6"/>
                <w:sz w:val="21"/>
                <w:szCs w:val="21"/>
                <w:highlight w:val="none"/>
                <w:vertAlign w:val="baseline"/>
              </w:rPr>
            </w:pPr>
          </w:p>
        </w:tc>
        <w:tc>
          <w:tcPr>
            <w:tcW w:w="1168" w:type="dxa"/>
            <w:vMerge w:val="restart"/>
            <w:vAlign w:val="center"/>
          </w:tcPr>
          <w:p w14:paraId="10B14656">
            <w:pPr>
              <w:spacing w:line="240" w:lineRule="auto"/>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其他未包括的金融业</w:t>
            </w:r>
          </w:p>
        </w:tc>
        <w:tc>
          <w:tcPr>
            <w:tcW w:w="1817" w:type="dxa"/>
            <w:vMerge w:val="restart"/>
            <w:vAlign w:val="center"/>
          </w:tcPr>
          <w:p w14:paraId="3E665F4F">
            <w:pPr>
              <w:spacing w:line="240" w:lineRule="auto"/>
              <w:jc w:val="both"/>
              <w:rPr>
                <w:rFonts w:hint="eastAsia" w:ascii="宋体" w:hAnsi="宋体" w:eastAsia="宋体" w:cs="宋体"/>
                <w:color w:val="auto"/>
                <w:spacing w:val="6"/>
                <w:sz w:val="21"/>
                <w:szCs w:val="21"/>
                <w:highlight w:val="none"/>
                <w:vertAlign w:val="baseline"/>
              </w:rPr>
            </w:pPr>
            <w:r>
              <w:rPr>
                <w:rFonts w:hint="eastAsia" w:ascii="宋体" w:hAnsi="宋体" w:eastAsia="宋体" w:cs="宋体"/>
                <w:color w:val="auto"/>
                <w:spacing w:val="6"/>
                <w:sz w:val="21"/>
                <w:szCs w:val="21"/>
                <w:highlight w:val="none"/>
                <w:vertAlign w:val="baseline"/>
              </w:rPr>
              <w:t>除贷款公司、小额贷款公司、典当行以外的其他金融机构</w:t>
            </w:r>
          </w:p>
        </w:tc>
        <w:tc>
          <w:tcPr>
            <w:tcW w:w="1143" w:type="dxa"/>
            <w:shd w:val="clear" w:color="auto" w:fill="auto"/>
            <w:vAlign w:val="center"/>
          </w:tcPr>
          <w:p w14:paraId="00510279">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中型</w:t>
            </w:r>
          </w:p>
        </w:tc>
        <w:tc>
          <w:tcPr>
            <w:tcW w:w="3251" w:type="dxa"/>
            <w:shd w:val="clear" w:color="auto" w:fill="auto"/>
            <w:vAlign w:val="center"/>
          </w:tcPr>
          <w:p w14:paraId="6033F5D6">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200亿元（含）至1000亿元</w:t>
            </w:r>
          </w:p>
        </w:tc>
      </w:tr>
      <w:tr w14:paraId="34EBC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1119" w:type="dxa"/>
            <w:vMerge w:val="continue"/>
          </w:tcPr>
          <w:p w14:paraId="04848A28">
            <w:pPr>
              <w:spacing w:line="240" w:lineRule="auto"/>
              <w:rPr>
                <w:rFonts w:hint="eastAsia" w:ascii="宋体" w:hAnsi="宋体" w:eastAsia="宋体" w:cs="宋体"/>
                <w:color w:val="auto"/>
                <w:spacing w:val="6"/>
                <w:sz w:val="21"/>
                <w:szCs w:val="21"/>
                <w:highlight w:val="none"/>
                <w:vertAlign w:val="baseline"/>
              </w:rPr>
            </w:pPr>
          </w:p>
        </w:tc>
        <w:tc>
          <w:tcPr>
            <w:tcW w:w="1168" w:type="dxa"/>
            <w:vMerge w:val="continue"/>
          </w:tcPr>
          <w:p w14:paraId="2F2E72F9">
            <w:pPr>
              <w:spacing w:line="240" w:lineRule="auto"/>
              <w:rPr>
                <w:rFonts w:hint="eastAsia" w:ascii="宋体" w:hAnsi="宋体" w:eastAsia="宋体" w:cs="宋体"/>
                <w:color w:val="auto"/>
                <w:spacing w:val="6"/>
                <w:sz w:val="21"/>
                <w:szCs w:val="21"/>
                <w:highlight w:val="none"/>
                <w:vertAlign w:val="baseline"/>
              </w:rPr>
            </w:pPr>
          </w:p>
        </w:tc>
        <w:tc>
          <w:tcPr>
            <w:tcW w:w="1817" w:type="dxa"/>
            <w:vMerge w:val="continue"/>
          </w:tcPr>
          <w:p w14:paraId="179DE2D0">
            <w:pPr>
              <w:spacing w:line="240" w:lineRule="auto"/>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1E623338">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小型</w:t>
            </w:r>
          </w:p>
        </w:tc>
        <w:tc>
          <w:tcPr>
            <w:tcW w:w="3251" w:type="dxa"/>
            <w:shd w:val="clear" w:color="auto" w:fill="auto"/>
            <w:vAlign w:val="center"/>
          </w:tcPr>
          <w:p w14:paraId="12916BB7">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50亿元（含）至200亿元</w:t>
            </w:r>
          </w:p>
        </w:tc>
      </w:tr>
      <w:tr w14:paraId="6DDCDE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1119" w:type="dxa"/>
            <w:vMerge w:val="continue"/>
          </w:tcPr>
          <w:p w14:paraId="0F1E7A7B">
            <w:pPr>
              <w:spacing w:line="240" w:lineRule="auto"/>
              <w:rPr>
                <w:rFonts w:hint="eastAsia" w:ascii="宋体" w:hAnsi="宋体" w:eastAsia="宋体" w:cs="宋体"/>
                <w:color w:val="auto"/>
                <w:spacing w:val="6"/>
                <w:sz w:val="21"/>
                <w:szCs w:val="21"/>
                <w:highlight w:val="none"/>
                <w:vertAlign w:val="baseline"/>
              </w:rPr>
            </w:pPr>
          </w:p>
        </w:tc>
        <w:tc>
          <w:tcPr>
            <w:tcW w:w="1168" w:type="dxa"/>
            <w:vMerge w:val="continue"/>
          </w:tcPr>
          <w:p w14:paraId="08010151">
            <w:pPr>
              <w:spacing w:line="240" w:lineRule="auto"/>
              <w:rPr>
                <w:rFonts w:hint="eastAsia" w:ascii="宋体" w:hAnsi="宋体" w:eastAsia="宋体" w:cs="宋体"/>
                <w:color w:val="auto"/>
                <w:spacing w:val="6"/>
                <w:sz w:val="21"/>
                <w:szCs w:val="21"/>
                <w:highlight w:val="none"/>
                <w:vertAlign w:val="baseline"/>
              </w:rPr>
            </w:pPr>
          </w:p>
        </w:tc>
        <w:tc>
          <w:tcPr>
            <w:tcW w:w="1817" w:type="dxa"/>
            <w:vMerge w:val="continue"/>
          </w:tcPr>
          <w:p w14:paraId="71A393FF">
            <w:pPr>
              <w:spacing w:line="240" w:lineRule="auto"/>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668714F1">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微型</w:t>
            </w:r>
          </w:p>
        </w:tc>
        <w:tc>
          <w:tcPr>
            <w:tcW w:w="3251" w:type="dxa"/>
            <w:shd w:val="clear" w:color="auto" w:fill="auto"/>
            <w:vAlign w:val="center"/>
          </w:tcPr>
          <w:p w14:paraId="1913FA3F">
            <w:pPr>
              <w:spacing w:line="240" w:lineRule="auto"/>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50亿元以下</w:t>
            </w:r>
          </w:p>
        </w:tc>
      </w:tr>
    </w:tbl>
    <w:p w14:paraId="5BCE9D64">
      <w:pPr>
        <w:rPr>
          <w:rFonts w:cs="宋体"/>
          <w:color w:val="auto"/>
          <w:spacing w:val="6"/>
          <w:sz w:val="21"/>
          <w:szCs w:val="21"/>
          <w:highlight w:val="none"/>
        </w:rPr>
      </w:pPr>
      <w:r>
        <w:rPr>
          <w:rFonts w:cs="宋体"/>
          <w:color w:val="auto"/>
          <w:spacing w:val="6"/>
          <w:sz w:val="21"/>
          <w:szCs w:val="21"/>
          <w:highlight w:val="none"/>
        </w:rPr>
        <w:br w:type="page"/>
      </w:r>
    </w:p>
    <w:p w14:paraId="0711552D">
      <w:pPr>
        <w:pStyle w:val="4"/>
        <w:keepNext/>
        <w:keepLines/>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theme="minorBidi"/>
          <w:b/>
          <w:bCs/>
          <w:color w:val="auto"/>
          <w:kern w:val="2"/>
          <w:sz w:val="24"/>
          <w:szCs w:val="24"/>
          <w:highlight w:val="none"/>
          <w:lang w:val="en-US" w:eastAsia="zh-CN" w:bidi="ar-SA"/>
        </w:rPr>
      </w:pPr>
      <w:bookmarkStart w:id="622" w:name="_Toc1602"/>
      <w:bookmarkStart w:id="623" w:name="_Toc163492940"/>
      <w:r>
        <w:rPr>
          <w:rFonts w:hint="eastAsia" w:ascii="宋体" w:hAnsi="宋体" w:eastAsia="宋体" w:cstheme="minorBidi"/>
          <w:b/>
          <w:bCs/>
          <w:color w:val="auto"/>
          <w:kern w:val="2"/>
          <w:sz w:val="24"/>
          <w:szCs w:val="24"/>
          <w:highlight w:val="none"/>
          <w:lang w:val="en-US" w:eastAsia="zh-CN" w:bidi="ar-SA"/>
        </w:rPr>
        <w:t>（三）监狱企业证明文件</w:t>
      </w:r>
      <w:r>
        <w:rPr>
          <w:rFonts w:hint="eastAsia" w:ascii="宋体" w:hAnsi="宋体" w:eastAsia="宋体" w:cstheme="minorBidi"/>
          <w:b w:val="0"/>
          <w:bCs w:val="0"/>
          <w:color w:val="auto"/>
          <w:kern w:val="2"/>
          <w:sz w:val="24"/>
          <w:szCs w:val="24"/>
          <w:highlight w:val="none"/>
          <w:lang w:val="en-US" w:eastAsia="zh-CN" w:bidi="ar-SA"/>
        </w:rPr>
        <w:t>【</w:t>
      </w:r>
      <w:r>
        <w:rPr>
          <w:rFonts w:hint="eastAsia" w:cstheme="minorBidi"/>
          <w:b w:val="0"/>
          <w:bCs w:val="0"/>
          <w:color w:val="auto"/>
          <w:kern w:val="2"/>
          <w:sz w:val="24"/>
          <w:szCs w:val="24"/>
          <w:highlight w:val="none"/>
          <w:lang w:val="en-US" w:eastAsia="zh-CN" w:bidi="ar-SA"/>
        </w:rPr>
        <w:t>不适用可不提供</w:t>
      </w:r>
      <w:r>
        <w:rPr>
          <w:rFonts w:hint="eastAsia" w:ascii="宋体" w:hAnsi="宋体" w:eastAsia="宋体" w:cstheme="minorBidi"/>
          <w:b w:val="0"/>
          <w:bCs w:val="0"/>
          <w:color w:val="auto"/>
          <w:kern w:val="2"/>
          <w:sz w:val="24"/>
          <w:szCs w:val="24"/>
          <w:highlight w:val="none"/>
          <w:lang w:val="en-US" w:eastAsia="zh-CN" w:bidi="ar-SA"/>
        </w:rPr>
        <w:t>】</w:t>
      </w:r>
      <w:bookmarkEnd w:id="622"/>
      <w:bookmarkEnd w:id="623"/>
    </w:p>
    <w:p w14:paraId="744F56E2">
      <w:pPr>
        <w:rPr>
          <w:rFonts w:cs="仿宋_GB2312"/>
          <w:b/>
          <w:color w:val="auto"/>
          <w:sz w:val="28"/>
          <w:szCs w:val="28"/>
          <w:highlight w:val="none"/>
        </w:rPr>
      </w:pPr>
    </w:p>
    <w:p w14:paraId="23D1BFCD">
      <w:pPr>
        <w:adjustRightInd w:val="0"/>
        <w:snapToGrid w:val="0"/>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【监狱企业应当提供由省级及以上监狱管理局、戒毒管理局（含新疆生产建设兵团）出具的监狱企业的证明文件，格式</w:t>
      </w:r>
      <w:r>
        <w:rPr>
          <w:rFonts w:hint="eastAsia" w:ascii="宋体" w:hAnsi="宋体" w:eastAsia="宋体" w:cs="宋体"/>
          <w:color w:val="auto"/>
          <w:sz w:val="24"/>
          <w:szCs w:val="24"/>
          <w:highlight w:val="none"/>
          <w:lang w:val="en-US" w:eastAsia="zh-CN"/>
        </w:rPr>
        <w:t>如下</w:t>
      </w:r>
      <w:r>
        <w:rPr>
          <w:rFonts w:hint="eastAsia" w:ascii="宋体" w:hAnsi="宋体" w:eastAsia="宋体" w:cs="宋体"/>
          <w:color w:val="auto"/>
          <w:sz w:val="24"/>
          <w:szCs w:val="24"/>
          <w:highlight w:val="none"/>
        </w:rPr>
        <w:t>】。</w:t>
      </w:r>
    </w:p>
    <w:p w14:paraId="75238DB1">
      <w:pPr>
        <w:pStyle w:val="17"/>
        <w:spacing w:line="360" w:lineRule="auto"/>
        <w:jc w:val="center"/>
        <w:rPr>
          <w:rFonts w:hint="eastAsia" w:ascii="宋体" w:hAnsi="宋体" w:eastAsia="宋体" w:cs="宋体"/>
          <w:b/>
          <w:bCs w:val="0"/>
          <w:color w:val="auto"/>
          <w:sz w:val="32"/>
          <w:szCs w:val="32"/>
          <w:highlight w:val="none"/>
        </w:rPr>
      </w:pPr>
    </w:p>
    <w:p w14:paraId="3EAA5E2A">
      <w:pPr>
        <w:pStyle w:val="17"/>
        <w:spacing w:line="360" w:lineRule="auto"/>
        <w:jc w:val="center"/>
        <w:rPr>
          <w:rFonts w:hint="eastAsia" w:ascii="宋体" w:hAnsi="宋体" w:eastAsia="宋体" w:cs="宋体"/>
          <w:b/>
          <w:bCs w:val="0"/>
          <w:color w:val="auto"/>
          <w:sz w:val="32"/>
          <w:szCs w:val="32"/>
          <w:highlight w:val="none"/>
        </w:rPr>
      </w:pPr>
      <w:r>
        <w:rPr>
          <w:rFonts w:hint="eastAsia" w:ascii="宋体" w:hAnsi="宋体" w:eastAsia="宋体" w:cs="宋体"/>
          <w:b/>
          <w:bCs w:val="0"/>
          <w:color w:val="auto"/>
          <w:sz w:val="32"/>
          <w:szCs w:val="32"/>
          <w:highlight w:val="none"/>
        </w:rPr>
        <w:t>监狱企业证明函</w:t>
      </w:r>
    </w:p>
    <w:p w14:paraId="73EFA9C1">
      <w:pPr>
        <w:spacing w:line="360" w:lineRule="auto"/>
        <w:rPr>
          <w:rFonts w:hint="eastAsia" w:ascii="仿宋_GB2312" w:hAnsi="仿宋_GB2312" w:eastAsia="仿宋_GB2312" w:cs="仿宋_GB2312"/>
          <w:color w:val="auto"/>
          <w:sz w:val="32"/>
          <w:szCs w:val="32"/>
          <w:highlight w:val="none"/>
        </w:rPr>
      </w:pPr>
    </w:p>
    <w:p w14:paraId="7E6FDB37">
      <w:pPr>
        <w:ind w:firstLine="504" w:firstLineChars="200"/>
        <w:rPr>
          <w:rFonts w:hint="eastAsia" w:ascii="宋体" w:hAnsi="宋体" w:eastAsia="宋体" w:cs="宋体"/>
          <w:color w:val="auto"/>
          <w:spacing w:val="6"/>
          <w:szCs w:val="24"/>
          <w:highlight w:val="none"/>
        </w:rPr>
      </w:pPr>
      <w:r>
        <w:rPr>
          <w:rFonts w:hint="eastAsia" w:ascii="宋体" w:hAnsi="宋体" w:eastAsia="宋体" w:cs="宋体"/>
          <w:color w:val="auto"/>
          <w:spacing w:val="6"/>
          <w:szCs w:val="24"/>
          <w:highlight w:val="none"/>
        </w:rPr>
        <w:t>本公司郑重声明，根据财政部、司法部《关于政府采购支持监狱企业发展有关问题的通知》（财库</w:t>
      </w:r>
      <w:r>
        <w:rPr>
          <w:rFonts w:hint="eastAsia" w:ascii="宋体" w:hAnsi="宋体" w:eastAsia="宋体" w:cs="宋体"/>
          <w:color w:val="auto"/>
          <w:spacing w:val="6"/>
          <w:szCs w:val="24"/>
          <w:highlight w:val="none"/>
          <w:lang w:eastAsia="zh-CN"/>
        </w:rPr>
        <w:t>〔</w:t>
      </w:r>
      <w:r>
        <w:rPr>
          <w:rFonts w:hint="eastAsia" w:ascii="宋体" w:hAnsi="宋体" w:eastAsia="宋体" w:cs="宋体"/>
          <w:color w:val="auto"/>
          <w:spacing w:val="6"/>
          <w:szCs w:val="24"/>
          <w:highlight w:val="none"/>
        </w:rPr>
        <w:t>2014</w:t>
      </w:r>
      <w:r>
        <w:rPr>
          <w:rFonts w:hint="eastAsia" w:ascii="宋体" w:hAnsi="宋体" w:eastAsia="宋体" w:cs="宋体"/>
          <w:color w:val="auto"/>
          <w:spacing w:val="6"/>
          <w:szCs w:val="24"/>
          <w:highlight w:val="none"/>
          <w:lang w:eastAsia="zh-CN"/>
        </w:rPr>
        <w:t>〕</w:t>
      </w:r>
      <w:r>
        <w:rPr>
          <w:rFonts w:hint="eastAsia" w:ascii="宋体" w:hAnsi="宋体" w:eastAsia="宋体" w:cs="宋体"/>
          <w:color w:val="auto"/>
          <w:spacing w:val="6"/>
          <w:szCs w:val="24"/>
          <w:highlight w:val="none"/>
        </w:rPr>
        <w:t>68号）的规定，本公司为监狱企业。</w:t>
      </w:r>
    </w:p>
    <w:p w14:paraId="3C2CE4C6">
      <w:pPr>
        <w:spacing w:line="360" w:lineRule="auto"/>
        <w:rPr>
          <w:rFonts w:hint="eastAsia" w:ascii="宋体" w:hAnsi="宋体" w:eastAsia="宋体" w:cs="宋体"/>
          <w:color w:val="auto"/>
          <w:sz w:val="24"/>
          <w:szCs w:val="24"/>
          <w:highlight w:val="none"/>
        </w:rPr>
      </w:pPr>
    </w:p>
    <w:p w14:paraId="25406F97">
      <w:pPr>
        <w:ind w:firstLine="4440" w:firstLineChars="1850"/>
        <w:rPr>
          <w:rFonts w:hint="eastAsia" w:ascii="宋体" w:hAnsi="宋体" w:eastAsia="宋体" w:cs="宋体"/>
          <w:color w:val="auto"/>
          <w:sz w:val="24"/>
          <w:szCs w:val="24"/>
          <w:highlight w:val="none"/>
        </w:rPr>
      </w:pPr>
    </w:p>
    <w:p w14:paraId="44FF352C">
      <w:pPr>
        <w:ind w:firstLine="4440" w:firstLineChars="1850"/>
        <w:rPr>
          <w:rFonts w:hint="eastAsia" w:ascii="宋体" w:hAnsi="宋体" w:eastAsia="宋体" w:cs="宋体"/>
          <w:color w:val="auto"/>
          <w:sz w:val="24"/>
          <w:szCs w:val="24"/>
          <w:highlight w:val="none"/>
        </w:rPr>
      </w:pPr>
    </w:p>
    <w:p w14:paraId="0841D36F">
      <w:pPr>
        <w:ind w:right="1008" w:firstLine="4284" w:firstLineChars="1700"/>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lang w:val="en-US" w:eastAsia="zh-CN"/>
        </w:rPr>
        <w:t>投标人</w:t>
      </w:r>
      <w:r>
        <w:rPr>
          <w:rFonts w:hint="eastAsia" w:ascii="宋体" w:hAnsi="宋体" w:eastAsia="宋体" w:cs="宋体"/>
          <w:color w:val="auto"/>
          <w:spacing w:val="6"/>
          <w:sz w:val="24"/>
          <w:szCs w:val="24"/>
          <w:highlight w:val="none"/>
        </w:rPr>
        <w:t>名称</w:t>
      </w:r>
      <w:r>
        <w:rPr>
          <w:rFonts w:hint="eastAsia" w:ascii="宋体" w:hAnsi="宋体" w:eastAsia="宋体" w:cs="宋体"/>
          <w:color w:val="auto"/>
          <w:szCs w:val="24"/>
          <w:highlight w:val="none"/>
          <w:lang w:eastAsia="zh-CN"/>
        </w:rPr>
        <w:t>（</w:t>
      </w:r>
      <w:r>
        <w:rPr>
          <w:rFonts w:hint="eastAsia" w:ascii="宋体" w:hAnsi="宋体" w:eastAsia="宋体"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eastAsia="宋体" w:cs="宋体"/>
          <w:color w:val="auto"/>
          <w:kern w:val="0"/>
          <w:sz w:val="24"/>
          <w:highlight w:val="none"/>
          <w:lang w:val="zh-CN"/>
        </w:rPr>
        <w:t>)</w:t>
      </w:r>
      <w:r>
        <w:rPr>
          <w:rFonts w:hint="eastAsia" w:ascii="宋体" w:hAnsi="宋体" w:eastAsia="宋体" w:cs="宋体"/>
          <w:color w:val="auto"/>
          <w:spacing w:val="6"/>
          <w:sz w:val="24"/>
          <w:szCs w:val="24"/>
          <w:highlight w:val="none"/>
        </w:rPr>
        <w:t>：</w:t>
      </w:r>
    </w:p>
    <w:p w14:paraId="3678CEA7">
      <w:pPr>
        <w:ind w:right="1008" w:firstLine="4284" w:firstLineChars="1700"/>
        <w:rPr>
          <w:rFonts w:hint="eastAsia" w:ascii="宋体" w:hAnsi="宋体" w:eastAsia="宋体" w:cs="宋体"/>
          <w:color w:val="auto"/>
          <w:spacing w:val="6"/>
          <w:sz w:val="24"/>
          <w:szCs w:val="24"/>
          <w:highlight w:val="none"/>
          <w:lang w:val="en-US" w:eastAsia="zh-CN"/>
        </w:rPr>
      </w:pPr>
      <w:r>
        <w:rPr>
          <w:rFonts w:hint="eastAsia" w:ascii="宋体" w:hAnsi="宋体" w:eastAsia="宋体" w:cs="宋体"/>
          <w:color w:val="auto"/>
          <w:spacing w:val="6"/>
          <w:sz w:val="24"/>
          <w:szCs w:val="24"/>
          <w:highlight w:val="none"/>
        </w:rPr>
        <w:t>日期：</w:t>
      </w:r>
      <w:r>
        <w:rPr>
          <w:rFonts w:hint="eastAsia" w:ascii="宋体" w:hAnsi="宋体" w:eastAsia="宋体" w:cs="宋体"/>
          <w:color w:val="auto"/>
          <w:spacing w:val="6"/>
          <w:sz w:val="24"/>
          <w:szCs w:val="24"/>
          <w:highlight w:val="none"/>
          <w:lang w:val="en-US" w:eastAsia="zh-CN"/>
        </w:rPr>
        <w:t xml:space="preserve">   年  月  日</w:t>
      </w:r>
    </w:p>
    <w:p w14:paraId="75D11779">
      <w:pPr>
        <w:spacing w:line="360" w:lineRule="auto"/>
        <w:ind w:firstLine="240" w:firstLineChars="100"/>
        <w:rPr>
          <w:rFonts w:hint="eastAsia" w:ascii="宋体" w:hAnsi="宋体" w:eastAsia="宋体" w:cs="宋体"/>
          <w:color w:val="auto"/>
          <w:sz w:val="24"/>
          <w:szCs w:val="24"/>
          <w:highlight w:val="none"/>
        </w:rPr>
      </w:pPr>
    </w:p>
    <w:p w14:paraId="7B8735C9">
      <w:pPr>
        <w:spacing w:line="360" w:lineRule="auto"/>
        <w:ind w:firstLine="240" w:firstLineChars="100"/>
        <w:rPr>
          <w:rFonts w:hint="eastAsia" w:ascii="宋体" w:hAnsi="宋体" w:eastAsia="宋体" w:cs="宋体"/>
          <w:color w:val="auto"/>
          <w:sz w:val="24"/>
          <w:szCs w:val="24"/>
          <w:highlight w:val="none"/>
        </w:rPr>
      </w:pPr>
    </w:p>
    <w:p w14:paraId="32722C7E">
      <w:pPr>
        <w:spacing w:line="360" w:lineRule="auto"/>
        <w:ind w:firstLine="3360" w:firstLineChars="1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省级以上监狱管理局、戒毒管理局</w:t>
      </w:r>
    </w:p>
    <w:p w14:paraId="20204BC0">
      <w:pPr>
        <w:ind w:firstLine="3360" w:firstLineChars="1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（含新疆生产建设兵团）</w:t>
      </w:r>
      <w:r>
        <w:rPr>
          <w:rFonts w:hint="eastAsia" w:ascii="宋体" w:hAnsi="宋体" w:eastAsia="宋体" w:cs="宋体"/>
          <w:color w:val="auto"/>
          <w:kern w:val="0"/>
          <w:sz w:val="24"/>
          <w:highlight w:val="none"/>
          <w:lang w:val="zh-CN"/>
        </w:rPr>
        <w:t>(</w:t>
      </w:r>
      <w:r>
        <w:rPr>
          <w:rFonts w:hint="eastAsia" w:ascii="宋体" w:hAnsi="宋体" w:eastAsia="宋体" w:cs="宋体"/>
          <w:color w:val="auto"/>
          <w:kern w:val="0"/>
          <w:sz w:val="24"/>
          <w:szCs w:val="24"/>
          <w:highlight w:val="none"/>
          <w:lang w:eastAsia="zh-CN"/>
        </w:rPr>
        <w:t>盖章</w:t>
      </w:r>
      <w:r>
        <w:rPr>
          <w:rFonts w:hint="eastAsia" w:ascii="宋体" w:hAnsi="宋体" w:eastAsia="宋体" w:cs="宋体"/>
          <w:color w:val="auto"/>
          <w:kern w:val="0"/>
          <w:sz w:val="24"/>
          <w:highlight w:val="none"/>
          <w:lang w:val="zh-CN"/>
        </w:rPr>
        <w:t>)</w:t>
      </w:r>
      <w:r>
        <w:rPr>
          <w:rFonts w:hint="eastAsia" w:ascii="宋体" w:hAnsi="宋体" w:eastAsia="宋体" w:cs="宋体"/>
          <w:color w:val="auto"/>
          <w:sz w:val="24"/>
          <w:szCs w:val="24"/>
          <w:highlight w:val="none"/>
        </w:rPr>
        <w:t xml:space="preserve">：  </w:t>
      </w:r>
    </w:p>
    <w:p w14:paraId="4A414B41">
      <w:pPr>
        <w:ind w:firstLine="4320" w:firstLineChars="18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w:t>
      </w:r>
      <w:r>
        <w:rPr>
          <w:rFonts w:hint="eastAsia" w:ascii="宋体" w:hAnsi="宋体" w:eastAsia="宋体" w:cs="宋体"/>
          <w:color w:val="auto"/>
          <w:spacing w:val="6"/>
          <w:sz w:val="24"/>
          <w:szCs w:val="24"/>
          <w:highlight w:val="none"/>
          <w:lang w:val="en-US" w:eastAsia="zh-CN"/>
        </w:rPr>
        <w:t xml:space="preserve">   年  月  日</w:t>
      </w:r>
    </w:p>
    <w:p w14:paraId="028B0253">
      <w:pPr>
        <w:spacing w:line="360" w:lineRule="auto"/>
        <w:ind w:firstLine="240" w:firstLineChars="100"/>
        <w:rPr>
          <w:rFonts w:hint="eastAsia" w:ascii="宋体" w:hAnsi="宋体" w:eastAsia="宋体" w:cs="宋体"/>
          <w:color w:val="auto"/>
          <w:sz w:val="24"/>
          <w:szCs w:val="24"/>
          <w:highlight w:val="none"/>
        </w:rPr>
      </w:pPr>
    </w:p>
    <w:p w14:paraId="4A20867A">
      <w:pPr>
        <w:spacing w:line="360" w:lineRule="auto"/>
        <w:ind w:firstLine="4000" w:firstLineChars="1250"/>
        <w:rPr>
          <w:rFonts w:hint="eastAsia" w:ascii="仿宋_GB2312" w:hAnsi="仿宋_GB2312" w:eastAsia="仿宋_GB2312" w:cs="仿宋_GB2312"/>
          <w:color w:val="auto"/>
          <w:sz w:val="32"/>
          <w:szCs w:val="32"/>
          <w:highlight w:val="none"/>
        </w:rPr>
      </w:pPr>
    </w:p>
    <w:p w14:paraId="206A9633">
      <w:pPr>
        <w:spacing w:line="360" w:lineRule="auto"/>
        <w:rPr>
          <w:rFonts w:hint="eastAsia" w:ascii="仿宋_GB2312" w:hAnsi="仿宋_GB2312" w:eastAsia="仿宋_GB2312" w:cs="仿宋_GB2312"/>
          <w:color w:val="auto"/>
          <w:sz w:val="32"/>
          <w:szCs w:val="32"/>
          <w:highlight w:val="none"/>
        </w:rPr>
      </w:pPr>
    </w:p>
    <w:p w14:paraId="283F77FC">
      <w:pPr>
        <w:widowControl/>
        <w:spacing w:before="100" w:beforeAutospacing="1" w:after="100" w:afterAutospacing="1"/>
        <w:rPr>
          <w:rFonts w:ascii="Arial" w:hAnsi="Arial" w:cs="Arial"/>
          <w:color w:val="auto"/>
          <w:sz w:val="21"/>
          <w:szCs w:val="21"/>
          <w:highlight w:val="none"/>
        </w:rPr>
      </w:pPr>
    </w:p>
    <w:p w14:paraId="3ACDD48E">
      <w:pPr>
        <w:widowControl/>
        <w:spacing w:before="100" w:beforeAutospacing="1" w:after="100" w:afterAutospacing="1"/>
        <w:rPr>
          <w:rFonts w:ascii="Arial" w:hAnsi="Arial" w:cs="Arial"/>
          <w:color w:val="auto"/>
          <w:sz w:val="21"/>
          <w:szCs w:val="21"/>
          <w:highlight w:val="none"/>
        </w:rPr>
      </w:pPr>
    </w:p>
    <w:p w14:paraId="22F7A202">
      <w:pPr>
        <w:widowControl/>
        <w:spacing w:before="100" w:beforeAutospacing="1" w:after="100" w:afterAutospacing="1"/>
        <w:rPr>
          <w:rFonts w:ascii="Arial" w:hAnsi="Arial" w:cs="Arial"/>
          <w:color w:val="auto"/>
          <w:sz w:val="21"/>
          <w:szCs w:val="21"/>
          <w:highlight w:val="none"/>
        </w:rPr>
      </w:pPr>
    </w:p>
    <w:p w14:paraId="05E6EFA2">
      <w:pPr>
        <w:pStyle w:val="4"/>
        <w:keepNext/>
        <w:keepLines/>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theme="minorBidi"/>
          <w:b/>
          <w:bCs/>
          <w:color w:val="auto"/>
          <w:kern w:val="2"/>
          <w:sz w:val="24"/>
          <w:szCs w:val="24"/>
          <w:highlight w:val="none"/>
          <w:lang w:val="en-US" w:eastAsia="zh-CN" w:bidi="ar-SA"/>
        </w:rPr>
      </w:pPr>
      <w:bookmarkStart w:id="624" w:name="_Toc163492941"/>
      <w:bookmarkStart w:id="625" w:name="_Toc17111"/>
      <w:r>
        <w:rPr>
          <w:rFonts w:hint="eastAsia" w:ascii="宋体" w:hAnsi="宋体" w:eastAsia="宋体" w:cstheme="minorBidi"/>
          <w:b/>
          <w:bCs/>
          <w:color w:val="auto"/>
          <w:kern w:val="2"/>
          <w:sz w:val="24"/>
          <w:szCs w:val="24"/>
          <w:highlight w:val="none"/>
          <w:lang w:val="en-US" w:eastAsia="zh-CN" w:bidi="ar-SA"/>
        </w:rPr>
        <w:t>（四）残疾人福利性单位声明函</w:t>
      </w:r>
      <w:r>
        <w:rPr>
          <w:rFonts w:hint="eastAsia" w:ascii="宋体" w:hAnsi="宋体" w:eastAsia="宋体" w:cstheme="minorBidi"/>
          <w:b w:val="0"/>
          <w:bCs w:val="0"/>
          <w:color w:val="auto"/>
          <w:kern w:val="2"/>
          <w:sz w:val="24"/>
          <w:szCs w:val="24"/>
          <w:highlight w:val="none"/>
          <w:lang w:val="en-US" w:eastAsia="zh-CN" w:bidi="ar-SA"/>
        </w:rPr>
        <w:t>【</w:t>
      </w:r>
      <w:r>
        <w:rPr>
          <w:rFonts w:hint="eastAsia" w:cstheme="minorBidi"/>
          <w:b w:val="0"/>
          <w:bCs w:val="0"/>
          <w:color w:val="auto"/>
          <w:kern w:val="2"/>
          <w:sz w:val="24"/>
          <w:szCs w:val="24"/>
          <w:highlight w:val="none"/>
          <w:lang w:val="en-US" w:eastAsia="zh-CN" w:bidi="ar-SA"/>
        </w:rPr>
        <w:t>不适用可不提供</w:t>
      </w:r>
      <w:r>
        <w:rPr>
          <w:rFonts w:hint="eastAsia" w:ascii="宋体" w:hAnsi="宋体" w:eastAsia="宋体" w:cstheme="minorBidi"/>
          <w:b w:val="0"/>
          <w:bCs w:val="0"/>
          <w:color w:val="auto"/>
          <w:kern w:val="2"/>
          <w:sz w:val="24"/>
          <w:szCs w:val="24"/>
          <w:highlight w:val="none"/>
          <w:lang w:val="en-US" w:eastAsia="zh-CN" w:bidi="ar-SA"/>
        </w:rPr>
        <w:t>】</w:t>
      </w:r>
      <w:bookmarkEnd w:id="624"/>
      <w:bookmarkEnd w:id="625"/>
    </w:p>
    <w:p w14:paraId="0EAC9468">
      <w:pPr>
        <w:pStyle w:val="42"/>
        <w:numPr>
          <w:ilvl w:val="0"/>
          <w:numId w:val="0"/>
        </w:numPr>
        <w:ind w:left="420" w:leftChars="0" w:hanging="420" w:firstLineChars="0"/>
        <w:jc w:val="center"/>
        <w:rPr>
          <w:rFonts w:hint="eastAsia"/>
          <w:b/>
          <w:bCs/>
          <w:color w:val="auto"/>
          <w:sz w:val="32"/>
          <w:szCs w:val="32"/>
          <w:highlight w:val="none"/>
        </w:rPr>
      </w:pPr>
    </w:p>
    <w:p w14:paraId="091B47EA">
      <w:pPr>
        <w:pStyle w:val="42"/>
        <w:numPr>
          <w:ilvl w:val="0"/>
          <w:numId w:val="0"/>
        </w:numPr>
        <w:ind w:left="420" w:leftChars="0" w:hanging="420" w:firstLineChars="0"/>
        <w:jc w:val="center"/>
        <w:rPr>
          <w:b/>
          <w:bCs/>
          <w:color w:val="auto"/>
          <w:sz w:val="32"/>
          <w:szCs w:val="32"/>
          <w:highlight w:val="none"/>
        </w:rPr>
      </w:pPr>
      <w:r>
        <w:rPr>
          <w:rFonts w:hint="eastAsia"/>
          <w:b/>
          <w:bCs/>
          <w:color w:val="auto"/>
          <w:sz w:val="32"/>
          <w:szCs w:val="32"/>
          <w:highlight w:val="none"/>
        </w:rPr>
        <w:t>残疾人福利性单位声明函</w:t>
      </w:r>
    </w:p>
    <w:p w14:paraId="28D13EE8">
      <w:pPr>
        <w:wordWrap w:val="0"/>
        <w:ind w:firstLine="480" w:firstLineChars="200"/>
        <w:rPr>
          <w:rFonts w:hint="eastAsia"/>
          <w:color w:val="auto"/>
          <w:szCs w:val="24"/>
          <w:highlight w:val="none"/>
        </w:rPr>
      </w:pPr>
    </w:p>
    <w:p w14:paraId="2B2B6A0A">
      <w:pPr>
        <w:wordWrap w:val="0"/>
        <w:ind w:firstLine="480" w:firstLineChars="200"/>
        <w:rPr>
          <w:i w:val="0"/>
          <w:iCs w:val="0"/>
          <w:color w:val="auto"/>
          <w:szCs w:val="24"/>
          <w:highlight w:val="none"/>
        </w:rPr>
      </w:pPr>
      <w:r>
        <w:rPr>
          <w:rFonts w:hint="eastAsia"/>
          <w:i w:val="0"/>
          <w:iCs w:val="0"/>
          <w:color w:val="auto"/>
          <w:szCs w:val="24"/>
          <w:highlight w:val="none"/>
        </w:rPr>
        <w:t>本公司（联合体）郑重声明，根据《财政部 民政部 中国残疾人联合会关于促进残疾人就业政府采购政策的通知》（财库〔2017〕141号）的规定，本公司（联合体）参加</w:t>
      </w:r>
      <w:r>
        <w:rPr>
          <w:rFonts w:hint="eastAsia"/>
          <w:i w:val="0"/>
          <w:iCs w:val="0"/>
          <w:color w:val="auto"/>
          <w:szCs w:val="24"/>
          <w:highlight w:val="none"/>
          <w:u w:val="single"/>
        </w:rPr>
        <w:t xml:space="preserve"> （单位名称） </w:t>
      </w:r>
      <w:r>
        <w:rPr>
          <w:rFonts w:hint="eastAsia"/>
          <w:i w:val="0"/>
          <w:iCs w:val="0"/>
          <w:color w:val="auto"/>
          <w:szCs w:val="24"/>
          <w:highlight w:val="none"/>
        </w:rPr>
        <w:t>的</w:t>
      </w:r>
      <w:r>
        <w:rPr>
          <w:rFonts w:hint="eastAsia"/>
          <w:i w:val="0"/>
          <w:iCs w:val="0"/>
          <w:color w:val="auto"/>
          <w:szCs w:val="24"/>
          <w:highlight w:val="none"/>
          <w:u w:val="single"/>
        </w:rPr>
        <w:t xml:space="preserve"> （项目名称） </w:t>
      </w:r>
      <w:r>
        <w:rPr>
          <w:rFonts w:hint="eastAsia"/>
          <w:i w:val="0"/>
          <w:iCs w:val="0"/>
          <w:color w:val="auto"/>
          <w:szCs w:val="24"/>
          <w:highlight w:val="none"/>
        </w:rPr>
        <w:t>采购活动，提供的货物</w:t>
      </w:r>
      <w:r>
        <w:rPr>
          <w:rFonts w:hint="eastAsia"/>
          <w:b/>
          <w:i w:val="0"/>
          <w:iCs w:val="0"/>
          <w:color w:val="auto"/>
          <w:szCs w:val="24"/>
          <w:highlight w:val="none"/>
        </w:rPr>
        <w:t>全部由</w:t>
      </w:r>
      <w:r>
        <w:rPr>
          <w:rFonts w:hint="eastAsia"/>
          <w:i w:val="0"/>
          <w:iCs w:val="0"/>
          <w:color w:val="auto"/>
          <w:szCs w:val="24"/>
          <w:highlight w:val="none"/>
        </w:rPr>
        <w:t>符合政策要求的</w:t>
      </w:r>
      <w:r>
        <w:rPr>
          <w:rFonts w:hint="eastAsia"/>
          <w:b/>
          <w:i w:val="0"/>
          <w:iCs w:val="0"/>
          <w:color w:val="auto"/>
          <w:szCs w:val="24"/>
          <w:highlight w:val="none"/>
        </w:rPr>
        <w:t>残疾人福利性单位制造</w:t>
      </w:r>
      <w:r>
        <w:rPr>
          <w:rFonts w:hint="eastAsia"/>
          <w:i w:val="0"/>
          <w:iCs w:val="0"/>
          <w:color w:val="auto"/>
          <w:szCs w:val="24"/>
          <w:highlight w:val="none"/>
        </w:rPr>
        <w:t>。相关企业（含联合体中的残疾人福利性单位、签订分包意向协议</w:t>
      </w:r>
      <w:r>
        <w:rPr>
          <w:rFonts w:hint="eastAsia"/>
          <w:i w:val="0"/>
          <w:iCs w:val="0"/>
          <w:color w:val="auto"/>
          <w:szCs w:val="24"/>
          <w:highlight w:val="none"/>
          <w:lang w:val="en-US" w:eastAsia="zh-CN"/>
        </w:rPr>
        <w:t>书</w:t>
      </w:r>
      <w:r>
        <w:rPr>
          <w:rFonts w:hint="eastAsia"/>
          <w:i w:val="0"/>
          <w:iCs w:val="0"/>
          <w:color w:val="auto"/>
          <w:szCs w:val="24"/>
          <w:highlight w:val="none"/>
        </w:rPr>
        <w:t>的残疾人福利性单位）的具体情况如下：</w:t>
      </w:r>
    </w:p>
    <w:p w14:paraId="2B0D31AB">
      <w:pPr>
        <w:wordWrap w:val="0"/>
        <w:ind w:firstLine="480" w:firstLineChars="200"/>
        <w:rPr>
          <w:i w:val="0"/>
          <w:iCs w:val="0"/>
          <w:color w:val="auto"/>
          <w:szCs w:val="24"/>
          <w:highlight w:val="none"/>
        </w:rPr>
      </w:pPr>
      <w:r>
        <w:rPr>
          <w:rFonts w:hint="eastAsia"/>
          <w:i w:val="0"/>
          <w:iCs w:val="0"/>
          <w:color w:val="auto"/>
          <w:szCs w:val="24"/>
          <w:highlight w:val="none"/>
        </w:rPr>
        <w:t>1.</w:t>
      </w:r>
      <w:r>
        <w:rPr>
          <w:rFonts w:hint="eastAsia"/>
          <w:i w:val="0"/>
          <w:iCs w:val="0"/>
          <w:color w:val="auto"/>
          <w:szCs w:val="24"/>
          <w:highlight w:val="none"/>
          <w:u w:val="single"/>
        </w:rPr>
        <w:t xml:space="preserve"> （标的名称） </w:t>
      </w:r>
      <w:r>
        <w:rPr>
          <w:rFonts w:hint="eastAsia"/>
          <w:i w:val="0"/>
          <w:iCs w:val="0"/>
          <w:color w:val="auto"/>
          <w:szCs w:val="24"/>
          <w:highlight w:val="none"/>
        </w:rPr>
        <w:t xml:space="preserve">，制造商为 </w:t>
      </w:r>
      <w:r>
        <w:rPr>
          <w:i w:val="0"/>
          <w:iCs w:val="0"/>
          <w:color w:val="auto"/>
          <w:szCs w:val="24"/>
          <w:highlight w:val="none"/>
          <w:u w:val="single"/>
        </w:rPr>
        <w:t xml:space="preserve">  </w:t>
      </w:r>
      <w:r>
        <w:rPr>
          <w:rFonts w:hint="eastAsia"/>
          <w:i w:val="0"/>
          <w:iCs w:val="0"/>
          <w:color w:val="auto"/>
          <w:szCs w:val="24"/>
          <w:highlight w:val="none"/>
          <w:u w:val="single"/>
        </w:rPr>
        <w:t xml:space="preserve">（企业名称） </w:t>
      </w:r>
      <w:r>
        <w:rPr>
          <w:rFonts w:hint="eastAsia"/>
          <w:i w:val="0"/>
          <w:iCs w:val="0"/>
          <w:color w:val="auto"/>
          <w:szCs w:val="24"/>
          <w:highlight w:val="none"/>
        </w:rPr>
        <w:t>，属于残疾人福利性单位；</w:t>
      </w:r>
    </w:p>
    <w:p w14:paraId="138F8FD5">
      <w:pPr>
        <w:wordWrap w:val="0"/>
        <w:ind w:firstLine="480" w:firstLineChars="200"/>
        <w:rPr>
          <w:i w:val="0"/>
          <w:iCs w:val="0"/>
          <w:color w:val="auto"/>
          <w:szCs w:val="24"/>
          <w:highlight w:val="none"/>
        </w:rPr>
      </w:pPr>
      <w:r>
        <w:rPr>
          <w:rFonts w:hint="eastAsia"/>
          <w:i w:val="0"/>
          <w:iCs w:val="0"/>
          <w:color w:val="auto"/>
          <w:szCs w:val="24"/>
          <w:highlight w:val="none"/>
        </w:rPr>
        <w:t xml:space="preserve">2. </w:t>
      </w:r>
      <w:r>
        <w:rPr>
          <w:rFonts w:hint="eastAsia"/>
          <w:i w:val="0"/>
          <w:iCs w:val="0"/>
          <w:color w:val="auto"/>
          <w:szCs w:val="24"/>
          <w:highlight w:val="none"/>
          <w:u w:val="single"/>
        </w:rPr>
        <w:t xml:space="preserve">（标的名称） </w:t>
      </w:r>
      <w:r>
        <w:rPr>
          <w:rFonts w:hint="eastAsia"/>
          <w:i w:val="0"/>
          <w:iCs w:val="0"/>
          <w:color w:val="auto"/>
          <w:szCs w:val="24"/>
          <w:highlight w:val="none"/>
        </w:rPr>
        <w:t xml:space="preserve">，制造商为 </w:t>
      </w:r>
      <w:r>
        <w:rPr>
          <w:i w:val="0"/>
          <w:iCs w:val="0"/>
          <w:color w:val="auto"/>
          <w:szCs w:val="24"/>
          <w:highlight w:val="none"/>
          <w:u w:val="single"/>
        </w:rPr>
        <w:t xml:space="preserve">  </w:t>
      </w:r>
      <w:r>
        <w:rPr>
          <w:rFonts w:hint="eastAsia"/>
          <w:i w:val="0"/>
          <w:iCs w:val="0"/>
          <w:color w:val="auto"/>
          <w:szCs w:val="24"/>
          <w:highlight w:val="none"/>
          <w:u w:val="single"/>
        </w:rPr>
        <w:t xml:space="preserve">（企业名称） </w:t>
      </w:r>
      <w:r>
        <w:rPr>
          <w:rFonts w:hint="eastAsia"/>
          <w:i w:val="0"/>
          <w:iCs w:val="0"/>
          <w:color w:val="auto"/>
          <w:szCs w:val="24"/>
          <w:highlight w:val="none"/>
        </w:rPr>
        <w:t>，属于残疾人福利性单位；</w:t>
      </w:r>
    </w:p>
    <w:p w14:paraId="7FB12063">
      <w:pPr>
        <w:wordWrap w:val="0"/>
        <w:ind w:firstLine="480" w:firstLineChars="200"/>
        <w:rPr>
          <w:i w:val="0"/>
          <w:iCs w:val="0"/>
          <w:color w:val="auto"/>
          <w:szCs w:val="24"/>
          <w:highlight w:val="none"/>
        </w:rPr>
      </w:pPr>
      <w:r>
        <w:rPr>
          <w:rFonts w:hint="eastAsia"/>
          <w:i w:val="0"/>
          <w:iCs w:val="0"/>
          <w:color w:val="auto"/>
          <w:szCs w:val="24"/>
          <w:highlight w:val="none"/>
        </w:rPr>
        <w:t>……</w:t>
      </w:r>
    </w:p>
    <w:p w14:paraId="7B8F3287">
      <w:pPr>
        <w:wordWrap w:val="0"/>
        <w:ind w:firstLine="480" w:firstLineChars="200"/>
        <w:rPr>
          <w:i w:val="0"/>
          <w:iCs w:val="0"/>
          <w:color w:val="auto"/>
          <w:szCs w:val="24"/>
          <w:highlight w:val="none"/>
        </w:rPr>
      </w:pPr>
      <w:r>
        <w:rPr>
          <w:rFonts w:hint="eastAsia"/>
          <w:i w:val="0"/>
          <w:iCs w:val="0"/>
          <w:color w:val="auto"/>
          <w:szCs w:val="24"/>
          <w:highlight w:val="none"/>
        </w:rPr>
        <w:t>以上企业，不属于大企业的分支机构，不存在控股股东为大企业的情形，也不存在与大企业的负责人为同一人的情形。</w:t>
      </w:r>
    </w:p>
    <w:p w14:paraId="18EB7223">
      <w:pPr>
        <w:wordWrap w:val="0"/>
        <w:ind w:left="1087" w:leftChars="200" w:hanging="607" w:hangingChars="253"/>
        <w:rPr>
          <w:i w:val="0"/>
          <w:iCs w:val="0"/>
          <w:color w:val="auto"/>
          <w:szCs w:val="24"/>
          <w:highlight w:val="none"/>
        </w:rPr>
      </w:pPr>
      <w:r>
        <w:rPr>
          <w:rFonts w:hint="eastAsia"/>
          <w:i w:val="0"/>
          <w:iCs w:val="0"/>
          <w:color w:val="auto"/>
          <w:szCs w:val="24"/>
          <w:highlight w:val="none"/>
        </w:rPr>
        <w:t>本企业对上述声明内容的真实性负责。如有虚假，将依法承担相应责任。</w:t>
      </w:r>
    </w:p>
    <w:p w14:paraId="44C7A080">
      <w:pPr>
        <w:wordWrap w:val="0"/>
        <w:ind w:left="1091" w:hanging="1091" w:hangingChars="453"/>
        <w:rPr>
          <w:b/>
          <w:bCs/>
          <w:i w:val="0"/>
          <w:iCs w:val="0"/>
          <w:color w:val="auto"/>
          <w:szCs w:val="24"/>
          <w:highlight w:val="none"/>
        </w:rPr>
      </w:pPr>
    </w:p>
    <w:p w14:paraId="43523196">
      <w:pPr>
        <w:wordWrap w:val="0"/>
        <w:ind w:left="1091" w:hanging="1091" w:hangingChars="453"/>
        <w:rPr>
          <w:bCs/>
          <w:i w:val="0"/>
          <w:iCs w:val="0"/>
          <w:color w:val="auto"/>
          <w:szCs w:val="24"/>
          <w:highlight w:val="none"/>
        </w:rPr>
      </w:pPr>
      <w:r>
        <w:rPr>
          <w:rFonts w:hint="eastAsia"/>
          <w:b/>
          <w:bCs/>
          <w:i w:val="0"/>
          <w:iCs w:val="0"/>
          <w:color w:val="auto"/>
          <w:szCs w:val="24"/>
          <w:highlight w:val="none"/>
        </w:rPr>
        <w:t>说明：</w:t>
      </w:r>
      <w:r>
        <w:rPr>
          <w:rFonts w:hint="eastAsia"/>
          <w:bCs/>
          <w:i w:val="0"/>
          <w:iCs w:val="0"/>
          <w:color w:val="auto"/>
          <w:szCs w:val="24"/>
          <w:highlight w:val="none"/>
        </w:rPr>
        <w:t>1、</w:t>
      </w:r>
      <w:r>
        <w:rPr>
          <w:rFonts w:hint="eastAsia"/>
          <w:bCs/>
          <w:i w:val="0"/>
          <w:iCs w:val="0"/>
          <w:color w:val="auto"/>
          <w:szCs w:val="21"/>
          <w:highlight w:val="none"/>
          <w:lang w:val="zh-CN"/>
        </w:rPr>
        <w:t>货物应当全部由符合政策要求的残疾人福利性单位生产且使用该残疾人福利性单位商号或注册商标（与代理商或投标人无关）；应当严格按上述格式及内容进行填写（应当明确每个标的的生产企业类型及相关数据），否则导致的后果由投标人自行承担；</w:t>
      </w:r>
    </w:p>
    <w:p w14:paraId="2288B711">
      <w:pPr>
        <w:wordWrap w:val="0"/>
        <w:ind w:left="1087" w:hanging="1087" w:hangingChars="453"/>
        <w:rPr>
          <w:rFonts w:cs="Courier New"/>
          <w:color w:val="auto"/>
          <w:szCs w:val="21"/>
          <w:highlight w:val="none"/>
        </w:rPr>
      </w:pPr>
      <w:r>
        <w:rPr>
          <w:rFonts w:hint="eastAsia"/>
          <w:bCs/>
          <w:i w:val="0"/>
          <w:iCs w:val="0"/>
          <w:color w:val="auto"/>
          <w:szCs w:val="21"/>
          <w:highlight w:val="none"/>
          <w:lang w:val="zh-CN"/>
        </w:rPr>
        <w:t xml:space="preserve">      2、</w:t>
      </w:r>
      <w:r>
        <w:rPr>
          <w:rFonts w:hint="eastAsia" w:cs="Courier New"/>
          <w:i w:val="0"/>
          <w:iCs w:val="0"/>
          <w:color w:val="auto"/>
          <w:szCs w:val="21"/>
          <w:highlight w:val="none"/>
        </w:rPr>
        <w:t>以联合体形式参加的，应</w:t>
      </w:r>
      <w:r>
        <w:rPr>
          <w:rFonts w:hint="eastAsia"/>
          <w:bCs/>
          <w:i w:val="0"/>
          <w:iCs w:val="0"/>
          <w:color w:val="auto"/>
          <w:szCs w:val="21"/>
          <w:highlight w:val="none"/>
          <w:lang w:val="zh-CN"/>
        </w:rPr>
        <w:t>当</w:t>
      </w:r>
      <w:r>
        <w:rPr>
          <w:rFonts w:hint="eastAsia" w:cs="Courier New"/>
          <w:i w:val="0"/>
          <w:iCs w:val="0"/>
          <w:color w:val="auto"/>
          <w:szCs w:val="21"/>
          <w:highlight w:val="none"/>
        </w:rPr>
        <w:t>由联合体各方盖章。</w:t>
      </w:r>
    </w:p>
    <w:p w14:paraId="71983F83">
      <w:pPr>
        <w:wordWrap w:val="0"/>
        <w:spacing w:before="100" w:beforeAutospacing="1" w:after="100" w:afterAutospacing="1"/>
        <w:ind w:firstLine="3316" w:firstLineChars="1382"/>
        <w:rPr>
          <w:bCs/>
          <w:color w:val="auto"/>
          <w:szCs w:val="21"/>
          <w:highlight w:val="none"/>
          <w:lang w:val="zh-CN"/>
        </w:rPr>
      </w:pPr>
      <w:r>
        <w:rPr>
          <w:rFonts w:hint="eastAsia"/>
          <w:bCs/>
          <w:color w:val="auto"/>
          <w:szCs w:val="21"/>
          <w:highlight w:val="none"/>
          <w:lang w:val="zh-CN"/>
        </w:rPr>
        <w:t>投标人</w:t>
      </w:r>
      <w:r>
        <w:rPr>
          <w:rFonts w:hint="eastAsia"/>
          <w:bCs/>
          <w:color w:val="auto"/>
          <w:szCs w:val="21"/>
          <w:highlight w:val="none"/>
          <w:lang w:val="en-US" w:eastAsia="zh-CN"/>
        </w:rPr>
        <w:t>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hint="eastAsia"/>
          <w:bCs/>
          <w:color w:val="auto"/>
          <w:szCs w:val="21"/>
          <w:highlight w:val="none"/>
          <w:lang w:val="zh-CN"/>
        </w:rPr>
        <w:t>：</w:t>
      </w:r>
      <w:r>
        <w:rPr>
          <w:rFonts w:hint="eastAsia"/>
          <w:bCs/>
          <w:color w:val="auto"/>
          <w:szCs w:val="21"/>
          <w:highlight w:val="none"/>
          <w:u w:val="single"/>
          <w:lang w:val="zh-CN"/>
        </w:rPr>
        <w:t xml:space="preserve">              </w:t>
      </w:r>
    </w:p>
    <w:p w14:paraId="3A972AC9">
      <w:pPr>
        <w:wordWrap w:val="0"/>
        <w:spacing w:before="100" w:beforeAutospacing="1" w:after="100" w:afterAutospacing="1"/>
        <w:ind w:firstLine="3316" w:firstLineChars="1382"/>
        <w:rPr>
          <w:color w:val="auto"/>
          <w:highlight w:val="none"/>
        </w:rPr>
      </w:pPr>
      <w:r>
        <w:rPr>
          <w:rFonts w:hint="eastAsia"/>
          <w:color w:val="auto"/>
          <w:szCs w:val="24"/>
          <w:highlight w:val="none"/>
        </w:rPr>
        <w:t>日</w:t>
      </w:r>
      <w:r>
        <w:rPr>
          <w:color w:val="auto"/>
          <w:szCs w:val="24"/>
          <w:highlight w:val="none"/>
        </w:rPr>
        <w:t xml:space="preserve">  </w:t>
      </w:r>
      <w:r>
        <w:rPr>
          <w:rFonts w:hint="eastAsia"/>
          <w:color w:val="auto"/>
          <w:szCs w:val="24"/>
          <w:highlight w:val="none"/>
        </w:rPr>
        <w:t>期：</w:t>
      </w:r>
      <w:r>
        <w:rPr>
          <w:bCs/>
          <w:color w:val="auto"/>
          <w:szCs w:val="24"/>
          <w:highlight w:val="none"/>
          <w:u w:val="single"/>
        </w:rPr>
        <w:t xml:space="preserve">                         </w:t>
      </w:r>
    </w:p>
    <w:p w14:paraId="6F5F8DCA">
      <w:pPr>
        <w:ind w:left="4620" w:firstLine="281" w:firstLineChars="100"/>
        <w:rPr>
          <w:rFonts w:cs="仿宋_GB2312"/>
          <w:b/>
          <w:color w:val="auto"/>
          <w:sz w:val="28"/>
          <w:szCs w:val="28"/>
          <w:highlight w:val="none"/>
        </w:rPr>
      </w:pPr>
    </w:p>
    <w:p w14:paraId="7BDD1A80">
      <w:pPr>
        <w:rPr>
          <w:color w:val="auto"/>
          <w:highlight w:val="none"/>
        </w:rPr>
      </w:pPr>
      <w:r>
        <w:rPr>
          <w:color w:val="auto"/>
          <w:highlight w:val="none"/>
        </w:rPr>
        <w:br w:type="page"/>
      </w:r>
    </w:p>
    <w:p w14:paraId="4B9EE2D8">
      <w:pPr>
        <w:pStyle w:val="3"/>
        <w:bidi w:val="0"/>
        <w:rPr>
          <w:rFonts w:hint="eastAsia"/>
          <w:lang w:val="en-US" w:eastAsia="zh-CN"/>
        </w:rPr>
      </w:pPr>
      <w:bookmarkStart w:id="626" w:name="_Toc29132"/>
      <w:r>
        <w:rPr>
          <w:rFonts w:hint="eastAsia"/>
          <w:lang w:val="en-US" w:eastAsia="zh-CN"/>
        </w:rPr>
        <w:t>五、不参与围标串标承诺书</w:t>
      </w:r>
      <w:bookmarkEnd w:id="626"/>
    </w:p>
    <w:p w14:paraId="6D6EA90A">
      <w:pPr>
        <w:spacing w:before="0" w:after="0"/>
        <w:jc w:val="center"/>
        <w:outlineLvl w:val="9"/>
        <w:rPr>
          <w:rFonts w:hint="eastAsia" w:ascii="宋体" w:hAnsi="宋体" w:eastAsia="宋体" w:cs="宋体"/>
          <w:b/>
          <w:bCs w:val="0"/>
          <w:sz w:val="24"/>
          <w:szCs w:val="24"/>
          <w:lang w:val="zh-CN"/>
        </w:rPr>
      </w:pPr>
      <w:bookmarkStart w:id="627" w:name="_Toc12419"/>
      <w:r>
        <w:rPr>
          <w:rFonts w:hint="eastAsia" w:ascii="宋体" w:hAnsi="宋体" w:eastAsia="宋体" w:cs="宋体"/>
          <w:b/>
          <w:bCs w:val="0"/>
          <w:sz w:val="24"/>
          <w:szCs w:val="24"/>
          <w:lang w:val="zh-CN"/>
        </w:rPr>
        <w:t>不参与围标串标承诺书</w:t>
      </w:r>
    </w:p>
    <w:p w14:paraId="0634E17F">
      <w:pPr>
        <w:autoSpaceDE w:val="0"/>
        <w:autoSpaceDN w:val="0"/>
        <w:adjustRightInd w:val="0"/>
        <w:spacing w:line="560" w:lineRule="exact"/>
        <w:ind w:left="480" w:leftChars="20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为诚实、客观、有序地参与</w:t>
      </w:r>
      <w:r>
        <w:rPr>
          <w:rFonts w:hint="eastAsia" w:ascii="宋体" w:hAnsi="宋体" w:eastAsia="宋体" w:cs="宋体"/>
          <w:kern w:val="0"/>
          <w:sz w:val="24"/>
          <w:szCs w:val="24"/>
          <w:u w:val="single"/>
          <w:lang w:val="zh-CN"/>
        </w:rPr>
        <w:t xml:space="preserve">                     </w:t>
      </w:r>
      <w:r>
        <w:rPr>
          <w:rFonts w:hint="eastAsia" w:ascii="宋体" w:hAnsi="宋体" w:eastAsia="宋体" w:cs="宋体"/>
          <w:kern w:val="0"/>
          <w:sz w:val="24"/>
          <w:szCs w:val="24"/>
          <w:lang w:val="zh-CN"/>
        </w:rPr>
        <w:t>项目</w:t>
      </w:r>
    </w:p>
    <w:p w14:paraId="2F454600">
      <w:pPr>
        <w:autoSpaceDE w:val="0"/>
        <w:autoSpaceDN w:val="0"/>
        <w:adjustRightInd w:val="0"/>
        <w:spacing w:line="560" w:lineRule="exact"/>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采购活动，愿就以下内容作出承诺：</w:t>
      </w:r>
    </w:p>
    <w:p w14:paraId="307B7006">
      <w:pPr>
        <w:autoSpaceDE w:val="0"/>
        <w:autoSpaceDN w:val="0"/>
        <w:adjustRightInd w:val="0"/>
        <w:spacing w:line="560" w:lineRule="exact"/>
        <w:ind w:firstLine="482"/>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一、严格遵守国家法律法规和行业规范，诚实守信，公平竞争，不参与任何形式的围标、串标行为，不与其他投标供应商存在控股、管理及其他关联关系。</w:t>
      </w:r>
    </w:p>
    <w:p w14:paraId="45ED144C">
      <w:pPr>
        <w:autoSpaceDE w:val="0"/>
        <w:autoSpaceDN w:val="0"/>
        <w:adjustRightInd w:val="0"/>
        <w:spacing w:line="560" w:lineRule="exact"/>
        <w:ind w:firstLine="482"/>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二、依法参加采购活动，不与其他供应商互相串通投标；不使用具有串标嫌疑、关联关系的公司参与投标（包括但不限于工商登记邮箱、电话号码、高管人员一致等）；不与采购人或者招标代理机构串通投标；不向采购人或者评标委员会成员行贿以牟取中标。不排挤其他供应商的公平竞争，不损害采购人的合法权益，不损害国家利益、社会公共利益或者他人的合法权益。</w:t>
      </w:r>
    </w:p>
    <w:p w14:paraId="28E26D86">
      <w:pPr>
        <w:autoSpaceDE w:val="0"/>
        <w:autoSpaceDN w:val="0"/>
        <w:adjustRightInd w:val="0"/>
        <w:spacing w:line="560" w:lineRule="exact"/>
        <w:ind w:firstLine="482"/>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三、若在招标投标过程中发现其他投标人或相关方有围标、串标等违法行为，及时告知采购人或代理机构，积极配合调查。</w:t>
      </w:r>
    </w:p>
    <w:p w14:paraId="6B10E7E6">
      <w:pPr>
        <w:autoSpaceDE w:val="0"/>
        <w:autoSpaceDN w:val="0"/>
        <w:adjustRightInd w:val="0"/>
        <w:spacing w:line="560" w:lineRule="exact"/>
        <w:ind w:firstLine="482"/>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四、愿接受社会各界监督。如有违反上述承诺行为，自愿放弃中标资格，限制以后投标，记入不良信用档案，没收本次投标保证金。同意采购人或代理机构有权将线索移交有关部门，并愿意承担由此引起的其他法律责任。</w:t>
      </w:r>
    </w:p>
    <w:p w14:paraId="447971C7">
      <w:pPr>
        <w:autoSpaceDE w:val="0"/>
        <w:autoSpaceDN w:val="0"/>
        <w:adjustRightInd w:val="0"/>
        <w:spacing w:line="560" w:lineRule="exact"/>
        <w:rPr>
          <w:rFonts w:hint="eastAsia" w:ascii="宋体" w:hAnsi="宋体" w:eastAsia="宋体" w:cs="宋体"/>
          <w:bCs/>
          <w:kern w:val="0"/>
          <w:sz w:val="24"/>
          <w:szCs w:val="24"/>
          <w:lang w:val="zh-CN"/>
        </w:rPr>
      </w:pPr>
    </w:p>
    <w:p w14:paraId="061D9A0A">
      <w:pPr>
        <w:autoSpaceDE w:val="0"/>
        <w:autoSpaceDN w:val="0"/>
        <w:adjustRightInd w:val="0"/>
        <w:spacing w:line="560" w:lineRule="exact"/>
        <w:rPr>
          <w:rFonts w:hint="eastAsia" w:ascii="宋体" w:hAnsi="宋体" w:eastAsia="宋体" w:cs="宋体"/>
          <w:bCs/>
          <w:kern w:val="0"/>
          <w:sz w:val="24"/>
          <w:szCs w:val="24"/>
          <w:lang w:val="zh-CN"/>
        </w:rPr>
      </w:pPr>
      <w:r>
        <w:rPr>
          <w:rFonts w:hint="eastAsia" w:ascii="宋体" w:hAnsi="宋体" w:eastAsia="宋体" w:cs="宋体"/>
          <w:bCs/>
          <w:kern w:val="0"/>
          <w:sz w:val="24"/>
          <w:szCs w:val="24"/>
          <w:lang w:val="zh-CN"/>
        </w:rPr>
        <w:t>供应商：                             （公章）</w:t>
      </w:r>
    </w:p>
    <w:p w14:paraId="38AB1FF0">
      <w:pPr>
        <w:autoSpaceDE w:val="0"/>
        <w:autoSpaceDN w:val="0"/>
        <w:adjustRightInd w:val="0"/>
        <w:spacing w:line="560" w:lineRule="exact"/>
        <w:rPr>
          <w:rFonts w:hint="eastAsia" w:ascii="宋体" w:hAnsi="宋体" w:eastAsia="宋体" w:cs="宋体"/>
          <w:bCs/>
          <w:kern w:val="0"/>
          <w:sz w:val="24"/>
          <w:szCs w:val="24"/>
          <w:lang w:val="zh-CN"/>
        </w:rPr>
      </w:pPr>
      <w:r>
        <w:rPr>
          <w:rFonts w:hint="eastAsia" w:ascii="宋体" w:hAnsi="宋体" w:eastAsia="宋体" w:cs="宋体"/>
          <w:bCs/>
          <w:kern w:val="0"/>
          <w:sz w:val="24"/>
          <w:szCs w:val="24"/>
          <w:lang w:val="zh-CN"/>
        </w:rPr>
        <w:t>法定代表人或委托代理人：             （签字）</w:t>
      </w:r>
    </w:p>
    <w:p w14:paraId="0D72BF32">
      <w:pPr>
        <w:spacing w:line="560" w:lineRule="exact"/>
        <w:rPr>
          <w:rFonts w:hint="eastAsia" w:ascii="宋体" w:hAnsi="宋体" w:eastAsia="宋体" w:cs="宋体"/>
          <w:sz w:val="24"/>
          <w:szCs w:val="24"/>
        </w:rPr>
      </w:pPr>
      <w:r>
        <w:rPr>
          <w:rFonts w:hint="eastAsia" w:ascii="宋体" w:hAnsi="宋体" w:eastAsia="宋体" w:cs="宋体"/>
          <w:bCs/>
          <w:kern w:val="0"/>
          <w:sz w:val="24"/>
          <w:szCs w:val="24"/>
          <w:lang w:val="zh-CN"/>
        </w:rPr>
        <w:t xml:space="preserve">                                    年   月   日</w:t>
      </w:r>
    </w:p>
    <w:p w14:paraId="7B170C1C">
      <w:pPr>
        <w:rPr>
          <w:rFonts w:hint="eastAsia"/>
          <w:lang w:val="en-US" w:eastAsia="zh-CN"/>
        </w:rPr>
      </w:pPr>
    </w:p>
    <w:p w14:paraId="192DB980">
      <w:pPr>
        <w:rPr>
          <w:rFonts w:hint="eastAsia"/>
          <w:lang w:val="en-US" w:eastAsia="zh-CN"/>
        </w:rPr>
      </w:pPr>
      <w:r>
        <w:rPr>
          <w:rFonts w:hint="eastAsia"/>
          <w:lang w:val="en-US" w:eastAsia="zh-CN"/>
        </w:rPr>
        <w:br w:type="page"/>
      </w:r>
    </w:p>
    <w:p w14:paraId="30C8D33E">
      <w:pPr>
        <w:pStyle w:val="3"/>
        <w:bidi w:val="0"/>
        <w:rPr>
          <w:rFonts w:hint="eastAsia"/>
          <w:lang w:val="zh-CN" w:eastAsia="zh-CN"/>
        </w:rPr>
      </w:pPr>
      <w:r>
        <w:rPr>
          <w:rFonts w:hint="eastAsia"/>
          <w:lang w:val="en-US" w:eastAsia="zh-CN"/>
        </w:rPr>
        <w:t>六、</w:t>
      </w:r>
      <w:r>
        <w:rPr>
          <w:rFonts w:hint="eastAsia"/>
          <w:lang w:val="zh-CN" w:eastAsia="zh-CN"/>
        </w:rPr>
        <w:t>其他资格证明文件</w:t>
      </w:r>
      <w:bookmarkEnd w:id="627"/>
    </w:p>
    <w:p w14:paraId="0B1A36AE">
      <w:pPr>
        <w:pageBreakBefore w:val="0"/>
        <w:widowControl w:val="0"/>
        <w:kinsoku/>
        <w:overflowPunct/>
        <w:topLinePunct w:val="0"/>
        <w:autoSpaceDE/>
        <w:autoSpaceDN/>
        <w:bidi w:val="0"/>
        <w:adjustRightInd/>
        <w:snapToGrid/>
        <w:spacing w:line="360" w:lineRule="auto"/>
        <w:ind w:firstLine="480" w:firstLineChars="200"/>
        <w:textAlignment w:val="auto"/>
        <w:rPr>
          <w:rFonts w:hint="eastAsia" w:cs="宋体"/>
          <w:color w:val="auto"/>
          <w:sz w:val="24"/>
          <w:highlight w:val="none"/>
          <w:lang w:val="en-US" w:eastAsia="zh-CN"/>
        </w:rPr>
      </w:pPr>
      <w:r>
        <w:rPr>
          <w:rFonts w:hint="eastAsia" w:cs="宋体"/>
          <w:color w:val="auto"/>
          <w:sz w:val="24"/>
          <w:highlight w:val="none"/>
          <w:lang w:val="en-US" w:eastAsia="zh-CN"/>
        </w:rPr>
        <w:t>6.1本项目的特定资格中：</w:t>
      </w:r>
    </w:p>
    <w:p w14:paraId="5631166C">
      <w:pPr>
        <w:pageBreakBefore w:val="0"/>
        <w:widowControl w:val="0"/>
        <w:kinsoku/>
        <w:overflowPunct/>
        <w:topLinePunct w:val="0"/>
        <w:autoSpaceDE/>
        <w:autoSpaceDN/>
        <w:bidi w:val="0"/>
        <w:adjustRightInd/>
        <w:snapToGrid/>
        <w:spacing w:line="360" w:lineRule="auto"/>
        <w:ind w:firstLine="480" w:firstLineChars="200"/>
        <w:textAlignment w:val="auto"/>
        <w:rPr>
          <w:rFonts w:hint="default" w:cs="宋体"/>
          <w:color w:val="auto"/>
          <w:sz w:val="24"/>
          <w:highlight w:val="none"/>
          <w:lang w:val="en-US" w:eastAsia="zh-CN"/>
        </w:rPr>
      </w:pPr>
      <w:r>
        <w:rPr>
          <w:rFonts w:hint="eastAsia" w:cs="宋体"/>
          <w:color w:val="auto"/>
          <w:sz w:val="24"/>
          <w:highlight w:val="none"/>
          <w:lang w:val="en-US" w:eastAsia="zh-CN"/>
        </w:rPr>
        <w:t>6.1.1“属于医疗器械管理的产品需根据《医疗器械监督管理条例》（国务院令第650号）有关内容办理医疗器械产品注册或备案”要求如下：</w:t>
      </w:r>
    </w:p>
    <w:p w14:paraId="0D43A9F7">
      <w:pPr>
        <w:pageBreakBefore w:val="0"/>
        <w:widowControl w:val="0"/>
        <w:kinsoku/>
        <w:overflowPunct/>
        <w:topLinePunct w:val="0"/>
        <w:autoSpaceDE/>
        <w:autoSpaceDN/>
        <w:bidi w:val="0"/>
        <w:adjustRightInd/>
        <w:snapToGrid/>
        <w:spacing w:line="360" w:lineRule="auto"/>
        <w:ind w:firstLine="480" w:firstLineChars="200"/>
        <w:textAlignment w:val="auto"/>
        <w:rPr>
          <w:rFonts w:hint="eastAsia" w:cs="宋体"/>
          <w:color w:val="auto"/>
          <w:sz w:val="24"/>
          <w:highlight w:val="none"/>
          <w:lang w:val="en-US" w:eastAsia="zh-CN"/>
        </w:rPr>
      </w:pPr>
      <w:r>
        <w:rPr>
          <w:rFonts w:hint="eastAsia" w:cs="宋体"/>
          <w:color w:val="auto"/>
          <w:sz w:val="24"/>
          <w:highlight w:val="none"/>
          <w:lang w:val="en-US" w:eastAsia="zh-CN"/>
        </w:rPr>
        <w:t>（1）投标人为所投产品制造商的，投标产品属于一类医疗器械的须提供《第一类医疗器械生产备案凭证》，所投产品属于二类、三类医疗器械须提供《医疗器械生产许可证》；</w:t>
      </w:r>
    </w:p>
    <w:p w14:paraId="2E309C62">
      <w:pPr>
        <w:pageBreakBefore w:val="0"/>
        <w:widowControl w:val="0"/>
        <w:kinsoku/>
        <w:overflowPunct/>
        <w:topLinePunct w:val="0"/>
        <w:autoSpaceDE/>
        <w:autoSpaceDN/>
        <w:bidi w:val="0"/>
        <w:adjustRightInd/>
        <w:snapToGrid/>
        <w:spacing w:line="360" w:lineRule="auto"/>
        <w:ind w:firstLine="480" w:firstLineChars="200"/>
        <w:textAlignment w:val="auto"/>
        <w:rPr>
          <w:rFonts w:hint="eastAsia" w:cs="宋体"/>
          <w:color w:val="auto"/>
          <w:sz w:val="24"/>
          <w:highlight w:val="none"/>
          <w:lang w:val="en-US" w:eastAsia="zh-CN"/>
        </w:rPr>
      </w:pPr>
      <w:r>
        <w:rPr>
          <w:rFonts w:hint="eastAsia" w:cs="宋体"/>
          <w:color w:val="auto"/>
          <w:sz w:val="24"/>
          <w:highlight w:val="none"/>
          <w:lang w:val="en-US" w:eastAsia="zh-CN"/>
        </w:rPr>
        <w:t>（2）投标人为所投产品的经销商或代理商且所投产品属于二类医疗器械须提供《医疗器械经营许可证》及《第二类医疗器械经营备案凭证》，所投产品属于三类医疗器械须提供《医疗器械经营许可证》及《医疗器械注册证》，同时还须提供所投产品制造商的《医疗器械生产许可证》。</w:t>
      </w:r>
    </w:p>
    <w:p w14:paraId="20699AC0">
      <w:pPr>
        <w:pageBreakBefore w:val="0"/>
        <w:widowControl w:val="0"/>
        <w:kinsoku/>
        <w:overflowPunct/>
        <w:topLinePunct w:val="0"/>
        <w:autoSpaceDE/>
        <w:autoSpaceDN/>
        <w:bidi w:val="0"/>
        <w:adjustRightInd/>
        <w:snapToGrid/>
        <w:spacing w:line="360" w:lineRule="auto"/>
        <w:ind w:firstLine="480" w:firstLineChars="200"/>
        <w:textAlignment w:val="auto"/>
        <w:rPr>
          <w:rFonts w:hint="eastAsia" w:cs="宋体"/>
          <w:color w:val="auto"/>
          <w:sz w:val="24"/>
          <w:highlight w:val="none"/>
          <w:lang w:val="en-US" w:eastAsia="zh-CN"/>
        </w:rPr>
      </w:pPr>
      <w:r>
        <w:rPr>
          <w:rFonts w:hint="eastAsia" w:cs="宋体"/>
          <w:color w:val="auto"/>
          <w:sz w:val="24"/>
          <w:highlight w:val="none"/>
          <w:lang w:val="en-US" w:eastAsia="zh-CN"/>
        </w:rPr>
        <w:t>以上所有证件必须在有效期内，否则资格性审查不通过。</w:t>
      </w:r>
    </w:p>
    <w:p w14:paraId="563A5358">
      <w:pPr>
        <w:pageBreakBefore w:val="0"/>
        <w:widowControl w:val="0"/>
        <w:kinsoku/>
        <w:overflowPunct/>
        <w:topLinePunct w:val="0"/>
        <w:autoSpaceDE/>
        <w:autoSpaceDN/>
        <w:bidi w:val="0"/>
        <w:adjustRightInd/>
        <w:snapToGrid/>
        <w:spacing w:line="360" w:lineRule="auto"/>
        <w:ind w:firstLine="480" w:firstLineChars="200"/>
        <w:textAlignment w:val="auto"/>
        <w:rPr>
          <w:rFonts w:hint="eastAsia" w:cs="宋体"/>
          <w:b w:val="0"/>
          <w:bCs w:val="0"/>
          <w:color w:val="auto"/>
          <w:sz w:val="24"/>
          <w:highlight w:val="none"/>
          <w:lang w:val="en-US" w:eastAsia="zh-CN"/>
        </w:rPr>
      </w:pPr>
    </w:p>
    <w:p w14:paraId="571A45B4">
      <w:pPr>
        <w:pageBreakBefore w:val="0"/>
        <w:widowControl w:val="0"/>
        <w:kinsoku/>
        <w:overflowPunct/>
        <w:topLinePunct w:val="0"/>
        <w:autoSpaceDE/>
        <w:autoSpaceDN/>
        <w:bidi w:val="0"/>
        <w:adjustRightInd/>
        <w:snapToGrid/>
        <w:spacing w:line="360" w:lineRule="auto"/>
        <w:ind w:firstLine="480" w:firstLineChars="200"/>
        <w:textAlignment w:val="auto"/>
        <w:rPr>
          <w:rFonts w:hint="eastAsia" w:cs="宋体"/>
          <w:b w:val="0"/>
          <w:bCs w:val="0"/>
          <w:color w:val="auto"/>
          <w:sz w:val="24"/>
          <w:highlight w:val="none"/>
          <w:lang w:val="en-US" w:eastAsia="zh-CN"/>
        </w:rPr>
      </w:pPr>
    </w:p>
    <w:p w14:paraId="4AFB3840">
      <w:pPr>
        <w:pageBreakBefore w:val="0"/>
        <w:widowControl w:val="0"/>
        <w:kinsoku/>
        <w:overflowPunct/>
        <w:topLinePunct w:val="0"/>
        <w:autoSpaceDE/>
        <w:autoSpaceDN/>
        <w:bidi w:val="0"/>
        <w:adjustRightInd/>
        <w:snapToGrid/>
        <w:spacing w:line="360" w:lineRule="auto"/>
        <w:ind w:firstLine="480" w:firstLineChars="200"/>
        <w:textAlignment w:val="auto"/>
        <w:rPr>
          <w:rFonts w:hint="eastAsia" w:cs="宋体"/>
          <w:b w:val="0"/>
          <w:bCs w:val="0"/>
          <w:color w:val="auto"/>
          <w:sz w:val="24"/>
          <w:highlight w:val="none"/>
          <w:lang w:val="en-US" w:eastAsia="zh-CN"/>
        </w:rPr>
      </w:pPr>
    </w:p>
    <w:p w14:paraId="465A443A">
      <w:pPr>
        <w:pageBreakBefore w:val="0"/>
        <w:widowControl w:val="0"/>
        <w:kinsoku/>
        <w:overflowPunct/>
        <w:topLinePunct w:val="0"/>
        <w:autoSpaceDE/>
        <w:autoSpaceDN/>
        <w:bidi w:val="0"/>
        <w:adjustRightInd/>
        <w:snapToGrid/>
        <w:spacing w:line="360" w:lineRule="auto"/>
        <w:ind w:firstLine="480" w:firstLineChars="200"/>
        <w:textAlignment w:val="auto"/>
        <w:rPr>
          <w:rFonts w:hint="eastAsia" w:cs="宋体"/>
          <w:b w:val="0"/>
          <w:bCs w:val="0"/>
          <w:color w:val="auto"/>
          <w:sz w:val="24"/>
          <w:highlight w:val="none"/>
          <w:lang w:val="en-US" w:eastAsia="zh-CN"/>
        </w:rPr>
      </w:pPr>
      <w:r>
        <w:rPr>
          <w:rFonts w:hint="eastAsia" w:cs="宋体"/>
          <w:b w:val="0"/>
          <w:bCs w:val="0"/>
          <w:color w:val="auto"/>
          <w:sz w:val="24"/>
          <w:highlight w:val="none"/>
          <w:lang w:val="en-US" w:eastAsia="zh-CN"/>
        </w:rPr>
        <w:t>6.1.1.2投标人为生产厂家的需提供《辐射安全许可证》；投标人为经销商的需提供《辐射安全许可证》及所投产品生产厂家的《辐射安全许可证》。</w:t>
      </w:r>
    </w:p>
    <w:p w14:paraId="1C4492D3">
      <w:pPr>
        <w:pageBreakBefore w:val="0"/>
        <w:widowControl w:val="0"/>
        <w:kinsoku/>
        <w:overflowPunct/>
        <w:topLinePunct w:val="0"/>
        <w:autoSpaceDE/>
        <w:autoSpaceDN/>
        <w:bidi w:val="0"/>
        <w:adjustRightInd/>
        <w:snapToGrid/>
        <w:spacing w:line="360" w:lineRule="auto"/>
        <w:ind w:firstLine="480" w:firstLineChars="200"/>
        <w:textAlignment w:val="auto"/>
        <w:rPr>
          <w:rFonts w:hint="eastAsia" w:cs="宋体"/>
          <w:b w:val="0"/>
          <w:bCs w:val="0"/>
          <w:color w:val="auto"/>
          <w:sz w:val="24"/>
          <w:highlight w:val="none"/>
          <w:lang w:val="en-US" w:eastAsia="zh-CN"/>
        </w:rPr>
      </w:pPr>
      <w:r>
        <w:rPr>
          <w:rFonts w:hint="eastAsia" w:cs="宋体"/>
          <w:b w:val="0"/>
          <w:bCs w:val="0"/>
          <w:color w:val="auto"/>
          <w:sz w:val="24"/>
          <w:highlight w:val="none"/>
          <w:lang w:val="en-US" w:eastAsia="zh-CN"/>
        </w:rPr>
        <w:t>以上所有证件必须在有效期内，否则资格性审查不通过。</w:t>
      </w:r>
    </w:p>
    <w:p w14:paraId="52BFE749">
      <w:pPr>
        <w:pageBreakBefore w:val="0"/>
        <w:widowControl w:val="0"/>
        <w:kinsoku/>
        <w:overflowPunct/>
        <w:topLinePunct w:val="0"/>
        <w:autoSpaceDE/>
        <w:autoSpaceDN/>
        <w:bidi w:val="0"/>
        <w:adjustRightInd/>
        <w:snapToGrid/>
        <w:spacing w:line="360" w:lineRule="auto"/>
        <w:ind w:firstLine="480" w:firstLineChars="200"/>
        <w:textAlignment w:val="auto"/>
        <w:rPr>
          <w:rFonts w:hint="eastAsia" w:cs="宋体"/>
          <w:color w:val="auto"/>
          <w:sz w:val="24"/>
          <w:highlight w:val="none"/>
          <w:lang w:val="en-US" w:eastAsia="zh-CN"/>
        </w:rPr>
      </w:pPr>
    </w:p>
    <w:p w14:paraId="26894748">
      <w:pPr>
        <w:pageBreakBefore w:val="0"/>
        <w:widowControl w:val="0"/>
        <w:kinsoku/>
        <w:overflowPunct/>
        <w:topLinePunct w:val="0"/>
        <w:autoSpaceDE/>
        <w:autoSpaceDN/>
        <w:bidi w:val="0"/>
        <w:adjustRightInd/>
        <w:snapToGrid/>
        <w:spacing w:line="360" w:lineRule="auto"/>
        <w:ind w:firstLine="480" w:firstLineChars="200"/>
        <w:textAlignment w:val="auto"/>
        <w:rPr>
          <w:rFonts w:hint="eastAsia" w:cs="宋体"/>
          <w:color w:val="auto"/>
          <w:sz w:val="24"/>
          <w:highlight w:val="none"/>
          <w:lang w:val="en-US" w:eastAsia="zh-CN"/>
        </w:rPr>
      </w:pPr>
    </w:p>
    <w:p w14:paraId="4131610D">
      <w:pPr>
        <w:rPr>
          <w:rFonts w:hint="eastAsia" w:hAnsi="宋体" w:cs="宋体"/>
          <w:color w:val="auto"/>
          <w:sz w:val="24"/>
          <w:szCs w:val="24"/>
          <w:highlight w:val="none"/>
          <w:lang w:val="en-US" w:eastAsia="zh-CN"/>
        </w:rPr>
      </w:pPr>
      <w:r>
        <w:rPr>
          <w:rFonts w:hint="eastAsia" w:hAnsi="宋体" w:cs="宋体"/>
          <w:color w:val="auto"/>
          <w:sz w:val="24"/>
          <w:szCs w:val="24"/>
          <w:highlight w:val="none"/>
          <w:lang w:val="en-US" w:eastAsia="zh-CN"/>
        </w:rPr>
        <w:br w:type="page"/>
      </w:r>
    </w:p>
    <w:p w14:paraId="10197758">
      <w:pPr>
        <w:pStyle w:val="17"/>
        <w:spacing w:line="400" w:lineRule="atLeast"/>
        <w:ind w:firstLine="480" w:firstLineChars="200"/>
        <w:jc w:val="both"/>
        <w:outlineLvl w:val="9"/>
        <w:rPr>
          <w:rFonts w:hint="eastAsia" w:ascii="宋体" w:hAnsi="宋体" w:eastAsia="宋体" w:cs="宋体"/>
          <w:bCs/>
          <w:sz w:val="24"/>
          <w:szCs w:val="24"/>
          <w:highlight w:val="none"/>
          <w:lang w:eastAsia="zh-CN"/>
        </w:rPr>
      </w:pPr>
      <w:r>
        <w:rPr>
          <w:rFonts w:hint="eastAsia" w:hAnsi="宋体" w:cs="宋体"/>
          <w:color w:val="auto"/>
          <w:sz w:val="24"/>
          <w:szCs w:val="24"/>
          <w:highlight w:val="none"/>
          <w:lang w:val="en-US" w:eastAsia="zh-CN"/>
        </w:rPr>
        <w:t>6</w:t>
      </w:r>
      <w:r>
        <w:rPr>
          <w:rFonts w:hint="eastAsia" w:ascii="宋体" w:hAnsi="宋体" w:eastAsia="宋体" w:cs="宋体"/>
          <w:color w:val="auto"/>
          <w:sz w:val="24"/>
          <w:szCs w:val="24"/>
          <w:highlight w:val="none"/>
          <w:lang w:val="en-US" w:eastAsia="zh-CN"/>
        </w:rPr>
        <w:t>.</w:t>
      </w:r>
      <w:bookmarkStart w:id="628" w:name="_Toc24646"/>
      <w:bookmarkStart w:id="629" w:name="_Toc17638"/>
      <w:bookmarkStart w:id="630" w:name="_Toc1587"/>
      <w:r>
        <w:rPr>
          <w:rFonts w:hint="eastAsia" w:hAnsi="宋体" w:cs="宋体"/>
          <w:color w:val="auto"/>
          <w:sz w:val="24"/>
          <w:szCs w:val="24"/>
          <w:highlight w:val="none"/>
          <w:lang w:val="en-US" w:eastAsia="zh-CN"/>
        </w:rPr>
        <w:t>2</w:t>
      </w:r>
      <w:r>
        <w:rPr>
          <w:rFonts w:hint="eastAsia" w:ascii="宋体" w:hAnsi="宋体" w:eastAsia="宋体" w:cs="宋体"/>
          <w:bCs/>
          <w:sz w:val="24"/>
          <w:szCs w:val="24"/>
          <w:highlight w:val="none"/>
        </w:rPr>
        <w:t>制造商出具的授权函</w:t>
      </w:r>
      <w:bookmarkEnd w:id="628"/>
      <w:bookmarkEnd w:id="629"/>
      <w:bookmarkEnd w:id="630"/>
      <w:r>
        <w:rPr>
          <w:rFonts w:hint="eastAsia" w:ascii="宋体" w:hAnsi="宋体" w:eastAsia="宋体" w:cs="宋体"/>
          <w:bCs/>
          <w:sz w:val="24"/>
          <w:szCs w:val="24"/>
          <w:highlight w:val="none"/>
          <w:lang w:eastAsia="zh-CN"/>
        </w:rPr>
        <w:t>（</w:t>
      </w:r>
      <w:r>
        <w:rPr>
          <w:rFonts w:hint="eastAsia" w:ascii="宋体" w:hAnsi="宋体" w:eastAsia="宋体" w:cs="宋体"/>
          <w:bCs/>
          <w:sz w:val="24"/>
          <w:szCs w:val="24"/>
          <w:highlight w:val="none"/>
          <w:lang w:val="en-US" w:eastAsia="zh-CN"/>
        </w:rPr>
        <w:t>如需</w:t>
      </w:r>
      <w:r>
        <w:rPr>
          <w:rFonts w:hint="eastAsia" w:ascii="宋体" w:hAnsi="宋体" w:eastAsia="宋体" w:cs="宋体"/>
          <w:bCs/>
          <w:sz w:val="24"/>
          <w:szCs w:val="24"/>
          <w:highlight w:val="none"/>
          <w:lang w:eastAsia="zh-CN"/>
        </w:rPr>
        <w:t>）</w:t>
      </w:r>
    </w:p>
    <w:p w14:paraId="6AA2B4B0">
      <w:pPr>
        <w:pStyle w:val="17"/>
        <w:spacing w:line="400" w:lineRule="atLeast"/>
        <w:rPr>
          <w:rFonts w:hint="eastAsia" w:ascii="宋体" w:hAnsi="宋体" w:eastAsia="宋体" w:cs="宋体"/>
          <w:bCs/>
          <w:i/>
          <w:sz w:val="24"/>
          <w:szCs w:val="24"/>
        </w:rPr>
      </w:pPr>
    </w:p>
    <w:p w14:paraId="21890748">
      <w:pPr>
        <w:pStyle w:val="17"/>
        <w:spacing w:line="400" w:lineRule="atLeast"/>
        <w:rPr>
          <w:rFonts w:hint="eastAsia" w:ascii="宋体" w:hAnsi="宋体" w:eastAsia="宋体" w:cs="宋体"/>
          <w:bCs/>
          <w:iCs/>
          <w:sz w:val="24"/>
          <w:szCs w:val="24"/>
          <w:u w:val="single"/>
        </w:rPr>
      </w:pPr>
      <w:r>
        <w:rPr>
          <w:rFonts w:hint="eastAsia" w:ascii="宋体" w:hAnsi="宋体" w:eastAsia="宋体" w:cs="宋体"/>
          <w:bCs/>
          <w:iCs/>
          <w:sz w:val="24"/>
          <w:szCs w:val="24"/>
        </w:rPr>
        <w:t>致：</w:t>
      </w:r>
      <w:r>
        <w:rPr>
          <w:rFonts w:hint="eastAsia" w:ascii="宋体" w:hAnsi="宋体" w:eastAsia="宋体" w:cs="宋体"/>
          <w:bCs/>
          <w:iCs/>
          <w:sz w:val="24"/>
          <w:szCs w:val="24"/>
          <w:u w:val="single"/>
        </w:rPr>
        <w:t xml:space="preserve">(招标机构)   </w:t>
      </w:r>
    </w:p>
    <w:p w14:paraId="4ADA158F">
      <w:pPr>
        <w:pStyle w:val="17"/>
        <w:spacing w:line="400" w:lineRule="atLeast"/>
        <w:ind w:firstLine="480" w:firstLineChars="200"/>
        <w:rPr>
          <w:rFonts w:hint="eastAsia" w:ascii="宋体" w:hAnsi="宋体" w:eastAsia="宋体" w:cs="宋体"/>
          <w:bCs/>
          <w:iCs/>
          <w:sz w:val="24"/>
          <w:szCs w:val="24"/>
        </w:rPr>
      </w:pPr>
      <w:r>
        <w:rPr>
          <w:rFonts w:hint="eastAsia" w:ascii="宋体" w:hAnsi="宋体" w:eastAsia="宋体" w:cs="宋体"/>
          <w:bCs/>
          <w:iCs/>
          <w:sz w:val="24"/>
          <w:szCs w:val="24"/>
        </w:rPr>
        <w:t>我们</w:t>
      </w:r>
      <w:r>
        <w:rPr>
          <w:rFonts w:hint="eastAsia" w:ascii="宋体" w:hAnsi="宋体" w:eastAsia="宋体" w:cs="宋体"/>
          <w:bCs/>
          <w:iCs/>
          <w:sz w:val="24"/>
          <w:szCs w:val="24"/>
          <w:u w:val="single"/>
        </w:rPr>
        <w:t>（制造商名称)</w:t>
      </w:r>
      <w:r>
        <w:rPr>
          <w:rFonts w:hint="eastAsia" w:ascii="宋体" w:hAnsi="宋体" w:eastAsia="宋体" w:cs="宋体"/>
          <w:bCs/>
          <w:iCs/>
          <w:sz w:val="24"/>
          <w:szCs w:val="24"/>
        </w:rPr>
        <w:t>兹指派主要营业地点设在</w:t>
      </w:r>
      <w:r>
        <w:rPr>
          <w:rFonts w:hint="eastAsia" w:ascii="宋体" w:hAnsi="宋体" w:eastAsia="宋体" w:cs="宋体"/>
          <w:bCs/>
          <w:iCs/>
          <w:sz w:val="24"/>
          <w:szCs w:val="24"/>
          <w:u w:val="single"/>
        </w:rPr>
        <w:t xml:space="preserve">(贸易公司地址) </w:t>
      </w:r>
      <w:r>
        <w:rPr>
          <w:rFonts w:hint="eastAsia" w:ascii="宋体" w:hAnsi="宋体" w:eastAsia="宋体" w:cs="宋体"/>
          <w:bCs/>
          <w:iCs/>
          <w:sz w:val="24"/>
          <w:szCs w:val="24"/>
        </w:rPr>
        <w:t>的</w:t>
      </w:r>
      <w:r>
        <w:rPr>
          <w:rFonts w:hint="eastAsia" w:ascii="宋体" w:hAnsi="宋体" w:eastAsia="宋体" w:cs="宋体"/>
          <w:bCs/>
          <w:iCs/>
          <w:sz w:val="24"/>
          <w:szCs w:val="24"/>
          <w:u w:val="single"/>
        </w:rPr>
        <w:t xml:space="preserve">（贸易公司名称) </w:t>
      </w:r>
      <w:r>
        <w:rPr>
          <w:rFonts w:hint="eastAsia" w:ascii="宋体" w:hAnsi="宋体" w:eastAsia="宋体" w:cs="宋体"/>
          <w:bCs/>
          <w:iCs/>
          <w:sz w:val="24"/>
          <w:szCs w:val="24"/>
        </w:rPr>
        <w:t>作为我方真正的和合法的代理人进行下列有效的活动：</w:t>
      </w:r>
    </w:p>
    <w:p w14:paraId="6A2FBAFE">
      <w:pPr>
        <w:pStyle w:val="17"/>
        <w:spacing w:line="400" w:lineRule="atLeast"/>
        <w:ind w:firstLine="480" w:firstLineChars="200"/>
        <w:rPr>
          <w:rFonts w:hint="eastAsia" w:ascii="宋体" w:hAnsi="宋体" w:eastAsia="宋体" w:cs="宋体"/>
          <w:bCs/>
          <w:iCs/>
          <w:sz w:val="24"/>
          <w:szCs w:val="24"/>
        </w:rPr>
      </w:pPr>
      <w:r>
        <w:rPr>
          <w:rFonts w:hint="eastAsia" w:ascii="宋体" w:hAnsi="宋体" w:eastAsia="宋体" w:cs="宋体"/>
          <w:bCs/>
          <w:iCs/>
          <w:sz w:val="24"/>
          <w:szCs w:val="24"/>
        </w:rPr>
        <w:t>代表我方办理贵方第</w:t>
      </w:r>
      <w:r>
        <w:rPr>
          <w:rFonts w:hint="eastAsia" w:ascii="宋体" w:hAnsi="宋体" w:eastAsia="宋体" w:cs="宋体"/>
          <w:bCs/>
          <w:iCs/>
          <w:sz w:val="24"/>
          <w:szCs w:val="24"/>
          <w:u w:val="single"/>
        </w:rPr>
        <w:t>（项目编号）</w:t>
      </w:r>
      <w:r>
        <w:rPr>
          <w:rFonts w:hint="eastAsia" w:ascii="宋体" w:hAnsi="宋体" w:eastAsia="宋体" w:cs="宋体"/>
          <w:bCs/>
          <w:iCs/>
          <w:sz w:val="24"/>
          <w:szCs w:val="24"/>
        </w:rPr>
        <w:t>项目中要求提供的由我方制造</w:t>
      </w:r>
      <w:r>
        <w:rPr>
          <w:rFonts w:hint="eastAsia" w:ascii="宋体" w:hAnsi="宋体" w:eastAsia="宋体" w:cs="宋体"/>
          <w:bCs/>
          <w:iCs/>
          <w:sz w:val="24"/>
          <w:szCs w:val="24"/>
          <w:u w:val="single"/>
        </w:rPr>
        <w:t>（货物名称）</w:t>
      </w:r>
      <w:r>
        <w:rPr>
          <w:rFonts w:hint="eastAsia" w:ascii="宋体" w:hAnsi="宋体" w:eastAsia="宋体" w:cs="宋体"/>
          <w:bCs/>
          <w:iCs/>
          <w:sz w:val="24"/>
          <w:szCs w:val="24"/>
        </w:rPr>
        <w:t>货物的有关事宜，并对我方具有约束力；</w:t>
      </w:r>
    </w:p>
    <w:p w14:paraId="3E1E9219">
      <w:pPr>
        <w:pStyle w:val="17"/>
        <w:spacing w:line="400" w:lineRule="atLeast"/>
        <w:rPr>
          <w:rFonts w:hint="eastAsia" w:ascii="宋体" w:hAnsi="宋体" w:eastAsia="宋体" w:cs="宋体"/>
          <w:bCs/>
          <w:sz w:val="24"/>
          <w:szCs w:val="24"/>
        </w:rPr>
      </w:pPr>
      <w:r>
        <w:rPr>
          <w:rFonts w:hint="eastAsia" w:ascii="宋体" w:hAnsi="宋体" w:eastAsia="宋体" w:cs="宋体"/>
          <w:bCs/>
          <w:iCs/>
          <w:sz w:val="24"/>
          <w:szCs w:val="24"/>
        </w:rPr>
        <w:t xml:space="preserve">    (2)作为制造商，我方保证以投标合作者来约束自己，并</w:t>
      </w:r>
      <w:r>
        <w:rPr>
          <w:rFonts w:hint="eastAsia" w:ascii="宋体" w:hAnsi="宋体" w:eastAsia="宋体" w:cs="宋体"/>
          <w:bCs/>
          <w:sz w:val="24"/>
          <w:szCs w:val="24"/>
        </w:rPr>
        <w:t>对该投标共同和分别承担招标文件中所规定的义务；</w:t>
      </w:r>
    </w:p>
    <w:p w14:paraId="47CDBD70">
      <w:pPr>
        <w:pStyle w:val="17"/>
        <w:spacing w:line="400" w:lineRule="atLeast"/>
        <w:ind w:firstLine="480"/>
        <w:rPr>
          <w:rFonts w:hint="eastAsia" w:ascii="宋体" w:hAnsi="宋体" w:eastAsia="宋体" w:cs="宋体"/>
          <w:bCs/>
          <w:sz w:val="24"/>
          <w:szCs w:val="24"/>
        </w:rPr>
      </w:pPr>
      <w:r>
        <w:rPr>
          <w:rFonts w:hint="eastAsia" w:ascii="宋体" w:hAnsi="宋体" w:eastAsia="宋体" w:cs="宋体"/>
          <w:bCs/>
          <w:sz w:val="24"/>
          <w:szCs w:val="24"/>
        </w:rPr>
        <w:t>(3)我方兹授予</w:t>
      </w:r>
      <w:r>
        <w:rPr>
          <w:rFonts w:hint="eastAsia" w:ascii="宋体" w:hAnsi="宋体" w:eastAsia="宋体" w:cs="宋体"/>
          <w:bCs/>
          <w:iCs/>
          <w:sz w:val="24"/>
          <w:szCs w:val="24"/>
          <w:u w:val="single"/>
        </w:rPr>
        <w:t>（贸易公司名称)</w:t>
      </w:r>
      <w:r>
        <w:rPr>
          <w:rFonts w:hint="eastAsia" w:ascii="宋体" w:hAnsi="宋体" w:eastAsia="宋体" w:cs="宋体"/>
          <w:bCs/>
          <w:iCs/>
          <w:sz w:val="24"/>
          <w:szCs w:val="24"/>
        </w:rPr>
        <w:t>全权办理和履行上述我方为完成上述各点所必须的事宜，具有替换或撤消的全权。兹确认</w:t>
      </w:r>
      <w:r>
        <w:rPr>
          <w:rFonts w:hint="eastAsia" w:ascii="宋体" w:hAnsi="宋体" w:eastAsia="宋体" w:cs="宋体"/>
          <w:bCs/>
          <w:iCs/>
          <w:sz w:val="24"/>
          <w:szCs w:val="24"/>
          <w:u w:val="single"/>
        </w:rPr>
        <w:t xml:space="preserve">（贸易公司名称) </w:t>
      </w:r>
      <w:r>
        <w:rPr>
          <w:rFonts w:hint="eastAsia" w:ascii="宋体" w:hAnsi="宋体" w:eastAsia="宋体" w:cs="宋体"/>
          <w:bCs/>
          <w:iCs/>
          <w:sz w:val="24"/>
          <w:szCs w:val="24"/>
        </w:rPr>
        <w:t>或其正式授权代表依此合法地办理一切事宜。我方于年月日签署本文件，</w:t>
      </w:r>
      <w:r>
        <w:rPr>
          <w:rFonts w:hint="eastAsia" w:ascii="宋体" w:hAnsi="宋体" w:eastAsia="宋体" w:cs="宋体"/>
          <w:bCs/>
          <w:iCs/>
          <w:sz w:val="24"/>
          <w:szCs w:val="24"/>
          <w:u w:val="single"/>
        </w:rPr>
        <w:t xml:space="preserve">（贸易公司名称) </w:t>
      </w:r>
      <w:r>
        <w:rPr>
          <w:rFonts w:hint="eastAsia" w:ascii="宋体" w:hAnsi="宋体" w:eastAsia="宋体" w:cs="宋体"/>
          <w:bCs/>
          <w:iCs/>
          <w:sz w:val="24"/>
          <w:szCs w:val="24"/>
        </w:rPr>
        <w:t>于</w:t>
      </w:r>
      <w:r>
        <w:rPr>
          <w:rFonts w:hint="eastAsia" w:ascii="宋体" w:hAnsi="宋体" w:eastAsia="宋体" w:cs="宋体"/>
          <w:bCs/>
          <w:iCs/>
          <w:sz w:val="24"/>
          <w:szCs w:val="24"/>
          <w:lang w:val="en-US" w:eastAsia="zh-CN"/>
        </w:rPr>
        <w:t xml:space="preserve">  </w:t>
      </w:r>
      <w:r>
        <w:rPr>
          <w:rFonts w:hint="eastAsia" w:ascii="宋体" w:hAnsi="宋体" w:eastAsia="宋体" w:cs="宋体"/>
          <w:bCs/>
          <w:iCs/>
          <w:sz w:val="24"/>
          <w:szCs w:val="24"/>
        </w:rPr>
        <w:t>年</w:t>
      </w:r>
      <w:r>
        <w:rPr>
          <w:rFonts w:hint="eastAsia" w:ascii="宋体" w:hAnsi="宋体" w:eastAsia="宋体" w:cs="宋体"/>
          <w:bCs/>
          <w:iCs/>
          <w:sz w:val="24"/>
          <w:szCs w:val="24"/>
          <w:lang w:val="en-US" w:eastAsia="zh-CN"/>
        </w:rPr>
        <w:t xml:space="preserve">  </w:t>
      </w:r>
      <w:r>
        <w:rPr>
          <w:rFonts w:hint="eastAsia" w:ascii="宋体" w:hAnsi="宋体" w:eastAsia="宋体" w:cs="宋体"/>
          <w:bCs/>
          <w:sz w:val="24"/>
          <w:szCs w:val="24"/>
        </w:rPr>
        <w:t>月</w:t>
      </w:r>
      <w:r>
        <w:rPr>
          <w:rFonts w:hint="eastAsia" w:ascii="宋体" w:hAnsi="宋体" w:eastAsia="宋体" w:cs="宋体"/>
          <w:bCs/>
          <w:sz w:val="24"/>
          <w:szCs w:val="24"/>
          <w:lang w:val="en-US" w:eastAsia="zh-CN"/>
        </w:rPr>
        <w:t xml:space="preserve">  </w:t>
      </w:r>
      <w:r>
        <w:rPr>
          <w:rFonts w:hint="eastAsia" w:ascii="宋体" w:hAnsi="宋体" w:eastAsia="宋体" w:cs="宋体"/>
          <w:bCs/>
          <w:sz w:val="24"/>
          <w:szCs w:val="24"/>
        </w:rPr>
        <w:t>日接受此件，以此为证。</w:t>
      </w:r>
    </w:p>
    <w:p w14:paraId="4C6B1B67">
      <w:pPr>
        <w:pStyle w:val="17"/>
        <w:spacing w:line="400" w:lineRule="atLeast"/>
        <w:rPr>
          <w:rFonts w:hint="eastAsia" w:ascii="宋体" w:hAnsi="宋体" w:eastAsia="宋体" w:cs="宋体"/>
          <w:bCs/>
          <w:sz w:val="24"/>
          <w:szCs w:val="24"/>
        </w:rPr>
      </w:pPr>
    </w:p>
    <w:p w14:paraId="5DF1B03C">
      <w:pPr>
        <w:pStyle w:val="17"/>
        <w:spacing w:line="400" w:lineRule="atLeast"/>
        <w:rPr>
          <w:rFonts w:hint="eastAsia" w:ascii="宋体" w:hAnsi="宋体" w:eastAsia="宋体" w:cs="宋体"/>
          <w:bCs/>
          <w:sz w:val="24"/>
          <w:szCs w:val="24"/>
        </w:rPr>
      </w:pPr>
    </w:p>
    <w:p w14:paraId="3FF01044">
      <w:pPr>
        <w:pStyle w:val="17"/>
        <w:spacing w:line="400" w:lineRule="atLeast"/>
        <w:rPr>
          <w:rFonts w:hint="eastAsia" w:ascii="宋体" w:hAnsi="宋体" w:eastAsia="宋体" w:cs="宋体"/>
          <w:bCs/>
          <w:sz w:val="24"/>
          <w:szCs w:val="24"/>
        </w:rPr>
      </w:pPr>
      <w:r>
        <w:rPr>
          <w:rFonts w:hint="eastAsia" w:ascii="宋体" w:hAnsi="宋体" w:eastAsia="宋体" w:cs="宋体"/>
          <w:bCs/>
          <w:sz w:val="24"/>
          <w:szCs w:val="24"/>
        </w:rPr>
        <w:t>贸易公司名称：                                     制造商名称：</w:t>
      </w:r>
    </w:p>
    <w:p w14:paraId="36DF686A">
      <w:pPr>
        <w:pStyle w:val="17"/>
        <w:spacing w:line="400" w:lineRule="atLeast"/>
        <w:rPr>
          <w:rFonts w:hint="eastAsia" w:ascii="宋体" w:hAnsi="宋体" w:eastAsia="宋体" w:cs="宋体"/>
          <w:bCs/>
          <w:sz w:val="24"/>
          <w:szCs w:val="24"/>
        </w:rPr>
      </w:pPr>
      <w:r>
        <w:rPr>
          <w:rFonts w:hint="eastAsia" w:ascii="宋体" w:hAnsi="宋体" w:eastAsia="宋体" w:cs="宋体"/>
          <w:bCs/>
          <w:sz w:val="24"/>
          <w:szCs w:val="24"/>
        </w:rPr>
        <w:t>签字人职务和部门：                                 签字人职务和部门：</w:t>
      </w:r>
    </w:p>
    <w:p w14:paraId="0E4ED66B">
      <w:pPr>
        <w:pStyle w:val="17"/>
        <w:spacing w:line="400" w:lineRule="atLeast"/>
        <w:rPr>
          <w:rFonts w:hint="eastAsia" w:ascii="宋体" w:hAnsi="宋体" w:eastAsia="宋体" w:cs="宋体"/>
          <w:bCs/>
          <w:sz w:val="24"/>
          <w:szCs w:val="24"/>
        </w:rPr>
      </w:pPr>
      <w:r>
        <w:rPr>
          <w:rFonts w:hint="eastAsia" w:ascii="宋体" w:hAnsi="宋体" w:eastAsia="宋体" w:cs="宋体"/>
          <w:bCs/>
          <w:sz w:val="24"/>
          <w:szCs w:val="24"/>
        </w:rPr>
        <w:t>签字人姓名：                                       签字人姓名：</w:t>
      </w:r>
    </w:p>
    <w:p w14:paraId="0EDC5E49">
      <w:pPr>
        <w:pStyle w:val="17"/>
        <w:spacing w:line="400" w:lineRule="atLeast"/>
        <w:ind w:firstLine="480"/>
        <w:rPr>
          <w:rFonts w:hint="eastAsia" w:ascii="宋体" w:hAnsi="宋体" w:eastAsia="宋体" w:cs="宋体"/>
          <w:bCs/>
          <w:sz w:val="24"/>
          <w:szCs w:val="24"/>
        </w:rPr>
      </w:pPr>
    </w:p>
    <w:p w14:paraId="5AB272AD">
      <w:pPr>
        <w:pStyle w:val="17"/>
        <w:spacing w:line="400" w:lineRule="atLeast"/>
        <w:ind w:firstLine="480"/>
        <w:rPr>
          <w:rFonts w:hint="eastAsia" w:ascii="宋体" w:hAnsi="宋体" w:eastAsia="宋体" w:cs="宋体"/>
          <w:bCs/>
          <w:sz w:val="24"/>
          <w:szCs w:val="24"/>
        </w:rPr>
      </w:pPr>
      <w:r>
        <w:rPr>
          <w:rFonts w:hint="eastAsia" w:ascii="宋体" w:hAnsi="宋体" w:eastAsia="宋体" w:cs="宋体"/>
          <w:bCs/>
          <w:sz w:val="24"/>
          <w:szCs w:val="24"/>
        </w:rPr>
        <w:t>注：若制造商作为投标主体直接参与投标，可以不提供此项证明文件。</w:t>
      </w:r>
    </w:p>
    <w:p w14:paraId="6BEB0519">
      <w:pPr>
        <w:spacing w:line="400" w:lineRule="atLeast"/>
        <w:jc w:val="center"/>
        <w:rPr>
          <w:rFonts w:hint="eastAsia" w:ascii="宋体" w:hAnsi="宋体" w:eastAsia="宋体" w:cs="宋体"/>
          <w:bCs/>
          <w:sz w:val="24"/>
          <w:szCs w:val="24"/>
        </w:rPr>
      </w:pPr>
    </w:p>
    <w:p w14:paraId="268E164C">
      <w:pPr>
        <w:spacing w:line="400" w:lineRule="atLeast"/>
        <w:jc w:val="center"/>
        <w:rPr>
          <w:rFonts w:hint="eastAsia" w:ascii="宋体" w:hAnsi="宋体" w:eastAsia="宋体" w:cs="宋体"/>
          <w:bCs/>
          <w:sz w:val="24"/>
          <w:szCs w:val="24"/>
        </w:rPr>
      </w:pPr>
    </w:p>
    <w:p w14:paraId="509DC088">
      <w:pPr>
        <w:pStyle w:val="40"/>
        <w:rPr>
          <w:rFonts w:hint="eastAsia" w:cs="Courier New"/>
          <w:color w:val="auto"/>
          <w:szCs w:val="24"/>
          <w:highlight w:val="none"/>
          <w:lang w:val="en-US" w:eastAsia="zh-CN"/>
        </w:rPr>
      </w:pPr>
    </w:p>
    <w:p w14:paraId="3AA0998F">
      <w:pPr>
        <w:pStyle w:val="40"/>
        <w:rPr>
          <w:rFonts w:hint="eastAsia" w:eastAsia="宋体"/>
          <w:color w:val="auto"/>
          <w:highlight w:val="none"/>
          <w:lang w:val="en-US" w:eastAsia="zh-CN"/>
        </w:rPr>
      </w:pPr>
      <w:r>
        <w:rPr>
          <w:rFonts w:hint="eastAsia" w:cs="Courier New"/>
          <w:color w:val="auto"/>
          <w:szCs w:val="24"/>
          <w:highlight w:val="none"/>
          <w:lang w:val="en-US" w:eastAsia="zh-CN"/>
        </w:rPr>
        <w:t>6.3</w:t>
      </w:r>
      <w:r>
        <w:rPr>
          <w:rFonts w:hint="eastAsia" w:cs="Courier New"/>
          <w:color w:val="auto"/>
          <w:szCs w:val="24"/>
          <w:highlight w:val="none"/>
        </w:rPr>
        <w:t>投标人认为需提供的其它相关资格证明材料</w:t>
      </w:r>
      <w:r>
        <w:rPr>
          <w:rFonts w:hint="eastAsia" w:cs="Courier New"/>
          <w:color w:val="auto"/>
          <w:szCs w:val="24"/>
          <w:highlight w:val="none"/>
          <w:lang w:val="en-US" w:eastAsia="zh-CN"/>
        </w:rPr>
        <w:t>以及其它一切有利于产品和投标商的证明材料。</w:t>
      </w:r>
    </w:p>
    <w:p w14:paraId="4C4F370A">
      <w:pPr>
        <w:pStyle w:val="40"/>
        <w:rPr>
          <w:rFonts w:hint="eastAsia"/>
          <w:color w:val="auto"/>
          <w:highlight w:val="none"/>
        </w:rPr>
      </w:pPr>
    </w:p>
    <w:p w14:paraId="58A36194">
      <w:pPr>
        <w:pStyle w:val="40"/>
        <w:rPr>
          <w:rFonts w:hint="eastAsia"/>
          <w:color w:val="auto"/>
          <w:highlight w:val="none"/>
        </w:rPr>
      </w:pPr>
    </w:p>
    <w:p w14:paraId="3553B395">
      <w:pPr>
        <w:pStyle w:val="40"/>
        <w:rPr>
          <w:rFonts w:hint="eastAsia"/>
          <w:color w:val="auto"/>
          <w:highlight w:val="none"/>
        </w:rPr>
      </w:pPr>
    </w:p>
    <w:p w14:paraId="49D404FC">
      <w:pPr>
        <w:pStyle w:val="40"/>
        <w:rPr>
          <w:rFonts w:hint="eastAsia"/>
          <w:color w:val="auto"/>
          <w:highlight w:val="none"/>
        </w:rPr>
      </w:pPr>
    </w:p>
    <w:p w14:paraId="4B98E4B6">
      <w:pPr>
        <w:pStyle w:val="40"/>
        <w:rPr>
          <w:rFonts w:hint="eastAsia"/>
          <w:color w:val="auto"/>
          <w:highlight w:val="none"/>
        </w:rPr>
      </w:pPr>
    </w:p>
    <w:p w14:paraId="737FEDD3">
      <w:pPr>
        <w:pStyle w:val="40"/>
        <w:rPr>
          <w:rFonts w:hint="eastAsia"/>
          <w:color w:val="auto"/>
          <w:highlight w:val="none"/>
        </w:rPr>
      </w:pPr>
    </w:p>
    <w:p w14:paraId="1C876135">
      <w:pPr>
        <w:pStyle w:val="40"/>
        <w:rPr>
          <w:rFonts w:hint="eastAsia"/>
          <w:color w:val="auto"/>
          <w:highlight w:val="none"/>
        </w:rPr>
      </w:pPr>
    </w:p>
    <w:p w14:paraId="7E85C842">
      <w:pPr>
        <w:pStyle w:val="40"/>
        <w:rPr>
          <w:rFonts w:hint="eastAsia"/>
          <w:color w:val="auto"/>
          <w:highlight w:val="none"/>
        </w:rPr>
      </w:pPr>
    </w:p>
    <w:p w14:paraId="40582944">
      <w:pPr>
        <w:ind w:firstLine="480" w:firstLineChars="200"/>
        <w:rPr>
          <w:rFonts w:cs="仿宋_GB2312"/>
          <w:color w:val="auto"/>
          <w:szCs w:val="24"/>
          <w:highlight w:val="none"/>
          <w:lang w:val="zh-CN"/>
        </w:rPr>
      </w:pPr>
      <w:r>
        <w:rPr>
          <w:rFonts w:hint="eastAsia" w:cs="仿宋_GB2312"/>
          <w:color w:val="auto"/>
          <w:szCs w:val="24"/>
          <w:highlight w:val="none"/>
          <w:lang w:val="zh-CN"/>
        </w:rPr>
        <w:t>封面：</w:t>
      </w:r>
    </w:p>
    <w:p w14:paraId="4D1553A3">
      <w:pPr>
        <w:autoSpaceDE w:val="0"/>
        <w:autoSpaceDN w:val="0"/>
        <w:adjustRightInd w:val="0"/>
        <w:rPr>
          <w:color w:val="auto"/>
          <w:sz w:val="21"/>
          <w:szCs w:val="24"/>
          <w:highlight w:val="none"/>
        </w:rPr>
      </w:pPr>
    </w:p>
    <w:p w14:paraId="4625D57D">
      <w:pPr>
        <w:autoSpaceDE w:val="0"/>
        <w:autoSpaceDN w:val="0"/>
        <w:adjustRightInd w:val="0"/>
        <w:rPr>
          <w:color w:val="auto"/>
          <w:sz w:val="21"/>
          <w:szCs w:val="24"/>
          <w:highlight w:val="none"/>
        </w:rPr>
      </w:pPr>
    </w:p>
    <w:p w14:paraId="426BCEA1">
      <w:pPr>
        <w:autoSpaceDE w:val="0"/>
        <w:autoSpaceDN w:val="0"/>
        <w:adjustRightInd w:val="0"/>
        <w:jc w:val="center"/>
        <w:rPr>
          <w:color w:val="auto"/>
          <w:sz w:val="21"/>
          <w:szCs w:val="24"/>
          <w:highlight w:val="none"/>
        </w:rPr>
      </w:pPr>
    </w:p>
    <w:p w14:paraId="3902644C">
      <w:pPr>
        <w:bidi w:val="0"/>
        <w:jc w:val="center"/>
        <w:outlineLvl w:val="9"/>
        <w:rPr>
          <w:sz w:val="84"/>
          <w:szCs w:val="84"/>
        </w:rPr>
      </w:pPr>
      <w:bookmarkStart w:id="631" w:name="_Toc25734"/>
      <w:r>
        <w:rPr>
          <w:rFonts w:hint="eastAsia"/>
          <w:sz w:val="84"/>
          <w:szCs w:val="84"/>
        </w:rPr>
        <w:t>投 标 文 件</w:t>
      </w:r>
      <w:bookmarkEnd w:id="631"/>
    </w:p>
    <w:p w14:paraId="5B89FC04">
      <w:pPr>
        <w:bidi w:val="0"/>
        <w:jc w:val="center"/>
        <w:outlineLvl w:val="1"/>
        <w:rPr>
          <w:rFonts w:hint="eastAsia"/>
          <w:sz w:val="56"/>
          <w:szCs w:val="56"/>
          <w:lang w:val="en-US" w:eastAsia="zh-CN"/>
        </w:rPr>
      </w:pPr>
      <w:bookmarkStart w:id="632" w:name="_Toc16181"/>
      <w:r>
        <w:rPr>
          <w:rFonts w:hint="eastAsia"/>
          <w:sz w:val="56"/>
          <w:szCs w:val="56"/>
          <w:lang w:val="en-US" w:eastAsia="zh-CN"/>
        </w:rPr>
        <w:t>报价文件</w:t>
      </w:r>
      <w:bookmarkEnd w:id="632"/>
    </w:p>
    <w:p w14:paraId="5531C7E5">
      <w:pPr>
        <w:autoSpaceDE w:val="0"/>
        <w:autoSpaceDN w:val="0"/>
        <w:adjustRightInd w:val="0"/>
        <w:jc w:val="center"/>
        <w:rPr>
          <w:rFonts w:hint="eastAsia" w:eastAsia="宋体"/>
          <w:color w:val="auto"/>
          <w:sz w:val="36"/>
          <w:szCs w:val="36"/>
          <w:highlight w:val="none"/>
          <w:lang w:eastAsia="zh-CN"/>
        </w:rPr>
      </w:pPr>
      <w:r>
        <w:rPr>
          <w:rFonts w:hint="eastAsia"/>
          <w:color w:val="auto"/>
          <w:sz w:val="36"/>
          <w:szCs w:val="36"/>
          <w:highlight w:val="none"/>
          <w:lang w:val="en-US" w:eastAsia="zh-CN"/>
        </w:rPr>
        <w:t>（第XX包</w:t>
      </w:r>
      <w:r>
        <w:rPr>
          <w:rFonts w:hint="eastAsia"/>
          <w:color w:val="auto"/>
          <w:sz w:val="36"/>
          <w:szCs w:val="36"/>
          <w:highlight w:val="none"/>
          <w:lang w:eastAsia="zh-CN"/>
        </w:rPr>
        <w:t>）【</w:t>
      </w:r>
      <w:r>
        <w:rPr>
          <w:rFonts w:hint="eastAsia"/>
          <w:color w:val="auto"/>
          <w:sz w:val="36"/>
          <w:szCs w:val="36"/>
          <w:highlight w:val="none"/>
          <w:lang w:val="en-US" w:eastAsia="zh-CN"/>
        </w:rPr>
        <w:t>如不分包，请删去本行</w:t>
      </w:r>
      <w:r>
        <w:rPr>
          <w:rFonts w:hint="eastAsia"/>
          <w:color w:val="auto"/>
          <w:sz w:val="36"/>
          <w:szCs w:val="36"/>
          <w:highlight w:val="none"/>
          <w:lang w:eastAsia="zh-CN"/>
        </w:rPr>
        <w:t>】</w:t>
      </w:r>
    </w:p>
    <w:p w14:paraId="054E0C81">
      <w:pPr>
        <w:outlineLvl w:val="9"/>
        <w:rPr>
          <w:color w:val="auto"/>
          <w:sz w:val="21"/>
          <w:szCs w:val="21"/>
          <w:highlight w:val="none"/>
        </w:rPr>
      </w:pPr>
    </w:p>
    <w:p w14:paraId="425E1EDC">
      <w:pPr>
        <w:rPr>
          <w:color w:val="auto"/>
          <w:sz w:val="21"/>
          <w:szCs w:val="21"/>
          <w:highlight w:val="none"/>
        </w:rPr>
      </w:pPr>
    </w:p>
    <w:p w14:paraId="5FFD5616">
      <w:pPr>
        <w:rPr>
          <w:color w:val="auto"/>
          <w:highlight w:val="none"/>
        </w:rPr>
      </w:pPr>
    </w:p>
    <w:p w14:paraId="0338FA55">
      <w:pPr>
        <w:autoSpaceDE w:val="0"/>
        <w:autoSpaceDN w:val="0"/>
        <w:adjustRightInd w:val="0"/>
        <w:rPr>
          <w:color w:val="auto"/>
          <w:sz w:val="21"/>
          <w:szCs w:val="21"/>
          <w:highlight w:val="none"/>
        </w:rPr>
      </w:pPr>
    </w:p>
    <w:p w14:paraId="336C0AE3">
      <w:pPr>
        <w:autoSpaceDE w:val="0"/>
        <w:autoSpaceDN w:val="0"/>
        <w:adjustRightInd w:val="0"/>
        <w:rPr>
          <w:color w:val="auto"/>
          <w:sz w:val="21"/>
          <w:szCs w:val="21"/>
          <w:highlight w:val="none"/>
        </w:rPr>
      </w:pPr>
    </w:p>
    <w:p w14:paraId="6F475132">
      <w:pPr>
        <w:ind w:left="420" w:leftChars="175"/>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项目编号</w:t>
      </w:r>
      <w:r>
        <w:rPr>
          <w:rFonts w:hint="eastAsia" w:ascii="宋体" w:hAnsi="宋体" w:eastAsia="宋体" w:cs="宋体"/>
          <w:color w:val="auto"/>
          <w:sz w:val="36"/>
          <w:szCs w:val="36"/>
          <w:highlight w:val="none"/>
          <w:lang w:val="en-US" w:eastAsia="zh-CN"/>
        </w:rPr>
        <w:t>/包号</w:t>
      </w:r>
      <w:r>
        <w:rPr>
          <w:rFonts w:hint="eastAsia" w:ascii="宋体" w:hAnsi="宋体" w:eastAsia="宋体" w:cs="宋体"/>
          <w:color w:val="auto"/>
          <w:sz w:val="36"/>
          <w:szCs w:val="36"/>
          <w:highlight w:val="none"/>
        </w:rPr>
        <w:t>：</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0173F70E">
      <w:pPr>
        <w:ind w:left="420" w:leftChars="175"/>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项目名称：</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101680F9">
      <w:pPr>
        <w:ind w:left="420" w:leftChars="175"/>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投</w:t>
      </w:r>
      <w:r>
        <w:rPr>
          <w:rFonts w:hint="eastAsia" w:ascii="宋体" w:hAnsi="宋体" w:eastAsia="宋体" w:cs="宋体"/>
          <w:color w:val="auto"/>
          <w:sz w:val="36"/>
          <w:szCs w:val="36"/>
          <w:highlight w:val="none"/>
          <w:lang w:val="en-US" w:eastAsia="zh-CN"/>
        </w:rPr>
        <w:t xml:space="preserve"> </w:t>
      </w:r>
      <w:r>
        <w:rPr>
          <w:rFonts w:hint="eastAsia" w:ascii="宋体" w:hAnsi="宋体" w:eastAsia="宋体" w:cs="宋体"/>
          <w:color w:val="auto"/>
          <w:sz w:val="36"/>
          <w:szCs w:val="36"/>
          <w:highlight w:val="none"/>
        </w:rPr>
        <w:t>标</w:t>
      </w:r>
      <w:r>
        <w:rPr>
          <w:rFonts w:hint="eastAsia" w:ascii="宋体" w:hAnsi="宋体" w:eastAsia="宋体" w:cs="宋体"/>
          <w:color w:val="auto"/>
          <w:sz w:val="36"/>
          <w:szCs w:val="36"/>
          <w:highlight w:val="none"/>
          <w:lang w:val="en-US" w:eastAsia="zh-CN"/>
        </w:rPr>
        <w:t xml:space="preserve"> </w:t>
      </w:r>
      <w:r>
        <w:rPr>
          <w:rFonts w:hint="eastAsia" w:ascii="宋体" w:hAnsi="宋体" w:eastAsia="宋体" w:cs="宋体"/>
          <w:color w:val="auto"/>
          <w:sz w:val="36"/>
          <w:szCs w:val="36"/>
          <w:highlight w:val="none"/>
        </w:rPr>
        <w:t>人：</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13B6644C">
      <w:pPr>
        <w:ind w:left="840" w:firstLine="420"/>
        <w:rPr>
          <w:b/>
          <w:bCs/>
          <w:color w:val="auto"/>
          <w:sz w:val="28"/>
          <w:szCs w:val="28"/>
          <w:highlight w:val="none"/>
        </w:rPr>
      </w:pPr>
    </w:p>
    <w:p w14:paraId="5776D25B">
      <w:pPr>
        <w:ind w:left="840" w:firstLine="420"/>
        <w:rPr>
          <w:b/>
          <w:bCs/>
          <w:color w:val="auto"/>
          <w:sz w:val="28"/>
          <w:szCs w:val="28"/>
          <w:highlight w:val="none"/>
        </w:rPr>
      </w:pPr>
    </w:p>
    <w:p w14:paraId="5A6B7717">
      <w:pPr>
        <w:jc w:val="center"/>
        <w:rPr>
          <w:rFonts w:hint="eastAsia" w:cstheme="majorBidi"/>
          <w:b/>
          <w:bCs/>
          <w:color w:val="auto"/>
          <w:kern w:val="2"/>
          <w:sz w:val="32"/>
          <w:szCs w:val="32"/>
          <w:highlight w:val="none"/>
          <w:lang w:val="en-US" w:eastAsia="zh-CN" w:bidi="ar-SA"/>
        </w:rPr>
      </w:pPr>
      <w:r>
        <w:rPr>
          <w:rFonts w:hint="eastAsia" w:ascii="宋体" w:hAnsi="宋体" w:eastAsia="宋体" w:cs="宋体"/>
          <w:color w:val="auto"/>
          <w:sz w:val="32"/>
          <w:szCs w:val="32"/>
          <w:highlight w:val="none"/>
        </w:rPr>
        <w:t>年   月    日</w:t>
      </w:r>
    </w:p>
    <w:p w14:paraId="1DE21872">
      <w:pPr>
        <w:pStyle w:val="3"/>
        <w:bidi w:val="0"/>
        <w:jc w:val="center"/>
        <w:rPr>
          <w:rFonts w:hint="eastAsia"/>
          <w:lang w:val="en-US" w:eastAsia="zh-CN"/>
        </w:rPr>
        <w:sectPr>
          <w:footerReference r:id="rId12" w:type="default"/>
          <w:pgSz w:w="11906" w:h="16838"/>
          <w:pgMar w:top="1440" w:right="1800" w:bottom="1440" w:left="1800" w:header="851" w:footer="992" w:gutter="0"/>
          <w:pgBorders>
            <w:top w:val="none" w:sz="0" w:space="0"/>
            <w:left w:val="none" w:sz="0" w:space="0"/>
            <w:bottom w:val="none" w:sz="0" w:space="0"/>
            <w:right w:val="none" w:sz="0" w:space="0"/>
          </w:pgBorders>
          <w:pgNumType w:fmt="numberInDash"/>
          <w:cols w:space="425" w:num="1"/>
          <w:docGrid w:type="lines" w:linePitch="312" w:charSpace="0"/>
        </w:sectPr>
      </w:pPr>
      <w:bookmarkStart w:id="633" w:name="_Toc13682"/>
    </w:p>
    <w:p w14:paraId="730DA0BC">
      <w:pPr>
        <w:pStyle w:val="3"/>
        <w:bidi w:val="0"/>
        <w:jc w:val="center"/>
        <w:rPr>
          <w:rFonts w:hint="eastAsia"/>
          <w:highlight w:val="none"/>
          <w:lang w:val="en-US" w:eastAsia="zh-CN"/>
        </w:rPr>
      </w:pPr>
      <w:r>
        <w:rPr>
          <w:rFonts w:hint="eastAsia"/>
          <w:highlight w:val="none"/>
          <w:lang w:val="en-US" w:eastAsia="zh-CN"/>
        </w:rPr>
        <w:t>一、开标一览表</w:t>
      </w:r>
      <w:bookmarkEnd w:id="633"/>
    </w:p>
    <w:p w14:paraId="47A06EAD">
      <w:pPr>
        <w:rPr>
          <w:rFonts w:hint="eastAsia"/>
          <w:b w:val="0"/>
          <w:bCs/>
          <w:color w:val="auto"/>
          <w:szCs w:val="21"/>
          <w:highlight w:val="none"/>
          <w:u w:val="single"/>
          <w:lang w:val="en-US" w:eastAsia="zh-CN"/>
        </w:rPr>
      </w:pPr>
      <w:r>
        <w:rPr>
          <w:rFonts w:hint="eastAsia"/>
          <w:b w:val="0"/>
          <w:bCs/>
          <w:color w:val="auto"/>
          <w:szCs w:val="21"/>
          <w:highlight w:val="none"/>
          <w:lang w:val="zh-CN"/>
        </w:rPr>
        <w:t>项目名称：</w:t>
      </w:r>
      <w:r>
        <w:rPr>
          <w:rFonts w:hint="eastAsia"/>
          <w:b w:val="0"/>
          <w:bCs/>
          <w:color w:val="auto"/>
          <w:szCs w:val="21"/>
          <w:highlight w:val="none"/>
          <w:u w:val="single"/>
          <w:lang w:val="zh-CN"/>
        </w:rPr>
        <w:t xml:space="preserve">                   </w:t>
      </w:r>
      <w:r>
        <w:rPr>
          <w:rFonts w:hint="eastAsia"/>
          <w:b w:val="0"/>
          <w:bCs/>
          <w:color w:val="auto"/>
          <w:szCs w:val="21"/>
          <w:highlight w:val="none"/>
          <w:u w:val="single"/>
          <w:lang w:val="en-US" w:eastAsia="zh-CN"/>
        </w:rPr>
        <w:t xml:space="preserve">    </w:t>
      </w:r>
      <w:r>
        <w:rPr>
          <w:rFonts w:hint="eastAsia"/>
          <w:b w:val="0"/>
          <w:bCs/>
          <w:color w:val="auto"/>
          <w:szCs w:val="21"/>
          <w:highlight w:val="none"/>
          <w:u w:val="single"/>
          <w:lang w:val="zh-CN"/>
        </w:rPr>
        <w:t xml:space="preserve">  </w:t>
      </w:r>
      <w:r>
        <w:rPr>
          <w:rFonts w:hint="eastAsia"/>
          <w:b w:val="0"/>
          <w:bCs/>
          <w:color w:val="auto"/>
          <w:szCs w:val="21"/>
          <w:highlight w:val="none"/>
          <w:u w:val="single"/>
          <w:lang w:val="en-US" w:eastAsia="zh-CN"/>
        </w:rPr>
        <w:t xml:space="preserve">    </w:t>
      </w:r>
      <w:r>
        <w:rPr>
          <w:rFonts w:hint="eastAsia"/>
          <w:b w:val="0"/>
          <w:bCs/>
          <w:color w:val="auto"/>
          <w:szCs w:val="21"/>
          <w:highlight w:val="none"/>
          <w:lang w:val="zh-CN"/>
        </w:rPr>
        <w:t>项目编号</w:t>
      </w:r>
      <w:r>
        <w:rPr>
          <w:rFonts w:hint="eastAsia"/>
          <w:b w:val="0"/>
          <w:bCs/>
          <w:color w:val="auto"/>
          <w:szCs w:val="21"/>
          <w:highlight w:val="none"/>
          <w:lang w:val="en-US" w:eastAsia="zh-CN"/>
        </w:rPr>
        <w:t>/</w:t>
      </w:r>
      <w:r>
        <w:rPr>
          <w:rFonts w:hint="eastAsia"/>
          <w:b w:val="0"/>
          <w:bCs/>
          <w:color w:val="auto"/>
          <w:szCs w:val="21"/>
          <w:highlight w:val="none"/>
          <w:lang w:val="zh-CN"/>
        </w:rPr>
        <w:t>包号：</w:t>
      </w:r>
      <w:r>
        <w:rPr>
          <w:rFonts w:hint="eastAsia"/>
          <w:b w:val="0"/>
          <w:bCs/>
          <w:color w:val="auto"/>
          <w:szCs w:val="21"/>
          <w:highlight w:val="none"/>
          <w:u w:val="single"/>
          <w:lang w:val="zh-CN"/>
        </w:rPr>
        <w:t xml:space="preserve">                </w:t>
      </w:r>
      <w:r>
        <w:rPr>
          <w:rFonts w:hint="eastAsia"/>
          <w:b w:val="0"/>
          <w:bCs/>
          <w:color w:val="auto"/>
          <w:szCs w:val="21"/>
          <w:highlight w:val="none"/>
          <w:u w:val="single"/>
          <w:lang w:val="en-US" w:eastAsia="zh-CN"/>
        </w:rPr>
        <w:t xml:space="preserve">                             单位：元</w:t>
      </w:r>
    </w:p>
    <w:tbl>
      <w:tblPr>
        <w:tblStyle w:val="31"/>
        <w:tblW w:w="135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7"/>
        <w:gridCol w:w="1317"/>
        <w:gridCol w:w="1283"/>
        <w:gridCol w:w="1393"/>
        <w:gridCol w:w="1063"/>
        <w:gridCol w:w="1019"/>
        <w:gridCol w:w="1330"/>
        <w:gridCol w:w="1311"/>
        <w:gridCol w:w="1311"/>
        <w:gridCol w:w="1311"/>
        <w:gridCol w:w="1311"/>
      </w:tblGrid>
      <w:tr w14:paraId="2207E0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tblHeader/>
          <w:jc w:val="center"/>
        </w:trPr>
        <w:tc>
          <w:tcPr>
            <w:tcW w:w="887" w:type="dxa"/>
            <w:vMerge w:val="restart"/>
            <w:noWrap w:val="0"/>
            <w:vAlign w:val="center"/>
          </w:tcPr>
          <w:p w14:paraId="7131583D">
            <w:pPr>
              <w:keepNext w:val="0"/>
              <w:keepLines w:val="0"/>
              <w:pageBreakBefore w:val="0"/>
              <w:widowControl w:val="0"/>
              <w:tabs>
                <w:tab w:val="left" w:pos="9135"/>
              </w:tabs>
              <w:kinsoku/>
              <w:wordWrap/>
              <w:overflowPunct/>
              <w:topLinePunct w:val="0"/>
              <w:autoSpaceDN/>
              <w:bidi w:val="0"/>
              <w:adjustRightInd/>
              <w:snapToGrid/>
              <w:spacing w:line="360" w:lineRule="exact"/>
              <w:jc w:val="center"/>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序号</w:t>
            </w:r>
          </w:p>
        </w:tc>
        <w:tc>
          <w:tcPr>
            <w:tcW w:w="1317" w:type="dxa"/>
            <w:vMerge w:val="restart"/>
            <w:noWrap w:val="0"/>
            <w:vAlign w:val="center"/>
          </w:tcPr>
          <w:p w14:paraId="0E37FD3A">
            <w:pPr>
              <w:keepNext w:val="0"/>
              <w:keepLines w:val="0"/>
              <w:pageBreakBefore w:val="0"/>
              <w:widowControl w:val="0"/>
              <w:tabs>
                <w:tab w:val="left" w:pos="9135"/>
              </w:tabs>
              <w:kinsoku/>
              <w:wordWrap/>
              <w:overflowPunct/>
              <w:topLinePunct w:val="0"/>
              <w:autoSpaceDN/>
              <w:bidi w:val="0"/>
              <w:adjustRightInd/>
              <w:snapToGrid/>
              <w:spacing w:line="360" w:lineRule="exact"/>
              <w:jc w:val="center"/>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产品名称</w:t>
            </w:r>
          </w:p>
        </w:tc>
        <w:tc>
          <w:tcPr>
            <w:tcW w:w="6088" w:type="dxa"/>
            <w:gridSpan w:val="5"/>
            <w:noWrap w:val="0"/>
            <w:vAlign w:val="center"/>
          </w:tcPr>
          <w:p w14:paraId="50AAECC2">
            <w:pPr>
              <w:keepNext w:val="0"/>
              <w:keepLines w:val="0"/>
              <w:pageBreakBefore w:val="0"/>
              <w:widowControl w:val="0"/>
              <w:kinsoku/>
              <w:wordWrap/>
              <w:overflowPunct/>
              <w:topLinePunct w:val="0"/>
              <w:autoSpaceDE w:val="0"/>
              <w:autoSpaceDN/>
              <w:bidi w:val="0"/>
              <w:adjustRightInd/>
              <w:snapToGrid/>
              <w:spacing w:line="360" w:lineRule="exact"/>
              <w:jc w:val="center"/>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投标产品信息</w:t>
            </w:r>
          </w:p>
          <w:p w14:paraId="64EFF4CB">
            <w:pPr>
              <w:keepNext w:val="0"/>
              <w:keepLines w:val="0"/>
              <w:pageBreakBefore w:val="0"/>
              <w:widowControl w:val="0"/>
              <w:tabs>
                <w:tab w:val="left" w:pos="9135"/>
              </w:tabs>
              <w:kinsoku/>
              <w:wordWrap/>
              <w:overflowPunct/>
              <w:topLinePunct w:val="0"/>
              <w:autoSpaceDN/>
              <w:bidi w:val="0"/>
              <w:adjustRightInd/>
              <w:snapToGrid/>
              <w:spacing w:line="360" w:lineRule="exact"/>
              <w:jc w:val="center"/>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（应与医疗器械注册证或备案证信息一致）</w:t>
            </w:r>
          </w:p>
        </w:tc>
        <w:tc>
          <w:tcPr>
            <w:tcW w:w="1311" w:type="dxa"/>
            <w:vMerge w:val="restart"/>
            <w:noWrap w:val="0"/>
            <w:vAlign w:val="center"/>
          </w:tcPr>
          <w:p w14:paraId="7FD9FC20">
            <w:pPr>
              <w:keepNext w:val="0"/>
              <w:keepLines w:val="0"/>
              <w:pageBreakBefore w:val="0"/>
              <w:widowControl w:val="0"/>
              <w:tabs>
                <w:tab w:val="left" w:pos="9135"/>
              </w:tabs>
              <w:kinsoku/>
              <w:wordWrap/>
              <w:overflowPunct/>
              <w:topLinePunct w:val="0"/>
              <w:autoSpaceDN/>
              <w:bidi w:val="0"/>
              <w:adjustRightInd/>
              <w:snapToGrid/>
              <w:spacing w:line="360" w:lineRule="exact"/>
              <w:jc w:val="center"/>
              <w:textAlignment w:val="auto"/>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数量</w:t>
            </w:r>
          </w:p>
        </w:tc>
        <w:tc>
          <w:tcPr>
            <w:tcW w:w="1311" w:type="dxa"/>
            <w:vMerge w:val="restart"/>
            <w:noWrap w:val="0"/>
            <w:vAlign w:val="center"/>
          </w:tcPr>
          <w:p w14:paraId="0FBE8D95">
            <w:pPr>
              <w:keepNext w:val="0"/>
              <w:keepLines w:val="0"/>
              <w:pageBreakBefore w:val="0"/>
              <w:widowControl w:val="0"/>
              <w:tabs>
                <w:tab w:val="left" w:pos="9135"/>
              </w:tabs>
              <w:kinsoku/>
              <w:wordWrap/>
              <w:overflowPunct/>
              <w:topLinePunct w:val="0"/>
              <w:autoSpaceDN/>
              <w:bidi w:val="0"/>
              <w:adjustRightInd/>
              <w:snapToGrid/>
              <w:spacing w:line="360" w:lineRule="exact"/>
              <w:jc w:val="center"/>
              <w:textAlignment w:val="auto"/>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单价</w:t>
            </w:r>
          </w:p>
        </w:tc>
        <w:tc>
          <w:tcPr>
            <w:tcW w:w="1311" w:type="dxa"/>
            <w:vMerge w:val="restart"/>
            <w:noWrap w:val="0"/>
            <w:vAlign w:val="center"/>
          </w:tcPr>
          <w:p w14:paraId="4F1A3E5F">
            <w:pPr>
              <w:keepNext w:val="0"/>
              <w:keepLines w:val="0"/>
              <w:pageBreakBefore w:val="0"/>
              <w:widowControl w:val="0"/>
              <w:tabs>
                <w:tab w:val="left" w:pos="9135"/>
              </w:tabs>
              <w:kinsoku/>
              <w:wordWrap/>
              <w:overflowPunct/>
              <w:topLinePunct w:val="0"/>
              <w:autoSpaceDN/>
              <w:bidi w:val="0"/>
              <w:adjustRightInd/>
              <w:snapToGrid/>
              <w:spacing w:line="360" w:lineRule="exact"/>
              <w:jc w:val="center"/>
              <w:textAlignment w:val="auto"/>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合价</w:t>
            </w:r>
          </w:p>
        </w:tc>
        <w:tc>
          <w:tcPr>
            <w:tcW w:w="1311" w:type="dxa"/>
            <w:vMerge w:val="restart"/>
            <w:noWrap w:val="0"/>
            <w:vAlign w:val="center"/>
          </w:tcPr>
          <w:p w14:paraId="62BA19B2">
            <w:pPr>
              <w:keepNext w:val="0"/>
              <w:keepLines w:val="0"/>
              <w:pageBreakBefore w:val="0"/>
              <w:widowControl w:val="0"/>
              <w:tabs>
                <w:tab w:val="left" w:pos="9135"/>
              </w:tabs>
              <w:kinsoku/>
              <w:wordWrap/>
              <w:overflowPunct/>
              <w:topLinePunct w:val="0"/>
              <w:autoSpaceDN/>
              <w:bidi w:val="0"/>
              <w:adjustRightInd/>
              <w:snapToGrid/>
              <w:spacing w:line="360" w:lineRule="exact"/>
              <w:jc w:val="center"/>
              <w:textAlignment w:val="auto"/>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备注（包装规格）</w:t>
            </w:r>
          </w:p>
        </w:tc>
      </w:tr>
      <w:tr w14:paraId="235D2C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tblHeader/>
          <w:jc w:val="center"/>
        </w:trPr>
        <w:tc>
          <w:tcPr>
            <w:tcW w:w="887" w:type="dxa"/>
            <w:vMerge w:val="continue"/>
            <w:noWrap w:val="0"/>
            <w:vAlign w:val="center"/>
          </w:tcPr>
          <w:p w14:paraId="17BB7AF5">
            <w:pPr>
              <w:keepNext w:val="0"/>
              <w:keepLines w:val="0"/>
              <w:pageBreakBefore w:val="0"/>
              <w:widowControl w:val="0"/>
              <w:tabs>
                <w:tab w:val="left" w:pos="9135"/>
              </w:tabs>
              <w:kinsoku/>
              <w:wordWrap/>
              <w:overflowPunct/>
              <w:topLinePunct w:val="0"/>
              <w:autoSpaceDN/>
              <w:bidi w:val="0"/>
              <w:adjustRightInd/>
              <w:snapToGrid/>
              <w:spacing w:line="360" w:lineRule="exact"/>
              <w:jc w:val="center"/>
              <w:textAlignment w:val="auto"/>
              <w:rPr>
                <w:rFonts w:hint="eastAsia" w:ascii="宋体" w:hAnsi="宋体" w:eastAsia="宋体" w:cs="宋体"/>
                <w:bCs/>
                <w:color w:val="auto"/>
                <w:sz w:val="21"/>
                <w:szCs w:val="21"/>
                <w:highlight w:val="none"/>
              </w:rPr>
            </w:pPr>
          </w:p>
        </w:tc>
        <w:tc>
          <w:tcPr>
            <w:tcW w:w="1317" w:type="dxa"/>
            <w:vMerge w:val="continue"/>
            <w:noWrap w:val="0"/>
            <w:vAlign w:val="center"/>
          </w:tcPr>
          <w:p w14:paraId="4AB7A387">
            <w:pPr>
              <w:keepNext w:val="0"/>
              <w:keepLines w:val="0"/>
              <w:pageBreakBefore w:val="0"/>
              <w:widowControl w:val="0"/>
              <w:tabs>
                <w:tab w:val="left" w:pos="9135"/>
              </w:tabs>
              <w:kinsoku/>
              <w:wordWrap/>
              <w:overflowPunct/>
              <w:topLinePunct w:val="0"/>
              <w:autoSpaceDN/>
              <w:bidi w:val="0"/>
              <w:adjustRightInd/>
              <w:snapToGrid/>
              <w:spacing w:line="360" w:lineRule="exact"/>
              <w:jc w:val="center"/>
              <w:textAlignment w:val="auto"/>
              <w:rPr>
                <w:rFonts w:hint="eastAsia" w:ascii="宋体" w:hAnsi="宋体" w:eastAsia="宋体" w:cs="宋体"/>
                <w:bCs/>
                <w:color w:val="auto"/>
                <w:sz w:val="21"/>
                <w:szCs w:val="21"/>
                <w:highlight w:val="none"/>
              </w:rPr>
            </w:pPr>
          </w:p>
        </w:tc>
        <w:tc>
          <w:tcPr>
            <w:tcW w:w="1283" w:type="dxa"/>
            <w:noWrap w:val="0"/>
            <w:vAlign w:val="center"/>
          </w:tcPr>
          <w:p w14:paraId="778167B1">
            <w:pPr>
              <w:keepNext w:val="0"/>
              <w:keepLines w:val="0"/>
              <w:pageBreakBefore w:val="0"/>
              <w:widowControl w:val="0"/>
              <w:tabs>
                <w:tab w:val="left" w:pos="9135"/>
              </w:tabs>
              <w:kinsoku/>
              <w:wordWrap/>
              <w:overflowPunct/>
              <w:topLinePunct w:val="0"/>
              <w:autoSpaceDN/>
              <w:bidi w:val="0"/>
              <w:adjustRightInd/>
              <w:snapToGrid/>
              <w:spacing w:line="360" w:lineRule="exact"/>
              <w:jc w:val="center"/>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投标产品注册证名称</w:t>
            </w:r>
          </w:p>
        </w:tc>
        <w:tc>
          <w:tcPr>
            <w:tcW w:w="1393" w:type="dxa"/>
            <w:noWrap w:val="0"/>
            <w:vAlign w:val="center"/>
          </w:tcPr>
          <w:p w14:paraId="4A7BFF2D">
            <w:pPr>
              <w:keepNext w:val="0"/>
              <w:keepLines w:val="0"/>
              <w:pageBreakBefore w:val="0"/>
              <w:widowControl w:val="0"/>
              <w:tabs>
                <w:tab w:val="left" w:pos="9135"/>
              </w:tabs>
              <w:kinsoku/>
              <w:wordWrap/>
              <w:overflowPunct/>
              <w:topLinePunct w:val="0"/>
              <w:autoSpaceDN/>
              <w:bidi w:val="0"/>
              <w:adjustRightInd/>
              <w:snapToGrid/>
              <w:spacing w:line="360" w:lineRule="exact"/>
              <w:jc w:val="center"/>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规格型号</w:t>
            </w:r>
          </w:p>
        </w:tc>
        <w:tc>
          <w:tcPr>
            <w:tcW w:w="1063" w:type="dxa"/>
            <w:noWrap w:val="0"/>
            <w:vAlign w:val="center"/>
          </w:tcPr>
          <w:p w14:paraId="3DEC7792">
            <w:pPr>
              <w:keepNext w:val="0"/>
              <w:keepLines w:val="0"/>
              <w:pageBreakBefore w:val="0"/>
              <w:widowControl w:val="0"/>
              <w:tabs>
                <w:tab w:val="left" w:pos="9135"/>
              </w:tabs>
              <w:kinsoku/>
              <w:wordWrap/>
              <w:overflowPunct/>
              <w:topLinePunct w:val="0"/>
              <w:autoSpaceDN/>
              <w:bidi w:val="0"/>
              <w:adjustRightInd/>
              <w:snapToGrid/>
              <w:spacing w:line="360" w:lineRule="exact"/>
              <w:jc w:val="center"/>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生产厂家</w:t>
            </w:r>
          </w:p>
        </w:tc>
        <w:tc>
          <w:tcPr>
            <w:tcW w:w="1019" w:type="dxa"/>
            <w:noWrap w:val="0"/>
            <w:vAlign w:val="center"/>
          </w:tcPr>
          <w:p w14:paraId="22B677FB">
            <w:pPr>
              <w:keepNext w:val="0"/>
              <w:keepLines w:val="0"/>
              <w:pageBreakBefore w:val="0"/>
              <w:widowControl w:val="0"/>
              <w:tabs>
                <w:tab w:val="left" w:pos="9135"/>
              </w:tabs>
              <w:kinsoku/>
              <w:wordWrap/>
              <w:overflowPunct/>
              <w:topLinePunct w:val="0"/>
              <w:autoSpaceDN/>
              <w:bidi w:val="0"/>
              <w:adjustRightInd/>
              <w:snapToGrid/>
              <w:spacing w:line="360" w:lineRule="exact"/>
              <w:jc w:val="center"/>
              <w:textAlignment w:val="auto"/>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产地</w:t>
            </w:r>
          </w:p>
        </w:tc>
        <w:tc>
          <w:tcPr>
            <w:tcW w:w="1330" w:type="dxa"/>
            <w:noWrap w:val="0"/>
            <w:vAlign w:val="center"/>
          </w:tcPr>
          <w:p w14:paraId="0736A574">
            <w:pPr>
              <w:keepNext w:val="0"/>
              <w:keepLines w:val="0"/>
              <w:pageBreakBefore w:val="0"/>
              <w:widowControl w:val="0"/>
              <w:tabs>
                <w:tab w:val="left" w:pos="9135"/>
              </w:tabs>
              <w:kinsoku/>
              <w:wordWrap/>
              <w:overflowPunct/>
              <w:topLinePunct w:val="0"/>
              <w:autoSpaceDN/>
              <w:bidi w:val="0"/>
              <w:adjustRightInd/>
              <w:snapToGrid/>
              <w:spacing w:line="360" w:lineRule="exact"/>
              <w:jc w:val="center"/>
              <w:textAlignment w:val="auto"/>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注册证号</w:t>
            </w:r>
          </w:p>
        </w:tc>
        <w:tc>
          <w:tcPr>
            <w:tcW w:w="1311" w:type="dxa"/>
            <w:vMerge w:val="continue"/>
            <w:noWrap w:val="0"/>
            <w:vAlign w:val="center"/>
          </w:tcPr>
          <w:p w14:paraId="4293A20B">
            <w:pPr>
              <w:tabs>
                <w:tab w:val="left" w:pos="9135"/>
              </w:tabs>
              <w:spacing w:line="360" w:lineRule="auto"/>
              <w:jc w:val="center"/>
              <w:rPr>
                <w:rFonts w:hint="eastAsia" w:ascii="宋体" w:hAnsi="宋体" w:eastAsia="宋体" w:cs="宋体"/>
                <w:bCs/>
                <w:color w:val="auto"/>
                <w:sz w:val="21"/>
                <w:szCs w:val="21"/>
                <w:highlight w:val="none"/>
                <w:lang w:val="en-US" w:eastAsia="zh-CN"/>
              </w:rPr>
            </w:pPr>
          </w:p>
        </w:tc>
        <w:tc>
          <w:tcPr>
            <w:tcW w:w="1311" w:type="dxa"/>
            <w:vMerge w:val="continue"/>
            <w:noWrap w:val="0"/>
            <w:vAlign w:val="center"/>
          </w:tcPr>
          <w:p w14:paraId="409F2FED">
            <w:pPr>
              <w:tabs>
                <w:tab w:val="left" w:pos="9135"/>
              </w:tabs>
              <w:spacing w:line="360" w:lineRule="auto"/>
              <w:jc w:val="center"/>
              <w:rPr>
                <w:rFonts w:hint="eastAsia" w:ascii="宋体" w:hAnsi="宋体" w:eastAsia="宋体" w:cs="宋体"/>
                <w:bCs/>
                <w:color w:val="auto"/>
                <w:sz w:val="21"/>
                <w:szCs w:val="21"/>
                <w:highlight w:val="none"/>
                <w:lang w:val="en-US" w:eastAsia="zh-CN"/>
              </w:rPr>
            </w:pPr>
          </w:p>
        </w:tc>
        <w:tc>
          <w:tcPr>
            <w:tcW w:w="1311" w:type="dxa"/>
            <w:vMerge w:val="continue"/>
            <w:noWrap w:val="0"/>
            <w:vAlign w:val="center"/>
          </w:tcPr>
          <w:p w14:paraId="5BBE6CA1">
            <w:pPr>
              <w:tabs>
                <w:tab w:val="left" w:pos="9135"/>
              </w:tabs>
              <w:spacing w:line="360" w:lineRule="auto"/>
              <w:jc w:val="center"/>
              <w:rPr>
                <w:rFonts w:hint="eastAsia" w:ascii="宋体" w:hAnsi="宋体" w:eastAsia="宋体" w:cs="宋体"/>
                <w:bCs/>
                <w:color w:val="auto"/>
                <w:sz w:val="21"/>
                <w:szCs w:val="21"/>
                <w:highlight w:val="none"/>
                <w:lang w:val="en-US"/>
              </w:rPr>
            </w:pPr>
          </w:p>
        </w:tc>
        <w:tc>
          <w:tcPr>
            <w:tcW w:w="1311" w:type="dxa"/>
            <w:vMerge w:val="continue"/>
            <w:noWrap w:val="0"/>
            <w:vAlign w:val="center"/>
          </w:tcPr>
          <w:p w14:paraId="1AB6324B">
            <w:pPr>
              <w:tabs>
                <w:tab w:val="left" w:pos="9135"/>
              </w:tabs>
              <w:spacing w:line="360" w:lineRule="auto"/>
              <w:jc w:val="center"/>
              <w:rPr>
                <w:rFonts w:hint="eastAsia" w:ascii="宋体" w:hAnsi="宋体" w:eastAsia="宋体" w:cs="宋体"/>
                <w:bCs/>
                <w:color w:val="auto"/>
                <w:sz w:val="21"/>
                <w:szCs w:val="21"/>
                <w:highlight w:val="none"/>
                <w:lang w:val="en-US"/>
              </w:rPr>
            </w:pPr>
          </w:p>
        </w:tc>
      </w:tr>
      <w:tr w14:paraId="3B7EE6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jc w:val="center"/>
        </w:trPr>
        <w:tc>
          <w:tcPr>
            <w:tcW w:w="887" w:type="dxa"/>
            <w:noWrap w:val="0"/>
            <w:vAlign w:val="center"/>
          </w:tcPr>
          <w:p w14:paraId="15920B5F">
            <w:pPr>
              <w:tabs>
                <w:tab w:val="left" w:pos="9135"/>
              </w:tabs>
              <w:spacing w:line="360" w:lineRule="auto"/>
              <w:jc w:val="center"/>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1</w:t>
            </w:r>
          </w:p>
        </w:tc>
        <w:tc>
          <w:tcPr>
            <w:tcW w:w="1317" w:type="dxa"/>
            <w:noWrap w:val="0"/>
            <w:vAlign w:val="center"/>
          </w:tcPr>
          <w:p w14:paraId="48B2E58A">
            <w:pPr>
              <w:tabs>
                <w:tab w:val="left" w:pos="9135"/>
              </w:tabs>
              <w:spacing w:line="360" w:lineRule="auto"/>
              <w:jc w:val="center"/>
              <w:rPr>
                <w:rFonts w:hint="eastAsia" w:ascii="宋体" w:hAnsi="宋体" w:eastAsia="宋体" w:cs="宋体"/>
                <w:bCs/>
                <w:color w:val="auto"/>
                <w:sz w:val="21"/>
                <w:szCs w:val="21"/>
                <w:highlight w:val="none"/>
              </w:rPr>
            </w:pPr>
          </w:p>
        </w:tc>
        <w:tc>
          <w:tcPr>
            <w:tcW w:w="1283" w:type="dxa"/>
            <w:noWrap w:val="0"/>
            <w:vAlign w:val="center"/>
          </w:tcPr>
          <w:p w14:paraId="69A55077">
            <w:pPr>
              <w:tabs>
                <w:tab w:val="left" w:pos="9135"/>
              </w:tabs>
              <w:spacing w:line="360" w:lineRule="auto"/>
              <w:jc w:val="center"/>
              <w:rPr>
                <w:rFonts w:hint="eastAsia" w:ascii="宋体" w:hAnsi="宋体" w:eastAsia="宋体" w:cs="宋体"/>
                <w:bCs/>
                <w:color w:val="auto"/>
                <w:sz w:val="21"/>
                <w:szCs w:val="21"/>
                <w:highlight w:val="none"/>
              </w:rPr>
            </w:pPr>
          </w:p>
        </w:tc>
        <w:tc>
          <w:tcPr>
            <w:tcW w:w="1393" w:type="dxa"/>
            <w:noWrap w:val="0"/>
            <w:vAlign w:val="center"/>
          </w:tcPr>
          <w:p w14:paraId="7BE34DC2">
            <w:pPr>
              <w:tabs>
                <w:tab w:val="left" w:pos="9135"/>
              </w:tabs>
              <w:spacing w:line="360" w:lineRule="auto"/>
              <w:jc w:val="center"/>
              <w:rPr>
                <w:rFonts w:hint="eastAsia" w:ascii="宋体" w:hAnsi="宋体" w:eastAsia="宋体" w:cs="宋体"/>
                <w:bCs/>
                <w:color w:val="auto"/>
                <w:sz w:val="21"/>
                <w:szCs w:val="21"/>
                <w:highlight w:val="none"/>
              </w:rPr>
            </w:pPr>
          </w:p>
        </w:tc>
        <w:tc>
          <w:tcPr>
            <w:tcW w:w="1063" w:type="dxa"/>
            <w:noWrap w:val="0"/>
            <w:vAlign w:val="center"/>
          </w:tcPr>
          <w:p w14:paraId="75C990B5">
            <w:pPr>
              <w:tabs>
                <w:tab w:val="left" w:pos="9135"/>
              </w:tabs>
              <w:spacing w:line="360" w:lineRule="auto"/>
              <w:jc w:val="center"/>
              <w:rPr>
                <w:rFonts w:hint="eastAsia" w:ascii="宋体" w:hAnsi="宋体" w:eastAsia="宋体" w:cs="宋体"/>
                <w:bCs/>
                <w:color w:val="auto"/>
                <w:sz w:val="21"/>
                <w:szCs w:val="21"/>
                <w:highlight w:val="none"/>
              </w:rPr>
            </w:pPr>
          </w:p>
        </w:tc>
        <w:tc>
          <w:tcPr>
            <w:tcW w:w="1019" w:type="dxa"/>
            <w:noWrap w:val="0"/>
            <w:vAlign w:val="center"/>
          </w:tcPr>
          <w:p w14:paraId="2198759D">
            <w:pPr>
              <w:tabs>
                <w:tab w:val="left" w:pos="9135"/>
              </w:tabs>
              <w:spacing w:line="360" w:lineRule="auto"/>
              <w:jc w:val="center"/>
              <w:rPr>
                <w:rFonts w:hint="eastAsia" w:ascii="宋体" w:hAnsi="宋体" w:eastAsia="宋体" w:cs="宋体"/>
                <w:bCs/>
                <w:color w:val="auto"/>
                <w:sz w:val="21"/>
                <w:szCs w:val="21"/>
                <w:highlight w:val="none"/>
              </w:rPr>
            </w:pPr>
          </w:p>
        </w:tc>
        <w:tc>
          <w:tcPr>
            <w:tcW w:w="1330" w:type="dxa"/>
            <w:noWrap w:val="0"/>
            <w:vAlign w:val="center"/>
          </w:tcPr>
          <w:p w14:paraId="29B412F7">
            <w:pPr>
              <w:tabs>
                <w:tab w:val="left" w:pos="9135"/>
              </w:tabs>
              <w:spacing w:line="360" w:lineRule="auto"/>
              <w:jc w:val="center"/>
              <w:rPr>
                <w:rFonts w:hint="eastAsia" w:ascii="宋体" w:hAnsi="宋体" w:eastAsia="宋体" w:cs="宋体"/>
                <w:bCs/>
                <w:color w:val="auto"/>
                <w:sz w:val="21"/>
                <w:szCs w:val="21"/>
                <w:highlight w:val="none"/>
              </w:rPr>
            </w:pPr>
          </w:p>
        </w:tc>
        <w:tc>
          <w:tcPr>
            <w:tcW w:w="1311" w:type="dxa"/>
            <w:noWrap w:val="0"/>
            <w:vAlign w:val="top"/>
          </w:tcPr>
          <w:p w14:paraId="70729A67">
            <w:pPr>
              <w:tabs>
                <w:tab w:val="left" w:pos="9135"/>
              </w:tabs>
              <w:spacing w:line="360" w:lineRule="auto"/>
              <w:jc w:val="center"/>
              <w:rPr>
                <w:rFonts w:hint="eastAsia" w:ascii="宋体" w:hAnsi="宋体" w:eastAsia="宋体" w:cs="宋体"/>
                <w:bCs/>
                <w:color w:val="auto"/>
                <w:sz w:val="21"/>
                <w:szCs w:val="21"/>
                <w:highlight w:val="none"/>
              </w:rPr>
            </w:pPr>
          </w:p>
        </w:tc>
        <w:tc>
          <w:tcPr>
            <w:tcW w:w="1311" w:type="dxa"/>
            <w:noWrap w:val="0"/>
            <w:vAlign w:val="top"/>
          </w:tcPr>
          <w:p w14:paraId="38A000B6">
            <w:pPr>
              <w:tabs>
                <w:tab w:val="left" w:pos="9135"/>
              </w:tabs>
              <w:spacing w:line="360" w:lineRule="auto"/>
              <w:jc w:val="center"/>
              <w:rPr>
                <w:rFonts w:hint="eastAsia" w:ascii="宋体" w:hAnsi="宋体" w:eastAsia="宋体" w:cs="宋体"/>
                <w:bCs/>
                <w:color w:val="auto"/>
                <w:sz w:val="21"/>
                <w:szCs w:val="21"/>
                <w:highlight w:val="none"/>
              </w:rPr>
            </w:pPr>
          </w:p>
        </w:tc>
        <w:tc>
          <w:tcPr>
            <w:tcW w:w="1311" w:type="dxa"/>
            <w:noWrap w:val="0"/>
            <w:vAlign w:val="top"/>
          </w:tcPr>
          <w:p w14:paraId="1F087F76">
            <w:pPr>
              <w:tabs>
                <w:tab w:val="left" w:pos="9135"/>
              </w:tabs>
              <w:spacing w:line="360" w:lineRule="auto"/>
              <w:rPr>
                <w:rFonts w:hint="eastAsia" w:ascii="宋体" w:hAnsi="宋体" w:eastAsia="宋体" w:cs="宋体"/>
                <w:bCs/>
                <w:color w:val="auto"/>
                <w:sz w:val="21"/>
                <w:szCs w:val="21"/>
                <w:highlight w:val="none"/>
              </w:rPr>
            </w:pPr>
          </w:p>
        </w:tc>
        <w:tc>
          <w:tcPr>
            <w:tcW w:w="1311" w:type="dxa"/>
            <w:noWrap w:val="0"/>
            <w:vAlign w:val="top"/>
          </w:tcPr>
          <w:p w14:paraId="1635077D">
            <w:pPr>
              <w:tabs>
                <w:tab w:val="left" w:pos="9135"/>
              </w:tabs>
              <w:spacing w:line="360" w:lineRule="auto"/>
              <w:rPr>
                <w:rFonts w:hint="eastAsia" w:ascii="宋体" w:hAnsi="宋体" w:eastAsia="宋体" w:cs="宋体"/>
                <w:bCs/>
                <w:color w:val="auto"/>
                <w:sz w:val="21"/>
                <w:szCs w:val="21"/>
                <w:highlight w:val="none"/>
              </w:rPr>
            </w:pPr>
          </w:p>
        </w:tc>
      </w:tr>
      <w:tr w14:paraId="5D209B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3487" w:type="dxa"/>
            <w:gridSpan w:val="3"/>
            <w:noWrap w:val="0"/>
            <w:vAlign w:val="center"/>
          </w:tcPr>
          <w:p w14:paraId="74D31803">
            <w:pPr>
              <w:tabs>
                <w:tab w:val="left" w:pos="9135"/>
              </w:tabs>
              <w:spacing w:line="360" w:lineRule="auto"/>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交货期</w:t>
            </w:r>
          </w:p>
        </w:tc>
        <w:tc>
          <w:tcPr>
            <w:tcW w:w="10049" w:type="dxa"/>
            <w:gridSpan w:val="8"/>
            <w:noWrap w:val="0"/>
            <w:vAlign w:val="center"/>
          </w:tcPr>
          <w:p w14:paraId="09BF7710">
            <w:pPr>
              <w:tabs>
                <w:tab w:val="left" w:pos="9135"/>
              </w:tabs>
              <w:spacing w:line="360" w:lineRule="auto"/>
              <w:jc w:val="center"/>
              <w:rPr>
                <w:rFonts w:hint="eastAsia" w:ascii="宋体" w:hAnsi="宋体" w:eastAsia="宋体" w:cs="宋体"/>
                <w:bCs/>
                <w:color w:val="auto"/>
                <w:sz w:val="21"/>
                <w:szCs w:val="21"/>
                <w:highlight w:val="none"/>
              </w:rPr>
            </w:pPr>
          </w:p>
        </w:tc>
      </w:tr>
      <w:tr w14:paraId="762D0D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3487" w:type="dxa"/>
            <w:gridSpan w:val="3"/>
            <w:noWrap w:val="0"/>
            <w:vAlign w:val="center"/>
          </w:tcPr>
          <w:p w14:paraId="61101E9D">
            <w:pPr>
              <w:tabs>
                <w:tab w:val="left" w:pos="9135"/>
              </w:tabs>
              <w:spacing w:line="360" w:lineRule="auto"/>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原厂保修服务时间</w:t>
            </w:r>
          </w:p>
        </w:tc>
        <w:tc>
          <w:tcPr>
            <w:tcW w:w="10049" w:type="dxa"/>
            <w:gridSpan w:val="8"/>
            <w:noWrap w:val="0"/>
            <w:vAlign w:val="center"/>
          </w:tcPr>
          <w:p w14:paraId="24439EF9">
            <w:pPr>
              <w:tabs>
                <w:tab w:val="left" w:pos="9135"/>
              </w:tabs>
              <w:spacing w:line="360" w:lineRule="auto"/>
              <w:jc w:val="center"/>
              <w:rPr>
                <w:rFonts w:hint="eastAsia" w:ascii="宋体" w:hAnsi="宋体" w:eastAsia="宋体" w:cs="宋体"/>
                <w:bCs/>
                <w:color w:val="auto"/>
                <w:sz w:val="21"/>
                <w:szCs w:val="21"/>
                <w:highlight w:val="none"/>
              </w:rPr>
            </w:pPr>
            <w:bookmarkStart w:id="687" w:name="_GoBack"/>
            <w:bookmarkEnd w:id="687"/>
          </w:p>
        </w:tc>
      </w:tr>
      <w:tr w14:paraId="32DF78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5" w:hRule="atLeast"/>
          <w:jc w:val="center"/>
        </w:trPr>
        <w:tc>
          <w:tcPr>
            <w:tcW w:w="3487" w:type="dxa"/>
            <w:gridSpan w:val="3"/>
            <w:noWrap w:val="0"/>
            <w:vAlign w:val="center"/>
          </w:tcPr>
          <w:p w14:paraId="288126B2">
            <w:pPr>
              <w:tabs>
                <w:tab w:val="left" w:pos="9135"/>
              </w:tabs>
              <w:spacing w:line="360" w:lineRule="auto"/>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投标总报价</w:t>
            </w:r>
          </w:p>
        </w:tc>
        <w:tc>
          <w:tcPr>
            <w:tcW w:w="10049" w:type="dxa"/>
            <w:gridSpan w:val="8"/>
            <w:noWrap w:val="0"/>
            <w:vAlign w:val="center"/>
          </w:tcPr>
          <w:p w14:paraId="37EC65E0">
            <w:pPr>
              <w:tabs>
                <w:tab w:val="left" w:pos="9135"/>
              </w:tabs>
              <w:spacing w:line="360" w:lineRule="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小写（元）：</w:t>
            </w:r>
          </w:p>
          <w:p w14:paraId="71B18F67">
            <w:pPr>
              <w:pStyle w:val="29"/>
              <w:ind w:firstLine="0" w:firstLineChars="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大写（元）：</w:t>
            </w:r>
          </w:p>
        </w:tc>
      </w:tr>
      <w:tr w14:paraId="4AC49F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2" w:hRule="atLeast"/>
          <w:jc w:val="center"/>
        </w:trPr>
        <w:tc>
          <w:tcPr>
            <w:tcW w:w="3487" w:type="dxa"/>
            <w:gridSpan w:val="3"/>
            <w:noWrap w:val="0"/>
            <w:vAlign w:val="center"/>
          </w:tcPr>
          <w:p w14:paraId="503552CA">
            <w:pPr>
              <w:tabs>
                <w:tab w:val="left" w:pos="9135"/>
              </w:tabs>
              <w:spacing w:line="360" w:lineRule="auto"/>
              <w:jc w:val="center"/>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备注</w:t>
            </w:r>
          </w:p>
        </w:tc>
        <w:tc>
          <w:tcPr>
            <w:tcW w:w="10049" w:type="dxa"/>
            <w:gridSpan w:val="8"/>
            <w:noWrap w:val="0"/>
            <w:vAlign w:val="center"/>
          </w:tcPr>
          <w:p w14:paraId="64EEEC04">
            <w:pPr>
              <w:pStyle w:val="29"/>
              <w:ind w:firstLine="0" w:firstLineChars="0"/>
              <w:rPr>
                <w:rFonts w:hint="eastAsia" w:ascii="宋体" w:hAnsi="宋体" w:eastAsia="宋体" w:cs="宋体"/>
                <w:bCs/>
                <w:color w:val="auto"/>
                <w:sz w:val="21"/>
                <w:szCs w:val="21"/>
                <w:highlight w:val="none"/>
              </w:rPr>
            </w:pPr>
          </w:p>
        </w:tc>
      </w:tr>
    </w:tbl>
    <w:p w14:paraId="0270EFB4">
      <w:pPr>
        <w:spacing w:line="300" w:lineRule="auto"/>
        <w:rPr>
          <w:rFonts w:hint="default" w:ascii="Arial" w:hAnsi="Arial" w:eastAsia="宋体" w:cs="Arial"/>
          <w:color w:val="auto"/>
          <w:szCs w:val="21"/>
          <w:highlight w:val="none"/>
          <w:lang w:val="en-US" w:eastAsia="zh-CN"/>
        </w:rPr>
      </w:pPr>
      <w:r>
        <w:rPr>
          <w:rFonts w:ascii="Arial" w:hAnsi="Arial" w:cs="Arial"/>
          <w:color w:val="auto"/>
          <w:szCs w:val="21"/>
          <w:highlight w:val="none"/>
        </w:rPr>
        <w:t>投标人名称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ascii="Arial" w:hAnsi="Arial" w:cs="Arial"/>
          <w:color w:val="auto"/>
          <w:szCs w:val="21"/>
          <w:highlight w:val="none"/>
        </w:rPr>
        <w:t>：</w:t>
      </w:r>
      <w:r>
        <w:rPr>
          <w:rFonts w:hint="eastAsia" w:ascii="Arial" w:hAnsi="Arial" w:cs="Arial"/>
          <w:color w:val="auto"/>
          <w:szCs w:val="21"/>
          <w:highlight w:val="none"/>
          <w:lang w:val="en-US" w:eastAsia="zh-CN"/>
        </w:rPr>
        <w:t xml:space="preserve">   </w:t>
      </w:r>
    </w:p>
    <w:p w14:paraId="6302F8A6">
      <w:pPr>
        <w:spacing w:line="300" w:lineRule="auto"/>
        <w:rPr>
          <w:rFonts w:ascii="Arial" w:hAnsi="Arial" w:cs="Arial"/>
          <w:color w:val="auto"/>
          <w:szCs w:val="21"/>
          <w:highlight w:val="none"/>
          <w:u w:val="single"/>
        </w:rPr>
      </w:pPr>
      <w:r>
        <w:rPr>
          <w:rFonts w:ascii="Arial" w:hAnsi="Arial" w:cs="Arial"/>
          <w:color w:val="auto"/>
          <w:szCs w:val="21"/>
          <w:highlight w:val="none"/>
        </w:rPr>
        <w:t>日期：</w:t>
      </w:r>
    </w:p>
    <w:p w14:paraId="1F8026CB">
      <w:pPr>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eastAsia="zh-CN"/>
        </w:rPr>
        <w:br w:type="page"/>
      </w:r>
    </w:p>
    <w:p w14:paraId="5D119674">
      <w:pPr>
        <w:spacing w:line="360" w:lineRule="auto"/>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eastAsia="zh-CN"/>
        </w:rPr>
        <w:t>注：</w:t>
      </w:r>
    </w:p>
    <w:p w14:paraId="7BF32ACE">
      <w:pPr>
        <w:spacing w:line="360" w:lineRule="auto"/>
        <w:ind w:firstLine="43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1.此表用于开标唱标之用。</w:t>
      </w:r>
    </w:p>
    <w:p w14:paraId="7C885789">
      <w:pPr>
        <w:spacing w:line="360" w:lineRule="auto"/>
        <w:ind w:firstLine="43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2.表中投标报价即为优惠后报价，并作为评审及定标依据。任何有选择或有条件的投标报价，或者表中某一包填写多个报价，均为无效报价。</w:t>
      </w:r>
    </w:p>
    <w:p w14:paraId="68588FF0">
      <w:pPr>
        <w:spacing w:line="360" w:lineRule="auto"/>
        <w:ind w:firstLine="43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.表中大写与小写不一致的，以大写为准。</w:t>
      </w:r>
    </w:p>
    <w:p w14:paraId="2CF3D2B7">
      <w:pPr>
        <w:spacing w:line="360" w:lineRule="auto"/>
        <w:ind w:firstLine="435"/>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开标一览表与分项报价表中应注明所投产品的准确信息，医疗器械应严格按医疗器械注册证或备案证相关信息填写，非医疗器械应按产品实际外包装信息填写；所投产品如为注册产品的组件，在产品注册证名称后的括号内注明实际产品名称即可。</w:t>
      </w:r>
    </w:p>
    <w:p w14:paraId="328DD8FF">
      <w:pPr>
        <w:spacing w:line="360" w:lineRule="auto"/>
        <w:ind w:firstLine="435"/>
        <w:rPr>
          <w:rFonts w:hint="eastAsia" w:ascii="宋体" w:hAnsi="宋体" w:eastAsia="宋体" w:cs="宋体"/>
          <w:color w:val="auto"/>
          <w:sz w:val="21"/>
          <w:szCs w:val="21"/>
          <w:highlight w:val="none"/>
          <w:lang w:val="en-US" w:eastAsia="zh-CN"/>
        </w:rPr>
      </w:pPr>
      <w:r>
        <w:rPr>
          <w:rFonts w:hint="eastAsia" w:cs="宋体"/>
          <w:color w:val="auto"/>
          <w:sz w:val="21"/>
          <w:szCs w:val="21"/>
          <w:highlight w:val="none"/>
          <w:lang w:val="en-US" w:eastAsia="zh-CN"/>
        </w:rPr>
        <w:t>5.</w:t>
      </w:r>
      <w:r>
        <w:rPr>
          <w:rFonts w:hint="eastAsia" w:ascii="宋体" w:hAnsi="宋体" w:eastAsia="宋体" w:cs="宋体"/>
          <w:color w:val="auto"/>
          <w:sz w:val="21"/>
          <w:szCs w:val="21"/>
          <w:highlight w:val="none"/>
          <w:lang w:val="en-US" w:eastAsia="zh-CN"/>
        </w:rPr>
        <w:t>折扣条件与折扣声明应在表下注明。</w:t>
      </w:r>
    </w:p>
    <w:p w14:paraId="12C30883">
      <w:pPr>
        <w:spacing w:line="360" w:lineRule="auto"/>
        <w:ind w:firstLine="435"/>
        <w:rPr>
          <w:rFonts w:hint="default" w:ascii="宋体" w:hAnsi="宋体" w:eastAsia="宋体" w:cs="宋体"/>
          <w:color w:val="auto"/>
          <w:sz w:val="21"/>
          <w:szCs w:val="21"/>
          <w:highlight w:val="none"/>
          <w:lang w:val="en-US" w:eastAsia="zh-CN"/>
        </w:rPr>
        <w:sectPr>
          <w:pgSz w:w="16838" w:h="11906" w:orient="landscape"/>
          <w:pgMar w:top="1803" w:right="1440" w:bottom="1803" w:left="1440" w:header="851" w:footer="992" w:gutter="0"/>
          <w:pgBorders>
            <w:top w:val="none" w:sz="0" w:space="0"/>
            <w:left w:val="none" w:sz="0" w:space="0"/>
            <w:bottom w:val="none" w:sz="0" w:space="0"/>
            <w:right w:val="none" w:sz="0" w:space="0"/>
          </w:pgBorders>
          <w:pgNumType w:fmt="numberInDash"/>
          <w:cols w:space="0" w:num="1"/>
          <w:rtlGutter w:val="0"/>
          <w:docGrid w:type="lines" w:linePitch="332" w:charSpace="0"/>
        </w:sectPr>
      </w:pPr>
    </w:p>
    <w:p w14:paraId="7B2B178E">
      <w:pPr>
        <w:pStyle w:val="3"/>
        <w:bidi w:val="0"/>
        <w:jc w:val="center"/>
        <w:rPr>
          <w:rFonts w:hint="eastAsia"/>
          <w:lang w:val="en-US" w:eastAsia="zh-CN"/>
        </w:rPr>
      </w:pPr>
      <w:bookmarkStart w:id="634" w:name="_Toc16528"/>
      <w:r>
        <w:rPr>
          <w:rFonts w:hint="eastAsia"/>
          <w:lang w:val="en-US" w:eastAsia="zh-CN"/>
        </w:rPr>
        <w:t>二、分项报价表</w:t>
      </w:r>
      <w:bookmarkEnd w:id="634"/>
    </w:p>
    <w:p w14:paraId="5456D210">
      <w:pPr>
        <w:spacing w:line="240" w:lineRule="auto"/>
        <w:rPr>
          <w:rFonts w:hint="eastAsia"/>
          <w:b w:val="0"/>
          <w:bCs/>
          <w:color w:val="auto"/>
          <w:szCs w:val="21"/>
          <w:highlight w:val="none"/>
          <w:u w:val="single"/>
          <w:lang w:val="zh-CN"/>
        </w:rPr>
      </w:pPr>
      <w:r>
        <w:rPr>
          <w:rFonts w:hint="eastAsia"/>
          <w:b w:val="0"/>
          <w:bCs/>
          <w:color w:val="auto"/>
          <w:szCs w:val="21"/>
          <w:highlight w:val="none"/>
          <w:lang w:val="en-US" w:eastAsia="zh-CN"/>
        </w:rPr>
        <w:t xml:space="preserve">           项目</w:t>
      </w:r>
      <w:r>
        <w:rPr>
          <w:rFonts w:hint="eastAsia"/>
          <w:b w:val="0"/>
          <w:bCs/>
          <w:color w:val="auto"/>
          <w:szCs w:val="21"/>
          <w:highlight w:val="none"/>
          <w:lang w:val="zh-CN"/>
        </w:rPr>
        <w:t>名称：</w:t>
      </w:r>
      <w:r>
        <w:rPr>
          <w:rFonts w:hint="eastAsia"/>
          <w:b w:val="0"/>
          <w:bCs/>
          <w:color w:val="auto"/>
          <w:szCs w:val="21"/>
          <w:highlight w:val="none"/>
          <w:u w:val="single"/>
          <w:lang w:val="zh-CN"/>
        </w:rPr>
        <w:t xml:space="preserve">                  </w:t>
      </w:r>
      <w:r>
        <w:rPr>
          <w:rFonts w:hint="eastAsia"/>
          <w:b w:val="0"/>
          <w:bCs/>
          <w:color w:val="auto"/>
          <w:szCs w:val="21"/>
          <w:highlight w:val="none"/>
          <w:u w:val="single"/>
          <w:lang w:val="en-US" w:eastAsia="zh-CN"/>
        </w:rPr>
        <w:t xml:space="preserve">     </w:t>
      </w:r>
      <w:r>
        <w:rPr>
          <w:rFonts w:hint="eastAsia"/>
          <w:b w:val="0"/>
          <w:bCs/>
          <w:color w:val="auto"/>
          <w:szCs w:val="21"/>
          <w:highlight w:val="none"/>
          <w:u w:val="single"/>
          <w:lang w:val="zh-CN"/>
        </w:rPr>
        <w:t xml:space="preserve">   </w:t>
      </w:r>
      <w:r>
        <w:rPr>
          <w:rFonts w:hint="eastAsia"/>
          <w:b w:val="0"/>
          <w:bCs/>
          <w:color w:val="auto"/>
          <w:szCs w:val="21"/>
          <w:highlight w:val="none"/>
          <w:u w:val="single"/>
          <w:lang w:val="en-US" w:eastAsia="zh-CN"/>
        </w:rPr>
        <w:t xml:space="preserve">  </w:t>
      </w:r>
      <w:r>
        <w:rPr>
          <w:rFonts w:hint="eastAsia"/>
          <w:b w:val="0"/>
          <w:bCs/>
          <w:color w:val="auto"/>
          <w:szCs w:val="21"/>
          <w:highlight w:val="none"/>
          <w:lang w:val="zh-CN"/>
        </w:rPr>
        <w:t>项目编号</w:t>
      </w:r>
      <w:r>
        <w:rPr>
          <w:rFonts w:hint="eastAsia"/>
          <w:b w:val="0"/>
          <w:bCs/>
          <w:color w:val="auto"/>
          <w:szCs w:val="21"/>
          <w:highlight w:val="none"/>
          <w:lang w:val="en-US" w:eastAsia="zh-CN"/>
        </w:rPr>
        <w:t>/</w:t>
      </w:r>
      <w:r>
        <w:rPr>
          <w:rFonts w:hint="eastAsia"/>
          <w:b w:val="0"/>
          <w:bCs/>
          <w:color w:val="auto"/>
          <w:szCs w:val="21"/>
          <w:highlight w:val="none"/>
          <w:lang w:val="zh-CN"/>
        </w:rPr>
        <w:t>包号：</w:t>
      </w:r>
      <w:r>
        <w:rPr>
          <w:rFonts w:hint="eastAsia"/>
          <w:b w:val="0"/>
          <w:bCs/>
          <w:color w:val="auto"/>
          <w:szCs w:val="21"/>
          <w:highlight w:val="none"/>
          <w:u w:val="single"/>
          <w:lang w:val="zh-CN"/>
        </w:rPr>
        <w:t xml:space="preserve">                     </w:t>
      </w:r>
      <w:r>
        <w:rPr>
          <w:rFonts w:hint="eastAsia"/>
          <w:b w:val="0"/>
          <w:bCs/>
          <w:color w:val="auto"/>
          <w:szCs w:val="21"/>
          <w:highlight w:val="none"/>
          <w:u w:val="single"/>
          <w:lang w:val="en-US" w:eastAsia="zh-CN"/>
        </w:rPr>
        <w:t xml:space="preserve">                     </w:t>
      </w:r>
      <w:r>
        <w:rPr>
          <w:rFonts w:hint="eastAsia"/>
          <w:b w:val="0"/>
          <w:bCs/>
          <w:color w:val="auto"/>
          <w:szCs w:val="21"/>
          <w:highlight w:val="none"/>
          <w:lang w:val="en-US" w:eastAsia="zh-CN"/>
        </w:rPr>
        <w:t>单位：元</w:t>
      </w:r>
      <w:r>
        <w:rPr>
          <w:rFonts w:hint="eastAsia"/>
          <w:b w:val="0"/>
          <w:bCs/>
          <w:color w:val="auto"/>
          <w:szCs w:val="21"/>
          <w:highlight w:val="none"/>
          <w:lang w:val="zh-CN"/>
        </w:rPr>
        <w:t xml:space="preserve">   </w:t>
      </w:r>
    </w:p>
    <w:tbl>
      <w:tblPr>
        <w:tblStyle w:val="31"/>
        <w:tblW w:w="131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0"/>
        <w:gridCol w:w="1277"/>
        <w:gridCol w:w="1244"/>
        <w:gridCol w:w="1350"/>
        <w:gridCol w:w="1032"/>
        <w:gridCol w:w="988"/>
        <w:gridCol w:w="1285"/>
        <w:gridCol w:w="1270"/>
        <w:gridCol w:w="1270"/>
        <w:gridCol w:w="1270"/>
        <w:gridCol w:w="1270"/>
      </w:tblGrid>
      <w:tr w14:paraId="5CBC2B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3" w:hRule="atLeast"/>
          <w:tblHeader/>
          <w:jc w:val="center"/>
        </w:trPr>
        <w:tc>
          <w:tcPr>
            <w:tcW w:w="860" w:type="dxa"/>
            <w:vMerge w:val="restart"/>
            <w:noWrap w:val="0"/>
            <w:vAlign w:val="center"/>
          </w:tcPr>
          <w:p w14:paraId="1C8BB89B">
            <w:pPr>
              <w:keepNext w:val="0"/>
              <w:keepLines w:val="0"/>
              <w:pageBreakBefore w:val="0"/>
              <w:widowControl w:val="0"/>
              <w:tabs>
                <w:tab w:val="left" w:pos="9135"/>
              </w:tabs>
              <w:kinsoku/>
              <w:wordWrap/>
              <w:overflowPunct/>
              <w:topLinePunct w:val="0"/>
              <w:autoSpaceDN/>
              <w:bidi w:val="0"/>
              <w:adjustRightInd/>
              <w:snapToGrid/>
              <w:spacing w:line="360" w:lineRule="exact"/>
              <w:jc w:val="center"/>
              <w:textAlignment w:val="auto"/>
              <w:rPr>
                <w:rFonts w:hint="eastAsia" w:ascii="宋体" w:hAnsi="宋体" w:eastAsia="宋体" w:cs="宋体"/>
                <w:bCs/>
                <w:color w:val="auto"/>
                <w:sz w:val="21"/>
                <w:szCs w:val="21"/>
              </w:rPr>
            </w:pPr>
            <w:r>
              <w:rPr>
                <w:rFonts w:hint="eastAsia" w:ascii="宋体" w:hAnsi="宋体" w:eastAsia="宋体" w:cs="宋体"/>
                <w:bCs/>
                <w:color w:val="auto"/>
                <w:sz w:val="21"/>
                <w:szCs w:val="21"/>
              </w:rPr>
              <w:t>序号</w:t>
            </w:r>
          </w:p>
        </w:tc>
        <w:tc>
          <w:tcPr>
            <w:tcW w:w="1277" w:type="dxa"/>
            <w:vMerge w:val="restart"/>
            <w:noWrap w:val="0"/>
            <w:vAlign w:val="center"/>
          </w:tcPr>
          <w:p w14:paraId="652AF2ED">
            <w:pPr>
              <w:keepNext w:val="0"/>
              <w:keepLines w:val="0"/>
              <w:pageBreakBefore w:val="0"/>
              <w:widowControl w:val="0"/>
              <w:tabs>
                <w:tab w:val="left" w:pos="9135"/>
              </w:tabs>
              <w:kinsoku/>
              <w:wordWrap/>
              <w:overflowPunct/>
              <w:topLinePunct w:val="0"/>
              <w:autoSpaceDN/>
              <w:bidi w:val="0"/>
              <w:adjustRightInd/>
              <w:snapToGrid/>
              <w:spacing w:line="360" w:lineRule="exact"/>
              <w:jc w:val="center"/>
              <w:textAlignment w:val="auto"/>
              <w:rPr>
                <w:rFonts w:hint="eastAsia" w:ascii="宋体" w:hAnsi="宋体" w:eastAsia="宋体" w:cs="宋体"/>
                <w:bCs/>
                <w:color w:val="auto"/>
                <w:sz w:val="21"/>
                <w:szCs w:val="21"/>
              </w:rPr>
            </w:pPr>
            <w:r>
              <w:rPr>
                <w:rFonts w:hint="eastAsia" w:ascii="宋体" w:hAnsi="宋体" w:eastAsia="宋体" w:cs="宋体"/>
                <w:bCs/>
                <w:color w:val="auto"/>
                <w:sz w:val="21"/>
                <w:szCs w:val="21"/>
              </w:rPr>
              <w:t>产品名称</w:t>
            </w:r>
          </w:p>
        </w:tc>
        <w:tc>
          <w:tcPr>
            <w:tcW w:w="5899" w:type="dxa"/>
            <w:gridSpan w:val="5"/>
            <w:noWrap w:val="0"/>
            <w:vAlign w:val="center"/>
          </w:tcPr>
          <w:p w14:paraId="3994ABF2">
            <w:pPr>
              <w:keepNext w:val="0"/>
              <w:keepLines w:val="0"/>
              <w:pageBreakBefore w:val="0"/>
              <w:widowControl w:val="0"/>
              <w:kinsoku/>
              <w:wordWrap/>
              <w:overflowPunct/>
              <w:topLinePunct w:val="0"/>
              <w:autoSpaceDE w:val="0"/>
              <w:autoSpaceDN/>
              <w:bidi w:val="0"/>
              <w:adjustRightInd/>
              <w:snapToGrid/>
              <w:spacing w:line="360" w:lineRule="exact"/>
              <w:jc w:val="center"/>
              <w:textAlignment w:val="auto"/>
              <w:rPr>
                <w:rFonts w:hint="eastAsia" w:ascii="宋体" w:hAnsi="宋体" w:eastAsia="宋体" w:cs="宋体"/>
                <w:bCs/>
                <w:color w:val="auto"/>
                <w:sz w:val="21"/>
                <w:szCs w:val="21"/>
              </w:rPr>
            </w:pPr>
            <w:r>
              <w:rPr>
                <w:rFonts w:hint="eastAsia" w:ascii="宋体" w:hAnsi="宋体" w:eastAsia="宋体" w:cs="宋体"/>
                <w:bCs/>
                <w:color w:val="auto"/>
                <w:sz w:val="21"/>
                <w:szCs w:val="21"/>
              </w:rPr>
              <w:t>投标产品信息</w:t>
            </w:r>
          </w:p>
          <w:p w14:paraId="0CD8A714">
            <w:pPr>
              <w:keepNext w:val="0"/>
              <w:keepLines w:val="0"/>
              <w:pageBreakBefore w:val="0"/>
              <w:widowControl w:val="0"/>
              <w:tabs>
                <w:tab w:val="left" w:pos="9135"/>
              </w:tabs>
              <w:kinsoku/>
              <w:wordWrap/>
              <w:overflowPunct/>
              <w:topLinePunct w:val="0"/>
              <w:autoSpaceDN/>
              <w:bidi w:val="0"/>
              <w:adjustRightInd/>
              <w:snapToGrid/>
              <w:spacing w:line="360" w:lineRule="exact"/>
              <w:jc w:val="center"/>
              <w:textAlignment w:val="auto"/>
              <w:rPr>
                <w:rFonts w:hint="eastAsia" w:ascii="宋体" w:hAnsi="宋体" w:eastAsia="宋体" w:cs="宋体"/>
                <w:bCs/>
                <w:color w:val="auto"/>
                <w:sz w:val="21"/>
                <w:szCs w:val="21"/>
              </w:rPr>
            </w:pPr>
            <w:r>
              <w:rPr>
                <w:rFonts w:hint="eastAsia" w:ascii="宋体" w:hAnsi="宋体" w:eastAsia="宋体" w:cs="宋体"/>
                <w:bCs/>
                <w:color w:val="auto"/>
                <w:sz w:val="21"/>
                <w:szCs w:val="21"/>
              </w:rPr>
              <w:t>（应与医疗器械注册证或备案证信息一致）</w:t>
            </w:r>
          </w:p>
        </w:tc>
        <w:tc>
          <w:tcPr>
            <w:tcW w:w="1270" w:type="dxa"/>
            <w:vMerge w:val="restart"/>
            <w:noWrap w:val="0"/>
            <w:vAlign w:val="center"/>
          </w:tcPr>
          <w:p w14:paraId="7848FD7B">
            <w:pPr>
              <w:keepNext w:val="0"/>
              <w:keepLines w:val="0"/>
              <w:pageBreakBefore w:val="0"/>
              <w:widowControl w:val="0"/>
              <w:tabs>
                <w:tab w:val="left" w:pos="9135"/>
              </w:tabs>
              <w:kinsoku/>
              <w:wordWrap/>
              <w:overflowPunct/>
              <w:topLinePunct w:val="0"/>
              <w:autoSpaceDN/>
              <w:bidi w:val="0"/>
              <w:adjustRightInd/>
              <w:snapToGrid/>
              <w:spacing w:line="360" w:lineRule="exact"/>
              <w:jc w:val="center"/>
              <w:textAlignment w:val="auto"/>
              <w:rPr>
                <w:rFonts w:hint="eastAsia" w:ascii="宋体" w:hAnsi="宋体" w:eastAsia="宋体" w:cs="宋体"/>
                <w:bCs/>
                <w:color w:val="auto"/>
                <w:sz w:val="21"/>
                <w:szCs w:val="21"/>
                <w:lang w:val="en-US" w:eastAsia="zh-CN"/>
              </w:rPr>
            </w:pPr>
            <w:r>
              <w:rPr>
                <w:rFonts w:hint="eastAsia" w:ascii="宋体" w:hAnsi="宋体" w:eastAsia="宋体" w:cs="宋体"/>
                <w:bCs/>
                <w:color w:val="auto"/>
                <w:sz w:val="21"/>
                <w:szCs w:val="21"/>
                <w:lang w:val="en-US" w:eastAsia="zh-CN"/>
              </w:rPr>
              <w:t>数量</w:t>
            </w:r>
          </w:p>
        </w:tc>
        <w:tc>
          <w:tcPr>
            <w:tcW w:w="1270" w:type="dxa"/>
            <w:vMerge w:val="restart"/>
            <w:noWrap w:val="0"/>
            <w:vAlign w:val="center"/>
          </w:tcPr>
          <w:p w14:paraId="18DE9FC2">
            <w:pPr>
              <w:keepNext w:val="0"/>
              <w:keepLines w:val="0"/>
              <w:pageBreakBefore w:val="0"/>
              <w:widowControl w:val="0"/>
              <w:tabs>
                <w:tab w:val="left" w:pos="9135"/>
              </w:tabs>
              <w:kinsoku/>
              <w:wordWrap/>
              <w:overflowPunct/>
              <w:topLinePunct w:val="0"/>
              <w:autoSpaceDN/>
              <w:bidi w:val="0"/>
              <w:adjustRightInd/>
              <w:snapToGrid/>
              <w:spacing w:line="360" w:lineRule="exact"/>
              <w:jc w:val="center"/>
              <w:textAlignment w:val="auto"/>
              <w:rPr>
                <w:rFonts w:hint="eastAsia" w:ascii="宋体" w:hAnsi="宋体" w:eastAsia="宋体" w:cs="宋体"/>
                <w:bCs/>
                <w:color w:val="auto"/>
                <w:sz w:val="21"/>
                <w:szCs w:val="21"/>
                <w:lang w:val="en-US" w:eastAsia="zh-CN"/>
              </w:rPr>
            </w:pPr>
            <w:r>
              <w:rPr>
                <w:rFonts w:hint="eastAsia" w:ascii="宋体" w:hAnsi="宋体" w:eastAsia="宋体" w:cs="宋体"/>
                <w:bCs/>
                <w:color w:val="auto"/>
                <w:sz w:val="21"/>
                <w:szCs w:val="21"/>
                <w:lang w:val="en-US" w:eastAsia="zh-CN"/>
              </w:rPr>
              <w:t>单价</w:t>
            </w:r>
          </w:p>
        </w:tc>
        <w:tc>
          <w:tcPr>
            <w:tcW w:w="1270" w:type="dxa"/>
            <w:vMerge w:val="restart"/>
            <w:noWrap w:val="0"/>
            <w:vAlign w:val="center"/>
          </w:tcPr>
          <w:p w14:paraId="2A1605DE">
            <w:pPr>
              <w:keepNext w:val="0"/>
              <w:keepLines w:val="0"/>
              <w:pageBreakBefore w:val="0"/>
              <w:widowControl w:val="0"/>
              <w:tabs>
                <w:tab w:val="left" w:pos="9135"/>
              </w:tabs>
              <w:kinsoku/>
              <w:wordWrap/>
              <w:overflowPunct/>
              <w:topLinePunct w:val="0"/>
              <w:autoSpaceDN/>
              <w:bidi w:val="0"/>
              <w:adjustRightInd/>
              <w:snapToGrid/>
              <w:spacing w:line="360" w:lineRule="exact"/>
              <w:jc w:val="center"/>
              <w:textAlignment w:val="auto"/>
              <w:rPr>
                <w:rFonts w:hint="eastAsia" w:ascii="宋体" w:hAnsi="宋体" w:eastAsia="宋体" w:cs="宋体"/>
                <w:bCs/>
                <w:color w:val="auto"/>
                <w:sz w:val="21"/>
                <w:szCs w:val="21"/>
                <w:lang w:val="en-US" w:eastAsia="zh-CN"/>
              </w:rPr>
            </w:pPr>
            <w:r>
              <w:rPr>
                <w:rFonts w:hint="eastAsia" w:ascii="宋体" w:hAnsi="宋体" w:eastAsia="宋体" w:cs="宋体"/>
                <w:bCs/>
                <w:color w:val="auto"/>
                <w:sz w:val="21"/>
                <w:szCs w:val="21"/>
                <w:lang w:val="en-US" w:eastAsia="zh-CN"/>
              </w:rPr>
              <w:t>合价</w:t>
            </w:r>
          </w:p>
        </w:tc>
        <w:tc>
          <w:tcPr>
            <w:tcW w:w="1270" w:type="dxa"/>
            <w:vMerge w:val="restart"/>
            <w:noWrap w:val="0"/>
            <w:vAlign w:val="center"/>
          </w:tcPr>
          <w:p w14:paraId="61D383BE">
            <w:pPr>
              <w:keepNext w:val="0"/>
              <w:keepLines w:val="0"/>
              <w:pageBreakBefore w:val="0"/>
              <w:widowControl w:val="0"/>
              <w:tabs>
                <w:tab w:val="left" w:pos="9135"/>
              </w:tabs>
              <w:kinsoku/>
              <w:wordWrap/>
              <w:overflowPunct/>
              <w:topLinePunct w:val="0"/>
              <w:autoSpaceDN/>
              <w:bidi w:val="0"/>
              <w:adjustRightInd/>
              <w:snapToGrid/>
              <w:spacing w:line="360" w:lineRule="exact"/>
              <w:jc w:val="center"/>
              <w:textAlignment w:val="auto"/>
              <w:rPr>
                <w:rFonts w:hint="eastAsia" w:ascii="宋体" w:hAnsi="宋体" w:eastAsia="宋体" w:cs="宋体"/>
                <w:bCs/>
                <w:color w:val="auto"/>
                <w:sz w:val="21"/>
                <w:szCs w:val="21"/>
                <w:lang w:val="en-US" w:eastAsia="zh-CN"/>
              </w:rPr>
            </w:pPr>
            <w:r>
              <w:rPr>
                <w:rFonts w:hint="eastAsia" w:ascii="宋体" w:hAnsi="宋体" w:eastAsia="宋体" w:cs="宋体"/>
                <w:bCs/>
                <w:color w:val="auto"/>
                <w:sz w:val="21"/>
                <w:szCs w:val="21"/>
                <w:lang w:val="en-US" w:eastAsia="zh-CN"/>
              </w:rPr>
              <w:t>备注（包装规格）</w:t>
            </w:r>
          </w:p>
        </w:tc>
      </w:tr>
      <w:tr w14:paraId="254F73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9" w:hRule="atLeast"/>
          <w:tblHeader/>
          <w:jc w:val="center"/>
        </w:trPr>
        <w:tc>
          <w:tcPr>
            <w:tcW w:w="860" w:type="dxa"/>
            <w:vMerge w:val="continue"/>
            <w:noWrap w:val="0"/>
            <w:vAlign w:val="center"/>
          </w:tcPr>
          <w:p w14:paraId="596A5DCF">
            <w:pPr>
              <w:keepNext w:val="0"/>
              <w:keepLines w:val="0"/>
              <w:pageBreakBefore w:val="0"/>
              <w:widowControl w:val="0"/>
              <w:tabs>
                <w:tab w:val="left" w:pos="9135"/>
              </w:tabs>
              <w:kinsoku/>
              <w:wordWrap/>
              <w:overflowPunct/>
              <w:topLinePunct w:val="0"/>
              <w:autoSpaceDN/>
              <w:bidi w:val="0"/>
              <w:adjustRightInd/>
              <w:snapToGrid/>
              <w:spacing w:line="360" w:lineRule="exact"/>
              <w:jc w:val="center"/>
              <w:textAlignment w:val="auto"/>
              <w:rPr>
                <w:rFonts w:hint="eastAsia" w:ascii="宋体" w:hAnsi="宋体" w:eastAsia="宋体" w:cs="宋体"/>
                <w:bCs/>
                <w:color w:val="auto"/>
                <w:sz w:val="21"/>
                <w:szCs w:val="21"/>
              </w:rPr>
            </w:pPr>
          </w:p>
        </w:tc>
        <w:tc>
          <w:tcPr>
            <w:tcW w:w="1277" w:type="dxa"/>
            <w:vMerge w:val="continue"/>
            <w:noWrap w:val="0"/>
            <w:vAlign w:val="center"/>
          </w:tcPr>
          <w:p w14:paraId="694AB443">
            <w:pPr>
              <w:keepNext w:val="0"/>
              <w:keepLines w:val="0"/>
              <w:pageBreakBefore w:val="0"/>
              <w:widowControl w:val="0"/>
              <w:tabs>
                <w:tab w:val="left" w:pos="9135"/>
              </w:tabs>
              <w:kinsoku/>
              <w:wordWrap/>
              <w:overflowPunct/>
              <w:topLinePunct w:val="0"/>
              <w:autoSpaceDN/>
              <w:bidi w:val="0"/>
              <w:adjustRightInd/>
              <w:snapToGrid/>
              <w:spacing w:line="360" w:lineRule="exact"/>
              <w:jc w:val="center"/>
              <w:textAlignment w:val="auto"/>
              <w:rPr>
                <w:rFonts w:hint="eastAsia" w:ascii="宋体" w:hAnsi="宋体" w:eastAsia="宋体" w:cs="宋体"/>
                <w:bCs/>
                <w:color w:val="auto"/>
                <w:sz w:val="21"/>
                <w:szCs w:val="21"/>
              </w:rPr>
            </w:pPr>
          </w:p>
        </w:tc>
        <w:tc>
          <w:tcPr>
            <w:tcW w:w="1244" w:type="dxa"/>
            <w:noWrap w:val="0"/>
            <w:vAlign w:val="center"/>
          </w:tcPr>
          <w:p w14:paraId="56EA38B8">
            <w:pPr>
              <w:keepNext w:val="0"/>
              <w:keepLines w:val="0"/>
              <w:pageBreakBefore w:val="0"/>
              <w:widowControl w:val="0"/>
              <w:tabs>
                <w:tab w:val="left" w:pos="9135"/>
              </w:tabs>
              <w:kinsoku/>
              <w:wordWrap/>
              <w:overflowPunct/>
              <w:topLinePunct w:val="0"/>
              <w:autoSpaceDN/>
              <w:bidi w:val="0"/>
              <w:adjustRightInd/>
              <w:snapToGrid/>
              <w:spacing w:line="360" w:lineRule="exact"/>
              <w:jc w:val="center"/>
              <w:textAlignment w:val="auto"/>
              <w:rPr>
                <w:rFonts w:hint="eastAsia" w:ascii="宋体" w:hAnsi="宋体" w:eastAsia="宋体" w:cs="宋体"/>
                <w:bCs/>
                <w:color w:val="auto"/>
                <w:sz w:val="21"/>
                <w:szCs w:val="21"/>
              </w:rPr>
            </w:pPr>
            <w:r>
              <w:rPr>
                <w:rFonts w:hint="eastAsia" w:ascii="宋体" w:hAnsi="宋体" w:eastAsia="宋体" w:cs="宋体"/>
                <w:bCs/>
                <w:color w:val="auto"/>
                <w:sz w:val="21"/>
                <w:szCs w:val="21"/>
              </w:rPr>
              <w:t>投标产品注册证名称</w:t>
            </w:r>
          </w:p>
        </w:tc>
        <w:tc>
          <w:tcPr>
            <w:tcW w:w="1350" w:type="dxa"/>
            <w:noWrap w:val="0"/>
            <w:vAlign w:val="center"/>
          </w:tcPr>
          <w:p w14:paraId="1DE17B26">
            <w:pPr>
              <w:keepNext w:val="0"/>
              <w:keepLines w:val="0"/>
              <w:pageBreakBefore w:val="0"/>
              <w:widowControl w:val="0"/>
              <w:tabs>
                <w:tab w:val="left" w:pos="9135"/>
              </w:tabs>
              <w:kinsoku/>
              <w:wordWrap/>
              <w:overflowPunct/>
              <w:topLinePunct w:val="0"/>
              <w:autoSpaceDN/>
              <w:bidi w:val="0"/>
              <w:adjustRightInd/>
              <w:snapToGrid/>
              <w:spacing w:line="360" w:lineRule="exact"/>
              <w:jc w:val="center"/>
              <w:textAlignment w:val="auto"/>
              <w:rPr>
                <w:rFonts w:hint="eastAsia" w:ascii="宋体" w:hAnsi="宋体" w:eastAsia="宋体" w:cs="宋体"/>
                <w:bCs/>
                <w:color w:val="auto"/>
                <w:sz w:val="21"/>
                <w:szCs w:val="21"/>
              </w:rPr>
            </w:pPr>
            <w:r>
              <w:rPr>
                <w:rFonts w:hint="eastAsia" w:ascii="宋体" w:hAnsi="宋体" w:eastAsia="宋体" w:cs="宋体"/>
                <w:bCs/>
                <w:color w:val="auto"/>
                <w:sz w:val="21"/>
                <w:szCs w:val="21"/>
              </w:rPr>
              <w:t>规格型号</w:t>
            </w:r>
          </w:p>
        </w:tc>
        <w:tc>
          <w:tcPr>
            <w:tcW w:w="1032" w:type="dxa"/>
            <w:noWrap w:val="0"/>
            <w:vAlign w:val="center"/>
          </w:tcPr>
          <w:p w14:paraId="4DF0DF44">
            <w:pPr>
              <w:keepNext w:val="0"/>
              <w:keepLines w:val="0"/>
              <w:pageBreakBefore w:val="0"/>
              <w:widowControl w:val="0"/>
              <w:tabs>
                <w:tab w:val="left" w:pos="9135"/>
              </w:tabs>
              <w:kinsoku/>
              <w:wordWrap/>
              <w:overflowPunct/>
              <w:topLinePunct w:val="0"/>
              <w:autoSpaceDN/>
              <w:bidi w:val="0"/>
              <w:adjustRightInd/>
              <w:snapToGrid/>
              <w:spacing w:line="360" w:lineRule="exact"/>
              <w:jc w:val="center"/>
              <w:textAlignment w:val="auto"/>
              <w:rPr>
                <w:rFonts w:hint="eastAsia" w:ascii="宋体" w:hAnsi="宋体" w:eastAsia="宋体" w:cs="宋体"/>
                <w:bCs/>
                <w:color w:val="auto"/>
                <w:sz w:val="21"/>
                <w:szCs w:val="21"/>
              </w:rPr>
            </w:pPr>
            <w:r>
              <w:rPr>
                <w:rFonts w:hint="eastAsia" w:ascii="宋体" w:hAnsi="宋体" w:eastAsia="宋体" w:cs="宋体"/>
                <w:bCs/>
                <w:color w:val="auto"/>
                <w:sz w:val="21"/>
                <w:szCs w:val="21"/>
              </w:rPr>
              <w:t>生产厂家</w:t>
            </w:r>
          </w:p>
        </w:tc>
        <w:tc>
          <w:tcPr>
            <w:tcW w:w="988" w:type="dxa"/>
            <w:noWrap w:val="0"/>
            <w:vAlign w:val="center"/>
          </w:tcPr>
          <w:p w14:paraId="48D93436">
            <w:pPr>
              <w:keepNext w:val="0"/>
              <w:keepLines w:val="0"/>
              <w:pageBreakBefore w:val="0"/>
              <w:widowControl w:val="0"/>
              <w:tabs>
                <w:tab w:val="left" w:pos="9135"/>
              </w:tabs>
              <w:kinsoku/>
              <w:wordWrap/>
              <w:overflowPunct/>
              <w:topLinePunct w:val="0"/>
              <w:autoSpaceDN/>
              <w:bidi w:val="0"/>
              <w:adjustRightInd/>
              <w:snapToGrid/>
              <w:spacing w:line="360" w:lineRule="exact"/>
              <w:jc w:val="center"/>
              <w:textAlignment w:val="auto"/>
              <w:rPr>
                <w:rFonts w:hint="eastAsia" w:ascii="宋体" w:hAnsi="宋体" w:eastAsia="宋体" w:cs="宋体"/>
                <w:bCs/>
                <w:color w:val="auto"/>
                <w:sz w:val="21"/>
                <w:szCs w:val="21"/>
                <w:lang w:val="en-US" w:eastAsia="zh-CN"/>
              </w:rPr>
            </w:pPr>
            <w:r>
              <w:rPr>
                <w:rFonts w:hint="eastAsia" w:ascii="宋体" w:hAnsi="宋体" w:eastAsia="宋体" w:cs="宋体"/>
                <w:bCs/>
                <w:color w:val="auto"/>
                <w:sz w:val="21"/>
                <w:szCs w:val="21"/>
                <w:lang w:val="en-US" w:eastAsia="zh-CN"/>
              </w:rPr>
              <w:t>产地</w:t>
            </w:r>
          </w:p>
        </w:tc>
        <w:tc>
          <w:tcPr>
            <w:tcW w:w="1285" w:type="dxa"/>
            <w:noWrap w:val="0"/>
            <w:vAlign w:val="center"/>
          </w:tcPr>
          <w:p w14:paraId="1093478E">
            <w:pPr>
              <w:keepNext w:val="0"/>
              <w:keepLines w:val="0"/>
              <w:pageBreakBefore w:val="0"/>
              <w:widowControl w:val="0"/>
              <w:tabs>
                <w:tab w:val="left" w:pos="9135"/>
              </w:tabs>
              <w:kinsoku/>
              <w:wordWrap/>
              <w:overflowPunct/>
              <w:topLinePunct w:val="0"/>
              <w:autoSpaceDN/>
              <w:bidi w:val="0"/>
              <w:adjustRightInd/>
              <w:snapToGrid/>
              <w:spacing w:line="360" w:lineRule="exact"/>
              <w:jc w:val="center"/>
              <w:textAlignment w:val="auto"/>
              <w:rPr>
                <w:rFonts w:hint="eastAsia" w:ascii="宋体" w:hAnsi="宋体" w:eastAsia="宋体" w:cs="宋体"/>
                <w:bCs/>
                <w:color w:val="auto"/>
                <w:sz w:val="21"/>
                <w:szCs w:val="21"/>
                <w:lang w:val="en-US" w:eastAsia="zh-CN"/>
              </w:rPr>
            </w:pPr>
            <w:r>
              <w:rPr>
                <w:rFonts w:hint="eastAsia" w:ascii="宋体" w:hAnsi="宋体" w:eastAsia="宋体" w:cs="宋体"/>
                <w:bCs/>
                <w:color w:val="auto"/>
                <w:sz w:val="21"/>
                <w:szCs w:val="21"/>
                <w:lang w:val="en-US" w:eastAsia="zh-CN"/>
              </w:rPr>
              <w:t>注册证号</w:t>
            </w:r>
          </w:p>
        </w:tc>
        <w:tc>
          <w:tcPr>
            <w:tcW w:w="1270" w:type="dxa"/>
            <w:vMerge w:val="continue"/>
            <w:noWrap w:val="0"/>
            <w:vAlign w:val="center"/>
          </w:tcPr>
          <w:p w14:paraId="27987854">
            <w:pPr>
              <w:tabs>
                <w:tab w:val="left" w:pos="9135"/>
              </w:tabs>
              <w:spacing w:line="360" w:lineRule="auto"/>
              <w:jc w:val="center"/>
              <w:rPr>
                <w:rFonts w:hint="eastAsia" w:ascii="宋体" w:hAnsi="宋体" w:eastAsia="宋体" w:cs="宋体"/>
                <w:bCs/>
                <w:color w:val="auto"/>
                <w:sz w:val="21"/>
                <w:szCs w:val="21"/>
                <w:lang w:val="en-US" w:eastAsia="zh-CN"/>
              </w:rPr>
            </w:pPr>
          </w:p>
        </w:tc>
        <w:tc>
          <w:tcPr>
            <w:tcW w:w="1270" w:type="dxa"/>
            <w:vMerge w:val="continue"/>
            <w:noWrap w:val="0"/>
            <w:vAlign w:val="center"/>
          </w:tcPr>
          <w:p w14:paraId="64AC558D">
            <w:pPr>
              <w:tabs>
                <w:tab w:val="left" w:pos="9135"/>
              </w:tabs>
              <w:spacing w:line="360" w:lineRule="auto"/>
              <w:jc w:val="center"/>
              <w:rPr>
                <w:rFonts w:hint="eastAsia" w:ascii="宋体" w:hAnsi="宋体" w:eastAsia="宋体" w:cs="宋体"/>
                <w:bCs/>
                <w:color w:val="auto"/>
                <w:sz w:val="21"/>
                <w:szCs w:val="21"/>
                <w:lang w:val="en-US" w:eastAsia="zh-CN"/>
              </w:rPr>
            </w:pPr>
          </w:p>
        </w:tc>
        <w:tc>
          <w:tcPr>
            <w:tcW w:w="1270" w:type="dxa"/>
            <w:vMerge w:val="continue"/>
            <w:noWrap w:val="0"/>
            <w:vAlign w:val="center"/>
          </w:tcPr>
          <w:p w14:paraId="3F81A06D">
            <w:pPr>
              <w:tabs>
                <w:tab w:val="left" w:pos="9135"/>
              </w:tabs>
              <w:spacing w:line="360" w:lineRule="auto"/>
              <w:jc w:val="center"/>
              <w:rPr>
                <w:rFonts w:hint="eastAsia" w:ascii="宋体" w:hAnsi="宋体" w:eastAsia="宋体" w:cs="宋体"/>
                <w:bCs/>
                <w:color w:val="auto"/>
                <w:sz w:val="21"/>
                <w:szCs w:val="21"/>
                <w:lang w:val="en-US"/>
              </w:rPr>
            </w:pPr>
          </w:p>
        </w:tc>
        <w:tc>
          <w:tcPr>
            <w:tcW w:w="1270" w:type="dxa"/>
            <w:vMerge w:val="continue"/>
            <w:noWrap w:val="0"/>
            <w:vAlign w:val="center"/>
          </w:tcPr>
          <w:p w14:paraId="514DD46E">
            <w:pPr>
              <w:tabs>
                <w:tab w:val="left" w:pos="9135"/>
              </w:tabs>
              <w:spacing w:line="360" w:lineRule="auto"/>
              <w:jc w:val="center"/>
              <w:rPr>
                <w:rFonts w:hint="eastAsia" w:ascii="宋体" w:hAnsi="宋体" w:eastAsia="宋体" w:cs="宋体"/>
                <w:bCs/>
                <w:color w:val="auto"/>
                <w:sz w:val="21"/>
                <w:szCs w:val="21"/>
                <w:lang w:val="en-US"/>
              </w:rPr>
            </w:pPr>
          </w:p>
        </w:tc>
      </w:tr>
      <w:tr w14:paraId="750D37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jc w:val="center"/>
        </w:trPr>
        <w:tc>
          <w:tcPr>
            <w:tcW w:w="860" w:type="dxa"/>
            <w:noWrap w:val="0"/>
            <w:vAlign w:val="center"/>
          </w:tcPr>
          <w:p w14:paraId="7654927D">
            <w:pPr>
              <w:tabs>
                <w:tab w:val="left" w:pos="9135"/>
              </w:tabs>
              <w:spacing w:line="360" w:lineRule="auto"/>
              <w:jc w:val="center"/>
              <w:rPr>
                <w:rFonts w:hint="eastAsia" w:ascii="宋体" w:hAnsi="宋体" w:eastAsia="宋体" w:cs="宋体"/>
                <w:bCs/>
                <w:color w:val="auto"/>
                <w:sz w:val="21"/>
                <w:szCs w:val="21"/>
                <w:lang w:val="en-US" w:eastAsia="zh-CN"/>
              </w:rPr>
            </w:pPr>
            <w:r>
              <w:rPr>
                <w:rFonts w:hint="eastAsia" w:ascii="宋体" w:hAnsi="宋体" w:eastAsia="宋体" w:cs="宋体"/>
                <w:bCs/>
                <w:color w:val="auto"/>
                <w:sz w:val="21"/>
                <w:szCs w:val="21"/>
                <w:lang w:val="en-US" w:eastAsia="zh-CN"/>
              </w:rPr>
              <w:t>1</w:t>
            </w:r>
          </w:p>
        </w:tc>
        <w:tc>
          <w:tcPr>
            <w:tcW w:w="1277" w:type="dxa"/>
            <w:noWrap w:val="0"/>
            <w:vAlign w:val="center"/>
          </w:tcPr>
          <w:p w14:paraId="1F00A059">
            <w:pPr>
              <w:tabs>
                <w:tab w:val="left" w:pos="9135"/>
              </w:tabs>
              <w:spacing w:line="360" w:lineRule="auto"/>
              <w:jc w:val="center"/>
              <w:rPr>
                <w:rFonts w:hint="eastAsia" w:ascii="宋体" w:hAnsi="宋体" w:eastAsia="宋体" w:cs="宋体"/>
                <w:bCs/>
                <w:color w:val="auto"/>
                <w:sz w:val="21"/>
                <w:szCs w:val="21"/>
              </w:rPr>
            </w:pPr>
          </w:p>
        </w:tc>
        <w:tc>
          <w:tcPr>
            <w:tcW w:w="1244" w:type="dxa"/>
            <w:noWrap w:val="0"/>
            <w:vAlign w:val="center"/>
          </w:tcPr>
          <w:p w14:paraId="1B8C7949">
            <w:pPr>
              <w:tabs>
                <w:tab w:val="left" w:pos="9135"/>
              </w:tabs>
              <w:spacing w:line="360" w:lineRule="auto"/>
              <w:jc w:val="center"/>
              <w:rPr>
                <w:rFonts w:hint="eastAsia" w:ascii="宋体" w:hAnsi="宋体" w:eastAsia="宋体" w:cs="宋体"/>
                <w:bCs/>
                <w:color w:val="auto"/>
                <w:sz w:val="21"/>
                <w:szCs w:val="21"/>
              </w:rPr>
            </w:pPr>
          </w:p>
        </w:tc>
        <w:tc>
          <w:tcPr>
            <w:tcW w:w="1350" w:type="dxa"/>
            <w:noWrap w:val="0"/>
            <w:vAlign w:val="center"/>
          </w:tcPr>
          <w:p w14:paraId="70B4612A">
            <w:pPr>
              <w:tabs>
                <w:tab w:val="left" w:pos="9135"/>
              </w:tabs>
              <w:spacing w:line="360" w:lineRule="auto"/>
              <w:jc w:val="center"/>
              <w:rPr>
                <w:rFonts w:hint="eastAsia" w:ascii="宋体" w:hAnsi="宋体" w:eastAsia="宋体" w:cs="宋体"/>
                <w:bCs/>
                <w:color w:val="auto"/>
                <w:sz w:val="21"/>
                <w:szCs w:val="21"/>
              </w:rPr>
            </w:pPr>
          </w:p>
        </w:tc>
        <w:tc>
          <w:tcPr>
            <w:tcW w:w="1032" w:type="dxa"/>
            <w:noWrap w:val="0"/>
            <w:vAlign w:val="center"/>
          </w:tcPr>
          <w:p w14:paraId="0B242C48">
            <w:pPr>
              <w:tabs>
                <w:tab w:val="left" w:pos="9135"/>
              </w:tabs>
              <w:spacing w:line="360" w:lineRule="auto"/>
              <w:jc w:val="center"/>
              <w:rPr>
                <w:rFonts w:hint="eastAsia" w:ascii="宋体" w:hAnsi="宋体" w:eastAsia="宋体" w:cs="宋体"/>
                <w:bCs/>
                <w:color w:val="auto"/>
                <w:sz w:val="21"/>
                <w:szCs w:val="21"/>
              </w:rPr>
            </w:pPr>
          </w:p>
        </w:tc>
        <w:tc>
          <w:tcPr>
            <w:tcW w:w="988" w:type="dxa"/>
            <w:noWrap w:val="0"/>
            <w:vAlign w:val="center"/>
          </w:tcPr>
          <w:p w14:paraId="0D4E155B">
            <w:pPr>
              <w:tabs>
                <w:tab w:val="left" w:pos="9135"/>
              </w:tabs>
              <w:spacing w:line="360" w:lineRule="auto"/>
              <w:jc w:val="center"/>
              <w:rPr>
                <w:rFonts w:hint="eastAsia" w:ascii="宋体" w:hAnsi="宋体" w:eastAsia="宋体" w:cs="宋体"/>
                <w:bCs/>
                <w:color w:val="auto"/>
                <w:sz w:val="21"/>
                <w:szCs w:val="21"/>
              </w:rPr>
            </w:pPr>
          </w:p>
        </w:tc>
        <w:tc>
          <w:tcPr>
            <w:tcW w:w="1285" w:type="dxa"/>
            <w:noWrap w:val="0"/>
            <w:vAlign w:val="center"/>
          </w:tcPr>
          <w:p w14:paraId="1840ECC0">
            <w:pPr>
              <w:tabs>
                <w:tab w:val="left" w:pos="9135"/>
              </w:tabs>
              <w:spacing w:line="360" w:lineRule="auto"/>
              <w:jc w:val="center"/>
              <w:rPr>
                <w:rFonts w:hint="eastAsia" w:ascii="宋体" w:hAnsi="宋体" w:eastAsia="宋体" w:cs="宋体"/>
                <w:bCs/>
                <w:color w:val="auto"/>
                <w:sz w:val="21"/>
                <w:szCs w:val="21"/>
              </w:rPr>
            </w:pPr>
          </w:p>
        </w:tc>
        <w:tc>
          <w:tcPr>
            <w:tcW w:w="1270" w:type="dxa"/>
            <w:noWrap w:val="0"/>
            <w:vAlign w:val="top"/>
          </w:tcPr>
          <w:p w14:paraId="76ED8304">
            <w:pPr>
              <w:tabs>
                <w:tab w:val="left" w:pos="9135"/>
              </w:tabs>
              <w:spacing w:line="360" w:lineRule="auto"/>
              <w:jc w:val="center"/>
              <w:rPr>
                <w:rFonts w:hint="eastAsia" w:ascii="宋体" w:hAnsi="宋体" w:eastAsia="宋体" w:cs="宋体"/>
                <w:bCs/>
                <w:color w:val="auto"/>
                <w:sz w:val="21"/>
                <w:szCs w:val="21"/>
              </w:rPr>
            </w:pPr>
          </w:p>
        </w:tc>
        <w:tc>
          <w:tcPr>
            <w:tcW w:w="1270" w:type="dxa"/>
            <w:noWrap w:val="0"/>
            <w:vAlign w:val="top"/>
          </w:tcPr>
          <w:p w14:paraId="645D2979">
            <w:pPr>
              <w:tabs>
                <w:tab w:val="left" w:pos="9135"/>
              </w:tabs>
              <w:spacing w:line="360" w:lineRule="auto"/>
              <w:jc w:val="center"/>
              <w:rPr>
                <w:rFonts w:hint="eastAsia" w:ascii="宋体" w:hAnsi="宋体" w:eastAsia="宋体" w:cs="宋体"/>
                <w:bCs/>
                <w:color w:val="auto"/>
                <w:sz w:val="21"/>
                <w:szCs w:val="21"/>
              </w:rPr>
            </w:pPr>
          </w:p>
        </w:tc>
        <w:tc>
          <w:tcPr>
            <w:tcW w:w="1270" w:type="dxa"/>
            <w:noWrap w:val="0"/>
            <w:vAlign w:val="top"/>
          </w:tcPr>
          <w:p w14:paraId="03B50A9B">
            <w:pPr>
              <w:tabs>
                <w:tab w:val="left" w:pos="9135"/>
              </w:tabs>
              <w:spacing w:line="360" w:lineRule="auto"/>
              <w:rPr>
                <w:rFonts w:hint="eastAsia" w:ascii="宋体" w:hAnsi="宋体" w:eastAsia="宋体" w:cs="宋体"/>
                <w:bCs/>
                <w:color w:val="auto"/>
                <w:sz w:val="21"/>
                <w:szCs w:val="21"/>
              </w:rPr>
            </w:pPr>
          </w:p>
        </w:tc>
        <w:tc>
          <w:tcPr>
            <w:tcW w:w="1270" w:type="dxa"/>
            <w:noWrap w:val="0"/>
            <w:vAlign w:val="top"/>
          </w:tcPr>
          <w:p w14:paraId="02B80E3D">
            <w:pPr>
              <w:tabs>
                <w:tab w:val="left" w:pos="9135"/>
              </w:tabs>
              <w:spacing w:line="360" w:lineRule="auto"/>
              <w:rPr>
                <w:rFonts w:hint="eastAsia" w:ascii="宋体" w:hAnsi="宋体" w:eastAsia="宋体" w:cs="宋体"/>
                <w:bCs/>
                <w:color w:val="auto"/>
                <w:sz w:val="21"/>
                <w:szCs w:val="21"/>
              </w:rPr>
            </w:pPr>
          </w:p>
        </w:tc>
      </w:tr>
      <w:tr w14:paraId="30CCE3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jc w:val="center"/>
        </w:trPr>
        <w:tc>
          <w:tcPr>
            <w:tcW w:w="3381" w:type="dxa"/>
            <w:gridSpan w:val="3"/>
            <w:noWrap w:val="0"/>
            <w:vAlign w:val="center"/>
          </w:tcPr>
          <w:p w14:paraId="250CC5BA">
            <w:pPr>
              <w:tabs>
                <w:tab w:val="left" w:pos="9135"/>
              </w:tabs>
              <w:spacing w:line="360" w:lineRule="auto"/>
              <w:jc w:val="center"/>
              <w:rPr>
                <w:rFonts w:hint="eastAsia" w:ascii="宋体" w:hAnsi="宋体" w:eastAsia="宋体" w:cs="宋体"/>
                <w:bCs/>
                <w:color w:val="auto"/>
                <w:sz w:val="21"/>
                <w:szCs w:val="21"/>
              </w:rPr>
            </w:pPr>
            <w:r>
              <w:rPr>
                <w:rFonts w:hint="eastAsia" w:ascii="宋体" w:hAnsi="宋体" w:eastAsia="宋体" w:cs="宋体"/>
                <w:bCs/>
                <w:color w:val="auto"/>
                <w:sz w:val="21"/>
                <w:szCs w:val="21"/>
              </w:rPr>
              <w:t>交货期</w:t>
            </w:r>
          </w:p>
        </w:tc>
        <w:tc>
          <w:tcPr>
            <w:tcW w:w="9735" w:type="dxa"/>
            <w:gridSpan w:val="8"/>
            <w:noWrap w:val="0"/>
            <w:vAlign w:val="center"/>
          </w:tcPr>
          <w:p w14:paraId="2EB6322B">
            <w:pPr>
              <w:tabs>
                <w:tab w:val="left" w:pos="9135"/>
              </w:tabs>
              <w:spacing w:line="360" w:lineRule="auto"/>
              <w:jc w:val="center"/>
              <w:rPr>
                <w:rFonts w:hint="eastAsia" w:ascii="宋体" w:hAnsi="宋体" w:eastAsia="宋体" w:cs="宋体"/>
                <w:bCs/>
                <w:color w:val="auto"/>
                <w:sz w:val="21"/>
                <w:szCs w:val="21"/>
                <w:highlight w:val="green"/>
              </w:rPr>
            </w:pPr>
          </w:p>
        </w:tc>
      </w:tr>
      <w:tr w14:paraId="0BA9A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jc w:val="center"/>
        </w:trPr>
        <w:tc>
          <w:tcPr>
            <w:tcW w:w="3381" w:type="dxa"/>
            <w:gridSpan w:val="3"/>
            <w:noWrap w:val="0"/>
            <w:vAlign w:val="center"/>
          </w:tcPr>
          <w:p w14:paraId="621CC2A4">
            <w:pPr>
              <w:tabs>
                <w:tab w:val="left" w:pos="9135"/>
              </w:tabs>
              <w:spacing w:line="360" w:lineRule="auto"/>
              <w:jc w:val="center"/>
              <w:rPr>
                <w:rFonts w:hint="eastAsia" w:ascii="宋体" w:hAnsi="宋体" w:eastAsia="宋体" w:cs="宋体"/>
                <w:bCs/>
                <w:color w:val="auto"/>
                <w:sz w:val="21"/>
                <w:szCs w:val="21"/>
              </w:rPr>
            </w:pPr>
            <w:r>
              <w:rPr>
                <w:rFonts w:hint="eastAsia" w:ascii="宋体" w:hAnsi="宋体" w:eastAsia="宋体" w:cs="宋体"/>
                <w:bCs/>
                <w:color w:val="auto"/>
                <w:sz w:val="21"/>
                <w:szCs w:val="21"/>
              </w:rPr>
              <w:t>原厂保修服务时间</w:t>
            </w:r>
          </w:p>
        </w:tc>
        <w:tc>
          <w:tcPr>
            <w:tcW w:w="9735" w:type="dxa"/>
            <w:gridSpan w:val="8"/>
            <w:noWrap w:val="0"/>
            <w:vAlign w:val="center"/>
          </w:tcPr>
          <w:p w14:paraId="07751049">
            <w:pPr>
              <w:tabs>
                <w:tab w:val="left" w:pos="9135"/>
              </w:tabs>
              <w:spacing w:line="360" w:lineRule="auto"/>
              <w:jc w:val="center"/>
              <w:rPr>
                <w:rFonts w:hint="eastAsia" w:ascii="宋体" w:hAnsi="宋体" w:eastAsia="宋体" w:cs="宋体"/>
                <w:bCs/>
                <w:color w:val="auto"/>
                <w:sz w:val="21"/>
                <w:szCs w:val="21"/>
                <w:highlight w:val="green"/>
              </w:rPr>
            </w:pPr>
          </w:p>
        </w:tc>
      </w:tr>
      <w:tr w14:paraId="26174C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jc w:val="center"/>
        </w:trPr>
        <w:tc>
          <w:tcPr>
            <w:tcW w:w="3381" w:type="dxa"/>
            <w:gridSpan w:val="3"/>
            <w:noWrap w:val="0"/>
            <w:vAlign w:val="center"/>
          </w:tcPr>
          <w:p w14:paraId="25744D56">
            <w:pPr>
              <w:tabs>
                <w:tab w:val="left" w:pos="9135"/>
              </w:tabs>
              <w:spacing w:line="360" w:lineRule="auto"/>
              <w:jc w:val="center"/>
              <w:rPr>
                <w:rFonts w:hint="eastAsia" w:ascii="宋体" w:hAnsi="宋体" w:eastAsia="宋体" w:cs="宋体"/>
                <w:bCs/>
                <w:color w:val="auto"/>
                <w:sz w:val="21"/>
                <w:szCs w:val="21"/>
              </w:rPr>
            </w:pPr>
            <w:r>
              <w:rPr>
                <w:rFonts w:hint="eastAsia" w:ascii="宋体" w:hAnsi="宋体" w:eastAsia="宋体" w:cs="宋体"/>
                <w:bCs/>
                <w:color w:val="auto"/>
                <w:sz w:val="21"/>
                <w:szCs w:val="21"/>
              </w:rPr>
              <w:t>投标总报价</w:t>
            </w:r>
          </w:p>
        </w:tc>
        <w:tc>
          <w:tcPr>
            <w:tcW w:w="9735" w:type="dxa"/>
            <w:gridSpan w:val="8"/>
            <w:noWrap w:val="0"/>
            <w:vAlign w:val="center"/>
          </w:tcPr>
          <w:p w14:paraId="3EE17526">
            <w:pPr>
              <w:tabs>
                <w:tab w:val="left" w:pos="9135"/>
              </w:tabs>
              <w:spacing w:line="360" w:lineRule="auto"/>
              <w:rPr>
                <w:rFonts w:hint="eastAsia" w:ascii="宋体" w:hAnsi="宋体" w:eastAsia="宋体" w:cs="宋体"/>
                <w:bCs/>
                <w:color w:val="auto"/>
                <w:sz w:val="21"/>
                <w:szCs w:val="21"/>
              </w:rPr>
            </w:pPr>
            <w:r>
              <w:rPr>
                <w:rFonts w:hint="eastAsia" w:ascii="宋体" w:hAnsi="宋体" w:eastAsia="宋体" w:cs="宋体"/>
                <w:bCs/>
                <w:color w:val="auto"/>
                <w:sz w:val="21"/>
                <w:szCs w:val="21"/>
              </w:rPr>
              <w:t>小写（元）：</w:t>
            </w:r>
          </w:p>
          <w:p w14:paraId="13546EF7">
            <w:pPr>
              <w:pStyle w:val="29"/>
              <w:ind w:firstLine="0" w:firstLineChars="0"/>
              <w:rPr>
                <w:rFonts w:hint="eastAsia" w:ascii="宋体" w:hAnsi="宋体" w:eastAsia="宋体" w:cs="宋体"/>
                <w:bCs/>
                <w:color w:val="auto"/>
                <w:sz w:val="21"/>
                <w:szCs w:val="21"/>
              </w:rPr>
            </w:pPr>
            <w:r>
              <w:rPr>
                <w:rFonts w:hint="eastAsia" w:ascii="宋体" w:hAnsi="宋体" w:eastAsia="宋体" w:cs="宋体"/>
                <w:bCs/>
                <w:color w:val="auto"/>
                <w:sz w:val="21"/>
                <w:szCs w:val="21"/>
              </w:rPr>
              <w:t>大写（元）：</w:t>
            </w:r>
          </w:p>
        </w:tc>
      </w:tr>
      <w:tr w14:paraId="29FC8C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3381" w:type="dxa"/>
            <w:gridSpan w:val="3"/>
            <w:noWrap w:val="0"/>
            <w:vAlign w:val="center"/>
          </w:tcPr>
          <w:p w14:paraId="3E9959FC">
            <w:pPr>
              <w:tabs>
                <w:tab w:val="left" w:pos="9135"/>
              </w:tabs>
              <w:spacing w:line="360" w:lineRule="auto"/>
              <w:jc w:val="center"/>
              <w:rPr>
                <w:rFonts w:hint="eastAsia" w:ascii="宋体" w:hAnsi="宋体" w:eastAsia="宋体" w:cs="宋体"/>
                <w:bCs/>
                <w:color w:val="auto"/>
                <w:sz w:val="21"/>
                <w:szCs w:val="21"/>
                <w:lang w:val="en-US" w:eastAsia="zh-CN"/>
              </w:rPr>
            </w:pPr>
            <w:r>
              <w:rPr>
                <w:rFonts w:hint="eastAsia" w:ascii="宋体" w:hAnsi="宋体" w:eastAsia="宋体" w:cs="宋体"/>
                <w:bCs/>
                <w:color w:val="auto"/>
                <w:sz w:val="21"/>
                <w:szCs w:val="21"/>
                <w:lang w:val="en-US" w:eastAsia="zh-CN"/>
              </w:rPr>
              <w:t>备注</w:t>
            </w:r>
          </w:p>
        </w:tc>
        <w:tc>
          <w:tcPr>
            <w:tcW w:w="9735" w:type="dxa"/>
            <w:gridSpan w:val="8"/>
            <w:noWrap w:val="0"/>
            <w:vAlign w:val="center"/>
          </w:tcPr>
          <w:p w14:paraId="6EC84295">
            <w:pPr>
              <w:pStyle w:val="29"/>
              <w:ind w:firstLine="0" w:firstLineChars="0"/>
              <w:rPr>
                <w:rFonts w:hint="eastAsia" w:ascii="宋体" w:hAnsi="宋体" w:eastAsia="宋体" w:cs="宋体"/>
                <w:bCs/>
                <w:color w:val="auto"/>
                <w:sz w:val="21"/>
                <w:szCs w:val="21"/>
              </w:rPr>
            </w:pPr>
          </w:p>
        </w:tc>
      </w:tr>
    </w:tbl>
    <w:p w14:paraId="51101AF7">
      <w:pPr>
        <w:spacing w:line="300" w:lineRule="auto"/>
        <w:ind w:firstLine="960" w:firstLineChars="400"/>
        <w:rPr>
          <w:rFonts w:ascii="Arial" w:hAnsi="Arial" w:cs="Arial"/>
          <w:color w:val="auto"/>
          <w:szCs w:val="21"/>
          <w:highlight w:val="none"/>
        </w:rPr>
      </w:pPr>
      <w:r>
        <w:rPr>
          <w:rFonts w:ascii="Arial" w:hAnsi="Arial" w:cs="Arial"/>
          <w:color w:val="auto"/>
          <w:szCs w:val="21"/>
          <w:highlight w:val="none"/>
        </w:rPr>
        <w:t>投标人名称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ascii="Arial" w:hAnsi="Arial" w:cs="Arial"/>
          <w:color w:val="auto"/>
          <w:szCs w:val="21"/>
          <w:highlight w:val="none"/>
        </w:rPr>
        <w:t>：</w:t>
      </w:r>
    </w:p>
    <w:p w14:paraId="2F327AC4">
      <w:pPr>
        <w:spacing w:line="300" w:lineRule="auto"/>
        <w:ind w:firstLine="960" w:firstLineChars="400"/>
        <w:rPr>
          <w:rFonts w:ascii="Arial" w:hAnsi="Arial" w:cs="Arial"/>
          <w:color w:val="auto"/>
          <w:szCs w:val="21"/>
          <w:highlight w:val="none"/>
        </w:rPr>
      </w:pPr>
      <w:r>
        <w:rPr>
          <w:rFonts w:ascii="Arial" w:hAnsi="Arial" w:cs="Arial"/>
          <w:color w:val="auto"/>
          <w:szCs w:val="21"/>
          <w:highlight w:val="none"/>
        </w:rPr>
        <w:t>日期：</w:t>
      </w:r>
    </w:p>
    <w:p w14:paraId="224507B8">
      <w:pPr>
        <w:spacing w:line="360" w:lineRule="auto"/>
        <w:rPr>
          <w:rFonts w:hint="eastAsia" w:ascii="宋体" w:hAnsi="宋体" w:eastAsia="宋体" w:cs="宋体"/>
          <w:b/>
          <w:color w:val="auto"/>
          <w:sz w:val="21"/>
          <w:szCs w:val="21"/>
          <w:highlight w:val="none"/>
          <w:lang w:eastAsia="zh-CN"/>
        </w:rPr>
        <w:sectPr>
          <w:footerReference r:id="rId13" w:type="default"/>
          <w:pgSz w:w="16838" w:h="11905" w:orient="landscape"/>
          <w:pgMar w:top="1417" w:right="720" w:bottom="1417" w:left="720" w:header="850" w:footer="992" w:gutter="0"/>
          <w:pgNumType w:fmt="numberInDash"/>
          <w:cols w:space="0" w:num="1"/>
          <w:rtlGutter w:val="0"/>
          <w:docGrid w:type="lines" w:linePitch="431" w:charSpace="0"/>
        </w:sectPr>
      </w:pPr>
    </w:p>
    <w:p w14:paraId="2BD20AC0">
      <w:pPr>
        <w:spacing w:line="360" w:lineRule="auto"/>
        <w:rPr>
          <w:rFonts w:hint="default" w:ascii="宋体" w:hAnsi="宋体" w:eastAsia="宋体" w:cs="宋体"/>
          <w:color w:val="auto"/>
          <w:sz w:val="21"/>
          <w:szCs w:val="21"/>
          <w:highlight w:val="none"/>
          <w:lang w:val="en-US" w:eastAsia="zh-CN"/>
        </w:rPr>
      </w:pPr>
      <w:r>
        <w:rPr>
          <w:rFonts w:hint="eastAsia" w:ascii="宋体" w:hAnsi="宋体" w:eastAsia="宋体" w:cs="宋体"/>
          <w:b/>
          <w:color w:val="auto"/>
          <w:sz w:val="21"/>
          <w:szCs w:val="21"/>
          <w:highlight w:val="none"/>
          <w:lang w:eastAsia="zh-CN"/>
        </w:rPr>
        <w:t>注：</w:t>
      </w:r>
      <w:r>
        <w:rPr>
          <w:rFonts w:hint="eastAsia" w:ascii="宋体" w:hAnsi="宋体" w:eastAsia="宋体" w:cs="宋体"/>
          <w:color w:val="auto"/>
          <w:sz w:val="21"/>
          <w:szCs w:val="21"/>
          <w:highlight w:val="none"/>
          <w:lang w:val="en-US" w:eastAsia="zh-CN"/>
        </w:rPr>
        <w:t>1.</w:t>
      </w:r>
      <w:r>
        <w:rPr>
          <w:rFonts w:hint="default" w:ascii="宋体" w:hAnsi="宋体" w:eastAsia="宋体" w:cs="宋体"/>
          <w:color w:val="auto"/>
          <w:sz w:val="21"/>
          <w:szCs w:val="21"/>
          <w:highlight w:val="none"/>
          <w:lang w:val="en-US" w:eastAsia="zh-CN"/>
        </w:rPr>
        <w:t>按照本表填写的</w:t>
      </w:r>
      <w:r>
        <w:rPr>
          <w:rFonts w:hint="eastAsia" w:cs="宋体"/>
          <w:color w:val="auto"/>
          <w:sz w:val="21"/>
          <w:szCs w:val="21"/>
          <w:highlight w:val="none"/>
          <w:lang w:val="en-US" w:eastAsia="zh-CN"/>
        </w:rPr>
        <w:t>总</w:t>
      </w:r>
      <w:r>
        <w:rPr>
          <w:rFonts w:hint="default" w:ascii="宋体" w:hAnsi="宋体" w:eastAsia="宋体" w:cs="宋体"/>
          <w:color w:val="auto"/>
          <w:sz w:val="21"/>
          <w:szCs w:val="21"/>
          <w:highlight w:val="none"/>
          <w:lang w:val="en-US" w:eastAsia="zh-CN"/>
        </w:rPr>
        <w:t>价填写到</w:t>
      </w:r>
      <w:r>
        <w:rPr>
          <w:rFonts w:hint="eastAsia" w:ascii="宋体" w:hAnsi="宋体" w:eastAsia="宋体" w:cs="宋体"/>
          <w:color w:val="auto"/>
          <w:sz w:val="21"/>
          <w:szCs w:val="21"/>
          <w:highlight w:val="none"/>
          <w:lang w:val="en-US" w:eastAsia="zh-CN"/>
        </w:rPr>
        <w:t>“</w:t>
      </w:r>
      <w:r>
        <w:rPr>
          <w:rFonts w:hint="eastAsia" w:cs="宋体"/>
          <w:color w:val="auto"/>
          <w:sz w:val="21"/>
          <w:szCs w:val="21"/>
          <w:highlight w:val="none"/>
          <w:lang w:val="en-US" w:eastAsia="zh-CN"/>
        </w:rPr>
        <w:t>开标</w:t>
      </w:r>
      <w:r>
        <w:rPr>
          <w:rFonts w:hint="eastAsia" w:ascii="宋体" w:hAnsi="宋体" w:eastAsia="宋体" w:cs="宋体"/>
          <w:color w:val="auto"/>
          <w:sz w:val="21"/>
          <w:szCs w:val="21"/>
          <w:highlight w:val="none"/>
          <w:lang w:val="en-US" w:eastAsia="zh-CN"/>
        </w:rPr>
        <w:t>一览表”</w:t>
      </w:r>
      <w:r>
        <w:rPr>
          <w:rFonts w:hint="default" w:ascii="宋体" w:hAnsi="宋体" w:eastAsia="宋体" w:cs="宋体"/>
          <w:color w:val="auto"/>
          <w:sz w:val="21"/>
          <w:szCs w:val="21"/>
          <w:highlight w:val="none"/>
          <w:lang w:val="en-US" w:eastAsia="zh-CN"/>
        </w:rPr>
        <w:t>中对应的</w:t>
      </w:r>
      <w:r>
        <w:rPr>
          <w:rFonts w:hint="eastAsia" w:cs="宋体"/>
          <w:color w:val="auto"/>
          <w:sz w:val="21"/>
          <w:szCs w:val="21"/>
          <w:highlight w:val="none"/>
          <w:lang w:val="en-US" w:eastAsia="zh-CN"/>
        </w:rPr>
        <w:t>“投标报价”</w:t>
      </w:r>
      <w:r>
        <w:rPr>
          <w:rFonts w:hint="default" w:ascii="宋体" w:hAnsi="宋体" w:eastAsia="宋体" w:cs="宋体"/>
          <w:color w:val="auto"/>
          <w:sz w:val="21"/>
          <w:szCs w:val="21"/>
          <w:highlight w:val="none"/>
          <w:lang w:val="en-US" w:eastAsia="zh-CN"/>
        </w:rPr>
        <w:t>栏中。</w:t>
      </w:r>
    </w:p>
    <w:p w14:paraId="6B43AF2E">
      <w:pPr>
        <w:spacing w:line="360" w:lineRule="auto"/>
        <w:ind w:firstLine="420" w:firstLineChars="200"/>
        <w:rPr>
          <w:rFonts w:hint="eastAsia" w:ascii="宋体" w:hAnsi="宋体" w:eastAsia="宋体" w:cs="宋体"/>
          <w:color w:val="auto"/>
          <w:sz w:val="21"/>
          <w:szCs w:val="21"/>
          <w:highlight w:val="none"/>
        </w:rPr>
      </w:pPr>
      <w:r>
        <w:rPr>
          <w:rFonts w:hint="eastAsia" w:cs="宋体"/>
          <w:color w:val="auto"/>
          <w:sz w:val="21"/>
          <w:szCs w:val="21"/>
          <w:highlight w:val="none"/>
          <w:lang w:val="en-US" w:eastAsia="zh-CN"/>
        </w:rPr>
        <w:t>2</w:t>
      </w:r>
      <w:r>
        <w:rPr>
          <w:rFonts w:hint="eastAsia" w:ascii="宋体" w:hAnsi="宋体" w:eastAsia="宋体" w:cs="宋体"/>
          <w:color w:val="auto"/>
          <w:sz w:val="21"/>
          <w:szCs w:val="21"/>
          <w:highlight w:val="none"/>
        </w:rPr>
        <w:t>.表中所列货物为对应本项目需求的全部货物及所需附件货物供给、货物包装、运输费、装卸费、安装调试费、税金、相关手续费、保修费和保险等的全部费用。</w:t>
      </w:r>
      <w:r>
        <w:rPr>
          <w:rFonts w:hint="eastAsia" w:cs="宋体"/>
          <w:b/>
          <w:bCs/>
          <w:kern w:val="2"/>
          <w:sz w:val="21"/>
          <w:szCs w:val="21"/>
          <w:highlight w:val="none"/>
          <w:lang w:val="en-US" w:eastAsia="zh-CN"/>
        </w:rPr>
        <w:t>国家强制计量单位设备初次检定费用（如有）由中标供应商支付。</w:t>
      </w:r>
      <w:r>
        <w:rPr>
          <w:rFonts w:hint="eastAsia" w:ascii="宋体" w:hAnsi="宋体" w:eastAsia="宋体" w:cs="宋体"/>
          <w:color w:val="auto"/>
          <w:sz w:val="21"/>
          <w:szCs w:val="21"/>
          <w:highlight w:val="none"/>
        </w:rPr>
        <w:t>如有漏项或缺项，</w:t>
      </w:r>
      <w:r>
        <w:rPr>
          <w:rFonts w:hint="eastAsia" w:cs="宋体"/>
          <w:color w:val="auto"/>
          <w:sz w:val="21"/>
          <w:szCs w:val="21"/>
          <w:highlight w:val="none"/>
          <w:lang w:val="en-US" w:eastAsia="zh-CN"/>
        </w:rPr>
        <w:t>投标人</w:t>
      </w:r>
      <w:r>
        <w:rPr>
          <w:rFonts w:hint="eastAsia" w:ascii="宋体" w:hAnsi="宋体" w:eastAsia="宋体" w:cs="宋体"/>
          <w:color w:val="auto"/>
          <w:sz w:val="21"/>
          <w:szCs w:val="21"/>
          <w:highlight w:val="none"/>
        </w:rPr>
        <w:t>承担全部责任。</w:t>
      </w:r>
    </w:p>
    <w:p w14:paraId="23C34781">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cs="宋体"/>
          <w:color w:val="auto"/>
          <w:sz w:val="21"/>
          <w:szCs w:val="21"/>
          <w:highlight w:val="none"/>
          <w:lang w:val="en-US" w:eastAsia="zh-CN"/>
        </w:rPr>
      </w:pPr>
      <w:r>
        <w:rPr>
          <w:rFonts w:hint="eastAsia" w:cs="宋体"/>
          <w:color w:val="auto"/>
          <w:sz w:val="21"/>
          <w:szCs w:val="21"/>
          <w:highlight w:val="none"/>
          <w:lang w:val="en-US" w:eastAsia="zh-CN"/>
        </w:rPr>
        <w:t>3.供应商需对第三章技术参数中所要求的的每种设备报价，其余附件及软件（如有）等配件不需单独报价，详列在配置清单内。</w:t>
      </w:r>
    </w:p>
    <w:p w14:paraId="155E4CE7">
      <w:pPr>
        <w:spacing w:line="360" w:lineRule="auto"/>
        <w:ind w:firstLine="435"/>
        <w:rPr>
          <w:rFonts w:hint="eastAsia" w:ascii="宋体" w:hAnsi="宋体" w:eastAsia="宋体" w:cs="宋体"/>
          <w:color w:val="auto"/>
          <w:sz w:val="21"/>
          <w:szCs w:val="21"/>
          <w:highlight w:val="none"/>
          <w:lang w:val="en-US" w:eastAsia="zh-CN"/>
        </w:rPr>
      </w:pPr>
      <w:r>
        <w:rPr>
          <w:rFonts w:hint="eastAsia" w:cs="宋体"/>
          <w:color w:val="auto"/>
          <w:sz w:val="21"/>
          <w:szCs w:val="21"/>
          <w:highlight w:val="none"/>
          <w:lang w:val="en-US" w:eastAsia="zh-CN"/>
        </w:rPr>
        <w:t>4.</w:t>
      </w:r>
      <w:r>
        <w:rPr>
          <w:rFonts w:hint="eastAsia" w:ascii="宋体" w:hAnsi="宋体" w:eastAsia="宋体" w:cs="宋体"/>
          <w:color w:val="auto"/>
          <w:sz w:val="21"/>
          <w:szCs w:val="21"/>
          <w:highlight w:val="none"/>
          <w:lang w:val="en-US" w:eastAsia="zh-CN"/>
        </w:rPr>
        <w:t>折扣条件与折扣声明应在表下注明。</w:t>
      </w:r>
    </w:p>
    <w:p w14:paraId="175472D7">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cs="宋体"/>
          <w:color w:val="auto"/>
          <w:sz w:val="21"/>
          <w:szCs w:val="21"/>
          <w:highlight w:val="none"/>
          <w:lang w:val="en-US" w:eastAsia="zh-CN"/>
        </w:rPr>
      </w:pPr>
    </w:p>
    <w:p w14:paraId="5296BF0A">
      <w:pPr>
        <w:rPr>
          <w:rFonts w:hint="eastAsia" w:ascii="宋体" w:hAnsi="宋体" w:eastAsia="宋体" w:cs="宋体"/>
          <w:b w:val="0"/>
          <w:bCs w:val="0"/>
          <w:i w:val="0"/>
          <w:iCs w:val="0"/>
          <w:color w:val="auto"/>
          <w:kern w:val="0"/>
          <w:sz w:val="21"/>
          <w:szCs w:val="21"/>
          <w:highlight w:val="yellow"/>
          <w:lang w:val="en-US" w:eastAsia="zh-CN" w:bidi="ar"/>
        </w:rPr>
      </w:pPr>
      <w:r>
        <w:rPr>
          <w:rFonts w:hint="eastAsia" w:ascii="宋体" w:hAnsi="宋体" w:eastAsia="宋体" w:cs="宋体"/>
          <w:b w:val="0"/>
          <w:bCs w:val="0"/>
          <w:i w:val="0"/>
          <w:iCs w:val="0"/>
          <w:color w:val="auto"/>
          <w:kern w:val="0"/>
          <w:sz w:val="21"/>
          <w:szCs w:val="21"/>
          <w:highlight w:val="yellow"/>
          <w:lang w:val="en-US" w:eastAsia="zh-CN" w:bidi="ar"/>
        </w:rPr>
        <w:br w:type="page"/>
      </w:r>
    </w:p>
    <w:p w14:paraId="594004C8">
      <w:pPr>
        <w:jc w:val="center"/>
        <w:rPr>
          <w:rFonts w:hint="eastAsia" w:ascii="宋体" w:hAnsi="宋体" w:eastAsia="宋体" w:cs="宋体"/>
          <w:b w:val="0"/>
          <w:bCs/>
          <w:kern w:val="2"/>
          <w:sz w:val="21"/>
          <w:szCs w:val="21"/>
          <w:highlight w:val="none"/>
        </w:rPr>
      </w:pPr>
      <w:bookmarkStart w:id="635" w:name="_Toc10457"/>
      <w:bookmarkStart w:id="636" w:name="_Toc12472"/>
      <w:r>
        <w:rPr>
          <w:rFonts w:hint="eastAsia" w:ascii="宋体" w:hAnsi="宋体" w:eastAsia="宋体" w:cs="宋体"/>
          <w:b w:val="0"/>
          <w:bCs/>
          <w:kern w:val="2"/>
          <w:sz w:val="21"/>
          <w:szCs w:val="21"/>
          <w:highlight w:val="none"/>
        </w:rPr>
        <w:t>备品备件价格清单表</w:t>
      </w:r>
      <w:bookmarkEnd w:id="635"/>
      <w:bookmarkEnd w:id="636"/>
    </w:p>
    <w:tbl>
      <w:tblPr>
        <w:tblStyle w:val="3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1"/>
        <w:gridCol w:w="3566"/>
        <w:gridCol w:w="2234"/>
        <w:gridCol w:w="2234"/>
      </w:tblGrid>
      <w:tr w14:paraId="364F89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935" w:type="dxa"/>
            <w:gridSpan w:val="4"/>
            <w:noWrap w:val="0"/>
            <w:vAlign w:val="center"/>
          </w:tcPr>
          <w:p w14:paraId="348BA380">
            <w:pPr>
              <w:pStyle w:val="10"/>
              <w:spacing w:line="500" w:lineRule="exact"/>
              <w:ind w:firstLine="0"/>
              <w:rPr>
                <w:rFonts w:hint="eastAsia" w:ascii="宋体" w:hAnsi="宋体" w:eastAsia="宋体" w:cs="宋体"/>
                <w:bCs/>
                <w:sz w:val="21"/>
                <w:szCs w:val="21"/>
              </w:rPr>
            </w:pPr>
            <w:r>
              <w:rPr>
                <w:rFonts w:hint="eastAsia" w:ascii="宋体" w:hAnsi="宋体" w:eastAsia="宋体" w:cs="宋体"/>
                <w:bCs/>
                <w:sz w:val="21"/>
                <w:szCs w:val="21"/>
              </w:rPr>
              <w:t>免费提供备损耗件备品备件清单品备件清单</w:t>
            </w:r>
          </w:p>
        </w:tc>
      </w:tr>
      <w:tr w14:paraId="72FA50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1" w:type="dxa"/>
            <w:noWrap w:val="0"/>
            <w:vAlign w:val="center"/>
          </w:tcPr>
          <w:p w14:paraId="45831DCF">
            <w:pPr>
              <w:pStyle w:val="10"/>
              <w:spacing w:line="500" w:lineRule="exact"/>
              <w:ind w:firstLine="0"/>
              <w:jc w:val="center"/>
              <w:rPr>
                <w:rFonts w:hint="eastAsia" w:ascii="宋体" w:hAnsi="宋体" w:eastAsia="宋体" w:cs="宋体"/>
                <w:bCs/>
                <w:sz w:val="21"/>
                <w:szCs w:val="21"/>
              </w:rPr>
            </w:pPr>
            <w:r>
              <w:rPr>
                <w:rFonts w:hint="eastAsia" w:ascii="宋体" w:hAnsi="宋体" w:eastAsia="宋体" w:cs="宋体"/>
                <w:bCs/>
                <w:sz w:val="21"/>
                <w:szCs w:val="21"/>
              </w:rPr>
              <w:t>序号</w:t>
            </w:r>
          </w:p>
        </w:tc>
        <w:tc>
          <w:tcPr>
            <w:tcW w:w="3566" w:type="dxa"/>
            <w:noWrap w:val="0"/>
            <w:vAlign w:val="center"/>
          </w:tcPr>
          <w:p w14:paraId="710C014F">
            <w:pPr>
              <w:pStyle w:val="10"/>
              <w:spacing w:line="500" w:lineRule="exact"/>
              <w:ind w:firstLine="0"/>
              <w:jc w:val="center"/>
              <w:rPr>
                <w:rFonts w:hint="eastAsia" w:ascii="宋体" w:hAnsi="宋体" w:eastAsia="宋体" w:cs="宋体"/>
                <w:bCs/>
                <w:sz w:val="21"/>
                <w:szCs w:val="21"/>
              </w:rPr>
            </w:pPr>
            <w:r>
              <w:rPr>
                <w:rFonts w:hint="eastAsia" w:ascii="宋体" w:hAnsi="宋体" w:eastAsia="宋体" w:cs="宋体"/>
                <w:bCs/>
                <w:sz w:val="21"/>
                <w:szCs w:val="21"/>
              </w:rPr>
              <w:t>备品备件名称</w:t>
            </w:r>
          </w:p>
        </w:tc>
        <w:tc>
          <w:tcPr>
            <w:tcW w:w="2234" w:type="dxa"/>
            <w:noWrap w:val="0"/>
            <w:vAlign w:val="center"/>
          </w:tcPr>
          <w:p w14:paraId="30CCBB82">
            <w:pPr>
              <w:pStyle w:val="10"/>
              <w:spacing w:line="500" w:lineRule="exact"/>
              <w:ind w:firstLine="0"/>
              <w:jc w:val="center"/>
              <w:rPr>
                <w:rFonts w:hint="eastAsia" w:ascii="宋体" w:hAnsi="宋体" w:eastAsia="宋体" w:cs="宋体"/>
                <w:bCs/>
                <w:sz w:val="21"/>
                <w:szCs w:val="21"/>
              </w:rPr>
            </w:pPr>
            <w:r>
              <w:rPr>
                <w:rFonts w:hint="eastAsia" w:ascii="宋体" w:hAnsi="宋体" w:eastAsia="宋体" w:cs="宋体"/>
                <w:bCs/>
                <w:sz w:val="21"/>
                <w:szCs w:val="21"/>
              </w:rPr>
              <w:t>价格</w:t>
            </w:r>
          </w:p>
        </w:tc>
        <w:tc>
          <w:tcPr>
            <w:tcW w:w="2234" w:type="dxa"/>
            <w:noWrap w:val="0"/>
            <w:vAlign w:val="center"/>
          </w:tcPr>
          <w:p w14:paraId="66E8DEC1">
            <w:pPr>
              <w:pStyle w:val="10"/>
              <w:spacing w:line="500" w:lineRule="exact"/>
              <w:ind w:firstLine="0"/>
              <w:jc w:val="center"/>
              <w:rPr>
                <w:rFonts w:hint="eastAsia" w:ascii="宋体" w:hAnsi="宋体" w:eastAsia="宋体" w:cs="宋体"/>
                <w:bCs/>
                <w:sz w:val="21"/>
                <w:szCs w:val="21"/>
              </w:rPr>
            </w:pPr>
            <w:r>
              <w:rPr>
                <w:rFonts w:hint="eastAsia" w:ascii="宋体" w:hAnsi="宋体" w:eastAsia="宋体" w:cs="宋体"/>
                <w:bCs/>
                <w:sz w:val="21"/>
                <w:szCs w:val="21"/>
              </w:rPr>
              <w:t>备注</w:t>
            </w:r>
          </w:p>
        </w:tc>
      </w:tr>
      <w:tr w14:paraId="7CA35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1" w:type="dxa"/>
            <w:noWrap w:val="0"/>
            <w:vAlign w:val="center"/>
          </w:tcPr>
          <w:p w14:paraId="4BC9921B">
            <w:pPr>
              <w:pStyle w:val="10"/>
              <w:spacing w:line="500" w:lineRule="exact"/>
              <w:ind w:firstLine="0"/>
              <w:jc w:val="center"/>
              <w:rPr>
                <w:rFonts w:hint="eastAsia" w:ascii="宋体" w:hAnsi="宋体" w:eastAsia="宋体" w:cs="宋体"/>
                <w:bCs/>
                <w:sz w:val="21"/>
                <w:szCs w:val="21"/>
              </w:rPr>
            </w:pPr>
          </w:p>
        </w:tc>
        <w:tc>
          <w:tcPr>
            <w:tcW w:w="3566" w:type="dxa"/>
            <w:noWrap w:val="0"/>
            <w:vAlign w:val="center"/>
          </w:tcPr>
          <w:p w14:paraId="5CAED264">
            <w:pPr>
              <w:pStyle w:val="10"/>
              <w:spacing w:line="500" w:lineRule="exact"/>
              <w:ind w:firstLine="0"/>
              <w:jc w:val="center"/>
              <w:rPr>
                <w:rFonts w:hint="eastAsia" w:ascii="宋体" w:hAnsi="宋体" w:eastAsia="宋体" w:cs="宋体"/>
                <w:bCs/>
                <w:sz w:val="21"/>
                <w:szCs w:val="21"/>
              </w:rPr>
            </w:pPr>
          </w:p>
        </w:tc>
        <w:tc>
          <w:tcPr>
            <w:tcW w:w="2234" w:type="dxa"/>
            <w:noWrap w:val="0"/>
            <w:vAlign w:val="center"/>
          </w:tcPr>
          <w:p w14:paraId="25F7425B">
            <w:pPr>
              <w:pStyle w:val="10"/>
              <w:spacing w:line="500" w:lineRule="exact"/>
              <w:ind w:firstLine="0"/>
              <w:jc w:val="center"/>
              <w:rPr>
                <w:rFonts w:hint="eastAsia" w:ascii="宋体" w:hAnsi="宋体" w:eastAsia="宋体" w:cs="宋体"/>
                <w:bCs/>
                <w:sz w:val="21"/>
                <w:szCs w:val="21"/>
              </w:rPr>
            </w:pPr>
            <w:r>
              <w:rPr>
                <w:rFonts w:hint="eastAsia" w:ascii="宋体" w:hAnsi="宋体" w:eastAsia="宋体" w:cs="宋体"/>
                <w:bCs/>
                <w:sz w:val="21"/>
                <w:szCs w:val="21"/>
              </w:rPr>
              <w:t>/</w:t>
            </w:r>
          </w:p>
        </w:tc>
        <w:tc>
          <w:tcPr>
            <w:tcW w:w="2234" w:type="dxa"/>
            <w:noWrap w:val="0"/>
            <w:vAlign w:val="center"/>
          </w:tcPr>
          <w:p w14:paraId="7D429175">
            <w:pPr>
              <w:pStyle w:val="10"/>
              <w:spacing w:line="500" w:lineRule="exact"/>
              <w:ind w:firstLine="0"/>
              <w:jc w:val="center"/>
              <w:rPr>
                <w:rFonts w:hint="eastAsia" w:ascii="宋体" w:hAnsi="宋体" w:eastAsia="宋体" w:cs="宋体"/>
                <w:bCs/>
                <w:sz w:val="21"/>
                <w:szCs w:val="21"/>
              </w:rPr>
            </w:pPr>
          </w:p>
        </w:tc>
      </w:tr>
      <w:tr w14:paraId="464EA3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1" w:type="dxa"/>
            <w:noWrap w:val="0"/>
            <w:vAlign w:val="center"/>
          </w:tcPr>
          <w:p w14:paraId="4BC7BBDD">
            <w:pPr>
              <w:pStyle w:val="10"/>
              <w:spacing w:line="500" w:lineRule="exact"/>
              <w:ind w:firstLine="0"/>
              <w:jc w:val="center"/>
              <w:rPr>
                <w:rFonts w:hint="eastAsia" w:ascii="宋体" w:hAnsi="宋体" w:eastAsia="宋体" w:cs="宋体"/>
                <w:bCs/>
                <w:sz w:val="21"/>
                <w:szCs w:val="21"/>
              </w:rPr>
            </w:pPr>
          </w:p>
        </w:tc>
        <w:tc>
          <w:tcPr>
            <w:tcW w:w="3566" w:type="dxa"/>
            <w:noWrap w:val="0"/>
            <w:vAlign w:val="center"/>
          </w:tcPr>
          <w:p w14:paraId="7C45E873">
            <w:pPr>
              <w:pStyle w:val="10"/>
              <w:spacing w:line="500" w:lineRule="exact"/>
              <w:ind w:firstLine="0"/>
              <w:jc w:val="center"/>
              <w:rPr>
                <w:rFonts w:hint="eastAsia" w:ascii="宋体" w:hAnsi="宋体" w:eastAsia="宋体" w:cs="宋体"/>
                <w:bCs/>
                <w:sz w:val="21"/>
                <w:szCs w:val="21"/>
              </w:rPr>
            </w:pPr>
          </w:p>
        </w:tc>
        <w:tc>
          <w:tcPr>
            <w:tcW w:w="2234" w:type="dxa"/>
            <w:noWrap w:val="0"/>
            <w:vAlign w:val="center"/>
          </w:tcPr>
          <w:p w14:paraId="3D216008">
            <w:pPr>
              <w:pStyle w:val="10"/>
              <w:spacing w:line="500" w:lineRule="exact"/>
              <w:ind w:firstLine="0"/>
              <w:jc w:val="center"/>
              <w:rPr>
                <w:rFonts w:hint="eastAsia" w:ascii="宋体" w:hAnsi="宋体" w:eastAsia="宋体" w:cs="宋体"/>
                <w:bCs/>
                <w:sz w:val="21"/>
                <w:szCs w:val="21"/>
              </w:rPr>
            </w:pPr>
            <w:r>
              <w:rPr>
                <w:rFonts w:hint="eastAsia" w:ascii="宋体" w:hAnsi="宋体" w:eastAsia="宋体" w:cs="宋体"/>
                <w:bCs/>
                <w:sz w:val="21"/>
                <w:szCs w:val="21"/>
              </w:rPr>
              <w:t>/</w:t>
            </w:r>
          </w:p>
        </w:tc>
        <w:tc>
          <w:tcPr>
            <w:tcW w:w="2234" w:type="dxa"/>
            <w:noWrap w:val="0"/>
            <w:vAlign w:val="center"/>
          </w:tcPr>
          <w:p w14:paraId="0CF20AD1">
            <w:pPr>
              <w:pStyle w:val="10"/>
              <w:spacing w:line="500" w:lineRule="exact"/>
              <w:ind w:firstLine="0"/>
              <w:jc w:val="center"/>
              <w:rPr>
                <w:rFonts w:hint="eastAsia" w:ascii="宋体" w:hAnsi="宋体" w:eastAsia="宋体" w:cs="宋体"/>
                <w:bCs/>
                <w:sz w:val="21"/>
                <w:szCs w:val="21"/>
              </w:rPr>
            </w:pPr>
          </w:p>
        </w:tc>
      </w:tr>
      <w:tr w14:paraId="3F91FD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1" w:type="dxa"/>
            <w:noWrap w:val="0"/>
            <w:vAlign w:val="center"/>
          </w:tcPr>
          <w:p w14:paraId="2541F181">
            <w:pPr>
              <w:pStyle w:val="10"/>
              <w:spacing w:line="500" w:lineRule="exact"/>
              <w:ind w:firstLine="0"/>
              <w:jc w:val="center"/>
              <w:rPr>
                <w:rFonts w:hint="eastAsia" w:ascii="宋体" w:hAnsi="宋体" w:eastAsia="宋体" w:cs="宋体"/>
                <w:bCs/>
                <w:sz w:val="21"/>
                <w:szCs w:val="21"/>
              </w:rPr>
            </w:pPr>
          </w:p>
        </w:tc>
        <w:tc>
          <w:tcPr>
            <w:tcW w:w="3566" w:type="dxa"/>
            <w:noWrap w:val="0"/>
            <w:vAlign w:val="center"/>
          </w:tcPr>
          <w:p w14:paraId="25041747">
            <w:pPr>
              <w:pStyle w:val="10"/>
              <w:spacing w:line="500" w:lineRule="exact"/>
              <w:ind w:firstLine="0"/>
              <w:jc w:val="center"/>
              <w:rPr>
                <w:rFonts w:hint="eastAsia" w:ascii="宋体" w:hAnsi="宋体" w:eastAsia="宋体" w:cs="宋体"/>
                <w:bCs/>
                <w:sz w:val="21"/>
                <w:szCs w:val="21"/>
              </w:rPr>
            </w:pPr>
          </w:p>
        </w:tc>
        <w:tc>
          <w:tcPr>
            <w:tcW w:w="2234" w:type="dxa"/>
            <w:noWrap w:val="0"/>
            <w:vAlign w:val="center"/>
          </w:tcPr>
          <w:p w14:paraId="308A790F">
            <w:pPr>
              <w:pStyle w:val="10"/>
              <w:spacing w:line="500" w:lineRule="exact"/>
              <w:ind w:firstLine="0"/>
              <w:jc w:val="center"/>
              <w:rPr>
                <w:rFonts w:hint="eastAsia" w:ascii="宋体" w:hAnsi="宋体" w:eastAsia="宋体" w:cs="宋体"/>
                <w:bCs/>
                <w:sz w:val="21"/>
                <w:szCs w:val="21"/>
              </w:rPr>
            </w:pPr>
            <w:r>
              <w:rPr>
                <w:rFonts w:hint="eastAsia" w:ascii="宋体" w:hAnsi="宋体" w:eastAsia="宋体" w:cs="宋体"/>
                <w:bCs/>
                <w:sz w:val="21"/>
                <w:szCs w:val="21"/>
              </w:rPr>
              <w:t>/</w:t>
            </w:r>
          </w:p>
        </w:tc>
        <w:tc>
          <w:tcPr>
            <w:tcW w:w="2234" w:type="dxa"/>
            <w:noWrap w:val="0"/>
            <w:vAlign w:val="center"/>
          </w:tcPr>
          <w:p w14:paraId="564316B2">
            <w:pPr>
              <w:pStyle w:val="10"/>
              <w:spacing w:line="500" w:lineRule="exact"/>
              <w:ind w:firstLine="0"/>
              <w:jc w:val="center"/>
              <w:rPr>
                <w:rFonts w:hint="eastAsia" w:ascii="宋体" w:hAnsi="宋体" w:eastAsia="宋体" w:cs="宋体"/>
                <w:bCs/>
                <w:sz w:val="21"/>
                <w:szCs w:val="21"/>
              </w:rPr>
            </w:pPr>
          </w:p>
        </w:tc>
      </w:tr>
      <w:tr w14:paraId="3EB303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1" w:type="dxa"/>
            <w:noWrap w:val="0"/>
            <w:vAlign w:val="center"/>
          </w:tcPr>
          <w:p w14:paraId="70551731">
            <w:pPr>
              <w:pStyle w:val="10"/>
              <w:spacing w:line="500" w:lineRule="exact"/>
              <w:ind w:firstLine="0"/>
              <w:jc w:val="center"/>
              <w:rPr>
                <w:rFonts w:hint="eastAsia" w:ascii="宋体" w:hAnsi="宋体" w:eastAsia="宋体" w:cs="宋体"/>
                <w:bCs/>
                <w:sz w:val="21"/>
                <w:szCs w:val="21"/>
              </w:rPr>
            </w:pPr>
          </w:p>
        </w:tc>
        <w:tc>
          <w:tcPr>
            <w:tcW w:w="3566" w:type="dxa"/>
            <w:noWrap w:val="0"/>
            <w:vAlign w:val="center"/>
          </w:tcPr>
          <w:p w14:paraId="4ECFECD3">
            <w:pPr>
              <w:pStyle w:val="10"/>
              <w:spacing w:line="500" w:lineRule="exact"/>
              <w:ind w:firstLine="0"/>
              <w:jc w:val="center"/>
              <w:rPr>
                <w:rFonts w:hint="eastAsia" w:ascii="宋体" w:hAnsi="宋体" w:eastAsia="宋体" w:cs="宋体"/>
                <w:bCs/>
                <w:sz w:val="21"/>
                <w:szCs w:val="21"/>
              </w:rPr>
            </w:pPr>
          </w:p>
        </w:tc>
        <w:tc>
          <w:tcPr>
            <w:tcW w:w="2234" w:type="dxa"/>
            <w:noWrap w:val="0"/>
            <w:vAlign w:val="center"/>
          </w:tcPr>
          <w:p w14:paraId="6904FCCD">
            <w:pPr>
              <w:pStyle w:val="10"/>
              <w:spacing w:line="500" w:lineRule="exact"/>
              <w:ind w:firstLine="0"/>
              <w:jc w:val="center"/>
              <w:rPr>
                <w:rFonts w:hint="eastAsia" w:ascii="宋体" w:hAnsi="宋体" w:eastAsia="宋体" w:cs="宋体"/>
                <w:bCs/>
                <w:sz w:val="21"/>
                <w:szCs w:val="21"/>
              </w:rPr>
            </w:pPr>
            <w:r>
              <w:rPr>
                <w:rFonts w:hint="eastAsia" w:ascii="宋体" w:hAnsi="宋体" w:eastAsia="宋体" w:cs="宋体"/>
                <w:bCs/>
                <w:sz w:val="21"/>
                <w:szCs w:val="21"/>
              </w:rPr>
              <w:t>/</w:t>
            </w:r>
          </w:p>
        </w:tc>
        <w:tc>
          <w:tcPr>
            <w:tcW w:w="2234" w:type="dxa"/>
            <w:noWrap w:val="0"/>
            <w:vAlign w:val="center"/>
          </w:tcPr>
          <w:p w14:paraId="62A049F3">
            <w:pPr>
              <w:pStyle w:val="10"/>
              <w:spacing w:line="500" w:lineRule="exact"/>
              <w:ind w:firstLine="0"/>
              <w:jc w:val="center"/>
              <w:rPr>
                <w:rFonts w:hint="eastAsia" w:ascii="宋体" w:hAnsi="宋体" w:eastAsia="宋体" w:cs="宋体"/>
                <w:bCs/>
                <w:sz w:val="21"/>
                <w:szCs w:val="21"/>
              </w:rPr>
            </w:pPr>
          </w:p>
        </w:tc>
      </w:tr>
      <w:tr w14:paraId="6B1F79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1" w:type="dxa"/>
            <w:noWrap w:val="0"/>
            <w:vAlign w:val="center"/>
          </w:tcPr>
          <w:p w14:paraId="5EBD12FB">
            <w:pPr>
              <w:pStyle w:val="10"/>
              <w:spacing w:line="500" w:lineRule="exact"/>
              <w:ind w:firstLine="0"/>
              <w:jc w:val="center"/>
              <w:rPr>
                <w:rFonts w:hint="eastAsia" w:ascii="宋体" w:hAnsi="宋体" w:eastAsia="宋体" w:cs="宋体"/>
                <w:bCs/>
                <w:sz w:val="21"/>
                <w:szCs w:val="21"/>
              </w:rPr>
            </w:pPr>
          </w:p>
        </w:tc>
        <w:tc>
          <w:tcPr>
            <w:tcW w:w="3566" w:type="dxa"/>
            <w:noWrap w:val="0"/>
            <w:vAlign w:val="center"/>
          </w:tcPr>
          <w:p w14:paraId="7DDFC173">
            <w:pPr>
              <w:pStyle w:val="10"/>
              <w:spacing w:line="500" w:lineRule="exact"/>
              <w:ind w:firstLine="0"/>
              <w:jc w:val="center"/>
              <w:rPr>
                <w:rFonts w:hint="eastAsia" w:ascii="宋体" w:hAnsi="宋体" w:eastAsia="宋体" w:cs="宋体"/>
                <w:bCs/>
                <w:sz w:val="21"/>
                <w:szCs w:val="21"/>
              </w:rPr>
            </w:pPr>
          </w:p>
        </w:tc>
        <w:tc>
          <w:tcPr>
            <w:tcW w:w="2234" w:type="dxa"/>
            <w:noWrap w:val="0"/>
            <w:vAlign w:val="center"/>
          </w:tcPr>
          <w:p w14:paraId="7C96F12C">
            <w:pPr>
              <w:pStyle w:val="10"/>
              <w:spacing w:line="500" w:lineRule="exact"/>
              <w:ind w:firstLine="0"/>
              <w:jc w:val="center"/>
              <w:rPr>
                <w:rFonts w:hint="eastAsia" w:ascii="宋体" w:hAnsi="宋体" w:eastAsia="宋体" w:cs="宋体"/>
                <w:bCs/>
                <w:sz w:val="21"/>
                <w:szCs w:val="21"/>
              </w:rPr>
            </w:pPr>
            <w:r>
              <w:rPr>
                <w:rFonts w:hint="eastAsia" w:ascii="宋体" w:hAnsi="宋体" w:eastAsia="宋体" w:cs="宋体"/>
                <w:bCs/>
                <w:sz w:val="21"/>
                <w:szCs w:val="21"/>
              </w:rPr>
              <w:t>/</w:t>
            </w:r>
          </w:p>
        </w:tc>
        <w:tc>
          <w:tcPr>
            <w:tcW w:w="2234" w:type="dxa"/>
            <w:noWrap w:val="0"/>
            <w:vAlign w:val="center"/>
          </w:tcPr>
          <w:p w14:paraId="33030672">
            <w:pPr>
              <w:pStyle w:val="10"/>
              <w:spacing w:line="500" w:lineRule="exact"/>
              <w:ind w:firstLine="0"/>
              <w:jc w:val="center"/>
              <w:rPr>
                <w:rFonts w:hint="eastAsia" w:ascii="宋体" w:hAnsi="宋体" w:eastAsia="宋体" w:cs="宋体"/>
                <w:bCs/>
                <w:sz w:val="21"/>
                <w:szCs w:val="21"/>
              </w:rPr>
            </w:pPr>
          </w:p>
        </w:tc>
      </w:tr>
      <w:tr w14:paraId="209D32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1" w:type="dxa"/>
            <w:noWrap w:val="0"/>
            <w:vAlign w:val="center"/>
          </w:tcPr>
          <w:p w14:paraId="3913884D">
            <w:pPr>
              <w:pStyle w:val="10"/>
              <w:spacing w:line="500" w:lineRule="exact"/>
              <w:ind w:firstLine="0"/>
              <w:jc w:val="center"/>
              <w:rPr>
                <w:rFonts w:hint="eastAsia" w:ascii="宋体" w:hAnsi="宋体" w:eastAsia="宋体" w:cs="宋体"/>
                <w:bCs/>
                <w:sz w:val="21"/>
                <w:szCs w:val="21"/>
              </w:rPr>
            </w:pPr>
          </w:p>
        </w:tc>
        <w:tc>
          <w:tcPr>
            <w:tcW w:w="3566" w:type="dxa"/>
            <w:noWrap w:val="0"/>
            <w:vAlign w:val="center"/>
          </w:tcPr>
          <w:p w14:paraId="7F11EE0D">
            <w:pPr>
              <w:pStyle w:val="10"/>
              <w:spacing w:line="500" w:lineRule="exact"/>
              <w:ind w:firstLine="0"/>
              <w:jc w:val="center"/>
              <w:rPr>
                <w:rFonts w:hint="eastAsia" w:ascii="宋体" w:hAnsi="宋体" w:eastAsia="宋体" w:cs="宋体"/>
                <w:bCs/>
                <w:sz w:val="21"/>
                <w:szCs w:val="21"/>
              </w:rPr>
            </w:pPr>
          </w:p>
        </w:tc>
        <w:tc>
          <w:tcPr>
            <w:tcW w:w="2234" w:type="dxa"/>
            <w:noWrap w:val="0"/>
            <w:vAlign w:val="center"/>
          </w:tcPr>
          <w:p w14:paraId="1B7A7F6D">
            <w:pPr>
              <w:pStyle w:val="10"/>
              <w:spacing w:line="500" w:lineRule="exact"/>
              <w:ind w:firstLine="0"/>
              <w:jc w:val="center"/>
              <w:rPr>
                <w:rFonts w:hint="eastAsia" w:ascii="宋体" w:hAnsi="宋体" w:eastAsia="宋体" w:cs="宋体"/>
                <w:bCs/>
                <w:sz w:val="21"/>
                <w:szCs w:val="21"/>
              </w:rPr>
            </w:pPr>
            <w:r>
              <w:rPr>
                <w:rFonts w:hint="eastAsia" w:ascii="宋体" w:hAnsi="宋体" w:eastAsia="宋体" w:cs="宋体"/>
                <w:bCs/>
                <w:sz w:val="21"/>
                <w:szCs w:val="21"/>
              </w:rPr>
              <w:t>/</w:t>
            </w:r>
          </w:p>
        </w:tc>
        <w:tc>
          <w:tcPr>
            <w:tcW w:w="2234" w:type="dxa"/>
            <w:noWrap w:val="0"/>
            <w:vAlign w:val="center"/>
          </w:tcPr>
          <w:p w14:paraId="253561D1">
            <w:pPr>
              <w:pStyle w:val="10"/>
              <w:spacing w:line="500" w:lineRule="exact"/>
              <w:ind w:firstLine="0"/>
              <w:jc w:val="center"/>
              <w:rPr>
                <w:rFonts w:hint="eastAsia" w:ascii="宋体" w:hAnsi="宋体" w:eastAsia="宋体" w:cs="宋体"/>
                <w:bCs/>
                <w:sz w:val="21"/>
                <w:szCs w:val="21"/>
              </w:rPr>
            </w:pPr>
          </w:p>
        </w:tc>
      </w:tr>
      <w:tr w14:paraId="51BE45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1" w:type="dxa"/>
            <w:noWrap w:val="0"/>
            <w:vAlign w:val="center"/>
          </w:tcPr>
          <w:p w14:paraId="11F58B61">
            <w:pPr>
              <w:pStyle w:val="10"/>
              <w:spacing w:line="500" w:lineRule="exact"/>
              <w:ind w:firstLine="0"/>
              <w:jc w:val="center"/>
              <w:rPr>
                <w:rFonts w:hint="eastAsia" w:ascii="宋体" w:hAnsi="宋体" w:eastAsia="宋体" w:cs="宋体"/>
                <w:bCs/>
                <w:sz w:val="21"/>
                <w:szCs w:val="21"/>
              </w:rPr>
            </w:pPr>
          </w:p>
        </w:tc>
        <w:tc>
          <w:tcPr>
            <w:tcW w:w="3566" w:type="dxa"/>
            <w:noWrap w:val="0"/>
            <w:vAlign w:val="center"/>
          </w:tcPr>
          <w:p w14:paraId="21556679">
            <w:pPr>
              <w:pStyle w:val="10"/>
              <w:spacing w:line="500" w:lineRule="exact"/>
              <w:ind w:firstLine="0"/>
              <w:jc w:val="center"/>
              <w:rPr>
                <w:rFonts w:hint="eastAsia" w:ascii="宋体" w:hAnsi="宋体" w:eastAsia="宋体" w:cs="宋体"/>
                <w:bCs/>
                <w:sz w:val="21"/>
                <w:szCs w:val="21"/>
              </w:rPr>
            </w:pPr>
          </w:p>
        </w:tc>
        <w:tc>
          <w:tcPr>
            <w:tcW w:w="2234" w:type="dxa"/>
            <w:noWrap w:val="0"/>
            <w:vAlign w:val="center"/>
          </w:tcPr>
          <w:p w14:paraId="0A2BA400">
            <w:pPr>
              <w:pStyle w:val="10"/>
              <w:spacing w:line="500" w:lineRule="exact"/>
              <w:ind w:firstLine="0"/>
              <w:jc w:val="center"/>
              <w:rPr>
                <w:rFonts w:hint="eastAsia" w:ascii="宋体" w:hAnsi="宋体" w:eastAsia="宋体" w:cs="宋体"/>
                <w:bCs/>
                <w:sz w:val="21"/>
                <w:szCs w:val="21"/>
              </w:rPr>
            </w:pPr>
            <w:r>
              <w:rPr>
                <w:rFonts w:hint="eastAsia" w:ascii="宋体" w:hAnsi="宋体" w:eastAsia="宋体" w:cs="宋体"/>
                <w:bCs/>
                <w:sz w:val="21"/>
                <w:szCs w:val="21"/>
              </w:rPr>
              <w:t>/</w:t>
            </w:r>
          </w:p>
        </w:tc>
        <w:tc>
          <w:tcPr>
            <w:tcW w:w="2234" w:type="dxa"/>
            <w:noWrap w:val="0"/>
            <w:vAlign w:val="center"/>
          </w:tcPr>
          <w:p w14:paraId="30418D2A">
            <w:pPr>
              <w:pStyle w:val="10"/>
              <w:spacing w:line="500" w:lineRule="exact"/>
              <w:ind w:firstLine="0"/>
              <w:jc w:val="center"/>
              <w:rPr>
                <w:rFonts w:hint="eastAsia" w:ascii="宋体" w:hAnsi="宋体" w:eastAsia="宋体" w:cs="宋体"/>
                <w:bCs/>
                <w:sz w:val="21"/>
                <w:szCs w:val="21"/>
              </w:rPr>
            </w:pPr>
          </w:p>
        </w:tc>
      </w:tr>
      <w:tr w14:paraId="397B72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935" w:type="dxa"/>
            <w:gridSpan w:val="4"/>
            <w:noWrap w:val="0"/>
            <w:vAlign w:val="center"/>
          </w:tcPr>
          <w:p w14:paraId="44E770C7">
            <w:pPr>
              <w:pStyle w:val="10"/>
              <w:spacing w:line="500" w:lineRule="exact"/>
              <w:ind w:firstLine="0"/>
              <w:rPr>
                <w:rFonts w:hint="eastAsia" w:ascii="宋体" w:hAnsi="宋体" w:eastAsia="宋体" w:cs="宋体"/>
                <w:bCs/>
                <w:sz w:val="21"/>
                <w:szCs w:val="21"/>
              </w:rPr>
            </w:pPr>
            <w:r>
              <w:rPr>
                <w:rFonts w:hint="eastAsia" w:ascii="宋体" w:hAnsi="宋体" w:eastAsia="宋体" w:cs="宋体"/>
                <w:bCs/>
                <w:sz w:val="21"/>
                <w:szCs w:val="21"/>
              </w:rPr>
              <w:t>收费损耗件备品备件清单</w:t>
            </w:r>
          </w:p>
        </w:tc>
      </w:tr>
      <w:tr w14:paraId="0A57E1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1" w:type="dxa"/>
            <w:noWrap w:val="0"/>
            <w:vAlign w:val="center"/>
          </w:tcPr>
          <w:p w14:paraId="162B03CC">
            <w:pPr>
              <w:pStyle w:val="10"/>
              <w:spacing w:line="500" w:lineRule="exact"/>
              <w:ind w:firstLine="0"/>
              <w:jc w:val="center"/>
              <w:rPr>
                <w:rFonts w:hint="eastAsia" w:ascii="宋体" w:hAnsi="宋体" w:eastAsia="宋体" w:cs="宋体"/>
                <w:bCs/>
                <w:sz w:val="21"/>
                <w:szCs w:val="21"/>
              </w:rPr>
            </w:pPr>
            <w:r>
              <w:rPr>
                <w:rFonts w:hint="eastAsia" w:ascii="宋体" w:hAnsi="宋体" w:eastAsia="宋体" w:cs="宋体"/>
                <w:bCs/>
                <w:sz w:val="21"/>
                <w:szCs w:val="21"/>
              </w:rPr>
              <w:t>序号</w:t>
            </w:r>
          </w:p>
        </w:tc>
        <w:tc>
          <w:tcPr>
            <w:tcW w:w="3566" w:type="dxa"/>
            <w:noWrap w:val="0"/>
            <w:vAlign w:val="center"/>
          </w:tcPr>
          <w:p w14:paraId="43CF86A3">
            <w:pPr>
              <w:pStyle w:val="10"/>
              <w:spacing w:line="500" w:lineRule="exact"/>
              <w:ind w:firstLine="0"/>
              <w:jc w:val="center"/>
              <w:rPr>
                <w:rFonts w:hint="eastAsia" w:ascii="宋体" w:hAnsi="宋体" w:eastAsia="宋体" w:cs="宋体"/>
                <w:bCs/>
                <w:sz w:val="21"/>
                <w:szCs w:val="21"/>
              </w:rPr>
            </w:pPr>
            <w:r>
              <w:rPr>
                <w:rFonts w:hint="eastAsia" w:ascii="宋体" w:hAnsi="宋体" w:eastAsia="宋体" w:cs="宋体"/>
                <w:bCs/>
                <w:sz w:val="21"/>
                <w:szCs w:val="21"/>
              </w:rPr>
              <w:t>备品备件名称</w:t>
            </w:r>
          </w:p>
        </w:tc>
        <w:tc>
          <w:tcPr>
            <w:tcW w:w="2234" w:type="dxa"/>
            <w:noWrap w:val="0"/>
            <w:vAlign w:val="center"/>
          </w:tcPr>
          <w:p w14:paraId="4193C951">
            <w:pPr>
              <w:pStyle w:val="10"/>
              <w:spacing w:line="500" w:lineRule="exact"/>
              <w:ind w:firstLine="0"/>
              <w:jc w:val="center"/>
              <w:rPr>
                <w:rFonts w:hint="eastAsia" w:ascii="宋体" w:hAnsi="宋体" w:eastAsia="宋体" w:cs="宋体"/>
                <w:bCs/>
                <w:sz w:val="21"/>
                <w:szCs w:val="21"/>
              </w:rPr>
            </w:pPr>
            <w:r>
              <w:rPr>
                <w:rFonts w:hint="eastAsia" w:ascii="宋体" w:hAnsi="宋体" w:eastAsia="宋体" w:cs="宋体"/>
                <w:bCs/>
                <w:sz w:val="21"/>
                <w:szCs w:val="21"/>
              </w:rPr>
              <w:t>价格</w:t>
            </w:r>
          </w:p>
        </w:tc>
        <w:tc>
          <w:tcPr>
            <w:tcW w:w="2234" w:type="dxa"/>
            <w:noWrap w:val="0"/>
            <w:vAlign w:val="center"/>
          </w:tcPr>
          <w:p w14:paraId="4FBE2F2E">
            <w:pPr>
              <w:pStyle w:val="10"/>
              <w:spacing w:line="500" w:lineRule="exact"/>
              <w:ind w:firstLine="0"/>
              <w:jc w:val="center"/>
              <w:rPr>
                <w:rFonts w:hint="eastAsia" w:ascii="宋体" w:hAnsi="宋体" w:eastAsia="宋体" w:cs="宋体"/>
                <w:bCs/>
                <w:sz w:val="21"/>
                <w:szCs w:val="21"/>
              </w:rPr>
            </w:pPr>
            <w:r>
              <w:rPr>
                <w:rFonts w:hint="eastAsia" w:ascii="宋体" w:hAnsi="宋体" w:eastAsia="宋体" w:cs="宋体"/>
                <w:bCs/>
                <w:sz w:val="21"/>
                <w:szCs w:val="21"/>
              </w:rPr>
              <w:t>备注</w:t>
            </w:r>
          </w:p>
        </w:tc>
      </w:tr>
      <w:tr w14:paraId="0BB47A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1" w:type="dxa"/>
            <w:noWrap w:val="0"/>
            <w:vAlign w:val="center"/>
          </w:tcPr>
          <w:p w14:paraId="58316C8F">
            <w:pPr>
              <w:pStyle w:val="10"/>
              <w:spacing w:line="500" w:lineRule="exact"/>
              <w:ind w:firstLine="0"/>
              <w:jc w:val="center"/>
              <w:rPr>
                <w:rFonts w:hint="eastAsia" w:ascii="宋体" w:hAnsi="宋体" w:eastAsia="宋体" w:cs="宋体"/>
                <w:bCs/>
                <w:sz w:val="21"/>
                <w:szCs w:val="21"/>
              </w:rPr>
            </w:pPr>
          </w:p>
        </w:tc>
        <w:tc>
          <w:tcPr>
            <w:tcW w:w="3566" w:type="dxa"/>
            <w:noWrap w:val="0"/>
            <w:vAlign w:val="center"/>
          </w:tcPr>
          <w:p w14:paraId="59D97AD3">
            <w:pPr>
              <w:pStyle w:val="10"/>
              <w:spacing w:line="500" w:lineRule="exact"/>
              <w:ind w:firstLine="0"/>
              <w:jc w:val="center"/>
              <w:rPr>
                <w:rFonts w:hint="eastAsia" w:ascii="宋体" w:hAnsi="宋体" w:eastAsia="宋体" w:cs="宋体"/>
                <w:bCs/>
                <w:sz w:val="21"/>
                <w:szCs w:val="21"/>
              </w:rPr>
            </w:pPr>
          </w:p>
        </w:tc>
        <w:tc>
          <w:tcPr>
            <w:tcW w:w="2234" w:type="dxa"/>
            <w:noWrap w:val="0"/>
            <w:vAlign w:val="center"/>
          </w:tcPr>
          <w:p w14:paraId="26958D71">
            <w:pPr>
              <w:pStyle w:val="10"/>
              <w:spacing w:line="500" w:lineRule="exact"/>
              <w:ind w:firstLine="0"/>
              <w:jc w:val="center"/>
              <w:rPr>
                <w:rFonts w:hint="eastAsia" w:ascii="宋体" w:hAnsi="宋体" w:eastAsia="宋体" w:cs="宋体"/>
                <w:bCs/>
                <w:sz w:val="21"/>
                <w:szCs w:val="21"/>
              </w:rPr>
            </w:pPr>
          </w:p>
        </w:tc>
        <w:tc>
          <w:tcPr>
            <w:tcW w:w="2234" w:type="dxa"/>
            <w:noWrap w:val="0"/>
            <w:vAlign w:val="center"/>
          </w:tcPr>
          <w:p w14:paraId="2A53D3D4">
            <w:pPr>
              <w:pStyle w:val="10"/>
              <w:spacing w:line="500" w:lineRule="exact"/>
              <w:ind w:firstLine="0"/>
              <w:jc w:val="center"/>
              <w:rPr>
                <w:rFonts w:hint="eastAsia" w:ascii="宋体" w:hAnsi="宋体" w:eastAsia="宋体" w:cs="宋体"/>
                <w:bCs/>
                <w:sz w:val="21"/>
                <w:szCs w:val="21"/>
              </w:rPr>
            </w:pPr>
          </w:p>
        </w:tc>
      </w:tr>
      <w:tr w14:paraId="06D09F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1" w:type="dxa"/>
            <w:noWrap w:val="0"/>
            <w:vAlign w:val="center"/>
          </w:tcPr>
          <w:p w14:paraId="5494A35C">
            <w:pPr>
              <w:pStyle w:val="10"/>
              <w:spacing w:line="500" w:lineRule="exact"/>
              <w:ind w:firstLine="0"/>
              <w:jc w:val="center"/>
              <w:rPr>
                <w:rFonts w:hint="eastAsia" w:ascii="宋体" w:hAnsi="宋体" w:eastAsia="宋体" w:cs="宋体"/>
                <w:bCs/>
                <w:sz w:val="21"/>
                <w:szCs w:val="21"/>
              </w:rPr>
            </w:pPr>
          </w:p>
        </w:tc>
        <w:tc>
          <w:tcPr>
            <w:tcW w:w="3566" w:type="dxa"/>
            <w:noWrap w:val="0"/>
            <w:vAlign w:val="center"/>
          </w:tcPr>
          <w:p w14:paraId="7054F763">
            <w:pPr>
              <w:pStyle w:val="10"/>
              <w:spacing w:line="500" w:lineRule="exact"/>
              <w:ind w:firstLine="0"/>
              <w:jc w:val="center"/>
              <w:rPr>
                <w:rFonts w:hint="eastAsia" w:ascii="宋体" w:hAnsi="宋体" w:eastAsia="宋体" w:cs="宋体"/>
                <w:bCs/>
                <w:sz w:val="21"/>
                <w:szCs w:val="21"/>
              </w:rPr>
            </w:pPr>
          </w:p>
        </w:tc>
        <w:tc>
          <w:tcPr>
            <w:tcW w:w="2234" w:type="dxa"/>
            <w:noWrap w:val="0"/>
            <w:vAlign w:val="center"/>
          </w:tcPr>
          <w:p w14:paraId="37FAC1FB">
            <w:pPr>
              <w:pStyle w:val="10"/>
              <w:spacing w:line="500" w:lineRule="exact"/>
              <w:ind w:firstLine="0"/>
              <w:jc w:val="center"/>
              <w:rPr>
                <w:rFonts w:hint="eastAsia" w:ascii="宋体" w:hAnsi="宋体" w:eastAsia="宋体" w:cs="宋体"/>
                <w:bCs/>
                <w:sz w:val="21"/>
                <w:szCs w:val="21"/>
              </w:rPr>
            </w:pPr>
          </w:p>
        </w:tc>
        <w:tc>
          <w:tcPr>
            <w:tcW w:w="2234" w:type="dxa"/>
            <w:noWrap w:val="0"/>
            <w:vAlign w:val="center"/>
          </w:tcPr>
          <w:p w14:paraId="5E54D7CE">
            <w:pPr>
              <w:pStyle w:val="10"/>
              <w:spacing w:line="500" w:lineRule="exact"/>
              <w:ind w:firstLine="0"/>
              <w:jc w:val="center"/>
              <w:rPr>
                <w:rFonts w:hint="eastAsia" w:ascii="宋体" w:hAnsi="宋体" w:eastAsia="宋体" w:cs="宋体"/>
                <w:bCs/>
                <w:sz w:val="21"/>
                <w:szCs w:val="21"/>
              </w:rPr>
            </w:pPr>
          </w:p>
        </w:tc>
      </w:tr>
      <w:tr w14:paraId="2EE782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1" w:type="dxa"/>
            <w:noWrap w:val="0"/>
            <w:vAlign w:val="center"/>
          </w:tcPr>
          <w:p w14:paraId="34B11F66">
            <w:pPr>
              <w:pStyle w:val="10"/>
              <w:spacing w:line="500" w:lineRule="exact"/>
              <w:ind w:firstLine="0"/>
              <w:jc w:val="center"/>
              <w:rPr>
                <w:rFonts w:hint="eastAsia" w:ascii="宋体" w:hAnsi="宋体" w:eastAsia="宋体" w:cs="宋体"/>
                <w:bCs/>
                <w:sz w:val="21"/>
                <w:szCs w:val="21"/>
              </w:rPr>
            </w:pPr>
          </w:p>
        </w:tc>
        <w:tc>
          <w:tcPr>
            <w:tcW w:w="3566" w:type="dxa"/>
            <w:noWrap w:val="0"/>
            <w:vAlign w:val="center"/>
          </w:tcPr>
          <w:p w14:paraId="3C1062CE">
            <w:pPr>
              <w:pStyle w:val="10"/>
              <w:spacing w:line="500" w:lineRule="exact"/>
              <w:ind w:firstLine="0"/>
              <w:jc w:val="center"/>
              <w:rPr>
                <w:rFonts w:hint="eastAsia" w:ascii="宋体" w:hAnsi="宋体" w:eastAsia="宋体" w:cs="宋体"/>
                <w:bCs/>
                <w:sz w:val="21"/>
                <w:szCs w:val="21"/>
              </w:rPr>
            </w:pPr>
          </w:p>
        </w:tc>
        <w:tc>
          <w:tcPr>
            <w:tcW w:w="2234" w:type="dxa"/>
            <w:noWrap w:val="0"/>
            <w:vAlign w:val="center"/>
          </w:tcPr>
          <w:p w14:paraId="162967D9">
            <w:pPr>
              <w:pStyle w:val="10"/>
              <w:spacing w:line="500" w:lineRule="exact"/>
              <w:ind w:firstLine="0"/>
              <w:jc w:val="center"/>
              <w:rPr>
                <w:rFonts w:hint="eastAsia" w:ascii="宋体" w:hAnsi="宋体" w:eastAsia="宋体" w:cs="宋体"/>
                <w:bCs/>
                <w:sz w:val="21"/>
                <w:szCs w:val="21"/>
              </w:rPr>
            </w:pPr>
          </w:p>
        </w:tc>
        <w:tc>
          <w:tcPr>
            <w:tcW w:w="2234" w:type="dxa"/>
            <w:noWrap w:val="0"/>
            <w:vAlign w:val="center"/>
          </w:tcPr>
          <w:p w14:paraId="29513059">
            <w:pPr>
              <w:pStyle w:val="10"/>
              <w:spacing w:line="500" w:lineRule="exact"/>
              <w:ind w:firstLine="0"/>
              <w:jc w:val="center"/>
              <w:rPr>
                <w:rFonts w:hint="eastAsia" w:ascii="宋体" w:hAnsi="宋体" w:eastAsia="宋体" w:cs="宋体"/>
                <w:bCs/>
                <w:sz w:val="21"/>
                <w:szCs w:val="21"/>
              </w:rPr>
            </w:pPr>
          </w:p>
        </w:tc>
      </w:tr>
      <w:tr w14:paraId="08E0C6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1" w:type="dxa"/>
            <w:noWrap w:val="0"/>
            <w:vAlign w:val="center"/>
          </w:tcPr>
          <w:p w14:paraId="1D9961DD">
            <w:pPr>
              <w:pStyle w:val="10"/>
              <w:spacing w:line="500" w:lineRule="exact"/>
              <w:ind w:firstLine="0"/>
              <w:jc w:val="center"/>
              <w:rPr>
                <w:rFonts w:hint="eastAsia" w:ascii="宋体" w:hAnsi="宋体" w:eastAsia="宋体" w:cs="宋体"/>
                <w:bCs/>
                <w:sz w:val="21"/>
                <w:szCs w:val="21"/>
              </w:rPr>
            </w:pPr>
          </w:p>
        </w:tc>
        <w:tc>
          <w:tcPr>
            <w:tcW w:w="3566" w:type="dxa"/>
            <w:noWrap w:val="0"/>
            <w:vAlign w:val="center"/>
          </w:tcPr>
          <w:p w14:paraId="50A8584E">
            <w:pPr>
              <w:pStyle w:val="10"/>
              <w:spacing w:line="500" w:lineRule="exact"/>
              <w:ind w:firstLine="0"/>
              <w:jc w:val="center"/>
              <w:rPr>
                <w:rFonts w:hint="eastAsia" w:ascii="宋体" w:hAnsi="宋体" w:eastAsia="宋体" w:cs="宋体"/>
                <w:bCs/>
                <w:sz w:val="21"/>
                <w:szCs w:val="21"/>
              </w:rPr>
            </w:pPr>
          </w:p>
        </w:tc>
        <w:tc>
          <w:tcPr>
            <w:tcW w:w="2234" w:type="dxa"/>
            <w:noWrap w:val="0"/>
            <w:vAlign w:val="center"/>
          </w:tcPr>
          <w:p w14:paraId="634CA587">
            <w:pPr>
              <w:pStyle w:val="10"/>
              <w:spacing w:line="500" w:lineRule="exact"/>
              <w:ind w:firstLine="0"/>
              <w:jc w:val="center"/>
              <w:rPr>
                <w:rFonts w:hint="eastAsia" w:ascii="宋体" w:hAnsi="宋体" w:eastAsia="宋体" w:cs="宋体"/>
                <w:bCs/>
                <w:sz w:val="21"/>
                <w:szCs w:val="21"/>
              </w:rPr>
            </w:pPr>
          </w:p>
        </w:tc>
        <w:tc>
          <w:tcPr>
            <w:tcW w:w="2234" w:type="dxa"/>
            <w:noWrap w:val="0"/>
            <w:vAlign w:val="center"/>
          </w:tcPr>
          <w:p w14:paraId="5B20D023">
            <w:pPr>
              <w:pStyle w:val="10"/>
              <w:spacing w:line="500" w:lineRule="exact"/>
              <w:ind w:firstLine="0"/>
              <w:jc w:val="center"/>
              <w:rPr>
                <w:rFonts w:hint="eastAsia" w:ascii="宋体" w:hAnsi="宋体" w:eastAsia="宋体" w:cs="宋体"/>
                <w:bCs/>
                <w:sz w:val="21"/>
                <w:szCs w:val="21"/>
              </w:rPr>
            </w:pPr>
          </w:p>
        </w:tc>
      </w:tr>
      <w:tr w14:paraId="440D39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1" w:type="dxa"/>
            <w:noWrap w:val="0"/>
            <w:vAlign w:val="center"/>
          </w:tcPr>
          <w:p w14:paraId="4AE5D437">
            <w:pPr>
              <w:pStyle w:val="10"/>
              <w:spacing w:line="500" w:lineRule="exact"/>
              <w:ind w:firstLine="0"/>
              <w:jc w:val="center"/>
              <w:rPr>
                <w:rFonts w:hint="eastAsia" w:ascii="宋体" w:hAnsi="宋体" w:eastAsia="宋体" w:cs="宋体"/>
                <w:bCs/>
                <w:sz w:val="21"/>
                <w:szCs w:val="21"/>
              </w:rPr>
            </w:pPr>
          </w:p>
        </w:tc>
        <w:tc>
          <w:tcPr>
            <w:tcW w:w="3566" w:type="dxa"/>
            <w:noWrap w:val="0"/>
            <w:vAlign w:val="center"/>
          </w:tcPr>
          <w:p w14:paraId="34B17E13">
            <w:pPr>
              <w:pStyle w:val="10"/>
              <w:spacing w:line="500" w:lineRule="exact"/>
              <w:ind w:firstLine="0"/>
              <w:jc w:val="center"/>
              <w:rPr>
                <w:rFonts w:hint="eastAsia" w:ascii="宋体" w:hAnsi="宋体" w:eastAsia="宋体" w:cs="宋体"/>
                <w:bCs/>
                <w:sz w:val="21"/>
                <w:szCs w:val="21"/>
              </w:rPr>
            </w:pPr>
          </w:p>
        </w:tc>
        <w:tc>
          <w:tcPr>
            <w:tcW w:w="2234" w:type="dxa"/>
            <w:noWrap w:val="0"/>
            <w:vAlign w:val="center"/>
          </w:tcPr>
          <w:p w14:paraId="03A00478">
            <w:pPr>
              <w:pStyle w:val="10"/>
              <w:spacing w:line="500" w:lineRule="exact"/>
              <w:ind w:firstLine="0"/>
              <w:jc w:val="center"/>
              <w:rPr>
                <w:rFonts w:hint="eastAsia" w:ascii="宋体" w:hAnsi="宋体" w:eastAsia="宋体" w:cs="宋体"/>
                <w:bCs/>
                <w:sz w:val="21"/>
                <w:szCs w:val="21"/>
              </w:rPr>
            </w:pPr>
          </w:p>
        </w:tc>
        <w:tc>
          <w:tcPr>
            <w:tcW w:w="2234" w:type="dxa"/>
            <w:noWrap w:val="0"/>
            <w:vAlign w:val="center"/>
          </w:tcPr>
          <w:p w14:paraId="5CECC3A7">
            <w:pPr>
              <w:pStyle w:val="10"/>
              <w:spacing w:line="500" w:lineRule="exact"/>
              <w:ind w:firstLine="0"/>
              <w:jc w:val="center"/>
              <w:rPr>
                <w:rFonts w:hint="eastAsia" w:ascii="宋体" w:hAnsi="宋体" w:eastAsia="宋体" w:cs="宋体"/>
                <w:bCs/>
                <w:sz w:val="21"/>
                <w:szCs w:val="21"/>
              </w:rPr>
            </w:pPr>
          </w:p>
        </w:tc>
      </w:tr>
      <w:tr w14:paraId="12EFA5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1" w:type="dxa"/>
            <w:noWrap w:val="0"/>
            <w:vAlign w:val="center"/>
          </w:tcPr>
          <w:p w14:paraId="70B06562">
            <w:pPr>
              <w:pStyle w:val="10"/>
              <w:spacing w:line="500" w:lineRule="exact"/>
              <w:ind w:firstLine="0"/>
              <w:jc w:val="center"/>
              <w:rPr>
                <w:rFonts w:hint="eastAsia" w:ascii="宋体" w:hAnsi="宋体" w:eastAsia="宋体" w:cs="宋体"/>
                <w:bCs/>
                <w:sz w:val="21"/>
                <w:szCs w:val="21"/>
              </w:rPr>
            </w:pPr>
          </w:p>
        </w:tc>
        <w:tc>
          <w:tcPr>
            <w:tcW w:w="3566" w:type="dxa"/>
            <w:noWrap w:val="0"/>
            <w:vAlign w:val="center"/>
          </w:tcPr>
          <w:p w14:paraId="382024D6">
            <w:pPr>
              <w:pStyle w:val="10"/>
              <w:spacing w:line="500" w:lineRule="exact"/>
              <w:ind w:firstLine="0"/>
              <w:jc w:val="center"/>
              <w:rPr>
                <w:rFonts w:hint="eastAsia" w:ascii="宋体" w:hAnsi="宋体" w:eastAsia="宋体" w:cs="宋体"/>
                <w:bCs/>
                <w:sz w:val="21"/>
                <w:szCs w:val="21"/>
              </w:rPr>
            </w:pPr>
          </w:p>
        </w:tc>
        <w:tc>
          <w:tcPr>
            <w:tcW w:w="2234" w:type="dxa"/>
            <w:noWrap w:val="0"/>
            <w:vAlign w:val="center"/>
          </w:tcPr>
          <w:p w14:paraId="7B7262E0">
            <w:pPr>
              <w:pStyle w:val="10"/>
              <w:spacing w:line="500" w:lineRule="exact"/>
              <w:ind w:firstLine="0"/>
              <w:jc w:val="center"/>
              <w:rPr>
                <w:rFonts w:hint="eastAsia" w:ascii="宋体" w:hAnsi="宋体" w:eastAsia="宋体" w:cs="宋体"/>
                <w:bCs/>
                <w:sz w:val="21"/>
                <w:szCs w:val="21"/>
              </w:rPr>
            </w:pPr>
          </w:p>
        </w:tc>
        <w:tc>
          <w:tcPr>
            <w:tcW w:w="2234" w:type="dxa"/>
            <w:noWrap w:val="0"/>
            <w:vAlign w:val="center"/>
          </w:tcPr>
          <w:p w14:paraId="793EBA19">
            <w:pPr>
              <w:pStyle w:val="10"/>
              <w:spacing w:line="500" w:lineRule="exact"/>
              <w:ind w:firstLine="0"/>
              <w:jc w:val="center"/>
              <w:rPr>
                <w:rFonts w:hint="eastAsia" w:ascii="宋体" w:hAnsi="宋体" w:eastAsia="宋体" w:cs="宋体"/>
                <w:bCs/>
                <w:sz w:val="21"/>
                <w:szCs w:val="21"/>
              </w:rPr>
            </w:pPr>
          </w:p>
        </w:tc>
      </w:tr>
      <w:tr w14:paraId="4C856D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1" w:type="dxa"/>
            <w:noWrap w:val="0"/>
            <w:vAlign w:val="center"/>
          </w:tcPr>
          <w:p w14:paraId="24B91C9B">
            <w:pPr>
              <w:pStyle w:val="10"/>
              <w:spacing w:line="500" w:lineRule="exact"/>
              <w:ind w:firstLine="0"/>
              <w:jc w:val="center"/>
              <w:rPr>
                <w:rFonts w:hint="eastAsia" w:ascii="宋体" w:hAnsi="宋体" w:eastAsia="宋体" w:cs="宋体"/>
                <w:bCs/>
                <w:sz w:val="21"/>
                <w:szCs w:val="21"/>
              </w:rPr>
            </w:pPr>
          </w:p>
        </w:tc>
        <w:tc>
          <w:tcPr>
            <w:tcW w:w="3566" w:type="dxa"/>
            <w:noWrap w:val="0"/>
            <w:vAlign w:val="center"/>
          </w:tcPr>
          <w:p w14:paraId="2A6FF587">
            <w:pPr>
              <w:pStyle w:val="10"/>
              <w:spacing w:line="500" w:lineRule="exact"/>
              <w:ind w:firstLine="0"/>
              <w:jc w:val="center"/>
              <w:rPr>
                <w:rFonts w:hint="eastAsia" w:ascii="宋体" w:hAnsi="宋体" w:eastAsia="宋体" w:cs="宋体"/>
                <w:bCs/>
                <w:sz w:val="21"/>
                <w:szCs w:val="21"/>
              </w:rPr>
            </w:pPr>
          </w:p>
        </w:tc>
        <w:tc>
          <w:tcPr>
            <w:tcW w:w="2234" w:type="dxa"/>
            <w:noWrap w:val="0"/>
            <w:vAlign w:val="center"/>
          </w:tcPr>
          <w:p w14:paraId="1723EDFB">
            <w:pPr>
              <w:pStyle w:val="10"/>
              <w:spacing w:line="500" w:lineRule="exact"/>
              <w:ind w:firstLine="0"/>
              <w:jc w:val="center"/>
              <w:rPr>
                <w:rFonts w:hint="eastAsia" w:ascii="宋体" w:hAnsi="宋体" w:eastAsia="宋体" w:cs="宋体"/>
                <w:bCs/>
                <w:sz w:val="21"/>
                <w:szCs w:val="21"/>
              </w:rPr>
            </w:pPr>
          </w:p>
        </w:tc>
        <w:tc>
          <w:tcPr>
            <w:tcW w:w="2234" w:type="dxa"/>
            <w:noWrap w:val="0"/>
            <w:vAlign w:val="center"/>
          </w:tcPr>
          <w:p w14:paraId="2027E1F9">
            <w:pPr>
              <w:pStyle w:val="10"/>
              <w:spacing w:line="500" w:lineRule="exact"/>
              <w:ind w:firstLine="0"/>
              <w:jc w:val="center"/>
              <w:rPr>
                <w:rFonts w:hint="eastAsia" w:ascii="宋体" w:hAnsi="宋体" w:eastAsia="宋体" w:cs="宋体"/>
                <w:bCs/>
                <w:sz w:val="21"/>
                <w:szCs w:val="21"/>
              </w:rPr>
            </w:pPr>
          </w:p>
        </w:tc>
      </w:tr>
    </w:tbl>
    <w:p w14:paraId="0163E89E">
      <w:pPr>
        <w:pStyle w:val="10"/>
        <w:spacing w:line="500" w:lineRule="exact"/>
        <w:ind w:firstLine="0"/>
        <w:rPr>
          <w:rFonts w:hint="eastAsia" w:ascii="宋体" w:hAnsi="宋体" w:eastAsia="宋体" w:cs="宋体"/>
          <w:bCs/>
          <w:sz w:val="21"/>
          <w:szCs w:val="21"/>
        </w:rPr>
        <w:sectPr>
          <w:pgSz w:w="11905" w:h="16838"/>
          <w:pgMar w:top="720" w:right="1417" w:bottom="720" w:left="1417" w:header="850" w:footer="992" w:gutter="0"/>
          <w:pgNumType w:fmt="numberInDash"/>
          <w:cols w:space="720" w:num="1"/>
          <w:docGrid w:type="lines" w:linePitch="416" w:charSpace="0"/>
        </w:sectPr>
      </w:pPr>
      <w:r>
        <w:rPr>
          <w:rFonts w:hint="eastAsia" w:ascii="宋体" w:hAnsi="宋体" w:eastAsia="宋体" w:cs="宋体"/>
          <w:bCs/>
          <w:sz w:val="21"/>
          <w:szCs w:val="21"/>
        </w:rPr>
        <w:t>服务质保期内免费提供损耗件备品备件</w:t>
      </w:r>
    </w:p>
    <w:p w14:paraId="4A59D451">
      <w:pPr>
        <w:pStyle w:val="63"/>
        <w:keepNext w:val="0"/>
        <w:keepLines w:val="0"/>
        <w:pageBreakBefore w:val="0"/>
        <w:widowControl/>
        <w:shd w:val="clear" w:color="auto" w:fill="auto"/>
        <w:kinsoku/>
        <w:wordWrap/>
        <w:overflowPunct/>
        <w:topLinePunct w:val="0"/>
        <w:autoSpaceDE/>
        <w:autoSpaceDN/>
        <w:bidi w:val="0"/>
        <w:adjustRightInd/>
        <w:snapToGrid/>
        <w:spacing w:afterAutospacing="0" w:line="360" w:lineRule="exact"/>
        <w:textAlignment w:val="auto"/>
        <w:rPr>
          <w:rFonts w:hint="eastAsia" w:ascii="宋体" w:hAnsi="宋体" w:eastAsia="宋体" w:cs="宋体"/>
          <w:b/>
          <w:bCs/>
          <w:color w:val="auto"/>
          <w:highlight w:val="none"/>
          <w:lang w:val="en-US" w:eastAsia="zh-CN"/>
        </w:rPr>
      </w:pPr>
    </w:p>
    <w:p w14:paraId="61810CE8">
      <w:pPr>
        <w:ind w:firstLine="480" w:firstLineChars="200"/>
        <w:rPr>
          <w:rFonts w:cs="仿宋_GB2312"/>
          <w:color w:val="auto"/>
          <w:szCs w:val="24"/>
          <w:highlight w:val="none"/>
          <w:lang w:val="zh-CN"/>
        </w:rPr>
      </w:pPr>
      <w:r>
        <w:rPr>
          <w:rFonts w:hint="eastAsia" w:cs="仿宋_GB2312"/>
          <w:color w:val="auto"/>
          <w:szCs w:val="24"/>
          <w:highlight w:val="none"/>
          <w:lang w:val="zh-CN"/>
        </w:rPr>
        <w:t>封面：</w:t>
      </w:r>
    </w:p>
    <w:p w14:paraId="62869EA6">
      <w:pPr>
        <w:autoSpaceDE w:val="0"/>
        <w:autoSpaceDN w:val="0"/>
        <w:adjustRightInd w:val="0"/>
        <w:rPr>
          <w:color w:val="auto"/>
          <w:sz w:val="21"/>
          <w:szCs w:val="24"/>
          <w:highlight w:val="none"/>
        </w:rPr>
      </w:pPr>
    </w:p>
    <w:p w14:paraId="5B0902B7">
      <w:pPr>
        <w:autoSpaceDE w:val="0"/>
        <w:autoSpaceDN w:val="0"/>
        <w:adjustRightInd w:val="0"/>
        <w:rPr>
          <w:color w:val="auto"/>
          <w:sz w:val="21"/>
          <w:szCs w:val="24"/>
          <w:highlight w:val="none"/>
        </w:rPr>
      </w:pPr>
    </w:p>
    <w:p w14:paraId="5A04F91B">
      <w:pPr>
        <w:autoSpaceDE w:val="0"/>
        <w:autoSpaceDN w:val="0"/>
        <w:adjustRightInd w:val="0"/>
        <w:jc w:val="center"/>
        <w:rPr>
          <w:color w:val="auto"/>
          <w:sz w:val="21"/>
          <w:szCs w:val="24"/>
          <w:highlight w:val="none"/>
        </w:rPr>
      </w:pPr>
    </w:p>
    <w:p w14:paraId="47D22CDA">
      <w:pPr>
        <w:bidi w:val="0"/>
        <w:jc w:val="center"/>
        <w:outlineLvl w:val="9"/>
        <w:rPr>
          <w:sz w:val="84"/>
          <w:szCs w:val="84"/>
        </w:rPr>
      </w:pPr>
      <w:bookmarkStart w:id="637" w:name="_Toc5027"/>
      <w:r>
        <w:rPr>
          <w:rFonts w:hint="eastAsia"/>
          <w:sz w:val="84"/>
          <w:szCs w:val="84"/>
        </w:rPr>
        <w:t>投 标 文 件</w:t>
      </w:r>
      <w:bookmarkEnd w:id="637"/>
    </w:p>
    <w:p w14:paraId="2059EAAA">
      <w:pPr>
        <w:pStyle w:val="3"/>
        <w:bidi w:val="0"/>
        <w:jc w:val="center"/>
        <w:rPr>
          <w:rFonts w:hint="eastAsia"/>
          <w:sz w:val="56"/>
          <w:szCs w:val="56"/>
          <w:lang w:val="en-US" w:eastAsia="zh-CN"/>
        </w:rPr>
      </w:pPr>
      <w:bookmarkStart w:id="638" w:name="_Toc17239"/>
      <w:r>
        <w:rPr>
          <w:rFonts w:hint="eastAsia"/>
          <w:sz w:val="56"/>
          <w:szCs w:val="56"/>
          <w:lang w:val="en-US" w:eastAsia="zh-CN"/>
        </w:rPr>
        <w:t>商务技术文件</w:t>
      </w:r>
      <w:bookmarkEnd w:id="638"/>
    </w:p>
    <w:p w14:paraId="691967E0">
      <w:pPr>
        <w:autoSpaceDE w:val="0"/>
        <w:autoSpaceDN w:val="0"/>
        <w:adjustRightInd w:val="0"/>
        <w:jc w:val="center"/>
        <w:rPr>
          <w:rFonts w:hint="eastAsia" w:eastAsia="宋体"/>
          <w:color w:val="auto"/>
          <w:sz w:val="36"/>
          <w:szCs w:val="36"/>
          <w:highlight w:val="none"/>
          <w:lang w:eastAsia="zh-CN"/>
        </w:rPr>
      </w:pPr>
      <w:r>
        <w:rPr>
          <w:rFonts w:hint="eastAsia"/>
          <w:color w:val="auto"/>
          <w:sz w:val="36"/>
          <w:szCs w:val="36"/>
          <w:highlight w:val="none"/>
          <w:lang w:val="en-US" w:eastAsia="zh-CN"/>
        </w:rPr>
        <w:t>（第XX包</w:t>
      </w:r>
      <w:r>
        <w:rPr>
          <w:rFonts w:hint="eastAsia"/>
          <w:color w:val="auto"/>
          <w:sz w:val="36"/>
          <w:szCs w:val="36"/>
          <w:highlight w:val="none"/>
          <w:lang w:eastAsia="zh-CN"/>
        </w:rPr>
        <w:t>）【</w:t>
      </w:r>
      <w:r>
        <w:rPr>
          <w:rFonts w:hint="eastAsia"/>
          <w:color w:val="auto"/>
          <w:sz w:val="36"/>
          <w:szCs w:val="36"/>
          <w:highlight w:val="none"/>
          <w:lang w:val="en-US" w:eastAsia="zh-CN"/>
        </w:rPr>
        <w:t>如不分包，请删去本行</w:t>
      </w:r>
      <w:r>
        <w:rPr>
          <w:rFonts w:hint="eastAsia"/>
          <w:color w:val="auto"/>
          <w:sz w:val="36"/>
          <w:szCs w:val="36"/>
          <w:highlight w:val="none"/>
          <w:lang w:eastAsia="zh-CN"/>
        </w:rPr>
        <w:t>】</w:t>
      </w:r>
    </w:p>
    <w:p w14:paraId="039027FC">
      <w:pPr>
        <w:outlineLvl w:val="9"/>
        <w:rPr>
          <w:color w:val="auto"/>
          <w:sz w:val="21"/>
          <w:szCs w:val="21"/>
          <w:highlight w:val="none"/>
        </w:rPr>
      </w:pPr>
    </w:p>
    <w:p w14:paraId="1B35F1EE">
      <w:pPr>
        <w:rPr>
          <w:color w:val="auto"/>
          <w:sz w:val="21"/>
          <w:szCs w:val="21"/>
          <w:highlight w:val="none"/>
        </w:rPr>
      </w:pPr>
    </w:p>
    <w:p w14:paraId="54B78BF7">
      <w:pPr>
        <w:rPr>
          <w:color w:val="auto"/>
          <w:highlight w:val="none"/>
        </w:rPr>
      </w:pPr>
    </w:p>
    <w:p w14:paraId="44CE1222">
      <w:pPr>
        <w:autoSpaceDE w:val="0"/>
        <w:autoSpaceDN w:val="0"/>
        <w:adjustRightInd w:val="0"/>
        <w:rPr>
          <w:color w:val="auto"/>
          <w:sz w:val="21"/>
          <w:szCs w:val="21"/>
          <w:highlight w:val="none"/>
        </w:rPr>
      </w:pPr>
    </w:p>
    <w:p w14:paraId="7AA0A974">
      <w:pPr>
        <w:autoSpaceDE w:val="0"/>
        <w:autoSpaceDN w:val="0"/>
        <w:adjustRightInd w:val="0"/>
        <w:rPr>
          <w:color w:val="auto"/>
          <w:sz w:val="21"/>
          <w:szCs w:val="21"/>
          <w:highlight w:val="none"/>
        </w:rPr>
      </w:pPr>
    </w:p>
    <w:p w14:paraId="037029E5">
      <w:pPr>
        <w:ind w:left="420" w:leftChars="175"/>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项目编号</w:t>
      </w:r>
      <w:r>
        <w:rPr>
          <w:rFonts w:hint="eastAsia" w:ascii="宋体" w:hAnsi="宋体" w:eastAsia="宋体" w:cs="宋体"/>
          <w:color w:val="auto"/>
          <w:sz w:val="36"/>
          <w:szCs w:val="36"/>
          <w:highlight w:val="none"/>
          <w:lang w:val="en-US" w:eastAsia="zh-CN"/>
        </w:rPr>
        <w:t>/包号</w:t>
      </w:r>
      <w:r>
        <w:rPr>
          <w:rFonts w:hint="eastAsia" w:ascii="宋体" w:hAnsi="宋体" w:eastAsia="宋体" w:cs="宋体"/>
          <w:color w:val="auto"/>
          <w:sz w:val="36"/>
          <w:szCs w:val="36"/>
          <w:highlight w:val="none"/>
        </w:rPr>
        <w:t>：</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0538909E">
      <w:pPr>
        <w:ind w:left="420" w:leftChars="175"/>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项目名称：</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6D86FB53">
      <w:pPr>
        <w:ind w:left="420" w:leftChars="175"/>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投</w:t>
      </w:r>
      <w:r>
        <w:rPr>
          <w:rFonts w:hint="eastAsia" w:ascii="宋体" w:hAnsi="宋体" w:eastAsia="宋体" w:cs="宋体"/>
          <w:color w:val="auto"/>
          <w:sz w:val="36"/>
          <w:szCs w:val="36"/>
          <w:highlight w:val="none"/>
          <w:lang w:val="en-US" w:eastAsia="zh-CN"/>
        </w:rPr>
        <w:t xml:space="preserve"> </w:t>
      </w:r>
      <w:r>
        <w:rPr>
          <w:rFonts w:hint="eastAsia" w:ascii="宋体" w:hAnsi="宋体" w:eastAsia="宋体" w:cs="宋体"/>
          <w:color w:val="auto"/>
          <w:sz w:val="36"/>
          <w:szCs w:val="36"/>
          <w:highlight w:val="none"/>
        </w:rPr>
        <w:t>标</w:t>
      </w:r>
      <w:r>
        <w:rPr>
          <w:rFonts w:hint="eastAsia" w:ascii="宋体" w:hAnsi="宋体" w:eastAsia="宋体" w:cs="宋体"/>
          <w:color w:val="auto"/>
          <w:sz w:val="36"/>
          <w:szCs w:val="36"/>
          <w:highlight w:val="none"/>
          <w:lang w:val="en-US" w:eastAsia="zh-CN"/>
        </w:rPr>
        <w:t xml:space="preserve"> </w:t>
      </w:r>
      <w:r>
        <w:rPr>
          <w:rFonts w:hint="eastAsia" w:ascii="宋体" w:hAnsi="宋体" w:eastAsia="宋体" w:cs="宋体"/>
          <w:color w:val="auto"/>
          <w:sz w:val="36"/>
          <w:szCs w:val="36"/>
          <w:highlight w:val="none"/>
        </w:rPr>
        <w:t>人：</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02BCF110">
      <w:pPr>
        <w:ind w:left="420" w:leftChars="175"/>
        <w:rPr>
          <w:rFonts w:ascii="黑体" w:hAnsi="黑体" w:eastAsia="黑体"/>
          <w:color w:val="auto"/>
          <w:sz w:val="32"/>
          <w:szCs w:val="32"/>
          <w:highlight w:val="none"/>
        </w:rPr>
      </w:pPr>
    </w:p>
    <w:p w14:paraId="2EF2CC50">
      <w:pPr>
        <w:ind w:left="840" w:firstLine="420"/>
        <w:rPr>
          <w:b/>
          <w:bCs/>
          <w:color w:val="auto"/>
          <w:sz w:val="28"/>
          <w:szCs w:val="28"/>
          <w:highlight w:val="none"/>
        </w:rPr>
      </w:pPr>
    </w:p>
    <w:p w14:paraId="2451F1DE">
      <w:pPr>
        <w:ind w:left="840" w:firstLine="420"/>
        <w:rPr>
          <w:b/>
          <w:bCs/>
          <w:color w:val="auto"/>
          <w:sz w:val="28"/>
          <w:szCs w:val="28"/>
          <w:highlight w:val="none"/>
        </w:rPr>
      </w:pPr>
    </w:p>
    <w:p w14:paraId="5B12266F">
      <w:pPr>
        <w:jc w:val="center"/>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年   月    日</w:t>
      </w:r>
    </w:p>
    <w:p w14:paraId="5C2AEB63">
      <w:pPr>
        <w:rPr>
          <w:color w:val="auto"/>
          <w:highlight w:val="none"/>
          <w:lang w:val="zh-CN"/>
        </w:rPr>
      </w:pPr>
      <w:r>
        <w:rPr>
          <w:color w:val="auto"/>
          <w:highlight w:val="none"/>
          <w:lang w:val="zh-CN"/>
        </w:rPr>
        <w:br w:type="page"/>
      </w:r>
    </w:p>
    <w:p w14:paraId="374BEE88">
      <w:pPr>
        <w:pStyle w:val="3"/>
        <w:bidi w:val="0"/>
        <w:jc w:val="center"/>
        <w:rPr>
          <w:rFonts w:hint="eastAsia"/>
          <w:lang w:val="en-US" w:eastAsia="zh-CN"/>
        </w:rPr>
      </w:pPr>
      <w:bookmarkStart w:id="639" w:name="_Toc109899908"/>
      <w:bookmarkStart w:id="640" w:name="_Toc155185921"/>
      <w:bookmarkStart w:id="641" w:name="_Toc140132831"/>
      <w:bookmarkStart w:id="642" w:name="_Toc109900327"/>
      <w:bookmarkStart w:id="643" w:name="_Toc3577"/>
      <w:bookmarkStart w:id="644" w:name="_Toc109899489"/>
      <w:bookmarkStart w:id="645" w:name="_Toc26340"/>
      <w:bookmarkStart w:id="646" w:name="_Toc25402"/>
      <w:r>
        <w:rPr>
          <w:rFonts w:hint="eastAsia"/>
          <w:lang w:val="en-US" w:eastAsia="zh-CN"/>
        </w:rPr>
        <w:t>一、投标函</w:t>
      </w:r>
      <w:bookmarkEnd w:id="639"/>
      <w:bookmarkEnd w:id="640"/>
      <w:bookmarkEnd w:id="641"/>
      <w:bookmarkEnd w:id="642"/>
      <w:bookmarkEnd w:id="643"/>
      <w:bookmarkEnd w:id="644"/>
      <w:bookmarkEnd w:id="645"/>
      <w:bookmarkEnd w:id="646"/>
    </w:p>
    <w:p w14:paraId="0ABD9EA3">
      <w:pPr>
        <w:rPr>
          <w:color w:val="auto"/>
          <w:highlight w:val="none"/>
        </w:rPr>
      </w:pPr>
      <w:r>
        <w:rPr>
          <w:rFonts w:hint="eastAsia"/>
          <w:color w:val="auto"/>
          <w:highlight w:val="none"/>
        </w:rPr>
        <w:t>致：（采购人）</w:t>
      </w:r>
    </w:p>
    <w:p w14:paraId="35C4266A">
      <w:pPr>
        <w:ind w:firstLine="480" w:firstLineChars="200"/>
        <w:rPr>
          <w:rFonts w:cs="仿宋_GB2312"/>
          <w:b/>
          <w:bCs/>
          <w:color w:val="auto"/>
          <w:szCs w:val="24"/>
          <w:highlight w:val="none"/>
        </w:rPr>
      </w:pPr>
      <w:r>
        <w:rPr>
          <w:rFonts w:hint="eastAsia" w:cs="仿宋_GB2312"/>
          <w:color w:val="auto"/>
          <w:szCs w:val="24"/>
          <w:highlight w:val="none"/>
        </w:rPr>
        <w:t>根据贵方</w:t>
      </w:r>
      <w:r>
        <w:rPr>
          <w:rFonts w:hint="eastAsia" w:cs="仿宋_GB2312"/>
          <w:color w:val="auto"/>
          <w:szCs w:val="24"/>
          <w:highlight w:val="none"/>
          <w:u w:val="single"/>
        </w:rPr>
        <w:t>（项目名称）（项目编号</w:t>
      </w:r>
      <w:r>
        <w:rPr>
          <w:rFonts w:hint="eastAsia" w:cs="仿宋_GB2312"/>
          <w:color w:val="auto"/>
          <w:szCs w:val="24"/>
          <w:highlight w:val="none"/>
          <w:u w:val="single"/>
          <w:lang w:val="en-US" w:eastAsia="zh-CN"/>
        </w:rPr>
        <w:t>/包号</w:t>
      </w:r>
      <w:r>
        <w:rPr>
          <w:rFonts w:hint="eastAsia" w:cs="仿宋_GB2312"/>
          <w:color w:val="auto"/>
          <w:szCs w:val="24"/>
          <w:highlight w:val="none"/>
          <w:u w:val="single"/>
        </w:rPr>
        <w:t>）</w:t>
      </w:r>
      <w:r>
        <w:rPr>
          <w:rFonts w:hint="eastAsia" w:cs="仿宋_GB2312"/>
          <w:color w:val="auto"/>
          <w:szCs w:val="24"/>
          <w:highlight w:val="none"/>
          <w:lang w:val="en-US" w:eastAsia="zh-CN"/>
        </w:rPr>
        <w:t>项目</w:t>
      </w:r>
      <w:r>
        <w:rPr>
          <w:rFonts w:hint="eastAsia" w:cs="仿宋_GB2312"/>
          <w:color w:val="auto"/>
          <w:szCs w:val="24"/>
          <w:highlight w:val="none"/>
        </w:rPr>
        <w:t>的</w:t>
      </w:r>
      <w:r>
        <w:rPr>
          <w:rFonts w:hint="eastAsia" w:cs="仿宋_GB2312"/>
          <w:color w:val="auto"/>
          <w:szCs w:val="24"/>
          <w:highlight w:val="none"/>
          <w:lang w:val="en-US" w:eastAsia="zh-CN"/>
        </w:rPr>
        <w:t>招标公告</w:t>
      </w:r>
      <w:r>
        <w:rPr>
          <w:rFonts w:hint="eastAsia" w:cs="仿宋_GB2312"/>
          <w:color w:val="auto"/>
          <w:szCs w:val="24"/>
          <w:highlight w:val="none"/>
        </w:rPr>
        <w:t>，签字代表</w:t>
      </w:r>
      <w:r>
        <w:rPr>
          <w:rFonts w:hint="eastAsia" w:cs="仿宋_GB2312"/>
          <w:color w:val="auto"/>
          <w:szCs w:val="24"/>
          <w:highlight w:val="none"/>
          <w:u w:val="single"/>
        </w:rPr>
        <w:t>（姓名、职务）</w:t>
      </w:r>
      <w:r>
        <w:rPr>
          <w:rFonts w:hint="eastAsia" w:cs="仿宋_GB2312"/>
          <w:color w:val="auto"/>
          <w:szCs w:val="24"/>
          <w:highlight w:val="none"/>
        </w:rPr>
        <w:t>经正式授权并代表投标人</w:t>
      </w:r>
      <w:r>
        <w:rPr>
          <w:rFonts w:hint="eastAsia" w:cs="仿宋_GB2312"/>
          <w:color w:val="auto"/>
          <w:szCs w:val="24"/>
          <w:highlight w:val="none"/>
          <w:u w:val="single"/>
        </w:rPr>
        <w:t>（投标人名称、地址）</w:t>
      </w:r>
      <w:r>
        <w:rPr>
          <w:rFonts w:hint="eastAsia" w:cs="仿宋_GB2312"/>
          <w:color w:val="auto"/>
          <w:szCs w:val="24"/>
          <w:highlight w:val="none"/>
        </w:rPr>
        <w:t>提交下述文件</w:t>
      </w:r>
      <w:r>
        <w:rPr>
          <w:rFonts w:hint="eastAsia" w:cs="仿宋_GB2312"/>
          <w:b/>
          <w:bCs/>
          <w:color w:val="auto"/>
          <w:szCs w:val="24"/>
          <w:highlight w:val="none"/>
        </w:rPr>
        <w:t>：</w:t>
      </w:r>
    </w:p>
    <w:p w14:paraId="21BBF032">
      <w:pPr>
        <w:numPr>
          <w:ilvl w:val="0"/>
          <w:numId w:val="0"/>
        </w:numPr>
        <w:spacing w:line="324" w:lineRule="auto"/>
        <w:ind w:firstLine="480" w:firstLineChars="200"/>
        <w:jc w:val="both"/>
        <w:rPr>
          <w:rFonts w:cs="Arial"/>
          <w:color w:val="auto"/>
          <w:szCs w:val="24"/>
          <w:highlight w:val="none"/>
        </w:rPr>
      </w:pPr>
      <w:r>
        <w:rPr>
          <w:rFonts w:hint="eastAsia" w:ascii="宋体" w:hAnsi="宋体" w:eastAsia="宋体" w:cs="Arial"/>
          <w:color w:val="auto"/>
          <w:kern w:val="2"/>
          <w:sz w:val="24"/>
          <w:szCs w:val="24"/>
          <w:highlight w:val="none"/>
          <w:lang w:val="en-US" w:eastAsia="zh-CN" w:bidi="ar-SA"/>
        </w:rPr>
        <w:t>1.</w:t>
      </w:r>
      <w:r>
        <w:rPr>
          <w:rFonts w:hint="eastAsia" w:cs="Arial"/>
          <w:color w:val="auto"/>
          <w:szCs w:val="24"/>
          <w:highlight w:val="none"/>
        </w:rPr>
        <w:t>资格</w:t>
      </w:r>
      <w:r>
        <w:rPr>
          <w:rFonts w:hint="eastAsia" w:cs="Arial"/>
          <w:color w:val="auto"/>
          <w:szCs w:val="24"/>
          <w:highlight w:val="none"/>
          <w:lang w:val="en-US" w:eastAsia="zh-CN"/>
        </w:rPr>
        <w:t>证明</w:t>
      </w:r>
      <w:r>
        <w:rPr>
          <w:rFonts w:hint="eastAsia" w:cs="Arial"/>
          <w:color w:val="auto"/>
          <w:szCs w:val="24"/>
          <w:highlight w:val="none"/>
        </w:rPr>
        <w:t>文件</w:t>
      </w:r>
      <w:r>
        <w:rPr>
          <w:rFonts w:cs="Arial"/>
          <w:color w:val="auto"/>
          <w:szCs w:val="24"/>
          <w:highlight w:val="none"/>
        </w:rPr>
        <w:t>；</w:t>
      </w:r>
    </w:p>
    <w:p w14:paraId="0A0EA079">
      <w:pPr>
        <w:numPr>
          <w:ilvl w:val="0"/>
          <w:numId w:val="0"/>
        </w:numPr>
        <w:spacing w:line="324" w:lineRule="auto"/>
        <w:ind w:firstLine="480" w:firstLineChars="200"/>
        <w:jc w:val="both"/>
        <w:rPr>
          <w:rFonts w:cs="Arial"/>
          <w:color w:val="auto"/>
          <w:szCs w:val="24"/>
          <w:highlight w:val="none"/>
        </w:rPr>
      </w:pPr>
      <w:r>
        <w:rPr>
          <w:rFonts w:hint="eastAsia" w:ascii="宋体" w:hAnsi="宋体" w:eastAsia="宋体" w:cs="Arial"/>
          <w:color w:val="auto"/>
          <w:kern w:val="2"/>
          <w:sz w:val="24"/>
          <w:szCs w:val="24"/>
          <w:highlight w:val="none"/>
          <w:lang w:val="en-US" w:eastAsia="zh-CN" w:bidi="ar-SA"/>
        </w:rPr>
        <w:t>2.</w:t>
      </w:r>
      <w:r>
        <w:rPr>
          <w:rFonts w:hint="eastAsia" w:cs="Arial"/>
          <w:color w:val="auto"/>
          <w:szCs w:val="24"/>
          <w:highlight w:val="none"/>
        </w:rPr>
        <w:t>投标报价</w:t>
      </w:r>
      <w:r>
        <w:rPr>
          <w:rFonts w:cs="Arial"/>
          <w:color w:val="auto"/>
          <w:szCs w:val="24"/>
          <w:highlight w:val="none"/>
        </w:rPr>
        <w:t>文件</w:t>
      </w:r>
      <w:r>
        <w:rPr>
          <w:rFonts w:hint="eastAsia" w:cs="Arial"/>
          <w:color w:val="auto"/>
          <w:szCs w:val="24"/>
          <w:highlight w:val="none"/>
        </w:rPr>
        <w:t>；</w:t>
      </w:r>
    </w:p>
    <w:p w14:paraId="7C008F28">
      <w:pPr>
        <w:numPr>
          <w:ilvl w:val="0"/>
          <w:numId w:val="0"/>
        </w:numPr>
        <w:spacing w:line="324" w:lineRule="auto"/>
        <w:ind w:firstLine="480" w:firstLineChars="200"/>
        <w:jc w:val="both"/>
        <w:rPr>
          <w:rFonts w:cs="Arial"/>
          <w:color w:val="auto"/>
          <w:szCs w:val="24"/>
          <w:highlight w:val="none"/>
        </w:rPr>
      </w:pPr>
      <w:r>
        <w:rPr>
          <w:rFonts w:hint="eastAsia" w:ascii="宋体" w:hAnsi="宋体" w:eastAsia="宋体" w:cs="Arial"/>
          <w:color w:val="auto"/>
          <w:kern w:val="2"/>
          <w:sz w:val="24"/>
          <w:szCs w:val="24"/>
          <w:highlight w:val="none"/>
          <w:lang w:val="en-US" w:eastAsia="zh-CN" w:bidi="ar-SA"/>
        </w:rPr>
        <w:t>3.</w:t>
      </w:r>
      <w:r>
        <w:rPr>
          <w:rFonts w:hint="eastAsia" w:cs="Arial"/>
          <w:color w:val="auto"/>
          <w:szCs w:val="24"/>
          <w:highlight w:val="none"/>
          <w:lang w:val="en-US" w:eastAsia="zh-CN"/>
        </w:rPr>
        <w:t>商务技术</w:t>
      </w:r>
      <w:r>
        <w:rPr>
          <w:rFonts w:hint="eastAsia" w:cs="Arial"/>
          <w:color w:val="auto"/>
          <w:szCs w:val="24"/>
          <w:highlight w:val="none"/>
        </w:rPr>
        <w:t>文件</w:t>
      </w:r>
      <w:r>
        <w:rPr>
          <w:rFonts w:cs="Arial"/>
          <w:color w:val="auto"/>
          <w:szCs w:val="24"/>
          <w:highlight w:val="none"/>
        </w:rPr>
        <w:t>。</w:t>
      </w:r>
    </w:p>
    <w:p w14:paraId="2038C573">
      <w:pPr>
        <w:spacing w:line="324" w:lineRule="auto"/>
        <w:ind w:firstLine="480" w:firstLineChars="200"/>
        <w:rPr>
          <w:rFonts w:cs="Arial"/>
          <w:color w:val="auto"/>
          <w:szCs w:val="24"/>
          <w:highlight w:val="none"/>
        </w:rPr>
      </w:pPr>
      <w:r>
        <w:rPr>
          <w:rFonts w:cs="Arial"/>
          <w:color w:val="auto"/>
          <w:szCs w:val="24"/>
          <w:highlight w:val="none"/>
        </w:rPr>
        <w:t>根据此函，签字代表宣布同意如下：</w:t>
      </w:r>
    </w:p>
    <w:p w14:paraId="7021F257">
      <w:pPr>
        <w:numPr>
          <w:ilvl w:val="0"/>
          <w:numId w:val="0"/>
        </w:numPr>
        <w:spacing w:line="324" w:lineRule="auto"/>
        <w:ind w:firstLine="480" w:firstLineChars="200"/>
        <w:jc w:val="both"/>
        <w:rPr>
          <w:rFonts w:cs="Arial"/>
          <w:color w:val="auto"/>
          <w:szCs w:val="24"/>
          <w:highlight w:val="none"/>
        </w:rPr>
      </w:pPr>
      <w:r>
        <w:rPr>
          <w:rFonts w:hint="eastAsia" w:ascii="宋体" w:hAnsi="宋体" w:eastAsia="宋体" w:cs="Arial"/>
          <w:color w:val="auto"/>
          <w:kern w:val="2"/>
          <w:sz w:val="24"/>
          <w:szCs w:val="24"/>
          <w:highlight w:val="none"/>
          <w:lang w:val="en-US" w:eastAsia="zh-CN" w:bidi="ar-SA"/>
        </w:rPr>
        <w:t>1.</w:t>
      </w:r>
      <w:r>
        <w:rPr>
          <w:rFonts w:cs="Arial"/>
          <w:color w:val="auto"/>
          <w:szCs w:val="24"/>
          <w:highlight w:val="none"/>
        </w:rPr>
        <w:t>所附投标价格表中规定的应提交和交付的</w:t>
      </w:r>
      <w:r>
        <w:rPr>
          <w:rFonts w:hint="eastAsia" w:cs="Arial"/>
          <w:color w:val="auto"/>
          <w:szCs w:val="24"/>
          <w:highlight w:val="none"/>
        </w:rPr>
        <w:t>货物</w:t>
      </w:r>
      <w:r>
        <w:rPr>
          <w:rFonts w:cs="Arial"/>
          <w:color w:val="auto"/>
          <w:szCs w:val="24"/>
          <w:highlight w:val="none"/>
        </w:rPr>
        <w:t>和</w:t>
      </w:r>
      <w:r>
        <w:rPr>
          <w:rFonts w:hint="eastAsia" w:cs="Arial"/>
          <w:color w:val="auto"/>
          <w:szCs w:val="24"/>
          <w:highlight w:val="none"/>
          <w:lang w:val="en-US" w:eastAsia="zh-CN"/>
        </w:rPr>
        <w:t>相关</w:t>
      </w:r>
      <w:r>
        <w:rPr>
          <w:rFonts w:cs="Arial"/>
          <w:color w:val="auto"/>
          <w:szCs w:val="24"/>
          <w:highlight w:val="none"/>
        </w:rPr>
        <w:t>服务</w:t>
      </w:r>
      <w:r>
        <w:rPr>
          <w:rFonts w:hint="eastAsia" w:cs="Arial"/>
          <w:color w:val="auto"/>
          <w:szCs w:val="24"/>
          <w:highlight w:val="none"/>
        </w:rPr>
        <w:t>（如有）</w:t>
      </w:r>
      <w:r>
        <w:rPr>
          <w:rFonts w:cs="Arial"/>
          <w:color w:val="auto"/>
          <w:szCs w:val="24"/>
          <w:highlight w:val="none"/>
        </w:rPr>
        <w:t>的</w:t>
      </w:r>
      <w:r>
        <w:rPr>
          <w:rFonts w:hint="eastAsia" w:cs="Arial"/>
          <w:color w:val="auto"/>
          <w:szCs w:val="24"/>
          <w:highlight w:val="none"/>
        </w:rPr>
        <w:t>投标报价</w:t>
      </w:r>
      <w:r>
        <w:rPr>
          <w:rFonts w:cs="Arial"/>
          <w:color w:val="auto"/>
          <w:szCs w:val="24"/>
          <w:highlight w:val="none"/>
        </w:rPr>
        <w:t>为</w:t>
      </w:r>
      <w:r>
        <w:rPr>
          <w:rFonts w:hint="eastAsia" w:cs="Arial"/>
          <w:color w:val="auto"/>
          <w:szCs w:val="24"/>
          <w:highlight w:val="none"/>
        </w:rPr>
        <w:t xml:space="preserve"> </w:t>
      </w:r>
      <w:r>
        <w:rPr>
          <w:rFonts w:hint="eastAsia" w:cs="Arial"/>
          <w:color w:val="auto"/>
          <w:szCs w:val="24"/>
          <w:highlight w:val="none"/>
          <w:u w:val="single"/>
        </w:rPr>
        <w:t xml:space="preserve">                  </w:t>
      </w:r>
      <w:r>
        <w:rPr>
          <w:rFonts w:cs="Arial"/>
          <w:color w:val="auto"/>
          <w:szCs w:val="24"/>
          <w:highlight w:val="none"/>
        </w:rPr>
        <w:t>。</w:t>
      </w:r>
    </w:p>
    <w:p w14:paraId="3FF1B405">
      <w:pPr>
        <w:numPr>
          <w:ilvl w:val="0"/>
          <w:numId w:val="0"/>
        </w:numPr>
        <w:spacing w:line="324" w:lineRule="auto"/>
        <w:ind w:firstLine="480" w:firstLineChars="200"/>
        <w:jc w:val="both"/>
        <w:rPr>
          <w:rFonts w:cs="Arial"/>
          <w:color w:val="auto"/>
          <w:szCs w:val="24"/>
          <w:highlight w:val="none"/>
        </w:rPr>
      </w:pPr>
      <w:r>
        <w:rPr>
          <w:rFonts w:hint="eastAsia" w:ascii="宋体" w:hAnsi="宋体" w:eastAsia="宋体" w:cs="Arial"/>
          <w:color w:val="auto"/>
          <w:kern w:val="2"/>
          <w:sz w:val="24"/>
          <w:szCs w:val="24"/>
          <w:highlight w:val="none"/>
          <w:lang w:val="en-US" w:eastAsia="zh-CN" w:bidi="ar-SA"/>
        </w:rPr>
        <w:t>2.</w:t>
      </w:r>
      <w:r>
        <w:rPr>
          <w:rFonts w:hint="eastAsia" w:cs="Arial"/>
          <w:color w:val="auto"/>
          <w:szCs w:val="24"/>
          <w:highlight w:val="none"/>
        </w:rPr>
        <w:t>我方</w:t>
      </w:r>
      <w:r>
        <w:rPr>
          <w:rFonts w:cs="Arial"/>
          <w:color w:val="auto"/>
          <w:szCs w:val="24"/>
          <w:highlight w:val="none"/>
        </w:rPr>
        <w:t>将按招标文件的规定履行合同责任和义务。</w:t>
      </w:r>
    </w:p>
    <w:p w14:paraId="464D767C">
      <w:pPr>
        <w:numPr>
          <w:ilvl w:val="0"/>
          <w:numId w:val="0"/>
        </w:numPr>
        <w:spacing w:line="324" w:lineRule="auto"/>
        <w:ind w:firstLine="480" w:firstLineChars="200"/>
        <w:jc w:val="both"/>
        <w:rPr>
          <w:rFonts w:cs="Arial"/>
          <w:color w:val="auto"/>
          <w:szCs w:val="24"/>
          <w:highlight w:val="none"/>
        </w:rPr>
      </w:pPr>
      <w:r>
        <w:rPr>
          <w:rFonts w:hint="eastAsia" w:ascii="宋体" w:hAnsi="宋体" w:eastAsia="宋体" w:cs="Arial"/>
          <w:color w:val="auto"/>
          <w:kern w:val="2"/>
          <w:sz w:val="24"/>
          <w:szCs w:val="24"/>
          <w:highlight w:val="none"/>
          <w:lang w:val="en-US" w:eastAsia="zh-CN" w:bidi="ar-SA"/>
        </w:rPr>
        <w:t>3.</w:t>
      </w:r>
      <w:r>
        <w:rPr>
          <w:rFonts w:hint="eastAsia" w:cs="Arial"/>
          <w:color w:val="auto"/>
          <w:szCs w:val="24"/>
          <w:highlight w:val="none"/>
        </w:rPr>
        <w:t>我方</w:t>
      </w:r>
      <w:r>
        <w:rPr>
          <w:rFonts w:cs="Arial"/>
          <w:color w:val="auto"/>
          <w:szCs w:val="24"/>
          <w:highlight w:val="none"/>
        </w:rPr>
        <w:t>已详细审查全部招标文件，包括第</w:t>
      </w:r>
      <w:r>
        <w:rPr>
          <w:rFonts w:cs="Arial"/>
          <w:i w:val="0"/>
          <w:iCs/>
          <w:color w:val="auto"/>
          <w:szCs w:val="24"/>
          <w:highlight w:val="none"/>
          <w:u w:val="single"/>
        </w:rPr>
        <w:t>（编号、补遗书）（如果有的话）</w:t>
      </w:r>
      <w:r>
        <w:rPr>
          <w:rFonts w:cs="Arial"/>
          <w:color w:val="auto"/>
          <w:szCs w:val="24"/>
          <w:highlight w:val="none"/>
        </w:rPr>
        <w:t>。我</w:t>
      </w:r>
      <w:r>
        <w:rPr>
          <w:rFonts w:hint="eastAsia" w:cs="Arial"/>
          <w:color w:val="auto"/>
          <w:szCs w:val="24"/>
          <w:highlight w:val="none"/>
        </w:rPr>
        <w:t>方</w:t>
      </w:r>
      <w:r>
        <w:rPr>
          <w:rFonts w:cs="Arial"/>
          <w:color w:val="auto"/>
          <w:szCs w:val="24"/>
          <w:highlight w:val="none"/>
        </w:rPr>
        <w:t>完全理解并同意放弃对这方面有不明及误解的权力。</w:t>
      </w:r>
    </w:p>
    <w:p w14:paraId="70CAE828">
      <w:pPr>
        <w:numPr>
          <w:ilvl w:val="0"/>
          <w:numId w:val="0"/>
        </w:numPr>
        <w:spacing w:line="324" w:lineRule="auto"/>
        <w:ind w:firstLine="480" w:firstLineChars="200"/>
        <w:jc w:val="both"/>
        <w:rPr>
          <w:rFonts w:cs="Arial"/>
          <w:color w:val="auto"/>
          <w:szCs w:val="24"/>
          <w:highlight w:val="none"/>
        </w:rPr>
      </w:pPr>
      <w:r>
        <w:rPr>
          <w:rFonts w:hint="eastAsia" w:ascii="宋体" w:hAnsi="宋体" w:eastAsia="宋体" w:cs="Arial"/>
          <w:color w:val="auto"/>
          <w:kern w:val="2"/>
          <w:sz w:val="24"/>
          <w:szCs w:val="24"/>
          <w:highlight w:val="none"/>
          <w:lang w:val="en-US" w:eastAsia="zh-CN" w:bidi="ar-SA"/>
        </w:rPr>
        <w:t>4.</w:t>
      </w:r>
      <w:r>
        <w:rPr>
          <w:rFonts w:hint="eastAsia" w:cs="Arial"/>
          <w:color w:val="auto"/>
          <w:szCs w:val="24"/>
          <w:highlight w:val="none"/>
        </w:rPr>
        <w:t>投标有效期为自提交投标文件的截止之日起</w:t>
      </w:r>
      <w:r>
        <w:rPr>
          <w:rFonts w:hint="eastAsia" w:cs="Arial"/>
          <w:i/>
          <w:color w:val="auto"/>
          <w:szCs w:val="24"/>
          <w:highlight w:val="none"/>
          <w:u w:val="single"/>
        </w:rPr>
        <w:t xml:space="preserve"> </w:t>
      </w:r>
      <w:r>
        <w:rPr>
          <w:rFonts w:hint="eastAsia" w:cs="Arial"/>
          <w:i w:val="0"/>
          <w:iCs/>
          <w:color w:val="auto"/>
          <w:szCs w:val="24"/>
          <w:highlight w:val="none"/>
          <w:u w:val="single"/>
        </w:rPr>
        <w:t>（由投标人填写）</w:t>
      </w:r>
      <w:r>
        <w:rPr>
          <w:rFonts w:cs="Arial"/>
          <w:color w:val="auto"/>
          <w:szCs w:val="24"/>
          <w:highlight w:val="none"/>
        </w:rPr>
        <w:t>个日历天。</w:t>
      </w:r>
    </w:p>
    <w:p w14:paraId="52EDF2A7">
      <w:pPr>
        <w:numPr>
          <w:ilvl w:val="0"/>
          <w:numId w:val="0"/>
        </w:numPr>
        <w:spacing w:line="324" w:lineRule="auto"/>
        <w:ind w:firstLine="480" w:firstLineChars="200"/>
        <w:jc w:val="both"/>
        <w:rPr>
          <w:rFonts w:cs="Arial"/>
          <w:color w:val="auto"/>
          <w:szCs w:val="24"/>
          <w:highlight w:val="none"/>
        </w:rPr>
      </w:pPr>
      <w:r>
        <w:rPr>
          <w:rFonts w:hint="eastAsia" w:ascii="宋体" w:hAnsi="宋体" w:eastAsia="宋体" w:cs="Arial"/>
          <w:color w:val="auto"/>
          <w:kern w:val="2"/>
          <w:sz w:val="24"/>
          <w:szCs w:val="24"/>
          <w:highlight w:val="none"/>
          <w:lang w:val="en-US" w:eastAsia="zh-CN" w:bidi="ar-SA"/>
        </w:rPr>
        <w:t>5.</w:t>
      </w:r>
      <w:r>
        <w:rPr>
          <w:rFonts w:hint="eastAsia" w:cs="Arial"/>
          <w:color w:val="auto"/>
          <w:szCs w:val="24"/>
          <w:highlight w:val="none"/>
        </w:rPr>
        <w:t>我方</w:t>
      </w:r>
      <w:r>
        <w:rPr>
          <w:rFonts w:cs="Arial"/>
          <w:color w:val="auto"/>
          <w:szCs w:val="24"/>
          <w:highlight w:val="none"/>
        </w:rPr>
        <w:t>同意提供按照贵方</w:t>
      </w:r>
      <w:r>
        <w:rPr>
          <w:rFonts w:hint="eastAsia" w:cs="Arial"/>
          <w:color w:val="auto"/>
          <w:szCs w:val="24"/>
          <w:highlight w:val="none"/>
          <w:lang w:val="en-US" w:eastAsia="zh-CN"/>
        </w:rPr>
        <w:t>招标</w:t>
      </w:r>
      <w:r>
        <w:rPr>
          <w:rFonts w:hint="eastAsia" w:cs="Arial"/>
          <w:color w:val="auto"/>
          <w:szCs w:val="24"/>
          <w:highlight w:val="none"/>
        </w:rPr>
        <w:t>文件</w:t>
      </w:r>
      <w:r>
        <w:rPr>
          <w:rFonts w:cs="Arial"/>
          <w:color w:val="auto"/>
          <w:szCs w:val="24"/>
          <w:highlight w:val="none"/>
        </w:rPr>
        <w:t>要求的与投标有关的一切数据或资料，</w:t>
      </w:r>
      <w:r>
        <w:rPr>
          <w:rFonts w:hint="eastAsia" w:cs="Arial"/>
          <w:color w:val="auto"/>
          <w:szCs w:val="24"/>
          <w:highlight w:val="none"/>
        </w:rPr>
        <w:t>采用综合评分法时，我方</w:t>
      </w:r>
      <w:r>
        <w:rPr>
          <w:rFonts w:cs="Arial"/>
          <w:color w:val="auto"/>
          <w:szCs w:val="24"/>
          <w:highlight w:val="none"/>
        </w:rPr>
        <w:t>完全理解贵方不一定接受最低价的投标。</w:t>
      </w:r>
    </w:p>
    <w:p w14:paraId="3CF5A666">
      <w:pPr>
        <w:numPr>
          <w:ilvl w:val="0"/>
          <w:numId w:val="0"/>
        </w:numPr>
        <w:spacing w:line="324" w:lineRule="auto"/>
        <w:ind w:firstLine="480" w:firstLineChars="200"/>
        <w:jc w:val="both"/>
        <w:rPr>
          <w:rFonts w:cs="Arial"/>
          <w:color w:val="auto"/>
          <w:szCs w:val="24"/>
          <w:highlight w:val="none"/>
        </w:rPr>
      </w:pPr>
      <w:r>
        <w:rPr>
          <w:rFonts w:hint="eastAsia" w:ascii="宋体" w:hAnsi="宋体" w:eastAsia="宋体" w:cs="Arial"/>
          <w:color w:val="auto"/>
          <w:kern w:val="2"/>
          <w:sz w:val="24"/>
          <w:szCs w:val="24"/>
          <w:highlight w:val="none"/>
          <w:lang w:val="en-US" w:eastAsia="zh-CN" w:bidi="ar-SA"/>
        </w:rPr>
        <w:t>6.</w:t>
      </w:r>
      <w:r>
        <w:rPr>
          <w:rFonts w:hint="eastAsia" w:cs="Arial"/>
          <w:color w:val="auto"/>
          <w:szCs w:val="24"/>
          <w:highlight w:val="none"/>
        </w:rPr>
        <w:t>本项目如由中标人支付采购代理服务费，我方同意按投标人须知前附表中规定向采购代理机构支付采购代理服务费。</w:t>
      </w:r>
    </w:p>
    <w:p w14:paraId="6A150207">
      <w:pPr>
        <w:numPr>
          <w:ilvl w:val="0"/>
          <w:numId w:val="0"/>
        </w:numPr>
        <w:snapToGrid w:val="0"/>
        <w:spacing w:line="324" w:lineRule="auto"/>
        <w:ind w:firstLine="480" w:firstLineChars="200"/>
        <w:jc w:val="both"/>
        <w:rPr>
          <w:rFonts w:cs="Arial"/>
          <w:color w:val="auto"/>
          <w:szCs w:val="24"/>
          <w:highlight w:val="none"/>
        </w:rPr>
      </w:pPr>
      <w:r>
        <w:rPr>
          <w:rFonts w:hint="eastAsia" w:ascii="宋体" w:hAnsi="宋体" w:eastAsia="宋体" w:cs="Arial"/>
          <w:color w:val="auto"/>
          <w:kern w:val="2"/>
          <w:sz w:val="24"/>
          <w:szCs w:val="24"/>
          <w:highlight w:val="none"/>
          <w:lang w:val="en-US" w:eastAsia="zh-CN" w:bidi="ar-SA"/>
        </w:rPr>
        <w:t>7.</w:t>
      </w:r>
      <w:r>
        <w:rPr>
          <w:rFonts w:hint="eastAsia" w:cs="Arial"/>
          <w:color w:val="auto"/>
          <w:szCs w:val="24"/>
          <w:highlight w:val="none"/>
        </w:rPr>
        <w:t>重要声明：</w:t>
      </w:r>
    </w:p>
    <w:p w14:paraId="40AFB77A">
      <w:pPr>
        <w:snapToGrid w:val="0"/>
        <w:spacing w:line="324" w:lineRule="auto"/>
        <w:ind w:firstLine="480" w:firstLineChars="200"/>
        <w:rPr>
          <w:color w:val="auto"/>
          <w:szCs w:val="24"/>
          <w:highlight w:val="none"/>
        </w:rPr>
      </w:pPr>
      <w:r>
        <w:rPr>
          <w:rFonts w:hint="eastAsia"/>
          <w:color w:val="auto"/>
          <w:szCs w:val="24"/>
          <w:highlight w:val="none"/>
        </w:rPr>
        <w:t>1）与我方单位负责人为同一人的其他单位名称：</w:t>
      </w:r>
    </w:p>
    <w:p w14:paraId="409D2F71">
      <w:pPr>
        <w:snapToGrid w:val="0"/>
        <w:spacing w:line="324" w:lineRule="auto"/>
        <w:ind w:left="456" w:leftChars="190" w:firstLine="355" w:firstLineChars="148"/>
        <w:rPr>
          <w:i w:val="0"/>
          <w:iCs/>
          <w:color w:val="auto"/>
          <w:szCs w:val="24"/>
          <w:highlight w:val="none"/>
        </w:rPr>
      </w:pPr>
      <w:r>
        <w:rPr>
          <w:rFonts w:hint="eastAsia"/>
          <w:color w:val="auto"/>
          <w:szCs w:val="24"/>
          <w:highlight w:val="none"/>
          <w:lang w:eastAsia="zh-CN"/>
        </w:rPr>
        <w:t>□</w:t>
      </w:r>
      <w:r>
        <w:rPr>
          <w:rFonts w:hint="eastAsia"/>
          <w:color w:val="auto"/>
          <w:szCs w:val="24"/>
          <w:highlight w:val="none"/>
        </w:rPr>
        <w:t>无；</w:t>
      </w:r>
      <w:r>
        <w:rPr>
          <w:rFonts w:hint="eastAsia"/>
          <w:color w:val="auto"/>
          <w:szCs w:val="24"/>
          <w:highlight w:val="none"/>
          <w:lang w:eastAsia="zh-CN"/>
        </w:rPr>
        <w:t>□</w:t>
      </w:r>
      <w:r>
        <w:rPr>
          <w:rFonts w:hint="eastAsia"/>
          <w:color w:val="auto"/>
          <w:szCs w:val="24"/>
          <w:highlight w:val="none"/>
        </w:rPr>
        <w:t>有，具体单位名称为：</w:t>
      </w:r>
      <w:r>
        <w:rPr>
          <w:rFonts w:hint="eastAsia" w:cs="Arial"/>
          <w:i w:val="0"/>
          <w:iCs/>
          <w:color w:val="auto"/>
          <w:szCs w:val="24"/>
          <w:highlight w:val="none"/>
          <w:u w:val="single"/>
        </w:rPr>
        <w:t>（由投标人如实填写）</w:t>
      </w:r>
      <w:r>
        <w:rPr>
          <w:rFonts w:hint="eastAsia"/>
          <w:i w:val="0"/>
          <w:iCs/>
          <w:color w:val="auto"/>
          <w:szCs w:val="24"/>
          <w:highlight w:val="none"/>
        </w:rPr>
        <w:t>。</w:t>
      </w:r>
    </w:p>
    <w:p w14:paraId="0B2F52C6">
      <w:pPr>
        <w:snapToGrid w:val="0"/>
        <w:spacing w:line="324" w:lineRule="auto"/>
        <w:ind w:firstLine="480" w:firstLineChars="200"/>
        <w:rPr>
          <w:i w:val="0"/>
          <w:iCs/>
          <w:color w:val="auto"/>
          <w:szCs w:val="24"/>
          <w:highlight w:val="none"/>
        </w:rPr>
      </w:pPr>
      <w:r>
        <w:rPr>
          <w:rFonts w:hint="eastAsia"/>
          <w:i w:val="0"/>
          <w:iCs/>
          <w:color w:val="auto"/>
          <w:szCs w:val="24"/>
          <w:highlight w:val="none"/>
        </w:rPr>
        <w:t>2）与我方存在控股、管理关系的其他单位的名称：</w:t>
      </w:r>
    </w:p>
    <w:p w14:paraId="3BE8BBB8">
      <w:pPr>
        <w:snapToGrid w:val="0"/>
        <w:spacing w:line="324" w:lineRule="auto"/>
        <w:ind w:left="456" w:leftChars="190" w:firstLine="355" w:firstLineChars="148"/>
        <w:rPr>
          <w:color w:val="auto"/>
          <w:szCs w:val="24"/>
          <w:highlight w:val="none"/>
        </w:rPr>
      </w:pPr>
      <w:r>
        <w:rPr>
          <w:rFonts w:hint="eastAsia"/>
          <w:i w:val="0"/>
          <w:iCs/>
          <w:color w:val="auto"/>
          <w:szCs w:val="24"/>
          <w:highlight w:val="none"/>
          <w:lang w:eastAsia="zh-CN"/>
        </w:rPr>
        <w:t>□</w:t>
      </w:r>
      <w:r>
        <w:rPr>
          <w:rFonts w:hint="eastAsia"/>
          <w:i w:val="0"/>
          <w:iCs/>
          <w:color w:val="auto"/>
          <w:szCs w:val="24"/>
          <w:highlight w:val="none"/>
        </w:rPr>
        <w:t xml:space="preserve">无；□有，具体单位名称为： </w:t>
      </w:r>
      <w:r>
        <w:rPr>
          <w:rFonts w:hint="eastAsia" w:cs="Arial"/>
          <w:i w:val="0"/>
          <w:iCs/>
          <w:color w:val="auto"/>
          <w:szCs w:val="24"/>
          <w:highlight w:val="none"/>
          <w:u w:val="single"/>
        </w:rPr>
        <w:t>（由投标人如实填写）</w:t>
      </w:r>
      <w:r>
        <w:rPr>
          <w:rFonts w:hint="eastAsia"/>
          <w:color w:val="auto"/>
          <w:szCs w:val="24"/>
          <w:highlight w:val="none"/>
        </w:rPr>
        <w:t>。</w:t>
      </w:r>
    </w:p>
    <w:p w14:paraId="1103F8A2">
      <w:pPr>
        <w:snapToGrid w:val="0"/>
        <w:spacing w:line="324" w:lineRule="auto"/>
        <w:ind w:firstLine="480" w:firstLineChars="200"/>
        <w:rPr>
          <w:color w:val="auto"/>
          <w:szCs w:val="24"/>
          <w:highlight w:val="none"/>
        </w:rPr>
      </w:pPr>
      <w:r>
        <w:rPr>
          <w:rFonts w:hint="eastAsia"/>
          <w:color w:val="auto"/>
          <w:szCs w:val="24"/>
          <w:highlight w:val="none"/>
        </w:rPr>
        <w:t>3）参与本项目采购活动前，是否为本项目前期准备提供过整体设计、规范编制或者项目管理、监理、检测等服务：</w:t>
      </w:r>
    </w:p>
    <w:p w14:paraId="73BE978C">
      <w:pPr>
        <w:snapToGrid w:val="0"/>
        <w:spacing w:line="324" w:lineRule="auto"/>
        <w:ind w:left="456" w:leftChars="190" w:firstLine="355" w:firstLineChars="148"/>
        <w:rPr>
          <w:color w:val="auto"/>
          <w:szCs w:val="24"/>
          <w:highlight w:val="none"/>
        </w:rPr>
      </w:pPr>
      <w:r>
        <w:rPr>
          <w:rFonts w:hint="eastAsia"/>
          <w:color w:val="auto"/>
          <w:szCs w:val="24"/>
          <w:highlight w:val="none"/>
          <w:lang w:eastAsia="zh-CN"/>
        </w:rPr>
        <w:t>□</w:t>
      </w:r>
      <w:r>
        <w:rPr>
          <w:rFonts w:hint="eastAsia"/>
          <w:color w:val="auto"/>
          <w:szCs w:val="24"/>
          <w:highlight w:val="none"/>
        </w:rPr>
        <w:t>无；□有，已提供的具体服务内容为：</w:t>
      </w:r>
      <w:r>
        <w:rPr>
          <w:rFonts w:hint="eastAsia"/>
          <w:i w:val="0"/>
          <w:iCs w:val="0"/>
          <w:color w:val="auto"/>
          <w:szCs w:val="24"/>
          <w:highlight w:val="none"/>
        </w:rPr>
        <w:t xml:space="preserve"> </w:t>
      </w:r>
      <w:r>
        <w:rPr>
          <w:rFonts w:hint="eastAsia" w:cs="Arial"/>
          <w:i w:val="0"/>
          <w:iCs w:val="0"/>
          <w:color w:val="auto"/>
          <w:szCs w:val="24"/>
          <w:highlight w:val="none"/>
          <w:u w:val="single"/>
        </w:rPr>
        <w:t>（由投标人如实填写）</w:t>
      </w:r>
      <w:r>
        <w:rPr>
          <w:rFonts w:hint="eastAsia"/>
          <w:color w:val="auto"/>
          <w:szCs w:val="24"/>
          <w:highlight w:val="none"/>
        </w:rPr>
        <w:t>。</w:t>
      </w:r>
    </w:p>
    <w:p w14:paraId="4FC84088">
      <w:pPr>
        <w:spacing w:line="324" w:lineRule="auto"/>
        <w:ind w:firstLine="480" w:firstLineChars="200"/>
        <w:rPr>
          <w:color w:val="auto"/>
          <w:szCs w:val="24"/>
          <w:highlight w:val="none"/>
        </w:rPr>
      </w:pPr>
      <w:r>
        <w:rPr>
          <w:rFonts w:hint="eastAsia"/>
          <w:color w:val="auto"/>
          <w:szCs w:val="24"/>
          <w:highlight w:val="none"/>
        </w:rPr>
        <w:t>（备注：以上</w:t>
      </w:r>
      <w:r>
        <w:rPr>
          <w:color w:val="auto"/>
          <w:szCs w:val="24"/>
          <w:highlight w:val="none"/>
        </w:rPr>
        <w:t>3</w:t>
      </w:r>
      <w:r>
        <w:rPr>
          <w:rFonts w:hint="eastAsia"/>
          <w:color w:val="auto"/>
          <w:szCs w:val="24"/>
          <w:highlight w:val="none"/>
        </w:rPr>
        <w:t>项声明，必须如实选择，选中项用</w:t>
      </w:r>
      <w:r>
        <w:rPr>
          <w:rFonts w:hint="eastAsia"/>
          <w:color w:val="auto"/>
          <w:szCs w:val="24"/>
          <w:highlight w:val="none"/>
          <w:lang w:eastAsia="zh-CN"/>
        </w:rPr>
        <w:t>☑</w:t>
      </w:r>
      <w:r>
        <w:rPr>
          <w:rFonts w:hint="eastAsia"/>
          <w:color w:val="auto"/>
          <w:szCs w:val="24"/>
          <w:highlight w:val="none"/>
        </w:rPr>
        <w:t>表示，未选中项用□表示。①“单位负责人”是指单位法定代表人或者法律、行政法规规定代表单位行使职权的主要负责人。②本条所规定的控股、管理关系仅限于直接控股、直接管理关系，不包括间接的控股或管理关系。③供应商如未如实填报，视为提供虚假材料谋取中标，应承担相应法律责任。）</w:t>
      </w:r>
    </w:p>
    <w:p w14:paraId="19A44DC4">
      <w:pPr>
        <w:snapToGrid w:val="0"/>
        <w:spacing w:line="324" w:lineRule="auto"/>
        <w:ind w:firstLine="480" w:firstLineChars="200"/>
        <w:rPr>
          <w:color w:val="auto"/>
          <w:szCs w:val="24"/>
          <w:highlight w:val="none"/>
        </w:rPr>
      </w:pPr>
      <w:r>
        <w:rPr>
          <w:rFonts w:hint="eastAsia"/>
          <w:color w:val="auto"/>
          <w:szCs w:val="24"/>
          <w:highlight w:val="none"/>
        </w:rPr>
        <w:t>4）我方在本投标文件中所提供的全部资料均真实有效，我方承诺对其真实性负责并承担相应后果。</w:t>
      </w:r>
    </w:p>
    <w:p w14:paraId="5FB2607B">
      <w:pPr>
        <w:snapToGrid w:val="0"/>
        <w:spacing w:line="324" w:lineRule="auto"/>
        <w:ind w:firstLine="480" w:firstLineChars="200"/>
        <w:rPr>
          <w:color w:val="auto"/>
          <w:szCs w:val="24"/>
          <w:highlight w:val="none"/>
        </w:rPr>
      </w:pPr>
      <w:r>
        <w:rPr>
          <w:rFonts w:hint="eastAsia"/>
          <w:color w:val="auto"/>
          <w:szCs w:val="24"/>
          <w:highlight w:val="none"/>
        </w:rPr>
        <w:t>5）</w:t>
      </w:r>
      <w:bookmarkStart w:id="647" w:name="_Hlk161604053"/>
      <w:r>
        <w:rPr>
          <w:rFonts w:hint="eastAsia"/>
          <w:color w:val="auto"/>
          <w:szCs w:val="24"/>
          <w:highlight w:val="none"/>
        </w:rPr>
        <w:t>我方承诺本《投标函》的签章对本投标文件全部内容具有约束力并承担法律责任。</w:t>
      </w:r>
      <w:bookmarkEnd w:id="647"/>
    </w:p>
    <w:p w14:paraId="2A195747">
      <w:pPr>
        <w:spacing w:line="300" w:lineRule="auto"/>
        <w:rPr>
          <w:rFonts w:cs="Arial"/>
          <w:color w:val="auto"/>
          <w:szCs w:val="24"/>
          <w:highlight w:val="none"/>
        </w:rPr>
      </w:pPr>
    </w:p>
    <w:p w14:paraId="3F664789">
      <w:pPr>
        <w:spacing w:line="300" w:lineRule="auto"/>
        <w:rPr>
          <w:rFonts w:cs="Arial"/>
          <w:color w:val="auto"/>
          <w:szCs w:val="24"/>
          <w:highlight w:val="none"/>
        </w:rPr>
      </w:pPr>
    </w:p>
    <w:p w14:paraId="6C365FF0">
      <w:pPr>
        <w:spacing w:line="300" w:lineRule="auto"/>
        <w:rPr>
          <w:rFonts w:cs="Arial"/>
          <w:color w:val="auto"/>
          <w:szCs w:val="24"/>
          <w:highlight w:val="none"/>
        </w:rPr>
      </w:pPr>
    </w:p>
    <w:p w14:paraId="448666AB">
      <w:pPr>
        <w:autoSpaceDE w:val="0"/>
        <w:autoSpaceDN w:val="0"/>
        <w:adjustRightInd w:val="0"/>
        <w:snapToGrid w:val="0"/>
        <w:ind w:firstLine="480" w:firstLineChars="200"/>
        <w:rPr>
          <w:rFonts w:hint="eastAsia" w:ascii="宋体" w:hAnsi="宋体" w:cs="宋体"/>
          <w:color w:val="auto"/>
          <w:kern w:val="0"/>
          <w:sz w:val="24"/>
          <w:highlight w:val="none"/>
          <w:lang w:val="zh-CN"/>
        </w:rPr>
      </w:pPr>
      <w:r>
        <w:rPr>
          <w:rFonts w:hint="eastAsia" w:ascii="宋体" w:hAnsi="宋体" w:eastAsia="宋体" w:cs="宋体"/>
          <w:color w:val="auto"/>
          <w:kern w:val="0"/>
          <w:sz w:val="24"/>
          <w:szCs w:val="24"/>
          <w:highlight w:val="none"/>
          <w:lang w:val="en-US" w:eastAsia="zh-CN" w:bidi="ar"/>
        </w:rPr>
        <w:t>投标人名称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p>
    <w:p w14:paraId="4CCC9D16">
      <w:pPr>
        <w:autoSpaceDE w:val="0"/>
        <w:autoSpaceDN w:val="0"/>
        <w:adjustRightInd w:val="0"/>
        <w:snapToGrid w:val="0"/>
        <w:ind w:firstLine="480" w:firstLineChars="200"/>
        <w:rPr>
          <w:rFonts w:cs="宋体"/>
          <w:color w:val="auto"/>
          <w:highlight w:val="none"/>
        </w:rPr>
      </w:pPr>
      <w:r>
        <w:rPr>
          <w:rFonts w:hint="eastAsia" w:cs="宋体"/>
          <w:color w:val="auto"/>
          <w:highlight w:val="none"/>
        </w:rPr>
        <w:t>通  讯  地  址：</w:t>
      </w:r>
    </w:p>
    <w:p w14:paraId="268281DA">
      <w:pPr>
        <w:autoSpaceDE w:val="0"/>
        <w:autoSpaceDN w:val="0"/>
        <w:adjustRightInd w:val="0"/>
        <w:snapToGrid w:val="0"/>
        <w:ind w:firstLine="480" w:firstLineChars="200"/>
        <w:rPr>
          <w:rFonts w:cs="宋体"/>
          <w:color w:val="auto"/>
          <w:highlight w:val="none"/>
        </w:rPr>
      </w:pPr>
      <w:r>
        <w:rPr>
          <w:rFonts w:hint="eastAsia" w:cs="宋体"/>
          <w:color w:val="auto"/>
          <w:highlight w:val="none"/>
        </w:rPr>
        <w:t xml:space="preserve">传       </w:t>
      </w:r>
      <w:r>
        <w:rPr>
          <w:rFonts w:cs="宋体"/>
          <w:color w:val="auto"/>
          <w:highlight w:val="none"/>
        </w:rPr>
        <w:t xml:space="preserve">   </w:t>
      </w:r>
      <w:r>
        <w:rPr>
          <w:rFonts w:hint="eastAsia" w:cs="宋体"/>
          <w:color w:val="auto"/>
          <w:highlight w:val="none"/>
        </w:rPr>
        <w:t>真：</w:t>
      </w:r>
    </w:p>
    <w:p w14:paraId="0A396883">
      <w:pPr>
        <w:autoSpaceDE w:val="0"/>
        <w:autoSpaceDN w:val="0"/>
        <w:adjustRightInd w:val="0"/>
        <w:snapToGrid w:val="0"/>
        <w:ind w:firstLine="480" w:firstLineChars="200"/>
        <w:rPr>
          <w:rFonts w:cs="宋体"/>
          <w:color w:val="auto"/>
          <w:highlight w:val="none"/>
        </w:rPr>
      </w:pPr>
      <w:r>
        <w:rPr>
          <w:rFonts w:hint="eastAsia" w:cs="宋体"/>
          <w:color w:val="auto"/>
          <w:highlight w:val="none"/>
        </w:rPr>
        <w:t>电          话：</w:t>
      </w:r>
    </w:p>
    <w:p w14:paraId="21203E4D">
      <w:pPr>
        <w:autoSpaceDE w:val="0"/>
        <w:autoSpaceDN w:val="0"/>
        <w:adjustRightInd w:val="0"/>
        <w:snapToGrid w:val="0"/>
        <w:ind w:firstLine="480" w:firstLineChars="200"/>
        <w:rPr>
          <w:rFonts w:cs="宋体"/>
          <w:color w:val="auto"/>
          <w:highlight w:val="none"/>
        </w:rPr>
      </w:pPr>
      <w:r>
        <w:rPr>
          <w:rFonts w:hint="eastAsia" w:cs="宋体"/>
          <w:color w:val="auto"/>
          <w:highlight w:val="none"/>
        </w:rPr>
        <w:t xml:space="preserve">授 </w:t>
      </w:r>
      <w:r>
        <w:rPr>
          <w:rFonts w:cs="宋体"/>
          <w:color w:val="auto"/>
          <w:highlight w:val="none"/>
        </w:rPr>
        <w:t xml:space="preserve"> </w:t>
      </w:r>
      <w:r>
        <w:rPr>
          <w:rFonts w:hint="eastAsia" w:cs="宋体"/>
          <w:color w:val="auto"/>
          <w:highlight w:val="none"/>
        </w:rPr>
        <w:t xml:space="preserve">权 </w:t>
      </w:r>
      <w:r>
        <w:rPr>
          <w:rFonts w:cs="宋体"/>
          <w:color w:val="auto"/>
          <w:highlight w:val="none"/>
        </w:rPr>
        <w:t xml:space="preserve"> </w:t>
      </w:r>
      <w:r>
        <w:rPr>
          <w:rFonts w:hint="eastAsia" w:cs="宋体"/>
          <w:color w:val="auto"/>
          <w:highlight w:val="none"/>
        </w:rPr>
        <w:t xml:space="preserve">代 </w:t>
      </w:r>
      <w:r>
        <w:rPr>
          <w:rFonts w:cs="宋体"/>
          <w:color w:val="auto"/>
          <w:highlight w:val="none"/>
        </w:rPr>
        <w:t xml:space="preserve"> </w:t>
      </w:r>
      <w:r>
        <w:rPr>
          <w:rFonts w:hint="eastAsia" w:cs="宋体"/>
          <w:color w:val="auto"/>
          <w:highlight w:val="none"/>
        </w:rPr>
        <w:t>表：</w:t>
      </w:r>
    </w:p>
    <w:p w14:paraId="63C92097">
      <w:pPr>
        <w:ind w:firstLine="480" w:firstLineChars="200"/>
        <w:rPr>
          <w:rFonts w:cs="Arial"/>
          <w:color w:val="auto"/>
          <w:szCs w:val="24"/>
          <w:highlight w:val="none"/>
        </w:rPr>
      </w:pPr>
      <w:r>
        <w:rPr>
          <w:rFonts w:hint="eastAsia" w:cs="宋体"/>
          <w:color w:val="auto"/>
          <w:highlight w:val="none"/>
        </w:rPr>
        <w:t xml:space="preserve">日     </w:t>
      </w:r>
      <w:r>
        <w:rPr>
          <w:rFonts w:cs="宋体"/>
          <w:color w:val="auto"/>
          <w:highlight w:val="none"/>
        </w:rPr>
        <w:t xml:space="preserve">  </w:t>
      </w:r>
      <w:r>
        <w:rPr>
          <w:rFonts w:hint="eastAsia" w:cs="宋体"/>
          <w:color w:val="auto"/>
          <w:highlight w:val="none"/>
        </w:rPr>
        <w:t xml:space="preserve">    期：</w:t>
      </w:r>
    </w:p>
    <w:p w14:paraId="6674502E">
      <w:pPr>
        <w:rPr>
          <w:rFonts w:cs="Arial"/>
          <w:color w:val="auto"/>
          <w:szCs w:val="24"/>
          <w:highlight w:val="none"/>
          <w:u w:val="single"/>
        </w:rPr>
      </w:pPr>
    </w:p>
    <w:p w14:paraId="478BFBB8">
      <w:pPr>
        <w:rPr>
          <w:rFonts w:cs="Arial"/>
          <w:color w:val="auto"/>
          <w:szCs w:val="24"/>
          <w:highlight w:val="none"/>
          <w:u w:val="single"/>
        </w:rPr>
      </w:pPr>
      <w:r>
        <w:rPr>
          <w:rFonts w:cs="Arial"/>
          <w:color w:val="auto"/>
          <w:szCs w:val="24"/>
          <w:highlight w:val="none"/>
          <w:u w:val="single"/>
        </w:rPr>
        <w:br w:type="page"/>
      </w:r>
    </w:p>
    <w:p w14:paraId="24B4BD65">
      <w:pPr>
        <w:pStyle w:val="3"/>
        <w:bidi w:val="0"/>
        <w:jc w:val="center"/>
        <w:rPr>
          <w:rFonts w:hint="eastAsia"/>
          <w:lang w:val="en-US" w:eastAsia="zh-CN"/>
        </w:rPr>
      </w:pPr>
      <w:bookmarkStart w:id="648" w:name="_Toc155185924"/>
      <w:bookmarkStart w:id="649" w:name="_Toc7151"/>
      <w:r>
        <w:rPr>
          <w:rFonts w:hint="eastAsia"/>
          <w:lang w:val="en-US" w:eastAsia="zh-CN"/>
        </w:rPr>
        <w:t>二、法定代表人（单位负责人）身份证明</w:t>
      </w:r>
      <w:bookmarkEnd w:id="648"/>
      <w:bookmarkEnd w:id="649"/>
    </w:p>
    <w:p w14:paraId="46CF1AA3">
      <w:pPr>
        <w:spacing w:line="480" w:lineRule="auto"/>
        <w:ind w:firstLine="480" w:firstLineChars="200"/>
        <w:rPr>
          <w:rFonts w:hint="eastAsia" w:cs="仿宋_GB2312"/>
          <w:color w:val="auto"/>
          <w:szCs w:val="24"/>
          <w:highlight w:val="none"/>
        </w:rPr>
      </w:pPr>
      <w:r>
        <w:rPr>
          <w:rFonts w:hint="eastAsia" w:cs="仿宋_GB2312"/>
          <w:color w:val="auto"/>
          <w:szCs w:val="24"/>
          <w:highlight w:val="none"/>
          <w:lang w:val="en-US" w:eastAsia="zh-CN"/>
        </w:rPr>
        <w:t xml:space="preserve">致：（采购人或采购代理机构） </w:t>
      </w:r>
    </w:p>
    <w:p w14:paraId="3DE52D6F">
      <w:pPr>
        <w:spacing w:line="480" w:lineRule="auto"/>
        <w:ind w:firstLine="960" w:firstLineChars="400"/>
        <w:rPr>
          <w:rFonts w:hint="eastAsia" w:cs="仿宋_GB2312"/>
          <w:color w:val="auto"/>
          <w:szCs w:val="24"/>
          <w:highlight w:val="none"/>
        </w:rPr>
      </w:pPr>
      <w:r>
        <w:rPr>
          <w:rFonts w:hint="eastAsia" w:cs="仿宋_GB2312"/>
          <w:color w:val="auto"/>
          <w:szCs w:val="24"/>
          <w:highlight w:val="none"/>
          <w:lang w:val="en-US" w:eastAsia="zh-CN"/>
        </w:rPr>
        <w:t xml:space="preserve">兹证明， </w:t>
      </w:r>
    </w:p>
    <w:p w14:paraId="1D36B9E0">
      <w:pPr>
        <w:spacing w:line="480" w:lineRule="auto"/>
        <w:ind w:firstLine="480" w:firstLineChars="200"/>
        <w:rPr>
          <w:rFonts w:hint="eastAsia" w:cs="仿宋_GB2312"/>
          <w:color w:val="auto"/>
          <w:szCs w:val="24"/>
          <w:highlight w:val="none"/>
        </w:rPr>
      </w:pPr>
      <w:r>
        <w:rPr>
          <w:rFonts w:hint="eastAsia" w:cs="仿宋_GB2312"/>
          <w:color w:val="auto"/>
          <w:szCs w:val="24"/>
          <w:highlight w:val="none"/>
          <w:lang w:val="en-US" w:eastAsia="zh-CN"/>
        </w:rPr>
        <w:t xml:space="preserve">姓名：____性别：____年龄：____职务：____ </w:t>
      </w:r>
    </w:p>
    <w:p w14:paraId="38746EB6">
      <w:pPr>
        <w:spacing w:line="480" w:lineRule="auto"/>
        <w:ind w:firstLine="480" w:firstLineChars="200"/>
        <w:rPr>
          <w:rFonts w:hint="eastAsia" w:cs="仿宋_GB2312"/>
          <w:color w:val="auto"/>
          <w:szCs w:val="24"/>
          <w:highlight w:val="none"/>
        </w:rPr>
      </w:pPr>
      <w:r>
        <w:rPr>
          <w:rFonts w:hint="eastAsia" w:cs="仿宋_GB2312"/>
          <w:color w:val="auto"/>
          <w:szCs w:val="24"/>
          <w:highlight w:val="none"/>
          <w:lang w:val="en-US" w:eastAsia="zh-CN"/>
        </w:rPr>
        <w:t xml:space="preserve">系 </w:t>
      </w:r>
      <w:r>
        <w:rPr>
          <w:rFonts w:hint="eastAsia" w:cs="仿宋_GB2312"/>
          <w:color w:val="auto"/>
          <w:szCs w:val="24"/>
          <w:highlight w:val="none"/>
          <w:u w:val="single"/>
          <w:lang w:val="en-US" w:eastAsia="zh-CN"/>
        </w:rPr>
        <w:t xml:space="preserve">            </w:t>
      </w:r>
      <w:r>
        <w:rPr>
          <w:rFonts w:hint="eastAsia" w:cs="仿宋_GB2312"/>
          <w:color w:val="auto"/>
          <w:szCs w:val="24"/>
          <w:highlight w:val="none"/>
          <w:lang w:val="en-US" w:eastAsia="zh-CN"/>
        </w:rPr>
        <w:t xml:space="preserve">（投标人名称）的法定代表人（单位负责人）。 </w:t>
      </w:r>
    </w:p>
    <w:p w14:paraId="3B002BC6">
      <w:pPr>
        <w:spacing w:line="480" w:lineRule="auto"/>
        <w:ind w:firstLine="480" w:firstLineChars="200"/>
        <w:rPr>
          <w:rFonts w:hint="eastAsia" w:cs="仿宋_GB2312"/>
          <w:color w:val="auto"/>
          <w:szCs w:val="24"/>
          <w:highlight w:val="none"/>
        </w:rPr>
      </w:pPr>
      <w:r>
        <w:rPr>
          <w:rFonts w:hint="eastAsia" w:cs="仿宋_GB2312"/>
          <w:color w:val="auto"/>
          <w:szCs w:val="24"/>
          <w:highlight w:val="none"/>
          <w:lang w:val="en-US" w:eastAsia="zh-CN"/>
        </w:rPr>
        <w:t xml:space="preserve">附：法定代表人（单位负责人）身份证、护照等身份证明文件电子件： </w:t>
      </w:r>
    </w:p>
    <w:p w14:paraId="60A8C36F">
      <w:pPr>
        <w:spacing w:line="480" w:lineRule="auto"/>
        <w:ind w:firstLine="480" w:firstLineChars="200"/>
        <w:rPr>
          <w:rFonts w:cs="仿宋_GB2312"/>
          <w:color w:val="auto"/>
          <w:szCs w:val="24"/>
          <w:highlight w:val="none"/>
        </w:rPr>
      </w:pPr>
    </w:p>
    <w:p w14:paraId="473563CD">
      <w:pPr>
        <w:rPr>
          <w:rFonts w:cs="Arial"/>
          <w:color w:val="auto"/>
          <w:sz w:val="21"/>
          <w:szCs w:val="21"/>
          <w:highlight w:val="none"/>
        </w:rPr>
      </w:pPr>
    </w:p>
    <w:tbl>
      <w:tblPr>
        <w:tblStyle w:val="31"/>
        <w:tblW w:w="85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7"/>
      </w:tblGrid>
      <w:tr w14:paraId="2D4F4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1" w:hRule="atLeast"/>
        </w:trPr>
        <w:tc>
          <w:tcPr>
            <w:tcW w:w="8527" w:type="dxa"/>
          </w:tcPr>
          <w:p w14:paraId="4B7B7E19">
            <w:pPr>
              <w:rPr>
                <w:rFonts w:cs="Arial"/>
                <w:color w:val="auto"/>
                <w:highlight w:val="none"/>
              </w:rPr>
            </w:pPr>
          </w:p>
        </w:tc>
      </w:tr>
    </w:tbl>
    <w:p w14:paraId="76B5C725">
      <w:pPr>
        <w:ind w:firstLine="840" w:firstLineChars="350"/>
        <w:jc w:val="center"/>
        <w:rPr>
          <w:rFonts w:cs="Arial"/>
          <w:color w:val="auto"/>
          <w:highlight w:val="none"/>
        </w:rPr>
      </w:pPr>
    </w:p>
    <w:p w14:paraId="4AD74708">
      <w:pPr>
        <w:keepNext w:val="0"/>
        <w:keepLines w:val="0"/>
        <w:widowControl/>
        <w:suppressLineNumbers w:val="0"/>
        <w:jc w:val="left"/>
        <w:rPr>
          <w:color w:val="auto"/>
          <w:highlight w:val="none"/>
        </w:rPr>
      </w:pPr>
      <w:r>
        <w:rPr>
          <w:rFonts w:hint="eastAsia" w:ascii="宋体" w:hAnsi="宋体" w:eastAsia="宋体" w:cs="宋体"/>
          <w:color w:val="auto"/>
          <w:kern w:val="0"/>
          <w:sz w:val="24"/>
          <w:szCs w:val="24"/>
          <w:highlight w:val="none"/>
          <w:lang w:val="en-US" w:eastAsia="zh-CN" w:bidi="ar"/>
        </w:rPr>
        <w:t>投标人名称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hint="eastAsia" w:ascii="宋体" w:hAnsi="宋体" w:eastAsia="宋体" w:cs="宋体"/>
          <w:color w:val="auto"/>
          <w:kern w:val="0"/>
          <w:sz w:val="24"/>
          <w:szCs w:val="24"/>
          <w:highlight w:val="none"/>
          <w:lang w:val="en-US" w:eastAsia="zh-CN" w:bidi="ar"/>
        </w:rPr>
        <w:t>：</w:t>
      </w:r>
      <w:r>
        <w:rPr>
          <w:rFonts w:ascii="DejaVuSans" w:hAnsi="DejaVuSans" w:eastAsia="DejaVuSans" w:cs="DejaVuSans"/>
          <w:color w:val="auto"/>
          <w:kern w:val="0"/>
          <w:sz w:val="24"/>
          <w:szCs w:val="24"/>
          <w:highlight w:val="none"/>
          <w:lang w:val="en-US" w:eastAsia="zh-CN" w:bidi="ar"/>
        </w:rPr>
        <w:t xml:space="preserve">________________ </w:t>
      </w:r>
    </w:p>
    <w:p w14:paraId="364A1245">
      <w:pPr>
        <w:keepNext w:val="0"/>
        <w:keepLines w:val="0"/>
        <w:widowControl/>
        <w:suppressLineNumbers w:val="0"/>
        <w:jc w:val="left"/>
        <w:rPr>
          <w:color w:val="auto"/>
          <w:highlight w:val="none"/>
        </w:rPr>
      </w:pPr>
      <w:r>
        <w:rPr>
          <w:rFonts w:hint="eastAsia" w:ascii="宋体" w:hAnsi="宋体" w:eastAsia="宋体" w:cs="宋体"/>
          <w:color w:val="auto"/>
          <w:kern w:val="0"/>
          <w:sz w:val="24"/>
          <w:szCs w:val="24"/>
          <w:highlight w:val="none"/>
          <w:lang w:val="en-US" w:eastAsia="zh-CN" w:bidi="ar"/>
        </w:rPr>
        <w:t>法定代表人（单位负责人）（签字或</w:t>
      </w:r>
      <w:r>
        <w:rPr>
          <w:rFonts w:hint="eastAsia" w:cs="宋体"/>
          <w:color w:val="auto"/>
          <w:kern w:val="0"/>
          <w:sz w:val="24"/>
          <w:szCs w:val="24"/>
          <w:highlight w:val="none"/>
          <w:lang w:eastAsia="zh-CN"/>
        </w:rPr>
        <w:t>盖</w:t>
      </w:r>
      <w:r>
        <w:rPr>
          <w:rFonts w:hint="eastAsia" w:ascii="宋体" w:hAnsi="宋体" w:eastAsia="宋体" w:cs="宋体"/>
          <w:color w:val="auto"/>
          <w:kern w:val="0"/>
          <w:sz w:val="24"/>
          <w:szCs w:val="24"/>
          <w:highlight w:val="none"/>
          <w:lang w:eastAsia="zh-CN"/>
        </w:rPr>
        <w:t>章</w:t>
      </w:r>
      <w:r>
        <w:rPr>
          <w:rFonts w:hint="eastAsia" w:ascii="宋体" w:hAnsi="宋体" w:eastAsia="宋体" w:cs="宋体"/>
          <w:color w:val="auto"/>
          <w:kern w:val="0"/>
          <w:sz w:val="24"/>
          <w:szCs w:val="24"/>
          <w:highlight w:val="none"/>
          <w:lang w:val="en-US" w:eastAsia="zh-CN" w:bidi="ar"/>
        </w:rPr>
        <w:t>）：</w:t>
      </w:r>
      <w:r>
        <w:rPr>
          <w:rFonts w:hint="default" w:ascii="DejaVuSans" w:hAnsi="DejaVuSans" w:eastAsia="DejaVuSans" w:cs="DejaVuSans"/>
          <w:color w:val="auto"/>
          <w:kern w:val="0"/>
          <w:sz w:val="24"/>
          <w:szCs w:val="24"/>
          <w:highlight w:val="none"/>
          <w:lang w:val="en-US" w:eastAsia="zh-CN" w:bidi="ar"/>
        </w:rPr>
        <w:t xml:space="preserve">_______ </w:t>
      </w:r>
    </w:p>
    <w:p w14:paraId="10B3C29F">
      <w:pPr>
        <w:keepNext w:val="0"/>
        <w:keepLines w:val="0"/>
        <w:widowControl/>
        <w:suppressLineNumbers w:val="0"/>
        <w:jc w:val="left"/>
        <w:rPr>
          <w:rFonts w:hint="eastAsia" w:ascii="宋体" w:hAnsi="宋体" w:eastAsia="宋体" w:cs="宋体"/>
          <w:color w:val="auto"/>
          <w:kern w:val="0"/>
          <w:sz w:val="24"/>
          <w:szCs w:val="24"/>
          <w:highlight w:val="none"/>
          <w:lang w:val="en-US" w:eastAsia="zh-CN" w:bidi="ar"/>
        </w:rPr>
      </w:pPr>
    </w:p>
    <w:p w14:paraId="7239FE13">
      <w:pPr>
        <w:keepNext w:val="0"/>
        <w:keepLines w:val="0"/>
        <w:widowControl/>
        <w:suppressLineNumbers w:val="0"/>
        <w:jc w:val="left"/>
        <w:rPr>
          <w:color w:val="auto"/>
          <w:highlight w:val="none"/>
        </w:rPr>
      </w:pPr>
      <w:r>
        <w:rPr>
          <w:rFonts w:hint="eastAsia" w:ascii="宋体" w:hAnsi="宋体" w:eastAsia="宋体" w:cs="宋体"/>
          <w:color w:val="auto"/>
          <w:kern w:val="0"/>
          <w:sz w:val="24"/>
          <w:szCs w:val="24"/>
          <w:highlight w:val="none"/>
          <w:lang w:val="en-US" w:eastAsia="zh-CN" w:bidi="ar"/>
        </w:rPr>
        <w:t>日期：</w:t>
      </w:r>
      <w:r>
        <w:rPr>
          <w:rFonts w:hint="default" w:ascii="DejaVuSans" w:hAnsi="DejaVuSans" w:eastAsia="DejaVuSans" w:cs="DejaVuSans"/>
          <w:color w:val="auto"/>
          <w:kern w:val="0"/>
          <w:sz w:val="24"/>
          <w:szCs w:val="24"/>
          <w:highlight w:val="none"/>
          <w:lang w:val="en-US" w:eastAsia="zh-CN" w:bidi="ar"/>
        </w:rPr>
        <w:t>_____</w:t>
      </w:r>
      <w:r>
        <w:rPr>
          <w:rFonts w:hint="eastAsia" w:ascii="宋体" w:hAnsi="宋体" w:eastAsia="宋体" w:cs="宋体"/>
          <w:color w:val="auto"/>
          <w:kern w:val="0"/>
          <w:sz w:val="24"/>
          <w:szCs w:val="24"/>
          <w:highlight w:val="none"/>
          <w:lang w:val="en-US" w:eastAsia="zh-CN" w:bidi="ar"/>
        </w:rPr>
        <w:t>年</w:t>
      </w:r>
      <w:r>
        <w:rPr>
          <w:rFonts w:hint="default" w:ascii="DejaVuSans" w:hAnsi="DejaVuSans" w:eastAsia="DejaVuSans" w:cs="DejaVuSans"/>
          <w:color w:val="auto"/>
          <w:kern w:val="0"/>
          <w:sz w:val="24"/>
          <w:szCs w:val="24"/>
          <w:highlight w:val="none"/>
          <w:lang w:val="en-US" w:eastAsia="zh-CN" w:bidi="ar"/>
        </w:rPr>
        <w:t>______</w:t>
      </w:r>
      <w:r>
        <w:rPr>
          <w:rFonts w:hint="eastAsia" w:ascii="宋体" w:hAnsi="宋体" w:eastAsia="宋体" w:cs="宋体"/>
          <w:color w:val="auto"/>
          <w:kern w:val="0"/>
          <w:sz w:val="24"/>
          <w:szCs w:val="24"/>
          <w:highlight w:val="none"/>
          <w:lang w:val="en-US" w:eastAsia="zh-CN" w:bidi="ar"/>
        </w:rPr>
        <w:t>月</w:t>
      </w:r>
      <w:r>
        <w:rPr>
          <w:rFonts w:hint="default" w:ascii="DejaVuSans" w:hAnsi="DejaVuSans" w:eastAsia="DejaVuSans" w:cs="DejaVuSans"/>
          <w:color w:val="auto"/>
          <w:kern w:val="0"/>
          <w:sz w:val="24"/>
          <w:szCs w:val="24"/>
          <w:highlight w:val="none"/>
          <w:lang w:val="en-US" w:eastAsia="zh-CN" w:bidi="ar"/>
        </w:rPr>
        <w:t>______</w:t>
      </w:r>
      <w:r>
        <w:rPr>
          <w:rFonts w:hint="eastAsia" w:ascii="宋体" w:hAnsi="宋体" w:eastAsia="宋体" w:cs="宋体"/>
          <w:color w:val="auto"/>
          <w:kern w:val="0"/>
          <w:sz w:val="24"/>
          <w:szCs w:val="24"/>
          <w:highlight w:val="none"/>
          <w:lang w:val="en-US" w:eastAsia="zh-CN" w:bidi="ar"/>
        </w:rPr>
        <w:t>日</w:t>
      </w:r>
    </w:p>
    <w:p w14:paraId="6948CD78">
      <w:pPr>
        <w:rPr>
          <w:b/>
          <w:color w:val="auto"/>
          <w:sz w:val="28"/>
          <w:szCs w:val="28"/>
          <w:highlight w:val="none"/>
        </w:rPr>
      </w:pPr>
    </w:p>
    <w:p w14:paraId="04FDD702">
      <w:pPr>
        <w:rPr>
          <w:b/>
          <w:color w:val="auto"/>
          <w:sz w:val="28"/>
          <w:szCs w:val="28"/>
          <w:highlight w:val="none"/>
        </w:rPr>
      </w:pPr>
      <w:r>
        <w:rPr>
          <w:b/>
          <w:color w:val="auto"/>
          <w:sz w:val="28"/>
          <w:szCs w:val="28"/>
          <w:highlight w:val="none"/>
        </w:rPr>
        <w:br w:type="page"/>
      </w:r>
    </w:p>
    <w:p w14:paraId="0EEE8A23">
      <w:pPr>
        <w:pStyle w:val="3"/>
        <w:bidi w:val="0"/>
        <w:jc w:val="center"/>
        <w:rPr>
          <w:rFonts w:hint="eastAsia"/>
          <w:lang w:val="en-US" w:eastAsia="zh-CN"/>
        </w:rPr>
      </w:pPr>
      <w:bookmarkStart w:id="650" w:name="_Toc13994"/>
      <w:bookmarkStart w:id="651" w:name="_Toc155185925"/>
      <w:r>
        <w:rPr>
          <w:rFonts w:hint="eastAsia"/>
          <w:lang w:val="en-US" w:eastAsia="zh-CN"/>
        </w:rPr>
        <w:t>三、授权委托书</w:t>
      </w:r>
      <w:bookmarkEnd w:id="650"/>
      <w:bookmarkEnd w:id="651"/>
    </w:p>
    <w:p w14:paraId="593F068D">
      <w:pPr>
        <w:ind w:firstLine="480" w:firstLineChars="200"/>
        <w:rPr>
          <w:rFonts w:cs="仿宋_GB2312"/>
          <w:color w:val="auto"/>
          <w:szCs w:val="24"/>
          <w:highlight w:val="none"/>
        </w:rPr>
      </w:pPr>
      <w:r>
        <w:rPr>
          <w:rFonts w:hint="eastAsia" w:cs="仿宋_GB2312"/>
          <w:color w:val="auto"/>
          <w:szCs w:val="24"/>
          <w:highlight w:val="none"/>
        </w:rPr>
        <w:t>本人</w:t>
      </w:r>
      <w:r>
        <w:rPr>
          <w:rFonts w:cs="仿宋_GB2312"/>
          <w:color w:val="auto"/>
          <w:szCs w:val="24"/>
          <w:highlight w:val="none"/>
          <w:u w:val="single"/>
        </w:rPr>
        <w:t xml:space="preserve">     </w:t>
      </w:r>
      <w:r>
        <w:rPr>
          <w:rFonts w:hint="eastAsia" w:cs="仿宋_GB2312"/>
          <w:color w:val="auto"/>
          <w:szCs w:val="24"/>
          <w:highlight w:val="none"/>
          <w:u w:val="none"/>
        </w:rPr>
        <w:t>（姓名）</w:t>
      </w:r>
      <w:r>
        <w:rPr>
          <w:rFonts w:hint="eastAsia" w:cs="仿宋_GB2312"/>
          <w:color w:val="auto"/>
          <w:szCs w:val="24"/>
          <w:highlight w:val="none"/>
        </w:rPr>
        <w:t>系</w:t>
      </w:r>
      <w:r>
        <w:rPr>
          <w:rFonts w:hint="eastAsia" w:cs="仿宋_GB2312"/>
          <w:color w:val="auto"/>
          <w:szCs w:val="24"/>
          <w:highlight w:val="none"/>
          <w:u w:val="single"/>
        </w:rPr>
        <w:t xml:space="preserve">   </w:t>
      </w:r>
      <w:r>
        <w:rPr>
          <w:rFonts w:hint="eastAsia" w:cs="仿宋_GB2312"/>
          <w:color w:val="auto"/>
          <w:szCs w:val="24"/>
          <w:highlight w:val="none"/>
          <w:u w:val="single"/>
          <w:lang w:val="en-US" w:eastAsia="zh-CN"/>
        </w:rPr>
        <w:t xml:space="preserve">     </w:t>
      </w:r>
      <w:r>
        <w:rPr>
          <w:rFonts w:hint="eastAsia" w:cs="仿宋_GB2312"/>
          <w:color w:val="auto"/>
          <w:szCs w:val="24"/>
          <w:highlight w:val="none"/>
          <w:u w:val="single"/>
        </w:rPr>
        <w:t xml:space="preserve">  </w:t>
      </w:r>
      <w:r>
        <w:rPr>
          <w:rFonts w:hint="eastAsia" w:cs="仿宋_GB2312"/>
          <w:color w:val="auto"/>
          <w:szCs w:val="24"/>
          <w:highlight w:val="none"/>
          <w:u w:val="none"/>
        </w:rPr>
        <w:t>（投标人名称）</w:t>
      </w:r>
      <w:r>
        <w:rPr>
          <w:rFonts w:hint="eastAsia" w:cs="仿宋_GB2312"/>
          <w:color w:val="auto"/>
          <w:szCs w:val="24"/>
          <w:highlight w:val="none"/>
        </w:rPr>
        <w:t>的法定代表人</w:t>
      </w:r>
      <w:r>
        <w:rPr>
          <w:rFonts w:hint="eastAsia"/>
          <w:color w:val="auto"/>
          <w:highlight w:val="none"/>
        </w:rPr>
        <w:t>（</w:t>
      </w:r>
      <w:r>
        <w:rPr>
          <w:rFonts w:hint="eastAsia"/>
          <w:color w:val="auto"/>
          <w:highlight w:val="none"/>
          <w:lang w:val="en-US" w:eastAsia="zh-CN"/>
        </w:rPr>
        <w:t>单位</w:t>
      </w:r>
      <w:r>
        <w:rPr>
          <w:rFonts w:hint="eastAsia"/>
          <w:color w:val="auto"/>
          <w:highlight w:val="none"/>
        </w:rPr>
        <w:t>负责人）</w:t>
      </w:r>
      <w:r>
        <w:rPr>
          <w:rFonts w:hint="eastAsia" w:cs="仿宋_GB2312"/>
          <w:color w:val="auto"/>
          <w:szCs w:val="24"/>
          <w:highlight w:val="none"/>
        </w:rPr>
        <w:t>，现委托</w:t>
      </w:r>
      <w:r>
        <w:rPr>
          <w:rFonts w:hint="eastAsia" w:cs="仿宋_GB2312"/>
          <w:color w:val="auto"/>
          <w:szCs w:val="24"/>
          <w:highlight w:val="none"/>
          <w:u w:val="single"/>
        </w:rPr>
        <w:t xml:space="preserve">     </w:t>
      </w:r>
      <w:r>
        <w:rPr>
          <w:rFonts w:hint="eastAsia" w:cs="仿宋_GB2312"/>
          <w:color w:val="auto"/>
          <w:szCs w:val="24"/>
          <w:highlight w:val="none"/>
        </w:rPr>
        <w:t>（姓名）为我方代理人。代理人根据授权，以我方名义签署、澄清</w:t>
      </w:r>
      <w:r>
        <w:rPr>
          <w:rFonts w:hint="eastAsia" w:cs="仿宋_GB2312"/>
          <w:color w:val="auto"/>
          <w:szCs w:val="24"/>
          <w:highlight w:val="none"/>
          <w:lang w:val="en-US" w:eastAsia="zh-CN"/>
        </w:rPr>
        <w:t>确认</w:t>
      </w:r>
      <w:r>
        <w:rPr>
          <w:rFonts w:hint="eastAsia" w:cs="仿宋_GB2312"/>
          <w:color w:val="auto"/>
          <w:szCs w:val="24"/>
          <w:highlight w:val="none"/>
        </w:rPr>
        <w:t>、说明、补正、递交、撤回、修改</w:t>
      </w:r>
      <w:r>
        <w:rPr>
          <w:rFonts w:hint="eastAsia" w:cs="仿宋_GB2312"/>
          <w:color w:val="auto"/>
          <w:szCs w:val="24"/>
          <w:highlight w:val="none"/>
          <w:u w:val="single"/>
        </w:rPr>
        <w:t xml:space="preserve">   </w:t>
      </w:r>
      <w:r>
        <w:rPr>
          <w:rFonts w:hint="eastAsia" w:cs="仿宋_GB2312"/>
          <w:color w:val="auto"/>
          <w:szCs w:val="24"/>
          <w:highlight w:val="none"/>
          <w:u w:val="single"/>
          <w:lang w:val="en-US" w:eastAsia="zh-CN"/>
        </w:rPr>
        <w:t xml:space="preserve">      </w:t>
      </w:r>
      <w:r>
        <w:rPr>
          <w:rFonts w:hint="eastAsia" w:cs="仿宋_GB2312"/>
          <w:color w:val="auto"/>
          <w:szCs w:val="24"/>
          <w:highlight w:val="none"/>
          <w:u w:val="single"/>
        </w:rPr>
        <w:t xml:space="preserve">  </w:t>
      </w:r>
      <w:r>
        <w:rPr>
          <w:rFonts w:hint="eastAsia" w:cs="仿宋_GB2312"/>
          <w:color w:val="auto"/>
          <w:szCs w:val="24"/>
          <w:highlight w:val="none"/>
        </w:rPr>
        <w:t>（项目名称）投标文件、签订合同和处理有关事宜，其法律后果由我方承担。</w:t>
      </w:r>
    </w:p>
    <w:p w14:paraId="56B80D1C">
      <w:pPr>
        <w:ind w:firstLine="480" w:firstLineChars="200"/>
        <w:rPr>
          <w:rFonts w:hint="eastAsia" w:cs="仿宋_GB2312"/>
          <w:color w:val="auto"/>
          <w:szCs w:val="24"/>
          <w:highlight w:val="none"/>
        </w:rPr>
      </w:pPr>
      <w:r>
        <w:rPr>
          <w:rFonts w:hint="eastAsia" w:cs="仿宋_GB2312"/>
          <w:color w:val="auto"/>
          <w:szCs w:val="24"/>
          <w:highlight w:val="none"/>
        </w:rPr>
        <w:t>委托期限：</w:t>
      </w:r>
      <w:r>
        <w:rPr>
          <w:rFonts w:hint="eastAsia" w:cs="仿宋_GB2312"/>
          <w:color w:val="auto"/>
          <w:szCs w:val="24"/>
          <w:highlight w:val="none"/>
          <w:lang w:val="en-US" w:eastAsia="zh-CN"/>
        </w:rPr>
        <w:t>自本授权委托书签署之日起至投标有效期届满之日止。</w:t>
      </w:r>
    </w:p>
    <w:p w14:paraId="0A605ABE">
      <w:pPr>
        <w:ind w:firstLine="480" w:firstLineChars="200"/>
        <w:rPr>
          <w:rFonts w:cs="仿宋_GB2312"/>
          <w:color w:val="auto"/>
          <w:szCs w:val="24"/>
          <w:highlight w:val="none"/>
        </w:rPr>
      </w:pPr>
      <w:r>
        <w:rPr>
          <w:rFonts w:hint="eastAsia" w:cs="仿宋_GB2312"/>
          <w:color w:val="auto"/>
          <w:szCs w:val="24"/>
          <w:highlight w:val="none"/>
        </w:rPr>
        <w:t>代理人无转委托权。</w:t>
      </w:r>
    </w:p>
    <w:p w14:paraId="03C5EAD4">
      <w:pPr>
        <w:keepNext w:val="0"/>
        <w:keepLines w:val="0"/>
        <w:pageBreakBefore w:val="0"/>
        <w:widowControl w:val="0"/>
        <w:kinsoku/>
        <w:wordWrap/>
        <w:overflowPunct/>
        <w:topLinePunct w:val="0"/>
        <w:autoSpaceDE/>
        <w:autoSpaceDN/>
        <w:bidi w:val="0"/>
        <w:adjustRightInd/>
        <w:snapToGrid/>
        <w:spacing w:line="240" w:lineRule="exact"/>
        <w:ind w:firstLine="480" w:firstLineChars="200"/>
        <w:textAlignment w:val="auto"/>
        <w:rPr>
          <w:rFonts w:hint="eastAsia" w:cs="仿宋_GB2312"/>
          <w:color w:val="auto"/>
          <w:szCs w:val="24"/>
          <w:highlight w:val="none"/>
        </w:rPr>
      </w:pPr>
    </w:p>
    <w:p w14:paraId="27333291">
      <w:pPr>
        <w:keepNext w:val="0"/>
        <w:keepLines w:val="0"/>
        <w:pageBreakBefore w:val="0"/>
        <w:widowControl/>
        <w:suppressLineNumbers w:val="0"/>
        <w:kinsoku/>
        <w:wordWrap/>
        <w:overflowPunct/>
        <w:topLinePunct w:val="0"/>
        <w:autoSpaceDE/>
        <w:autoSpaceDN/>
        <w:bidi w:val="0"/>
        <w:adjustRightInd/>
        <w:snapToGrid/>
        <w:jc w:val="left"/>
        <w:textAlignment w:val="auto"/>
        <w:rPr>
          <w:color w:val="auto"/>
          <w:highlight w:val="none"/>
        </w:rPr>
      </w:pPr>
      <w:r>
        <w:rPr>
          <w:rFonts w:hint="eastAsia" w:ascii="宋体" w:hAnsi="宋体" w:eastAsia="宋体" w:cs="宋体"/>
          <w:color w:val="auto"/>
          <w:kern w:val="0"/>
          <w:sz w:val="24"/>
          <w:szCs w:val="24"/>
          <w:highlight w:val="none"/>
          <w:lang w:val="en-US" w:eastAsia="zh-CN" w:bidi="ar"/>
        </w:rPr>
        <w:t>投标人名称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hint="eastAsia" w:ascii="宋体" w:hAnsi="宋体" w:eastAsia="宋体" w:cs="宋体"/>
          <w:color w:val="auto"/>
          <w:kern w:val="0"/>
          <w:sz w:val="24"/>
          <w:szCs w:val="24"/>
          <w:highlight w:val="none"/>
          <w:lang w:val="en-US" w:eastAsia="zh-CN" w:bidi="ar"/>
        </w:rPr>
        <w:t>：</w:t>
      </w:r>
      <w:r>
        <w:rPr>
          <w:rFonts w:ascii="DejaVuSans" w:hAnsi="DejaVuSans" w:eastAsia="DejaVuSans" w:cs="DejaVuSans"/>
          <w:color w:val="auto"/>
          <w:kern w:val="0"/>
          <w:sz w:val="24"/>
          <w:szCs w:val="24"/>
          <w:highlight w:val="none"/>
          <w:lang w:val="en-US" w:eastAsia="zh-CN" w:bidi="ar"/>
        </w:rPr>
        <w:t xml:space="preserve">________________ </w:t>
      </w:r>
    </w:p>
    <w:p w14:paraId="4CD5B2EF">
      <w:pPr>
        <w:keepNext w:val="0"/>
        <w:keepLines w:val="0"/>
        <w:pageBreakBefore w:val="0"/>
        <w:widowControl/>
        <w:suppressLineNumbers w:val="0"/>
        <w:kinsoku/>
        <w:wordWrap/>
        <w:overflowPunct/>
        <w:topLinePunct w:val="0"/>
        <w:autoSpaceDE/>
        <w:autoSpaceDN/>
        <w:bidi w:val="0"/>
        <w:adjustRightInd/>
        <w:snapToGrid/>
        <w:jc w:val="left"/>
        <w:textAlignment w:val="auto"/>
        <w:rPr>
          <w:color w:val="auto"/>
          <w:highlight w:val="none"/>
        </w:rPr>
      </w:pPr>
      <w:r>
        <w:rPr>
          <w:rFonts w:hint="eastAsia" w:ascii="宋体" w:hAnsi="宋体" w:eastAsia="宋体" w:cs="宋体"/>
          <w:color w:val="auto"/>
          <w:kern w:val="0"/>
          <w:sz w:val="24"/>
          <w:szCs w:val="24"/>
          <w:highlight w:val="none"/>
          <w:lang w:val="en-US" w:eastAsia="zh-CN" w:bidi="ar"/>
        </w:rPr>
        <w:t>法定代表人（单位负责人）（签字或</w:t>
      </w:r>
      <w:r>
        <w:rPr>
          <w:rFonts w:hint="eastAsia" w:cs="宋体"/>
          <w:color w:val="auto"/>
          <w:kern w:val="0"/>
          <w:sz w:val="24"/>
          <w:szCs w:val="24"/>
          <w:highlight w:val="none"/>
          <w:lang w:eastAsia="zh-CN"/>
        </w:rPr>
        <w:t>盖</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hint="eastAsia" w:ascii="宋体" w:hAnsi="宋体" w:eastAsia="宋体" w:cs="宋体"/>
          <w:color w:val="auto"/>
          <w:kern w:val="0"/>
          <w:sz w:val="24"/>
          <w:szCs w:val="24"/>
          <w:highlight w:val="none"/>
          <w:lang w:val="en-US" w:eastAsia="zh-CN" w:bidi="ar"/>
        </w:rPr>
        <w:t>：</w:t>
      </w:r>
      <w:r>
        <w:rPr>
          <w:rFonts w:hint="default" w:ascii="DejaVuSans" w:hAnsi="DejaVuSans" w:eastAsia="DejaVuSans" w:cs="DejaVuSans"/>
          <w:color w:val="auto"/>
          <w:kern w:val="0"/>
          <w:sz w:val="24"/>
          <w:szCs w:val="24"/>
          <w:highlight w:val="none"/>
          <w:lang w:val="en-US" w:eastAsia="zh-CN" w:bidi="ar"/>
        </w:rPr>
        <w:t xml:space="preserve">________________ </w:t>
      </w:r>
    </w:p>
    <w:p w14:paraId="77AA3C36">
      <w:pPr>
        <w:keepNext w:val="0"/>
        <w:keepLines w:val="0"/>
        <w:pageBreakBefore w:val="0"/>
        <w:widowControl/>
        <w:suppressLineNumbers w:val="0"/>
        <w:kinsoku/>
        <w:wordWrap/>
        <w:overflowPunct/>
        <w:topLinePunct w:val="0"/>
        <w:autoSpaceDE/>
        <w:autoSpaceDN/>
        <w:bidi w:val="0"/>
        <w:adjustRightInd/>
        <w:snapToGrid/>
        <w:jc w:val="left"/>
        <w:textAlignment w:val="auto"/>
        <w:rPr>
          <w:rFonts w:hint="default"/>
          <w:color w:val="auto"/>
          <w:highlight w:val="none"/>
          <w:lang w:val="en-US"/>
        </w:rPr>
      </w:pPr>
      <w:r>
        <w:rPr>
          <w:rFonts w:hint="eastAsia" w:ascii="宋体" w:hAnsi="宋体" w:eastAsia="宋体" w:cs="宋体"/>
          <w:color w:val="auto"/>
          <w:kern w:val="0"/>
          <w:sz w:val="24"/>
          <w:szCs w:val="24"/>
          <w:highlight w:val="none"/>
          <w:lang w:val="en-US" w:eastAsia="zh-CN" w:bidi="ar"/>
        </w:rPr>
        <w:t>委托代理人（签字或</w:t>
      </w:r>
      <w:r>
        <w:rPr>
          <w:rFonts w:hint="eastAsia" w:cs="宋体"/>
          <w:color w:val="auto"/>
          <w:kern w:val="0"/>
          <w:sz w:val="24"/>
          <w:szCs w:val="24"/>
          <w:highlight w:val="none"/>
          <w:lang w:eastAsia="zh-CN"/>
        </w:rPr>
        <w:t>盖</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hint="eastAsia" w:ascii="宋体" w:hAnsi="宋体" w:eastAsia="宋体" w:cs="宋体"/>
          <w:color w:val="auto"/>
          <w:kern w:val="0"/>
          <w:sz w:val="24"/>
          <w:szCs w:val="24"/>
          <w:highlight w:val="none"/>
          <w:lang w:val="en-US" w:eastAsia="zh-CN" w:bidi="ar"/>
        </w:rPr>
        <w:t>：</w:t>
      </w:r>
      <w:r>
        <w:rPr>
          <w:rFonts w:hint="default" w:ascii="DejaVuSans" w:hAnsi="DejaVuSans" w:eastAsia="DejaVuSans" w:cs="DejaVuSans"/>
          <w:color w:val="auto"/>
          <w:kern w:val="0"/>
          <w:sz w:val="24"/>
          <w:szCs w:val="24"/>
          <w:highlight w:val="none"/>
          <w:lang w:val="en-US" w:eastAsia="zh-CN" w:bidi="ar"/>
        </w:rPr>
        <w:t xml:space="preserve">________________ </w:t>
      </w:r>
      <w:r>
        <w:rPr>
          <w:rFonts w:hint="eastAsia" w:ascii="DejaVuSans" w:hAnsi="DejaVuSans" w:eastAsia="DejaVuSans" w:cs="DejaVuSans"/>
          <w:color w:val="auto"/>
          <w:kern w:val="0"/>
          <w:sz w:val="24"/>
          <w:szCs w:val="24"/>
          <w:highlight w:val="none"/>
          <w:lang w:val="en-US" w:eastAsia="zh-CN" w:bidi="ar"/>
        </w:rPr>
        <w:t xml:space="preserve">   联系电话：</w:t>
      </w:r>
      <w:r>
        <w:rPr>
          <w:rFonts w:hint="default" w:ascii="DejaVuSans" w:hAnsi="DejaVuSans" w:eastAsia="DejaVuSans" w:cs="DejaVuSans"/>
          <w:color w:val="auto"/>
          <w:kern w:val="0"/>
          <w:sz w:val="24"/>
          <w:szCs w:val="24"/>
          <w:highlight w:val="none"/>
          <w:lang w:val="en-US" w:eastAsia="zh-CN" w:bidi="ar"/>
        </w:rPr>
        <w:t>________</w:t>
      </w:r>
    </w:p>
    <w:p w14:paraId="4FD66B47">
      <w:pPr>
        <w:keepNext w:val="0"/>
        <w:keepLines w:val="0"/>
        <w:pageBreakBefore w:val="0"/>
        <w:widowControl/>
        <w:suppressLineNumbers w:val="0"/>
        <w:kinsoku/>
        <w:wordWrap/>
        <w:overflowPunct/>
        <w:topLinePunct w:val="0"/>
        <w:autoSpaceDE/>
        <w:autoSpaceDN/>
        <w:bidi w:val="0"/>
        <w:adjustRightInd/>
        <w:snapToGrid/>
        <w:jc w:val="left"/>
        <w:textAlignment w:val="auto"/>
        <w:rPr>
          <w:color w:val="auto"/>
          <w:highlight w:val="none"/>
        </w:rPr>
      </w:pPr>
      <w:r>
        <w:rPr>
          <w:rFonts w:hint="eastAsia" w:ascii="宋体" w:hAnsi="宋体" w:eastAsia="宋体" w:cs="宋体"/>
          <w:color w:val="auto"/>
          <w:kern w:val="0"/>
          <w:sz w:val="24"/>
          <w:szCs w:val="24"/>
          <w:highlight w:val="none"/>
          <w:lang w:val="en-US" w:eastAsia="zh-CN" w:bidi="ar"/>
        </w:rPr>
        <w:t>日期：</w:t>
      </w:r>
      <w:r>
        <w:rPr>
          <w:rFonts w:hint="default" w:ascii="DejaVuSans" w:hAnsi="DejaVuSans" w:eastAsia="DejaVuSans" w:cs="DejaVuSans"/>
          <w:color w:val="auto"/>
          <w:kern w:val="0"/>
          <w:sz w:val="24"/>
          <w:szCs w:val="24"/>
          <w:highlight w:val="none"/>
          <w:lang w:val="en-US" w:eastAsia="zh-CN" w:bidi="ar"/>
        </w:rPr>
        <w:t>_____</w:t>
      </w:r>
      <w:r>
        <w:rPr>
          <w:rFonts w:hint="eastAsia" w:ascii="宋体" w:hAnsi="宋体" w:eastAsia="宋体" w:cs="宋体"/>
          <w:color w:val="auto"/>
          <w:kern w:val="0"/>
          <w:sz w:val="24"/>
          <w:szCs w:val="24"/>
          <w:highlight w:val="none"/>
          <w:lang w:val="en-US" w:eastAsia="zh-CN" w:bidi="ar"/>
        </w:rPr>
        <w:t>年</w:t>
      </w:r>
      <w:r>
        <w:rPr>
          <w:rFonts w:hint="default" w:ascii="DejaVuSans" w:hAnsi="DejaVuSans" w:eastAsia="DejaVuSans" w:cs="DejaVuSans"/>
          <w:color w:val="auto"/>
          <w:kern w:val="0"/>
          <w:sz w:val="24"/>
          <w:szCs w:val="24"/>
          <w:highlight w:val="none"/>
          <w:lang w:val="en-US" w:eastAsia="zh-CN" w:bidi="ar"/>
        </w:rPr>
        <w:t>______</w:t>
      </w:r>
      <w:r>
        <w:rPr>
          <w:rFonts w:hint="eastAsia" w:ascii="宋体" w:hAnsi="宋体" w:eastAsia="宋体" w:cs="宋体"/>
          <w:color w:val="auto"/>
          <w:kern w:val="0"/>
          <w:sz w:val="24"/>
          <w:szCs w:val="24"/>
          <w:highlight w:val="none"/>
          <w:lang w:val="en-US" w:eastAsia="zh-CN" w:bidi="ar"/>
        </w:rPr>
        <w:t>月</w:t>
      </w:r>
      <w:r>
        <w:rPr>
          <w:rFonts w:hint="default" w:ascii="DejaVuSans" w:hAnsi="DejaVuSans" w:eastAsia="DejaVuSans" w:cs="DejaVuSans"/>
          <w:color w:val="auto"/>
          <w:kern w:val="0"/>
          <w:sz w:val="24"/>
          <w:szCs w:val="24"/>
          <w:highlight w:val="none"/>
          <w:lang w:val="en-US" w:eastAsia="zh-CN" w:bidi="ar"/>
        </w:rPr>
        <w:t>______</w:t>
      </w:r>
      <w:r>
        <w:rPr>
          <w:rFonts w:hint="eastAsia" w:ascii="宋体" w:hAnsi="宋体" w:eastAsia="宋体" w:cs="宋体"/>
          <w:color w:val="auto"/>
          <w:kern w:val="0"/>
          <w:sz w:val="24"/>
          <w:szCs w:val="24"/>
          <w:highlight w:val="none"/>
          <w:lang w:val="en-US" w:eastAsia="zh-CN" w:bidi="ar"/>
        </w:rPr>
        <w:t xml:space="preserve">日 </w:t>
      </w:r>
    </w:p>
    <w:p w14:paraId="0D7E210D">
      <w:pPr>
        <w:keepNext w:val="0"/>
        <w:keepLines w:val="0"/>
        <w:pageBreakBefore w:val="0"/>
        <w:widowControl w:val="0"/>
        <w:kinsoku/>
        <w:wordWrap/>
        <w:overflowPunct/>
        <w:topLinePunct w:val="0"/>
        <w:autoSpaceDE/>
        <w:autoSpaceDN/>
        <w:bidi w:val="0"/>
        <w:adjustRightInd/>
        <w:snapToGrid/>
        <w:spacing w:line="240" w:lineRule="exact"/>
        <w:ind w:firstLine="480" w:firstLineChars="200"/>
        <w:textAlignment w:val="auto"/>
        <w:rPr>
          <w:rFonts w:hint="eastAsia" w:cs="仿宋_GB2312"/>
          <w:color w:val="auto"/>
          <w:szCs w:val="24"/>
          <w:highlight w:val="none"/>
          <w:lang w:val="en-US" w:eastAsia="zh-CN"/>
        </w:rPr>
      </w:pPr>
    </w:p>
    <w:p w14:paraId="7CE346A7">
      <w:pPr>
        <w:keepNext w:val="0"/>
        <w:keepLines w:val="0"/>
        <w:pageBreakBefore w:val="0"/>
        <w:widowControl/>
        <w:suppressLineNumbers w:val="0"/>
        <w:kinsoku/>
        <w:wordWrap/>
        <w:overflowPunct/>
        <w:topLinePunct w:val="0"/>
        <w:autoSpaceDE/>
        <w:autoSpaceDN/>
        <w:bidi w:val="0"/>
        <w:adjustRightInd/>
        <w:snapToGrid/>
        <w:jc w:val="left"/>
        <w:textAlignment w:val="auto"/>
        <w:rPr>
          <w:color w:val="auto"/>
          <w:highlight w:val="none"/>
        </w:rPr>
      </w:pPr>
      <w:r>
        <w:rPr>
          <w:rFonts w:hint="eastAsia" w:ascii="宋体" w:hAnsi="宋体" w:eastAsia="宋体" w:cs="宋体"/>
          <w:color w:val="auto"/>
          <w:kern w:val="0"/>
          <w:sz w:val="24"/>
          <w:szCs w:val="24"/>
          <w:highlight w:val="none"/>
          <w:lang w:val="en-US" w:eastAsia="zh-CN" w:bidi="ar"/>
        </w:rPr>
        <w:t xml:space="preserve">附：法定代表人及委托代理人身份证明文件电子件： </w:t>
      </w:r>
    </w:p>
    <w:tbl>
      <w:tblPr>
        <w:tblStyle w:val="31"/>
        <w:tblW w:w="85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7"/>
      </w:tblGrid>
      <w:tr w14:paraId="6A5754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1" w:hRule="atLeast"/>
        </w:trPr>
        <w:tc>
          <w:tcPr>
            <w:tcW w:w="8527" w:type="dxa"/>
          </w:tcPr>
          <w:p w14:paraId="66EBC6FA">
            <w:pPr>
              <w:rPr>
                <w:rFonts w:cs="Arial"/>
                <w:color w:val="auto"/>
                <w:highlight w:val="none"/>
              </w:rPr>
            </w:pPr>
          </w:p>
        </w:tc>
      </w:tr>
    </w:tbl>
    <w:p w14:paraId="003FC2D7">
      <w:pPr>
        <w:ind w:firstLine="480" w:firstLineChars="200"/>
        <w:rPr>
          <w:rFonts w:hint="eastAsia" w:cs="仿宋_GB2312"/>
          <w:color w:val="auto"/>
          <w:szCs w:val="24"/>
          <w:highlight w:val="none"/>
        </w:rPr>
      </w:pPr>
      <w:r>
        <w:rPr>
          <w:rFonts w:hint="eastAsia" w:cs="仿宋_GB2312"/>
          <w:color w:val="auto"/>
          <w:szCs w:val="24"/>
          <w:highlight w:val="none"/>
          <w:lang w:val="en-US" w:eastAsia="zh-CN"/>
        </w:rPr>
        <w:t xml:space="preserve">说明： </w:t>
      </w:r>
    </w:p>
    <w:p w14:paraId="6A6FAC65">
      <w:pPr>
        <w:ind w:firstLine="480" w:firstLineChars="200"/>
        <w:rPr>
          <w:rFonts w:hint="eastAsia" w:cs="仿宋_GB2312"/>
          <w:color w:val="auto"/>
          <w:szCs w:val="24"/>
          <w:highlight w:val="none"/>
        </w:rPr>
      </w:pPr>
      <w:r>
        <w:rPr>
          <w:rFonts w:hint="eastAsia" w:cs="仿宋_GB2312"/>
          <w:color w:val="auto"/>
          <w:szCs w:val="24"/>
          <w:highlight w:val="none"/>
          <w:lang w:val="en-US" w:eastAsia="zh-CN"/>
        </w:rPr>
        <w:t xml:space="preserve">1.若投标人为事业单位或其他组织或分支机构，则法定代表人（单位负责人）处的签署人可为单位负责人。 </w:t>
      </w:r>
    </w:p>
    <w:p w14:paraId="7579C425">
      <w:pPr>
        <w:ind w:firstLine="480" w:firstLineChars="200"/>
        <w:rPr>
          <w:rFonts w:hint="eastAsia" w:cs="仿宋_GB2312"/>
          <w:color w:val="auto"/>
          <w:szCs w:val="24"/>
          <w:highlight w:val="none"/>
        </w:rPr>
      </w:pPr>
      <w:r>
        <w:rPr>
          <w:rFonts w:hint="default" w:cs="仿宋_GB2312"/>
          <w:color w:val="auto"/>
          <w:szCs w:val="24"/>
          <w:highlight w:val="none"/>
          <w:lang w:val="en-US" w:eastAsia="zh-CN"/>
        </w:rPr>
        <w:t>2.</w:t>
      </w:r>
      <w:r>
        <w:rPr>
          <w:rFonts w:hint="eastAsia" w:cs="仿宋_GB2312"/>
          <w:color w:val="auto"/>
          <w:szCs w:val="24"/>
          <w:highlight w:val="none"/>
          <w:lang w:val="en-US" w:eastAsia="zh-CN"/>
        </w:rPr>
        <w:t xml:space="preserve">若投标文件中签字之处均为法定代表人（单位负责人）本人签署，则可不提供本《授权委托书》，但须提供《法定代表人（单位负责人）身份证明》。 </w:t>
      </w:r>
    </w:p>
    <w:p w14:paraId="7D81952A">
      <w:pPr>
        <w:ind w:firstLine="480" w:firstLineChars="200"/>
        <w:rPr>
          <w:rFonts w:hint="eastAsia" w:cs="仿宋_GB2312"/>
          <w:color w:val="auto"/>
          <w:szCs w:val="24"/>
          <w:highlight w:val="none"/>
        </w:rPr>
      </w:pPr>
      <w:r>
        <w:rPr>
          <w:rFonts w:hint="default" w:cs="仿宋_GB2312"/>
          <w:color w:val="auto"/>
          <w:szCs w:val="24"/>
          <w:highlight w:val="none"/>
          <w:lang w:val="en-US" w:eastAsia="zh-CN"/>
        </w:rPr>
        <w:t>3.</w:t>
      </w:r>
      <w:r>
        <w:rPr>
          <w:rFonts w:hint="eastAsia" w:cs="仿宋_GB2312"/>
          <w:color w:val="auto"/>
          <w:szCs w:val="24"/>
          <w:highlight w:val="none"/>
          <w:lang w:val="en-US" w:eastAsia="zh-CN"/>
        </w:rPr>
        <w:t xml:space="preserve">投标人为自然人的情形，可不提供本《授权委托书》。 </w:t>
      </w:r>
    </w:p>
    <w:p w14:paraId="16E91B57">
      <w:pPr>
        <w:ind w:firstLine="480" w:firstLineChars="200"/>
        <w:rPr>
          <w:rFonts w:hint="eastAsia" w:cs="仿宋_GB2312"/>
          <w:color w:val="auto"/>
          <w:szCs w:val="24"/>
          <w:highlight w:val="none"/>
        </w:rPr>
      </w:pPr>
      <w:r>
        <w:rPr>
          <w:rFonts w:hint="default" w:cs="仿宋_GB2312"/>
          <w:color w:val="auto"/>
          <w:szCs w:val="24"/>
          <w:highlight w:val="none"/>
          <w:lang w:val="en-US" w:eastAsia="zh-CN"/>
        </w:rPr>
        <w:t>4.</w:t>
      </w:r>
      <w:r>
        <w:rPr>
          <w:rFonts w:hint="eastAsia" w:cs="仿宋_GB2312"/>
          <w:color w:val="auto"/>
          <w:szCs w:val="24"/>
          <w:highlight w:val="none"/>
          <w:lang w:val="en-US" w:eastAsia="zh-CN"/>
        </w:rPr>
        <w:t>投标人应随本《授权委托书》同时提供法定代表人（单位负责人）及委托代理人的有效的身份证、护照等身份证明文件电子件。提供身份证的，应同时提供身份证</w:t>
      </w:r>
      <w:r>
        <w:rPr>
          <w:rFonts w:hint="eastAsia" w:cs="仿宋_GB2312"/>
          <w:b/>
          <w:bCs/>
          <w:color w:val="auto"/>
          <w:szCs w:val="24"/>
          <w:highlight w:val="none"/>
          <w:lang w:val="en-US" w:eastAsia="zh-CN"/>
        </w:rPr>
        <w:t>双面</w:t>
      </w:r>
      <w:r>
        <w:rPr>
          <w:rFonts w:hint="eastAsia" w:cs="仿宋_GB2312"/>
          <w:color w:val="auto"/>
          <w:szCs w:val="24"/>
          <w:highlight w:val="none"/>
          <w:lang w:val="en-US" w:eastAsia="zh-CN"/>
        </w:rPr>
        <w:t>电子件。</w:t>
      </w:r>
    </w:p>
    <w:p w14:paraId="0B2EBA16">
      <w:pPr>
        <w:rPr>
          <w:color w:val="auto"/>
          <w:highlight w:val="none"/>
        </w:rPr>
      </w:pPr>
      <w:r>
        <w:rPr>
          <w:color w:val="auto"/>
          <w:highlight w:val="none"/>
        </w:rPr>
        <w:br w:type="page"/>
      </w:r>
    </w:p>
    <w:p w14:paraId="117D25C9">
      <w:pPr>
        <w:pStyle w:val="3"/>
        <w:bidi w:val="0"/>
        <w:jc w:val="left"/>
        <w:rPr>
          <w:rFonts w:hint="eastAsia"/>
          <w:lang w:val="en-US" w:eastAsia="zh-CN"/>
        </w:rPr>
      </w:pPr>
      <w:bookmarkStart w:id="652" w:name="_Toc155185934"/>
      <w:bookmarkStart w:id="653" w:name="_Toc163492928"/>
      <w:bookmarkStart w:id="654" w:name="_Toc11798"/>
      <w:r>
        <w:rPr>
          <w:rFonts w:hint="eastAsia"/>
          <w:lang w:val="en-US" w:eastAsia="zh-CN"/>
        </w:rPr>
        <w:t>四、</w:t>
      </w:r>
      <w:bookmarkEnd w:id="652"/>
      <w:bookmarkEnd w:id="653"/>
      <w:r>
        <w:rPr>
          <w:rFonts w:hint="eastAsia"/>
          <w:lang w:val="en-US" w:eastAsia="zh-CN"/>
        </w:rPr>
        <w:t>供应商诚信承诺</w:t>
      </w:r>
      <w:r>
        <w:rPr>
          <w:rFonts w:hint="eastAsia"/>
          <w:lang w:val="zh-CN" w:eastAsia="zh-CN"/>
        </w:rPr>
        <w:t>书</w:t>
      </w:r>
      <w:bookmarkEnd w:id="654"/>
    </w:p>
    <w:p w14:paraId="71AF9B67">
      <w:pPr>
        <w:autoSpaceDE w:val="0"/>
        <w:autoSpaceDN w:val="0"/>
        <w:adjustRightInd w:val="0"/>
        <w:spacing w:line="400" w:lineRule="exact"/>
        <w:jc w:val="center"/>
        <w:rPr>
          <w:rFonts w:hint="eastAsia" w:ascii="宋体" w:hAnsi="宋体" w:eastAsia="宋体" w:cs="宋体"/>
          <w:b/>
          <w:bCs/>
          <w:color w:val="000000"/>
          <w:sz w:val="24"/>
          <w:szCs w:val="24"/>
        </w:rPr>
      </w:pPr>
      <w:r>
        <w:rPr>
          <w:rFonts w:hint="eastAsia" w:ascii="宋体" w:hAnsi="宋体" w:eastAsia="宋体" w:cs="宋体"/>
          <w:b/>
          <w:bCs/>
          <w:color w:val="000000"/>
          <w:sz w:val="24"/>
          <w:szCs w:val="24"/>
        </w:rPr>
        <w:t>供应商诚信承诺书</w:t>
      </w:r>
    </w:p>
    <w:p w14:paraId="5C354BDC">
      <w:pPr>
        <w:autoSpaceDE w:val="0"/>
        <w:autoSpaceDN w:val="0"/>
        <w:adjustRightInd w:val="0"/>
        <w:spacing w:line="400" w:lineRule="exact"/>
        <w:ind w:firstLine="480"/>
        <w:rPr>
          <w:rFonts w:hint="eastAsia" w:ascii="宋体" w:hAnsi="宋体" w:eastAsia="宋体" w:cs="宋体"/>
          <w:kern w:val="0"/>
          <w:sz w:val="24"/>
          <w:szCs w:val="24"/>
          <w:lang w:val="zh-CN"/>
        </w:rPr>
      </w:pPr>
      <w:bookmarkStart w:id="655" w:name="_Hlk182910040"/>
      <w:r>
        <w:rPr>
          <w:rFonts w:hint="eastAsia" w:ascii="宋体" w:hAnsi="宋体" w:eastAsia="宋体" w:cs="宋体"/>
          <w:kern w:val="0"/>
          <w:sz w:val="24"/>
          <w:szCs w:val="24"/>
          <w:lang w:val="zh-CN"/>
        </w:rPr>
        <w:t>为了诚实、客观、有序地参与</w:t>
      </w:r>
      <w:r>
        <w:rPr>
          <w:rFonts w:hint="eastAsia" w:ascii="宋体" w:hAnsi="宋体" w:eastAsia="宋体" w:cs="宋体"/>
          <w:sz w:val="24"/>
          <w:szCs w:val="24"/>
          <w:u w:val="single"/>
        </w:rPr>
        <w:t xml:space="preserve">                       </w:t>
      </w:r>
      <w:r>
        <w:rPr>
          <w:rFonts w:hint="eastAsia" w:ascii="宋体" w:hAnsi="宋体" w:eastAsia="宋体" w:cs="宋体"/>
          <w:sz w:val="24"/>
          <w:szCs w:val="24"/>
        </w:rPr>
        <w:t>项目</w:t>
      </w:r>
      <w:r>
        <w:rPr>
          <w:rFonts w:hint="eastAsia" w:ascii="宋体" w:hAnsi="宋体" w:eastAsia="宋体" w:cs="宋体"/>
          <w:kern w:val="0"/>
          <w:sz w:val="24"/>
          <w:szCs w:val="24"/>
          <w:lang w:val="zh-CN"/>
        </w:rPr>
        <w:t>采购活动，愿就以下内容作出承诺：</w:t>
      </w:r>
    </w:p>
    <w:bookmarkEnd w:id="655"/>
    <w:p w14:paraId="32FBC26E">
      <w:pPr>
        <w:autoSpaceDE w:val="0"/>
        <w:autoSpaceDN w:val="0"/>
        <w:adjustRightInd w:val="0"/>
        <w:spacing w:line="400" w:lineRule="exact"/>
        <w:ind w:firstLine="48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一、自觉遵守各项法律、法规、规章、制度以及社会公德，维护廉洁环境，与同场竞争的供应商平等参加招采购活动。</w:t>
      </w:r>
    </w:p>
    <w:p w14:paraId="69C925DE">
      <w:pPr>
        <w:autoSpaceDE w:val="0"/>
        <w:autoSpaceDN w:val="0"/>
        <w:adjustRightInd w:val="0"/>
        <w:spacing w:line="400" w:lineRule="exact"/>
        <w:ind w:firstLine="48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二、参加采购代理机构组织的采购活动时，严格按照</w:t>
      </w:r>
      <w:r>
        <w:rPr>
          <w:rFonts w:hint="eastAsia" w:ascii="宋体" w:hAnsi="宋体" w:eastAsia="宋体" w:cs="宋体"/>
          <w:kern w:val="0"/>
          <w:sz w:val="24"/>
          <w:szCs w:val="24"/>
        </w:rPr>
        <w:t>招标</w:t>
      </w:r>
      <w:r>
        <w:rPr>
          <w:rFonts w:hint="eastAsia" w:ascii="宋体" w:hAnsi="宋体" w:eastAsia="宋体" w:cs="宋体"/>
          <w:kern w:val="0"/>
          <w:sz w:val="24"/>
          <w:szCs w:val="24"/>
          <w:lang w:val="zh-CN"/>
        </w:rPr>
        <w:t>文件的规定和要求提供所需的相关材料，并对所提供的各类资料的真实性负责，不虚假应标，不虚列业绩；不以他人名义投标或者以其他方式弄虚作假，骗取中标。</w:t>
      </w:r>
    </w:p>
    <w:p w14:paraId="2D0DD829">
      <w:pPr>
        <w:autoSpaceDE w:val="0"/>
        <w:autoSpaceDN w:val="0"/>
        <w:adjustRightInd w:val="0"/>
        <w:spacing w:line="400" w:lineRule="exact"/>
        <w:ind w:firstLine="48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三、尊重参与采购活动各相关方的合法行为，接受采购活动依法形成的意见、结果。</w:t>
      </w:r>
    </w:p>
    <w:p w14:paraId="440C3703">
      <w:pPr>
        <w:autoSpaceDE w:val="0"/>
        <w:autoSpaceDN w:val="0"/>
        <w:adjustRightInd w:val="0"/>
        <w:spacing w:line="400" w:lineRule="exact"/>
        <w:ind w:firstLine="480"/>
        <w:rPr>
          <w:rFonts w:hint="eastAsia" w:ascii="宋体" w:hAnsi="宋体" w:eastAsia="宋体" w:cs="宋体"/>
          <w:kern w:val="0"/>
          <w:sz w:val="24"/>
          <w:szCs w:val="24"/>
          <w:lang w:val="zh-CN"/>
        </w:rPr>
      </w:pPr>
      <w:bookmarkStart w:id="656" w:name="_Hlk182909516"/>
      <w:r>
        <w:rPr>
          <w:rFonts w:hint="eastAsia" w:ascii="宋体" w:hAnsi="宋体" w:eastAsia="宋体" w:cs="宋体"/>
          <w:kern w:val="0"/>
          <w:sz w:val="24"/>
          <w:szCs w:val="24"/>
          <w:lang w:val="zh-CN"/>
        </w:rPr>
        <w:t>四、依法参加采购活动，不与其他供应商互相串通投标，不排挤其他供应商的公平竞争，不损害招标人的合法权益；不与招标人或者招标代理机构串通投标，损害国家利益、社会公共利益或者他人的合法权益；不向招标人或者评标委员会成员行贿以牟取中标。维护市场秩序，不提供“三无”产品、以次充好。</w:t>
      </w:r>
    </w:p>
    <w:bookmarkEnd w:id="656"/>
    <w:p w14:paraId="35769678">
      <w:pPr>
        <w:autoSpaceDE w:val="0"/>
        <w:autoSpaceDN w:val="0"/>
        <w:adjustRightInd w:val="0"/>
        <w:spacing w:line="400" w:lineRule="exact"/>
        <w:ind w:firstLine="48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五、严格按照招标文件的规定和要求提供所需的相关材料，并对所提供的各类资料的真实性负责。如有违反按照自治区财政厅下发的《关于开展政府采购领域“四类”违法违规行为专项整治工作的通知》精神，自愿接受检验检测报告的问题；不存在提供虚假的合同业绩及学历证书等证明材料的问题；处罚。供应商对所投标（响应）文件的真实性负责，绝不存在提供虚假的认证证书、不存在提供虚假的《中小企业声明函》的问题；不存在其他提供虚假材料的问题。</w:t>
      </w:r>
    </w:p>
    <w:p w14:paraId="6B7FE9B3">
      <w:pPr>
        <w:autoSpaceDE w:val="0"/>
        <w:autoSpaceDN w:val="0"/>
        <w:adjustRightInd w:val="0"/>
        <w:spacing w:line="400" w:lineRule="exact"/>
        <w:ind w:firstLine="48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六、积极推动采购活动健康开展，对采购活动有疑问、异议时，按法律规定的程序实名（加盖单位章和法定代表人签名）反映情况，不恶意中伤、无事生非，以和谐、平等的心态参加采购活动。</w:t>
      </w:r>
    </w:p>
    <w:p w14:paraId="029244E2">
      <w:pPr>
        <w:autoSpaceDE w:val="0"/>
        <w:autoSpaceDN w:val="0"/>
        <w:adjustRightInd w:val="0"/>
        <w:spacing w:line="400" w:lineRule="exact"/>
        <w:ind w:firstLine="48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七、认真履行成交人应承担的责任和义务，全面执行采购合同规定的各项内容，保质保量地按时提供采购物品。</w:t>
      </w:r>
    </w:p>
    <w:p w14:paraId="2F696F84">
      <w:pPr>
        <w:autoSpaceDE w:val="0"/>
        <w:autoSpaceDN w:val="0"/>
        <w:adjustRightInd w:val="0"/>
        <w:spacing w:line="400" w:lineRule="exact"/>
        <w:ind w:firstLine="480" w:firstLineChars="20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若本企业（单位）发生有悖于上述承诺的行为或形成恶意投诉，我们自愿接受《政府采购法》等有关法律法规中对供应商的相关处理：</w:t>
      </w:r>
      <w:bookmarkStart w:id="657" w:name="_Hlk182910718"/>
      <w:r>
        <w:rPr>
          <w:rFonts w:hint="eastAsia" w:ascii="宋体" w:hAnsi="宋体" w:eastAsia="宋体" w:cs="宋体"/>
          <w:kern w:val="0"/>
          <w:sz w:val="24"/>
          <w:szCs w:val="24"/>
          <w:lang w:val="zh-CN"/>
        </w:rPr>
        <w:t>自愿放弃中标资格、限制以后投标、记入不良信用档案、没收本次投标保证金，并愿意承担由此引起的其他法律责任。</w:t>
      </w:r>
      <w:bookmarkEnd w:id="657"/>
    </w:p>
    <w:p w14:paraId="28BBE59F">
      <w:pPr>
        <w:autoSpaceDE w:val="0"/>
        <w:autoSpaceDN w:val="0"/>
        <w:adjustRightInd w:val="0"/>
        <w:spacing w:line="400" w:lineRule="exact"/>
        <w:ind w:firstLine="4435" w:firstLineChars="1848"/>
        <w:rPr>
          <w:rFonts w:hint="eastAsia" w:ascii="宋体" w:hAnsi="宋体" w:eastAsia="宋体" w:cs="宋体"/>
          <w:bCs/>
          <w:kern w:val="0"/>
          <w:sz w:val="24"/>
          <w:szCs w:val="24"/>
          <w:lang w:val="zh-CN"/>
        </w:rPr>
      </w:pPr>
      <w:bookmarkStart w:id="658" w:name="_Hlk182910783"/>
      <w:r>
        <w:rPr>
          <w:rFonts w:hint="eastAsia" w:ascii="宋体" w:hAnsi="宋体" w:eastAsia="宋体" w:cs="宋体"/>
          <w:bCs/>
          <w:kern w:val="0"/>
          <w:sz w:val="24"/>
          <w:szCs w:val="24"/>
          <w:lang w:val="zh-CN"/>
        </w:rPr>
        <w:t>供应商：             （公章）</w:t>
      </w:r>
    </w:p>
    <w:p w14:paraId="4B77BD8F">
      <w:pPr>
        <w:autoSpaceDE w:val="0"/>
        <w:autoSpaceDN w:val="0"/>
        <w:adjustRightInd w:val="0"/>
        <w:spacing w:line="400" w:lineRule="exact"/>
        <w:rPr>
          <w:rFonts w:hint="eastAsia" w:ascii="宋体" w:hAnsi="宋体" w:eastAsia="宋体" w:cs="宋体"/>
          <w:bCs/>
          <w:kern w:val="0"/>
          <w:sz w:val="24"/>
          <w:szCs w:val="24"/>
          <w:lang w:val="zh-CN"/>
        </w:rPr>
      </w:pPr>
      <w:r>
        <w:rPr>
          <w:rFonts w:hint="eastAsia" w:ascii="宋体" w:hAnsi="宋体" w:eastAsia="宋体" w:cs="宋体"/>
          <w:bCs/>
          <w:kern w:val="0"/>
          <w:sz w:val="24"/>
          <w:szCs w:val="24"/>
          <w:lang w:val="zh-CN"/>
        </w:rPr>
        <w:t xml:space="preserve">                     法定代表人或委托代理人：             （签字）</w:t>
      </w:r>
    </w:p>
    <w:p w14:paraId="5CBCCEF0">
      <w:pPr>
        <w:rPr>
          <w:rFonts w:hint="eastAsia" w:ascii="宋体" w:hAnsi="宋体" w:eastAsia="宋体" w:cs="宋体"/>
          <w:sz w:val="24"/>
          <w:szCs w:val="24"/>
        </w:rPr>
      </w:pPr>
      <w:r>
        <w:rPr>
          <w:rFonts w:hint="eastAsia" w:ascii="宋体" w:hAnsi="宋体" w:eastAsia="宋体" w:cs="宋体"/>
          <w:bCs/>
          <w:kern w:val="0"/>
          <w:sz w:val="24"/>
          <w:szCs w:val="24"/>
          <w:lang w:val="zh-CN"/>
        </w:rPr>
        <w:t xml:space="preserve">                                         年   月   日</w:t>
      </w:r>
      <w:bookmarkEnd w:id="658"/>
    </w:p>
    <w:p w14:paraId="74E8B7C7">
      <w:pPr>
        <w:pStyle w:val="3"/>
        <w:bidi w:val="0"/>
        <w:jc w:val="center"/>
        <w:rPr>
          <w:rFonts w:hint="default"/>
          <w:lang w:val="en-US" w:eastAsia="zh-CN"/>
        </w:rPr>
      </w:pPr>
      <w:bookmarkStart w:id="659" w:name="_Toc20842"/>
      <w:r>
        <w:rPr>
          <w:rFonts w:hint="eastAsia"/>
          <w:lang w:val="en-US" w:eastAsia="zh-CN"/>
        </w:rPr>
        <w:t>五、</w:t>
      </w:r>
      <w:r>
        <w:rPr>
          <w:rFonts w:hint="eastAsia"/>
          <w:lang w:val="zh-CN" w:eastAsia="zh-CN"/>
        </w:rPr>
        <w:t>实质性响应一览表【</w:t>
      </w:r>
      <w:r>
        <w:rPr>
          <w:rFonts w:hint="eastAsia"/>
          <w:lang w:val="en-US" w:eastAsia="zh-CN"/>
        </w:rPr>
        <w:t>本表须与第五章的一致】</w:t>
      </w:r>
      <w:bookmarkEnd w:id="659"/>
    </w:p>
    <w:p w14:paraId="3FC7E450">
      <w:pPr>
        <w:shd w:val="clear" w:color="auto" w:fill="FFFFFF"/>
        <w:tabs>
          <w:tab w:val="left" w:pos="3045"/>
        </w:tabs>
        <w:autoSpaceDE w:val="0"/>
        <w:autoSpaceDN w:val="0"/>
        <w:adjustRightInd w:val="0"/>
        <w:snapToGrid w:val="0"/>
        <w:spacing w:line="360" w:lineRule="exact"/>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w:t>
      </w:r>
      <w:r>
        <w:rPr>
          <w:rFonts w:hint="eastAsia" w:cs="宋体"/>
          <w:b w:val="0"/>
          <w:bCs/>
          <w:color w:val="auto"/>
          <w:sz w:val="24"/>
          <w:highlight w:val="none"/>
          <w:lang w:val="en-US" w:eastAsia="zh-CN"/>
        </w:rPr>
        <w:t>投标人</w:t>
      </w:r>
      <w:r>
        <w:rPr>
          <w:rFonts w:hint="eastAsia" w:ascii="宋体" w:hAnsi="宋体" w:cs="宋体"/>
          <w:b w:val="0"/>
          <w:bCs/>
          <w:color w:val="auto"/>
          <w:sz w:val="24"/>
          <w:highlight w:val="none"/>
        </w:rPr>
        <w:t>须对本附表所有内容逐条响应且无负偏离，否则</w:t>
      </w:r>
      <w:r>
        <w:rPr>
          <w:rFonts w:hint="eastAsia" w:cs="宋体"/>
          <w:b w:val="0"/>
          <w:bCs/>
          <w:color w:val="auto"/>
          <w:sz w:val="24"/>
          <w:highlight w:val="none"/>
          <w:lang w:val="en-US" w:eastAsia="zh-CN"/>
        </w:rPr>
        <w:t>其</w:t>
      </w:r>
      <w:r>
        <w:rPr>
          <w:rFonts w:hint="eastAsia" w:ascii="宋体" w:hAnsi="宋体" w:cs="宋体"/>
          <w:b/>
          <w:bCs w:val="0"/>
          <w:color w:val="auto"/>
          <w:sz w:val="24"/>
          <w:highlight w:val="none"/>
        </w:rPr>
        <w:t>投标无效</w:t>
      </w:r>
      <w:r>
        <w:rPr>
          <w:rFonts w:hint="eastAsia" w:ascii="宋体" w:hAnsi="宋体" w:cs="宋体"/>
          <w:b w:val="0"/>
          <w:bCs/>
          <w:color w:val="auto"/>
          <w:sz w:val="24"/>
          <w:highlight w:val="none"/>
        </w:rPr>
        <w:t>）</w:t>
      </w:r>
    </w:p>
    <w:p w14:paraId="3B3C031E">
      <w:pPr>
        <w:pStyle w:val="24"/>
        <w:rPr>
          <w:rFonts w:hint="eastAsia" w:ascii="宋体" w:hAnsi="宋体" w:cs="宋体"/>
          <w:color w:val="auto"/>
          <w:highlight w:val="none"/>
        </w:rPr>
      </w:pPr>
    </w:p>
    <w:tbl>
      <w:tblPr>
        <w:tblStyle w:val="31"/>
        <w:tblW w:w="5294" w:type="pct"/>
        <w:tblInd w:w="-24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
        <w:gridCol w:w="1992"/>
        <w:gridCol w:w="3744"/>
        <w:gridCol w:w="1956"/>
        <w:gridCol w:w="924"/>
      </w:tblGrid>
      <w:tr w14:paraId="2EF508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226" w:type="pct"/>
            <w:vMerge w:val="restart"/>
            <w:noWrap w:val="0"/>
            <w:vAlign w:val="center"/>
          </w:tcPr>
          <w:p w14:paraId="101C805A">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3178" w:type="pct"/>
            <w:gridSpan w:val="2"/>
            <w:noWrap w:val="0"/>
            <w:vAlign w:val="center"/>
          </w:tcPr>
          <w:p w14:paraId="02D60536">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招标</w:t>
            </w:r>
            <w:r>
              <w:rPr>
                <w:rFonts w:hint="eastAsia" w:ascii="宋体" w:hAnsi="宋体" w:eastAsia="宋体" w:cs="宋体"/>
                <w:color w:val="auto"/>
                <w:sz w:val="24"/>
                <w:szCs w:val="24"/>
                <w:highlight w:val="none"/>
              </w:rPr>
              <w:t>文件要求的实质性响应内容</w:t>
            </w:r>
          </w:p>
        </w:tc>
        <w:tc>
          <w:tcPr>
            <w:tcW w:w="1083" w:type="pct"/>
            <w:vMerge w:val="restart"/>
            <w:noWrap w:val="0"/>
            <w:vAlign w:val="center"/>
          </w:tcPr>
          <w:p w14:paraId="56144F2B">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投标文件响应</w:t>
            </w:r>
            <w:r>
              <w:rPr>
                <w:rFonts w:hint="eastAsia" w:ascii="宋体" w:hAnsi="宋体" w:eastAsia="宋体" w:cs="宋体"/>
                <w:color w:val="auto"/>
                <w:sz w:val="24"/>
                <w:szCs w:val="24"/>
                <w:highlight w:val="none"/>
                <w:lang w:val="en-US" w:eastAsia="zh-CN"/>
              </w:rPr>
              <w:t>的</w:t>
            </w:r>
            <w:r>
              <w:rPr>
                <w:rFonts w:hint="eastAsia" w:ascii="宋体" w:hAnsi="宋体" w:eastAsia="宋体" w:cs="宋体"/>
                <w:color w:val="auto"/>
                <w:sz w:val="24"/>
                <w:szCs w:val="24"/>
                <w:highlight w:val="none"/>
              </w:rPr>
              <w:t>具体内容</w:t>
            </w:r>
          </w:p>
        </w:tc>
        <w:tc>
          <w:tcPr>
            <w:tcW w:w="511" w:type="pct"/>
            <w:vMerge w:val="restart"/>
            <w:noWrap w:val="0"/>
            <w:vAlign w:val="center"/>
          </w:tcPr>
          <w:p w14:paraId="3D4BAC2B">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w:t>
            </w:r>
          </w:p>
        </w:tc>
      </w:tr>
      <w:tr w14:paraId="48FB17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226" w:type="pct"/>
            <w:vMerge w:val="continue"/>
            <w:noWrap w:val="0"/>
            <w:vAlign w:val="center"/>
          </w:tcPr>
          <w:p w14:paraId="61353542">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4"/>
                <w:szCs w:val="24"/>
                <w:highlight w:val="none"/>
              </w:rPr>
            </w:pPr>
          </w:p>
        </w:tc>
        <w:tc>
          <w:tcPr>
            <w:tcW w:w="1103" w:type="pct"/>
            <w:noWrap w:val="0"/>
            <w:vAlign w:val="center"/>
          </w:tcPr>
          <w:p w14:paraId="6B0E1646">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实质性要求</w:t>
            </w:r>
          </w:p>
        </w:tc>
        <w:tc>
          <w:tcPr>
            <w:tcW w:w="2074" w:type="pct"/>
            <w:noWrap w:val="0"/>
            <w:vAlign w:val="center"/>
          </w:tcPr>
          <w:p w14:paraId="3466A6AA">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招标文件中的规定</w:t>
            </w:r>
          </w:p>
        </w:tc>
        <w:tc>
          <w:tcPr>
            <w:tcW w:w="1083" w:type="pct"/>
            <w:vMerge w:val="continue"/>
            <w:noWrap w:val="0"/>
            <w:vAlign w:val="center"/>
          </w:tcPr>
          <w:p w14:paraId="230A57B0">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4"/>
                <w:szCs w:val="24"/>
                <w:highlight w:val="none"/>
              </w:rPr>
            </w:pPr>
          </w:p>
        </w:tc>
        <w:tc>
          <w:tcPr>
            <w:tcW w:w="511" w:type="pct"/>
            <w:vMerge w:val="continue"/>
            <w:noWrap w:val="0"/>
            <w:vAlign w:val="center"/>
          </w:tcPr>
          <w:p w14:paraId="1401563E">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4"/>
                <w:szCs w:val="24"/>
                <w:highlight w:val="none"/>
              </w:rPr>
            </w:pPr>
          </w:p>
        </w:tc>
      </w:tr>
      <w:tr w14:paraId="0FCF14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2" w:hRule="atLeast"/>
        </w:trPr>
        <w:tc>
          <w:tcPr>
            <w:tcW w:w="226" w:type="pct"/>
            <w:noWrap w:val="0"/>
            <w:vAlign w:val="center"/>
          </w:tcPr>
          <w:p w14:paraId="5D4136A9">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103" w:type="pct"/>
            <w:shd w:val="clear" w:color="auto" w:fill="auto"/>
            <w:noWrap w:val="0"/>
            <w:vAlign w:val="center"/>
          </w:tcPr>
          <w:p w14:paraId="11E3D909">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kern w:val="2"/>
                <w:sz w:val="24"/>
                <w:szCs w:val="24"/>
                <w:highlight w:val="none"/>
                <w:lang w:val="en-US" w:eastAsia="zh-CN" w:bidi="ar-SA"/>
              </w:rPr>
            </w:pPr>
          </w:p>
        </w:tc>
        <w:tc>
          <w:tcPr>
            <w:tcW w:w="2074" w:type="pct"/>
            <w:shd w:val="clear" w:color="auto" w:fill="auto"/>
            <w:noWrap w:val="0"/>
            <w:vAlign w:val="center"/>
          </w:tcPr>
          <w:p w14:paraId="2D62742B">
            <w:pPr>
              <w:keepNext w:val="0"/>
              <w:keepLines w:val="0"/>
              <w:pageBreakBefore w:val="0"/>
              <w:widowControl w:val="0"/>
              <w:shd w:val="clear" w:color="auto" w:fill="FFFFFF"/>
              <w:kinsoku/>
              <w:wordWrap/>
              <w:overflowPunct/>
              <w:topLinePunct w:val="0"/>
              <w:autoSpaceDE w:val="0"/>
              <w:autoSpaceDN w:val="0"/>
              <w:bidi w:val="0"/>
              <w:adjustRightInd/>
              <w:snapToGrid/>
              <w:spacing w:line="360" w:lineRule="exact"/>
              <w:textAlignment w:val="auto"/>
              <w:rPr>
                <w:rFonts w:hint="eastAsia" w:ascii="宋体" w:hAnsi="宋体" w:eastAsia="宋体" w:cs="宋体"/>
                <w:color w:val="auto"/>
                <w:kern w:val="2"/>
                <w:sz w:val="24"/>
                <w:szCs w:val="24"/>
                <w:highlight w:val="none"/>
                <w:lang w:val="en-US" w:eastAsia="zh-CN" w:bidi="ar-SA"/>
              </w:rPr>
            </w:pPr>
          </w:p>
        </w:tc>
        <w:tc>
          <w:tcPr>
            <w:tcW w:w="1083" w:type="pct"/>
            <w:noWrap w:val="0"/>
            <w:vAlign w:val="center"/>
          </w:tcPr>
          <w:p w14:paraId="1E4B729D">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p>
        </w:tc>
        <w:tc>
          <w:tcPr>
            <w:tcW w:w="511" w:type="pct"/>
            <w:noWrap w:val="0"/>
            <w:vAlign w:val="center"/>
          </w:tcPr>
          <w:p w14:paraId="2ED2EBD7">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p>
        </w:tc>
      </w:tr>
      <w:tr w14:paraId="29B149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2" w:hRule="atLeast"/>
        </w:trPr>
        <w:tc>
          <w:tcPr>
            <w:tcW w:w="226" w:type="pct"/>
            <w:noWrap w:val="0"/>
            <w:vAlign w:val="center"/>
          </w:tcPr>
          <w:p w14:paraId="708A3B90">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103" w:type="pct"/>
            <w:shd w:val="clear" w:color="auto" w:fill="auto"/>
            <w:noWrap w:val="0"/>
            <w:vAlign w:val="center"/>
          </w:tcPr>
          <w:p w14:paraId="7DC773BD">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kern w:val="2"/>
                <w:sz w:val="24"/>
                <w:szCs w:val="24"/>
                <w:highlight w:val="none"/>
                <w:lang w:val="en-US" w:eastAsia="zh-CN" w:bidi="ar-SA"/>
              </w:rPr>
            </w:pPr>
          </w:p>
        </w:tc>
        <w:tc>
          <w:tcPr>
            <w:tcW w:w="2074" w:type="pct"/>
            <w:shd w:val="clear" w:color="auto" w:fill="auto"/>
            <w:noWrap w:val="0"/>
            <w:vAlign w:val="center"/>
          </w:tcPr>
          <w:p w14:paraId="011D967C">
            <w:pPr>
              <w:keepNext w:val="0"/>
              <w:keepLines w:val="0"/>
              <w:pageBreakBefore w:val="0"/>
              <w:widowControl w:val="0"/>
              <w:shd w:val="clear" w:color="auto" w:fill="FFFFFF"/>
              <w:kinsoku/>
              <w:wordWrap/>
              <w:overflowPunct/>
              <w:topLinePunct w:val="0"/>
              <w:autoSpaceDE w:val="0"/>
              <w:autoSpaceDN w:val="0"/>
              <w:bidi w:val="0"/>
              <w:adjustRightInd/>
              <w:snapToGrid/>
              <w:spacing w:line="360" w:lineRule="exact"/>
              <w:textAlignment w:val="auto"/>
              <w:rPr>
                <w:rFonts w:hint="eastAsia" w:ascii="宋体" w:hAnsi="宋体" w:eastAsia="宋体" w:cs="宋体"/>
                <w:color w:val="auto"/>
                <w:kern w:val="2"/>
                <w:sz w:val="24"/>
                <w:szCs w:val="24"/>
                <w:highlight w:val="none"/>
                <w:lang w:val="en-US" w:eastAsia="zh-CN" w:bidi="ar-SA"/>
              </w:rPr>
            </w:pPr>
          </w:p>
        </w:tc>
        <w:tc>
          <w:tcPr>
            <w:tcW w:w="1083" w:type="pct"/>
            <w:noWrap w:val="0"/>
            <w:vAlign w:val="center"/>
          </w:tcPr>
          <w:p w14:paraId="58F62CE4">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p>
        </w:tc>
        <w:tc>
          <w:tcPr>
            <w:tcW w:w="511" w:type="pct"/>
            <w:noWrap w:val="0"/>
            <w:vAlign w:val="center"/>
          </w:tcPr>
          <w:p w14:paraId="194CC2D3">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p>
        </w:tc>
      </w:tr>
      <w:tr w14:paraId="547BF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2" w:hRule="atLeast"/>
        </w:trPr>
        <w:tc>
          <w:tcPr>
            <w:tcW w:w="226" w:type="pct"/>
            <w:shd w:val="clear" w:color="auto" w:fill="auto"/>
            <w:noWrap w:val="0"/>
            <w:vAlign w:val="center"/>
          </w:tcPr>
          <w:p w14:paraId="6A2DB15C">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3</w:t>
            </w:r>
          </w:p>
        </w:tc>
        <w:tc>
          <w:tcPr>
            <w:tcW w:w="1103" w:type="pct"/>
            <w:shd w:val="clear" w:color="auto" w:fill="auto"/>
            <w:noWrap w:val="0"/>
            <w:vAlign w:val="center"/>
          </w:tcPr>
          <w:p w14:paraId="46BFE239">
            <w:pPr>
              <w:pStyle w:val="52"/>
              <w:rPr>
                <w:rFonts w:hint="eastAsia" w:ascii="宋体" w:hAnsi="宋体" w:eastAsia="宋体" w:cs="宋体"/>
                <w:color w:val="auto"/>
                <w:kern w:val="2"/>
                <w:sz w:val="24"/>
                <w:szCs w:val="24"/>
                <w:highlight w:val="none"/>
                <w:lang w:val="en-US" w:eastAsia="zh-CN" w:bidi="ar-SA"/>
              </w:rPr>
            </w:pPr>
          </w:p>
        </w:tc>
        <w:tc>
          <w:tcPr>
            <w:tcW w:w="2074" w:type="pct"/>
            <w:shd w:val="clear" w:color="auto" w:fill="auto"/>
            <w:noWrap w:val="0"/>
            <w:vAlign w:val="center"/>
          </w:tcPr>
          <w:p w14:paraId="486ABA85">
            <w:pPr>
              <w:pStyle w:val="52"/>
              <w:rPr>
                <w:rFonts w:hint="eastAsia" w:ascii="宋体" w:hAnsi="宋体" w:eastAsia="宋体" w:cs="宋体"/>
                <w:color w:val="auto"/>
                <w:kern w:val="2"/>
                <w:sz w:val="24"/>
                <w:szCs w:val="24"/>
                <w:highlight w:val="none"/>
                <w:lang w:val="en-US" w:eastAsia="zh-CN" w:bidi="ar-SA"/>
              </w:rPr>
            </w:pPr>
          </w:p>
        </w:tc>
        <w:tc>
          <w:tcPr>
            <w:tcW w:w="1083" w:type="pct"/>
            <w:noWrap w:val="0"/>
            <w:vAlign w:val="center"/>
          </w:tcPr>
          <w:p w14:paraId="59491DC1">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p>
        </w:tc>
        <w:tc>
          <w:tcPr>
            <w:tcW w:w="511" w:type="pct"/>
            <w:noWrap w:val="0"/>
            <w:vAlign w:val="center"/>
          </w:tcPr>
          <w:p w14:paraId="1511A2DD">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p>
        </w:tc>
      </w:tr>
      <w:tr w14:paraId="5B874D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2" w:hRule="atLeast"/>
        </w:trPr>
        <w:tc>
          <w:tcPr>
            <w:tcW w:w="226" w:type="pct"/>
            <w:shd w:val="clear" w:color="auto" w:fill="auto"/>
            <w:noWrap w:val="0"/>
            <w:vAlign w:val="center"/>
          </w:tcPr>
          <w:p w14:paraId="12289F6C">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4</w:t>
            </w:r>
          </w:p>
        </w:tc>
        <w:tc>
          <w:tcPr>
            <w:tcW w:w="1103" w:type="pct"/>
            <w:shd w:val="clear" w:color="auto" w:fill="auto"/>
            <w:noWrap w:val="0"/>
            <w:vAlign w:val="center"/>
          </w:tcPr>
          <w:p w14:paraId="1D3E0310">
            <w:pPr>
              <w:pStyle w:val="52"/>
              <w:rPr>
                <w:rFonts w:hint="eastAsia" w:ascii="宋体" w:hAnsi="宋体" w:eastAsia="宋体" w:cs="宋体"/>
                <w:color w:val="auto"/>
                <w:kern w:val="2"/>
                <w:sz w:val="24"/>
                <w:szCs w:val="24"/>
                <w:highlight w:val="none"/>
                <w:lang w:val="en-US" w:eastAsia="zh-CN" w:bidi="ar-SA"/>
              </w:rPr>
            </w:pPr>
          </w:p>
        </w:tc>
        <w:tc>
          <w:tcPr>
            <w:tcW w:w="2074" w:type="pct"/>
            <w:shd w:val="clear" w:color="auto" w:fill="auto"/>
            <w:noWrap w:val="0"/>
            <w:vAlign w:val="center"/>
          </w:tcPr>
          <w:p w14:paraId="281089E1">
            <w:pPr>
              <w:pStyle w:val="52"/>
              <w:rPr>
                <w:rFonts w:hint="eastAsia" w:ascii="宋体" w:hAnsi="宋体" w:eastAsia="宋体" w:cs="宋体"/>
                <w:color w:val="auto"/>
                <w:kern w:val="2"/>
                <w:sz w:val="24"/>
                <w:szCs w:val="24"/>
                <w:highlight w:val="none"/>
                <w:lang w:val="en-US" w:eastAsia="zh-CN" w:bidi="ar-SA"/>
              </w:rPr>
            </w:pPr>
          </w:p>
        </w:tc>
        <w:tc>
          <w:tcPr>
            <w:tcW w:w="1083" w:type="pct"/>
            <w:noWrap w:val="0"/>
            <w:vAlign w:val="center"/>
          </w:tcPr>
          <w:p w14:paraId="6CCA3E71">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p>
        </w:tc>
        <w:tc>
          <w:tcPr>
            <w:tcW w:w="511" w:type="pct"/>
            <w:noWrap w:val="0"/>
            <w:vAlign w:val="center"/>
          </w:tcPr>
          <w:p w14:paraId="0A8FC1EC">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p>
        </w:tc>
      </w:tr>
      <w:tr w14:paraId="70A77A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2" w:hRule="atLeast"/>
        </w:trPr>
        <w:tc>
          <w:tcPr>
            <w:tcW w:w="226" w:type="pct"/>
            <w:shd w:val="clear" w:color="auto" w:fill="auto"/>
            <w:noWrap w:val="0"/>
            <w:vAlign w:val="center"/>
          </w:tcPr>
          <w:p w14:paraId="36B59CD3">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5</w:t>
            </w:r>
          </w:p>
        </w:tc>
        <w:tc>
          <w:tcPr>
            <w:tcW w:w="1103" w:type="pct"/>
            <w:noWrap w:val="0"/>
            <w:vAlign w:val="center"/>
          </w:tcPr>
          <w:p w14:paraId="43A0BEF0">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rPr>
              <w:t>……</w:t>
            </w:r>
          </w:p>
        </w:tc>
        <w:tc>
          <w:tcPr>
            <w:tcW w:w="2074" w:type="pct"/>
            <w:noWrap w:val="0"/>
            <w:vAlign w:val="center"/>
          </w:tcPr>
          <w:p w14:paraId="310F1D1A">
            <w:pPr>
              <w:pStyle w:val="76"/>
              <w:keepNext w:val="0"/>
              <w:keepLines w:val="0"/>
              <w:pageBreakBefore w:val="0"/>
              <w:widowControl w:val="0"/>
              <w:shd w:val="clear" w:color="auto" w:fill="FFFFFF"/>
              <w:kinsoku/>
              <w:wordWrap/>
              <w:overflowPunct/>
              <w:topLinePunct w:val="0"/>
              <w:bidi w:val="0"/>
              <w:adjustRightInd/>
              <w:snapToGrid/>
              <w:spacing w:line="360" w:lineRule="exact"/>
              <w:ind w:firstLine="0" w:firstLineChars="0"/>
              <w:textAlignment w:val="auto"/>
              <w:rPr>
                <w:rFonts w:hint="eastAsia" w:ascii="宋体" w:hAnsi="宋体" w:eastAsia="宋体" w:cs="宋体"/>
                <w:color w:val="auto"/>
                <w:kern w:val="0"/>
                <w:sz w:val="24"/>
                <w:szCs w:val="24"/>
                <w:highlight w:val="none"/>
                <w:lang w:val="en-US" w:eastAsia="zh-CN" w:bidi="ar-SA"/>
              </w:rPr>
            </w:pPr>
          </w:p>
        </w:tc>
        <w:tc>
          <w:tcPr>
            <w:tcW w:w="1083" w:type="pct"/>
            <w:noWrap w:val="0"/>
            <w:vAlign w:val="center"/>
          </w:tcPr>
          <w:p w14:paraId="492A3FE6">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p>
        </w:tc>
        <w:tc>
          <w:tcPr>
            <w:tcW w:w="511" w:type="pct"/>
            <w:noWrap w:val="0"/>
            <w:vAlign w:val="center"/>
          </w:tcPr>
          <w:p w14:paraId="7AFD0B5E">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p>
        </w:tc>
      </w:tr>
      <w:tr w14:paraId="366B35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2" w:hRule="atLeast"/>
        </w:trPr>
        <w:tc>
          <w:tcPr>
            <w:tcW w:w="226" w:type="pct"/>
            <w:shd w:val="clear" w:color="auto" w:fill="auto"/>
            <w:noWrap w:val="0"/>
            <w:vAlign w:val="center"/>
          </w:tcPr>
          <w:p w14:paraId="0C145DE9">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6</w:t>
            </w:r>
          </w:p>
        </w:tc>
        <w:tc>
          <w:tcPr>
            <w:tcW w:w="1103" w:type="pct"/>
            <w:noWrap w:val="0"/>
            <w:vAlign w:val="center"/>
          </w:tcPr>
          <w:p w14:paraId="24DF7F3A">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rPr>
              <w:t>……</w:t>
            </w:r>
          </w:p>
        </w:tc>
        <w:tc>
          <w:tcPr>
            <w:tcW w:w="2074" w:type="pct"/>
            <w:noWrap w:val="0"/>
            <w:vAlign w:val="center"/>
          </w:tcPr>
          <w:p w14:paraId="5482D5FB">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kern w:val="2"/>
                <w:sz w:val="24"/>
                <w:szCs w:val="24"/>
                <w:highlight w:val="none"/>
                <w:lang w:val="en-US" w:eastAsia="zh-CN" w:bidi="ar-SA"/>
              </w:rPr>
            </w:pPr>
          </w:p>
        </w:tc>
        <w:tc>
          <w:tcPr>
            <w:tcW w:w="1083" w:type="pct"/>
            <w:noWrap w:val="0"/>
            <w:vAlign w:val="center"/>
          </w:tcPr>
          <w:p w14:paraId="24D82CE2">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p>
        </w:tc>
        <w:tc>
          <w:tcPr>
            <w:tcW w:w="511" w:type="pct"/>
            <w:noWrap w:val="0"/>
            <w:vAlign w:val="center"/>
          </w:tcPr>
          <w:p w14:paraId="190A3A2D">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p>
        </w:tc>
      </w:tr>
      <w:tr w14:paraId="2E09A3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2" w:hRule="atLeast"/>
        </w:trPr>
        <w:tc>
          <w:tcPr>
            <w:tcW w:w="226" w:type="pct"/>
            <w:shd w:val="clear" w:color="auto" w:fill="auto"/>
            <w:noWrap w:val="0"/>
            <w:vAlign w:val="center"/>
          </w:tcPr>
          <w:p w14:paraId="2F26FC6B">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7</w:t>
            </w:r>
          </w:p>
        </w:tc>
        <w:tc>
          <w:tcPr>
            <w:tcW w:w="1103" w:type="pct"/>
            <w:noWrap w:val="0"/>
            <w:vAlign w:val="center"/>
          </w:tcPr>
          <w:p w14:paraId="7BD1DFF1">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rPr>
              <w:t>……</w:t>
            </w:r>
          </w:p>
        </w:tc>
        <w:tc>
          <w:tcPr>
            <w:tcW w:w="2074" w:type="pct"/>
            <w:noWrap w:val="0"/>
            <w:vAlign w:val="center"/>
          </w:tcPr>
          <w:p w14:paraId="0998D7BE">
            <w:pPr>
              <w:keepNext w:val="0"/>
              <w:keepLines w:val="0"/>
              <w:pageBreakBefore w:val="0"/>
              <w:widowControl w:val="0"/>
              <w:shd w:val="clear" w:color="auto" w:fill="FFFFFF"/>
              <w:kinsoku/>
              <w:wordWrap/>
              <w:overflowPunct/>
              <w:topLinePunct w:val="0"/>
              <w:autoSpaceDE/>
              <w:autoSpaceDN/>
              <w:bidi w:val="0"/>
              <w:adjustRightInd/>
              <w:snapToGrid/>
              <w:spacing w:line="400" w:lineRule="atLeast"/>
              <w:textAlignment w:val="auto"/>
              <w:rPr>
                <w:rFonts w:hint="eastAsia" w:ascii="宋体" w:hAnsi="宋体" w:eastAsia="宋体" w:cs="宋体"/>
                <w:color w:val="auto"/>
                <w:sz w:val="24"/>
                <w:szCs w:val="24"/>
                <w:highlight w:val="none"/>
                <w:lang w:val="en-US" w:eastAsia="zh-CN"/>
              </w:rPr>
            </w:pPr>
          </w:p>
        </w:tc>
        <w:tc>
          <w:tcPr>
            <w:tcW w:w="1083" w:type="pct"/>
            <w:noWrap w:val="0"/>
            <w:vAlign w:val="center"/>
          </w:tcPr>
          <w:p w14:paraId="4CB98610">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p>
        </w:tc>
        <w:tc>
          <w:tcPr>
            <w:tcW w:w="511" w:type="pct"/>
            <w:noWrap w:val="0"/>
            <w:vAlign w:val="center"/>
          </w:tcPr>
          <w:p w14:paraId="015D30C8">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p>
        </w:tc>
      </w:tr>
      <w:tr w14:paraId="5EA1B7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2" w:hRule="atLeast"/>
        </w:trPr>
        <w:tc>
          <w:tcPr>
            <w:tcW w:w="226" w:type="pct"/>
            <w:noWrap w:val="0"/>
            <w:vAlign w:val="center"/>
          </w:tcPr>
          <w:p w14:paraId="4ED2BCC7">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eastAsia="宋体" w:cs="宋体"/>
                <w:color w:val="auto"/>
                <w:sz w:val="24"/>
                <w:szCs w:val="24"/>
                <w:highlight w:val="none"/>
                <w:lang w:val="en-US" w:eastAsia="zh-CN"/>
              </w:rPr>
            </w:pPr>
          </w:p>
        </w:tc>
        <w:tc>
          <w:tcPr>
            <w:tcW w:w="1103" w:type="pct"/>
            <w:shd w:val="clear" w:color="auto" w:fill="auto"/>
            <w:noWrap w:val="0"/>
            <w:vAlign w:val="center"/>
          </w:tcPr>
          <w:p w14:paraId="28BAA9A6">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rPr>
              <w:t>……</w:t>
            </w:r>
          </w:p>
        </w:tc>
        <w:tc>
          <w:tcPr>
            <w:tcW w:w="2074" w:type="pct"/>
            <w:noWrap w:val="0"/>
            <w:vAlign w:val="center"/>
          </w:tcPr>
          <w:p w14:paraId="6246E553">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lang w:eastAsia="zh-CN"/>
              </w:rPr>
            </w:pPr>
          </w:p>
        </w:tc>
        <w:tc>
          <w:tcPr>
            <w:tcW w:w="1083" w:type="pct"/>
            <w:noWrap w:val="0"/>
            <w:vAlign w:val="center"/>
          </w:tcPr>
          <w:p w14:paraId="18530101">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p>
        </w:tc>
        <w:tc>
          <w:tcPr>
            <w:tcW w:w="511" w:type="pct"/>
            <w:noWrap w:val="0"/>
            <w:vAlign w:val="center"/>
          </w:tcPr>
          <w:p w14:paraId="796ECCFA">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eastAsia="宋体" w:cs="宋体"/>
                <w:color w:val="auto"/>
                <w:sz w:val="24"/>
                <w:szCs w:val="24"/>
                <w:highlight w:val="none"/>
              </w:rPr>
            </w:pPr>
          </w:p>
        </w:tc>
      </w:tr>
    </w:tbl>
    <w:p w14:paraId="1BAA11FC">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eastAsia="宋体" w:asciiTheme="majorHAnsi" w:hAnsiTheme="majorHAnsi" w:cstheme="majorBidi"/>
          <w:b/>
          <w:bCs/>
          <w:color w:val="auto"/>
          <w:kern w:val="2"/>
          <w:sz w:val="28"/>
          <w:szCs w:val="28"/>
          <w:highlight w:val="none"/>
          <w:lang w:val="en-US" w:eastAsia="zh-CN" w:bidi="ar-SA"/>
        </w:rPr>
      </w:pPr>
    </w:p>
    <w:p w14:paraId="61F3D6B1">
      <w:pPr>
        <w:keepNext w:val="0"/>
        <w:keepLines w:val="0"/>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outlineLvl w:val="9"/>
        <w:rPr>
          <w:rFonts w:hint="eastAsia" w:cstheme="majorBidi"/>
          <w:b/>
          <w:bCs/>
          <w:color w:val="auto"/>
          <w:kern w:val="2"/>
          <w:sz w:val="32"/>
          <w:szCs w:val="32"/>
          <w:highlight w:val="none"/>
          <w:lang w:val="en-US" w:eastAsia="zh-CN" w:bidi="ar-SA"/>
        </w:rPr>
      </w:pPr>
    </w:p>
    <w:p w14:paraId="01639337">
      <w:pPr>
        <w:keepNext w:val="0"/>
        <w:keepLines w:val="0"/>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outlineLvl w:val="9"/>
        <w:rPr>
          <w:rFonts w:hint="eastAsia" w:cstheme="majorBidi"/>
          <w:b/>
          <w:bCs/>
          <w:color w:val="auto"/>
          <w:kern w:val="2"/>
          <w:sz w:val="32"/>
          <w:szCs w:val="32"/>
          <w:highlight w:val="none"/>
          <w:lang w:val="en-US" w:eastAsia="zh-CN" w:bidi="ar-SA"/>
        </w:rPr>
      </w:pPr>
    </w:p>
    <w:p w14:paraId="626EF50E">
      <w:pPr>
        <w:pStyle w:val="3"/>
        <w:bidi w:val="0"/>
        <w:jc w:val="center"/>
        <w:rPr>
          <w:rFonts w:hint="eastAsia"/>
          <w:lang w:val="en-US" w:eastAsia="zh-CN"/>
        </w:rPr>
      </w:pPr>
      <w:bookmarkStart w:id="660" w:name="_Toc26965"/>
      <w:r>
        <w:rPr>
          <w:rFonts w:hint="eastAsia"/>
          <w:lang w:val="en-US" w:eastAsia="zh-CN"/>
        </w:rPr>
        <w:t>六、商务响应偏离表</w:t>
      </w:r>
      <w:bookmarkEnd w:id="660"/>
    </w:p>
    <w:p w14:paraId="21AF32D6">
      <w:pPr>
        <w:rPr>
          <w:rFonts w:cs="仿宋_GB2312"/>
          <w:color w:val="auto"/>
          <w:szCs w:val="24"/>
          <w:highlight w:val="none"/>
        </w:rPr>
      </w:pPr>
      <w:r>
        <w:rPr>
          <w:rFonts w:hint="eastAsia" w:cs="仿宋_GB2312"/>
          <w:color w:val="auto"/>
          <w:szCs w:val="24"/>
          <w:highlight w:val="none"/>
        </w:rPr>
        <w:t xml:space="preserve">项目名称：                                         </w:t>
      </w:r>
    </w:p>
    <w:p w14:paraId="0424C095">
      <w:pPr>
        <w:rPr>
          <w:rFonts w:cs="仿宋_GB2312"/>
          <w:color w:val="auto"/>
          <w:szCs w:val="24"/>
          <w:highlight w:val="none"/>
        </w:rPr>
      </w:pPr>
      <w:r>
        <w:rPr>
          <w:rFonts w:hint="eastAsia" w:cs="仿宋_GB2312"/>
          <w:color w:val="auto"/>
          <w:szCs w:val="24"/>
          <w:highlight w:val="none"/>
        </w:rPr>
        <w:t>项目编号</w:t>
      </w:r>
      <w:r>
        <w:rPr>
          <w:rFonts w:hint="eastAsia"/>
          <w:b w:val="0"/>
          <w:bCs/>
          <w:color w:val="auto"/>
          <w:szCs w:val="21"/>
          <w:highlight w:val="none"/>
          <w:lang w:val="en-US" w:eastAsia="zh-CN"/>
        </w:rPr>
        <w:t>/</w:t>
      </w:r>
      <w:r>
        <w:rPr>
          <w:rFonts w:hint="eastAsia"/>
          <w:b w:val="0"/>
          <w:bCs/>
          <w:color w:val="auto"/>
          <w:szCs w:val="21"/>
          <w:highlight w:val="none"/>
          <w:lang w:val="zh-CN"/>
        </w:rPr>
        <w:t>包号</w:t>
      </w:r>
      <w:r>
        <w:rPr>
          <w:rFonts w:hint="eastAsia" w:cs="仿宋_GB2312"/>
          <w:color w:val="auto"/>
          <w:szCs w:val="24"/>
          <w:highlight w:val="none"/>
        </w:rPr>
        <w:t xml:space="preserve">：        </w:t>
      </w:r>
    </w:p>
    <w:tbl>
      <w:tblPr>
        <w:tblStyle w:val="31"/>
        <w:tblW w:w="5032"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1"/>
        <w:gridCol w:w="2394"/>
        <w:gridCol w:w="1720"/>
        <w:gridCol w:w="1871"/>
        <w:gridCol w:w="1871"/>
      </w:tblGrid>
      <w:tr w14:paraId="16BE78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trPr>
        <w:tc>
          <w:tcPr>
            <w:tcW w:w="420" w:type="pct"/>
            <w:vAlign w:val="center"/>
          </w:tcPr>
          <w:p w14:paraId="1A4BE3A9">
            <w:pPr>
              <w:pStyle w:val="52"/>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1395" w:type="pct"/>
            <w:vAlign w:val="center"/>
          </w:tcPr>
          <w:p w14:paraId="7CB83CD6">
            <w:pPr>
              <w:pStyle w:val="52"/>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招标文件的商务条款</w:t>
            </w:r>
          </w:p>
        </w:tc>
        <w:tc>
          <w:tcPr>
            <w:tcW w:w="1002" w:type="pct"/>
            <w:vAlign w:val="center"/>
          </w:tcPr>
          <w:p w14:paraId="55A47B57">
            <w:pPr>
              <w:pStyle w:val="52"/>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投标文件的响应内容</w:t>
            </w:r>
          </w:p>
        </w:tc>
        <w:tc>
          <w:tcPr>
            <w:tcW w:w="1090" w:type="pct"/>
            <w:vAlign w:val="center"/>
          </w:tcPr>
          <w:p w14:paraId="2572E859">
            <w:pPr>
              <w:pStyle w:val="52"/>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响应情况</w:t>
            </w:r>
          </w:p>
        </w:tc>
        <w:tc>
          <w:tcPr>
            <w:tcW w:w="1090" w:type="pct"/>
            <w:vAlign w:val="center"/>
          </w:tcPr>
          <w:p w14:paraId="7884F206">
            <w:pPr>
              <w:pStyle w:val="52"/>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说明及索引</w:t>
            </w:r>
          </w:p>
        </w:tc>
      </w:tr>
      <w:tr w14:paraId="07285B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0156411A">
            <w:pPr>
              <w:pStyle w:val="52"/>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395" w:type="pct"/>
            <w:vAlign w:val="center"/>
          </w:tcPr>
          <w:p w14:paraId="34566CA0">
            <w:pPr>
              <w:pStyle w:val="52"/>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02" w:type="pct"/>
            <w:vAlign w:val="center"/>
          </w:tcPr>
          <w:p w14:paraId="1C6482B4">
            <w:pPr>
              <w:pStyle w:val="52"/>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90" w:type="pct"/>
            <w:vAlign w:val="center"/>
          </w:tcPr>
          <w:p w14:paraId="1BBD0417">
            <w:pPr>
              <w:pStyle w:val="52"/>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响应/偏离</w:t>
            </w:r>
          </w:p>
        </w:tc>
        <w:tc>
          <w:tcPr>
            <w:tcW w:w="1090" w:type="pct"/>
            <w:vAlign w:val="center"/>
          </w:tcPr>
          <w:p w14:paraId="1A90E39C">
            <w:pPr>
              <w:pStyle w:val="52"/>
              <w:jc w:val="center"/>
              <w:rPr>
                <w:rFonts w:hint="eastAsia" w:ascii="宋体" w:hAnsi="宋体" w:eastAsia="宋体" w:cs="宋体"/>
                <w:color w:val="auto"/>
                <w:sz w:val="21"/>
                <w:szCs w:val="21"/>
                <w:highlight w:val="none"/>
              </w:rPr>
            </w:pPr>
          </w:p>
        </w:tc>
      </w:tr>
      <w:tr w14:paraId="7C8328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05821036">
            <w:pPr>
              <w:pStyle w:val="52"/>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1395" w:type="pct"/>
            <w:vAlign w:val="center"/>
          </w:tcPr>
          <w:p w14:paraId="2A717A55">
            <w:pPr>
              <w:pStyle w:val="52"/>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02" w:type="pct"/>
            <w:vAlign w:val="center"/>
          </w:tcPr>
          <w:p w14:paraId="20EC7575">
            <w:pPr>
              <w:pStyle w:val="52"/>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90" w:type="pct"/>
            <w:vAlign w:val="center"/>
          </w:tcPr>
          <w:p w14:paraId="5923E58D">
            <w:pPr>
              <w:pStyle w:val="52"/>
              <w:jc w:val="center"/>
              <w:rPr>
                <w:rFonts w:hint="eastAsia" w:ascii="宋体" w:hAnsi="宋体" w:eastAsia="宋体" w:cs="宋体"/>
                <w:color w:val="auto"/>
                <w:sz w:val="21"/>
                <w:szCs w:val="21"/>
                <w:highlight w:val="none"/>
              </w:rPr>
            </w:pPr>
          </w:p>
        </w:tc>
        <w:tc>
          <w:tcPr>
            <w:tcW w:w="1090" w:type="pct"/>
            <w:vAlign w:val="center"/>
          </w:tcPr>
          <w:p w14:paraId="59C2C317">
            <w:pPr>
              <w:pStyle w:val="52"/>
              <w:jc w:val="center"/>
              <w:rPr>
                <w:rFonts w:hint="eastAsia" w:ascii="宋体" w:hAnsi="宋体" w:eastAsia="宋体" w:cs="宋体"/>
                <w:color w:val="auto"/>
                <w:sz w:val="21"/>
                <w:szCs w:val="21"/>
                <w:highlight w:val="none"/>
              </w:rPr>
            </w:pPr>
          </w:p>
        </w:tc>
      </w:tr>
      <w:tr w14:paraId="643538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6D563CA4">
            <w:pPr>
              <w:pStyle w:val="52"/>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p>
        </w:tc>
        <w:tc>
          <w:tcPr>
            <w:tcW w:w="1395" w:type="pct"/>
            <w:vAlign w:val="center"/>
          </w:tcPr>
          <w:p w14:paraId="595245DB">
            <w:pPr>
              <w:pStyle w:val="52"/>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02" w:type="pct"/>
            <w:vAlign w:val="center"/>
          </w:tcPr>
          <w:p w14:paraId="0A16B4B6">
            <w:pPr>
              <w:pStyle w:val="52"/>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90" w:type="pct"/>
            <w:vAlign w:val="center"/>
          </w:tcPr>
          <w:p w14:paraId="58535F72">
            <w:pPr>
              <w:pStyle w:val="52"/>
              <w:jc w:val="center"/>
              <w:rPr>
                <w:rFonts w:hint="eastAsia" w:ascii="宋体" w:hAnsi="宋体" w:eastAsia="宋体" w:cs="宋体"/>
                <w:color w:val="auto"/>
                <w:sz w:val="21"/>
                <w:szCs w:val="21"/>
                <w:highlight w:val="none"/>
              </w:rPr>
            </w:pPr>
          </w:p>
        </w:tc>
        <w:tc>
          <w:tcPr>
            <w:tcW w:w="1090" w:type="pct"/>
            <w:vAlign w:val="center"/>
          </w:tcPr>
          <w:p w14:paraId="50AB520B">
            <w:pPr>
              <w:pStyle w:val="52"/>
              <w:jc w:val="center"/>
              <w:rPr>
                <w:rFonts w:hint="eastAsia" w:ascii="宋体" w:hAnsi="宋体" w:eastAsia="宋体" w:cs="宋体"/>
                <w:color w:val="auto"/>
                <w:sz w:val="21"/>
                <w:szCs w:val="21"/>
                <w:highlight w:val="none"/>
              </w:rPr>
            </w:pPr>
          </w:p>
        </w:tc>
      </w:tr>
      <w:tr w14:paraId="669EA1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74127D5E">
            <w:pPr>
              <w:pStyle w:val="52"/>
              <w:jc w:val="center"/>
              <w:rPr>
                <w:rFonts w:hint="eastAsia" w:ascii="宋体" w:hAnsi="宋体" w:eastAsia="宋体" w:cs="宋体"/>
                <w:color w:val="auto"/>
                <w:sz w:val="21"/>
                <w:szCs w:val="21"/>
                <w:highlight w:val="none"/>
              </w:rPr>
            </w:pPr>
          </w:p>
        </w:tc>
        <w:tc>
          <w:tcPr>
            <w:tcW w:w="1395" w:type="pct"/>
            <w:vAlign w:val="center"/>
          </w:tcPr>
          <w:p w14:paraId="14968038">
            <w:pPr>
              <w:pStyle w:val="52"/>
              <w:jc w:val="center"/>
              <w:rPr>
                <w:rFonts w:hint="eastAsia" w:ascii="宋体" w:hAnsi="宋体" w:eastAsia="宋体" w:cs="宋体"/>
                <w:color w:val="auto"/>
                <w:sz w:val="21"/>
                <w:szCs w:val="21"/>
                <w:highlight w:val="none"/>
              </w:rPr>
            </w:pPr>
          </w:p>
        </w:tc>
        <w:tc>
          <w:tcPr>
            <w:tcW w:w="1002" w:type="pct"/>
            <w:vAlign w:val="center"/>
          </w:tcPr>
          <w:p w14:paraId="10A6B59E">
            <w:pPr>
              <w:pStyle w:val="52"/>
              <w:jc w:val="center"/>
              <w:rPr>
                <w:rFonts w:hint="eastAsia" w:ascii="宋体" w:hAnsi="宋体" w:eastAsia="宋体" w:cs="宋体"/>
                <w:color w:val="auto"/>
                <w:sz w:val="21"/>
                <w:szCs w:val="21"/>
                <w:highlight w:val="none"/>
              </w:rPr>
            </w:pPr>
          </w:p>
        </w:tc>
        <w:tc>
          <w:tcPr>
            <w:tcW w:w="1090" w:type="pct"/>
            <w:vAlign w:val="center"/>
          </w:tcPr>
          <w:p w14:paraId="61702DF6">
            <w:pPr>
              <w:pStyle w:val="52"/>
              <w:jc w:val="center"/>
              <w:rPr>
                <w:rFonts w:hint="eastAsia" w:ascii="宋体" w:hAnsi="宋体" w:eastAsia="宋体" w:cs="宋体"/>
                <w:color w:val="auto"/>
                <w:sz w:val="21"/>
                <w:szCs w:val="21"/>
                <w:highlight w:val="none"/>
              </w:rPr>
            </w:pPr>
          </w:p>
        </w:tc>
        <w:tc>
          <w:tcPr>
            <w:tcW w:w="1090" w:type="pct"/>
            <w:vAlign w:val="center"/>
          </w:tcPr>
          <w:p w14:paraId="0CC18FC2">
            <w:pPr>
              <w:pStyle w:val="52"/>
              <w:jc w:val="center"/>
              <w:rPr>
                <w:rFonts w:hint="eastAsia" w:ascii="宋体" w:hAnsi="宋体" w:eastAsia="宋体" w:cs="宋体"/>
                <w:color w:val="auto"/>
                <w:sz w:val="21"/>
                <w:szCs w:val="21"/>
                <w:highlight w:val="none"/>
              </w:rPr>
            </w:pPr>
          </w:p>
        </w:tc>
      </w:tr>
      <w:tr w14:paraId="57F341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4561F269">
            <w:pPr>
              <w:pStyle w:val="52"/>
              <w:jc w:val="center"/>
              <w:rPr>
                <w:rFonts w:hint="eastAsia" w:ascii="宋体" w:hAnsi="宋体" w:eastAsia="宋体" w:cs="宋体"/>
                <w:color w:val="auto"/>
                <w:sz w:val="21"/>
                <w:szCs w:val="21"/>
                <w:highlight w:val="none"/>
              </w:rPr>
            </w:pPr>
          </w:p>
        </w:tc>
        <w:tc>
          <w:tcPr>
            <w:tcW w:w="1395" w:type="pct"/>
            <w:vAlign w:val="center"/>
          </w:tcPr>
          <w:p w14:paraId="5DDD9937">
            <w:pPr>
              <w:pStyle w:val="52"/>
              <w:jc w:val="center"/>
              <w:rPr>
                <w:rFonts w:hint="eastAsia" w:ascii="宋体" w:hAnsi="宋体" w:eastAsia="宋体" w:cs="宋体"/>
                <w:color w:val="auto"/>
                <w:sz w:val="21"/>
                <w:szCs w:val="21"/>
                <w:highlight w:val="none"/>
              </w:rPr>
            </w:pPr>
          </w:p>
        </w:tc>
        <w:tc>
          <w:tcPr>
            <w:tcW w:w="1002" w:type="pct"/>
            <w:vAlign w:val="center"/>
          </w:tcPr>
          <w:p w14:paraId="0B29A018">
            <w:pPr>
              <w:pStyle w:val="52"/>
              <w:jc w:val="center"/>
              <w:rPr>
                <w:rFonts w:hint="eastAsia" w:ascii="宋体" w:hAnsi="宋体" w:eastAsia="宋体" w:cs="宋体"/>
                <w:color w:val="auto"/>
                <w:sz w:val="21"/>
                <w:szCs w:val="21"/>
                <w:highlight w:val="none"/>
              </w:rPr>
            </w:pPr>
          </w:p>
        </w:tc>
        <w:tc>
          <w:tcPr>
            <w:tcW w:w="1090" w:type="pct"/>
            <w:vAlign w:val="center"/>
          </w:tcPr>
          <w:p w14:paraId="1FA693DE">
            <w:pPr>
              <w:pStyle w:val="52"/>
              <w:jc w:val="center"/>
              <w:rPr>
                <w:rFonts w:hint="eastAsia" w:ascii="宋体" w:hAnsi="宋体" w:eastAsia="宋体" w:cs="宋体"/>
                <w:color w:val="auto"/>
                <w:sz w:val="21"/>
                <w:szCs w:val="21"/>
                <w:highlight w:val="none"/>
              </w:rPr>
            </w:pPr>
          </w:p>
        </w:tc>
        <w:tc>
          <w:tcPr>
            <w:tcW w:w="1090" w:type="pct"/>
            <w:vAlign w:val="center"/>
          </w:tcPr>
          <w:p w14:paraId="3D633AB6">
            <w:pPr>
              <w:pStyle w:val="52"/>
              <w:jc w:val="center"/>
              <w:rPr>
                <w:rFonts w:hint="eastAsia" w:ascii="宋体" w:hAnsi="宋体" w:eastAsia="宋体" w:cs="宋体"/>
                <w:color w:val="auto"/>
                <w:sz w:val="21"/>
                <w:szCs w:val="21"/>
                <w:highlight w:val="none"/>
              </w:rPr>
            </w:pPr>
          </w:p>
        </w:tc>
      </w:tr>
      <w:tr w14:paraId="124497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59A5171A">
            <w:pPr>
              <w:pStyle w:val="52"/>
              <w:jc w:val="center"/>
              <w:rPr>
                <w:rFonts w:hint="eastAsia" w:ascii="宋体" w:hAnsi="宋体" w:eastAsia="宋体" w:cs="宋体"/>
                <w:color w:val="auto"/>
                <w:sz w:val="21"/>
                <w:szCs w:val="21"/>
                <w:highlight w:val="none"/>
              </w:rPr>
            </w:pPr>
          </w:p>
        </w:tc>
        <w:tc>
          <w:tcPr>
            <w:tcW w:w="1395" w:type="pct"/>
            <w:vAlign w:val="center"/>
          </w:tcPr>
          <w:p w14:paraId="014A297F">
            <w:pPr>
              <w:pStyle w:val="52"/>
              <w:jc w:val="center"/>
              <w:rPr>
                <w:rFonts w:hint="eastAsia" w:ascii="宋体" w:hAnsi="宋体" w:eastAsia="宋体" w:cs="宋体"/>
                <w:color w:val="auto"/>
                <w:sz w:val="21"/>
                <w:szCs w:val="21"/>
                <w:highlight w:val="none"/>
              </w:rPr>
            </w:pPr>
          </w:p>
        </w:tc>
        <w:tc>
          <w:tcPr>
            <w:tcW w:w="1002" w:type="pct"/>
            <w:vAlign w:val="center"/>
          </w:tcPr>
          <w:p w14:paraId="51467013">
            <w:pPr>
              <w:pStyle w:val="52"/>
              <w:jc w:val="center"/>
              <w:rPr>
                <w:rFonts w:hint="eastAsia" w:ascii="宋体" w:hAnsi="宋体" w:eastAsia="宋体" w:cs="宋体"/>
                <w:color w:val="auto"/>
                <w:sz w:val="21"/>
                <w:szCs w:val="21"/>
                <w:highlight w:val="none"/>
              </w:rPr>
            </w:pPr>
          </w:p>
        </w:tc>
        <w:tc>
          <w:tcPr>
            <w:tcW w:w="1090" w:type="pct"/>
            <w:vAlign w:val="center"/>
          </w:tcPr>
          <w:p w14:paraId="011E40CA">
            <w:pPr>
              <w:pStyle w:val="52"/>
              <w:jc w:val="center"/>
              <w:rPr>
                <w:rFonts w:hint="eastAsia" w:ascii="宋体" w:hAnsi="宋体" w:eastAsia="宋体" w:cs="宋体"/>
                <w:color w:val="auto"/>
                <w:sz w:val="21"/>
                <w:szCs w:val="21"/>
                <w:highlight w:val="none"/>
              </w:rPr>
            </w:pPr>
          </w:p>
        </w:tc>
        <w:tc>
          <w:tcPr>
            <w:tcW w:w="1090" w:type="pct"/>
            <w:vAlign w:val="center"/>
          </w:tcPr>
          <w:p w14:paraId="7062C313">
            <w:pPr>
              <w:pStyle w:val="52"/>
              <w:jc w:val="center"/>
              <w:rPr>
                <w:rFonts w:hint="eastAsia" w:ascii="宋体" w:hAnsi="宋体" w:eastAsia="宋体" w:cs="宋体"/>
                <w:color w:val="auto"/>
                <w:sz w:val="21"/>
                <w:szCs w:val="21"/>
                <w:highlight w:val="none"/>
              </w:rPr>
            </w:pPr>
          </w:p>
        </w:tc>
      </w:tr>
      <w:tr w14:paraId="7994B6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30B6F410">
            <w:pPr>
              <w:pStyle w:val="52"/>
              <w:jc w:val="center"/>
              <w:rPr>
                <w:rFonts w:hint="eastAsia" w:ascii="宋体" w:hAnsi="宋体" w:eastAsia="宋体" w:cs="宋体"/>
                <w:color w:val="auto"/>
                <w:sz w:val="21"/>
                <w:szCs w:val="21"/>
                <w:highlight w:val="none"/>
              </w:rPr>
            </w:pPr>
          </w:p>
        </w:tc>
        <w:tc>
          <w:tcPr>
            <w:tcW w:w="1395" w:type="pct"/>
            <w:vAlign w:val="center"/>
          </w:tcPr>
          <w:p w14:paraId="010A1BB0">
            <w:pPr>
              <w:pStyle w:val="52"/>
              <w:jc w:val="center"/>
              <w:rPr>
                <w:rFonts w:hint="eastAsia" w:ascii="宋体" w:hAnsi="宋体" w:eastAsia="宋体" w:cs="宋体"/>
                <w:color w:val="auto"/>
                <w:sz w:val="21"/>
                <w:szCs w:val="21"/>
                <w:highlight w:val="none"/>
              </w:rPr>
            </w:pPr>
          </w:p>
        </w:tc>
        <w:tc>
          <w:tcPr>
            <w:tcW w:w="1002" w:type="pct"/>
            <w:vAlign w:val="center"/>
          </w:tcPr>
          <w:p w14:paraId="1EE22C75">
            <w:pPr>
              <w:pStyle w:val="52"/>
              <w:jc w:val="center"/>
              <w:rPr>
                <w:rFonts w:hint="eastAsia" w:ascii="宋体" w:hAnsi="宋体" w:eastAsia="宋体" w:cs="宋体"/>
                <w:color w:val="auto"/>
                <w:sz w:val="21"/>
                <w:szCs w:val="21"/>
                <w:highlight w:val="none"/>
              </w:rPr>
            </w:pPr>
          </w:p>
        </w:tc>
        <w:tc>
          <w:tcPr>
            <w:tcW w:w="1090" w:type="pct"/>
            <w:vAlign w:val="center"/>
          </w:tcPr>
          <w:p w14:paraId="3C86F2CC">
            <w:pPr>
              <w:pStyle w:val="52"/>
              <w:jc w:val="center"/>
              <w:rPr>
                <w:rFonts w:hint="eastAsia" w:ascii="宋体" w:hAnsi="宋体" w:eastAsia="宋体" w:cs="宋体"/>
                <w:color w:val="auto"/>
                <w:sz w:val="21"/>
                <w:szCs w:val="21"/>
                <w:highlight w:val="none"/>
              </w:rPr>
            </w:pPr>
          </w:p>
        </w:tc>
        <w:tc>
          <w:tcPr>
            <w:tcW w:w="1090" w:type="pct"/>
            <w:vAlign w:val="center"/>
          </w:tcPr>
          <w:p w14:paraId="515EA04E">
            <w:pPr>
              <w:pStyle w:val="52"/>
              <w:jc w:val="center"/>
              <w:rPr>
                <w:rFonts w:hint="eastAsia" w:ascii="宋体" w:hAnsi="宋体" w:eastAsia="宋体" w:cs="宋体"/>
                <w:color w:val="auto"/>
                <w:sz w:val="21"/>
                <w:szCs w:val="21"/>
                <w:highlight w:val="none"/>
              </w:rPr>
            </w:pPr>
          </w:p>
        </w:tc>
      </w:tr>
      <w:tr w14:paraId="2D75C7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37EFA1E0">
            <w:pPr>
              <w:pStyle w:val="52"/>
              <w:jc w:val="center"/>
              <w:rPr>
                <w:rFonts w:hint="eastAsia" w:ascii="宋体" w:hAnsi="宋体" w:eastAsia="宋体" w:cs="宋体"/>
                <w:color w:val="auto"/>
                <w:sz w:val="21"/>
                <w:szCs w:val="21"/>
                <w:highlight w:val="none"/>
              </w:rPr>
            </w:pPr>
          </w:p>
        </w:tc>
        <w:tc>
          <w:tcPr>
            <w:tcW w:w="1395" w:type="pct"/>
            <w:vAlign w:val="center"/>
          </w:tcPr>
          <w:p w14:paraId="1C7A6406">
            <w:pPr>
              <w:pStyle w:val="52"/>
              <w:jc w:val="center"/>
              <w:rPr>
                <w:rFonts w:hint="eastAsia" w:ascii="宋体" w:hAnsi="宋体" w:eastAsia="宋体" w:cs="宋体"/>
                <w:color w:val="auto"/>
                <w:sz w:val="21"/>
                <w:szCs w:val="21"/>
                <w:highlight w:val="none"/>
              </w:rPr>
            </w:pPr>
          </w:p>
        </w:tc>
        <w:tc>
          <w:tcPr>
            <w:tcW w:w="1002" w:type="pct"/>
            <w:vAlign w:val="center"/>
          </w:tcPr>
          <w:p w14:paraId="7F774DAF">
            <w:pPr>
              <w:pStyle w:val="52"/>
              <w:jc w:val="center"/>
              <w:rPr>
                <w:rFonts w:hint="eastAsia" w:ascii="宋体" w:hAnsi="宋体" w:eastAsia="宋体" w:cs="宋体"/>
                <w:color w:val="auto"/>
                <w:sz w:val="21"/>
                <w:szCs w:val="21"/>
                <w:highlight w:val="none"/>
              </w:rPr>
            </w:pPr>
          </w:p>
        </w:tc>
        <w:tc>
          <w:tcPr>
            <w:tcW w:w="1090" w:type="pct"/>
            <w:vAlign w:val="center"/>
          </w:tcPr>
          <w:p w14:paraId="66A55C54">
            <w:pPr>
              <w:pStyle w:val="52"/>
              <w:jc w:val="center"/>
              <w:rPr>
                <w:rFonts w:hint="eastAsia" w:ascii="宋体" w:hAnsi="宋体" w:eastAsia="宋体" w:cs="宋体"/>
                <w:color w:val="auto"/>
                <w:sz w:val="21"/>
                <w:szCs w:val="21"/>
                <w:highlight w:val="none"/>
              </w:rPr>
            </w:pPr>
          </w:p>
        </w:tc>
        <w:tc>
          <w:tcPr>
            <w:tcW w:w="1090" w:type="pct"/>
            <w:vAlign w:val="center"/>
          </w:tcPr>
          <w:p w14:paraId="6FC3A7DB">
            <w:pPr>
              <w:pStyle w:val="52"/>
              <w:jc w:val="center"/>
              <w:rPr>
                <w:rFonts w:hint="eastAsia" w:ascii="宋体" w:hAnsi="宋体" w:eastAsia="宋体" w:cs="宋体"/>
                <w:color w:val="auto"/>
                <w:sz w:val="21"/>
                <w:szCs w:val="21"/>
                <w:highlight w:val="none"/>
              </w:rPr>
            </w:pPr>
          </w:p>
        </w:tc>
      </w:tr>
      <w:tr w14:paraId="2B937A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3D84A230">
            <w:pPr>
              <w:pStyle w:val="52"/>
              <w:jc w:val="center"/>
              <w:rPr>
                <w:rFonts w:hint="eastAsia" w:ascii="宋体" w:hAnsi="宋体" w:eastAsia="宋体" w:cs="宋体"/>
                <w:color w:val="auto"/>
                <w:sz w:val="21"/>
                <w:szCs w:val="21"/>
                <w:highlight w:val="none"/>
              </w:rPr>
            </w:pPr>
          </w:p>
        </w:tc>
        <w:tc>
          <w:tcPr>
            <w:tcW w:w="1395" w:type="pct"/>
            <w:vAlign w:val="center"/>
          </w:tcPr>
          <w:p w14:paraId="5A1690B5">
            <w:pPr>
              <w:pStyle w:val="52"/>
              <w:jc w:val="center"/>
              <w:rPr>
                <w:rFonts w:hint="eastAsia" w:ascii="宋体" w:hAnsi="宋体" w:eastAsia="宋体" w:cs="宋体"/>
                <w:color w:val="auto"/>
                <w:sz w:val="21"/>
                <w:szCs w:val="21"/>
                <w:highlight w:val="none"/>
              </w:rPr>
            </w:pPr>
          </w:p>
        </w:tc>
        <w:tc>
          <w:tcPr>
            <w:tcW w:w="1002" w:type="pct"/>
            <w:vAlign w:val="center"/>
          </w:tcPr>
          <w:p w14:paraId="735418C2">
            <w:pPr>
              <w:pStyle w:val="52"/>
              <w:jc w:val="center"/>
              <w:rPr>
                <w:rFonts w:hint="eastAsia" w:ascii="宋体" w:hAnsi="宋体" w:eastAsia="宋体" w:cs="宋体"/>
                <w:color w:val="auto"/>
                <w:sz w:val="21"/>
                <w:szCs w:val="21"/>
                <w:highlight w:val="none"/>
              </w:rPr>
            </w:pPr>
          </w:p>
        </w:tc>
        <w:tc>
          <w:tcPr>
            <w:tcW w:w="1090" w:type="pct"/>
            <w:vAlign w:val="center"/>
          </w:tcPr>
          <w:p w14:paraId="13F6671D">
            <w:pPr>
              <w:pStyle w:val="52"/>
              <w:jc w:val="center"/>
              <w:rPr>
                <w:rFonts w:hint="eastAsia" w:ascii="宋体" w:hAnsi="宋体" w:eastAsia="宋体" w:cs="宋体"/>
                <w:color w:val="auto"/>
                <w:sz w:val="21"/>
                <w:szCs w:val="21"/>
                <w:highlight w:val="none"/>
              </w:rPr>
            </w:pPr>
          </w:p>
        </w:tc>
        <w:tc>
          <w:tcPr>
            <w:tcW w:w="1090" w:type="pct"/>
            <w:vAlign w:val="center"/>
          </w:tcPr>
          <w:p w14:paraId="3DC0B3BB">
            <w:pPr>
              <w:pStyle w:val="52"/>
              <w:jc w:val="center"/>
              <w:rPr>
                <w:rFonts w:hint="eastAsia" w:ascii="宋体" w:hAnsi="宋体" w:eastAsia="宋体" w:cs="宋体"/>
                <w:color w:val="auto"/>
                <w:sz w:val="21"/>
                <w:szCs w:val="21"/>
                <w:highlight w:val="none"/>
              </w:rPr>
            </w:pPr>
          </w:p>
        </w:tc>
      </w:tr>
      <w:tr w14:paraId="23E041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01109CF1">
            <w:pPr>
              <w:pStyle w:val="52"/>
              <w:jc w:val="center"/>
              <w:rPr>
                <w:rFonts w:hint="eastAsia" w:ascii="宋体" w:hAnsi="宋体" w:eastAsia="宋体" w:cs="宋体"/>
                <w:color w:val="auto"/>
                <w:sz w:val="21"/>
                <w:szCs w:val="21"/>
                <w:highlight w:val="none"/>
              </w:rPr>
            </w:pPr>
          </w:p>
        </w:tc>
        <w:tc>
          <w:tcPr>
            <w:tcW w:w="1395" w:type="pct"/>
            <w:vAlign w:val="center"/>
          </w:tcPr>
          <w:p w14:paraId="4E1F25E0">
            <w:pPr>
              <w:pStyle w:val="52"/>
              <w:jc w:val="center"/>
              <w:rPr>
                <w:rFonts w:hint="eastAsia" w:ascii="宋体" w:hAnsi="宋体" w:eastAsia="宋体" w:cs="宋体"/>
                <w:color w:val="auto"/>
                <w:sz w:val="21"/>
                <w:szCs w:val="21"/>
                <w:highlight w:val="none"/>
              </w:rPr>
            </w:pPr>
          </w:p>
        </w:tc>
        <w:tc>
          <w:tcPr>
            <w:tcW w:w="1002" w:type="pct"/>
            <w:vAlign w:val="center"/>
          </w:tcPr>
          <w:p w14:paraId="4F1707F4">
            <w:pPr>
              <w:pStyle w:val="52"/>
              <w:jc w:val="center"/>
              <w:rPr>
                <w:rFonts w:hint="eastAsia" w:ascii="宋体" w:hAnsi="宋体" w:eastAsia="宋体" w:cs="宋体"/>
                <w:color w:val="auto"/>
                <w:sz w:val="21"/>
                <w:szCs w:val="21"/>
                <w:highlight w:val="none"/>
              </w:rPr>
            </w:pPr>
          </w:p>
        </w:tc>
        <w:tc>
          <w:tcPr>
            <w:tcW w:w="1090" w:type="pct"/>
            <w:vAlign w:val="center"/>
          </w:tcPr>
          <w:p w14:paraId="59E61A3B">
            <w:pPr>
              <w:pStyle w:val="52"/>
              <w:jc w:val="center"/>
              <w:rPr>
                <w:rFonts w:hint="eastAsia" w:ascii="宋体" w:hAnsi="宋体" w:eastAsia="宋体" w:cs="宋体"/>
                <w:color w:val="auto"/>
                <w:sz w:val="21"/>
                <w:szCs w:val="21"/>
                <w:highlight w:val="none"/>
              </w:rPr>
            </w:pPr>
          </w:p>
        </w:tc>
        <w:tc>
          <w:tcPr>
            <w:tcW w:w="1090" w:type="pct"/>
            <w:vAlign w:val="center"/>
          </w:tcPr>
          <w:p w14:paraId="33E07ECA">
            <w:pPr>
              <w:pStyle w:val="52"/>
              <w:jc w:val="center"/>
              <w:rPr>
                <w:rFonts w:hint="eastAsia" w:ascii="宋体" w:hAnsi="宋体" w:eastAsia="宋体" w:cs="宋体"/>
                <w:color w:val="auto"/>
                <w:sz w:val="21"/>
                <w:szCs w:val="21"/>
                <w:highlight w:val="none"/>
              </w:rPr>
            </w:pPr>
          </w:p>
        </w:tc>
      </w:tr>
      <w:tr w14:paraId="6B929A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71CB3DA8">
            <w:pPr>
              <w:pStyle w:val="52"/>
              <w:jc w:val="center"/>
              <w:rPr>
                <w:rFonts w:hint="eastAsia" w:ascii="宋体" w:hAnsi="宋体" w:eastAsia="宋体" w:cs="宋体"/>
                <w:color w:val="auto"/>
                <w:sz w:val="21"/>
                <w:szCs w:val="21"/>
                <w:highlight w:val="none"/>
              </w:rPr>
            </w:pPr>
          </w:p>
        </w:tc>
        <w:tc>
          <w:tcPr>
            <w:tcW w:w="1395" w:type="pct"/>
            <w:vAlign w:val="center"/>
          </w:tcPr>
          <w:p w14:paraId="494F1780">
            <w:pPr>
              <w:pStyle w:val="52"/>
              <w:jc w:val="center"/>
              <w:rPr>
                <w:rFonts w:hint="eastAsia" w:ascii="宋体" w:hAnsi="宋体" w:eastAsia="宋体" w:cs="宋体"/>
                <w:color w:val="auto"/>
                <w:sz w:val="21"/>
                <w:szCs w:val="21"/>
                <w:highlight w:val="none"/>
              </w:rPr>
            </w:pPr>
          </w:p>
        </w:tc>
        <w:tc>
          <w:tcPr>
            <w:tcW w:w="1002" w:type="pct"/>
            <w:vAlign w:val="center"/>
          </w:tcPr>
          <w:p w14:paraId="02E24AFD">
            <w:pPr>
              <w:pStyle w:val="52"/>
              <w:jc w:val="center"/>
              <w:rPr>
                <w:rFonts w:hint="eastAsia" w:ascii="宋体" w:hAnsi="宋体" w:eastAsia="宋体" w:cs="宋体"/>
                <w:color w:val="auto"/>
                <w:sz w:val="21"/>
                <w:szCs w:val="21"/>
                <w:highlight w:val="none"/>
              </w:rPr>
            </w:pPr>
          </w:p>
        </w:tc>
        <w:tc>
          <w:tcPr>
            <w:tcW w:w="1090" w:type="pct"/>
            <w:vAlign w:val="center"/>
          </w:tcPr>
          <w:p w14:paraId="15C952B3">
            <w:pPr>
              <w:pStyle w:val="52"/>
              <w:jc w:val="center"/>
              <w:rPr>
                <w:rFonts w:hint="eastAsia" w:ascii="宋体" w:hAnsi="宋体" w:eastAsia="宋体" w:cs="宋体"/>
                <w:color w:val="auto"/>
                <w:sz w:val="21"/>
                <w:szCs w:val="21"/>
                <w:highlight w:val="none"/>
              </w:rPr>
            </w:pPr>
          </w:p>
        </w:tc>
        <w:tc>
          <w:tcPr>
            <w:tcW w:w="1090" w:type="pct"/>
            <w:vAlign w:val="center"/>
          </w:tcPr>
          <w:p w14:paraId="042480C5">
            <w:pPr>
              <w:pStyle w:val="52"/>
              <w:jc w:val="center"/>
              <w:rPr>
                <w:rFonts w:hint="eastAsia" w:ascii="宋体" w:hAnsi="宋体" w:eastAsia="宋体" w:cs="宋体"/>
                <w:color w:val="auto"/>
                <w:sz w:val="21"/>
                <w:szCs w:val="21"/>
                <w:highlight w:val="none"/>
              </w:rPr>
            </w:pPr>
          </w:p>
        </w:tc>
      </w:tr>
      <w:tr w14:paraId="13BE06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6D3D8B34">
            <w:pPr>
              <w:pStyle w:val="52"/>
              <w:jc w:val="center"/>
              <w:rPr>
                <w:rFonts w:hint="eastAsia" w:ascii="宋体" w:hAnsi="宋体" w:eastAsia="宋体" w:cs="宋体"/>
                <w:color w:val="auto"/>
                <w:sz w:val="21"/>
                <w:szCs w:val="21"/>
                <w:highlight w:val="none"/>
              </w:rPr>
            </w:pPr>
          </w:p>
        </w:tc>
        <w:tc>
          <w:tcPr>
            <w:tcW w:w="1395" w:type="pct"/>
            <w:vAlign w:val="center"/>
          </w:tcPr>
          <w:p w14:paraId="3FA50495">
            <w:pPr>
              <w:pStyle w:val="52"/>
              <w:jc w:val="center"/>
              <w:rPr>
                <w:rFonts w:hint="eastAsia" w:ascii="宋体" w:hAnsi="宋体" w:eastAsia="宋体" w:cs="宋体"/>
                <w:color w:val="auto"/>
                <w:sz w:val="21"/>
                <w:szCs w:val="21"/>
                <w:highlight w:val="none"/>
              </w:rPr>
            </w:pPr>
          </w:p>
        </w:tc>
        <w:tc>
          <w:tcPr>
            <w:tcW w:w="1002" w:type="pct"/>
            <w:vAlign w:val="center"/>
          </w:tcPr>
          <w:p w14:paraId="65521973">
            <w:pPr>
              <w:pStyle w:val="52"/>
              <w:jc w:val="center"/>
              <w:rPr>
                <w:rFonts w:hint="eastAsia" w:ascii="宋体" w:hAnsi="宋体" w:eastAsia="宋体" w:cs="宋体"/>
                <w:color w:val="auto"/>
                <w:sz w:val="21"/>
                <w:szCs w:val="21"/>
                <w:highlight w:val="none"/>
              </w:rPr>
            </w:pPr>
          </w:p>
        </w:tc>
        <w:tc>
          <w:tcPr>
            <w:tcW w:w="1090" w:type="pct"/>
            <w:vAlign w:val="center"/>
          </w:tcPr>
          <w:p w14:paraId="505486BC">
            <w:pPr>
              <w:pStyle w:val="52"/>
              <w:jc w:val="center"/>
              <w:rPr>
                <w:rFonts w:hint="eastAsia" w:ascii="宋体" w:hAnsi="宋体" w:eastAsia="宋体" w:cs="宋体"/>
                <w:color w:val="auto"/>
                <w:sz w:val="21"/>
                <w:szCs w:val="21"/>
                <w:highlight w:val="none"/>
              </w:rPr>
            </w:pPr>
          </w:p>
        </w:tc>
        <w:tc>
          <w:tcPr>
            <w:tcW w:w="1090" w:type="pct"/>
            <w:vAlign w:val="center"/>
          </w:tcPr>
          <w:p w14:paraId="40E41834">
            <w:pPr>
              <w:pStyle w:val="52"/>
              <w:jc w:val="center"/>
              <w:rPr>
                <w:rFonts w:hint="eastAsia" w:ascii="宋体" w:hAnsi="宋体" w:eastAsia="宋体" w:cs="宋体"/>
                <w:color w:val="auto"/>
                <w:sz w:val="21"/>
                <w:szCs w:val="21"/>
                <w:highlight w:val="none"/>
              </w:rPr>
            </w:pPr>
          </w:p>
        </w:tc>
      </w:tr>
      <w:tr w14:paraId="322EB8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3E27F183">
            <w:pPr>
              <w:pStyle w:val="52"/>
              <w:jc w:val="center"/>
              <w:rPr>
                <w:rFonts w:hint="eastAsia" w:ascii="宋体" w:hAnsi="宋体" w:eastAsia="宋体" w:cs="宋体"/>
                <w:color w:val="auto"/>
                <w:sz w:val="21"/>
                <w:szCs w:val="21"/>
                <w:highlight w:val="none"/>
              </w:rPr>
            </w:pPr>
          </w:p>
        </w:tc>
        <w:tc>
          <w:tcPr>
            <w:tcW w:w="1395" w:type="pct"/>
            <w:vAlign w:val="center"/>
          </w:tcPr>
          <w:p w14:paraId="199507E1">
            <w:pPr>
              <w:pStyle w:val="52"/>
              <w:jc w:val="center"/>
              <w:rPr>
                <w:rFonts w:hint="eastAsia" w:ascii="宋体" w:hAnsi="宋体" w:eastAsia="宋体" w:cs="宋体"/>
                <w:color w:val="auto"/>
                <w:sz w:val="21"/>
                <w:szCs w:val="21"/>
                <w:highlight w:val="none"/>
              </w:rPr>
            </w:pPr>
          </w:p>
        </w:tc>
        <w:tc>
          <w:tcPr>
            <w:tcW w:w="1002" w:type="pct"/>
            <w:vAlign w:val="center"/>
          </w:tcPr>
          <w:p w14:paraId="6691FD82">
            <w:pPr>
              <w:pStyle w:val="52"/>
              <w:jc w:val="center"/>
              <w:rPr>
                <w:rFonts w:hint="eastAsia" w:ascii="宋体" w:hAnsi="宋体" w:eastAsia="宋体" w:cs="宋体"/>
                <w:color w:val="auto"/>
                <w:sz w:val="21"/>
                <w:szCs w:val="21"/>
                <w:highlight w:val="none"/>
              </w:rPr>
            </w:pPr>
          </w:p>
        </w:tc>
        <w:tc>
          <w:tcPr>
            <w:tcW w:w="1090" w:type="pct"/>
            <w:vAlign w:val="center"/>
          </w:tcPr>
          <w:p w14:paraId="6E35002B">
            <w:pPr>
              <w:pStyle w:val="52"/>
              <w:jc w:val="center"/>
              <w:rPr>
                <w:rFonts w:hint="eastAsia" w:ascii="宋体" w:hAnsi="宋体" w:eastAsia="宋体" w:cs="宋体"/>
                <w:color w:val="auto"/>
                <w:sz w:val="21"/>
                <w:szCs w:val="21"/>
                <w:highlight w:val="none"/>
              </w:rPr>
            </w:pPr>
          </w:p>
        </w:tc>
        <w:tc>
          <w:tcPr>
            <w:tcW w:w="1090" w:type="pct"/>
            <w:vAlign w:val="center"/>
          </w:tcPr>
          <w:p w14:paraId="69818ED1">
            <w:pPr>
              <w:pStyle w:val="52"/>
              <w:jc w:val="center"/>
              <w:rPr>
                <w:rFonts w:hint="eastAsia" w:ascii="宋体" w:hAnsi="宋体" w:eastAsia="宋体" w:cs="宋体"/>
                <w:color w:val="auto"/>
                <w:sz w:val="21"/>
                <w:szCs w:val="21"/>
                <w:highlight w:val="none"/>
              </w:rPr>
            </w:pPr>
          </w:p>
        </w:tc>
      </w:tr>
      <w:tr w14:paraId="79F3B2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20" w:type="pct"/>
            <w:vAlign w:val="center"/>
          </w:tcPr>
          <w:p w14:paraId="71E185D4">
            <w:pPr>
              <w:pStyle w:val="52"/>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395" w:type="pct"/>
            <w:vAlign w:val="center"/>
          </w:tcPr>
          <w:p w14:paraId="6324A49D">
            <w:pPr>
              <w:pStyle w:val="52"/>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02" w:type="pct"/>
            <w:vAlign w:val="center"/>
          </w:tcPr>
          <w:p w14:paraId="0EE83785">
            <w:pPr>
              <w:pStyle w:val="52"/>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90" w:type="pct"/>
            <w:vAlign w:val="center"/>
          </w:tcPr>
          <w:p w14:paraId="7A24BB2D">
            <w:pPr>
              <w:pStyle w:val="52"/>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90" w:type="pct"/>
            <w:vAlign w:val="center"/>
          </w:tcPr>
          <w:p w14:paraId="7CC08218">
            <w:pPr>
              <w:pStyle w:val="52"/>
              <w:jc w:val="center"/>
              <w:rPr>
                <w:rFonts w:hint="eastAsia" w:ascii="宋体" w:hAnsi="宋体" w:eastAsia="宋体" w:cs="宋体"/>
                <w:color w:val="auto"/>
                <w:sz w:val="21"/>
                <w:szCs w:val="21"/>
                <w:highlight w:val="none"/>
              </w:rPr>
            </w:pPr>
          </w:p>
        </w:tc>
      </w:tr>
    </w:tbl>
    <w:p w14:paraId="5516D2ED">
      <w:pPr>
        <w:ind w:firstLine="420" w:firstLineChars="200"/>
        <w:rPr>
          <w:rFonts w:hint="eastAsia" w:cs="仿宋_GB2312"/>
          <w:color w:val="auto"/>
          <w:sz w:val="21"/>
          <w:szCs w:val="21"/>
          <w:highlight w:val="none"/>
        </w:rPr>
      </w:pPr>
    </w:p>
    <w:p w14:paraId="79243E57">
      <w:pPr>
        <w:ind w:firstLine="420" w:firstLineChars="200"/>
        <w:rPr>
          <w:rFonts w:cs="仿宋_GB2312"/>
          <w:color w:val="auto"/>
          <w:szCs w:val="24"/>
          <w:highlight w:val="none"/>
        </w:rPr>
      </w:pPr>
      <w:r>
        <w:rPr>
          <w:rFonts w:hint="eastAsia" w:cs="仿宋_GB2312"/>
          <w:color w:val="auto"/>
          <w:sz w:val="21"/>
          <w:szCs w:val="21"/>
          <w:highlight w:val="none"/>
        </w:rPr>
        <w:t>注：投标人应按照招标文件“第三章 采购需求”</w:t>
      </w:r>
      <w:r>
        <w:rPr>
          <w:rFonts w:hint="eastAsia" w:cs="仿宋_GB2312"/>
          <w:color w:val="auto"/>
          <w:sz w:val="21"/>
          <w:szCs w:val="21"/>
          <w:highlight w:val="none"/>
          <w:lang w:val="en-US" w:eastAsia="zh-CN"/>
        </w:rPr>
        <w:t>中的商务要求</w:t>
      </w:r>
      <w:r>
        <w:rPr>
          <w:rFonts w:hint="eastAsia" w:cs="仿宋_GB2312"/>
          <w:color w:val="auto"/>
          <w:sz w:val="21"/>
          <w:szCs w:val="21"/>
          <w:highlight w:val="none"/>
        </w:rPr>
        <w:t>填写</w:t>
      </w:r>
      <w:r>
        <w:rPr>
          <w:rFonts w:hint="eastAsia" w:cs="仿宋_GB2312"/>
          <w:color w:val="auto"/>
          <w:sz w:val="21"/>
          <w:szCs w:val="21"/>
          <w:highlight w:val="none"/>
          <w:lang w:eastAsia="zh-CN"/>
        </w:rPr>
        <w:t>，</w:t>
      </w:r>
      <w:r>
        <w:rPr>
          <w:rFonts w:hint="eastAsia" w:cs="仿宋_GB2312"/>
          <w:color w:val="auto"/>
          <w:sz w:val="21"/>
          <w:szCs w:val="21"/>
          <w:highlight w:val="none"/>
          <w:lang w:val="en-US" w:eastAsia="zh-CN"/>
        </w:rPr>
        <w:t>“响应/偏离”应据实填写“响应”、“正偏离”或“负偏离”</w:t>
      </w:r>
      <w:r>
        <w:rPr>
          <w:rFonts w:hint="eastAsia" w:cs="仿宋_GB2312"/>
          <w:color w:val="auto"/>
          <w:sz w:val="21"/>
          <w:szCs w:val="21"/>
          <w:highlight w:val="none"/>
        </w:rPr>
        <w:t>。</w:t>
      </w:r>
    </w:p>
    <w:p w14:paraId="1A3EAC71">
      <w:pPr>
        <w:rPr>
          <w:rFonts w:cs="仿宋_GB2312"/>
          <w:color w:val="auto"/>
          <w:szCs w:val="24"/>
          <w:highlight w:val="none"/>
        </w:rPr>
      </w:pPr>
    </w:p>
    <w:p w14:paraId="5CB06622">
      <w:pPr>
        <w:ind w:firstLine="480" w:firstLineChars="200"/>
        <w:rPr>
          <w:rFonts w:cs="仿宋_GB2312"/>
          <w:color w:val="auto"/>
          <w:szCs w:val="24"/>
          <w:highlight w:val="none"/>
        </w:rPr>
      </w:pPr>
    </w:p>
    <w:p w14:paraId="2E8083B6">
      <w:pPr>
        <w:ind w:firstLine="480" w:firstLineChars="200"/>
        <w:rPr>
          <w:rFonts w:cs="仿宋_GB2312"/>
          <w:color w:val="auto"/>
          <w:szCs w:val="24"/>
          <w:highlight w:val="none"/>
        </w:rPr>
      </w:pPr>
      <w:r>
        <w:rPr>
          <w:rFonts w:hint="eastAsia" w:cs="仿宋_GB2312"/>
          <w:color w:val="auto"/>
          <w:szCs w:val="24"/>
          <w:highlight w:val="none"/>
        </w:rPr>
        <w:t>投标人名称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hint="eastAsia" w:cs="仿宋_GB2312"/>
          <w:color w:val="auto"/>
          <w:szCs w:val="24"/>
          <w:highlight w:val="none"/>
        </w:rPr>
        <w:t>：</w:t>
      </w:r>
      <w:r>
        <w:rPr>
          <w:rFonts w:cs="仿宋_GB2312"/>
          <w:color w:val="auto"/>
          <w:szCs w:val="24"/>
          <w:highlight w:val="none"/>
        </w:rPr>
        <w:t xml:space="preserve"> </w:t>
      </w:r>
    </w:p>
    <w:p w14:paraId="77655944">
      <w:pPr>
        <w:ind w:firstLine="420"/>
        <w:rPr>
          <w:rFonts w:cs="仿宋_GB2312"/>
          <w:color w:val="auto"/>
          <w:szCs w:val="24"/>
          <w:highlight w:val="none"/>
        </w:rPr>
      </w:pPr>
      <w:r>
        <w:rPr>
          <w:rFonts w:hint="eastAsia" w:cs="仿宋_GB2312"/>
          <w:color w:val="auto"/>
          <w:szCs w:val="24"/>
          <w:highlight w:val="none"/>
        </w:rPr>
        <w:t>日      期：</w:t>
      </w:r>
    </w:p>
    <w:p w14:paraId="598C43A6">
      <w:pPr>
        <w:ind w:firstLine="420"/>
        <w:rPr>
          <w:rFonts w:cs="仿宋_GB2312"/>
          <w:color w:val="auto"/>
          <w:szCs w:val="24"/>
          <w:highlight w:val="none"/>
        </w:rPr>
      </w:pPr>
      <w:r>
        <w:rPr>
          <w:rFonts w:cs="仿宋_GB2312"/>
          <w:color w:val="auto"/>
          <w:szCs w:val="24"/>
          <w:highlight w:val="none"/>
        </w:rPr>
        <w:br w:type="page"/>
      </w:r>
    </w:p>
    <w:p w14:paraId="287724FC">
      <w:pPr>
        <w:pStyle w:val="3"/>
        <w:bidi w:val="0"/>
        <w:jc w:val="center"/>
        <w:rPr>
          <w:rFonts w:hint="eastAsia"/>
          <w:lang w:val="en-US" w:eastAsia="zh-CN"/>
        </w:rPr>
      </w:pPr>
      <w:bookmarkStart w:id="661" w:name="_Toc32716"/>
      <w:r>
        <w:rPr>
          <w:rFonts w:hint="eastAsia"/>
          <w:lang w:val="en-US" w:eastAsia="zh-CN"/>
        </w:rPr>
        <w:t>七、业绩证明文件</w:t>
      </w:r>
      <w:bookmarkEnd w:id="661"/>
    </w:p>
    <w:p w14:paraId="4541380C">
      <w:pPr>
        <w:rPr>
          <w:rFonts w:cs="仿宋_GB2312"/>
          <w:color w:val="auto"/>
          <w:szCs w:val="24"/>
          <w:highlight w:val="none"/>
        </w:rPr>
      </w:pPr>
      <w:r>
        <w:rPr>
          <w:rFonts w:cs="Arial"/>
          <w:bCs/>
          <w:color w:val="auto"/>
          <w:szCs w:val="21"/>
          <w:highlight w:val="none"/>
        </w:rPr>
        <w:fldChar w:fldCharType="begin"/>
      </w:r>
      <w:r>
        <w:rPr>
          <w:rFonts w:cs="Arial"/>
          <w:bCs/>
          <w:color w:val="auto"/>
          <w:szCs w:val="21"/>
          <w:highlight w:val="none"/>
        </w:rPr>
        <w:instrText xml:space="preserve"> LINK Word.Document.8 "D:\\音乐厅\\4通用设备\\招标文件\\音乐厅空调设备招标文件v1.0.doc" "OLE_LINK8" \r  \* MERGEFORMAT </w:instrText>
      </w:r>
      <w:r>
        <w:rPr>
          <w:rFonts w:cs="Arial"/>
          <w:bCs/>
          <w:color w:val="auto"/>
          <w:szCs w:val="21"/>
          <w:highlight w:val="none"/>
        </w:rPr>
        <w:fldChar w:fldCharType="separate"/>
      </w:r>
      <w:r>
        <w:rPr>
          <w:rFonts w:hint="eastAsia" w:cs="仿宋_GB2312"/>
          <w:color w:val="auto"/>
          <w:szCs w:val="24"/>
          <w:highlight w:val="none"/>
        </w:rPr>
        <w:t xml:space="preserve">项目名称：                                         </w:t>
      </w:r>
    </w:p>
    <w:p w14:paraId="159B24BA">
      <w:pPr>
        <w:rPr>
          <w:rFonts w:cs="Arial"/>
          <w:bCs/>
          <w:color w:val="auto"/>
          <w:szCs w:val="21"/>
          <w:highlight w:val="none"/>
        </w:rPr>
      </w:pPr>
      <w:r>
        <w:rPr>
          <w:rFonts w:hint="eastAsia" w:cs="仿宋_GB2312"/>
          <w:color w:val="auto"/>
          <w:szCs w:val="24"/>
          <w:highlight w:val="none"/>
        </w:rPr>
        <w:t>项目编号</w:t>
      </w:r>
      <w:r>
        <w:rPr>
          <w:rFonts w:hint="eastAsia"/>
          <w:b w:val="0"/>
          <w:bCs/>
          <w:color w:val="auto"/>
          <w:szCs w:val="21"/>
          <w:highlight w:val="none"/>
          <w:lang w:val="en-US" w:eastAsia="zh-CN"/>
        </w:rPr>
        <w:t>/</w:t>
      </w:r>
      <w:r>
        <w:rPr>
          <w:rFonts w:hint="eastAsia"/>
          <w:b w:val="0"/>
          <w:bCs/>
          <w:color w:val="auto"/>
          <w:szCs w:val="21"/>
          <w:highlight w:val="none"/>
          <w:lang w:val="zh-CN"/>
        </w:rPr>
        <w:t>包号</w:t>
      </w:r>
      <w:r>
        <w:rPr>
          <w:rFonts w:hint="eastAsia" w:cs="仿宋_GB2312"/>
          <w:color w:val="auto"/>
          <w:szCs w:val="24"/>
          <w:highlight w:val="none"/>
        </w:rPr>
        <w:t xml:space="preserve">：      </w:t>
      </w:r>
      <w:r>
        <w:rPr>
          <w:rFonts w:cs="Arial"/>
          <w:bCs/>
          <w:color w:val="auto"/>
          <w:szCs w:val="21"/>
          <w:highlight w:val="none"/>
        </w:rPr>
        <w:fldChar w:fldCharType="end"/>
      </w:r>
    </w:p>
    <w:tbl>
      <w:tblPr>
        <w:tblStyle w:val="31"/>
        <w:tblW w:w="8988" w:type="dxa"/>
        <w:tblInd w:w="-4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4"/>
        <w:gridCol w:w="1080"/>
        <w:gridCol w:w="1248"/>
        <w:gridCol w:w="1129"/>
        <w:gridCol w:w="1283"/>
        <w:gridCol w:w="1368"/>
        <w:gridCol w:w="960"/>
        <w:gridCol w:w="1176"/>
      </w:tblGrid>
      <w:tr w14:paraId="387D39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744" w:type="dxa"/>
            <w:vAlign w:val="center"/>
          </w:tcPr>
          <w:p w14:paraId="4E9572F9">
            <w:pPr>
              <w:jc w:val="center"/>
              <w:rPr>
                <w:rFonts w:hint="eastAsia" w:ascii="宋体" w:hAnsi="宋体" w:eastAsia="宋体" w:cs="宋体"/>
                <w:color w:val="auto"/>
                <w:sz w:val="21"/>
                <w:szCs w:val="21"/>
                <w:highlight w:val="none"/>
              </w:rPr>
            </w:pPr>
            <w:bookmarkStart w:id="662" w:name="_Hlk46779239"/>
            <w:r>
              <w:rPr>
                <w:rFonts w:hint="eastAsia" w:ascii="宋体" w:hAnsi="宋体" w:eastAsia="宋体" w:cs="宋体"/>
                <w:color w:val="auto"/>
                <w:sz w:val="21"/>
                <w:szCs w:val="21"/>
                <w:highlight w:val="none"/>
              </w:rPr>
              <w:t>序号</w:t>
            </w:r>
          </w:p>
        </w:tc>
        <w:tc>
          <w:tcPr>
            <w:tcW w:w="1080" w:type="dxa"/>
            <w:vAlign w:val="center"/>
          </w:tcPr>
          <w:p w14:paraId="51F55A40">
            <w:pP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完成时间</w:t>
            </w:r>
          </w:p>
        </w:tc>
        <w:tc>
          <w:tcPr>
            <w:tcW w:w="1248" w:type="dxa"/>
            <w:vAlign w:val="center"/>
          </w:tcPr>
          <w:p w14:paraId="4D5C38D5">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项目名称</w:t>
            </w:r>
          </w:p>
        </w:tc>
        <w:tc>
          <w:tcPr>
            <w:tcW w:w="1129" w:type="dxa"/>
            <w:vAlign w:val="center"/>
          </w:tcPr>
          <w:p w14:paraId="69717F2A">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标的</w:t>
            </w:r>
            <w:r>
              <w:rPr>
                <w:rFonts w:hint="eastAsia" w:ascii="宋体" w:hAnsi="宋体" w:eastAsia="宋体" w:cs="宋体"/>
                <w:color w:val="auto"/>
                <w:sz w:val="21"/>
                <w:szCs w:val="21"/>
                <w:highlight w:val="none"/>
              </w:rPr>
              <w:t>内容</w:t>
            </w:r>
          </w:p>
        </w:tc>
        <w:tc>
          <w:tcPr>
            <w:tcW w:w="1283" w:type="dxa"/>
            <w:vAlign w:val="center"/>
          </w:tcPr>
          <w:p w14:paraId="57C35070">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采购人</w:t>
            </w:r>
            <w:r>
              <w:rPr>
                <w:rFonts w:hint="eastAsia" w:ascii="宋体" w:hAnsi="宋体" w:eastAsia="宋体" w:cs="宋体"/>
                <w:color w:val="auto"/>
                <w:sz w:val="21"/>
                <w:szCs w:val="21"/>
                <w:highlight w:val="none"/>
              </w:rPr>
              <w:t>名称</w:t>
            </w:r>
          </w:p>
        </w:tc>
        <w:tc>
          <w:tcPr>
            <w:tcW w:w="1368" w:type="dxa"/>
            <w:vAlign w:val="center"/>
          </w:tcPr>
          <w:p w14:paraId="55D436A5">
            <w:pPr>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中标（成交）金额</w:t>
            </w:r>
          </w:p>
        </w:tc>
        <w:tc>
          <w:tcPr>
            <w:tcW w:w="960" w:type="dxa"/>
            <w:vAlign w:val="center"/>
          </w:tcPr>
          <w:p w14:paraId="01352CB9">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联系人</w:t>
            </w:r>
          </w:p>
        </w:tc>
        <w:tc>
          <w:tcPr>
            <w:tcW w:w="1176" w:type="dxa"/>
            <w:vAlign w:val="center"/>
          </w:tcPr>
          <w:p w14:paraId="2DA424BF">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联系电话</w:t>
            </w:r>
          </w:p>
        </w:tc>
      </w:tr>
      <w:tr w14:paraId="25958D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744" w:type="dxa"/>
            <w:vAlign w:val="center"/>
          </w:tcPr>
          <w:p w14:paraId="27508E81">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080" w:type="dxa"/>
            <w:vAlign w:val="center"/>
          </w:tcPr>
          <w:p w14:paraId="27562AF7">
            <w:pPr>
              <w:rPr>
                <w:rFonts w:hint="eastAsia" w:ascii="宋体" w:hAnsi="宋体" w:eastAsia="宋体" w:cs="宋体"/>
                <w:color w:val="auto"/>
                <w:sz w:val="21"/>
                <w:szCs w:val="21"/>
                <w:highlight w:val="none"/>
              </w:rPr>
            </w:pPr>
          </w:p>
        </w:tc>
        <w:tc>
          <w:tcPr>
            <w:tcW w:w="1248" w:type="dxa"/>
            <w:vAlign w:val="center"/>
          </w:tcPr>
          <w:p w14:paraId="02799269">
            <w:pPr>
              <w:rPr>
                <w:rFonts w:hint="eastAsia" w:ascii="宋体" w:hAnsi="宋体" w:eastAsia="宋体" w:cs="宋体"/>
                <w:color w:val="auto"/>
                <w:sz w:val="21"/>
                <w:szCs w:val="21"/>
                <w:highlight w:val="none"/>
              </w:rPr>
            </w:pPr>
          </w:p>
        </w:tc>
        <w:tc>
          <w:tcPr>
            <w:tcW w:w="1129" w:type="dxa"/>
            <w:vAlign w:val="center"/>
          </w:tcPr>
          <w:p w14:paraId="6449ADDF">
            <w:pPr>
              <w:rPr>
                <w:rFonts w:hint="eastAsia" w:ascii="宋体" w:hAnsi="宋体" w:eastAsia="宋体" w:cs="宋体"/>
                <w:color w:val="auto"/>
                <w:sz w:val="21"/>
                <w:szCs w:val="21"/>
                <w:highlight w:val="none"/>
              </w:rPr>
            </w:pPr>
          </w:p>
        </w:tc>
        <w:tc>
          <w:tcPr>
            <w:tcW w:w="1283" w:type="dxa"/>
            <w:vAlign w:val="center"/>
          </w:tcPr>
          <w:p w14:paraId="183C0714">
            <w:pPr>
              <w:rPr>
                <w:rFonts w:hint="eastAsia" w:ascii="宋体" w:hAnsi="宋体" w:eastAsia="宋体" w:cs="宋体"/>
                <w:color w:val="auto"/>
                <w:sz w:val="21"/>
                <w:szCs w:val="21"/>
                <w:highlight w:val="none"/>
              </w:rPr>
            </w:pPr>
          </w:p>
        </w:tc>
        <w:tc>
          <w:tcPr>
            <w:tcW w:w="1368" w:type="dxa"/>
            <w:vAlign w:val="center"/>
          </w:tcPr>
          <w:p w14:paraId="4F169081">
            <w:pPr>
              <w:rPr>
                <w:rFonts w:hint="eastAsia" w:ascii="宋体" w:hAnsi="宋体" w:eastAsia="宋体" w:cs="宋体"/>
                <w:color w:val="auto"/>
                <w:sz w:val="21"/>
                <w:szCs w:val="21"/>
                <w:highlight w:val="none"/>
              </w:rPr>
            </w:pPr>
          </w:p>
        </w:tc>
        <w:tc>
          <w:tcPr>
            <w:tcW w:w="960" w:type="dxa"/>
            <w:vAlign w:val="center"/>
          </w:tcPr>
          <w:p w14:paraId="4A8D26BB">
            <w:pPr>
              <w:rPr>
                <w:rFonts w:hint="eastAsia" w:ascii="宋体" w:hAnsi="宋体" w:eastAsia="宋体" w:cs="宋体"/>
                <w:color w:val="auto"/>
                <w:sz w:val="21"/>
                <w:szCs w:val="21"/>
                <w:highlight w:val="none"/>
              </w:rPr>
            </w:pPr>
          </w:p>
        </w:tc>
        <w:tc>
          <w:tcPr>
            <w:tcW w:w="1176" w:type="dxa"/>
            <w:vAlign w:val="center"/>
          </w:tcPr>
          <w:p w14:paraId="09D0936A">
            <w:pPr>
              <w:rPr>
                <w:rFonts w:hint="eastAsia" w:ascii="宋体" w:hAnsi="宋体" w:eastAsia="宋体" w:cs="宋体"/>
                <w:color w:val="auto"/>
                <w:sz w:val="21"/>
                <w:szCs w:val="21"/>
                <w:highlight w:val="none"/>
              </w:rPr>
            </w:pPr>
          </w:p>
        </w:tc>
      </w:tr>
      <w:tr w14:paraId="793661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744" w:type="dxa"/>
            <w:vAlign w:val="center"/>
          </w:tcPr>
          <w:p w14:paraId="4A21BB39">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1080" w:type="dxa"/>
            <w:vAlign w:val="center"/>
          </w:tcPr>
          <w:p w14:paraId="7CA4B3F3">
            <w:pPr>
              <w:rPr>
                <w:rFonts w:hint="eastAsia" w:ascii="宋体" w:hAnsi="宋体" w:eastAsia="宋体" w:cs="宋体"/>
                <w:color w:val="auto"/>
                <w:sz w:val="21"/>
                <w:szCs w:val="21"/>
                <w:highlight w:val="none"/>
              </w:rPr>
            </w:pPr>
          </w:p>
        </w:tc>
        <w:tc>
          <w:tcPr>
            <w:tcW w:w="1248" w:type="dxa"/>
            <w:vAlign w:val="center"/>
          </w:tcPr>
          <w:p w14:paraId="59CCECB1">
            <w:pPr>
              <w:rPr>
                <w:rFonts w:hint="eastAsia" w:ascii="宋体" w:hAnsi="宋体" w:eastAsia="宋体" w:cs="宋体"/>
                <w:color w:val="auto"/>
                <w:sz w:val="21"/>
                <w:szCs w:val="21"/>
                <w:highlight w:val="none"/>
              </w:rPr>
            </w:pPr>
          </w:p>
        </w:tc>
        <w:tc>
          <w:tcPr>
            <w:tcW w:w="1129" w:type="dxa"/>
            <w:vAlign w:val="center"/>
          </w:tcPr>
          <w:p w14:paraId="4E8043C4">
            <w:pPr>
              <w:rPr>
                <w:rFonts w:hint="eastAsia" w:ascii="宋体" w:hAnsi="宋体" w:eastAsia="宋体" w:cs="宋体"/>
                <w:color w:val="auto"/>
                <w:sz w:val="21"/>
                <w:szCs w:val="21"/>
                <w:highlight w:val="none"/>
              </w:rPr>
            </w:pPr>
          </w:p>
        </w:tc>
        <w:tc>
          <w:tcPr>
            <w:tcW w:w="1283" w:type="dxa"/>
            <w:vAlign w:val="center"/>
          </w:tcPr>
          <w:p w14:paraId="2E195778">
            <w:pPr>
              <w:rPr>
                <w:rFonts w:hint="eastAsia" w:ascii="宋体" w:hAnsi="宋体" w:eastAsia="宋体" w:cs="宋体"/>
                <w:color w:val="auto"/>
                <w:sz w:val="21"/>
                <w:szCs w:val="21"/>
                <w:highlight w:val="none"/>
              </w:rPr>
            </w:pPr>
          </w:p>
        </w:tc>
        <w:tc>
          <w:tcPr>
            <w:tcW w:w="1368" w:type="dxa"/>
            <w:vAlign w:val="center"/>
          </w:tcPr>
          <w:p w14:paraId="49A8CC13">
            <w:pPr>
              <w:rPr>
                <w:rFonts w:hint="eastAsia" w:ascii="宋体" w:hAnsi="宋体" w:eastAsia="宋体" w:cs="宋体"/>
                <w:color w:val="auto"/>
                <w:sz w:val="21"/>
                <w:szCs w:val="21"/>
                <w:highlight w:val="none"/>
              </w:rPr>
            </w:pPr>
          </w:p>
        </w:tc>
        <w:tc>
          <w:tcPr>
            <w:tcW w:w="960" w:type="dxa"/>
            <w:vAlign w:val="center"/>
          </w:tcPr>
          <w:p w14:paraId="3DDF15B1">
            <w:pPr>
              <w:rPr>
                <w:rFonts w:hint="eastAsia" w:ascii="宋体" w:hAnsi="宋体" w:eastAsia="宋体" w:cs="宋体"/>
                <w:color w:val="auto"/>
                <w:sz w:val="21"/>
                <w:szCs w:val="21"/>
                <w:highlight w:val="none"/>
              </w:rPr>
            </w:pPr>
          </w:p>
        </w:tc>
        <w:tc>
          <w:tcPr>
            <w:tcW w:w="1176" w:type="dxa"/>
            <w:vAlign w:val="center"/>
          </w:tcPr>
          <w:p w14:paraId="185645D3">
            <w:pPr>
              <w:rPr>
                <w:rFonts w:hint="eastAsia" w:ascii="宋体" w:hAnsi="宋体" w:eastAsia="宋体" w:cs="宋体"/>
                <w:color w:val="auto"/>
                <w:sz w:val="21"/>
                <w:szCs w:val="21"/>
                <w:highlight w:val="none"/>
              </w:rPr>
            </w:pPr>
          </w:p>
        </w:tc>
      </w:tr>
      <w:tr w14:paraId="624A41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744" w:type="dxa"/>
            <w:vAlign w:val="center"/>
          </w:tcPr>
          <w:p w14:paraId="4428D324">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p>
        </w:tc>
        <w:tc>
          <w:tcPr>
            <w:tcW w:w="1080" w:type="dxa"/>
            <w:vAlign w:val="center"/>
          </w:tcPr>
          <w:p w14:paraId="46AEF6AC">
            <w:pPr>
              <w:rPr>
                <w:rFonts w:hint="eastAsia" w:ascii="宋体" w:hAnsi="宋体" w:eastAsia="宋体" w:cs="宋体"/>
                <w:color w:val="auto"/>
                <w:sz w:val="21"/>
                <w:szCs w:val="21"/>
                <w:highlight w:val="none"/>
              </w:rPr>
            </w:pPr>
          </w:p>
        </w:tc>
        <w:tc>
          <w:tcPr>
            <w:tcW w:w="1248" w:type="dxa"/>
            <w:vAlign w:val="center"/>
          </w:tcPr>
          <w:p w14:paraId="601B0208">
            <w:pPr>
              <w:rPr>
                <w:rFonts w:hint="eastAsia" w:ascii="宋体" w:hAnsi="宋体" w:eastAsia="宋体" w:cs="宋体"/>
                <w:color w:val="auto"/>
                <w:sz w:val="21"/>
                <w:szCs w:val="21"/>
                <w:highlight w:val="none"/>
              </w:rPr>
            </w:pPr>
          </w:p>
        </w:tc>
        <w:tc>
          <w:tcPr>
            <w:tcW w:w="1129" w:type="dxa"/>
            <w:vAlign w:val="center"/>
          </w:tcPr>
          <w:p w14:paraId="56885EE6">
            <w:pPr>
              <w:rPr>
                <w:rFonts w:hint="eastAsia" w:ascii="宋体" w:hAnsi="宋体" w:eastAsia="宋体" w:cs="宋体"/>
                <w:color w:val="auto"/>
                <w:sz w:val="21"/>
                <w:szCs w:val="21"/>
                <w:highlight w:val="none"/>
              </w:rPr>
            </w:pPr>
          </w:p>
        </w:tc>
        <w:tc>
          <w:tcPr>
            <w:tcW w:w="1283" w:type="dxa"/>
            <w:vAlign w:val="center"/>
          </w:tcPr>
          <w:p w14:paraId="00552B19">
            <w:pPr>
              <w:rPr>
                <w:rFonts w:hint="eastAsia" w:ascii="宋体" w:hAnsi="宋体" w:eastAsia="宋体" w:cs="宋体"/>
                <w:color w:val="auto"/>
                <w:sz w:val="21"/>
                <w:szCs w:val="21"/>
                <w:highlight w:val="none"/>
              </w:rPr>
            </w:pPr>
          </w:p>
        </w:tc>
        <w:tc>
          <w:tcPr>
            <w:tcW w:w="1368" w:type="dxa"/>
            <w:vAlign w:val="center"/>
          </w:tcPr>
          <w:p w14:paraId="77BC6128">
            <w:pPr>
              <w:rPr>
                <w:rFonts w:hint="eastAsia" w:ascii="宋体" w:hAnsi="宋体" w:eastAsia="宋体" w:cs="宋体"/>
                <w:color w:val="auto"/>
                <w:sz w:val="21"/>
                <w:szCs w:val="21"/>
                <w:highlight w:val="none"/>
              </w:rPr>
            </w:pPr>
          </w:p>
        </w:tc>
        <w:tc>
          <w:tcPr>
            <w:tcW w:w="960" w:type="dxa"/>
            <w:vAlign w:val="center"/>
          </w:tcPr>
          <w:p w14:paraId="38FE3D5D">
            <w:pPr>
              <w:rPr>
                <w:rFonts w:hint="eastAsia" w:ascii="宋体" w:hAnsi="宋体" w:eastAsia="宋体" w:cs="宋体"/>
                <w:color w:val="auto"/>
                <w:sz w:val="21"/>
                <w:szCs w:val="21"/>
                <w:highlight w:val="none"/>
              </w:rPr>
            </w:pPr>
          </w:p>
        </w:tc>
        <w:tc>
          <w:tcPr>
            <w:tcW w:w="1176" w:type="dxa"/>
            <w:vAlign w:val="center"/>
          </w:tcPr>
          <w:p w14:paraId="20173386">
            <w:pPr>
              <w:rPr>
                <w:rFonts w:hint="eastAsia" w:ascii="宋体" w:hAnsi="宋体" w:eastAsia="宋体" w:cs="宋体"/>
                <w:color w:val="auto"/>
                <w:sz w:val="21"/>
                <w:szCs w:val="21"/>
                <w:highlight w:val="none"/>
              </w:rPr>
            </w:pPr>
          </w:p>
        </w:tc>
      </w:tr>
      <w:tr w14:paraId="45C016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744" w:type="dxa"/>
            <w:vAlign w:val="center"/>
          </w:tcPr>
          <w:p w14:paraId="7D259137">
            <w:pPr>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1080" w:type="dxa"/>
            <w:vAlign w:val="center"/>
          </w:tcPr>
          <w:p w14:paraId="12629B54">
            <w:pPr>
              <w:rPr>
                <w:rFonts w:hint="eastAsia" w:ascii="宋体" w:hAnsi="宋体" w:eastAsia="宋体" w:cs="宋体"/>
                <w:color w:val="auto"/>
                <w:sz w:val="21"/>
                <w:szCs w:val="21"/>
                <w:highlight w:val="none"/>
              </w:rPr>
            </w:pPr>
          </w:p>
        </w:tc>
        <w:tc>
          <w:tcPr>
            <w:tcW w:w="1248" w:type="dxa"/>
            <w:vAlign w:val="center"/>
          </w:tcPr>
          <w:p w14:paraId="278EE304">
            <w:pPr>
              <w:rPr>
                <w:rFonts w:hint="eastAsia" w:ascii="宋体" w:hAnsi="宋体" w:eastAsia="宋体" w:cs="宋体"/>
                <w:color w:val="auto"/>
                <w:sz w:val="21"/>
                <w:szCs w:val="21"/>
                <w:highlight w:val="none"/>
              </w:rPr>
            </w:pPr>
          </w:p>
        </w:tc>
        <w:tc>
          <w:tcPr>
            <w:tcW w:w="1129" w:type="dxa"/>
            <w:vAlign w:val="center"/>
          </w:tcPr>
          <w:p w14:paraId="502FE2B6">
            <w:pPr>
              <w:rPr>
                <w:rFonts w:hint="eastAsia" w:ascii="宋体" w:hAnsi="宋体" w:eastAsia="宋体" w:cs="宋体"/>
                <w:color w:val="auto"/>
                <w:sz w:val="21"/>
                <w:szCs w:val="21"/>
                <w:highlight w:val="none"/>
              </w:rPr>
            </w:pPr>
          </w:p>
        </w:tc>
        <w:tc>
          <w:tcPr>
            <w:tcW w:w="1283" w:type="dxa"/>
            <w:vAlign w:val="center"/>
          </w:tcPr>
          <w:p w14:paraId="44F7BE63">
            <w:pPr>
              <w:rPr>
                <w:rFonts w:hint="eastAsia" w:ascii="宋体" w:hAnsi="宋体" w:eastAsia="宋体" w:cs="宋体"/>
                <w:color w:val="auto"/>
                <w:sz w:val="21"/>
                <w:szCs w:val="21"/>
                <w:highlight w:val="none"/>
              </w:rPr>
            </w:pPr>
          </w:p>
        </w:tc>
        <w:tc>
          <w:tcPr>
            <w:tcW w:w="1368" w:type="dxa"/>
            <w:vAlign w:val="center"/>
          </w:tcPr>
          <w:p w14:paraId="463BDC1B">
            <w:pPr>
              <w:rPr>
                <w:rFonts w:hint="eastAsia" w:ascii="宋体" w:hAnsi="宋体" w:eastAsia="宋体" w:cs="宋体"/>
                <w:color w:val="auto"/>
                <w:sz w:val="21"/>
                <w:szCs w:val="21"/>
                <w:highlight w:val="none"/>
              </w:rPr>
            </w:pPr>
          </w:p>
        </w:tc>
        <w:tc>
          <w:tcPr>
            <w:tcW w:w="960" w:type="dxa"/>
            <w:vAlign w:val="center"/>
          </w:tcPr>
          <w:p w14:paraId="5208210B">
            <w:pPr>
              <w:rPr>
                <w:rFonts w:hint="eastAsia" w:ascii="宋体" w:hAnsi="宋体" w:eastAsia="宋体" w:cs="宋体"/>
                <w:color w:val="auto"/>
                <w:sz w:val="21"/>
                <w:szCs w:val="21"/>
                <w:highlight w:val="none"/>
              </w:rPr>
            </w:pPr>
          </w:p>
        </w:tc>
        <w:tc>
          <w:tcPr>
            <w:tcW w:w="1176" w:type="dxa"/>
            <w:vAlign w:val="center"/>
          </w:tcPr>
          <w:p w14:paraId="7EC41624">
            <w:pPr>
              <w:rPr>
                <w:rFonts w:hint="eastAsia" w:ascii="宋体" w:hAnsi="宋体" w:eastAsia="宋体" w:cs="宋体"/>
                <w:color w:val="auto"/>
                <w:sz w:val="21"/>
                <w:szCs w:val="21"/>
                <w:highlight w:val="none"/>
              </w:rPr>
            </w:pPr>
          </w:p>
        </w:tc>
      </w:tr>
      <w:tr w14:paraId="6F118C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744" w:type="dxa"/>
            <w:vAlign w:val="center"/>
          </w:tcPr>
          <w:p w14:paraId="1FCCAE38">
            <w:pPr>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p>
        </w:tc>
        <w:tc>
          <w:tcPr>
            <w:tcW w:w="1080" w:type="dxa"/>
            <w:vAlign w:val="center"/>
          </w:tcPr>
          <w:p w14:paraId="1728B663">
            <w:pPr>
              <w:rPr>
                <w:rFonts w:hint="eastAsia" w:ascii="宋体" w:hAnsi="宋体" w:eastAsia="宋体" w:cs="宋体"/>
                <w:color w:val="auto"/>
                <w:sz w:val="21"/>
                <w:szCs w:val="21"/>
                <w:highlight w:val="none"/>
              </w:rPr>
            </w:pPr>
          </w:p>
        </w:tc>
        <w:tc>
          <w:tcPr>
            <w:tcW w:w="1248" w:type="dxa"/>
            <w:vAlign w:val="center"/>
          </w:tcPr>
          <w:p w14:paraId="5B701B38">
            <w:pPr>
              <w:rPr>
                <w:rFonts w:hint="eastAsia" w:ascii="宋体" w:hAnsi="宋体" w:eastAsia="宋体" w:cs="宋体"/>
                <w:color w:val="auto"/>
                <w:sz w:val="21"/>
                <w:szCs w:val="21"/>
                <w:highlight w:val="none"/>
              </w:rPr>
            </w:pPr>
          </w:p>
        </w:tc>
        <w:tc>
          <w:tcPr>
            <w:tcW w:w="1129" w:type="dxa"/>
            <w:vAlign w:val="center"/>
          </w:tcPr>
          <w:p w14:paraId="0BFD5658">
            <w:pPr>
              <w:rPr>
                <w:rFonts w:hint="eastAsia" w:ascii="宋体" w:hAnsi="宋体" w:eastAsia="宋体" w:cs="宋体"/>
                <w:color w:val="auto"/>
                <w:sz w:val="21"/>
                <w:szCs w:val="21"/>
                <w:highlight w:val="none"/>
              </w:rPr>
            </w:pPr>
          </w:p>
        </w:tc>
        <w:tc>
          <w:tcPr>
            <w:tcW w:w="1283" w:type="dxa"/>
            <w:vAlign w:val="center"/>
          </w:tcPr>
          <w:p w14:paraId="56955758">
            <w:pPr>
              <w:rPr>
                <w:rFonts w:hint="eastAsia" w:ascii="宋体" w:hAnsi="宋体" w:eastAsia="宋体" w:cs="宋体"/>
                <w:color w:val="auto"/>
                <w:sz w:val="21"/>
                <w:szCs w:val="21"/>
                <w:highlight w:val="none"/>
              </w:rPr>
            </w:pPr>
          </w:p>
        </w:tc>
        <w:tc>
          <w:tcPr>
            <w:tcW w:w="1368" w:type="dxa"/>
            <w:vAlign w:val="center"/>
          </w:tcPr>
          <w:p w14:paraId="6AF4F252">
            <w:pPr>
              <w:rPr>
                <w:rFonts w:hint="eastAsia" w:ascii="宋体" w:hAnsi="宋体" w:eastAsia="宋体" w:cs="宋体"/>
                <w:color w:val="auto"/>
                <w:sz w:val="21"/>
                <w:szCs w:val="21"/>
                <w:highlight w:val="none"/>
              </w:rPr>
            </w:pPr>
          </w:p>
        </w:tc>
        <w:tc>
          <w:tcPr>
            <w:tcW w:w="960" w:type="dxa"/>
            <w:vAlign w:val="center"/>
          </w:tcPr>
          <w:p w14:paraId="0E461DD3">
            <w:pPr>
              <w:rPr>
                <w:rFonts w:hint="eastAsia" w:ascii="宋体" w:hAnsi="宋体" w:eastAsia="宋体" w:cs="宋体"/>
                <w:color w:val="auto"/>
                <w:sz w:val="21"/>
                <w:szCs w:val="21"/>
                <w:highlight w:val="none"/>
              </w:rPr>
            </w:pPr>
          </w:p>
        </w:tc>
        <w:tc>
          <w:tcPr>
            <w:tcW w:w="1176" w:type="dxa"/>
            <w:vAlign w:val="center"/>
          </w:tcPr>
          <w:p w14:paraId="5804A0BF">
            <w:pPr>
              <w:rPr>
                <w:rFonts w:hint="eastAsia" w:ascii="宋体" w:hAnsi="宋体" w:eastAsia="宋体" w:cs="宋体"/>
                <w:color w:val="auto"/>
                <w:sz w:val="21"/>
                <w:szCs w:val="21"/>
                <w:highlight w:val="none"/>
              </w:rPr>
            </w:pPr>
          </w:p>
        </w:tc>
      </w:tr>
      <w:tr w14:paraId="3BC233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744" w:type="dxa"/>
            <w:vAlign w:val="center"/>
          </w:tcPr>
          <w:p w14:paraId="433A34E7">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80" w:type="dxa"/>
            <w:vAlign w:val="center"/>
          </w:tcPr>
          <w:p w14:paraId="5D94CAA1">
            <w:pPr>
              <w:rPr>
                <w:rFonts w:hint="eastAsia" w:ascii="宋体" w:hAnsi="宋体" w:eastAsia="宋体" w:cs="宋体"/>
                <w:color w:val="auto"/>
                <w:sz w:val="21"/>
                <w:szCs w:val="21"/>
                <w:highlight w:val="none"/>
              </w:rPr>
            </w:pPr>
          </w:p>
        </w:tc>
        <w:tc>
          <w:tcPr>
            <w:tcW w:w="1248" w:type="dxa"/>
            <w:vAlign w:val="center"/>
          </w:tcPr>
          <w:p w14:paraId="48AC7386">
            <w:pPr>
              <w:rPr>
                <w:rFonts w:hint="eastAsia" w:ascii="宋体" w:hAnsi="宋体" w:eastAsia="宋体" w:cs="宋体"/>
                <w:color w:val="auto"/>
                <w:sz w:val="21"/>
                <w:szCs w:val="21"/>
                <w:highlight w:val="none"/>
              </w:rPr>
            </w:pPr>
          </w:p>
        </w:tc>
        <w:tc>
          <w:tcPr>
            <w:tcW w:w="1129" w:type="dxa"/>
            <w:vAlign w:val="center"/>
          </w:tcPr>
          <w:p w14:paraId="20172F35">
            <w:pPr>
              <w:rPr>
                <w:rFonts w:hint="eastAsia" w:ascii="宋体" w:hAnsi="宋体" w:eastAsia="宋体" w:cs="宋体"/>
                <w:color w:val="auto"/>
                <w:sz w:val="21"/>
                <w:szCs w:val="21"/>
                <w:highlight w:val="none"/>
              </w:rPr>
            </w:pPr>
          </w:p>
        </w:tc>
        <w:tc>
          <w:tcPr>
            <w:tcW w:w="1283" w:type="dxa"/>
            <w:vAlign w:val="center"/>
          </w:tcPr>
          <w:p w14:paraId="75CF74D1">
            <w:pPr>
              <w:rPr>
                <w:rFonts w:hint="eastAsia" w:ascii="宋体" w:hAnsi="宋体" w:eastAsia="宋体" w:cs="宋体"/>
                <w:color w:val="auto"/>
                <w:sz w:val="21"/>
                <w:szCs w:val="21"/>
                <w:highlight w:val="none"/>
              </w:rPr>
            </w:pPr>
          </w:p>
        </w:tc>
        <w:tc>
          <w:tcPr>
            <w:tcW w:w="1368" w:type="dxa"/>
            <w:vAlign w:val="center"/>
          </w:tcPr>
          <w:p w14:paraId="52CF4BF0">
            <w:pPr>
              <w:rPr>
                <w:rFonts w:hint="eastAsia" w:ascii="宋体" w:hAnsi="宋体" w:eastAsia="宋体" w:cs="宋体"/>
                <w:color w:val="auto"/>
                <w:sz w:val="21"/>
                <w:szCs w:val="21"/>
                <w:highlight w:val="none"/>
              </w:rPr>
            </w:pPr>
          </w:p>
        </w:tc>
        <w:tc>
          <w:tcPr>
            <w:tcW w:w="960" w:type="dxa"/>
            <w:vAlign w:val="center"/>
          </w:tcPr>
          <w:p w14:paraId="4A3F6BEC">
            <w:pPr>
              <w:rPr>
                <w:rFonts w:hint="eastAsia" w:ascii="宋体" w:hAnsi="宋体" w:eastAsia="宋体" w:cs="宋体"/>
                <w:color w:val="auto"/>
                <w:sz w:val="21"/>
                <w:szCs w:val="21"/>
                <w:highlight w:val="none"/>
              </w:rPr>
            </w:pPr>
          </w:p>
        </w:tc>
        <w:tc>
          <w:tcPr>
            <w:tcW w:w="1176" w:type="dxa"/>
            <w:vAlign w:val="center"/>
          </w:tcPr>
          <w:p w14:paraId="52BCFD5F">
            <w:pPr>
              <w:rPr>
                <w:rFonts w:hint="eastAsia" w:ascii="宋体" w:hAnsi="宋体" w:eastAsia="宋体" w:cs="宋体"/>
                <w:color w:val="auto"/>
                <w:sz w:val="21"/>
                <w:szCs w:val="21"/>
                <w:highlight w:val="none"/>
              </w:rPr>
            </w:pPr>
          </w:p>
        </w:tc>
      </w:tr>
      <w:bookmarkEnd w:id="662"/>
    </w:tbl>
    <w:p w14:paraId="0D2F5038">
      <w:pPr>
        <w:rPr>
          <w:rFonts w:hint="eastAsia" w:cs="仿宋_GB2312"/>
          <w:color w:val="auto"/>
          <w:szCs w:val="24"/>
          <w:highlight w:val="none"/>
        </w:rPr>
      </w:pPr>
    </w:p>
    <w:p w14:paraId="58FF379C">
      <w:pPr>
        <w:rPr>
          <w:rFonts w:cs="仿宋_GB2312"/>
          <w:color w:val="auto"/>
          <w:sz w:val="21"/>
          <w:szCs w:val="21"/>
          <w:highlight w:val="none"/>
        </w:rPr>
      </w:pPr>
      <w:r>
        <w:rPr>
          <w:rFonts w:hint="eastAsia" w:cs="仿宋_GB2312"/>
          <w:color w:val="auto"/>
          <w:sz w:val="21"/>
          <w:szCs w:val="21"/>
          <w:highlight w:val="none"/>
        </w:rPr>
        <w:t>注：投标人须按</w:t>
      </w:r>
      <w:r>
        <w:rPr>
          <w:rFonts w:hint="eastAsia" w:cs="仿宋_GB2312"/>
          <w:color w:val="auto"/>
          <w:sz w:val="21"/>
          <w:szCs w:val="21"/>
          <w:highlight w:val="none"/>
          <w:lang w:val="en-US" w:eastAsia="zh-CN"/>
        </w:rPr>
        <w:t>评审要求</w:t>
      </w:r>
      <w:r>
        <w:rPr>
          <w:rFonts w:hint="eastAsia" w:cs="仿宋_GB2312"/>
          <w:color w:val="auto"/>
          <w:sz w:val="21"/>
          <w:szCs w:val="21"/>
          <w:highlight w:val="none"/>
        </w:rPr>
        <w:t>提供相应的业绩证明资料。</w:t>
      </w:r>
    </w:p>
    <w:p w14:paraId="5DB99613">
      <w:pPr>
        <w:widowControl/>
        <w:spacing w:before="100" w:beforeAutospacing="1" w:after="100" w:afterAutospacing="1"/>
        <w:rPr>
          <w:rFonts w:cs="Arial"/>
          <w:color w:val="auto"/>
          <w:szCs w:val="21"/>
          <w:highlight w:val="none"/>
        </w:rPr>
      </w:pPr>
    </w:p>
    <w:p w14:paraId="68FCBA1E">
      <w:pPr>
        <w:ind w:firstLine="480" w:firstLineChars="200"/>
        <w:rPr>
          <w:rFonts w:cs="仿宋_GB2312"/>
          <w:color w:val="auto"/>
          <w:szCs w:val="24"/>
          <w:highlight w:val="none"/>
        </w:rPr>
      </w:pPr>
      <w:r>
        <w:rPr>
          <w:rFonts w:hint="eastAsia" w:cs="仿宋_GB2312"/>
          <w:color w:val="auto"/>
          <w:szCs w:val="24"/>
          <w:highlight w:val="none"/>
        </w:rPr>
        <w:t>投标人名称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hint="eastAsia" w:cs="仿宋_GB2312"/>
          <w:color w:val="auto"/>
          <w:szCs w:val="24"/>
          <w:highlight w:val="none"/>
        </w:rPr>
        <w:t>：</w:t>
      </w:r>
      <w:r>
        <w:rPr>
          <w:rFonts w:cs="仿宋_GB2312"/>
          <w:color w:val="auto"/>
          <w:szCs w:val="24"/>
          <w:highlight w:val="none"/>
        </w:rPr>
        <w:t xml:space="preserve"> </w:t>
      </w:r>
    </w:p>
    <w:p w14:paraId="360811C8">
      <w:pPr>
        <w:ind w:firstLine="420"/>
        <w:rPr>
          <w:rFonts w:cs="仿宋_GB2312"/>
          <w:color w:val="auto"/>
          <w:szCs w:val="24"/>
          <w:highlight w:val="none"/>
        </w:rPr>
      </w:pPr>
      <w:r>
        <w:rPr>
          <w:rFonts w:hint="eastAsia" w:cs="仿宋_GB2312"/>
          <w:color w:val="auto"/>
          <w:szCs w:val="24"/>
          <w:highlight w:val="none"/>
        </w:rPr>
        <w:t>日      期：</w:t>
      </w:r>
    </w:p>
    <w:p w14:paraId="095105C8">
      <w:pPr>
        <w:ind w:firstLine="420"/>
        <w:rPr>
          <w:rFonts w:cs="仿宋_GB2312"/>
          <w:color w:val="auto"/>
          <w:szCs w:val="24"/>
          <w:highlight w:val="none"/>
        </w:rPr>
      </w:pPr>
      <w:r>
        <w:rPr>
          <w:rFonts w:cs="仿宋_GB2312"/>
          <w:color w:val="auto"/>
          <w:szCs w:val="24"/>
          <w:highlight w:val="none"/>
        </w:rPr>
        <w:br w:type="page"/>
      </w:r>
    </w:p>
    <w:p w14:paraId="4E924C81">
      <w:pPr>
        <w:pStyle w:val="3"/>
        <w:bidi w:val="0"/>
        <w:jc w:val="center"/>
        <w:rPr>
          <w:rFonts w:hint="eastAsia"/>
          <w:lang w:val="en-US" w:eastAsia="zh-CN"/>
        </w:rPr>
      </w:pPr>
      <w:bookmarkStart w:id="663" w:name="_Toc13809"/>
      <w:r>
        <w:rPr>
          <w:rFonts w:hint="eastAsia"/>
          <w:lang w:val="en-US" w:eastAsia="zh-CN"/>
        </w:rPr>
        <w:t>八、拟派项目团队</w:t>
      </w:r>
      <w:bookmarkEnd w:id="663"/>
    </w:p>
    <w:tbl>
      <w:tblPr>
        <w:tblStyle w:val="31"/>
        <w:tblW w:w="9252" w:type="dxa"/>
        <w:tblInd w:w="-42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73"/>
        <w:gridCol w:w="1267"/>
        <w:gridCol w:w="1296"/>
        <w:gridCol w:w="1080"/>
        <w:gridCol w:w="804"/>
        <w:gridCol w:w="1860"/>
        <w:gridCol w:w="1356"/>
        <w:gridCol w:w="816"/>
      </w:tblGrid>
      <w:tr w14:paraId="377CEB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44" w:hRule="atLeast"/>
        </w:trPr>
        <w:tc>
          <w:tcPr>
            <w:tcW w:w="773" w:type="dxa"/>
            <w:vAlign w:val="center"/>
          </w:tcPr>
          <w:p w14:paraId="6B0F7825">
            <w:pPr>
              <w:pStyle w:val="52"/>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1267" w:type="dxa"/>
            <w:vAlign w:val="center"/>
          </w:tcPr>
          <w:p w14:paraId="1096055A">
            <w:pPr>
              <w:pStyle w:val="52"/>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团队成员</w:t>
            </w:r>
          </w:p>
          <w:p w14:paraId="09FA2F86">
            <w:pPr>
              <w:pStyle w:val="52"/>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姓名</w:t>
            </w:r>
          </w:p>
        </w:tc>
        <w:tc>
          <w:tcPr>
            <w:tcW w:w="1296" w:type="dxa"/>
            <w:tcBorders>
              <w:right w:val="single" w:color="auto" w:sz="4" w:space="0"/>
            </w:tcBorders>
            <w:vAlign w:val="center"/>
          </w:tcPr>
          <w:p w14:paraId="4D802FFD">
            <w:pPr>
              <w:pStyle w:val="52"/>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工作单位</w:t>
            </w:r>
          </w:p>
        </w:tc>
        <w:tc>
          <w:tcPr>
            <w:tcW w:w="1080" w:type="dxa"/>
            <w:tcBorders>
              <w:left w:val="single" w:color="auto" w:sz="4" w:space="0"/>
            </w:tcBorders>
            <w:vAlign w:val="center"/>
          </w:tcPr>
          <w:p w14:paraId="3116E3D2">
            <w:pPr>
              <w:pStyle w:val="52"/>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身份证号</w:t>
            </w:r>
          </w:p>
        </w:tc>
        <w:tc>
          <w:tcPr>
            <w:tcW w:w="804" w:type="dxa"/>
            <w:tcBorders>
              <w:left w:val="single" w:color="auto" w:sz="4" w:space="0"/>
            </w:tcBorders>
            <w:vAlign w:val="center"/>
          </w:tcPr>
          <w:p w14:paraId="1115941F">
            <w:pPr>
              <w:pStyle w:val="52"/>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职称</w:t>
            </w:r>
          </w:p>
        </w:tc>
        <w:tc>
          <w:tcPr>
            <w:tcW w:w="1860" w:type="dxa"/>
            <w:vAlign w:val="center"/>
          </w:tcPr>
          <w:p w14:paraId="57503923">
            <w:pPr>
              <w:pStyle w:val="52"/>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注册证书（岗位证书）名称及编号</w:t>
            </w:r>
          </w:p>
        </w:tc>
        <w:tc>
          <w:tcPr>
            <w:tcW w:w="1356" w:type="dxa"/>
            <w:vAlign w:val="center"/>
          </w:tcPr>
          <w:p w14:paraId="422D7D9F">
            <w:pPr>
              <w:pStyle w:val="52"/>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在团队中职务（岗位）</w:t>
            </w:r>
          </w:p>
        </w:tc>
        <w:tc>
          <w:tcPr>
            <w:tcW w:w="816" w:type="dxa"/>
            <w:vAlign w:val="center"/>
          </w:tcPr>
          <w:p w14:paraId="79229F16">
            <w:pPr>
              <w:pStyle w:val="52"/>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自有/外聘</w:t>
            </w:r>
          </w:p>
        </w:tc>
      </w:tr>
      <w:tr w14:paraId="34A624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239BDB40">
            <w:pPr>
              <w:pStyle w:val="52"/>
              <w:jc w:val="center"/>
              <w:rPr>
                <w:rFonts w:hint="eastAsia" w:ascii="宋体" w:hAnsi="宋体" w:eastAsia="宋体" w:cs="宋体"/>
                <w:color w:val="auto"/>
                <w:sz w:val="21"/>
                <w:szCs w:val="21"/>
                <w:highlight w:val="none"/>
              </w:rPr>
            </w:pPr>
            <w:bookmarkStart w:id="664" w:name="_Toc99533292"/>
            <w:bookmarkStart w:id="665" w:name="_Toc100090784"/>
            <w:r>
              <w:rPr>
                <w:rFonts w:hint="eastAsia" w:ascii="宋体" w:hAnsi="宋体" w:eastAsia="宋体" w:cs="宋体"/>
                <w:color w:val="auto"/>
                <w:sz w:val="21"/>
                <w:szCs w:val="21"/>
                <w:highlight w:val="none"/>
              </w:rPr>
              <w:t>1</w:t>
            </w:r>
            <w:bookmarkEnd w:id="664"/>
            <w:bookmarkEnd w:id="665"/>
          </w:p>
        </w:tc>
        <w:tc>
          <w:tcPr>
            <w:tcW w:w="1267" w:type="dxa"/>
            <w:vAlign w:val="center"/>
          </w:tcPr>
          <w:p w14:paraId="04D72608">
            <w:pPr>
              <w:pStyle w:val="52"/>
              <w:jc w:val="center"/>
              <w:rPr>
                <w:rFonts w:hint="eastAsia" w:ascii="宋体" w:hAnsi="宋体" w:eastAsia="宋体" w:cs="宋体"/>
                <w:color w:val="auto"/>
                <w:sz w:val="21"/>
                <w:szCs w:val="21"/>
                <w:highlight w:val="none"/>
              </w:rPr>
            </w:pPr>
          </w:p>
        </w:tc>
        <w:tc>
          <w:tcPr>
            <w:tcW w:w="1296" w:type="dxa"/>
            <w:tcBorders>
              <w:right w:val="single" w:color="auto" w:sz="4" w:space="0"/>
            </w:tcBorders>
            <w:vAlign w:val="center"/>
          </w:tcPr>
          <w:p w14:paraId="7C735158">
            <w:pPr>
              <w:pStyle w:val="52"/>
              <w:jc w:val="center"/>
              <w:rPr>
                <w:rFonts w:hint="eastAsia" w:ascii="宋体" w:hAnsi="宋体" w:eastAsia="宋体" w:cs="宋体"/>
                <w:color w:val="auto"/>
                <w:sz w:val="21"/>
                <w:szCs w:val="21"/>
                <w:highlight w:val="none"/>
              </w:rPr>
            </w:pPr>
          </w:p>
        </w:tc>
        <w:tc>
          <w:tcPr>
            <w:tcW w:w="1080" w:type="dxa"/>
            <w:tcBorders>
              <w:left w:val="single" w:color="auto" w:sz="4" w:space="0"/>
            </w:tcBorders>
            <w:vAlign w:val="center"/>
          </w:tcPr>
          <w:p w14:paraId="0EF6F977">
            <w:pPr>
              <w:pStyle w:val="52"/>
              <w:jc w:val="center"/>
              <w:rPr>
                <w:rFonts w:hint="eastAsia" w:ascii="宋体" w:hAnsi="宋体" w:eastAsia="宋体" w:cs="宋体"/>
                <w:color w:val="auto"/>
                <w:sz w:val="21"/>
                <w:szCs w:val="21"/>
                <w:highlight w:val="none"/>
              </w:rPr>
            </w:pPr>
          </w:p>
        </w:tc>
        <w:tc>
          <w:tcPr>
            <w:tcW w:w="804" w:type="dxa"/>
            <w:tcBorders>
              <w:left w:val="single" w:color="auto" w:sz="4" w:space="0"/>
            </w:tcBorders>
            <w:vAlign w:val="center"/>
          </w:tcPr>
          <w:p w14:paraId="3483447B">
            <w:pPr>
              <w:pStyle w:val="52"/>
              <w:jc w:val="center"/>
              <w:rPr>
                <w:rFonts w:hint="eastAsia" w:ascii="宋体" w:hAnsi="宋体" w:eastAsia="宋体" w:cs="宋体"/>
                <w:color w:val="auto"/>
                <w:sz w:val="21"/>
                <w:szCs w:val="21"/>
                <w:highlight w:val="none"/>
              </w:rPr>
            </w:pPr>
          </w:p>
        </w:tc>
        <w:tc>
          <w:tcPr>
            <w:tcW w:w="1860" w:type="dxa"/>
            <w:vAlign w:val="center"/>
          </w:tcPr>
          <w:p w14:paraId="7F355EC3">
            <w:pPr>
              <w:pStyle w:val="52"/>
              <w:jc w:val="center"/>
              <w:rPr>
                <w:rFonts w:hint="eastAsia" w:ascii="宋体" w:hAnsi="宋体" w:eastAsia="宋体" w:cs="宋体"/>
                <w:color w:val="auto"/>
                <w:sz w:val="21"/>
                <w:szCs w:val="21"/>
                <w:highlight w:val="none"/>
              </w:rPr>
            </w:pPr>
          </w:p>
        </w:tc>
        <w:tc>
          <w:tcPr>
            <w:tcW w:w="1356" w:type="dxa"/>
            <w:vAlign w:val="center"/>
          </w:tcPr>
          <w:p w14:paraId="2148FD62">
            <w:pPr>
              <w:pStyle w:val="52"/>
              <w:jc w:val="center"/>
              <w:rPr>
                <w:rFonts w:hint="eastAsia" w:ascii="宋体" w:hAnsi="宋体" w:eastAsia="宋体" w:cs="宋体"/>
                <w:color w:val="auto"/>
                <w:sz w:val="21"/>
                <w:szCs w:val="21"/>
                <w:highlight w:val="none"/>
              </w:rPr>
            </w:pPr>
          </w:p>
        </w:tc>
        <w:tc>
          <w:tcPr>
            <w:tcW w:w="816" w:type="dxa"/>
            <w:vAlign w:val="center"/>
          </w:tcPr>
          <w:p w14:paraId="30F5864D">
            <w:pPr>
              <w:pStyle w:val="52"/>
              <w:jc w:val="center"/>
              <w:rPr>
                <w:rFonts w:hint="eastAsia" w:ascii="宋体" w:hAnsi="宋体" w:eastAsia="宋体" w:cs="宋体"/>
                <w:color w:val="auto"/>
                <w:sz w:val="21"/>
                <w:szCs w:val="21"/>
                <w:highlight w:val="none"/>
              </w:rPr>
            </w:pPr>
          </w:p>
        </w:tc>
      </w:tr>
      <w:tr w14:paraId="19E49C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47F12C5C">
            <w:pPr>
              <w:pStyle w:val="52"/>
              <w:jc w:val="center"/>
              <w:rPr>
                <w:rFonts w:hint="eastAsia" w:ascii="宋体" w:hAnsi="宋体" w:eastAsia="宋体" w:cs="宋体"/>
                <w:color w:val="auto"/>
                <w:sz w:val="21"/>
                <w:szCs w:val="21"/>
                <w:highlight w:val="none"/>
              </w:rPr>
            </w:pPr>
            <w:bookmarkStart w:id="666" w:name="_Toc99533293"/>
            <w:bookmarkStart w:id="667" w:name="_Toc100090785"/>
            <w:r>
              <w:rPr>
                <w:rFonts w:hint="eastAsia" w:ascii="宋体" w:hAnsi="宋体" w:eastAsia="宋体" w:cs="宋体"/>
                <w:color w:val="auto"/>
                <w:sz w:val="21"/>
                <w:szCs w:val="21"/>
                <w:highlight w:val="none"/>
              </w:rPr>
              <w:t>2</w:t>
            </w:r>
            <w:bookmarkEnd w:id="666"/>
            <w:bookmarkEnd w:id="667"/>
          </w:p>
        </w:tc>
        <w:tc>
          <w:tcPr>
            <w:tcW w:w="1267" w:type="dxa"/>
            <w:vAlign w:val="center"/>
          </w:tcPr>
          <w:p w14:paraId="3AE14FF6">
            <w:pPr>
              <w:pStyle w:val="52"/>
              <w:jc w:val="center"/>
              <w:rPr>
                <w:rFonts w:hint="eastAsia" w:ascii="宋体" w:hAnsi="宋体" w:eastAsia="宋体" w:cs="宋体"/>
                <w:color w:val="auto"/>
                <w:sz w:val="21"/>
                <w:szCs w:val="21"/>
                <w:highlight w:val="none"/>
              </w:rPr>
            </w:pPr>
          </w:p>
        </w:tc>
        <w:tc>
          <w:tcPr>
            <w:tcW w:w="1296" w:type="dxa"/>
            <w:tcBorders>
              <w:right w:val="single" w:color="auto" w:sz="4" w:space="0"/>
            </w:tcBorders>
            <w:vAlign w:val="center"/>
          </w:tcPr>
          <w:p w14:paraId="06FFE829">
            <w:pPr>
              <w:pStyle w:val="52"/>
              <w:jc w:val="center"/>
              <w:rPr>
                <w:rFonts w:hint="eastAsia" w:ascii="宋体" w:hAnsi="宋体" w:eastAsia="宋体" w:cs="宋体"/>
                <w:color w:val="auto"/>
                <w:sz w:val="21"/>
                <w:szCs w:val="21"/>
                <w:highlight w:val="none"/>
              </w:rPr>
            </w:pPr>
          </w:p>
        </w:tc>
        <w:tc>
          <w:tcPr>
            <w:tcW w:w="1080" w:type="dxa"/>
            <w:tcBorders>
              <w:left w:val="single" w:color="auto" w:sz="4" w:space="0"/>
            </w:tcBorders>
            <w:vAlign w:val="center"/>
          </w:tcPr>
          <w:p w14:paraId="1A33E450">
            <w:pPr>
              <w:pStyle w:val="52"/>
              <w:jc w:val="center"/>
              <w:rPr>
                <w:rFonts w:hint="eastAsia" w:ascii="宋体" w:hAnsi="宋体" w:eastAsia="宋体" w:cs="宋体"/>
                <w:color w:val="auto"/>
                <w:sz w:val="21"/>
                <w:szCs w:val="21"/>
                <w:highlight w:val="none"/>
              </w:rPr>
            </w:pPr>
          </w:p>
        </w:tc>
        <w:tc>
          <w:tcPr>
            <w:tcW w:w="804" w:type="dxa"/>
            <w:tcBorders>
              <w:left w:val="single" w:color="auto" w:sz="4" w:space="0"/>
            </w:tcBorders>
            <w:vAlign w:val="center"/>
          </w:tcPr>
          <w:p w14:paraId="476ECD82">
            <w:pPr>
              <w:pStyle w:val="52"/>
              <w:jc w:val="center"/>
              <w:rPr>
                <w:rFonts w:hint="eastAsia" w:ascii="宋体" w:hAnsi="宋体" w:eastAsia="宋体" w:cs="宋体"/>
                <w:color w:val="auto"/>
                <w:sz w:val="21"/>
                <w:szCs w:val="21"/>
                <w:highlight w:val="none"/>
              </w:rPr>
            </w:pPr>
          </w:p>
        </w:tc>
        <w:tc>
          <w:tcPr>
            <w:tcW w:w="1860" w:type="dxa"/>
            <w:vAlign w:val="center"/>
          </w:tcPr>
          <w:p w14:paraId="390E678F">
            <w:pPr>
              <w:pStyle w:val="52"/>
              <w:jc w:val="center"/>
              <w:rPr>
                <w:rFonts w:hint="eastAsia" w:ascii="宋体" w:hAnsi="宋体" w:eastAsia="宋体" w:cs="宋体"/>
                <w:color w:val="auto"/>
                <w:sz w:val="21"/>
                <w:szCs w:val="21"/>
                <w:highlight w:val="none"/>
              </w:rPr>
            </w:pPr>
          </w:p>
        </w:tc>
        <w:tc>
          <w:tcPr>
            <w:tcW w:w="1356" w:type="dxa"/>
            <w:vAlign w:val="center"/>
          </w:tcPr>
          <w:p w14:paraId="77E48E09">
            <w:pPr>
              <w:pStyle w:val="52"/>
              <w:jc w:val="center"/>
              <w:rPr>
                <w:rFonts w:hint="eastAsia" w:ascii="宋体" w:hAnsi="宋体" w:eastAsia="宋体" w:cs="宋体"/>
                <w:color w:val="auto"/>
                <w:sz w:val="21"/>
                <w:szCs w:val="21"/>
                <w:highlight w:val="none"/>
              </w:rPr>
            </w:pPr>
          </w:p>
        </w:tc>
        <w:tc>
          <w:tcPr>
            <w:tcW w:w="816" w:type="dxa"/>
            <w:vAlign w:val="center"/>
          </w:tcPr>
          <w:p w14:paraId="3D8C0BFB">
            <w:pPr>
              <w:pStyle w:val="52"/>
              <w:jc w:val="center"/>
              <w:rPr>
                <w:rFonts w:hint="eastAsia" w:ascii="宋体" w:hAnsi="宋体" w:eastAsia="宋体" w:cs="宋体"/>
                <w:color w:val="auto"/>
                <w:sz w:val="21"/>
                <w:szCs w:val="21"/>
                <w:highlight w:val="none"/>
              </w:rPr>
            </w:pPr>
          </w:p>
        </w:tc>
      </w:tr>
      <w:tr w14:paraId="5F5E2B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0824241E">
            <w:pPr>
              <w:pStyle w:val="52"/>
              <w:jc w:val="center"/>
              <w:rPr>
                <w:rFonts w:hint="eastAsia" w:ascii="宋体" w:hAnsi="宋体" w:eastAsia="宋体" w:cs="宋体"/>
                <w:color w:val="auto"/>
                <w:sz w:val="21"/>
                <w:szCs w:val="21"/>
                <w:highlight w:val="none"/>
              </w:rPr>
            </w:pPr>
            <w:bookmarkStart w:id="668" w:name="_Toc100090786"/>
            <w:bookmarkStart w:id="669" w:name="_Toc99533294"/>
            <w:r>
              <w:rPr>
                <w:rFonts w:hint="eastAsia" w:ascii="宋体" w:hAnsi="宋体" w:eastAsia="宋体" w:cs="宋体"/>
                <w:color w:val="auto"/>
                <w:sz w:val="21"/>
                <w:szCs w:val="21"/>
                <w:highlight w:val="none"/>
              </w:rPr>
              <w:t>3</w:t>
            </w:r>
            <w:bookmarkEnd w:id="668"/>
            <w:bookmarkEnd w:id="669"/>
          </w:p>
        </w:tc>
        <w:tc>
          <w:tcPr>
            <w:tcW w:w="1267" w:type="dxa"/>
            <w:vAlign w:val="center"/>
          </w:tcPr>
          <w:p w14:paraId="19C12411">
            <w:pPr>
              <w:pStyle w:val="52"/>
              <w:jc w:val="center"/>
              <w:rPr>
                <w:rFonts w:hint="eastAsia" w:ascii="宋体" w:hAnsi="宋体" w:eastAsia="宋体" w:cs="宋体"/>
                <w:color w:val="auto"/>
                <w:sz w:val="21"/>
                <w:szCs w:val="21"/>
                <w:highlight w:val="none"/>
              </w:rPr>
            </w:pPr>
          </w:p>
        </w:tc>
        <w:tc>
          <w:tcPr>
            <w:tcW w:w="1296" w:type="dxa"/>
            <w:tcBorders>
              <w:right w:val="single" w:color="auto" w:sz="4" w:space="0"/>
            </w:tcBorders>
            <w:vAlign w:val="center"/>
          </w:tcPr>
          <w:p w14:paraId="1E33B914">
            <w:pPr>
              <w:pStyle w:val="52"/>
              <w:jc w:val="center"/>
              <w:rPr>
                <w:rFonts w:hint="eastAsia" w:ascii="宋体" w:hAnsi="宋体" w:eastAsia="宋体" w:cs="宋体"/>
                <w:color w:val="auto"/>
                <w:sz w:val="21"/>
                <w:szCs w:val="21"/>
                <w:highlight w:val="none"/>
              </w:rPr>
            </w:pPr>
          </w:p>
        </w:tc>
        <w:tc>
          <w:tcPr>
            <w:tcW w:w="1080" w:type="dxa"/>
            <w:tcBorders>
              <w:left w:val="single" w:color="auto" w:sz="4" w:space="0"/>
            </w:tcBorders>
            <w:vAlign w:val="center"/>
          </w:tcPr>
          <w:p w14:paraId="70C10384">
            <w:pPr>
              <w:pStyle w:val="52"/>
              <w:jc w:val="center"/>
              <w:rPr>
                <w:rFonts w:hint="eastAsia" w:ascii="宋体" w:hAnsi="宋体" w:eastAsia="宋体" w:cs="宋体"/>
                <w:color w:val="auto"/>
                <w:sz w:val="21"/>
                <w:szCs w:val="21"/>
                <w:highlight w:val="none"/>
              </w:rPr>
            </w:pPr>
          </w:p>
        </w:tc>
        <w:tc>
          <w:tcPr>
            <w:tcW w:w="804" w:type="dxa"/>
            <w:tcBorders>
              <w:left w:val="single" w:color="auto" w:sz="4" w:space="0"/>
            </w:tcBorders>
            <w:vAlign w:val="center"/>
          </w:tcPr>
          <w:p w14:paraId="657B47D5">
            <w:pPr>
              <w:pStyle w:val="52"/>
              <w:jc w:val="center"/>
              <w:rPr>
                <w:rFonts w:hint="eastAsia" w:ascii="宋体" w:hAnsi="宋体" w:eastAsia="宋体" w:cs="宋体"/>
                <w:color w:val="auto"/>
                <w:sz w:val="21"/>
                <w:szCs w:val="21"/>
                <w:highlight w:val="none"/>
              </w:rPr>
            </w:pPr>
          </w:p>
        </w:tc>
        <w:tc>
          <w:tcPr>
            <w:tcW w:w="1860" w:type="dxa"/>
            <w:vAlign w:val="center"/>
          </w:tcPr>
          <w:p w14:paraId="3F31D2CD">
            <w:pPr>
              <w:pStyle w:val="52"/>
              <w:jc w:val="center"/>
              <w:rPr>
                <w:rFonts w:hint="eastAsia" w:ascii="宋体" w:hAnsi="宋体" w:eastAsia="宋体" w:cs="宋体"/>
                <w:color w:val="auto"/>
                <w:sz w:val="21"/>
                <w:szCs w:val="21"/>
                <w:highlight w:val="none"/>
              </w:rPr>
            </w:pPr>
          </w:p>
        </w:tc>
        <w:tc>
          <w:tcPr>
            <w:tcW w:w="1356" w:type="dxa"/>
            <w:vAlign w:val="center"/>
          </w:tcPr>
          <w:p w14:paraId="107FDE9E">
            <w:pPr>
              <w:pStyle w:val="52"/>
              <w:jc w:val="center"/>
              <w:rPr>
                <w:rFonts w:hint="eastAsia" w:ascii="宋体" w:hAnsi="宋体" w:eastAsia="宋体" w:cs="宋体"/>
                <w:color w:val="auto"/>
                <w:sz w:val="21"/>
                <w:szCs w:val="21"/>
                <w:highlight w:val="none"/>
              </w:rPr>
            </w:pPr>
          </w:p>
        </w:tc>
        <w:tc>
          <w:tcPr>
            <w:tcW w:w="816" w:type="dxa"/>
            <w:vAlign w:val="center"/>
          </w:tcPr>
          <w:p w14:paraId="0ED9D4FB">
            <w:pPr>
              <w:pStyle w:val="52"/>
              <w:jc w:val="center"/>
              <w:rPr>
                <w:rFonts w:hint="eastAsia" w:ascii="宋体" w:hAnsi="宋体" w:eastAsia="宋体" w:cs="宋体"/>
                <w:color w:val="auto"/>
                <w:sz w:val="21"/>
                <w:szCs w:val="21"/>
                <w:highlight w:val="none"/>
              </w:rPr>
            </w:pPr>
          </w:p>
        </w:tc>
      </w:tr>
      <w:tr w14:paraId="72391D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329A399B">
            <w:pPr>
              <w:pStyle w:val="52"/>
              <w:jc w:val="center"/>
              <w:rPr>
                <w:rFonts w:hint="eastAsia" w:ascii="宋体" w:hAnsi="宋体" w:eastAsia="宋体" w:cs="宋体"/>
                <w:color w:val="auto"/>
                <w:sz w:val="21"/>
                <w:szCs w:val="21"/>
                <w:highlight w:val="none"/>
              </w:rPr>
            </w:pPr>
            <w:bookmarkStart w:id="670" w:name="_Toc99533295"/>
            <w:bookmarkStart w:id="671" w:name="_Toc100090787"/>
            <w:r>
              <w:rPr>
                <w:rFonts w:hint="eastAsia" w:ascii="宋体" w:hAnsi="宋体" w:eastAsia="宋体" w:cs="宋体"/>
                <w:color w:val="auto"/>
                <w:sz w:val="21"/>
                <w:szCs w:val="21"/>
                <w:highlight w:val="none"/>
              </w:rPr>
              <w:t>4</w:t>
            </w:r>
            <w:bookmarkEnd w:id="670"/>
            <w:bookmarkEnd w:id="671"/>
          </w:p>
        </w:tc>
        <w:tc>
          <w:tcPr>
            <w:tcW w:w="1267" w:type="dxa"/>
            <w:vAlign w:val="center"/>
          </w:tcPr>
          <w:p w14:paraId="42DE0F63">
            <w:pPr>
              <w:pStyle w:val="52"/>
              <w:jc w:val="center"/>
              <w:rPr>
                <w:rFonts w:hint="eastAsia" w:ascii="宋体" w:hAnsi="宋体" w:eastAsia="宋体" w:cs="宋体"/>
                <w:color w:val="auto"/>
                <w:sz w:val="21"/>
                <w:szCs w:val="21"/>
                <w:highlight w:val="none"/>
              </w:rPr>
            </w:pPr>
          </w:p>
        </w:tc>
        <w:tc>
          <w:tcPr>
            <w:tcW w:w="1296" w:type="dxa"/>
            <w:tcBorders>
              <w:right w:val="single" w:color="auto" w:sz="4" w:space="0"/>
            </w:tcBorders>
            <w:vAlign w:val="center"/>
          </w:tcPr>
          <w:p w14:paraId="3CA0809C">
            <w:pPr>
              <w:pStyle w:val="52"/>
              <w:jc w:val="center"/>
              <w:rPr>
                <w:rFonts w:hint="eastAsia" w:ascii="宋体" w:hAnsi="宋体" w:eastAsia="宋体" w:cs="宋体"/>
                <w:color w:val="auto"/>
                <w:sz w:val="21"/>
                <w:szCs w:val="21"/>
                <w:highlight w:val="none"/>
              </w:rPr>
            </w:pPr>
          </w:p>
        </w:tc>
        <w:tc>
          <w:tcPr>
            <w:tcW w:w="1080" w:type="dxa"/>
            <w:tcBorders>
              <w:left w:val="single" w:color="auto" w:sz="4" w:space="0"/>
            </w:tcBorders>
            <w:vAlign w:val="center"/>
          </w:tcPr>
          <w:p w14:paraId="6D63F4E6">
            <w:pPr>
              <w:pStyle w:val="52"/>
              <w:jc w:val="center"/>
              <w:rPr>
                <w:rFonts w:hint="eastAsia" w:ascii="宋体" w:hAnsi="宋体" w:eastAsia="宋体" w:cs="宋体"/>
                <w:color w:val="auto"/>
                <w:sz w:val="21"/>
                <w:szCs w:val="21"/>
                <w:highlight w:val="none"/>
              </w:rPr>
            </w:pPr>
          </w:p>
        </w:tc>
        <w:tc>
          <w:tcPr>
            <w:tcW w:w="804" w:type="dxa"/>
            <w:tcBorders>
              <w:left w:val="single" w:color="auto" w:sz="4" w:space="0"/>
            </w:tcBorders>
            <w:vAlign w:val="center"/>
          </w:tcPr>
          <w:p w14:paraId="496384D0">
            <w:pPr>
              <w:pStyle w:val="52"/>
              <w:jc w:val="center"/>
              <w:rPr>
                <w:rFonts w:hint="eastAsia" w:ascii="宋体" w:hAnsi="宋体" w:eastAsia="宋体" w:cs="宋体"/>
                <w:color w:val="auto"/>
                <w:sz w:val="21"/>
                <w:szCs w:val="21"/>
                <w:highlight w:val="none"/>
              </w:rPr>
            </w:pPr>
          </w:p>
        </w:tc>
        <w:tc>
          <w:tcPr>
            <w:tcW w:w="1860" w:type="dxa"/>
            <w:vAlign w:val="center"/>
          </w:tcPr>
          <w:p w14:paraId="068007BF">
            <w:pPr>
              <w:pStyle w:val="52"/>
              <w:jc w:val="center"/>
              <w:rPr>
                <w:rFonts w:hint="eastAsia" w:ascii="宋体" w:hAnsi="宋体" w:eastAsia="宋体" w:cs="宋体"/>
                <w:color w:val="auto"/>
                <w:sz w:val="21"/>
                <w:szCs w:val="21"/>
                <w:highlight w:val="none"/>
              </w:rPr>
            </w:pPr>
          </w:p>
        </w:tc>
        <w:tc>
          <w:tcPr>
            <w:tcW w:w="1356" w:type="dxa"/>
            <w:vAlign w:val="center"/>
          </w:tcPr>
          <w:p w14:paraId="7A6D63FA">
            <w:pPr>
              <w:pStyle w:val="52"/>
              <w:jc w:val="center"/>
              <w:rPr>
                <w:rFonts w:hint="eastAsia" w:ascii="宋体" w:hAnsi="宋体" w:eastAsia="宋体" w:cs="宋体"/>
                <w:color w:val="auto"/>
                <w:sz w:val="21"/>
                <w:szCs w:val="21"/>
                <w:highlight w:val="none"/>
              </w:rPr>
            </w:pPr>
          </w:p>
        </w:tc>
        <w:tc>
          <w:tcPr>
            <w:tcW w:w="816" w:type="dxa"/>
            <w:vAlign w:val="center"/>
          </w:tcPr>
          <w:p w14:paraId="01F1E6DB">
            <w:pPr>
              <w:pStyle w:val="52"/>
              <w:jc w:val="center"/>
              <w:rPr>
                <w:rFonts w:hint="eastAsia" w:ascii="宋体" w:hAnsi="宋体" w:eastAsia="宋体" w:cs="宋体"/>
                <w:color w:val="auto"/>
                <w:sz w:val="21"/>
                <w:szCs w:val="21"/>
                <w:highlight w:val="none"/>
              </w:rPr>
            </w:pPr>
          </w:p>
        </w:tc>
      </w:tr>
      <w:tr w14:paraId="67CF6A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61FE3797">
            <w:pPr>
              <w:pStyle w:val="52"/>
              <w:jc w:val="center"/>
              <w:rPr>
                <w:rFonts w:hint="eastAsia" w:ascii="宋体" w:hAnsi="宋体" w:eastAsia="宋体" w:cs="宋体"/>
                <w:color w:val="auto"/>
                <w:sz w:val="21"/>
                <w:szCs w:val="21"/>
                <w:highlight w:val="none"/>
              </w:rPr>
            </w:pPr>
            <w:bookmarkStart w:id="672" w:name="_Toc100090788"/>
            <w:bookmarkStart w:id="673" w:name="_Toc99533296"/>
            <w:r>
              <w:rPr>
                <w:rFonts w:hint="eastAsia" w:ascii="宋体" w:hAnsi="宋体" w:eastAsia="宋体" w:cs="宋体"/>
                <w:color w:val="auto"/>
                <w:sz w:val="21"/>
                <w:szCs w:val="21"/>
                <w:highlight w:val="none"/>
              </w:rPr>
              <w:t>5</w:t>
            </w:r>
            <w:bookmarkEnd w:id="672"/>
            <w:bookmarkEnd w:id="673"/>
          </w:p>
        </w:tc>
        <w:tc>
          <w:tcPr>
            <w:tcW w:w="1267" w:type="dxa"/>
            <w:vAlign w:val="center"/>
          </w:tcPr>
          <w:p w14:paraId="3241008C">
            <w:pPr>
              <w:pStyle w:val="52"/>
              <w:jc w:val="center"/>
              <w:rPr>
                <w:rFonts w:hint="eastAsia" w:ascii="宋体" w:hAnsi="宋体" w:eastAsia="宋体" w:cs="宋体"/>
                <w:color w:val="auto"/>
                <w:sz w:val="21"/>
                <w:szCs w:val="21"/>
                <w:highlight w:val="none"/>
              </w:rPr>
            </w:pPr>
          </w:p>
        </w:tc>
        <w:tc>
          <w:tcPr>
            <w:tcW w:w="1296" w:type="dxa"/>
            <w:tcBorders>
              <w:right w:val="single" w:color="auto" w:sz="4" w:space="0"/>
            </w:tcBorders>
            <w:vAlign w:val="center"/>
          </w:tcPr>
          <w:p w14:paraId="3999E45B">
            <w:pPr>
              <w:pStyle w:val="52"/>
              <w:jc w:val="center"/>
              <w:rPr>
                <w:rFonts w:hint="eastAsia" w:ascii="宋体" w:hAnsi="宋体" w:eastAsia="宋体" w:cs="宋体"/>
                <w:color w:val="auto"/>
                <w:sz w:val="21"/>
                <w:szCs w:val="21"/>
                <w:highlight w:val="none"/>
              </w:rPr>
            </w:pPr>
          </w:p>
        </w:tc>
        <w:tc>
          <w:tcPr>
            <w:tcW w:w="1080" w:type="dxa"/>
            <w:tcBorders>
              <w:left w:val="single" w:color="auto" w:sz="4" w:space="0"/>
            </w:tcBorders>
            <w:vAlign w:val="center"/>
          </w:tcPr>
          <w:p w14:paraId="64009478">
            <w:pPr>
              <w:pStyle w:val="52"/>
              <w:jc w:val="center"/>
              <w:rPr>
                <w:rFonts w:hint="eastAsia" w:ascii="宋体" w:hAnsi="宋体" w:eastAsia="宋体" w:cs="宋体"/>
                <w:color w:val="auto"/>
                <w:sz w:val="21"/>
                <w:szCs w:val="21"/>
                <w:highlight w:val="none"/>
              </w:rPr>
            </w:pPr>
          </w:p>
        </w:tc>
        <w:tc>
          <w:tcPr>
            <w:tcW w:w="804" w:type="dxa"/>
            <w:tcBorders>
              <w:left w:val="single" w:color="auto" w:sz="4" w:space="0"/>
            </w:tcBorders>
            <w:vAlign w:val="center"/>
          </w:tcPr>
          <w:p w14:paraId="75153765">
            <w:pPr>
              <w:pStyle w:val="52"/>
              <w:jc w:val="center"/>
              <w:rPr>
                <w:rFonts w:hint="eastAsia" w:ascii="宋体" w:hAnsi="宋体" w:eastAsia="宋体" w:cs="宋体"/>
                <w:color w:val="auto"/>
                <w:sz w:val="21"/>
                <w:szCs w:val="21"/>
                <w:highlight w:val="none"/>
              </w:rPr>
            </w:pPr>
          </w:p>
        </w:tc>
        <w:tc>
          <w:tcPr>
            <w:tcW w:w="1860" w:type="dxa"/>
            <w:vAlign w:val="center"/>
          </w:tcPr>
          <w:p w14:paraId="12AB49C0">
            <w:pPr>
              <w:pStyle w:val="52"/>
              <w:jc w:val="center"/>
              <w:rPr>
                <w:rFonts w:hint="eastAsia" w:ascii="宋体" w:hAnsi="宋体" w:eastAsia="宋体" w:cs="宋体"/>
                <w:color w:val="auto"/>
                <w:sz w:val="21"/>
                <w:szCs w:val="21"/>
                <w:highlight w:val="none"/>
              </w:rPr>
            </w:pPr>
          </w:p>
        </w:tc>
        <w:tc>
          <w:tcPr>
            <w:tcW w:w="1356" w:type="dxa"/>
            <w:vAlign w:val="center"/>
          </w:tcPr>
          <w:p w14:paraId="3943C72A">
            <w:pPr>
              <w:pStyle w:val="52"/>
              <w:jc w:val="center"/>
              <w:rPr>
                <w:rFonts w:hint="eastAsia" w:ascii="宋体" w:hAnsi="宋体" w:eastAsia="宋体" w:cs="宋体"/>
                <w:color w:val="auto"/>
                <w:sz w:val="21"/>
                <w:szCs w:val="21"/>
                <w:highlight w:val="none"/>
              </w:rPr>
            </w:pPr>
          </w:p>
        </w:tc>
        <w:tc>
          <w:tcPr>
            <w:tcW w:w="816" w:type="dxa"/>
            <w:vAlign w:val="center"/>
          </w:tcPr>
          <w:p w14:paraId="5FBE7410">
            <w:pPr>
              <w:pStyle w:val="52"/>
              <w:jc w:val="center"/>
              <w:rPr>
                <w:rFonts w:hint="eastAsia" w:ascii="宋体" w:hAnsi="宋体" w:eastAsia="宋体" w:cs="宋体"/>
                <w:color w:val="auto"/>
                <w:sz w:val="21"/>
                <w:szCs w:val="21"/>
                <w:highlight w:val="none"/>
              </w:rPr>
            </w:pPr>
          </w:p>
        </w:tc>
      </w:tr>
      <w:tr w14:paraId="053F8B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07DED61F">
            <w:pPr>
              <w:pStyle w:val="52"/>
              <w:jc w:val="center"/>
              <w:rPr>
                <w:rFonts w:hint="eastAsia" w:ascii="宋体" w:hAnsi="宋体" w:eastAsia="宋体" w:cs="宋体"/>
                <w:color w:val="auto"/>
                <w:sz w:val="21"/>
                <w:szCs w:val="21"/>
                <w:highlight w:val="none"/>
              </w:rPr>
            </w:pPr>
            <w:bookmarkStart w:id="674" w:name="_Toc99533297"/>
            <w:bookmarkStart w:id="675" w:name="_Toc100090789"/>
            <w:r>
              <w:rPr>
                <w:rFonts w:hint="eastAsia" w:ascii="宋体" w:hAnsi="宋体" w:eastAsia="宋体" w:cs="宋体"/>
                <w:color w:val="auto"/>
                <w:sz w:val="21"/>
                <w:szCs w:val="21"/>
                <w:highlight w:val="none"/>
              </w:rPr>
              <w:t>6</w:t>
            </w:r>
            <w:bookmarkEnd w:id="674"/>
            <w:bookmarkEnd w:id="675"/>
          </w:p>
        </w:tc>
        <w:tc>
          <w:tcPr>
            <w:tcW w:w="1267" w:type="dxa"/>
            <w:vAlign w:val="center"/>
          </w:tcPr>
          <w:p w14:paraId="40527E11">
            <w:pPr>
              <w:pStyle w:val="52"/>
              <w:jc w:val="center"/>
              <w:rPr>
                <w:rFonts w:hint="eastAsia" w:ascii="宋体" w:hAnsi="宋体" w:eastAsia="宋体" w:cs="宋体"/>
                <w:color w:val="auto"/>
                <w:sz w:val="21"/>
                <w:szCs w:val="21"/>
                <w:highlight w:val="none"/>
              </w:rPr>
            </w:pPr>
          </w:p>
        </w:tc>
        <w:tc>
          <w:tcPr>
            <w:tcW w:w="1296" w:type="dxa"/>
            <w:tcBorders>
              <w:right w:val="single" w:color="auto" w:sz="4" w:space="0"/>
            </w:tcBorders>
            <w:vAlign w:val="center"/>
          </w:tcPr>
          <w:p w14:paraId="16947C68">
            <w:pPr>
              <w:pStyle w:val="52"/>
              <w:jc w:val="center"/>
              <w:rPr>
                <w:rFonts w:hint="eastAsia" w:ascii="宋体" w:hAnsi="宋体" w:eastAsia="宋体" w:cs="宋体"/>
                <w:color w:val="auto"/>
                <w:sz w:val="21"/>
                <w:szCs w:val="21"/>
                <w:highlight w:val="none"/>
              </w:rPr>
            </w:pPr>
          </w:p>
        </w:tc>
        <w:tc>
          <w:tcPr>
            <w:tcW w:w="1080" w:type="dxa"/>
            <w:tcBorders>
              <w:left w:val="single" w:color="auto" w:sz="4" w:space="0"/>
            </w:tcBorders>
            <w:vAlign w:val="center"/>
          </w:tcPr>
          <w:p w14:paraId="1666B8AD">
            <w:pPr>
              <w:pStyle w:val="52"/>
              <w:jc w:val="center"/>
              <w:rPr>
                <w:rFonts w:hint="eastAsia" w:ascii="宋体" w:hAnsi="宋体" w:eastAsia="宋体" w:cs="宋体"/>
                <w:color w:val="auto"/>
                <w:sz w:val="21"/>
                <w:szCs w:val="21"/>
                <w:highlight w:val="none"/>
              </w:rPr>
            </w:pPr>
          </w:p>
        </w:tc>
        <w:tc>
          <w:tcPr>
            <w:tcW w:w="804" w:type="dxa"/>
            <w:tcBorders>
              <w:left w:val="single" w:color="auto" w:sz="4" w:space="0"/>
            </w:tcBorders>
            <w:vAlign w:val="center"/>
          </w:tcPr>
          <w:p w14:paraId="45256EB9">
            <w:pPr>
              <w:pStyle w:val="52"/>
              <w:jc w:val="center"/>
              <w:rPr>
                <w:rFonts w:hint="eastAsia" w:ascii="宋体" w:hAnsi="宋体" w:eastAsia="宋体" w:cs="宋体"/>
                <w:color w:val="auto"/>
                <w:sz w:val="21"/>
                <w:szCs w:val="21"/>
                <w:highlight w:val="none"/>
              </w:rPr>
            </w:pPr>
          </w:p>
        </w:tc>
        <w:tc>
          <w:tcPr>
            <w:tcW w:w="1860" w:type="dxa"/>
            <w:vAlign w:val="center"/>
          </w:tcPr>
          <w:p w14:paraId="51ADEB68">
            <w:pPr>
              <w:pStyle w:val="52"/>
              <w:jc w:val="center"/>
              <w:rPr>
                <w:rFonts w:hint="eastAsia" w:ascii="宋体" w:hAnsi="宋体" w:eastAsia="宋体" w:cs="宋体"/>
                <w:color w:val="auto"/>
                <w:sz w:val="21"/>
                <w:szCs w:val="21"/>
                <w:highlight w:val="none"/>
              </w:rPr>
            </w:pPr>
          </w:p>
        </w:tc>
        <w:tc>
          <w:tcPr>
            <w:tcW w:w="1356" w:type="dxa"/>
            <w:vAlign w:val="center"/>
          </w:tcPr>
          <w:p w14:paraId="6FF03D95">
            <w:pPr>
              <w:pStyle w:val="52"/>
              <w:jc w:val="center"/>
              <w:rPr>
                <w:rFonts w:hint="eastAsia" w:ascii="宋体" w:hAnsi="宋体" w:eastAsia="宋体" w:cs="宋体"/>
                <w:color w:val="auto"/>
                <w:sz w:val="21"/>
                <w:szCs w:val="21"/>
                <w:highlight w:val="none"/>
              </w:rPr>
            </w:pPr>
          </w:p>
        </w:tc>
        <w:tc>
          <w:tcPr>
            <w:tcW w:w="816" w:type="dxa"/>
            <w:vAlign w:val="center"/>
          </w:tcPr>
          <w:p w14:paraId="4EF8AB8A">
            <w:pPr>
              <w:pStyle w:val="52"/>
              <w:jc w:val="center"/>
              <w:rPr>
                <w:rFonts w:hint="eastAsia" w:ascii="宋体" w:hAnsi="宋体" w:eastAsia="宋体" w:cs="宋体"/>
                <w:color w:val="auto"/>
                <w:sz w:val="21"/>
                <w:szCs w:val="21"/>
                <w:highlight w:val="none"/>
              </w:rPr>
            </w:pPr>
          </w:p>
        </w:tc>
      </w:tr>
      <w:tr w14:paraId="661CA4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6AA4734C">
            <w:pPr>
              <w:pStyle w:val="52"/>
              <w:jc w:val="center"/>
              <w:rPr>
                <w:rFonts w:hint="eastAsia" w:ascii="宋体" w:hAnsi="宋体" w:eastAsia="宋体" w:cs="宋体"/>
                <w:color w:val="auto"/>
                <w:sz w:val="21"/>
                <w:szCs w:val="21"/>
                <w:highlight w:val="none"/>
              </w:rPr>
            </w:pPr>
            <w:bookmarkStart w:id="676" w:name="_Toc100090790"/>
            <w:bookmarkStart w:id="677" w:name="_Toc99533298"/>
            <w:r>
              <w:rPr>
                <w:rFonts w:hint="eastAsia" w:ascii="宋体" w:hAnsi="宋体" w:eastAsia="宋体" w:cs="宋体"/>
                <w:color w:val="auto"/>
                <w:sz w:val="21"/>
                <w:szCs w:val="21"/>
                <w:highlight w:val="none"/>
              </w:rPr>
              <w:t>7</w:t>
            </w:r>
            <w:bookmarkEnd w:id="676"/>
            <w:bookmarkEnd w:id="677"/>
          </w:p>
        </w:tc>
        <w:tc>
          <w:tcPr>
            <w:tcW w:w="1267" w:type="dxa"/>
            <w:vAlign w:val="center"/>
          </w:tcPr>
          <w:p w14:paraId="3F3B684D">
            <w:pPr>
              <w:pStyle w:val="52"/>
              <w:jc w:val="center"/>
              <w:rPr>
                <w:rFonts w:hint="eastAsia" w:ascii="宋体" w:hAnsi="宋体" w:eastAsia="宋体" w:cs="宋体"/>
                <w:color w:val="auto"/>
                <w:sz w:val="21"/>
                <w:szCs w:val="21"/>
                <w:highlight w:val="none"/>
              </w:rPr>
            </w:pPr>
          </w:p>
        </w:tc>
        <w:tc>
          <w:tcPr>
            <w:tcW w:w="1296" w:type="dxa"/>
            <w:tcBorders>
              <w:right w:val="single" w:color="auto" w:sz="4" w:space="0"/>
            </w:tcBorders>
            <w:vAlign w:val="center"/>
          </w:tcPr>
          <w:p w14:paraId="78032A99">
            <w:pPr>
              <w:pStyle w:val="52"/>
              <w:jc w:val="center"/>
              <w:rPr>
                <w:rFonts w:hint="eastAsia" w:ascii="宋体" w:hAnsi="宋体" w:eastAsia="宋体" w:cs="宋体"/>
                <w:color w:val="auto"/>
                <w:sz w:val="21"/>
                <w:szCs w:val="21"/>
                <w:highlight w:val="none"/>
              </w:rPr>
            </w:pPr>
          </w:p>
        </w:tc>
        <w:tc>
          <w:tcPr>
            <w:tcW w:w="1080" w:type="dxa"/>
            <w:tcBorders>
              <w:left w:val="single" w:color="auto" w:sz="4" w:space="0"/>
            </w:tcBorders>
            <w:vAlign w:val="center"/>
          </w:tcPr>
          <w:p w14:paraId="601AE572">
            <w:pPr>
              <w:pStyle w:val="52"/>
              <w:jc w:val="center"/>
              <w:rPr>
                <w:rFonts w:hint="eastAsia" w:ascii="宋体" w:hAnsi="宋体" w:eastAsia="宋体" w:cs="宋体"/>
                <w:color w:val="auto"/>
                <w:sz w:val="21"/>
                <w:szCs w:val="21"/>
                <w:highlight w:val="none"/>
              </w:rPr>
            </w:pPr>
          </w:p>
        </w:tc>
        <w:tc>
          <w:tcPr>
            <w:tcW w:w="804" w:type="dxa"/>
            <w:tcBorders>
              <w:left w:val="single" w:color="auto" w:sz="4" w:space="0"/>
            </w:tcBorders>
            <w:vAlign w:val="center"/>
          </w:tcPr>
          <w:p w14:paraId="01172C19">
            <w:pPr>
              <w:pStyle w:val="52"/>
              <w:jc w:val="center"/>
              <w:rPr>
                <w:rFonts w:hint="eastAsia" w:ascii="宋体" w:hAnsi="宋体" w:eastAsia="宋体" w:cs="宋体"/>
                <w:color w:val="auto"/>
                <w:sz w:val="21"/>
                <w:szCs w:val="21"/>
                <w:highlight w:val="none"/>
              </w:rPr>
            </w:pPr>
          </w:p>
        </w:tc>
        <w:tc>
          <w:tcPr>
            <w:tcW w:w="1860" w:type="dxa"/>
            <w:vAlign w:val="center"/>
          </w:tcPr>
          <w:p w14:paraId="7E9B2A2D">
            <w:pPr>
              <w:pStyle w:val="52"/>
              <w:jc w:val="center"/>
              <w:rPr>
                <w:rFonts w:hint="eastAsia" w:ascii="宋体" w:hAnsi="宋体" w:eastAsia="宋体" w:cs="宋体"/>
                <w:color w:val="auto"/>
                <w:sz w:val="21"/>
                <w:szCs w:val="21"/>
                <w:highlight w:val="none"/>
              </w:rPr>
            </w:pPr>
          </w:p>
        </w:tc>
        <w:tc>
          <w:tcPr>
            <w:tcW w:w="1356" w:type="dxa"/>
            <w:vAlign w:val="center"/>
          </w:tcPr>
          <w:p w14:paraId="5FBF328E">
            <w:pPr>
              <w:pStyle w:val="52"/>
              <w:jc w:val="center"/>
              <w:rPr>
                <w:rFonts w:hint="eastAsia" w:ascii="宋体" w:hAnsi="宋体" w:eastAsia="宋体" w:cs="宋体"/>
                <w:color w:val="auto"/>
                <w:sz w:val="21"/>
                <w:szCs w:val="21"/>
                <w:highlight w:val="none"/>
              </w:rPr>
            </w:pPr>
          </w:p>
        </w:tc>
        <w:tc>
          <w:tcPr>
            <w:tcW w:w="816" w:type="dxa"/>
            <w:vAlign w:val="center"/>
          </w:tcPr>
          <w:p w14:paraId="718DD530">
            <w:pPr>
              <w:pStyle w:val="52"/>
              <w:jc w:val="center"/>
              <w:rPr>
                <w:rFonts w:hint="eastAsia" w:ascii="宋体" w:hAnsi="宋体" w:eastAsia="宋体" w:cs="宋体"/>
                <w:color w:val="auto"/>
                <w:sz w:val="21"/>
                <w:szCs w:val="21"/>
                <w:highlight w:val="none"/>
              </w:rPr>
            </w:pPr>
          </w:p>
        </w:tc>
      </w:tr>
      <w:tr w14:paraId="5E0A6F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603F7F8C">
            <w:pPr>
              <w:pStyle w:val="52"/>
              <w:jc w:val="center"/>
              <w:rPr>
                <w:rFonts w:hint="eastAsia" w:ascii="宋体" w:hAnsi="宋体" w:eastAsia="宋体" w:cs="宋体"/>
                <w:color w:val="auto"/>
                <w:sz w:val="21"/>
                <w:szCs w:val="21"/>
                <w:highlight w:val="none"/>
              </w:rPr>
            </w:pPr>
            <w:bookmarkStart w:id="678" w:name="_Toc100090791"/>
            <w:bookmarkStart w:id="679" w:name="_Toc99533299"/>
            <w:r>
              <w:rPr>
                <w:rFonts w:hint="eastAsia" w:ascii="宋体" w:hAnsi="宋体" w:eastAsia="宋体" w:cs="宋体"/>
                <w:color w:val="auto"/>
                <w:sz w:val="21"/>
                <w:szCs w:val="21"/>
                <w:highlight w:val="none"/>
              </w:rPr>
              <w:t>8</w:t>
            </w:r>
            <w:bookmarkEnd w:id="678"/>
            <w:bookmarkEnd w:id="679"/>
          </w:p>
        </w:tc>
        <w:tc>
          <w:tcPr>
            <w:tcW w:w="1267" w:type="dxa"/>
            <w:vAlign w:val="center"/>
          </w:tcPr>
          <w:p w14:paraId="20BD29D0">
            <w:pPr>
              <w:pStyle w:val="52"/>
              <w:jc w:val="center"/>
              <w:rPr>
                <w:rFonts w:hint="eastAsia" w:ascii="宋体" w:hAnsi="宋体" w:eastAsia="宋体" w:cs="宋体"/>
                <w:color w:val="auto"/>
                <w:sz w:val="21"/>
                <w:szCs w:val="21"/>
                <w:highlight w:val="none"/>
              </w:rPr>
            </w:pPr>
          </w:p>
        </w:tc>
        <w:tc>
          <w:tcPr>
            <w:tcW w:w="1296" w:type="dxa"/>
            <w:tcBorders>
              <w:right w:val="single" w:color="auto" w:sz="4" w:space="0"/>
            </w:tcBorders>
            <w:vAlign w:val="center"/>
          </w:tcPr>
          <w:p w14:paraId="7C9D455C">
            <w:pPr>
              <w:pStyle w:val="52"/>
              <w:jc w:val="center"/>
              <w:rPr>
                <w:rFonts w:hint="eastAsia" w:ascii="宋体" w:hAnsi="宋体" w:eastAsia="宋体" w:cs="宋体"/>
                <w:color w:val="auto"/>
                <w:sz w:val="21"/>
                <w:szCs w:val="21"/>
                <w:highlight w:val="none"/>
              </w:rPr>
            </w:pPr>
          </w:p>
        </w:tc>
        <w:tc>
          <w:tcPr>
            <w:tcW w:w="1080" w:type="dxa"/>
            <w:tcBorders>
              <w:left w:val="single" w:color="auto" w:sz="4" w:space="0"/>
            </w:tcBorders>
            <w:vAlign w:val="center"/>
          </w:tcPr>
          <w:p w14:paraId="3548599B">
            <w:pPr>
              <w:pStyle w:val="52"/>
              <w:jc w:val="center"/>
              <w:rPr>
                <w:rFonts w:hint="eastAsia" w:ascii="宋体" w:hAnsi="宋体" w:eastAsia="宋体" w:cs="宋体"/>
                <w:color w:val="auto"/>
                <w:sz w:val="21"/>
                <w:szCs w:val="21"/>
                <w:highlight w:val="none"/>
              </w:rPr>
            </w:pPr>
          </w:p>
        </w:tc>
        <w:tc>
          <w:tcPr>
            <w:tcW w:w="804" w:type="dxa"/>
            <w:tcBorders>
              <w:left w:val="single" w:color="auto" w:sz="4" w:space="0"/>
            </w:tcBorders>
            <w:vAlign w:val="center"/>
          </w:tcPr>
          <w:p w14:paraId="2842C962">
            <w:pPr>
              <w:pStyle w:val="52"/>
              <w:jc w:val="center"/>
              <w:rPr>
                <w:rFonts w:hint="eastAsia" w:ascii="宋体" w:hAnsi="宋体" w:eastAsia="宋体" w:cs="宋体"/>
                <w:color w:val="auto"/>
                <w:sz w:val="21"/>
                <w:szCs w:val="21"/>
                <w:highlight w:val="none"/>
              </w:rPr>
            </w:pPr>
          </w:p>
        </w:tc>
        <w:tc>
          <w:tcPr>
            <w:tcW w:w="1860" w:type="dxa"/>
            <w:vAlign w:val="center"/>
          </w:tcPr>
          <w:p w14:paraId="292DF220">
            <w:pPr>
              <w:pStyle w:val="52"/>
              <w:jc w:val="center"/>
              <w:rPr>
                <w:rFonts w:hint="eastAsia" w:ascii="宋体" w:hAnsi="宋体" w:eastAsia="宋体" w:cs="宋体"/>
                <w:color w:val="auto"/>
                <w:sz w:val="21"/>
                <w:szCs w:val="21"/>
                <w:highlight w:val="none"/>
              </w:rPr>
            </w:pPr>
          </w:p>
        </w:tc>
        <w:tc>
          <w:tcPr>
            <w:tcW w:w="1356" w:type="dxa"/>
            <w:vAlign w:val="center"/>
          </w:tcPr>
          <w:p w14:paraId="7107F6B0">
            <w:pPr>
              <w:pStyle w:val="52"/>
              <w:jc w:val="center"/>
              <w:rPr>
                <w:rFonts w:hint="eastAsia" w:ascii="宋体" w:hAnsi="宋体" w:eastAsia="宋体" w:cs="宋体"/>
                <w:color w:val="auto"/>
                <w:sz w:val="21"/>
                <w:szCs w:val="21"/>
                <w:highlight w:val="none"/>
              </w:rPr>
            </w:pPr>
          </w:p>
        </w:tc>
        <w:tc>
          <w:tcPr>
            <w:tcW w:w="816" w:type="dxa"/>
            <w:vAlign w:val="center"/>
          </w:tcPr>
          <w:p w14:paraId="247AF589">
            <w:pPr>
              <w:pStyle w:val="52"/>
              <w:jc w:val="center"/>
              <w:rPr>
                <w:rFonts w:hint="eastAsia" w:ascii="宋体" w:hAnsi="宋体" w:eastAsia="宋体" w:cs="宋体"/>
                <w:color w:val="auto"/>
                <w:sz w:val="21"/>
                <w:szCs w:val="21"/>
                <w:highlight w:val="none"/>
              </w:rPr>
            </w:pPr>
          </w:p>
        </w:tc>
      </w:tr>
      <w:tr w14:paraId="17D5B0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4F7A90D9">
            <w:pPr>
              <w:pStyle w:val="52"/>
              <w:jc w:val="center"/>
              <w:rPr>
                <w:rFonts w:hint="eastAsia" w:ascii="宋体" w:hAnsi="宋体" w:eastAsia="宋体" w:cs="宋体"/>
                <w:color w:val="auto"/>
                <w:sz w:val="21"/>
                <w:szCs w:val="21"/>
                <w:highlight w:val="none"/>
              </w:rPr>
            </w:pPr>
            <w:bookmarkStart w:id="680" w:name="_Toc99533300"/>
            <w:bookmarkStart w:id="681" w:name="_Toc100090792"/>
            <w:r>
              <w:rPr>
                <w:rFonts w:hint="eastAsia" w:ascii="宋体" w:hAnsi="宋体" w:eastAsia="宋体" w:cs="宋体"/>
                <w:color w:val="auto"/>
                <w:sz w:val="21"/>
                <w:szCs w:val="21"/>
                <w:highlight w:val="none"/>
              </w:rPr>
              <w:t>9</w:t>
            </w:r>
            <w:bookmarkEnd w:id="680"/>
            <w:bookmarkEnd w:id="681"/>
          </w:p>
        </w:tc>
        <w:tc>
          <w:tcPr>
            <w:tcW w:w="1267" w:type="dxa"/>
            <w:vAlign w:val="center"/>
          </w:tcPr>
          <w:p w14:paraId="6C5090EC">
            <w:pPr>
              <w:pStyle w:val="52"/>
              <w:jc w:val="center"/>
              <w:rPr>
                <w:rFonts w:hint="eastAsia" w:ascii="宋体" w:hAnsi="宋体" w:eastAsia="宋体" w:cs="宋体"/>
                <w:color w:val="auto"/>
                <w:sz w:val="21"/>
                <w:szCs w:val="21"/>
                <w:highlight w:val="none"/>
              </w:rPr>
            </w:pPr>
          </w:p>
        </w:tc>
        <w:tc>
          <w:tcPr>
            <w:tcW w:w="1296" w:type="dxa"/>
            <w:tcBorders>
              <w:right w:val="single" w:color="auto" w:sz="4" w:space="0"/>
            </w:tcBorders>
            <w:vAlign w:val="center"/>
          </w:tcPr>
          <w:p w14:paraId="32CD2ADB">
            <w:pPr>
              <w:pStyle w:val="52"/>
              <w:jc w:val="center"/>
              <w:rPr>
                <w:rFonts w:hint="eastAsia" w:ascii="宋体" w:hAnsi="宋体" w:eastAsia="宋体" w:cs="宋体"/>
                <w:color w:val="auto"/>
                <w:sz w:val="21"/>
                <w:szCs w:val="21"/>
                <w:highlight w:val="none"/>
              </w:rPr>
            </w:pPr>
          </w:p>
        </w:tc>
        <w:tc>
          <w:tcPr>
            <w:tcW w:w="1080" w:type="dxa"/>
            <w:tcBorders>
              <w:left w:val="single" w:color="auto" w:sz="4" w:space="0"/>
            </w:tcBorders>
            <w:vAlign w:val="center"/>
          </w:tcPr>
          <w:p w14:paraId="0DD9EDDC">
            <w:pPr>
              <w:pStyle w:val="52"/>
              <w:jc w:val="center"/>
              <w:rPr>
                <w:rFonts w:hint="eastAsia" w:ascii="宋体" w:hAnsi="宋体" w:eastAsia="宋体" w:cs="宋体"/>
                <w:color w:val="auto"/>
                <w:sz w:val="21"/>
                <w:szCs w:val="21"/>
                <w:highlight w:val="none"/>
              </w:rPr>
            </w:pPr>
          </w:p>
        </w:tc>
        <w:tc>
          <w:tcPr>
            <w:tcW w:w="804" w:type="dxa"/>
            <w:tcBorders>
              <w:left w:val="single" w:color="auto" w:sz="4" w:space="0"/>
            </w:tcBorders>
            <w:vAlign w:val="center"/>
          </w:tcPr>
          <w:p w14:paraId="05650614">
            <w:pPr>
              <w:pStyle w:val="52"/>
              <w:jc w:val="center"/>
              <w:rPr>
                <w:rFonts w:hint="eastAsia" w:ascii="宋体" w:hAnsi="宋体" w:eastAsia="宋体" w:cs="宋体"/>
                <w:color w:val="auto"/>
                <w:sz w:val="21"/>
                <w:szCs w:val="21"/>
                <w:highlight w:val="none"/>
              </w:rPr>
            </w:pPr>
          </w:p>
        </w:tc>
        <w:tc>
          <w:tcPr>
            <w:tcW w:w="1860" w:type="dxa"/>
            <w:vAlign w:val="center"/>
          </w:tcPr>
          <w:p w14:paraId="337B4053">
            <w:pPr>
              <w:pStyle w:val="52"/>
              <w:jc w:val="center"/>
              <w:rPr>
                <w:rFonts w:hint="eastAsia" w:ascii="宋体" w:hAnsi="宋体" w:eastAsia="宋体" w:cs="宋体"/>
                <w:color w:val="auto"/>
                <w:sz w:val="21"/>
                <w:szCs w:val="21"/>
                <w:highlight w:val="none"/>
              </w:rPr>
            </w:pPr>
          </w:p>
        </w:tc>
        <w:tc>
          <w:tcPr>
            <w:tcW w:w="1356" w:type="dxa"/>
            <w:vAlign w:val="center"/>
          </w:tcPr>
          <w:p w14:paraId="6968EA5F">
            <w:pPr>
              <w:pStyle w:val="52"/>
              <w:jc w:val="center"/>
              <w:rPr>
                <w:rFonts w:hint="eastAsia" w:ascii="宋体" w:hAnsi="宋体" w:eastAsia="宋体" w:cs="宋体"/>
                <w:color w:val="auto"/>
                <w:sz w:val="21"/>
                <w:szCs w:val="21"/>
                <w:highlight w:val="none"/>
              </w:rPr>
            </w:pPr>
          </w:p>
        </w:tc>
        <w:tc>
          <w:tcPr>
            <w:tcW w:w="816" w:type="dxa"/>
            <w:vAlign w:val="center"/>
          </w:tcPr>
          <w:p w14:paraId="45D99552">
            <w:pPr>
              <w:pStyle w:val="52"/>
              <w:jc w:val="center"/>
              <w:rPr>
                <w:rFonts w:hint="eastAsia" w:ascii="宋体" w:hAnsi="宋体" w:eastAsia="宋体" w:cs="宋体"/>
                <w:color w:val="auto"/>
                <w:sz w:val="21"/>
                <w:szCs w:val="21"/>
                <w:highlight w:val="none"/>
              </w:rPr>
            </w:pPr>
          </w:p>
        </w:tc>
      </w:tr>
      <w:tr w14:paraId="5F497A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9" w:hRule="atLeast"/>
        </w:trPr>
        <w:tc>
          <w:tcPr>
            <w:tcW w:w="773" w:type="dxa"/>
            <w:vAlign w:val="center"/>
          </w:tcPr>
          <w:p w14:paraId="406250BE">
            <w:pPr>
              <w:pStyle w:val="52"/>
              <w:jc w:val="center"/>
              <w:rPr>
                <w:rFonts w:hint="eastAsia" w:ascii="宋体" w:hAnsi="宋体" w:eastAsia="宋体" w:cs="宋体"/>
                <w:color w:val="auto"/>
                <w:sz w:val="21"/>
                <w:szCs w:val="21"/>
                <w:highlight w:val="none"/>
              </w:rPr>
            </w:pPr>
            <w:bookmarkStart w:id="682" w:name="_Toc99533301"/>
            <w:bookmarkStart w:id="683" w:name="_Toc100090793"/>
            <w:r>
              <w:rPr>
                <w:rFonts w:hint="eastAsia" w:ascii="宋体" w:hAnsi="宋体" w:eastAsia="宋体" w:cs="宋体"/>
                <w:color w:val="auto"/>
                <w:sz w:val="21"/>
                <w:szCs w:val="21"/>
                <w:highlight w:val="none"/>
              </w:rPr>
              <w:t>10</w:t>
            </w:r>
            <w:bookmarkEnd w:id="682"/>
            <w:bookmarkEnd w:id="683"/>
          </w:p>
        </w:tc>
        <w:tc>
          <w:tcPr>
            <w:tcW w:w="1267" w:type="dxa"/>
            <w:vAlign w:val="center"/>
          </w:tcPr>
          <w:p w14:paraId="0D84E205">
            <w:pPr>
              <w:pStyle w:val="52"/>
              <w:jc w:val="center"/>
              <w:rPr>
                <w:rFonts w:hint="eastAsia" w:ascii="宋体" w:hAnsi="宋体" w:eastAsia="宋体" w:cs="宋体"/>
                <w:color w:val="auto"/>
                <w:sz w:val="21"/>
                <w:szCs w:val="21"/>
                <w:highlight w:val="none"/>
              </w:rPr>
            </w:pPr>
          </w:p>
        </w:tc>
        <w:tc>
          <w:tcPr>
            <w:tcW w:w="1296" w:type="dxa"/>
            <w:tcBorders>
              <w:right w:val="single" w:color="auto" w:sz="4" w:space="0"/>
            </w:tcBorders>
            <w:vAlign w:val="center"/>
          </w:tcPr>
          <w:p w14:paraId="79F36313">
            <w:pPr>
              <w:pStyle w:val="52"/>
              <w:jc w:val="center"/>
              <w:rPr>
                <w:rFonts w:hint="eastAsia" w:ascii="宋体" w:hAnsi="宋体" w:eastAsia="宋体" w:cs="宋体"/>
                <w:color w:val="auto"/>
                <w:sz w:val="21"/>
                <w:szCs w:val="21"/>
                <w:highlight w:val="none"/>
              </w:rPr>
            </w:pPr>
          </w:p>
        </w:tc>
        <w:tc>
          <w:tcPr>
            <w:tcW w:w="1080" w:type="dxa"/>
            <w:tcBorders>
              <w:left w:val="single" w:color="auto" w:sz="4" w:space="0"/>
            </w:tcBorders>
            <w:vAlign w:val="center"/>
          </w:tcPr>
          <w:p w14:paraId="193C6909">
            <w:pPr>
              <w:pStyle w:val="52"/>
              <w:jc w:val="center"/>
              <w:rPr>
                <w:rFonts w:hint="eastAsia" w:ascii="宋体" w:hAnsi="宋体" w:eastAsia="宋体" w:cs="宋体"/>
                <w:color w:val="auto"/>
                <w:sz w:val="21"/>
                <w:szCs w:val="21"/>
                <w:highlight w:val="none"/>
              </w:rPr>
            </w:pPr>
          </w:p>
        </w:tc>
        <w:tc>
          <w:tcPr>
            <w:tcW w:w="804" w:type="dxa"/>
            <w:tcBorders>
              <w:left w:val="single" w:color="auto" w:sz="4" w:space="0"/>
            </w:tcBorders>
            <w:vAlign w:val="center"/>
          </w:tcPr>
          <w:p w14:paraId="6C34049E">
            <w:pPr>
              <w:pStyle w:val="52"/>
              <w:jc w:val="center"/>
              <w:rPr>
                <w:rFonts w:hint="eastAsia" w:ascii="宋体" w:hAnsi="宋体" w:eastAsia="宋体" w:cs="宋体"/>
                <w:color w:val="auto"/>
                <w:sz w:val="21"/>
                <w:szCs w:val="21"/>
                <w:highlight w:val="none"/>
              </w:rPr>
            </w:pPr>
          </w:p>
        </w:tc>
        <w:tc>
          <w:tcPr>
            <w:tcW w:w="1860" w:type="dxa"/>
            <w:vAlign w:val="center"/>
          </w:tcPr>
          <w:p w14:paraId="7790D037">
            <w:pPr>
              <w:pStyle w:val="52"/>
              <w:jc w:val="center"/>
              <w:rPr>
                <w:rFonts w:hint="eastAsia" w:ascii="宋体" w:hAnsi="宋体" w:eastAsia="宋体" w:cs="宋体"/>
                <w:color w:val="auto"/>
                <w:sz w:val="21"/>
                <w:szCs w:val="21"/>
                <w:highlight w:val="none"/>
              </w:rPr>
            </w:pPr>
          </w:p>
        </w:tc>
        <w:tc>
          <w:tcPr>
            <w:tcW w:w="1356" w:type="dxa"/>
            <w:vAlign w:val="center"/>
          </w:tcPr>
          <w:p w14:paraId="292E64B7">
            <w:pPr>
              <w:pStyle w:val="52"/>
              <w:jc w:val="center"/>
              <w:rPr>
                <w:rFonts w:hint="eastAsia" w:ascii="宋体" w:hAnsi="宋体" w:eastAsia="宋体" w:cs="宋体"/>
                <w:color w:val="auto"/>
                <w:sz w:val="21"/>
                <w:szCs w:val="21"/>
                <w:highlight w:val="none"/>
              </w:rPr>
            </w:pPr>
          </w:p>
        </w:tc>
        <w:tc>
          <w:tcPr>
            <w:tcW w:w="816" w:type="dxa"/>
            <w:vAlign w:val="center"/>
          </w:tcPr>
          <w:p w14:paraId="77E1C162">
            <w:pPr>
              <w:pStyle w:val="52"/>
              <w:jc w:val="center"/>
              <w:rPr>
                <w:rFonts w:hint="eastAsia" w:ascii="宋体" w:hAnsi="宋体" w:eastAsia="宋体" w:cs="宋体"/>
                <w:color w:val="auto"/>
                <w:sz w:val="21"/>
                <w:szCs w:val="21"/>
                <w:highlight w:val="none"/>
              </w:rPr>
            </w:pPr>
          </w:p>
        </w:tc>
      </w:tr>
    </w:tbl>
    <w:p w14:paraId="51ED7B0D">
      <w:pPr>
        <w:rPr>
          <w:color w:val="auto"/>
          <w:highlight w:val="none"/>
        </w:rPr>
      </w:pPr>
      <w:r>
        <w:rPr>
          <w:color w:val="auto"/>
          <w:highlight w:val="none"/>
        </w:rPr>
        <w:br w:type="page"/>
      </w:r>
    </w:p>
    <w:p w14:paraId="1358285E">
      <w:pPr>
        <w:pStyle w:val="3"/>
        <w:bidi w:val="0"/>
        <w:jc w:val="center"/>
        <w:rPr>
          <w:rFonts w:hint="eastAsia"/>
          <w:lang w:val="en-US" w:eastAsia="zh-CN"/>
        </w:rPr>
      </w:pPr>
      <w:bookmarkStart w:id="684" w:name="_Toc10837"/>
      <w:r>
        <w:rPr>
          <w:rFonts w:hint="eastAsia"/>
          <w:lang w:val="en-US" w:eastAsia="zh-CN"/>
        </w:rPr>
        <w:t>九、技术响应偏离表</w:t>
      </w:r>
      <w:bookmarkEnd w:id="684"/>
    </w:p>
    <w:p w14:paraId="7EE50E6A">
      <w:pPr>
        <w:rPr>
          <w:rFonts w:cs="仿宋_GB2312"/>
          <w:color w:val="auto"/>
          <w:szCs w:val="24"/>
          <w:highlight w:val="none"/>
        </w:rPr>
      </w:pPr>
      <w:r>
        <w:rPr>
          <w:rFonts w:hint="eastAsia" w:cs="仿宋_GB2312"/>
          <w:color w:val="auto"/>
          <w:szCs w:val="24"/>
          <w:highlight w:val="none"/>
        </w:rPr>
        <w:t xml:space="preserve">项目名称：                                         </w:t>
      </w:r>
    </w:p>
    <w:p w14:paraId="10CF1BE4">
      <w:pPr>
        <w:rPr>
          <w:rFonts w:cs="仿宋_GB2312"/>
          <w:color w:val="auto"/>
          <w:szCs w:val="24"/>
          <w:highlight w:val="none"/>
        </w:rPr>
      </w:pPr>
      <w:r>
        <w:rPr>
          <w:rFonts w:hint="eastAsia" w:cs="仿宋_GB2312"/>
          <w:color w:val="auto"/>
          <w:szCs w:val="24"/>
          <w:highlight w:val="none"/>
        </w:rPr>
        <w:t>项目编号</w:t>
      </w:r>
      <w:r>
        <w:rPr>
          <w:rFonts w:hint="eastAsia"/>
          <w:b w:val="0"/>
          <w:bCs/>
          <w:color w:val="auto"/>
          <w:szCs w:val="21"/>
          <w:highlight w:val="none"/>
          <w:lang w:val="en-US" w:eastAsia="zh-CN"/>
        </w:rPr>
        <w:t>/</w:t>
      </w:r>
      <w:r>
        <w:rPr>
          <w:rFonts w:hint="eastAsia"/>
          <w:b w:val="0"/>
          <w:bCs/>
          <w:color w:val="auto"/>
          <w:szCs w:val="21"/>
          <w:highlight w:val="none"/>
          <w:lang w:val="zh-CN"/>
        </w:rPr>
        <w:t>包号</w:t>
      </w:r>
      <w:r>
        <w:rPr>
          <w:rFonts w:hint="eastAsia" w:cs="仿宋_GB2312"/>
          <w:color w:val="auto"/>
          <w:szCs w:val="24"/>
          <w:highlight w:val="none"/>
        </w:rPr>
        <w:t xml:space="preserve">：         </w:t>
      </w:r>
    </w:p>
    <w:tbl>
      <w:tblPr>
        <w:tblStyle w:val="31"/>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3"/>
        <w:gridCol w:w="1976"/>
        <w:gridCol w:w="1758"/>
        <w:gridCol w:w="2157"/>
        <w:gridCol w:w="1935"/>
      </w:tblGrid>
      <w:tr w14:paraId="23CC5C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407" w:type="pct"/>
            <w:vAlign w:val="center"/>
          </w:tcPr>
          <w:p w14:paraId="5F892E53">
            <w:pPr>
              <w:pStyle w:val="52"/>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1159" w:type="pct"/>
            <w:vAlign w:val="center"/>
          </w:tcPr>
          <w:p w14:paraId="48E48677">
            <w:pPr>
              <w:pStyle w:val="52"/>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招标文件技术</w:t>
            </w:r>
          </w:p>
          <w:p w14:paraId="0C5608DB">
            <w:pPr>
              <w:pStyle w:val="52"/>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要求条款</w:t>
            </w:r>
          </w:p>
        </w:tc>
        <w:tc>
          <w:tcPr>
            <w:tcW w:w="1031" w:type="pct"/>
            <w:vAlign w:val="center"/>
          </w:tcPr>
          <w:p w14:paraId="0B845CF1">
            <w:pPr>
              <w:pStyle w:val="52"/>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投标文件内容</w:t>
            </w:r>
          </w:p>
          <w:p w14:paraId="4F79E073">
            <w:pPr>
              <w:pStyle w:val="52"/>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对应简述</w:t>
            </w:r>
          </w:p>
        </w:tc>
        <w:tc>
          <w:tcPr>
            <w:tcW w:w="1265" w:type="pct"/>
            <w:vAlign w:val="center"/>
          </w:tcPr>
          <w:p w14:paraId="4AB4E9C3">
            <w:pPr>
              <w:pStyle w:val="52"/>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响应情况</w:t>
            </w:r>
          </w:p>
        </w:tc>
        <w:tc>
          <w:tcPr>
            <w:tcW w:w="1135" w:type="pct"/>
            <w:vAlign w:val="center"/>
          </w:tcPr>
          <w:p w14:paraId="09D725B9">
            <w:pPr>
              <w:pStyle w:val="52"/>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证明资料</w:t>
            </w:r>
            <w:r>
              <w:rPr>
                <w:rFonts w:hint="eastAsia" w:ascii="宋体" w:hAnsi="宋体" w:eastAsia="宋体" w:cs="宋体"/>
                <w:color w:val="auto"/>
                <w:sz w:val="21"/>
                <w:szCs w:val="21"/>
                <w:highlight w:val="none"/>
              </w:rPr>
              <w:t>及索引</w:t>
            </w:r>
          </w:p>
        </w:tc>
      </w:tr>
      <w:tr w14:paraId="39EC05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407" w:type="pct"/>
            <w:vAlign w:val="center"/>
          </w:tcPr>
          <w:p w14:paraId="29950C57">
            <w:pPr>
              <w:pStyle w:val="52"/>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159" w:type="pct"/>
            <w:vAlign w:val="center"/>
          </w:tcPr>
          <w:p w14:paraId="69B288A0">
            <w:pPr>
              <w:pStyle w:val="52"/>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31" w:type="pct"/>
            <w:vAlign w:val="center"/>
          </w:tcPr>
          <w:p w14:paraId="0E04AD72">
            <w:pPr>
              <w:pStyle w:val="52"/>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265" w:type="pct"/>
            <w:vAlign w:val="center"/>
          </w:tcPr>
          <w:p w14:paraId="585AEA1C">
            <w:pPr>
              <w:pStyle w:val="52"/>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响应/正偏离/负偏离</w:t>
            </w:r>
          </w:p>
        </w:tc>
        <w:tc>
          <w:tcPr>
            <w:tcW w:w="1135" w:type="pct"/>
            <w:vAlign w:val="center"/>
          </w:tcPr>
          <w:p w14:paraId="02D97874">
            <w:pPr>
              <w:pStyle w:val="52"/>
              <w:jc w:val="center"/>
              <w:rPr>
                <w:rFonts w:hint="eastAsia" w:ascii="宋体" w:hAnsi="宋体" w:eastAsia="宋体" w:cs="宋体"/>
                <w:color w:val="auto"/>
                <w:sz w:val="21"/>
                <w:szCs w:val="21"/>
                <w:highlight w:val="none"/>
              </w:rPr>
            </w:pPr>
          </w:p>
        </w:tc>
      </w:tr>
      <w:tr w14:paraId="4EC68B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407" w:type="pct"/>
            <w:vAlign w:val="center"/>
          </w:tcPr>
          <w:p w14:paraId="195B6778">
            <w:pPr>
              <w:pStyle w:val="52"/>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1159" w:type="pct"/>
            <w:vAlign w:val="center"/>
          </w:tcPr>
          <w:p w14:paraId="30E52A7F">
            <w:pPr>
              <w:pStyle w:val="52"/>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31" w:type="pct"/>
            <w:vAlign w:val="center"/>
          </w:tcPr>
          <w:p w14:paraId="29A6C1E1">
            <w:pPr>
              <w:pStyle w:val="52"/>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265" w:type="pct"/>
            <w:vAlign w:val="center"/>
          </w:tcPr>
          <w:p w14:paraId="5D92E460">
            <w:pPr>
              <w:pStyle w:val="52"/>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响应/正偏离/负偏离</w:t>
            </w:r>
          </w:p>
        </w:tc>
        <w:tc>
          <w:tcPr>
            <w:tcW w:w="1135" w:type="pct"/>
            <w:vAlign w:val="center"/>
          </w:tcPr>
          <w:p w14:paraId="63E16449">
            <w:pPr>
              <w:pStyle w:val="52"/>
              <w:jc w:val="center"/>
              <w:rPr>
                <w:rFonts w:hint="eastAsia" w:ascii="宋体" w:hAnsi="宋体" w:eastAsia="宋体" w:cs="宋体"/>
                <w:color w:val="auto"/>
                <w:sz w:val="21"/>
                <w:szCs w:val="21"/>
                <w:highlight w:val="none"/>
              </w:rPr>
            </w:pPr>
          </w:p>
        </w:tc>
      </w:tr>
      <w:tr w14:paraId="0C008F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407" w:type="pct"/>
            <w:vAlign w:val="center"/>
          </w:tcPr>
          <w:p w14:paraId="4C45FE18">
            <w:pPr>
              <w:pStyle w:val="52"/>
              <w:jc w:val="center"/>
              <w:rPr>
                <w:rFonts w:hint="eastAsia" w:ascii="宋体" w:hAnsi="宋体" w:eastAsia="宋体" w:cs="宋体"/>
                <w:color w:val="auto"/>
                <w:sz w:val="21"/>
                <w:szCs w:val="21"/>
                <w:highlight w:val="none"/>
              </w:rPr>
            </w:pPr>
          </w:p>
        </w:tc>
        <w:tc>
          <w:tcPr>
            <w:tcW w:w="1159" w:type="pct"/>
            <w:vAlign w:val="center"/>
          </w:tcPr>
          <w:p w14:paraId="6D1DD644">
            <w:pPr>
              <w:pStyle w:val="52"/>
              <w:jc w:val="center"/>
              <w:rPr>
                <w:rFonts w:hint="eastAsia" w:ascii="宋体" w:hAnsi="宋体" w:eastAsia="宋体" w:cs="宋体"/>
                <w:color w:val="auto"/>
                <w:sz w:val="21"/>
                <w:szCs w:val="21"/>
                <w:highlight w:val="none"/>
              </w:rPr>
            </w:pPr>
          </w:p>
        </w:tc>
        <w:tc>
          <w:tcPr>
            <w:tcW w:w="1031" w:type="pct"/>
            <w:vAlign w:val="center"/>
          </w:tcPr>
          <w:p w14:paraId="2982168B">
            <w:pPr>
              <w:pStyle w:val="52"/>
              <w:jc w:val="center"/>
              <w:rPr>
                <w:rFonts w:hint="eastAsia" w:ascii="宋体" w:hAnsi="宋体" w:eastAsia="宋体" w:cs="宋体"/>
                <w:color w:val="auto"/>
                <w:sz w:val="21"/>
                <w:szCs w:val="21"/>
                <w:highlight w:val="none"/>
              </w:rPr>
            </w:pPr>
          </w:p>
        </w:tc>
        <w:tc>
          <w:tcPr>
            <w:tcW w:w="1265" w:type="pct"/>
            <w:vAlign w:val="center"/>
          </w:tcPr>
          <w:p w14:paraId="78EC7D09">
            <w:pPr>
              <w:pStyle w:val="52"/>
              <w:jc w:val="center"/>
              <w:rPr>
                <w:rFonts w:hint="eastAsia" w:ascii="宋体" w:hAnsi="宋体" w:eastAsia="宋体" w:cs="宋体"/>
                <w:color w:val="auto"/>
                <w:sz w:val="21"/>
                <w:szCs w:val="21"/>
                <w:highlight w:val="none"/>
              </w:rPr>
            </w:pPr>
          </w:p>
        </w:tc>
        <w:tc>
          <w:tcPr>
            <w:tcW w:w="1135" w:type="pct"/>
            <w:vAlign w:val="center"/>
          </w:tcPr>
          <w:p w14:paraId="46369488">
            <w:pPr>
              <w:pStyle w:val="52"/>
              <w:jc w:val="center"/>
              <w:rPr>
                <w:rFonts w:hint="eastAsia" w:ascii="宋体" w:hAnsi="宋体" w:eastAsia="宋体" w:cs="宋体"/>
                <w:color w:val="auto"/>
                <w:sz w:val="21"/>
                <w:szCs w:val="21"/>
                <w:highlight w:val="none"/>
              </w:rPr>
            </w:pPr>
          </w:p>
        </w:tc>
      </w:tr>
      <w:tr w14:paraId="28C8FF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407" w:type="pct"/>
            <w:vAlign w:val="center"/>
          </w:tcPr>
          <w:p w14:paraId="43874C19">
            <w:pPr>
              <w:pStyle w:val="52"/>
              <w:jc w:val="center"/>
              <w:rPr>
                <w:rFonts w:hint="eastAsia" w:ascii="宋体" w:hAnsi="宋体" w:eastAsia="宋体" w:cs="宋体"/>
                <w:color w:val="auto"/>
                <w:sz w:val="21"/>
                <w:szCs w:val="21"/>
                <w:highlight w:val="none"/>
              </w:rPr>
            </w:pPr>
          </w:p>
        </w:tc>
        <w:tc>
          <w:tcPr>
            <w:tcW w:w="1159" w:type="pct"/>
            <w:vAlign w:val="center"/>
          </w:tcPr>
          <w:p w14:paraId="529041E2">
            <w:pPr>
              <w:pStyle w:val="52"/>
              <w:jc w:val="center"/>
              <w:rPr>
                <w:rFonts w:hint="eastAsia" w:ascii="宋体" w:hAnsi="宋体" w:eastAsia="宋体" w:cs="宋体"/>
                <w:color w:val="auto"/>
                <w:sz w:val="21"/>
                <w:szCs w:val="21"/>
                <w:highlight w:val="none"/>
              </w:rPr>
            </w:pPr>
          </w:p>
        </w:tc>
        <w:tc>
          <w:tcPr>
            <w:tcW w:w="1031" w:type="pct"/>
            <w:vAlign w:val="center"/>
          </w:tcPr>
          <w:p w14:paraId="301E476D">
            <w:pPr>
              <w:pStyle w:val="52"/>
              <w:jc w:val="center"/>
              <w:rPr>
                <w:rFonts w:hint="eastAsia" w:ascii="宋体" w:hAnsi="宋体" w:eastAsia="宋体" w:cs="宋体"/>
                <w:color w:val="auto"/>
                <w:sz w:val="21"/>
                <w:szCs w:val="21"/>
                <w:highlight w:val="none"/>
              </w:rPr>
            </w:pPr>
          </w:p>
        </w:tc>
        <w:tc>
          <w:tcPr>
            <w:tcW w:w="1265" w:type="pct"/>
            <w:vAlign w:val="center"/>
          </w:tcPr>
          <w:p w14:paraId="06F8AED7">
            <w:pPr>
              <w:pStyle w:val="52"/>
              <w:jc w:val="center"/>
              <w:rPr>
                <w:rFonts w:hint="eastAsia" w:ascii="宋体" w:hAnsi="宋体" w:eastAsia="宋体" w:cs="宋体"/>
                <w:color w:val="auto"/>
                <w:sz w:val="21"/>
                <w:szCs w:val="21"/>
                <w:highlight w:val="none"/>
              </w:rPr>
            </w:pPr>
          </w:p>
        </w:tc>
        <w:tc>
          <w:tcPr>
            <w:tcW w:w="1135" w:type="pct"/>
            <w:vAlign w:val="center"/>
          </w:tcPr>
          <w:p w14:paraId="0CE9DF45">
            <w:pPr>
              <w:pStyle w:val="52"/>
              <w:jc w:val="center"/>
              <w:rPr>
                <w:rFonts w:hint="eastAsia" w:ascii="宋体" w:hAnsi="宋体" w:eastAsia="宋体" w:cs="宋体"/>
                <w:color w:val="auto"/>
                <w:sz w:val="21"/>
                <w:szCs w:val="21"/>
                <w:highlight w:val="none"/>
              </w:rPr>
            </w:pPr>
          </w:p>
        </w:tc>
      </w:tr>
      <w:tr w14:paraId="729161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407" w:type="pct"/>
            <w:vAlign w:val="center"/>
          </w:tcPr>
          <w:p w14:paraId="41433E5C">
            <w:pPr>
              <w:pStyle w:val="52"/>
              <w:jc w:val="center"/>
              <w:rPr>
                <w:rFonts w:hint="eastAsia" w:ascii="宋体" w:hAnsi="宋体" w:eastAsia="宋体" w:cs="宋体"/>
                <w:color w:val="auto"/>
                <w:sz w:val="21"/>
                <w:szCs w:val="21"/>
                <w:highlight w:val="none"/>
              </w:rPr>
            </w:pPr>
          </w:p>
        </w:tc>
        <w:tc>
          <w:tcPr>
            <w:tcW w:w="1159" w:type="pct"/>
            <w:vAlign w:val="center"/>
          </w:tcPr>
          <w:p w14:paraId="77107295">
            <w:pPr>
              <w:pStyle w:val="52"/>
              <w:jc w:val="center"/>
              <w:rPr>
                <w:rFonts w:hint="eastAsia" w:ascii="宋体" w:hAnsi="宋体" w:eastAsia="宋体" w:cs="宋体"/>
                <w:color w:val="auto"/>
                <w:sz w:val="21"/>
                <w:szCs w:val="21"/>
                <w:highlight w:val="none"/>
              </w:rPr>
            </w:pPr>
          </w:p>
        </w:tc>
        <w:tc>
          <w:tcPr>
            <w:tcW w:w="1031" w:type="pct"/>
            <w:vAlign w:val="center"/>
          </w:tcPr>
          <w:p w14:paraId="4D01D78E">
            <w:pPr>
              <w:pStyle w:val="52"/>
              <w:jc w:val="center"/>
              <w:rPr>
                <w:rFonts w:hint="eastAsia" w:ascii="宋体" w:hAnsi="宋体" w:eastAsia="宋体" w:cs="宋体"/>
                <w:color w:val="auto"/>
                <w:sz w:val="21"/>
                <w:szCs w:val="21"/>
                <w:highlight w:val="none"/>
              </w:rPr>
            </w:pPr>
          </w:p>
        </w:tc>
        <w:tc>
          <w:tcPr>
            <w:tcW w:w="1265" w:type="pct"/>
            <w:vAlign w:val="center"/>
          </w:tcPr>
          <w:p w14:paraId="6D546857">
            <w:pPr>
              <w:pStyle w:val="52"/>
              <w:jc w:val="center"/>
              <w:rPr>
                <w:rFonts w:hint="eastAsia" w:ascii="宋体" w:hAnsi="宋体" w:eastAsia="宋体" w:cs="宋体"/>
                <w:color w:val="auto"/>
                <w:sz w:val="21"/>
                <w:szCs w:val="21"/>
                <w:highlight w:val="none"/>
              </w:rPr>
            </w:pPr>
          </w:p>
        </w:tc>
        <w:tc>
          <w:tcPr>
            <w:tcW w:w="1135" w:type="pct"/>
            <w:vAlign w:val="center"/>
          </w:tcPr>
          <w:p w14:paraId="2E1B7D0B">
            <w:pPr>
              <w:pStyle w:val="52"/>
              <w:jc w:val="center"/>
              <w:rPr>
                <w:rFonts w:hint="eastAsia" w:ascii="宋体" w:hAnsi="宋体" w:eastAsia="宋体" w:cs="宋体"/>
                <w:color w:val="auto"/>
                <w:sz w:val="21"/>
                <w:szCs w:val="21"/>
                <w:highlight w:val="none"/>
              </w:rPr>
            </w:pPr>
          </w:p>
        </w:tc>
      </w:tr>
      <w:tr w14:paraId="39F80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407" w:type="pct"/>
            <w:vAlign w:val="center"/>
          </w:tcPr>
          <w:p w14:paraId="6AF16AFE">
            <w:pPr>
              <w:pStyle w:val="52"/>
              <w:jc w:val="center"/>
              <w:rPr>
                <w:rFonts w:hint="eastAsia" w:ascii="宋体" w:hAnsi="宋体" w:eastAsia="宋体" w:cs="宋体"/>
                <w:color w:val="auto"/>
                <w:sz w:val="21"/>
                <w:szCs w:val="21"/>
                <w:highlight w:val="none"/>
              </w:rPr>
            </w:pPr>
          </w:p>
        </w:tc>
        <w:tc>
          <w:tcPr>
            <w:tcW w:w="1159" w:type="pct"/>
            <w:vAlign w:val="center"/>
          </w:tcPr>
          <w:p w14:paraId="5C7E043B">
            <w:pPr>
              <w:pStyle w:val="52"/>
              <w:jc w:val="center"/>
              <w:rPr>
                <w:rFonts w:hint="eastAsia" w:ascii="宋体" w:hAnsi="宋体" w:eastAsia="宋体" w:cs="宋体"/>
                <w:color w:val="auto"/>
                <w:sz w:val="21"/>
                <w:szCs w:val="21"/>
                <w:highlight w:val="none"/>
              </w:rPr>
            </w:pPr>
          </w:p>
        </w:tc>
        <w:tc>
          <w:tcPr>
            <w:tcW w:w="1031" w:type="pct"/>
            <w:vAlign w:val="center"/>
          </w:tcPr>
          <w:p w14:paraId="64166C7A">
            <w:pPr>
              <w:pStyle w:val="52"/>
              <w:jc w:val="center"/>
              <w:rPr>
                <w:rFonts w:hint="eastAsia" w:ascii="宋体" w:hAnsi="宋体" w:eastAsia="宋体" w:cs="宋体"/>
                <w:color w:val="auto"/>
                <w:sz w:val="21"/>
                <w:szCs w:val="21"/>
                <w:highlight w:val="none"/>
              </w:rPr>
            </w:pPr>
          </w:p>
        </w:tc>
        <w:tc>
          <w:tcPr>
            <w:tcW w:w="1265" w:type="pct"/>
            <w:vAlign w:val="center"/>
          </w:tcPr>
          <w:p w14:paraId="2817CCE5">
            <w:pPr>
              <w:pStyle w:val="52"/>
              <w:jc w:val="center"/>
              <w:rPr>
                <w:rFonts w:hint="eastAsia" w:ascii="宋体" w:hAnsi="宋体" w:eastAsia="宋体" w:cs="宋体"/>
                <w:color w:val="auto"/>
                <w:sz w:val="21"/>
                <w:szCs w:val="21"/>
                <w:highlight w:val="none"/>
              </w:rPr>
            </w:pPr>
          </w:p>
        </w:tc>
        <w:tc>
          <w:tcPr>
            <w:tcW w:w="1135" w:type="pct"/>
            <w:vAlign w:val="center"/>
          </w:tcPr>
          <w:p w14:paraId="184E3F96">
            <w:pPr>
              <w:pStyle w:val="52"/>
              <w:jc w:val="center"/>
              <w:rPr>
                <w:rFonts w:hint="eastAsia" w:ascii="宋体" w:hAnsi="宋体" w:eastAsia="宋体" w:cs="宋体"/>
                <w:color w:val="auto"/>
                <w:sz w:val="21"/>
                <w:szCs w:val="21"/>
                <w:highlight w:val="none"/>
              </w:rPr>
            </w:pPr>
          </w:p>
        </w:tc>
      </w:tr>
      <w:tr w14:paraId="60C95D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407" w:type="pct"/>
            <w:vAlign w:val="center"/>
          </w:tcPr>
          <w:p w14:paraId="5F23FFC2">
            <w:pPr>
              <w:pStyle w:val="52"/>
              <w:jc w:val="center"/>
              <w:rPr>
                <w:rFonts w:hint="eastAsia" w:ascii="宋体" w:hAnsi="宋体" w:eastAsia="宋体" w:cs="宋体"/>
                <w:color w:val="auto"/>
                <w:sz w:val="21"/>
                <w:szCs w:val="21"/>
                <w:highlight w:val="none"/>
              </w:rPr>
            </w:pPr>
          </w:p>
        </w:tc>
        <w:tc>
          <w:tcPr>
            <w:tcW w:w="1159" w:type="pct"/>
            <w:vAlign w:val="center"/>
          </w:tcPr>
          <w:p w14:paraId="565EC642">
            <w:pPr>
              <w:pStyle w:val="52"/>
              <w:jc w:val="center"/>
              <w:rPr>
                <w:rFonts w:hint="eastAsia" w:ascii="宋体" w:hAnsi="宋体" w:eastAsia="宋体" w:cs="宋体"/>
                <w:color w:val="auto"/>
                <w:sz w:val="21"/>
                <w:szCs w:val="21"/>
                <w:highlight w:val="none"/>
              </w:rPr>
            </w:pPr>
          </w:p>
        </w:tc>
        <w:tc>
          <w:tcPr>
            <w:tcW w:w="1031" w:type="pct"/>
            <w:vAlign w:val="center"/>
          </w:tcPr>
          <w:p w14:paraId="4813DEC4">
            <w:pPr>
              <w:pStyle w:val="52"/>
              <w:jc w:val="center"/>
              <w:rPr>
                <w:rFonts w:hint="eastAsia" w:ascii="宋体" w:hAnsi="宋体" w:eastAsia="宋体" w:cs="宋体"/>
                <w:color w:val="auto"/>
                <w:sz w:val="21"/>
                <w:szCs w:val="21"/>
                <w:highlight w:val="none"/>
              </w:rPr>
            </w:pPr>
          </w:p>
        </w:tc>
        <w:tc>
          <w:tcPr>
            <w:tcW w:w="1265" w:type="pct"/>
            <w:vAlign w:val="center"/>
          </w:tcPr>
          <w:p w14:paraId="6FC99520">
            <w:pPr>
              <w:pStyle w:val="52"/>
              <w:jc w:val="center"/>
              <w:rPr>
                <w:rFonts w:hint="eastAsia" w:ascii="宋体" w:hAnsi="宋体" w:eastAsia="宋体" w:cs="宋体"/>
                <w:color w:val="auto"/>
                <w:sz w:val="21"/>
                <w:szCs w:val="21"/>
                <w:highlight w:val="none"/>
              </w:rPr>
            </w:pPr>
          </w:p>
        </w:tc>
        <w:tc>
          <w:tcPr>
            <w:tcW w:w="1135" w:type="pct"/>
            <w:vAlign w:val="center"/>
          </w:tcPr>
          <w:p w14:paraId="6C388A43">
            <w:pPr>
              <w:pStyle w:val="52"/>
              <w:jc w:val="center"/>
              <w:rPr>
                <w:rFonts w:hint="eastAsia" w:ascii="宋体" w:hAnsi="宋体" w:eastAsia="宋体" w:cs="宋体"/>
                <w:color w:val="auto"/>
                <w:sz w:val="21"/>
                <w:szCs w:val="21"/>
                <w:highlight w:val="none"/>
              </w:rPr>
            </w:pPr>
          </w:p>
        </w:tc>
      </w:tr>
      <w:tr w14:paraId="668F36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407" w:type="pct"/>
            <w:vAlign w:val="center"/>
          </w:tcPr>
          <w:p w14:paraId="0AF398B2">
            <w:pPr>
              <w:pStyle w:val="52"/>
              <w:jc w:val="center"/>
              <w:rPr>
                <w:rFonts w:hint="eastAsia" w:ascii="宋体" w:hAnsi="宋体" w:eastAsia="宋体" w:cs="宋体"/>
                <w:color w:val="auto"/>
                <w:sz w:val="21"/>
                <w:szCs w:val="21"/>
                <w:highlight w:val="none"/>
              </w:rPr>
            </w:pPr>
          </w:p>
        </w:tc>
        <w:tc>
          <w:tcPr>
            <w:tcW w:w="1159" w:type="pct"/>
            <w:vAlign w:val="center"/>
          </w:tcPr>
          <w:p w14:paraId="7E5C6D21">
            <w:pPr>
              <w:pStyle w:val="52"/>
              <w:jc w:val="center"/>
              <w:rPr>
                <w:rFonts w:hint="eastAsia" w:ascii="宋体" w:hAnsi="宋体" w:eastAsia="宋体" w:cs="宋体"/>
                <w:color w:val="auto"/>
                <w:sz w:val="21"/>
                <w:szCs w:val="21"/>
                <w:highlight w:val="none"/>
              </w:rPr>
            </w:pPr>
          </w:p>
        </w:tc>
        <w:tc>
          <w:tcPr>
            <w:tcW w:w="1031" w:type="pct"/>
            <w:vAlign w:val="center"/>
          </w:tcPr>
          <w:p w14:paraId="449C5534">
            <w:pPr>
              <w:pStyle w:val="52"/>
              <w:jc w:val="center"/>
              <w:rPr>
                <w:rFonts w:hint="eastAsia" w:ascii="宋体" w:hAnsi="宋体" w:eastAsia="宋体" w:cs="宋体"/>
                <w:color w:val="auto"/>
                <w:sz w:val="21"/>
                <w:szCs w:val="21"/>
                <w:highlight w:val="none"/>
              </w:rPr>
            </w:pPr>
          </w:p>
        </w:tc>
        <w:tc>
          <w:tcPr>
            <w:tcW w:w="1265" w:type="pct"/>
            <w:vAlign w:val="center"/>
          </w:tcPr>
          <w:p w14:paraId="43936EF1">
            <w:pPr>
              <w:pStyle w:val="52"/>
              <w:jc w:val="center"/>
              <w:rPr>
                <w:rFonts w:hint="eastAsia" w:ascii="宋体" w:hAnsi="宋体" w:eastAsia="宋体" w:cs="宋体"/>
                <w:color w:val="auto"/>
                <w:sz w:val="21"/>
                <w:szCs w:val="21"/>
                <w:highlight w:val="none"/>
              </w:rPr>
            </w:pPr>
          </w:p>
        </w:tc>
        <w:tc>
          <w:tcPr>
            <w:tcW w:w="1135" w:type="pct"/>
            <w:vAlign w:val="center"/>
          </w:tcPr>
          <w:p w14:paraId="015081ED">
            <w:pPr>
              <w:pStyle w:val="52"/>
              <w:jc w:val="center"/>
              <w:rPr>
                <w:rFonts w:hint="eastAsia" w:ascii="宋体" w:hAnsi="宋体" w:eastAsia="宋体" w:cs="宋体"/>
                <w:color w:val="auto"/>
                <w:sz w:val="21"/>
                <w:szCs w:val="21"/>
                <w:highlight w:val="none"/>
              </w:rPr>
            </w:pPr>
          </w:p>
        </w:tc>
      </w:tr>
      <w:tr w14:paraId="576C89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407" w:type="pct"/>
            <w:vAlign w:val="center"/>
          </w:tcPr>
          <w:p w14:paraId="3BE7E344">
            <w:pPr>
              <w:pStyle w:val="52"/>
              <w:jc w:val="center"/>
              <w:rPr>
                <w:rFonts w:hint="eastAsia" w:ascii="宋体" w:hAnsi="宋体" w:eastAsia="宋体" w:cs="宋体"/>
                <w:color w:val="auto"/>
                <w:sz w:val="21"/>
                <w:szCs w:val="21"/>
                <w:highlight w:val="none"/>
              </w:rPr>
            </w:pPr>
          </w:p>
        </w:tc>
        <w:tc>
          <w:tcPr>
            <w:tcW w:w="1159" w:type="pct"/>
            <w:vAlign w:val="center"/>
          </w:tcPr>
          <w:p w14:paraId="4E7FED0B">
            <w:pPr>
              <w:pStyle w:val="52"/>
              <w:jc w:val="center"/>
              <w:rPr>
                <w:rFonts w:hint="eastAsia" w:ascii="宋体" w:hAnsi="宋体" w:eastAsia="宋体" w:cs="宋体"/>
                <w:color w:val="auto"/>
                <w:sz w:val="21"/>
                <w:szCs w:val="21"/>
                <w:highlight w:val="none"/>
              </w:rPr>
            </w:pPr>
          </w:p>
        </w:tc>
        <w:tc>
          <w:tcPr>
            <w:tcW w:w="1031" w:type="pct"/>
            <w:vAlign w:val="center"/>
          </w:tcPr>
          <w:p w14:paraId="07398BD3">
            <w:pPr>
              <w:pStyle w:val="52"/>
              <w:jc w:val="center"/>
              <w:rPr>
                <w:rFonts w:hint="eastAsia" w:ascii="宋体" w:hAnsi="宋体" w:eastAsia="宋体" w:cs="宋体"/>
                <w:color w:val="auto"/>
                <w:sz w:val="21"/>
                <w:szCs w:val="21"/>
                <w:highlight w:val="none"/>
              </w:rPr>
            </w:pPr>
          </w:p>
        </w:tc>
        <w:tc>
          <w:tcPr>
            <w:tcW w:w="1265" w:type="pct"/>
            <w:vAlign w:val="center"/>
          </w:tcPr>
          <w:p w14:paraId="085E5102">
            <w:pPr>
              <w:pStyle w:val="52"/>
              <w:jc w:val="center"/>
              <w:rPr>
                <w:rFonts w:hint="eastAsia" w:ascii="宋体" w:hAnsi="宋体" w:eastAsia="宋体" w:cs="宋体"/>
                <w:color w:val="auto"/>
                <w:sz w:val="21"/>
                <w:szCs w:val="21"/>
                <w:highlight w:val="none"/>
              </w:rPr>
            </w:pPr>
          </w:p>
        </w:tc>
        <w:tc>
          <w:tcPr>
            <w:tcW w:w="1135" w:type="pct"/>
            <w:vAlign w:val="center"/>
          </w:tcPr>
          <w:p w14:paraId="74B87043">
            <w:pPr>
              <w:pStyle w:val="52"/>
              <w:jc w:val="center"/>
              <w:rPr>
                <w:rFonts w:hint="eastAsia" w:ascii="宋体" w:hAnsi="宋体" w:eastAsia="宋体" w:cs="宋体"/>
                <w:color w:val="auto"/>
                <w:sz w:val="21"/>
                <w:szCs w:val="21"/>
                <w:highlight w:val="none"/>
              </w:rPr>
            </w:pPr>
          </w:p>
        </w:tc>
      </w:tr>
      <w:tr w14:paraId="4BD96B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407" w:type="pct"/>
            <w:vAlign w:val="center"/>
          </w:tcPr>
          <w:p w14:paraId="5DBDBE11">
            <w:pPr>
              <w:pStyle w:val="52"/>
              <w:jc w:val="center"/>
              <w:rPr>
                <w:rFonts w:hint="eastAsia" w:ascii="宋体" w:hAnsi="宋体" w:eastAsia="宋体" w:cs="宋体"/>
                <w:color w:val="auto"/>
                <w:sz w:val="21"/>
                <w:szCs w:val="21"/>
                <w:highlight w:val="none"/>
              </w:rPr>
            </w:pPr>
          </w:p>
        </w:tc>
        <w:tc>
          <w:tcPr>
            <w:tcW w:w="1159" w:type="pct"/>
            <w:vAlign w:val="center"/>
          </w:tcPr>
          <w:p w14:paraId="1F11A7BE">
            <w:pPr>
              <w:pStyle w:val="52"/>
              <w:jc w:val="center"/>
              <w:rPr>
                <w:rFonts w:hint="eastAsia" w:ascii="宋体" w:hAnsi="宋体" w:eastAsia="宋体" w:cs="宋体"/>
                <w:color w:val="auto"/>
                <w:sz w:val="21"/>
                <w:szCs w:val="21"/>
                <w:highlight w:val="none"/>
              </w:rPr>
            </w:pPr>
          </w:p>
        </w:tc>
        <w:tc>
          <w:tcPr>
            <w:tcW w:w="1031" w:type="pct"/>
            <w:vAlign w:val="center"/>
          </w:tcPr>
          <w:p w14:paraId="09342B6E">
            <w:pPr>
              <w:pStyle w:val="52"/>
              <w:jc w:val="center"/>
              <w:rPr>
                <w:rFonts w:hint="eastAsia" w:ascii="宋体" w:hAnsi="宋体" w:eastAsia="宋体" w:cs="宋体"/>
                <w:color w:val="auto"/>
                <w:sz w:val="21"/>
                <w:szCs w:val="21"/>
                <w:highlight w:val="none"/>
              </w:rPr>
            </w:pPr>
          </w:p>
        </w:tc>
        <w:tc>
          <w:tcPr>
            <w:tcW w:w="1265" w:type="pct"/>
            <w:vAlign w:val="center"/>
          </w:tcPr>
          <w:p w14:paraId="6742B646">
            <w:pPr>
              <w:pStyle w:val="52"/>
              <w:jc w:val="center"/>
              <w:rPr>
                <w:rFonts w:hint="eastAsia" w:ascii="宋体" w:hAnsi="宋体" w:eastAsia="宋体" w:cs="宋体"/>
                <w:color w:val="auto"/>
                <w:sz w:val="21"/>
                <w:szCs w:val="21"/>
                <w:highlight w:val="none"/>
              </w:rPr>
            </w:pPr>
          </w:p>
        </w:tc>
        <w:tc>
          <w:tcPr>
            <w:tcW w:w="1135" w:type="pct"/>
            <w:vAlign w:val="center"/>
          </w:tcPr>
          <w:p w14:paraId="4C72FCC2">
            <w:pPr>
              <w:pStyle w:val="52"/>
              <w:jc w:val="center"/>
              <w:rPr>
                <w:rFonts w:hint="eastAsia" w:ascii="宋体" w:hAnsi="宋体" w:eastAsia="宋体" w:cs="宋体"/>
                <w:color w:val="auto"/>
                <w:sz w:val="21"/>
                <w:szCs w:val="21"/>
                <w:highlight w:val="none"/>
              </w:rPr>
            </w:pPr>
          </w:p>
        </w:tc>
      </w:tr>
      <w:tr w14:paraId="26694A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407" w:type="pct"/>
            <w:vAlign w:val="center"/>
          </w:tcPr>
          <w:p w14:paraId="0D811F11">
            <w:pPr>
              <w:pStyle w:val="52"/>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159" w:type="pct"/>
            <w:vAlign w:val="center"/>
          </w:tcPr>
          <w:p w14:paraId="7D0AF02A">
            <w:pPr>
              <w:pStyle w:val="52"/>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31" w:type="pct"/>
            <w:vAlign w:val="center"/>
          </w:tcPr>
          <w:p w14:paraId="6EC8C4F3">
            <w:pPr>
              <w:pStyle w:val="52"/>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265" w:type="pct"/>
            <w:vAlign w:val="center"/>
          </w:tcPr>
          <w:p w14:paraId="59EB3DF9">
            <w:pPr>
              <w:pStyle w:val="52"/>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135" w:type="pct"/>
            <w:vAlign w:val="center"/>
          </w:tcPr>
          <w:p w14:paraId="1BF96619">
            <w:pPr>
              <w:pStyle w:val="52"/>
              <w:jc w:val="center"/>
              <w:rPr>
                <w:rFonts w:hint="eastAsia" w:ascii="宋体" w:hAnsi="宋体" w:eastAsia="宋体" w:cs="宋体"/>
                <w:color w:val="auto"/>
                <w:sz w:val="21"/>
                <w:szCs w:val="21"/>
                <w:highlight w:val="none"/>
              </w:rPr>
            </w:pPr>
          </w:p>
        </w:tc>
      </w:tr>
    </w:tbl>
    <w:p w14:paraId="7A96DC4C">
      <w:pPr>
        <w:ind w:firstLine="420" w:firstLineChars="200"/>
        <w:rPr>
          <w:rFonts w:hint="eastAsia" w:cs="仿宋_GB2312"/>
          <w:color w:val="auto"/>
          <w:sz w:val="21"/>
          <w:szCs w:val="21"/>
          <w:highlight w:val="none"/>
        </w:rPr>
      </w:pPr>
    </w:p>
    <w:p w14:paraId="2B5EBACC">
      <w:pPr>
        <w:ind w:firstLine="420" w:firstLineChars="200"/>
        <w:rPr>
          <w:rFonts w:hint="eastAsia" w:cs="仿宋_GB2312"/>
          <w:color w:val="auto"/>
          <w:sz w:val="21"/>
          <w:szCs w:val="21"/>
          <w:highlight w:val="none"/>
        </w:rPr>
      </w:pPr>
      <w:r>
        <w:rPr>
          <w:rFonts w:hint="eastAsia" w:cs="仿宋_GB2312"/>
          <w:color w:val="auto"/>
          <w:sz w:val="21"/>
          <w:szCs w:val="21"/>
          <w:highlight w:val="none"/>
        </w:rPr>
        <w:t>说明：投标人应按照招标文件“第三章 采购需求”</w:t>
      </w:r>
      <w:r>
        <w:rPr>
          <w:rFonts w:hint="eastAsia" w:cs="仿宋_GB2312"/>
          <w:color w:val="auto"/>
          <w:sz w:val="21"/>
          <w:szCs w:val="21"/>
          <w:highlight w:val="none"/>
          <w:lang w:val="en-US" w:eastAsia="zh-CN"/>
        </w:rPr>
        <w:t>中的技术要求</w:t>
      </w:r>
      <w:r>
        <w:rPr>
          <w:rFonts w:hint="eastAsia" w:cs="仿宋_GB2312"/>
          <w:color w:val="auto"/>
          <w:sz w:val="21"/>
          <w:szCs w:val="21"/>
          <w:highlight w:val="none"/>
        </w:rPr>
        <w:t>逐条对应填写</w:t>
      </w:r>
      <w:r>
        <w:rPr>
          <w:rFonts w:hint="eastAsia" w:cs="仿宋_GB2312"/>
          <w:color w:val="auto"/>
          <w:sz w:val="21"/>
          <w:szCs w:val="21"/>
          <w:highlight w:val="none"/>
          <w:lang w:eastAsia="zh-CN"/>
        </w:rPr>
        <w:t>，</w:t>
      </w:r>
      <w:r>
        <w:rPr>
          <w:rFonts w:hint="eastAsia" w:cs="仿宋_GB2312"/>
          <w:color w:val="auto"/>
          <w:sz w:val="21"/>
          <w:szCs w:val="21"/>
          <w:highlight w:val="none"/>
          <w:lang w:val="en-US" w:eastAsia="zh-CN"/>
        </w:rPr>
        <w:t>“响应/正偏离/负偏离”应据实填写“响应”、“正偏离”或“负偏离”</w:t>
      </w:r>
      <w:r>
        <w:rPr>
          <w:rFonts w:hint="eastAsia" w:cs="仿宋_GB2312"/>
          <w:color w:val="auto"/>
          <w:sz w:val="21"/>
          <w:szCs w:val="21"/>
          <w:highlight w:val="none"/>
        </w:rPr>
        <w:t>。</w:t>
      </w:r>
    </w:p>
    <w:p w14:paraId="12AEBD40">
      <w:pPr>
        <w:ind w:firstLine="480" w:firstLineChars="200"/>
        <w:rPr>
          <w:rFonts w:cs="仿宋_GB2312"/>
          <w:color w:val="auto"/>
          <w:szCs w:val="24"/>
          <w:highlight w:val="none"/>
        </w:rPr>
      </w:pPr>
    </w:p>
    <w:p w14:paraId="53059121">
      <w:pPr>
        <w:ind w:firstLine="480" w:firstLineChars="200"/>
        <w:rPr>
          <w:rFonts w:cs="仿宋_GB2312"/>
          <w:color w:val="auto"/>
          <w:szCs w:val="24"/>
          <w:highlight w:val="none"/>
        </w:rPr>
      </w:pPr>
      <w:r>
        <w:rPr>
          <w:rFonts w:hint="eastAsia" w:cs="仿宋_GB2312"/>
          <w:color w:val="auto"/>
          <w:szCs w:val="24"/>
          <w:highlight w:val="none"/>
        </w:rPr>
        <w:t>投标人名称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hint="eastAsia" w:cs="仿宋_GB2312"/>
          <w:color w:val="auto"/>
          <w:szCs w:val="24"/>
          <w:highlight w:val="none"/>
        </w:rPr>
        <w:t>：</w:t>
      </w:r>
    </w:p>
    <w:p w14:paraId="27EF6D84">
      <w:pPr>
        <w:ind w:firstLine="420"/>
        <w:rPr>
          <w:rFonts w:cs="仿宋_GB2312"/>
          <w:color w:val="auto"/>
          <w:szCs w:val="24"/>
          <w:highlight w:val="none"/>
        </w:rPr>
      </w:pPr>
      <w:r>
        <w:rPr>
          <w:rFonts w:hint="eastAsia" w:cs="仿宋_GB2312"/>
          <w:color w:val="auto"/>
          <w:szCs w:val="24"/>
          <w:highlight w:val="none"/>
        </w:rPr>
        <w:t>日      期：</w:t>
      </w:r>
    </w:p>
    <w:p w14:paraId="3689B270">
      <w:pPr>
        <w:ind w:firstLine="420"/>
        <w:rPr>
          <w:rFonts w:cs="仿宋_GB2312"/>
          <w:color w:val="auto"/>
          <w:szCs w:val="24"/>
          <w:highlight w:val="none"/>
        </w:rPr>
      </w:pPr>
    </w:p>
    <w:p w14:paraId="05FE41C4">
      <w:pPr>
        <w:ind w:firstLine="420"/>
        <w:rPr>
          <w:rFonts w:cs="仿宋_GB2312"/>
          <w:color w:val="auto"/>
          <w:szCs w:val="24"/>
          <w:highlight w:val="none"/>
        </w:rPr>
      </w:pPr>
    </w:p>
    <w:p w14:paraId="5228E054">
      <w:pPr>
        <w:ind w:firstLine="420"/>
        <w:rPr>
          <w:rFonts w:hint="eastAsia" w:cs="仿宋_GB2312"/>
          <w:color w:val="auto"/>
          <w:sz w:val="21"/>
          <w:szCs w:val="21"/>
          <w:highlight w:val="none"/>
          <w:lang w:val="en-US" w:eastAsia="zh-CN"/>
        </w:rPr>
      </w:pPr>
      <w:r>
        <w:rPr>
          <w:rFonts w:hint="eastAsia" w:cs="仿宋_GB2312"/>
          <w:color w:val="auto"/>
          <w:sz w:val="21"/>
          <w:szCs w:val="21"/>
          <w:highlight w:val="none"/>
          <w:lang w:val="en-US" w:eastAsia="zh-CN"/>
        </w:rPr>
        <w:t>备注：投标人在本表中须标注产品实际参数数值，照搬照抄采购文件参数、不注明实际数值者</w:t>
      </w:r>
      <w:r>
        <w:rPr>
          <w:rFonts w:hint="eastAsia" w:cs="仿宋_GB2312"/>
          <w:b/>
          <w:bCs/>
          <w:color w:val="auto"/>
          <w:sz w:val="21"/>
          <w:szCs w:val="21"/>
          <w:highlight w:val="none"/>
          <w:lang w:val="en-US" w:eastAsia="zh-CN"/>
        </w:rPr>
        <w:t>视为未响应</w:t>
      </w:r>
      <w:r>
        <w:rPr>
          <w:rFonts w:hint="eastAsia" w:cs="仿宋_GB2312"/>
          <w:color w:val="auto"/>
          <w:sz w:val="21"/>
          <w:szCs w:val="21"/>
          <w:highlight w:val="none"/>
          <w:lang w:val="en-US" w:eastAsia="zh-CN"/>
        </w:rPr>
        <w:t>。</w:t>
      </w:r>
    </w:p>
    <w:p w14:paraId="5E3B4625">
      <w:pPr>
        <w:ind w:firstLine="420"/>
        <w:rPr>
          <w:rFonts w:hint="eastAsia" w:cs="仿宋_GB2312"/>
          <w:color w:val="auto"/>
          <w:sz w:val="21"/>
          <w:szCs w:val="21"/>
          <w:highlight w:val="none"/>
          <w:lang w:val="en-US" w:eastAsia="zh-CN"/>
        </w:rPr>
      </w:pPr>
    </w:p>
    <w:p w14:paraId="49372E23">
      <w:pPr>
        <w:ind w:firstLine="420"/>
        <w:rPr>
          <w:rFonts w:hint="eastAsia" w:cs="仿宋_GB2312"/>
          <w:color w:val="auto"/>
          <w:sz w:val="21"/>
          <w:szCs w:val="21"/>
          <w:highlight w:val="none"/>
          <w:lang w:val="en-US" w:eastAsia="zh-CN"/>
        </w:rPr>
      </w:pPr>
    </w:p>
    <w:p w14:paraId="06C98EB9">
      <w:pPr>
        <w:pStyle w:val="3"/>
        <w:bidi w:val="0"/>
        <w:jc w:val="center"/>
        <w:rPr>
          <w:rFonts w:hint="eastAsia"/>
          <w:lang w:val="en-US" w:eastAsia="zh-CN"/>
        </w:rPr>
      </w:pPr>
      <w:bookmarkStart w:id="685" w:name="_Toc15970"/>
      <w:r>
        <w:rPr>
          <w:rFonts w:hint="eastAsia"/>
          <w:lang w:val="en-US" w:eastAsia="zh-CN"/>
        </w:rPr>
        <w:t>十、技术方案</w:t>
      </w:r>
      <w:bookmarkEnd w:id="685"/>
    </w:p>
    <w:p w14:paraId="3878D3F5">
      <w:pPr>
        <w:pStyle w:val="40"/>
        <w:rPr>
          <w:color w:val="auto"/>
          <w:highlight w:val="none"/>
        </w:rPr>
      </w:pPr>
      <w:r>
        <w:rPr>
          <w:rFonts w:hint="eastAsia"/>
          <w:color w:val="auto"/>
          <w:highlight w:val="none"/>
        </w:rPr>
        <w:t>投标人应按照招标文件商务</w:t>
      </w:r>
      <w:r>
        <w:rPr>
          <w:rFonts w:hint="eastAsia"/>
          <w:color w:val="auto"/>
          <w:highlight w:val="none"/>
          <w:lang w:eastAsia="zh-CN"/>
        </w:rPr>
        <w:t>、</w:t>
      </w:r>
      <w:r>
        <w:rPr>
          <w:rFonts w:hint="eastAsia"/>
          <w:color w:val="auto"/>
          <w:highlight w:val="none"/>
          <w:lang w:val="en-US" w:eastAsia="zh-CN"/>
        </w:rPr>
        <w:t>技术</w:t>
      </w:r>
      <w:r>
        <w:rPr>
          <w:rFonts w:hint="eastAsia"/>
          <w:color w:val="auto"/>
          <w:highlight w:val="none"/>
        </w:rPr>
        <w:t>部分</w:t>
      </w:r>
      <w:r>
        <w:rPr>
          <w:rFonts w:hint="eastAsia"/>
          <w:color w:val="auto"/>
          <w:highlight w:val="none"/>
          <w:lang w:val="en-US" w:eastAsia="zh-CN"/>
        </w:rPr>
        <w:t>评审</w:t>
      </w:r>
      <w:r>
        <w:rPr>
          <w:rFonts w:hint="eastAsia"/>
          <w:color w:val="auto"/>
          <w:highlight w:val="none"/>
        </w:rPr>
        <w:t>要求，提供详细的</w:t>
      </w:r>
      <w:r>
        <w:rPr>
          <w:rFonts w:hint="eastAsia"/>
          <w:color w:val="auto"/>
          <w:highlight w:val="none"/>
          <w:lang w:val="en-US" w:eastAsia="zh-CN"/>
        </w:rPr>
        <w:t>供货及相关</w:t>
      </w:r>
      <w:r>
        <w:rPr>
          <w:rFonts w:hint="eastAsia"/>
          <w:color w:val="auto"/>
          <w:highlight w:val="none"/>
        </w:rPr>
        <w:t>服务方案，包括文字描述或图表显示。格式自拟。</w:t>
      </w:r>
    </w:p>
    <w:p w14:paraId="76A35181">
      <w:pPr>
        <w:pStyle w:val="40"/>
        <w:rPr>
          <w:rFonts w:hint="default"/>
          <w:color w:val="auto"/>
          <w:highlight w:val="none"/>
          <w:lang w:val="en-US" w:eastAsia="zh-CN"/>
        </w:rPr>
      </w:pPr>
      <w:r>
        <w:rPr>
          <w:rFonts w:hint="eastAsia"/>
          <w:color w:val="auto"/>
          <w:highlight w:val="none"/>
          <w:lang w:val="en-US" w:eastAsia="zh-CN"/>
        </w:rPr>
        <w:t>其中产品的详细技术参数说明、产品彩页要求如下：</w:t>
      </w:r>
    </w:p>
    <w:p w14:paraId="7EE77353">
      <w:pPr>
        <w:pStyle w:val="40"/>
        <w:rPr>
          <w:color w:val="auto"/>
          <w:highlight w:val="none"/>
        </w:rPr>
      </w:pPr>
      <w:r>
        <w:rPr>
          <w:rFonts w:hint="eastAsia"/>
          <w:color w:val="auto"/>
          <w:highlight w:val="none"/>
        </w:rPr>
        <w:t>供应商所投产品必须提供国家权威部门出具的完整检验报告及产品彩页作为其技术指标的支持资料（国家无需检测的设备可以不提供检验报告）。质量检测报告内容及彩页图片、文字部分须清晰可见，对未提供技术支持资料或不全的视为无效；参数与其提供的技术支持资料不一致的，均视为偏离。（所投产品须为当年生产出厂产品）</w:t>
      </w:r>
      <w:r>
        <w:rPr>
          <w:color w:val="auto"/>
          <w:highlight w:val="none"/>
        </w:rPr>
        <w:br w:type="page"/>
      </w:r>
    </w:p>
    <w:p w14:paraId="68D392B1">
      <w:pPr>
        <w:pStyle w:val="3"/>
        <w:bidi w:val="0"/>
        <w:jc w:val="center"/>
        <w:rPr>
          <w:rFonts w:hint="eastAsia"/>
          <w:lang w:val="en-US" w:eastAsia="zh-CN"/>
        </w:rPr>
      </w:pPr>
      <w:bookmarkStart w:id="686" w:name="_Toc19835"/>
      <w:r>
        <w:rPr>
          <w:rFonts w:hint="eastAsia"/>
          <w:lang w:val="en-US" w:eastAsia="zh-CN"/>
        </w:rPr>
        <w:t>十一、其他文件</w:t>
      </w:r>
      <w:bookmarkEnd w:id="686"/>
    </w:p>
    <w:p w14:paraId="6EF40482">
      <w:pPr>
        <w:pStyle w:val="40"/>
        <w:ind w:left="0" w:leftChars="0" w:firstLine="0" w:firstLineChars="0"/>
        <w:rPr>
          <w:rFonts w:hint="eastAsia"/>
          <w:b/>
          <w:bCs/>
          <w:color w:val="auto"/>
          <w:sz w:val="24"/>
          <w:szCs w:val="24"/>
          <w:highlight w:val="none"/>
        </w:rPr>
      </w:pPr>
      <w:r>
        <w:rPr>
          <w:rFonts w:hint="eastAsia"/>
          <w:b/>
          <w:bCs/>
          <w:color w:val="auto"/>
          <w:sz w:val="24"/>
          <w:szCs w:val="24"/>
          <w:highlight w:val="none"/>
          <w:lang w:eastAsia="zh-CN"/>
        </w:rPr>
        <w:t>（</w:t>
      </w:r>
      <w:r>
        <w:rPr>
          <w:rFonts w:hint="eastAsia"/>
          <w:b/>
          <w:bCs/>
          <w:color w:val="auto"/>
          <w:sz w:val="24"/>
          <w:szCs w:val="24"/>
          <w:highlight w:val="none"/>
          <w:lang w:val="en-US" w:eastAsia="zh-CN"/>
        </w:rPr>
        <w:t>一）</w:t>
      </w:r>
      <w:r>
        <w:rPr>
          <w:rFonts w:hint="eastAsia"/>
          <w:b/>
          <w:bCs/>
          <w:color w:val="auto"/>
          <w:sz w:val="24"/>
          <w:szCs w:val="24"/>
          <w:highlight w:val="none"/>
        </w:rPr>
        <w:t>招标文件要求提供的其它商务</w:t>
      </w:r>
      <w:r>
        <w:rPr>
          <w:rFonts w:hint="eastAsia"/>
          <w:b/>
          <w:bCs/>
          <w:color w:val="auto"/>
          <w:sz w:val="24"/>
          <w:szCs w:val="24"/>
          <w:highlight w:val="none"/>
          <w:lang w:eastAsia="zh-CN"/>
        </w:rPr>
        <w:t>、</w:t>
      </w:r>
      <w:r>
        <w:rPr>
          <w:rFonts w:hint="eastAsia"/>
          <w:b/>
          <w:bCs/>
          <w:color w:val="auto"/>
          <w:sz w:val="24"/>
          <w:szCs w:val="24"/>
          <w:highlight w:val="none"/>
        </w:rPr>
        <w:t>技术资料和证明材料；</w:t>
      </w:r>
    </w:p>
    <w:p w14:paraId="1AB0431C">
      <w:pPr>
        <w:pStyle w:val="40"/>
        <w:rPr>
          <w:rFonts w:hint="eastAsia"/>
          <w:color w:val="auto"/>
          <w:sz w:val="24"/>
          <w:szCs w:val="24"/>
          <w:highlight w:val="none"/>
          <w:lang w:val="en-US" w:eastAsia="zh-CN"/>
        </w:rPr>
      </w:pPr>
      <w:r>
        <w:rPr>
          <w:rFonts w:hint="eastAsia"/>
          <w:color w:val="auto"/>
          <w:sz w:val="24"/>
          <w:szCs w:val="24"/>
          <w:highlight w:val="none"/>
          <w:lang w:val="en-US" w:eastAsia="zh-CN"/>
        </w:rPr>
        <w:t>1.1供应商信息采集表</w:t>
      </w:r>
    </w:p>
    <w:tbl>
      <w:tblPr>
        <w:tblStyle w:val="32"/>
        <w:tblW w:w="0" w:type="auto"/>
        <w:tblInd w:w="13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708"/>
        <w:gridCol w:w="2841"/>
        <w:gridCol w:w="2743"/>
      </w:tblGrid>
      <w:tr w14:paraId="321A63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trPr>
        <w:tc>
          <w:tcPr>
            <w:tcW w:w="2708" w:type="dxa"/>
            <w:vAlign w:val="center"/>
          </w:tcPr>
          <w:p w14:paraId="1508E63E">
            <w:pPr>
              <w:keepNext w:val="0"/>
              <w:keepLines w:val="0"/>
              <w:widowControl/>
              <w:suppressLineNumbers w:val="0"/>
              <w:jc w:val="center"/>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kern w:val="0"/>
                <w:sz w:val="24"/>
                <w:szCs w:val="24"/>
                <w:highlight w:val="none"/>
                <w:lang w:val="en-US" w:eastAsia="zh-CN" w:bidi="ar"/>
              </w:rPr>
              <w:t>供应商名称</w:t>
            </w:r>
          </w:p>
        </w:tc>
        <w:tc>
          <w:tcPr>
            <w:tcW w:w="2841" w:type="dxa"/>
            <w:vAlign w:val="center"/>
          </w:tcPr>
          <w:p w14:paraId="525F160D">
            <w:pPr>
              <w:keepNext w:val="0"/>
              <w:keepLines w:val="0"/>
              <w:widowControl/>
              <w:suppressLineNumbers w:val="0"/>
              <w:jc w:val="center"/>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kern w:val="0"/>
                <w:sz w:val="24"/>
                <w:szCs w:val="24"/>
                <w:highlight w:val="none"/>
                <w:lang w:val="en-US" w:eastAsia="zh-CN" w:bidi="ar"/>
              </w:rPr>
              <w:t>供应商实际控制人性别</w:t>
            </w:r>
          </w:p>
        </w:tc>
        <w:tc>
          <w:tcPr>
            <w:tcW w:w="2743" w:type="dxa"/>
            <w:vAlign w:val="center"/>
          </w:tcPr>
          <w:p w14:paraId="6288AB90">
            <w:pPr>
              <w:keepNext w:val="0"/>
              <w:keepLines w:val="0"/>
              <w:widowControl/>
              <w:suppressLineNumbers w:val="0"/>
              <w:jc w:val="center"/>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kern w:val="0"/>
                <w:sz w:val="24"/>
                <w:szCs w:val="24"/>
                <w:highlight w:val="none"/>
                <w:lang w:val="en-US" w:eastAsia="zh-CN" w:bidi="ar"/>
              </w:rPr>
              <w:t>外商投资类型</w:t>
            </w:r>
          </w:p>
        </w:tc>
      </w:tr>
      <w:tr w14:paraId="0694CF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8" w:type="dxa"/>
          </w:tcPr>
          <w:p w14:paraId="5BC16E3C">
            <w:pPr>
              <w:pStyle w:val="40"/>
              <w:rPr>
                <w:rFonts w:hint="eastAsia" w:ascii="宋体" w:hAnsi="宋体" w:eastAsia="宋体" w:cs="宋体"/>
                <w:color w:val="auto"/>
                <w:sz w:val="24"/>
                <w:szCs w:val="24"/>
                <w:highlight w:val="none"/>
                <w:vertAlign w:val="baseline"/>
                <w:lang w:val="en-US" w:eastAsia="zh-CN"/>
              </w:rPr>
            </w:pPr>
          </w:p>
        </w:tc>
        <w:tc>
          <w:tcPr>
            <w:tcW w:w="2841" w:type="dxa"/>
          </w:tcPr>
          <w:p w14:paraId="471F983C">
            <w:pPr>
              <w:pStyle w:val="40"/>
              <w:rPr>
                <w:rFonts w:hint="eastAsia" w:ascii="宋体" w:hAnsi="宋体" w:eastAsia="宋体" w:cs="宋体"/>
                <w:color w:val="auto"/>
                <w:sz w:val="24"/>
                <w:szCs w:val="24"/>
                <w:highlight w:val="none"/>
                <w:vertAlign w:val="baseline"/>
                <w:lang w:val="en-US" w:eastAsia="zh-CN"/>
              </w:rPr>
            </w:pPr>
          </w:p>
        </w:tc>
        <w:tc>
          <w:tcPr>
            <w:tcW w:w="2743" w:type="dxa"/>
          </w:tcPr>
          <w:p w14:paraId="59E9D0CB">
            <w:pPr>
              <w:pStyle w:val="40"/>
              <w:rPr>
                <w:rFonts w:hint="eastAsia" w:ascii="宋体" w:hAnsi="宋体" w:eastAsia="宋体" w:cs="宋体"/>
                <w:color w:val="auto"/>
                <w:sz w:val="24"/>
                <w:szCs w:val="24"/>
                <w:highlight w:val="none"/>
                <w:vertAlign w:val="baseline"/>
                <w:lang w:val="en-US" w:eastAsia="zh-CN"/>
              </w:rPr>
            </w:pPr>
          </w:p>
        </w:tc>
      </w:tr>
      <w:tr w14:paraId="6D8FF6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8" w:type="dxa"/>
          </w:tcPr>
          <w:p w14:paraId="3BE5BC20">
            <w:pPr>
              <w:pStyle w:val="40"/>
              <w:rPr>
                <w:rFonts w:hint="eastAsia" w:ascii="宋体" w:hAnsi="宋体" w:eastAsia="宋体" w:cs="宋体"/>
                <w:color w:val="auto"/>
                <w:sz w:val="24"/>
                <w:szCs w:val="24"/>
                <w:highlight w:val="none"/>
                <w:vertAlign w:val="baseline"/>
                <w:lang w:val="en-US" w:eastAsia="zh-CN"/>
              </w:rPr>
            </w:pPr>
          </w:p>
        </w:tc>
        <w:tc>
          <w:tcPr>
            <w:tcW w:w="2841" w:type="dxa"/>
          </w:tcPr>
          <w:p w14:paraId="65335BA2">
            <w:pPr>
              <w:pStyle w:val="40"/>
              <w:rPr>
                <w:rFonts w:hint="eastAsia" w:ascii="宋体" w:hAnsi="宋体" w:eastAsia="宋体" w:cs="宋体"/>
                <w:color w:val="auto"/>
                <w:sz w:val="24"/>
                <w:szCs w:val="24"/>
                <w:highlight w:val="none"/>
                <w:vertAlign w:val="baseline"/>
                <w:lang w:val="en-US" w:eastAsia="zh-CN"/>
              </w:rPr>
            </w:pPr>
          </w:p>
        </w:tc>
        <w:tc>
          <w:tcPr>
            <w:tcW w:w="2743" w:type="dxa"/>
          </w:tcPr>
          <w:p w14:paraId="331FBFA7">
            <w:pPr>
              <w:pStyle w:val="40"/>
              <w:rPr>
                <w:rFonts w:hint="eastAsia" w:ascii="宋体" w:hAnsi="宋体" w:eastAsia="宋体" w:cs="宋体"/>
                <w:color w:val="auto"/>
                <w:sz w:val="24"/>
                <w:szCs w:val="24"/>
                <w:highlight w:val="none"/>
                <w:vertAlign w:val="baseline"/>
                <w:lang w:val="en-US" w:eastAsia="zh-CN"/>
              </w:rPr>
            </w:pPr>
          </w:p>
        </w:tc>
      </w:tr>
      <w:tr w14:paraId="1A91A3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8" w:type="dxa"/>
          </w:tcPr>
          <w:p w14:paraId="399AB141">
            <w:pPr>
              <w:pStyle w:val="40"/>
              <w:rPr>
                <w:rFonts w:hint="eastAsia" w:ascii="宋体" w:hAnsi="宋体" w:eastAsia="宋体" w:cs="宋体"/>
                <w:color w:val="auto"/>
                <w:sz w:val="24"/>
                <w:szCs w:val="24"/>
                <w:highlight w:val="none"/>
                <w:vertAlign w:val="baseline"/>
                <w:lang w:val="en-US" w:eastAsia="zh-CN"/>
              </w:rPr>
            </w:pPr>
          </w:p>
        </w:tc>
        <w:tc>
          <w:tcPr>
            <w:tcW w:w="2841" w:type="dxa"/>
          </w:tcPr>
          <w:p w14:paraId="00E4C5E8">
            <w:pPr>
              <w:pStyle w:val="40"/>
              <w:rPr>
                <w:rFonts w:hint="eastAsia" w:ascii="宋体" w:hAnsi="宋体" w:eastAsia="宋体" w:cs="宋体"/>
                <w:color w:val="auto"/>
                <w:sz w:val="24"/>
                <w:szCs w:val="24"/>
                <w:highlight w:val="none"/>
                <w:vertAlign w:val="baseline"/>
                <w:lang w:val="en-US" w:eastAsia="zh-CN"/>
              </w:rPr>
            </w:pPr>
          </w:p>
        </w:tc>
        <w:tc>
          <w:tcPr>
            <w:tcW w:w="2743" w:type="dxa"/>
          </w:tcPr>
          <w:p w14:paraId="42125693">
            <w:pPr>
              <w:pStyle w:val="40"/>
              <w:rPr>
                <w:rFonts w:hint="eastAsia" w:ascii="宋体" w:hAnsi="宋体" w:eastAsia="宋体" w:cs="宋体"/>
                <w:color w:val="auto"/>
                <w:sz w:val="24"/>
                <w:szCs w:val="24"/>
                <w:highlight w:val="none"/>
                <w:vertAlign w:val="baseline"/>
                <w:lang w:val="en-US" w:eastAsia="zh-CN"/>
              </w:rPr>
            </w:pPr>
          </w:p>
        </w:tc>
      </w:tr>
      <w:tr w14:paraId="24B462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8" w:type="dxa"/>
          </w:tcPr>
          <w:p w14:paraId="2995954E">
            <w:pPr>
              <w:pStyle w:val="40"/>
              <w:rPr>
                <w:rFonts w:hint="eastAsia" w:ascii="宋体" w:hAnsi="宋体" w:eastAsia="宋体" w:cs="宋体"/>
                <w:color w:val="auto"/>
                <w:sz w:val="24"/>
                <w:szCs w:val="24"/>
                <w:highlight w:val="none"/>
                <w:vertAlign w:val="baseline"/>
                <w:lang w:val="en-US" w:eastAsia="zh-CN"/>
              </w:rPr>
            </w:pPr>
          </w:p>
        </w:tc>
        <w:tc>
          <w:tcPr>
            <w:tcW w:w="2841" w:type="dxa"/>
          </w:tcPr>
          <w:p w14:paraId="75889361">
            <w:pPr>
              <w:pStyle w:val="40"/>
              <w:rPr>
                <w:rFonts w:hint="eastAsia" w:ascii="宋体" w:hAnsi="宋体" w:eastAsia="宋体" w:cs="宋体"/>
                <w:color w:val="auto"/>
                <w:sz w:val="24"/>
                <w:szCs w:val="24"/>
                <w:highlight w:val="none"/>
                <w:vertAlign w:val="baseline"/>
                <w:lang w:val="en-US" w:eastAsia="zh-CN"/>
              </w:rPr>
            </w:pPr>
          </w:p>
        </w:tc>
        <w:tc>
          <w:tcPr>
            <w:tcW w:w="2743" w:type="dxa"/>
          </w:tcPr>
          <w:p w14:paraId="760C7D5C">
            <w:pPr>
              <w:pStyle w:val="40"/>
              <w:rPr>
                <w:rFonts w:hint="eastAsia" w:ascii="宋体" w:hAnsi="宋体" w:eastAsia="宋体" w:cs="宋体"/>
                <w:color w:val="auto"/>
                <w:sz w:val="24"/>
                <w:szCs w:val="24"/>
                <w:highlight w:val="none"/>
                <w:vertAlign w:val="baseline"/>
                <w:lang w:val="en-US" w:eastAsia="zh-CN"/>
              </w:rPr>
            </w:pPr>
          </w:p>
        </w:tc>
      </w:tr>
    </w:tbl>
    <w:p w14:paraId="799D1172">
      <w:pPr>
        <w:keepNext w:val="0"/>
        <w:keepLines w:val="0"/>
        <w:widowControl/>
        <w:suppressLineNumbers w:val="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注：1.供应商如为联合体，则应填写联合体各成员信息。 </w:t>
      </w:r>
    </w:p>
    <w:p w14:paraId="429C5533">
      <w:pPr>
        <w:keepNext w:val="0"/>
        <w:keepLines w:val="0"/>
        <w:widowControl/>
        <w:suppressLineNumbers w:val="0"/>
        <w:ind w:firstLine="420" w:firstLineChars="200"/>
        <w:jc w:val="left"/>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2.</w:t>
      </w:r>
      <w:r>
        <w:rPr>
          <w:rFonts w:hint="eastAsia" w:cs="宋体"/>
          <w:color w:val="auto"/>
          <w:kern w:val="0"/>
          <w:sz w:val="21"/>
          <w:szCs w:val="21"/>
          <w:highlight w:val="none"/>
          <w:lang w:val="en-US" w:eastAsia="zh-CN" w:bidi="ar"/>
        </w:rPr>
        <w:t>“供应商实际控制人性别”</w:t>
      </w:r>
      <w:r>
        <w:rPr>
          <w:rFonts w:hint="eastAsia" w:ascii="宋体" w:hAnsi="宋体" w:eastAsia="宋体" w:cs="宋体"/>
          <w:color w:val="auto"/>
          <w:kern w:val="0"/>
          <w:sz w:val="21"/>
          <w:szCs w:val="21"/>
          <w:highlight w:val="none"/>
          <w:lang w:val="en-US" w:eastAsia="zh-CN" w:bidi="ar"/>
        </w:rPr>
        <w:t>按供应商实际控制人性别划分请填写“男”或“女”，指拥有供应商 51%以上绝对所有权的性；绝对所有权拥有者可以是一个人，也可以是多人合计计算。</w:t>
      </w:r>
    </w:p>
    <w:p w14:paraId="6C85D95C">
      <w:pPr>
        <w:pStyle w:val="40"/>
        <w:ind w:left="0" w:leftChars="0" w:firstLine="420" w:firstLineChars="200"/>
        <w:rPr>
          <w:rFonts w:hint="eastAsia"/>
          <w:color w:val="auto"/>
          <w:sz w:val="21"/>
          <w:szCs w:val="21"/>
          <w:highlight w:val="none"/>
          <w:lang w:eastAsia="zh-CN"/>
        </w:rPr>
      </w:pPr>
      <w:r>
        <w:rPr>
          <w:rFonts w:hint="eastAsia" w:ascii="宋体" w:hAnsi="宋体" w:eastAsia="宋体" w:cs="宋体"/>
          <w:color w:val="auto"/>
          <w:kern w:val="0"/>
          <w:sz w:val="21"/>
          <w:szCs w:val="21"/>
          <w:highlight w:val="none"/>
          <w:lang w:val="en-US" w:eastAsia="zh-CN" w:bidi="ar"/>
        </w:rPr>
        <w:t>3.</w:t>
      </w:r>
      <w:r>
        <w:rPr>
          <w:rFonts w:hint="eastAsia" w:cs="宋体"/>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外商投资类型</w:t>
      </w:r>
      <w:r>
        <w:rPr>
          <w:rFonts w:hint="eastAsia" w:cs="宋体"/>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请填写“外商单独投资”、“外商部分投资”或“内资”。</w:t>
      </w:r>
    </w:p>
    <w:p w14:paraId="74B37C36">
      <w:pPr>
        <w:pStyle w:val="40"/>
        <w:rPr>
          <w:rFonts w:hint="default"/>
          <w:color w:val="auto"/>
          <w:sz w:val="28"/>
          <w:szCs w:val="28"/>
          <w:highlight w:val="none"/>
          <w:lang w:val="en-US" w:eastAsia="zh-CN"/>
        </w:rPr>
      </w:pPr>
    </w:p>
    <w:p w14:paraId="4ADCFBA8">
      <w:pPr>
        <w:pStyle w:val="40"/>
        <w:rPr>
          <w:rFonts w:hint="default"/>
          <w:color w:val="auto"/>
          <w:sz w:val="24"/>
          <w:szCs w:val="24"/>
          <w:highlight w:val="none"/>
          <w:lang w:val="en-US" w:eastAsia="zh-CN"/>
        </w:rPr>
      </w:pPr>
      <w:r>
        <w:rPr>
          <w:rFonts w:hint="eastAsia"/>
          <w:color w:val="auto"/>
          <w:sz w:val="24"/>
          <w:szCs w:val="24"/>
          <w:highlight w:val="none"/>
          <w:lang w:val="en-US" w:eastAsia="zh-CN"/>
        </w:rPr>
        <w:t>1.2质量保函承诺书，根据合同要求提交承诺书，格式自拟。</w:t>
      </w:r>
    </w:p>
    <w:p w14:paraId="561645D5">
      <w:pPr>
        <w:pStyle w:val="40"/>
        <w:rPr>
          <w:rFonts w:hint="eastAsia"/>
          <w:color w:val="auto"/>
          <w:sz w:val="24"/>
          <w:szCs w:val="24"/>
          <w:highlight w:val="none"/>
          <w:lang w:val="en-US" w:eastAsia="zh-CN"/>
        </w:rPr>
      </w:pPr>
    </w:p>
    <w:p w14:paraId="3F26FF37">
      <w:pPr>
        <w:pStyle w:val="40"/>
        <w:rPr>
          <w:rFonts w:hint="eastAsia"/>
          <w:color w:val="auto"/>
          <w:sz w:val="24"/>
          <w:szCs w:val="24"/>
          <w:highlight w:val="none"/>
          <w:lang w:val="en-US" w:eastAsia="zh-CN"/>
        </w:rPr>
      </w:pPr>
      <w:r>
        <w:rPr>
          <w:rFonts w:hint="eastAsia"/>
          <w:color w:val="auto"/>
          <w:sz w:val="24"/>
          <w:szCs w:val="24"/>
          <w:highlight w:val="none"/>
          <w:lang w:val="en-US" w:eastAsia="zh-CN"/>
        </w:rPr>
        <w:t>1.3其它商务、技术资料和证明材料</w:t>
      </w:r>
    </w:p>
    <w:p w14:paraId="110B54DA">
      <w:pPr>
        <w:pStyle w:val="40"/>
        <w:ind w:left="0" w:leftChars="0" w:firstLine="0" w:firstLineChars="0"/>
        <w:rPr>
          <w:rFonts w:hint="eastAsia"/>
          <w:b/>
          <w:bCs/>
          <w:color w:val="auto"/>
          <w:sz w:val="24"/>
          <w:szCs w:val="24"/>
          <w:highlight w:val="none"/>
          <w:lang w:eastAsia="zh-CN"/>
        </w:rPr>
      </w:pPr>
    </w:p>
    <w:p w14:paraId="1B53D123">
      <w:pPr>
        <w:rPr>
          <w:rFonts w:hint="eastAsia"/>
          <w:b/>
          <w:bCs/>
          <w:color w:val="auto"/>
          <w:sz w:val="24"/>
          <w:szCs w:val="24"/>
          <w:highlight w:val="none"/>
          <w:lang w:eastAsia="zh-CN"/>
        </w:rPr>
      </w:pPr>
      <w:r>
        <w:rPr>
          <w:rFonts w:hint="eastAsia"/>
          <w:b/>
          <w:bCs/>
          <w:color w:val="auto"/>
          <w:sz w:val="24"/>
          <w:szCs w:val="24"/>
          <w:highlight w:val="none"/>
          <w:lang w:eastAsia="zh-CN"/>
        </w:rPr>
        <w:br w:type="page"/>
      </w:r>
    </w:p>
    <w:p w14:paraId="7DF13FE9">
      <w:pPr>
        <w:pStyle w:val="40"/>
        <w:ind w:left="0" w:leftChars="0" w:firstLine="0" w:firstLineChars="0"/>
        <w:rPr>
          <w:rFonts w:hint="eastAsia"/>
          <w:b/>
          <w:bCs/>
          <w:color w:val="auto"/>
          <w:sz w:val="24"/>
          <w:szCs w:val="24"/>
          <w:highlight w:val="none"/>
        </w:rPr>
      </w:pPr>
      <w:r>
        <w:rPr>
          <w:rFonts w:hint="eastAsia"/>
          <w:b/>
          <w:bCs/>
          <w:color w:val="auto"/>
          <w:sz w:val="24"/>
          <w:szCs w:val="24"/>
          <w:highlight w:val="none"/>
          <w:lang w:eastAsia="zh-CN"/>
        </w:rPr>
        <w:t>（</w:t>
      </w:r>
      <w:r>
        <w:rPr>
          <w:rFonts w:hint="eastAsia"/>
          <w:b/>
          <w:bCs/>
          <w:color w:val="auto"/>
          <w:sz w:val="24"/>
          <w:szCs w:val="24"/>
          <w:highlight w:val="none"/>
          <w:lang w:val="en-US" w:eastAsia="zh-CN"/>
        </w:rPr>
        <w:t>二）</w:t>
      </w:r>
      <w:r>
        <w:rPr>
          <w:rFonts w:hint="eastAsia"/>
          <w:b/>
          <w:bCs/>
          <w:color w:val="auto"/>
          <w:sz w:val="24"/>
          <w:szCs w:val="24"/>
          <w:highlight w:val="none"/>
        </w:rPr>
        <w:t>投标人认为需要提供的其它商务</w:t>
      </w:r>
      <w:r>
        <w:rPr>
          <w:rFonts w:hint="eastAsia"/>
          <w:b/>
          <w:bCs/>
          <w:color w:val="auto"/>
          <w:sz w:val="24"/>
          <w:szCs w:val="24"/>
          <w:highlight w:val="none"/>
          <w:lang w:eastAsia="zh-CN"/>
        </w:rPr>
        <w:t>、</w:t>
      </w:r>
      <w:r>
        <w:rPr>
          <w:rFonts w:hint="eastAsia"/>
          <w:b/>
          <w:bCs/>
          <w:color w:val="auto"/>
          <w:sz w:val="24"/>
          <w:szCs w:val="24"/>
          <w:highlight w:val="none"/>
        </w:rPr>
        <w:t>技术资料和说明。</w:t>
      </w:r>
    </w:p>
    <w:p w14:paraId="5E6104EF">
      <w:pPr>
        <w:pStyle w:val="40"/>
        <w:rPr>
          <w:rFonts w:hint="eastAsia"/>
          <w:color w:val="auto"/>
          <w:sz w:val="24"/>
          <w:szCs w:val="24"/>
          <w:highlight w:val="none"/>
          <w:lang w:val="en-US" w:eastAsia="zh-CN"/>
        </w:rPr>
      </w:pPr>
      <w:r>
        <w:rPr>
          <w:rFonts w:hint="eastAsia"/>
          <w:color w:val="auto"/>
          <w:sz w:val="24"/>
          <w:szCs w:val="24"/>
          <w:highlight w:val="none"/>
          <w:lang w:val="en-US" w:eastAsia="zh-CN"/>
        </w:rPr>
        <w:t>其它商务、技术资料和证明材料</w:t>
      </w:r>
    </w:p>
    <w:p w14:paraId="25610A05">
      <w:pPr>
        <w:spacing w:line="400" w:lineRule="atLeast"/>
        <w:rPr>
          <w:rFonts w:hint="eastAsia" w:ascii="宋体" w:hAnsi="宋体" w:eastAsia="宋体" w:cs="宋体"/>
          <w:bCs/>
          <w:sz w:val="24"/>
          <w:szCs w:val="24"/>
        </w:rPr>
      </w:pPr>
    </w:p>
    <w:p w14:paraId="750D266D">
      <w:pPr>
        <w:pStyle w:val="40"/>
        <w:rPr>
          <w:rFonts w:hint="eastAsia" w:ascii="宋体" w:hAnsi="宋体" w:eastAsia="宋体" w:cs="宋体"/>
          <w:color w:val="auto"/>
          <w:sz w:val="24"/>
          <w:szCs w:val="24"/>
          <w:highlight w:val="none"/>
          <w:lang w:val="en-US" w:eastAsia="zh-CN"/>
        </w:rPr>
      </w:pPr>
    </w:p>
    <w:sectPr>
      <w:pgSz w:w="11906" w:h="16838"/>
      <w:pgMar w:top="1440" w:right="1800" w:bottom="1440" w:left="1800" w:header="851" w:footer="992" w:gutter="0"/>
      <w:pgBorders>
        <w:top w:val="none" w:sz="0" w:space="0"/>
        <w:left w:val="none" w:sz="0" w:space="0"/>
        <w:bottom w:val="none" w:sz="0" w:space="0"/>
        <w:right w:val="none" w:sz="0" w:space="0"/>
      </w:pgBorders>
      <w:pgNumType w:fmt="numberInDash"/>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Light">
    <w:panose1 w:val="02010600030101010101"/>
    <w:charset w:val="86"/>
    <w:family w:val="auto"/>
    <w:pitch w:val="default"/>
    <w:sig w:usb0="A00002BF" w:usb1="38CF7CFA" w:usb2="00000016" w:usb3="00000000" w:csb0="0004000F" w:csb1="00000000"/>
  </w:font>
  <w:font w:name="仿宋">
    <w:panose1 w:val="02010609060101010101"/>
    <w:charset w:val="86"/>
    <w:family w:val="auto"/>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仿宋_GB2312">
    <w:altName w:val="仿宋"/>
    <w:panose1 w:val="02010609030101010101"/>
    <w:charset w:val="86"/>
    <w:family w:val="modern"/>
    <w:pitch w:val="default"/>
    <w:sig w:usb0="00000000" w:usb1="0000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Tms Rmn">
    <w:altName w:val="Segoe Print"/>
    <w:panose1 w:val="020206030405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Helvetica">
    <w:altName w:val="Arial"/>
    <w:panose1 w:val="020B0604020202020204"/>
    <w:charset w:val="00"/>
    <w:family w:val="swiss"/>
    <w:pitch w:val="default"/>
    <w:sig w:usb0="00000000" w:usb1="00000000" w:usb2="00000000" w:usb3="00000000" w:csb0="00000000" w:csb1="00000000"/>
  </w:font>
  <w:font w:name="FZShuSong-Z01">
    <w:altName w:val="Segoe Print"/>
    <w:panose1 w:val="00000000000000000000"/>
    <w:charset w:val="00"/>
    <w:family w:val="auto"/>
    <w:pitch w:val="default"/>
    <w:sig w:usb0="00000000" w:usb1="00000000" w:usb2="00000000" w:usb3="00000000" w:csb0="00000000" w:csb1="00000000"/>
  </w:font>
  <w:font w:name="Arial Unicode MS">
    <w:altName w:val="宋体"/>
    <w:panose1 w:val="020B0604020202020204"/>
    <w:charset w:val="86"/>
    <w:family w:val="auto"/>
    <w:pitch w:val="default"/>
    <w:sig w:usb0="00000000" w:usb1="00000000" w:usb2="0000003F" w:usb3="00000000" w:csb0="603F01FF" w:csb1="FFFF0000"/>
  </w:font>
  <w:font w:name="Tahoma">
    <w:panose1 w:val="020B0604030504040204"/>
    <w:charset w:val="00"/>
    <w:family w:val="swiss"/>
    <w:pitch w:val="default"/>
    <w:sig w:usb0="E1002EFF" w:usb1="C000605B" w:usb2="00000029" w:usb3="00000000" w:csb0="200101FF" w:csb1="20280000"/>
  </w:font>
  <w:font w:name="DejaVuSans">
    <w:altName w:val="Segoe Print"/>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975237">
    <w:pPr>
      <w:pStyle w:val="19"/>
      <w:jc w:val="cente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3B56EF0">
                          <w:pPr>
                            <w:pStyle w:val="1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13B56EF0">
                    <w:pPr>
                      <w:pStyle w:val="1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741A08">
    <w:pPr>
      <w:pStyle w:val="19"/>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6EAC10A">
                          <w:pPr>
                            <w:pStyle w:val="1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16EAC10A">
                    <w:pPr>
                      <w:pStyle w:val="1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E9E618">
    <w:pPr>
      <w:pStyle w:val="19"/>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43C3388">
                          <w:pPr>
                            <w:pStyle w:val="19"/>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543C3388">
                    <w:pPr>
                      <w:pStyle w:val="19"/>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FA2D5C">
    <w:pPr>
      <w:pStyle w:val="19"/>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E9D99BF">
                          <w:pPr>
                            <w:pStyle w:val="19"/>
                          </w:pPr>
                          <w:r>
                            <w:fldChar w:fldCharType="begin"/>
                          </w:r>
                          <w:r>
                            <w:instrText xml:space="preserve"> PAGE  \* MERGEFORMAT </w:instrText>
                          </w:r>
                          <w:r>
                            <w:fldChar w:fldCharType="separate"/>
                          </w:r>
                          <w:r>
                            <w:t>55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4E9D99BF">
                    <w:pPr>
                      <w:pStyle w:val="19"/>
                    </w:pPr>
                    <w:r>
                      <w:fldChar w:fldCharType="begin"/>
                    </w:r>
                    <w:r>
                      <w:instrText xml:space="preserve"> PAGE  \* MERGEFORMAT </w:instrText>
                    </w:r>
                    <w:r>
                      <w:fldChar w:fldCharType="separate"/>
                    </w:r>
                    <w:r>
                      <w:t>55</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E41052">
    <w:pPr>
      <w:pStyle w:val="19"/>
      <w:jc w:val="cente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86BFC54">
                          <w:pPr>
                            <w:pStyle w:val="19"/>
                          </w:pPr>
                          <w:r>
                            <w:fldChar w:fldCharType="begin"/>
                          </w:r>
                          <w:r>
                            <w:instrText xml:space="preserve"> PAGE  \* MERGEFORMAT </w:instrText>
                          </w:r>
                          <w:r>
                            <w:fldChar w:fldCharType="separate"/>
                          </w:r>
                          <w:r>
                            <w:t>80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286BFC54">
                    <w:pPr>
                      <w:pStyle w:val="19"/>
                    </w:pPr>
                    <w:r>
                      <w:fldChar w:fldCharType="begin"/>
                    </w:r>
                    <w:r>
                      <w:instrText xml:space="preserve"> PAGE  \* MERGEFORMAT </w:instrText>
                    </w:r>
                    <w:r>
                      <w:fldChar w:fldCharType="separate"/>
                    </w:r>
                    <w:r>
                      <w:t>80</w:t>
                    </w:r>
                    <w:r>
                      <w:fldChar w:fldCharType="end"/>
                    </w:r>
                  </w:p>
                </w:txbxContent>
              </v:textbox>
            </v:shape>
          </w:pict>
        </mc:Fallback>
      </mc:AlternateContent>
    </w:r>
  </w:p>
  <w:p w14:paraId="4005E617">
    <w:pPr>
      <w:pStyle w:val="19"/>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AAB5A6">
    <w:pPr>
      <w:pStyle w:val="19"/>
      <w:jc w:val="cente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6859B93">
                          <w:pPr>
                            <w:pStyle w:val="19"/>
                          </w:pPr>
                          <w:r>
                            <w:fldChar w:fldCharType="begin"/>
                          </w:r>
                          <w:r>
                            <w:instrText xml:space="preserve"> PAGE  \* MERGEFORMAT </w:instrText>
                          </w:r>
                          <w:r>
                            <w:fldChar w:fldCharType="separate"/>
                          </w:r>
                          <w:r>
                            <w:t>80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36859B93">
                    <w:pPr>
                      <w:pStyle w:val="19"/>
                    </w:pPr>
                    <w:r>
                      <w:fldChar w:fldCharType="begin"/>
                    </w:r>
                    <w:r>
                      <w:instrText xml:space="preserve"> PAGE  \* MERGEFORMAT </w:instrText>
                    </w:r>
                    <w:r>
                      <w:fldChar w:fldCharType="separate"/>
                    </w:r>
                    <w:r>
                      <w:t>80</w:t>
                    </w:r>
                    <w:r>
                      <w:fldChar w:fldCharType="end"/>
                    </w:r>
                  </w:p>
                </w:txbxContent>
              </v:textbox>
            </v:shape>
          </w:pict>
        </mc:Fallback>
      </mc:AlternateContent>
    </w:r>
  </w:p>
  <w:p w14:paraId="5FF60CA7">
    <w:pPr>
      <w:pStyle w:val="1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B57AC4">
    <w:pPr>
      <w:pStyle w:val="20"/>
      <w:rPr>
        <w:rFonts w:hint="eastAsia" w:eastAsia="宋体"/>
        <w:lang w:eastAsia="zh-CN"/>
      </w:rPr>
    </w:pPr>
    <w:r>
      <w:rPr>
        <w:rFonts w:hint="eastAsia"/>
        <w:lang w:eastAsia="zh-CN"/>
      </w:rPr>
      <w:t>新疆医科大学第一附属医院X线正电子发射断层扫描仪（PET-CT）采购项目</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EBA87A">
    <w:pPr>
      <w:pStyle w:val="20"/>
      <w:rPr>
        <w:rFonts w:hint="eastAsia" w:eastAsia="宋体"/>
        <w:lang w:eastAsia="zh-CN"/>
      </w:rPr>
    </w:pPr>
    <w:r>
      <w:rPr>
        <w:rFonts w:hint="eastAsia"/>
        <w:lang w:eastAsia="zh-CN"/>
      </w:rPr>
      <w:t>新疆医科大学第一附属医院X线正电子发射断层扫描仪（PET-CT）采购项目</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96F3E1">
    <w:pPr>
      <w:pStyle w:val="20"/>
      <w:rPr>
        <w:rFonts w:hint="eastAsia" w:eastAsia="宋体"/>
        <w:lang w:eastAsia="zh-CN"/>
      </w:rPr>
    </w:pPr>
    <w:r>
      <w:rPr>
        <w:rFonts w:hint="eastAsia"/>
        <w:lang w:eastAsia="zh-CN"/>
      </w:rPr>
      <w:t>新疆医科大学第一附属医院X线正电子发射断层扫描仪（PET-CT）采购项目</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160E42C"/>
    <w:multiLevelType w:val="multilevel"/>
    <w:tmpl w:val="8160E42C"/>
    <w:lvl w:ilvl="0" w:tentative="0">
      <w:start w:val="1"/>
      <w:numFmt w:val="decimal"/>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
    <w:nsid w:val="8396C3E1"/>
    <w:multiLevelType w:val="multilevel"/>
    <w:tmpl w:val="8396C3E1"/>
    <w:lvl w:ilvl="0" w:tentative="0">
      <w:start w:val="1"/>
      <w:numFmt w:val="decimal"/>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936ABBA7"/>
    <w:multiLevelType w:val="multilevel"/>
    <w:tmpl w:val="936ABBA7"/>
    <w:lvl w:ilvl="0" w:tentative="0">
      <w:start w:val="1"/>
      <w:numFmt w:val="decimal"/>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
    <w:nsid w:val="9BE87383"/>
    <w:multiLevelType w:val="multilevel"/>
    <w:tmpl w:val="9BE87383"/>
    <w:lvl w:ilvl="0" w:tentative="0">
      <w:start w:val="1"/>
      <w:numFmt w:val="decimal"/>
      <w:lvlText w:val="%1)"/>
      <w:lvlJc w:val="left"/>
      <w:pPr>
        <w:ind w:left="425" w:hanging="425"/>
      </w:pPr>
      <w:rPr>
        <w:rFonts w:hint="default"/>
      </w:rPr>
    </w:lvl>
    <w:lvl w:ilvl="1" w:tentative="0">
      <w:start w:val="1"/>
      <w:numFmt w:val="lowerLetter"/>
      <w:lvlText w:val="%2."/>
      <w:lvlJc w:val="left"/>
      <w:pPr>
        <w:tabs>
          <w:tab w:val="left" w:pos="840"/>
        </w:tabs>
        <w:ind w:left="840" w:leftChars="0" w:hanging="420" w:firstLineChars="0"/>
      </w:pPr>
      <w:rPr>
        <w:rFonts w:hint="default"/>
      </w:rPr>
    </w:lvl>
    <w:lvl w:ilvl="2" w:tentative="0">
      <w:start w:val="1"/>
      <w:numFmt w:val="lowerLetter"/>
      <w:lvlText w:val="%3)"/>
      <w:lvlJc w:val="left"/>
      <w:pPr>
        <w:tabs>
          <w:tab w:val="left" w:pos="1260"/>
        </w:tabs>
        <w:ind w:left="1260" w:leftChars="0" w:hanging="420" w:firstLineChars="0"/>
      </w:pPr>
      <w:rPr>
        <w:rFonts w:hint="default"/>
      </w:rPr>
    </w:lvl>
    <w:lvl w:ilvl="3" w:tentative="0">
      <w:start w:val="1"/>
      <w:numFmt w:val="lowerRoman"/>
      <w:lvlText w:val="%4."/>
      <w:lvlJc w:val="left"/>
      <w:pPr>
        <w:tabs>
          <w:tab w:val="left" w:pos="1680"/>
        </w:tabs>
        <w:ind w:left="1680" w:leftChars="0" w:hanging="420" w:firstLineChars="0"/>
      </w:pPr>
      <w:rPr>
        <w:rFonts w:hint="default"/>
      </w:rPr>
    </w:lvl>
    <w:lvl w:ilvl="4" w:tentative="0">
      <w:start w:val="1"/>
      <w:numFmt w:val="lowerRoman"/>
      <w:lvlText w:val="%5)"/>
      <w:lvlJc w:val="left"/>
      <w:pPr>
        <w:tabs>
          <w:tab w:val="left" w:pos="2100"/>
        </w:tabs>
        <w:ind w:left="2100" w:leftChars="0" w:hanging="420" w:firstLineChars="0"/>
      </w:pPr>
      <w:rPr>
        <w:rFonts w:hint="default"/>
      </w:rPr>
    </w:lvl>
    <w:lvl w:ilvl="5" w:tentative="0">
      <w:start w:val="1"/>
      <w:numFmt w:val="lowerLetter"/>
      <w:lvlText w:val="%6."/>
      <w:lvlJc w:val="left"/>
      <w:pPr>
        <w:tabs>
          <w:tab w:val="left" w:pos="2520"/>
        </w:tabs>
        <w:ind w:left="2520" w:leftChars="0" w:hanging="420" w:firstLineChars="0"/>
      </w:pPr>
      <w:rPr>
        <w:rFonts w:hint="default"/>
      </w:rPr>
    </w:lvl>
    <w:lvl w:ilvl="6" w:tentative="0">
      <w:start w:val="1"/>
      <w:numFmt w:val="lowerLetter"/>
      <w:lvlText w:val="%7)"/>
      <w:lvlJc w:val="left"/>
      <w:pPr>
        <w:tabs>
          <w:tab w:val="left" w:pos="2940"/>
        </w:tabs>
        <w:ind w:left="2940" w:leftChars="0" w:hanging="420" w:firstLineChars="0"/>
      </w:pPr>
      <w:rPr>
        <w:rFonts w:hint="default"/>
      </w:rPr>
    </w:lvl>
    <w:lvl w:ilvl="7" w:tentative="0">
      <w:start w:val="1"/>
      <w:numFmt w:val="lowerRoman"/>
      <w:lvlText w:val="%8."/>
      <w:lvlJc w:val="left"/>
      <w:pPr>
        <w:tabs>
          <w:tab w:val="left" w:pos="3360"/>
        </w:tabs>
        <w:ind w:left="3360" w:leftChars="0" w:hanging="420" w:firstLineChars="0"/>
      </w:pPr>
      <w:rPr>
        <w:rFonts w:hint="default"/>
      </w:rPr>
    </w:lvl>
    <w:lvl w:ilvl="8" w:tentative="0">
      <w:start w:val="1"/>
      <w:numFmt w:val="lowerRoman"/>
      <w:lvlText w:val="%9)"/>
      <w:lvlJc w:val="left"/>
      <w:pPr>
        <w:tabs>
          <w:tab w:val="left" w:pos="3780"/>
        </w:tabs>
        <w:ind w:left="3780" w:leftChars="0" w:hanging="420" w:firstLineChars="0"/>
      </w:pPr>
      <w:rPr>
        <w:rFonts w:hint="default"/>
      </w:rPr>
    </w:lvl>
  </w:abstractNum>
  <w:abstractNum w:abstractNumId="4">
    <w:nsid w:val="9C070575"/>
    <w:multiLevelType w:val="singleLevel"/>
    <w:tmpl w:val="9C070575"/>
    <w:lvl w:ilvl="0" w:tentative="0">
      <w:start w:val="1"/>
      <w:numFmt w:val="decimal"/>
      <w:pStyle w:val="7"/>
      <w:lvlText w:val="%1."/>
      <w:lvlJc w:val="left"/>
      <w:pPr>
        <w:tabs>
          <w:tab w:val="left" w:pos="780"/>
        </w:tabs>
        <w:ind w:left="780" w:hanging="360"/>
      </w:pPr>
    </w:lvl>
  </w:abstractNum>
  <w:abstractNum w:abstractNumId="5">
    <w:nsid w:val="ABD7D65A"/>
    <w:multiLevelType w:val="singleLevel"/>
    <w:tmpl w:val="ABD7D65A"/>
    <w:lvl w:ilvl="0" w:tentative="0">
      <w:start w:val="1"/>
      <w:numFmt w:val="decimal"/>
      <w:lvlText w:val="%1)"/>
      <w:lvlJc w:val="left"/>
      <w:pPr>
        <w:ind w:left="425" w:hanging="425"/>
      </w:pPr>
      <w:rPr>
        <w:rFonts w:hint="default"/>
      </w:rPr>
    </w:lvl>
  </w:abstractNum>
  <w:abstractNum w:abstractNumId="6">
    <w:nsid w:val="B015949E"/>
    <w:multiLevelType w:val="multilevel"/>
    <w:tmpl w:val="B015949E"/>
    <w:lvl w:ilvl="0" w:tentative="0">
      <w:start w:val="1"/>
      <w:numFmt w:val="decimal"/>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
    <w:nsid w:val="BDE24524"/>
    <w:multiLevelType w:val="multilevel"/>
    <w:tmpl w:val="BDE24524"/>
    <w:lvl w:ilvl="0" w:tentative="0">
      <w:start w:val="1"/>
      <w:numFmt w:val="decimal"/>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C0FCF39F"/>
    <w:multiLevelType w:val="multilevel"/>
    <w:tmpl w:val="C0FCF39F"/>
    <w:lvl w:ilvl="0" w:tentative="0">
      <w:start w:val="1"/>
      <w:numFmt w:val="decimal"/>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9">
    <w:nsid w:val="CAB1FA8C"/>
    <w:multiLevelType w:val="singleLevel"/>
    <w:tmpl w:val="CAB1FA8C"/>
    <w:lvl w:ilvl="0" w:tentative="0">
      <w:start w:val="1"/>
      <w:numFmt w:val="decimal"/>
      <w:lvlText w:val="%1)"/>
      <w:lvlJc w:val="left"/>
      <w:pPr>
        <w:ind w:left="425" w:hanging="425"/>
      </w:pPr>
      <w:rPr>
        <w:rFonts w:hint="default"/>
      </w:rPr>
    </w:lvl>
  </w:abstractNum>
  <w:abstractNum w:abstractNumId="10">
    <w:nsid w:val="CB9A18A6"/>
    <w:multiLevelType w:val="multilevel"/>
    <w:tmpl w:val="CB9A18A6"/>
    <w:lvl w:ilvl="0" w:tentative="0">
      <w:start w:val="1"/>
      <w:numFmt w:val="decimal"/>
      <w:lvlText w:val="%1)"/>
      <w:lvlJc w:val="left"/>
      <w:pPr>
        <w:ind w:left="425" w:hanging="425"/>
      </w:pPr>
      <w:rPr>
        <w:rFonts w:hint="default"/>
      </w:rPr>
    </w:lvl>
    <w:lvl w:ilvl="1" w:tentative="0">
      <w:start w:val="1"/>
      <w:numFmt w:val="lowerLetter"/>
      <w:lvlText w:val="%2."/>
      <w:lvlJc w:val="left"/>
      <w:pPr>
        <w:tabs>
          <w:tab w:val="left" w:pos="840"/>
        </w:tabs>
        <w:ind w:left="840" w:leftChars="0" w:hanging="420" w:firstLineChars="0"/>
      </w:pPr>
      <w:rPr>
        <w:rFonts w:hint="default"/>
      </w:rPr>
    </w:lvl>
    <w:lvl w:ilvl="2" w:tentative="0">
      <w:start w:val="1"/>
      <w:numFmt w:val="lowerLetter"/>
      <w:lvlText w:val="%3)"/>
      <w:lvlJc w:val="left"/>
      <w:pPr>
        <w:tabs>
          <w:tab w:val="left" w:pos="1260"/>
        </w:tabs>
        <w:ind w:left="1260" w:leftChars="0" w:hanging="420" w:firstLineChars="0"/>
      </w:pPr>
      <w:rPr>
        <w:rFonts w:hint="default"/>
      </w:rPr>
    </w:lvl>
    <w:lvl w:ilvl="3" w:tentative="0">
      <w:start w:val="1"/>
      <w:numFmt w:val="lowerRoman"/>
      <w:lvlText w:val="%4."/>
      <w:lvlJc w:val="left"/>
      <w:pPr>
        <w:tabs>
          <w:tab w:val="left" w:pos="1680"/>
        </w:tabs>
        <w:ind w:left="1680" w:leftChars="0" w:hanging="420" w:firstLineChars="0"/>
      </w:pPr>
      <w:rPr>
        <w:rFonts w:hint="default"/>
      </w:rPr>
    </w:lvl>
    <w:lvl w:ilvl="4" w:tentative="0">
      <w:start w:val="1"/>
      <w:numFmt w:val="lowerRoman"/>
      <w:lvlText w:val="%5)"/>
      <w:lvlJc w:val="left"/>
      <w:pPr>
        <w:tabs>
          <w:tab w:val="left" w:pos="2100"/>
        </w:tabs>
        <w:ind w:left="2100" w:leftChars="0" w:hanging="420" w:firstLineChars="0"/>
      </w:pPr>
      <w:rPr>
        <w:rFonts w:hint="default"/>
      </w:rPr>
    </w:lvl>
    <w:lvl w:ilvl="5" w:tentative="0">
      <w:start w:val="1"/>
      <w:numFmt w:val="lowerLetter"/>
      <w:lvlText w:val="%6."/>
      <w:lvlJc w:val="left"/>
      <w:pPr>
        <w:tabs>
          <w:tab w:val="left" w:pos="2520"/>
        </w:tabs>
        <w:ind w:left="2520" w:leftChars="0" w:hanging="420" w:firstLineChars="0"/>
      </w:pPr>
      <w:rPr>
        <w:rFonts w:hint="default"/>
      </w:rPr>
    </w:lvl>
    <w:lvl w:ilvl="6" w:tentative="0">
      <w:start w:val="1"/>
      <w:numFmt w:val="lowerLetter"/>
      <w:lvlText w:val="%7)"/>
      <w:lvlJc w:val="left"/>
      <w:pPr>
        <w:tabs>
          <w:tab w:val="left" w:pos="2940"/>
        </w:tabs>
        <w:ind w:left="2940" w:leftChars="0" w:hanging="420" w:firstLineChars="0"/>
      </w:pPr>
      <w:rPr>
        <w:rFonts w:hint="default"/>
      </w:rPr>
    </w:lvl>
    <w:lvl w:ilvl="7" w:tentative="0">
      <w:start w:val="1"/>
      <w:numFmt w:val="lowerRoman"/>
      <w:lvlText w:val="%8."/>
      <w:lvlJc w:val="left"/>
      <w:pPr>
        <w:tabs>
          <w:tab w:val="left" w:pos="3360"/>
        </w:tabs>
        <w:ind w:left="3360" w:leftChars="0" w:hanging="420" w:firstLineChars="0"/>
      </w:pPr>
      <w:rPr>
        <w:rFonts w:hint="default"/>
      </w:rPr>
    </w:lvl>
    <w:lvl w:ilvl="8" w:tentative="0">
      <w:start w:val="1"/>
      <w:numFmt w:val="lowerRoman"/>
      <w:lvlText w:val="%9)"/>
      <w:lvlJc w:val="left"/>
      <w:pPr>
        <w:tabs>
          <w:tab w:val="left" w:pos="3780"/>
        </w:tabs>
        <w:ind w:left="3780" w:leftChars="0" w:hanging="420" w:firstLineChars="0"/>
      </w:pPr>
      <w:rPr>
        <w:rFonts w:hint="default"/>
      </w:rPr>
    </w:lvl>
  </w:abstractNum>
  <w:abstractNum w:abstractNumId="11">
    <w:nsid w:val="CC71EB10"/>
    <w:multiLevelType w:val="singleLevel"/>
    <w:tmpl w:val="CC71EB10"/>
    <w:lvl w:ilvl="0" w:tentative="0">
      <w:start w:val="1"/>
      <w:numFmt w:val="decimal"/>
      <w:lvlText w:val="%1)"/>
      <w:lvlJc w:val="left"/>
      <w:pPr>
        <w:ind w:left="425" w:hanging="425"/>
      </w:pPr>
      <w:rPr>
        <w:rFonts w:hint="default"/>
      </w:rPr>
    </w:lvl>
  </w:abstractNum>
  <w:abstractNum w:abstractNumId="12">
    <w:nsid w:val="D8997A31"/>
    <w:multiLevelType w:val="multilevel"/>
    <w:tmpl w:val="D8997A31"/>
    <w:lvl w:ilvl="0" w:tentative="0">
      <w:start w:val="1"/>
      <w:numFmt w:val="decimal"/>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3">
    <w:nsid w:val="ED6A4A3C"/>
    <w:multiLevelType w:val="singleLevel"/>
    <w:tmpl w:val="ED6A4A3C"/>
    <w:lvl w:ilvl="0" w:tentative="0">
      <w:start w:val="1"/>
      <w:numFmt w:val="decimal"/>
      <w:lvlText w:val="%1)"/>
      <w:lvlJc w:val="left"/>
      <w:pPr>
        <w:ind w:left="425" w:hanging="425"/>
      </w:pPr>
      <w:rPr>
        <w:rFonts w:hint="default"/>
      </w:rPr>
    </w:lvl>
  </w:abstractNum>
  <w:abstractNum w:abstractNumId="14">
    <w:nsid w:val="F4D210A7"/>
    <w:multiLevelType w:val="singleLevel"/>
    <w:tmpl w:val="F4D210A7"/>
    <w:lvl w:ilvl="0" w:tentative="0">
      <w:start w:val="1"/>
      <w:numFmt w:val="decimal"/>
      <w:lvlText w:val="%1)"/>
      <w:lvlJc w:val="left"/>
      <w:pPr>
        <w:ind w:left="425" w:hanging="425"/>
      </w:pPr>
      <w:rPr>
        <w:rFonts w:hint="default"/>
      </w:rPr>
    </w:lvl>
  </w:abstractNum>
  <w:abstractNum w:abstractNumId="15">
    <w:nsid w:val="F7EE394D"/>
    <w:multiLevelType w:val="singleLevel"/>
    <w:tmpl w:val="F7EE394D"/>
    <w:lvl w:ilvl="0" w:tentative="0">
      <w:start w:val="1"/>
      <w:numFmt w:val="decimal"/>
      <w:suff w:val="nothing"/>
      <w:lvlText w:val="%1、"/>
      <w:lvlJc w:val="left"/>
    </w:lvl>
  </w:abstractNum>
  <w:abstractNum w:abstractNumId="16">
    <w:nsid w:val="0053208E"/>
    <w:multiLevelType w:val="singleLevel"/>
    <w:tmpl w:val="0053208E"/>
    <w:lvl w:ilvl="0" w:tentative="0">
      <w:start w:val="1"/>
      <w:numFmt w:val="decimal"/>
      <w:suff w:val="nothing"/>
      <w:lvlText w:val="%1、"/>
      <w:lvlJc w:val="left"/>
    </w:lvl>
  </w:abstractNum>
  <w:abstractNum w:abstractNumId="17">
    <w:nsid w:val="01F2AAD5"/>
    <w:multiLevelType w:val="multilevel"/>
    <w:tmpl w:val="01F2AAD5"/>
    <w:lvl w:ilvl="0" w:tentative="0">
      <w:start w:val="1"/>
      <w:numFmt w:val="decimal"/>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8">
    <w:nsid w:val="02D0A3C3"/>
    <w:multiLevelType w:val="multilevel"/>
    <w:tmpl w:val="02D0A3C3"/>
    <w:lvl w:ilvl="0" w:tentative="0">
      <w:start w:val="1"/>
      <w:numFmt w:val="decimal"/>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9">
    <w:nsid w:val="03CB92E9"/>
    <w:multiLevelType w:val="multilevel"/>
    <w:tmpl w:val="03CB92E9"/>
    <w:lvl w:ilvl="0" w:tentative="0">
      <w:start w:val="1"/>
      <w:numFmt w:val="decimal"/>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0">
    <w:nsid w:val="0A1F3E6E"/>
    <w:multiLevelType w:val="multilevel"/>
    <w:tmpl w:val="0A1F3E6E"/>
    <w:lvl w:ilvl="0" w:tentative="0">
      <w:start w:val="1"/>
      <w:numFmt w:val="decimal"/>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1">
    <w:nsid w:val="182163E7"/>
    <w:multiLevelType w:val="singleLevel"/>
    <w:tmpl w:val="182163E7"/>
    <w:lvl w:ilvl="0" w:tentative="0">
      <w:start w:val="1"/>
      <w:numFmt w:val="decimal"/>
      <w:pStyle w:val="23"/>
      <w:lvlText w:val="%1."/>
      <w:lvlJc w:val="left"/>
      <w:pPr>
        <w:tabs>
          <w:tab w:val="left" w:pos="2040"/>
        </w:tabs>
        <w:ind w:left="2040" w:hanging="360"/>
      </w:pPr>
    </w:lvl>
  </w:abstractNum>
  <w:abstractNum w:abstractNumId="22">
    <w:nsid w:val="1C761375"/>
    <w:multiLevelType w:val="multilevel"/>
    <w:tmpl w:val="1C761375"/>
    <w:lvl w:ilvl="0" w:tentative="0">
      <w:start w:val="1"/>
      <w:numFmt w:val="decimal"/>
      <w:suff w:val="nothing"/>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3">
    <w:nsid w:val="332ECEFC"/>
    <w:multiLevelType w:val="multilevel"/>
    <w:tmpl w:val="332ECEFC"/>
    <w:lvl w:ilvl="0" w:tentative="0">
      <w:start w:val="1"/>
      <w:numFmt w:val="decimal"/>
      <w:lvlText w:val="%1)"/>
      <w:lvlJc w:val="left"/>
      <w:pPr>
        <w:ind w:left="425" w:hanging="425"/>
      </w:pPr>
      <w:rPr>
        <w:rFonts w:hint="default"/>
      </w:rPr>
    </w:lvl>
    <w:lvl w:ilvl="1" w:tentative="0">
      <w:start w:val="1"/>
      <w:numFmt w:val="lowerLetter"/>
      <w:lvlText w:val="%2."/>
      <w:lvlJc w:val="left"/>
      <w:pPr>
        <w:tabs>
          <w:tab w:val="left" w:pos="840"/>
        </w:tabs>
        <w:ind w:left="840" w:leftChars="0" w:hanging="420" w:firstLineChars="0"/>
      </w:pPr>
      <w:rPr>
        <w:rFonts w:hint="default"/>
      </w:rPr>
    </w:lvl>
    <w:lvl w:ilvl="2" w:tentative="0">
      <w:start w:val="1"/>
      <w:numFmt w:val="lowerLetter"/>
      <w:lvlText w:val="%3)"/>
      <w:lvlJc w:val="left"/>
      <w:pPr>
        <w:tabs>
          <w:tab w:val="left" w:pos="1260"/>
        </w:tabs>
        <w:ind w:left="1260" w:leftChars="0" w:hanging="420" w:firstLineChars="0"/>
      </w:pPr>
      <w:rPr>
        <w:rFonts w:hint="default"/>
      </w:rPr>
    </w:lvl>
    <w:lvl w:ilvl="3" w:tentative="0">
      <w:start w:val="1"/>
      <w:numFmt w:val="lowerRoman"/>
      <w:lvlText w:val="%4."/>
      <w:lvlJc w:val="left"/>
      <w:pPr>
        <w:tabs>
          <w:tab w:val="left" w:pos="1680"/>
        </w:tabs>
        <w:ind w:left="1680" w:leftChars="0" w:hanging="420" w:firstLineChars="0"/>
      </w:pPr>
      <w:rPr>
        <w:rFonts w:hint="default"/>
      </w:rPr>
    </w:lvl>
    <w:lvl w:ilvl="4" w:tentative="0">
      <w:start w:val="1"/>
      <w:numFmt w:val="lowerRoman"/>
      <w:lvlText w:val="%5)"/>
      <w:lvlJc w:val="left"/>
      <w:pPr>
        <w:tabs>
          <w:tab w:val="left" w:pos="2100"/>
        </w:tabs>
        <w:ind w:left="2100" w:leftChars="0" w:hanging="420" w:firstLineChars="0"/>
      </w:pPr>
      <w:rPr>
        <w:rFonts w:hint="default"/>
      </w:rPr>
    </w:lvl>
    <w:lvl w:ilvl="5" w:tentative="0">
      <w:start w:val="1"/>
      <w:numFmt w:val="lowerLetter"/>
      <w:lvlText w:val="%6."/>
      <w:lvlJc w:val="left"/>
      <w:pPr>
        <w:tabs>
          <w:tab w:val="left" w:pos="2520"/>
        </w:tabs>
        <w:ind w:left="2520" w:leftChars="0" w:hanging="420" w:firstLineChars="0"/>
      </w:pPr>
      <w:rPr>
        <w:rFonts w:hint="default"/>
      </w:rPr>
    </w:lvl>
    <w:lvl w:ilvl="6" w:tentative="0">
      <w:start w:val="1"/>
      <w:numFmt w:val="lowerLetter"/>
      <w:lvlText w:val="%7)"/>
      <w:lvlJc w:val="left"/>
      <w:pPr>
        <w:tabs>
          <w:tab w:val="left" w:pos="2940"/>
        </w:tabs>
        <w:ind w:left="2940" w:leftChars="0" w:hanging="420" w:firstLineChars="0"/>
      </w:pPr>
      <w:rPr>
        <w:rFonts w:hint="default"/>
      </w:rPr>
    </w:lvl>
    <w:lvl w:ilvl="7" w:tentative="0">
      <w:start w:val="1"/>
      <w:numFmt w:val="lowerRoman"/>
      <w:lvlText w:val="%8."/>
      <w:lvlJc w:val="left"/>
      <w:pPr>
        <w:tabs>
          <w:tab w:val="left" w:pos="3360"/>
        </w:tabs>
        <w:ind w:left="3360" w:leftChars="0" w:hanging="420" w:firstLineChars="0"/>
      </w:pPr>
      <w:rPr>
        <w:rFonts w:hint="default"/>
      </w:rPr>
    </w:lvl>
    <w:lvl w:ilvl="8" w:tentative="0">
      <w:start w:val="1"/>
      <w:numFmt w:val="lowerRoman"/>
      <w:lvlText w:val="%9)"/>
      <w:lvlJc w:val="left"/>
      <w:pPr>
        <w:tabs>
          <w:tab w:val="left" w:pos="3780"/>
        </w:tabs>
        <w:ind w:left="3780" w:leftChars="0" w:hanging="420" w:firstLineChars="0"/>
      </w:pPr>
      <w:rPr>
        <w:rFonts w:hint="default"/>
      </w:rPr>
    </w:lvl>
  </w:abstractNum>
  <w:abstractNum w:abstractNumId="24">
    <w:nsid w:val="34D4B236"/>
    <w:multiLevelType w:val="singleLevel"/>
    <w:tmpl w:val="34D4B236"/>
    <w:lvl w:ilvl="0" w:tentative="0">
      <w:start w:val="1"/>
      <w:numFmt w:val="decimal"/>
      <w:lvlText w:val="%1)"/>
      <w:lvlJc w:val="left"/>
      <w:pPr>
        <w:ind w:left="425" w:hanging="425"/>
      </w:pPr>
      <w:rPr>
        <w:rFonts w:hint="default"/>
      </w:rPr>
    </w:lvl>
  </w:abstractNum>
  <w:abstractNum w:abstractNumId="25">
    <w:nsid w:val="39D271E8"/>
    <w:multiLevelType w:val="multilevel"/>
    <w:tmpl w:val="39D271E8"/>
    <w:lvl w:ilvl="0" w:tentative="0">
      <w:start w:val="1"/>
      <w:numFmt w:val="decimal"/>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6">
    <w:nsid w:val="4049F403"/>
    <w:multiLevelType w:val="singleLevel"/>
    <w:tmpl w:val="4049F403"/>
    <w:lvl w:ilvl="0" w:tentative="0">
      <w:start w:val="1"/>
      <w:numFmt w:val="chineseCounting"/>
      <w:suff w:val="nothing"/>
      <w:lvlText w:val="%1、"/>
      <w:lvlJc w:val="left"/>
      <w:rPr>
        <w:rFonts w:hint="eastAsia"/>
      </w:rPr>
    </w:lvl>
  </w:abstractNum>
  <w:abstractNum w:abstractNumId="27">
    <w:nsid w:val="416A93E7"/>
    <w:multiLevelType w:val="singleLevel"/>
    <w:tmpl w:val="416A93E7"/>
    <w:lvl w:ilvl="0" w:tentative="0">
      <w:start w:val="1"/>
      <w:numFmt w:val="decimal"/>
      <w:suff w:val="nothing"/>
      <w:lvlText w:val="（%1）"/>
      <w:lvlJc w:val="left"/>
    </w:lvl>
  </w:abstractNum>
  <w:abstractNum w:abstractNumId="28">
    <w:nsid w:val="447B6378"/>
    <w:multiLevelType w:val="multilevel"/>
    <w:tmpl w:val="447B6378"/>
    <w:lvl w:ilvl="0" w:tentative="0">
      <w:start w:val="1"/>
      <w:numFmt w:val="decimal"/>
      <w:pStyle w:val="42"/>
      <w:suff w:val="nothing"/>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9">
    <w:nsid w:val="451F3F65"/>
    <w:multiLevelType w:val="multilevel"/>
    <w:tmpl w:val="451F3F65"/>
    <w:lvl w:ilvl="0" w:tentative="0">
      <w:start w:val="1"/>
      <w:numFmt w:val="decimal"/>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0">
    <w:nsid w:val="4D31C5E9"/>
    <w:multiLevelType w:val="multilevel"/>
    <w:tmpl w:val="4D31C5E9"/>
    <w:lvl w:ilvl="0" w:tentative="0">
      <w:start w:val="1"/>
      <w:numFmt w:val="decimal"/>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1">
    <w:nsid w:val="500753C8"/>
    <w:multiLevelType w:val="multilevel"/>
    <w:tmpl w:val="500753C8"/>
    <w:lvl w:ilvl="0" w:tentative="0">
      <w:start w:val="1"/>
      <w:numFmt w:val="decimal"/>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2">
    <w:nsid w:val="505233ED"/>
    <w:multiLevelType w:val="multilevel"/>
    <w:tmpl w:val="505233ED"/>
    <w:lvl w:ilvl="0" w:tentative="0">
      <w:start w:val="1"/>
      <w:numFmt w:val="decimal"/>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3">
    <w:nsid w:val="5743B2DA"/>
    <w:multiLevelType w:val="singleLevel"/>
    <w:tmpl w:val="5743B2DA"/>
    <w:lvl w:ilvl="0" w:tentative="0">
      <w:start w:val="1"/>
      <w:numFmt w:val="bullet"/>
      <w:lvlText w:val=""/>
      <w:lvlJc w:val="left"/>
      <w:pPr>
        <w:tabs>
          <w:tab w:val="left" w:pos="420"/>
        </w:tabs>
        <w:ind w:left="420" w:hanging="420"/>
      </w:pPr>
      <w:rPr>
        <w:rFonts w:hint="default" w:ascii="Wingdings" w:hAnsi="Wingdings"/>
      </w:rPr>
    </w:lvl>
  </w:abstractNum>
  <w:abstractNum w:abstractNumId="34">
    <w:nsid w:val="5764680D"/>
    <w:multiLevelType w:val="multilevel"/>
    <w:tmpl w:val="5764680D"/>
    <w:lvl w:ilvl="0" w:tentative="0">
      <w:start w:val="1"/>
      <w:numFmt w:val="decimal"/>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5">
    <w:nsid w:val="5C88240D"/>
    <w:multiLevelType w:val="multilevel"/>
    <w:tmpl w:val="5C88240D"/>
    <w:lvl w:ilvl="0" w:tentative="0">
      <w:start w:val="1"/>
      <w:numFmt w:val="decimal"/>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6">
    <w:nsid w:val="70F943DC"/>
    <w:multiLevelType w:val="multilevel"/>
    <w:tmpl w:val="70F943DC"/>
    <w:lvl w:ilvl="0" w:tentative="0">
      <w:start w:val="1"/>
      <w:numFmt w:val="decimal"/>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7">
    <w:nsid w:val="718C5A3A"/>
    <w:multiLevelType w:val="multilevel"/>
    <w:tmpl w:val="718C5A3A"/>
    <w:lvl w:ilvl="0" w:tentative="0">
      <w:start w:val="1"/>
      <w:numFmt w:val="decimal"/>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8">
    <w:nsid w:val="732ED525"/>
    <w:multiLevelType w:val="multilevel"/>
    <w:tmpl w:val="732ED525"/>
    <w:lvl w:ilvl="0" w:tentative="0">
      <w:start w:val="1"/>
      <w:numFmt w:val="decimal"/>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9">
    <w:nsid w:val="754861E3"/>
    <w:multiLevelType w:val="multilevel"/>
    <w:tmpl w:val="754861E3"/>
    <w:lvl w:ilvl="0" w:tentative="0">
      <w:start w:val="1"/>
      <w:numFmt w:val="decimal"/>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0">
    <w:nsid w:val="75504026"/>
    <w:multiLevelType w:val="multilevel"/>
    <w:tmpl w:val="75504026"/>
    <w:lvl w:ilvl="0" w:tentative="0">
      <w:start w:val="1"/>
      <w:numFmt w:val="decimal"/>
      <w:suff w:val="nothing"/>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1">
    <w:nsid w:val="755D5171"/>
    <w:multiLevelType w:val="multilevel"/>
    <w:tmpl w:val="755D5171"/>
    <w:lvl w:ilvl="0" w:tentative="0">
      <w:start w:val="1"/>
      <w:numFmt w:val="japaneseCounting"/>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2">
    <w:nsid w:val="75D73441"/>
    <w:multiLevelType w:val="multilevel"/>
    <w:tmpl w:val="75D73441"/>
    <w:lvl w:ilvl="0" w:tentative="0">
      <w:start w:val="1"/>
      <w:numFmt w:val="decimal"/>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4"/>
  </w:num>
  <w:num w:numId="2">
    <w:abstractNumId w:val="21"/>
  </w:num>
  <w:num w:numId="3">
    <w:abstractNumId w:val="28"/>
  </w:num>
  <w:num w:numId="4">
    <w:abstractNumId w:val="27"/>
  </w:num>
  <w:num w:numId="5">
    <w:abstractNumId w:val="16"/>
  </w:num>
  <w:num w:numId="6">
    <w:abstractNumId w:val="41"/>
  </w:num>
  <w:num w:numId="7">
    <w:abstractNumId w:val="36"/>
  </w:num>
  <w:num w:numId="8">
    <w:abstractNumId w:val="35"/>
  </w:num>
  <w:num w:numId="9">
    <w:abstractNumId w:val="25"/>
  </w:num>
  <w:num w:numId="10">
    <w:abstractNumId w:val="20"/>
  </w:num>
  <w:num w:numId="11">
    <w:abstractNumId w:val="6"/>
  </w:num>
  <w:num w:numId="12">
    <w:abstractNumId w:val="29"/>
  </w:num>
  <w:num w:numId="13">
    <w:abstractNumId w:val="24"/>
  </w:num>
  <w:num w:numId="14">
    <w:abstractNumId w:val="9"/>
  </w:num>
  <w:num w:numId="15">
    <w:abstractNumId w:val="0"/>
  </w:num>
  <w:num w:numId="16">
    <w:abstractNumId w:val="3"/>
  </w:num>
  <w:num w:numId="17">
    <w:abstractNumId w:val="10"/>
  </w:num>
  <w:num w:numId="18">
    <w:abstractNumId w:val="37"/>
  </w:num>
  <w:num w:numId="19">
    <w:abstractNumId w:val="31"/>
  </w:num>
  <w:num w:numId="20">
    <w:abstractNumId w:val="8"/>
  </w:num>
  <w:num w:numId="21">
    <w:abstractNumId w:val="18"/>
  </w:num>
  <w:num w:numId="22">
    <w:abstractNumId w:val="5"/>
  </w:num>
  <w:num w:numId="23">
    <w:abstractNumId w:val="11"/>
  </w:num>
  <w:num w:numId="24">
    <w:abstractNumId w:val="1"/>
  </w:num>
  <w:num w:numId="25">
    <w:abstractNumId w:val="2"/>
  </w:num>
  <w:num w:numId="26">
    <w:abstractNumId w:val="30"/>
  </w:num>
  <w:num w:numId="27">
    <w:abstractNumId w:val="7"/>
  </w:num>
  <w:num w:numId="28">
    <w:abstractNumId w:val="17"/>
  </w:num>
  <w:num w:numId="29">
    <w:abstractNumId w:val="42"/>
  </w:num>
  <w:num w:numId="30">
    <w:abstractNumId w:val="32"/>
  </w:num>
  <w:num w:numId="31">
    <w:abstractNumId w:val="13"/>
  </w:num>
  <w:num w:numId="32">
    <w:abstractNumId w:val="19"/>
  </w:num>
  <w:num w:numId="33">
    <w:abstractNumId w:val="12"/>
  </w:num>
  <w:num w:numId="34">
    <w:abstractNumId w:val="39"/>
  </w:num>
  <w:num w:numId="35">
    <w:abstractNumId w:val="38"/>
  </w:num>
  <w:num w:numId="36">
    <w:abstractNumId w:val="23"/>
  </w:num>
  <w:num w:numId="37">
    <w:abstractNumId w:val="14"/>
  </w:num>
  <w:num w:numId="38">
    <w:abstractNumId w:val="34"/>
  </w:num>
  <w:num w:numId="39">
    <w:abstractNumId w:val="26"/>
  </w:num>
  <w:num w:numId="40">
    <w:abstractNumId w:val="15"/>
  </w:num>
  <w:num w:numId="41">
    <w:abstractNumId w:val="33"/>
  </w:num>
  <w:num w:numId="42">
    <w:abstractNumId w:val="22"/>
  </w:num>
  <w:num w:numId="43">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documentProtection w:enforcement="0"/>
  <w:defaultTabStop w:val="420"/>
  <w:drawingGridVerticalSpacing w:val="215"/>
  <w:displayHorizontalDrawingGridEvery w:val="1"/>
  <w:displayVerticalDrawingGridEvery w:val="2"/>
  <w:noPunctuationKerning w:val="1"/>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JkNTg1OTJkZTA1ZDVhNGYzMmVkNzJiZGI5ZmNhNzAifQ=="/>
  </w:docVars>
  <w:rsids>
    <w:rsidRoot w:val="00172A27"/>
    <w:rsid w:val="0000366A"/>
    <w:rsid w:val="00006F7F"/>
    <w:rsid w:val="00007003"/>
    <w:rsid w:val="000075B7"/>
    <w:rsid w:val="000237EA"/>
    <w:rsid w:val="00027CD2"/>
    <w:rsid w:val="00031E0C"/>
    <w:rsid w:val="00040832"/>
    <w:rsid w:val="00040D23"/>
    <w:rsid w:val="000439DA"/>
    <w:rsid w:val="00063604"/>
    <w:rsid w:val="0006370A"/>
    <w:rsid w:val="00066832"/>
    <w:rsid w:val="00067934"/>
    <w:rsid w:val="000720BF"/>
    <w:rsid w:val="00076791"/>
    <w:rsid w:val="0008641D"/>
    <w:rsid w:val="000B39A0"/>
    <w:rsid w:val="000C3E03"/>
    <w:rsid w:val="000C488D"/>
    <w:rsid w:val="000C52EC"/>
    <w:rsid w:val="000D0230"/>
    <w:rsid w:val="000D0AD3"/>
    <w:rsid w:val="000E45BD"/>
    <w:rsid w:val="000E4E33"/>
    <w:rsid w:val="000E67CF"/>
    <w:rsid w:val="000F20FD"/>
    <w:rsid w:val="000F39B0"/>
    <w:rsid w:val="001008D8"/>
    <w:rsid w:val="001022A4"/>
    <w:rsid w:val="00115EF7"/>
    <w:rsid w:val="0013642D"/>
    <w:rsid w:val="00146410"/>
    <w:rsid w:val="00150D67"/>
    <w:rsid w:val="00150EAD"/>
    <w:rsid w:val="00156600"/>
    <w:rsid w:val="00160E9C"/>
    <w:rsid w:val="00172190"/>
    <w:rsid w:val="00173480"/>
    <w:rsid w:val="00181988"/>
    <w:rsid w:val="00182557"/>
    <w:rsid w:val="0018304A"/>
    <w:rsid w:val="001904E9"/>
    <w:rsid w:val="001A77DE"/>
    <w:rsid w:val="001B36EC"/>
    <w:rsid w:val="001D7B23"/>
    <w:rsid w:val="001E2F56"/>
    <w:rsid w:val="00204A2D"/>
    <w:rsid w:val="002062E6"/>
    <w:rsid w:val="00207131"/>
    <w:rsid w:val="0022214D"/>
    <w:rsid w:val="00223585"/>
    <w:rsid w:val="002257E4"/>
    <w:rsid w:val="002317DB"/>
    <w:rsid w:val="00232245"/>
    <w:rsid w:val="0023265E"/>
    <w:rsid w:val="00235B5A"/>
    <w:rsid w:val="00251060"/>
    <w:rsid w:val="002514A3"/>
    <w:rsid w:val="00256B32"/>
    <w:rsid w:val="00256D01"/>
    <w:rsid w:val="002706F2"/>
    <w:rsid w:val="00271135"/>
    <w:rsid w:val="00285E30"/>
    <w:rsid w:val="00292BAB"/>
    <w:rsid w:val="002A1AEC"/>
    <w:rsid w:val="002A1BCB"/>
    <w:rsid w:val="002A5262"/>
    <w:rsid w:val="002A6484"/>
    <w:rsid w:val="002A79C6"/>
    <w:rsid w:val="002C06B9"/>
    <w:rsid w:val="002C0FDD"/>
    <w:rsid w:val="002C5E37"/>
    <w:rsid w:val="002D11F7"/>
    <w:rsid w:val="002D48C5"/>
    <w:rsid w:val="002E0B52"/>
    <w:rsid w:val="002E1CF4"/>
    <w:rsid w:val="002E5FED"/>
    <w:rsid w:val="002F0DA9"/>
    <w:rsid w:val="003113C1"/>
    <w:rsid w:val="00312C3A"/>
    <w:rsid w:val="0031353D"/>
    <w:rsid w:val="0032200D"/>
    <w:rsid w:val="00333B37"/>
    <w:rsid w:val="0034487B"/>
    <w:rsid w:val="00347CC6"/>
    <w:rsid w:val="00347D88"/>
    <w:rsid w:val="00350BCD"/>
    <w:rsid w:val="0035643C"/>
    <w:rsid w:val="00366226"/>
    <w:rsid w:val="003746B0"/>
    <w:rsid w:val="00374A6B"/>
    <w:rsid w:val="00383E1C"/>
    <w:rsid w:val="00390D4A"/>
    <w:rsid w:val="0039222E"/>
    <w:rsid w:val="0039288A"/>
    <w:rsid w:val="00393395"/>
    <w:rsid w:val="0039372E"/>
    <w:rsid w:val="00394AF5"/>
    <w:rsid w:val="003A19A4"/>
    <w:rsid w:val="003A1A1B"/>
    <w:rsid w:val="003A4485"/>
    <w:rsid w:val="003A4878"/>
    <w:rsid w:val="003B4310"/>
    <w:rsid w:val="003B60A6"/>
    <w:rsid w:val="003C5883"/>
    <w:rsid w:val="003C7C49"/>
    <w:rsid w:val="003D3327"/>
    <w:rsid w:val="003D6656"/>
    <w:rsid w:val="003E057C"/>
    <w:rsid w:val="003E2B14"/>
    <w:rsid w:val="003E314B"/>
    <w:rsid w:val="003F5655"/>
    <w:rsid w:val="003F5BC6"/>
    <w:rsid w:val="004021C6"/>
    <w:rsid w:val="00406BEF"/>
    <w:rsid w:val="00410595"/>
    <w:rsid w:val="00420F7C"/>
    <w:rsid w:val="0043307A"/>
    <w:rsid w:val="00433514"/>
    <w:rsid w:val="00446BB3"/>
    <w:rsid w:val="0045353D"/>
    <w:rsid w:val="004771C7"/>
    <w:rsid w:val="00481283"/>
    <w:rsid w:val="00481C3A"/>
    <w:rsid w:val="004851CA"/>
    <w:rsid w:val="0048656E"/>
    <w:rsid w:val="00493221"/>
    <w:rsid w:val="004A302C"/>
    <w:rsid w:val="004B539D"/>
    <w:rsid w:val="004C1FA1"/>
    <w:rsid w:val="004C3DCC"/>
    <w:rsid w:val="004E0BF9"/>
    <w:rsid w:val="004E0CF9"/>
    <w:rsid w:val="004F3FDD"/>
    <w:rsid w:val="004F46AB"/>
    <w:rsid w:val="00501A4A"/>
    <w:rsid w:val="005032B9"/>
    <w:rsid w:val="005100F2"/>
    <w:rsid w:val="00510300"/>
    <w:rsid w:val="00511D7B"/>
    <w:rsid w:val="00513AD5"/>
    <w:rsid w:val="00523D37"/>
    <w:rsid w:val="00524831"/>
    <w:rsid w:val="0052616B"/>
    <w:rsid w:val="00532F25"/>
    <w:rsid w:val="00541D90"/>
    <w:rsid w:val="00542258"/>
    <w:rsid w:val="0054547C"/>
    <w:rsid w:val="0054632A"/>
    <w:rsid w:val="00551EDC"/>
    <w:rsid w:val="005544D1"/>
    <w:rsid w:val="00554509"/>
    <w:rsid w:val="00561523"/>
    <w:rsid w:val="00561527"/>
    <w:rsid w:val="005714C6"/>
    <w:rsid w:val="00594E7A"/>
    <w:rsid w:val="005A146E"/>
    <w:rsid w:val="005A7208"/>
    <w:rsid w:val="005A7987"/>
    <w:rsid w:val="005B5936"/>
    <w:rsid w:val="005C0D20"/>
    <w:rsid w:val="005D050C"/>
    <w:rsid w:val="005F7A46"/>
    <w:rsid w:val="00611383"/>
    <w:rsid w:val="00615EA1"/>
    <w:rsid w:val="00620B1C"/>
    <w:rsid w:val="00626E33"/>
    <w:rsid w:val="006407ED"/>
    <w:rsid w:val="0064251F"/>
    <w:rsid w:val="00643F74"/>
    <w:rsid w:val="006503AE"/>
    <w:rsid w:val="00651EE4"/>
    <w:rsid w:val="00654524"/>
    <w:rsid w:val="00654BCF"/>
    <w:rsid w:val="0066052B"/>
    <w:rsid w:val="006630EF"/>
    <w:rsid w:val="0066446E"/>
    <w:rsid w:val="0066601A"/>
    <w:rsid w:val="006662AB"/>
    <w:rsid w:val="00674212"/>
    <w:rsid w:val="0067621A"/>
    <w:rsid w:val="006815D1"/>
    <w:rsid w:val="00687DD5"/>
    <w:rsid w:val="006923C3"/>
    <w:rsid w:val="006937E9"/>
    <w:rsid w:val="00693EF9"/>
    <w:rsid w:val="006947A5"/>
    <w:rsid w:val="006A1A11"/>
    <w:rsid w:val="006A2C75"/>
    <w:rsid w:val="006A4105"/>
    <w:rsid w:val="006B0C84"/>
    <w:rsid w:val="006B543B"/>
    <w:rsid w:val="006B7E54"/>
    <w:rsid w:val="006C0BD1"/>
    <w:rsid w:val="006C30C8"/>
    <w:rsid w:val="006C5139"/>
    <w:rsid w:val="006C69FC"/>
    <w:rsid w:val="006D069F"/>
    <w:rsid w:val="006D2C95"/>
    <w:rsid w:val="006D5F8F"/>
    <w:rsid w:val="006D6CEA"/>
    <w:rsid w:val="006E3B5C"/>
    <w:rsid w:val="006E3EB8"/>
    <w:rsid w:val="00707B1D"/>
    <w:rsid w:val="00710909"/>
    <w:rsid w:val="00716369"/>
    <w:rsid w:val="00723649"/>
    <w:rsid w:val="007265C3"/>
    <w:rsid w:val="00735F23"/>
    <w:rsid w:val="00740CEF"/>
    <w:rsid w:val="00742261"/>
    <w:rsid w:val="00752C5E"/>
    <w:rsid w:val="007531F9"/>
    <w:rsid w:val="00757B9E"/>
    <w:rsid w:val="00764378"/>
    <w:rsid w:val="0076591F"/>
    <w:rsid w:val="00766F0F"/>
    <w:rsid w:val="00773B9A"/>
    <w:rsid w:val="0077582F"/>
    <w:rsid w:val="007862C9"/>
    <w:rsid w:val="0079007B"/>
    <w:rsid w:val="007A0F22"/>
    <w:rsid w:val="007B5C1A"/>
    <w:rsid w:val="007C03A0"/>
    <w:rsid w:val="007C2BEF"/>
    <w:rsid w:val="007D3D77"/>
    <w:rsid w:val="007E157B"/>
    <w:rsid w:val="007E2EF7"/>
    <w:rsid w:val="007E4818"/>
    <w:rsid w:val="007E6A7E"/>
    <w:rsid w:val="007F33F3"/>
    <w:rsid w:val="007F6124"/>
    <w:rsid w:val="00801BDF"/>
    <w:rsid w:val="00802B86"/>
    <w:rsid w:val="0082514B"/>
    <w:rsid w:val="00830599"/>
    <w:rsid w:val="008334B0"/>
    <w:rsid w:val="0083496F"/>
    <w:rsid w:val="0083530F"/>
    <w:rsid w:val="00836468"/>
    <w:rsid w:val="00843492"/>
    <w:rsid w:val="00845F16"/>
    <w:rsid w:val="00852AF3"/>
    <w:rsid w:val="00856D2D"/>
    <w:rsid w:val="00856F2E"/>
    <w:rsid w:val="00871560"/>
    <w:rsid w:val="00872D54"/>
    <w:rsid w:val="00872F2D"/>
    <w:rsid w:val="0087585D"/>
    <w:rsid w:val="00880E22"/>
    <w:rsid w:val="00882B6F"/>
    <w:rsid w:val="008834AE"/>
    <w:rsid w:val="00885F4D"/>
    <w:rsid w:val="008962E2"/>
    <w:rsid w:val="008A74EF"/>
    <w:rsid w:val="008B0539"/>
    <w:rsid w:val="008B1C98"/>
    <w:rsid w:val="008B5ADF"/>
    <w:rsid w:val="008D0B3B"/>
    <w:rsid w:val="008D1450"/>
    <w:rsid w:val="008D2E66"/>
    <w:rsid w:val="008D56A5"/>
    <w:rsid w:val="008E1546"/>
    <w:rsid w:val="008E189F"/>
    <w:rsid w:val="008E24ED"/>
    <w:rsid w:val="008E40FE"/>
    <w:rsid w:val="008E57AC"/>
    <w:rsid w:val="008E6D3B"/>
    <w:rsid w:val="00906396"/>
    <w:rsid w:val="0090770A"/>
    <w:rsid w:val="00916E4D"/>
    <w:rsid w:val="00917A63"/>
    <w:rsid w:val="00920750"/>
    <w:rsid w:val="00923C36"/>
    <w:rsid w:val="00924B8E"/>
    <w:rsid w:val="00930024"/>
    <w:rsid w:val="009344DE"/>
    <w:rsid w:val="009357E5"/>
    <w:rsid w:val="00936087"/>
    <w:rsid w:val="00945D17"/>
    <w:rsid w:val="00951FEE"/>
    <w:rsid w:val="00965FBF"/>
    <w:rsid w:val="00973941"/>
    <w:rsid w:val="0097751F"/>
    <w:rsid w:val="00980255"/>
    <w:rsid w:val="009804FA"/>
    <w:rsid w:val="00985B78"/>
    <w:rsid w:val="0098649F"/>
    <w:rsid w:val="00993AFA"/>
    <w:rsid w:val="0099686E"/>
    <w:rsid w:val="00996DF2"/>
    <w:rsid w:val="009A41B0"/>
    <w:rsid w:val="009A4756"/>
    <w:rsid w:val="009A4C46"/>
    <w:rsid w:val="009A4DBF"/>
    <w:rsid w:val="009B3513"/>
    <w:rsid w:val="009B39EA"/>
    <w:rsid w:val="009D3FC3"/>
    <w:rsid w:val="009D433D"/>
    <w:rsid w:val="009D4484"/>
    <w:rsid w:val="009D5889"/>
    <w:rsid w:val="009D7755"/>
    <w:rsid w:val="009F1D20"/>
    <w:rsid w:val="00A00548"/>
    <w:rsid w:val="00A00713"/>
    <w:rsid w:val="00A00731"/>
    <w:rsid w:val="00A11A5C"/>
    <w:rsid w:val="00A22235"/>
    <w:rsid w:val="00A22F7B"/>
    <w:rsid w:val="00A23801"/>
    <w:rsid w:val="00A2554C"/>
    <w:rsid w:val="00A3295D"/>
    <w:rsid w:val="00A33652"/>
    <w:rsid w:val="00A3798C"/>
    <w:rsid w:val="00A42866"/>
    <w:rsid w:val="00A461C1"/>
    <w:rsid w:val="00A46B5C"/>
    <w:rsid w:val="00A50D6E"/>
    <w:rsid w:val="00A51DD8"/>
    <w:rsid w:val="00A647EA"/>
    <w:rsid w:val="00A736C6"/>
    <w:rsid w:val="00A82472"/>
    <w:rsid w:val="00A83F1F"/>
    <w:rsid w:val="00A8416F"/>
    <w:rsid w:val="00AA0223"/>
    <w:rsid w:val="00AB28B8"/>
    <w:rsid w:val="00AB3B77"/>
    <w:rsid w:val="00AC57B7"/>
    <w:rsid w:val="00AC73C5"/>
    <w:rsid w:val="00AC755C"/>
    <w:rsid w:val="00AD0E13"/>
    <w:rsid w:val="00AD5ABF"/>
    <w:rsid w:val="00AE30B0"/>
    <w:rsid w:val="00AF45C5"/>
    <w:rsid w:val="00AF5667"/>
    <w:rsid w:val="00B05DD5"/>
    <w:rsid w:val="00B12477"/>
    <w:rsid w:val="00B13343"/>
    <w:rsid w:val="00B1354B"/>
    <w:rsid w:val="00B220B2"/>
    <w:rsid w:val="00B23942"/>
    <w:rsid w:val="00B32474"/>
    <w:rsid w:val="00B4327E"/>
    <w:rsid w:val="00B467A4"/>
    <w:rsid w:val="00B5286D"/>
    <w:rsid w:val="00B545BC"/>
    <w:rsid w:val="00B61032"/>
    <w:rsid w:val="00B61D2E"/>
    <w:rsid w:val="00B71854"/>
    <w:rsid w:val="00B71DA4"/>
    <w:rsid w:val="00B7235B"/>
    <w:rsid w:val="00B76348"/>
    <w:rsid w:val="00B81261"/>
    <w:rsid w:val="00B82556"/>
    <w:rsid w:val="00B87655"/>
    <w:rsid w:val="00B87801"/>
    <w:rsid w:val="00B92871"/>
    <w:rsid w:val="00B928DA"/>
    <w:rsid w:val="00BA5AC3"/>
    <w:rsid w:val="00BA630D"/>
    <w:rsid w:val="00BB06B4"/>
    <w:rsid w:val="00BB2551"/>
    <w:rsid w:val="00BB4892"/>
    <w:rsid w:val="00BB5E9B"/>
    <w:rsid w:val="00BC1A44"/>
    <w:rsid w:val="00BC5C37"/>
    <w:rsid w:val="00BC757B"/>
    <w:rsid w:val="00BC7ED2"/>
    <w:rsid w:val="00BD0190"/>
    <w:rsid w:val="00BE212E"/>
    <w:rsid w:val="00BE4AAB"/>
    <w:rsid w:val="00BE5086"/>
    <w:rsid w:val="00BF4971"/>
    <w:rsid w:val="00C07F40"/>
    <w:rsid w:val="00C12E85"/>
    <w:rsid w:val="00C16A79"/>
    <w:rsid w:val="00C20278"/>
    <w:rsid w:val="00C22791"/>
    <w:rsid w:val="00C236DC"/>
    <w:rsid w:val="00C31B7F"/>
    <w:rsid w:val="00C32F79"/>
    <w:rsid w:val="00C33FD2"/>
    <w:rsid w:val="00C35271"/>
    <w:rsid w:val="00C4036A"/>
    <w:rsid w:val="00C50E28"/>
    <w:rsid w:val="00C62934"/>
    <w:rsid w:val="00C64428"/>
    <w:rsid w:val="00C74D6F"/>
    <w:rsid w:val="00C842DE"/>
    <w:rsid w:val="00C902FB"/>
    <w:rsid w:val="00C965AE"/>
    <w:rsid w:val="00CA0AED"/>
    <w:rsid w:val="00CA66E6"/>
    <w:rsid w:val="00CC29DE"/>
    <w:rsid w:val="00CC3B64"/>
    <w:rsid w:val="00CD37C6"/>
    <w:rsid w:val="00CD3BA4"/>
    <w:rsid w:val="00CD41AA"/>
    <w:rsid w:val="00CD6943"/>
    <w:rsid w:val="00CE6C2F"/>
    <w:rsid w:val="00CE73CC"/>
    <w:rsid w:val="00CE7E9C"/>
    <w:rsid w:val="00CF2EF3"/>
    <w:rsid w:val="00CF3298"/>
    <w:rsid w:val="00D02F3B"/>
    <w:rsid w:val="00D0657B"/>
    <w:rsid w:val="00D129CB"/>
    <w:rsid w:val="00D16A04"/>
    <w:rsid w:val="00D27C17"/>
    <w:rsid w:val="00D41B89"/>
    <w:rsid w:val="00D47F27"/>
    <w:rsid w:val="00D5541F"/>
    <w:rsid w:val="00D57923"/>
    <w:rsid w:val="00D66387"/>
    <w:rsid w:val="00D741B6"/>
    <w:rsid w:val="00D74BD0"/>
    <w:rsid w:val="00D74FED"/>
    <w:rsid w:val="00D75A81"/>
    <w:rsid w:val="00D7761F"/>
    <w:rsid w:val="00D86806"/>
    <w:rsid w:val="00D86C35"/>
    <w:rsid w:val="00DB04FB"/>
    <w:rsid w:val="00DB6DFF"/>
    <w:rsid w:val="00DC003F"/>
    <w:rsid w:val="00DE72B3"/>
    <w:rsid w:val="00DF4668"/>
    <w:rsid w:val="00E00172"/>
    <w:rsid w:val="00E0533A"/>
    <w:rsid w:val="00E0701A"/>
    <w:rsid w:val="00E131D1"/>
    <w:rsid w:val="00E17AA0"/>
    <w:rsid w:val="00E2655B"/>
    <w:rsid w:val="00E311AB"/>
    <w:rsid w:val="00E358BF"/>
    <w:rsid w:val="00E36EC8"/>
    <w:rsid w:val="00E51146"/>
    <w:rsid w:val="00E512A9"/>
    <w:rsid w:val="00E54AF9"/>
    <w:rsid w:val="00E5624E"/>
    <w:rsid w:val="00E601D4"/>
    <w:rsid w:val="00E64C88"/>
    <w:rsid w:val="00E7179D"/>
    <w:rsid w:val="00E74832"/>
    <w:rsid w:val="00E81B04"/>
    <w:rsid w:val="00E820C5"/>
    <w:rsid w:val="00E87550"/>
    <w:rsid w:val="00E9413F"/>
    <w:rsid w:val="00E973D2"/>
    <w:rsid w:val="00EA0745"/>
    <w:rsid w:val="00EC7C64"/>
    <w:rsid w:val="00ED00D6"/>
    <w:rsid w:val="00EE26DC"/>
    <w:rsid w:val="00EE3FF1"/>
    <w:rsid w:val="00EE5816"/>
    <w:rsid w:val="00F03292"/>
    <w:rsid w:val="00F0565C"/>
    <w:rsid w:val="00F121AE"/>
    <w:rsid w:val="00F15852"/>
    <w:rsid w:val="00F23F4B"/>
    <w:rsid w:val="00F462F0"/>
    <w:rsid w:val="00F46C50"/>
    <w:rsid w:val="00F56CD7"/>
    <w:rsid w:val="00F60B61"/>
    <w:rsid w:val="00F66E89"/>
    <w:rsid w:val="00F67822"/>
    <w:rsid w:val="00F70621"/>
    <w:rsid w:val="00F74182"/>
    <w:rsid w:val="00F7607A"/>
    <w:rsid w:val="00F8517B"/>
    <w:rsid w:val="00F90250"/>
    <w:rsid w:val="00F91395"/>
    <w:rsid w:val="00F961D7"/>
    <w:rsid w:val="00F97A2B"/>
    <w:rsid w:val="00FA0CA3"/>
    <w:rsid w:val="00FA3BC5"/>
    <w:rsid w:val="00FA40FE"/>
    <w:rsid w:val="00FB08DC"/>
    <w:rsid w:val="00FB0D30"/>
    <w:rsid w:val="00FB1AE0"/>
    <w:rsid w:val="00FB34C2"/>
    <w:rsid w:val="00FB42F5"/>
    <w:rsid w:val="00FD76E1"/>
    <w:rsid w:val="00FE0970"/>
    <w:rsid w:val="00FF3F3A"/>
    <w:rsid w:val="00FF400F"/>
    <w:rsid w:val="01064C9A"/>
    <w:rsid w:val="010827C0"/>
    <w:rsid w:val="01303AC5"/>
    <w:rsid w:val="013E61E2"/>
    <w:rsid w:val="014F4893"/>
    <w:rsid w:val="01505F15"/>
    <w:rsid w:val="01554610"/>
    <w:rsid w:val="01781929"/>
    <w:rsid w:val="017C564F"/>
    <w:rsid w:val="01877B89"/>
    <w:rsid w:val="019E3125"/>
    <w:rsid w:val="01BA39DE"/>
    <w:rsid w:val="01CA216C"/>
    <w:rsid w:val="01D0068D"/>
    <w:rsid w:val="01D775B9"/>
    <w:rsid w:val="01DD3C4D"/>
    <w:rsid w:val="02026E30"/>
    <w:rsid w:val="02132174"/>
    <w:rsid w:val="02186A33"/>
    <w:rsid w:val="022278B2"/>
    <w:rsid w:val="023130F5"/>
    <w:rsid w:val="02447828"/>
    <w:rsid w:val="024737BC"/>
    <w:rsid w:val="024C2B81"/>
    <w:rsid w:val="026D3223"/>
    <w:rsid w:val="028604AE"/>
    <w:rsid w:val="028B75EF"/>
    <w:rsid w:val="028D5673"/>
    <w:rsid w:val="02922C89"/>
    <w:rsid w:val="029D33DC"/>
    <w:rsid w:val="02AD3196"/>
    <w:rsid w:val="02C44E0D"/>
    <w:rsid w:val="02C9326F"/>
    <w:rsid w:val="02DA63DE"/>
    <w:rsid w:val="02DF39F5"/>
    <w:rsid w:val="02EF5EA2"/>
    <w:rsid w:val="03200295"/>
    <w:rsid w:val="0361440A"/>
    <w:rsid w:val="036D7252"/>
    <w:rsid w:val="03747EC0"/>
    <w:rsid w:val="03922815"/>
    <w:rsid w:val="03990047"/>
    <w:rsid w:val="03AF1619"/>
    <w:rsid w:val="03B7227C"/>
    <w:rsid w:val="03C07382"/>
    <w:rsid w:val="03C350C4"/>
    <w:rsid w:val="03E07A24"/>
    <w:rsid w:val="03E2554B"/>
    <w:rsid w:val="03E30F7F"/>
    <w:rsid w:val="03EA08A3"/>
    <w:rsid w:val="03F31506"/>
    <w:rsid w:val="03F62DA4"/>
    <w:rsid w:val="04001E75"/>
    <w:rsid w:val="040E4592"/>
    <w:rsid w:val="04293179"/>
    <w:rsid w:val="043833BC"/>
    <w:rsid w:val="04441D61"/>
    <w:rsid w:val="04446205"/>
    <w:rsid w:val="04506958"/>
    <w:rsid w:val="045126D0"/>
    <w:rsid w:val="045A77D7"/>
    <w:rsid w:val="045D2E23"/>
    <w:rsid w:val="045D72C7"/>
    <w:rsid w:val="045F303F"/>
    <w:rsid w:val="04820ADC"/>
    <w:rsid w:val="04893C18"/>
    <w:rsid w:val="04951C17"/>
    <w:rsid w:val="049F343C"/>
    <w:rsid w:val="04B14F1D"/>
    <w:rsid w:val="04D806FC"/>
    <w:rsid w:val="04F01EE9"/>
    <w:rsid w:val="04F574FF"/>
    <w:rsid w:val="05025778"/>
    <w:rsid w:val="052E656D"/>
    <w:rsid w:val="053A4F12"/>
    <w:rsid w:val="053F247C"/>
    <w:rsid w:val="05595CE0"/>
    <w:rsid w:val="057C377D"/>
    <w:rsid w:val="057E74F5"/>
    <w:rsid w:val="05810D93"/>
    <w:rsid w:val="05812B41"/>
    <w:rsid w:val="05B362B9"/>
    <w:rsid w:val="05C2565F"/>
    <w:rsid w:val="05C3315A"/>
    <w:rsid w:val="05C72C4A"/>
    <w:rsid w:val="05CB2336"/>
    <w:rsid w:val="05D15877"/>
    <w:rsid w:val="05D215EF"/>
    <w:rsid w:val="05D2339D"/>
    <w:rsid w:val="05D37841"/>
    <w:rsid w:val="05E530D0"/>
    <w:rsid w:val="05EA4B8A"/>
    <w:rsid w:val="05FD48BE"/>
    <w:rsid w:val="06224C6C"/>
    <w:rsid w:val="06231E4A"/>
    <w:rsid w:val="06253E14"/>
    <w:rsid w:val="0633208D"/>
    <w:rsid w:val="063A16EC"/>
    <w:rsid w:val="063B53E6"/>
    <w:rsid w:val="065B7836"/>
    <w:rsid w:val="06856661"/>
    <w:rsid w:val="069114AA"/>
    <w:rsid w:val="0698763E"/>
    <w:rsid w:val="06A66D03"/>
    <w:rsid w:val="06AE7966"/>
    <w:rsid w:val="06AF6DD1"/>
    <w:rsid w:val="06B07B82"/>
    <w:rsid w:val="06B64A6C"/>
    <w:rsid w:val="06DD649D"/>
    <w:rsid w:val="06E8731C"/>
    <w:rsid w:val="06F04422"/>
    <w:rsid w:val="07047ECE"/>
    <w:rsid w:val="071C5217"/>
    <w:rsid w:val="071D4AEC"/>
    <w:rsid w:val="07210A39"/>
    <w:rsid w:val="072242D3"/>
    <w:rsid w:val="072440CC"/>
    <w:rsid w:val="0737795B"/>
    <w:rsid w:val="073F4A62"/>
    <w:rsid w:val="07442078"/>
    <w:rsid w:val="074F739B"/>
    <w:rsid w:val="07585B24"/>
    <w:rsid w:val="077F2232"/>
    <w:rsid w:val="078A2181"/>
    <w:rsid w:val="07941252"/>
    <w:rsid w:val="07B54D24"/>
    <w:rsid w:val="07EA70C4"/>
    <w:rsid w:val="081E0B1B"/>
    <w:rsid w:val="08526AF3"/>
    <w:rsid w:val="08534C69"/>
    <w:rsid w:val="085D7896"/>
    <w:rsid w:val="08687FE8"/>
    <w:rsid w:val="08884B3B"/>
    <w:rsid w:val="08935065"/>
    <w:rsid w:val="08997D8A"/>
    <w:rsid w:val="089A2898"/>
    <w:rsid w:val="08A91113"/>
    <w:rsid w:val="08AD2074"/>
    <w:rsid w:val="08D306C7"/>
    <w:rsid w:val="08D538D0"/>
    <w:rsid w:val="08D77648"/>
    <w:rsid w:val="08E04023"/>
    <w:rsid w:val="08F2265D"/>
    <w:rsid w:val="09077801"/>
    <w:rsid w:val="091C32AD"/>
    <w:rsid w:val="09212671"/>
    <w:rsid w:val="0926010A"/>
    <w:rsid w:val="093D1475"/>
    <w:rsid w:val="093F343F"/>
    <w:rsid w:val="09410F65"/>
    <w:rsid w:val="09412D13"/>
    <w:rsid w:val="095B3C9B"/>
    <w:rsid w:val="095E1B17"/>
    <w:rsid w:val="09664528"/>
    <w:rsid w:val="09704318"/>
    <w:rsid w:val="09AC1C5B"/>
    <w:rsid w:val="09B039F5"/>
    <w:rsid w:val="09BD105E"/>
    <w:rsid w:val="09CE174C"/>
    <w:rsid w:val="09EA6F07"/>
    <w:rsid w:val="09EB2C7F"/>
    <w:rsid w:val="09FE29B2"/>
    <w:rsid w:val="0A140428"/>
    <w:rsid w:val="0A1C108A"/>
    <w:rsid w:val="0A2148F3"/>
    <w:rsid w:val="0A2C5771"/>
    <w:rsid w:val="0A391C3C"/>
    <w:rsid w:val="0A3D172D"/>
    <w:rsid w:val="0A3E680D"/>
    <w:rsid w:val="0A6749FB"/>
    <w:rsid w:val="0A740EC6"/>
    <w:rsid w:val="0A7964DD"/>
    <w:rsid w:val="0A801619"/>
    <w:rsid w:val="0A825391"/>
    <w:rsid w:val="0A851326"/>
    <w:rsid w:val="0A9D29C6"/>
    <w:rsid w:val="0A9F4195"/>
    <w:rsid w:val="0AAB338B"/>
    <w:rsid w:val="0AD6392F"/>
    <w:rsid w:val="0AD83203"/>
    <w:rsid w:val="0ADB2CF4"/>
    <w:rsid w:val="0AEF054D"/>
    <w:rsid w:val="0AF049F1"/>
    <w:rsid w:val="0B05734A"/>
    <w:rsid w:val="0B08583F"/>
    <w:rsid w:val="0B095AB3"/>
    <w:rsid w:val="0B0E131B"/>
    <w:rsid w:val="0B115FB9"/>
    <w:rsid w:val="0B1A381C"/>
    <w:rsid w:val="0B265A74"/>
    <w:rsid w:val="0B352404"/>
    <w:rsid w:val="0B376893"/>
    <w:rsid w:val="0B381EF4"/>
    <w:rsid w:val="0B386398"/>
    <w:rsid w:val="0B3A0D5F"/>
    <w:rsid w:val="0B3A3EBE"/>
    <w:rsid w:val="0B460AB5"/>
    <w:rsid w:val="0B536D2E"/>
    <w:rsid w:val="0B5C2086"/>
    <w:rsid w:val="0B674587"/>
    <w:rsid w:val="0B6A776A"/>
    <w:rsid w:val="0B6E5916"/>
    <w:rsid w:val="0BB24C22"/>
    <w:rsid w:val="0BD87233"/>
    <w:rsid w:val="0BF0642E"/>
    <w:rsid w:val="0BF202F5"/>
    <w:rsid w:val="0BFE313E"/>
    <w:rsid w:val="0C02649C"/>
    <w:rsid w:val="0C0B25B3"/>
    <w:rsid w:val="0C104C1F"/>
    <w:rsid w:val="0C1E6205"/>
    <w:rsid w:val="0C28640C"/>
    <w:rsid w:val="0C3C5A14"/>
    <w:rsid w:val="0C5A4DAC"/>
    <w:rsid w:val="0C5E47B4"/>
    <w:rsid w:val="0C8A677F"/>
    <w:rsid w:val="0CA30D87"/>
    <w:rsid w:val="0CC04897"/>
    <w:rsid w:val="0CD12600"/>
    <w:rsid w:val="0CD520F0"/>
    <w:rsid w:val="0CD67C16"/>
    <w:rsid w:val="0CD81BE1"/>
    <w:rsid w:val="0CFB142B"/>
    <w:rsid w:val="0D0C53E6"/>
    <w:rsid w:val="0D2210AE"/>
    <w:rsid w:val="0D466B4A"/>
    <w:rsid w:val="0D611BD6"/>
    <w:rsid w:val="0D865A79"/>
    <w:rsid w:val="0D95205B"/>
    <w:rsid w:val="0D957AD2"/>
    <w:rsid w:val="0D9D0734"/>
    <w:rsid w:val="0DA90E87"/>
    <w:rsid w:val="0DB74AC1"/>
    <w:rsid w:val="0DEF71E2"/>
    <w:rsid w:val="0E0D58BA"/>
    <w:rsid w:val="0E0F1632"/>
    <w:rsid w:val="0E19425F"/>
    <w:rsid w:val="0E237412"/>
    <w:rsid w:val="0E2449B2"/>
    <w:rsid w:val="0E342E47"/>
    <w:rsid w:val="0E460DCC"/>
    <w:rsid w:val="0E653000"/>
    <w:rsid w:val="0E6D45AA"/>
    <w:rsid w:val="0E72396F"/>
    <w:rsid w:val="0E796AAB"/>
    <w:rsid w:val="0E7B2A67"/>
    <w:rsid w:val="0E7C0027"/>
    <w:rsid w:val="0E7E0566"/>
    <w:rsid w:val="0E7F6315"/>
    <w:rsid w:val="0E8D07A9"/>
    <w:rsid w:val="0EB36461"/>
    <w:rsid w:val="0EB45D35"/>
    <w:rsid w:val="0EBD75FE"/>
    <w:rsid w:val="0ECA5559"/>
    <w:rsid w:val="0ED87C76"/>
    <w:rsid w:val="0EF600FC"/>
    <w:rsid w:val="0F1B5913"/>
    <w:rsid w:val="0F4C0664"/>
    <w:rsid w:val="0F5337A0"/>
    <w:rsid w:val="0F711E78"/>
    <w:rsid w:val="0F917E25"/>
    <w:rsid w:val="0F96368D"/>
    <w:rsid w:val="0F9D4A1B"/>
    <w:rsid w:val="0FA062BA"/>
    <w:rsid w:val="0FA638D0"/>
    <w:rsid w:val="0FB35FED"/>
    <w:rsid w:val="0FC21432"/>
    <w:rsid w:val="0FD33C3D"/>
    <w:rsid w:val="0FE8213B"/>
    <w:rsid w:val="0FF52AA9"/>
    <w:rsid w:val="0FF860F6"/>
    <w:rsid w:val="0FF94348"/>
    <w:rsid w:val="0FFF1232"/>
    <w:rsid w:val="10047D52"/>
    <w:rsid w:val="10086339"/>
    <w:rsid w:val="10150A56"/>
    <w:rsid w:val="10240C99"/>
    <w:rsid w:val="102723E9"/>
    <w:rsid w:val="102B566C"/>
    <w:rsid w:val="10394744"/>
    <w:rsid w:val="104841C5"/>
    <w:rsid w:val="10534A8F"/>
    <w:rsid w:val="107439CE"/>
    <w:rsid w:val="10861954"/>
    <w:rsid w:val="1090632E"/>
    <w:rsid w:val="10A92DD3"/>
    <w:rsid w:val="10BD54A5"/>
    <w:rsid w:val="10C55FD8"/>
    <w:rsid w:val="10F845FF"/>
    <w:rsid w:val="1103023A"/>
    <w:rsid w:val="11036B00"/>
    <w:rsid w:val="11082369"/>
    <w:rsid w:val="11357D2A"/>
    <w:rsid w:val="113849FC"/>
    <w:rsid w:val="113A4C18"/>
    <w:rsid w:val="11421E5E"/>
    <w:rsid w:val="11422FE1"/>
    <w:rsid w:val="116E48C1"/>
    <w:rsid w:val="11845E93"/>
    <w:rsid w:val="11867E5D"/>
    <w:rsid w:val="11877731"/>
    <w:rsid w:val="11967974"/>
    <w:rsid w:val="11A2456B"/>
    <w:rsid w:val="11AE5258"/>
    <w:rsid w:val="11DF30C9"/>
    <w:rsid w:val="11FA6155"/>
    <w:rsid w:val="12130FC5"/>
    <w:rsid w:val="121C60CC"/>
    <w:rsid w:val="1222745A"/>
    <w:rsid w:val="12371157"/>
    <w:rsid w:val="127001C5"/>
    <w:rsid w:val="127759F8"/>
    <w:rsid w:val="127A0C92"/>
    <w:rsid w:val="127F48AC"/>
    <w:rsid w:val="128819B3"/>
    <w:rsid w:val="128F2D41"/>
    <w:rsid w:val="12942106"/>
    <w:rsid w:val="129E4D32"/>
    <w:rsid w:val="12A548F1"/>
    <w:rsid w:val="12AF60C3"/>
    <w:rsid w:val="12B91B6C"/>
    <w:rsid w:val="12BA7692"/>
    <w:rsid w:val="12EF558E"/>
    <w:rsid w:val="12F9640D"/>
    <w:rsid w:val="13021765"/>
    <w:rsid w:val="13037AFF"/>
    <w:rsid w:val="132A4818"/>
    <w:rsid w:val="13456351"/>
    <w:rsid w:val="134C0C32"/>
    <w:rsid w:val="13541895"/>
    <w:rsid w:val="135D4BEE"/>
    <w:rsid w:val="137B79E1"/>
    <w:rsid w:val="13833F28"/>
    <w:rsid w:val="13E7095B"/>
    <w:rsid w:val="13E83E5F"/>
    <w:rsid w:val="14065285"/>
    <w:rsid w:val="14117786"/>
    <w:rsid w:val="144731A8"/>
    <w:rsid w:val="145C6C53"/>
    <w:rsid w:val="14717C9A"/>
    <w:rsid w:val="147F2942"/>
    <w:rsid w:val="14991C55"/>
    <w:rsid w:val="14AF7789"/>
    <w:rsid w:val="14D50D33"/>
    <w:rsid w:val="14DA401C"/>
    <w:rsid w:val="14EA0703"/>
    <w:rsid w:val="14EF1875"/>
    <w:rsid w:val="151E65FF"/>
    <w:rsid w:val="1537321C"/>
    <w:rsid w:val="154020D1"/>
    <w:rsid w:val="157B7F4A"/>
    <w:rsid w:val="1585042C"/>
    <w:rsid w:val="15A840F3"/>
    <w:rsid w:val="15AE1730"/>
    <w:rsid w:val="15B11221"/>
    <w:rsid w:val="15B64A89"/>
    <w:rsid w:val="15DA0777"/>
    <w:rsid w:val="15E37F2A"/>
    <w:rsid w:val="15E92769"/>
    <w:rsid w:val="15FB249C"/>
    <w:rsid w:val="15FF3D3A"/>
    <w:rsid w:val="16383AE2"/>
    <w:rsid w:val="16565924"/>
    <w:rsid w:val="16571DC8"/>
    <w:rsid w:val="16646293"/>
    <w:rsid w:val="16685D83"/>
    <w:rsid w:val="167C182F"/>
    <w:rsid w:val="167C538B"/>
    <w:rsid w:val="167D1103"/>
    <w:rsid w:val="167D2FDD"/>
    <w:rsid w:val="16AE5760"/>
    <w:rsid w:val="16AE750E"/>
    <w:rsid w:val="16AF2A39"/>
    <w:rsid w:val="16B40FC8"/>
    <w:rsid w:val="16BC1C2B"/>
    <w:rsid w:val="16BD0A63"/>
    <w:rsid w:val="16C46D32"/>
    <w:rsid w:val="16E3540A"/>
    <w:rsid w:val="16E442B3"/>
    <w:rsid w:val="16EA2C3C"/>
    <w:rsid w:val="1711641B"/>
    <w:rsid w:val="1719707D"/>
    <w:rsid w:val="17215F32"/>
    <w:rsid w:val="172872C1"/>
    <w:rsid w:val="17457E73"/>
    <w:rsid w:val="174F6F43"/>
    <w:rsid w:val="175814CF"/>
    <w:rsid w:val="176821F4"/>
    <w:rsid w:val="177E1C86"/>
    <w:rsid w:val="17944956"/>
    <w:rsid w:val="179B7A92"/>
    <w:rsid w:val="17A21229"/>
    <w:rsid w:val="17AD77C6"/>
    <w:rsid w:val="17B62B1E"/>
    <w:rsid w:val="17CB7119"/>
    <w:rsid w:val="17DB67AF"/>
    <w:rsid w:val="18041ADC"/>
    <w:rsid w:val="18495740"/>
    <w:rsid w:val="185A794E"/>
    <w:rsid w:val="18891474"/>
    <w:rsid w:val="188E6B63"/>
    <w:rsid w:val="188F0B1E"/>
    <w:rsid w:val="189F0F8C"/>
    <w:rsid w:val="18C272A1"/>
    <w:rsid w:val="18D314AE"/>
    <w:rsid w:val="18DA283C"/>
    <w:rsid w:val="18F90F15"/>
    <w:rsid w:val="192D6E10"/>
    <w:rsid w:val="19373862"/>
    <w:rsid w:val="193D1CBA"/>
    <w:rsid w:val="19520625"/>
    <w:rsid w:val="19526877"/>
    <w:rsid w:val="195E16BF"/>
    <w:rsid w:val="19856C4C"/>
    <w:rsid w:val="199665EC"/>
    <w:rsid w:val="19CC03D7"/>
    <w:rsid w:val="19D2300F"/>
    <w:rsid w:val="19EC5173"/>
    <w:rsid w:val="19F872A0"/>
    <w:rsid w:val="1A1E49AB"/>
    <w:rsid w:val="1A352420"/>
    <w:rsid w:val="1A377809"/>
    <w:rsid w:val="1A452ACF"/>
    <w:rsid w:val="1A512FD2"/>
    <w:rsid w:val="1A5D54D3"/>
    <w:rsid w:val="1AC150C0"/>
    <w:rsid w:val="1ADA2FC8"/>
    <w:rsid w:val="1AE259D8"/>
    <w:rsid w:val="1AE35507"/>
    <w:rsid w:val="1AEB2ADF"/>
    <w:rsid w:val="1AF04599"/>
    <w:rsid w:val="1AFC1190"/>
    <w:rsid w:val="1B102545"/>
    <w:rsid w:val="1B2129A5"/>
    <w:rsid w:val="1B3B1964"/>
    <w:rsid w:val="1B3E3557"/>
    <w:rsid w:val="1B5E7755"/>
    <w:rsid w:val="1B636B19"/>
    <w:rsid w:val="1B6805D3"/>
    <w:rsid w:val="1B7E1468"/>
    <w:rsid w:val="1B825739"/>
    <w:rsid w:val="1B83540D"/>
    <w:rsid w:val="1BA06E8C"/>
    <w:rsid w:val="1BA62EAA"/>
    <w:rsid w:val="1BC17CE4"/>
    <w:rsid w:val="1BCC0B62"/>
    <w:rsid w:val="1BDD4B1E"/>
    <w:rsid w:val="1BE35EAC"/>
    <w:rsid w:val="1BE718C7"/>
    <w:rsid w:val="1BF43C15"/>
    <w:rsid w:val="1C146065"/>
    <w:rsid w:val="1C1B3898"/>
    <w:rsid w:val="1C1B73F4"/>
    <w:rsid w:val="1C2F10F1"/>
    <w:rsid w:val="1C3B1844"/>
    <w:rsid w:val="1C406E5A"/>
    <w:rsid w:val="1C495921"/>
    <w:rsid w:val="1C744D56"/>
    <w:rsid w:val="1C7A6810"/>
    <w:rsid w:val="1C7B7E93"/>
    <w:rsid w:val="1C7D1E5D"/>
    <w:rsid w:val="1C7F7983"/>
    <w:rsid w:val="1C8036FB"/>
    <w:rsid w:val="1C9C6787"/>
    <w:rsid w:val="1CAD4565"/>
    <w:rsid w:val="1CD770EC"/>
    <w:rsid w:val="1CDC4DD5"/>
    <w:rsid w:val="1CE43C8A"/>
    <w:rsid w:val="1D183933"/>
    <w:rsid w:val="1D210A3A"/>
    <w:rsid w:val="1D3764AF"/>
    <w:rsid w:val="1D4F5570"/>
    <w:rsid w:val="1D5E1C8E"/>
    <w:rsid w:val="1D61177E"/>
    <w:rsid w:val="1D7E7C3A"/>
    <w:rsid w:val="1D8D4321"/>
    <w:rsid w:val="1D9C27B6"/>
    <w:rsid w:val="1DA35CDF"/>
    <w:rsid w:val="1DAA4ED3"/>
    <w:rsid w:val="1DC615E1"/>
    <w:rsid w:val="1DC835AB"/>
    <w:rsid w:val="1DFD14A7"/>
    <w:rsid w:val="1E037E3E"/>
    <w:rsid w:val="1E0B5246"/>
    <w:rsid w:val="1E2F7187"/>
    <w:rsid w:val="1E340C41"/>
    <w:rsid w:val="1E401394"/>
    <w:rsid w:val="1E403BB4"/>
    <w:rsid w:val="1E435EE1"/>
    <w:rsid w:val="1E4A2212"/>
    <w:rsid w:val="1E6908EA"/>
    <w:rsid w:val="1E766B63"/>
    <w:rsid w:val="1E8A6AB3"/>
    <w:rsid w:val="1E9B2A6E"/>
    <w:rsid w:val="1EAF02C7"/>
    <w:rsid w:val="1EBA1146"/>
    <w:rsid w:val="1EC73863"/>
    <w:rsid w:val="1ED46823"/>
    <w:rsid w:val="1EDB24C3"/>
    <w:rsid w:val="1EDF295B"/>
    <w:rsid w:val="1EEB392A"/>
    <w:rsid w:val="1F046865"/>
    <w:rsid w:val="1F1D16D5"/>
    <w:rsid w:val="1F204D21"/>
    <w:rsid w:val="1F2760B0"/>
    <w:rsid w:val="1F460C2C"/>
    <w:rsid w:val="1F525822"/>
    <w:rsid w:val="1F58270D"/>
    <w:rsid w:val="1F5F1CED"/>
    <w:rsid w:val="1F707A57"/>
    <w:rsid w:val="1F7237CF"/>
    <w:rsid w:val="1F770DE5"/>
    <w:rsid w:val="1F833C2E"/>
    <w:rsid w:val="1F890B18"/>
    <w:rsid w:val="1F8D0609"/>
    <w:rsid w:val="1FB82BC8"/>
    <w:rsid w:val="1FCA53B9"/>
    <w:rsid w:val="1FD47FE6"/>
    <w:rsid w:val="1FE31481"/>
    <w:rsid w:val="1FF16DE9"/>
    <w:rsid w:val="1FF468DA"/>
    <w:rsid w:val="200F54C2"/>
    <w:rsid w:val="201B5C14"/>
    <w:rsid w:val="20254CE5"/>
    <w:rsid w:val="2039253E"/>
    <w:rsid w:val="204A02A8"/>
    <w:rsid w:val="2059498F"/>
    <w:rsid w:val="20690166"/>
    <w:rsid w:val="206F7D0E"/>
    <w:rsid w:val="20803CC9"/>
    <w:rsid w:val="209239FD"/>
    <w:rsid w:val="20A83220"/>
    <w:rsid w:val="20BE5C8F"/>
    <w:rsid w:val="20CC482F"/>
    <w:rsid w:val="20E97AC1"/>
    <w:rsid w:val="20EA2A65"/>
    <w:rsid w:val="20EF2BFD"/>
    <w:rsid w:val="210112AE"/>
    <w:rsid w:val="21274A8D"/>
    <w:rsid w:val="21354AB4"/>
    <w:rsid w:val="214B6213"/>
    <w:rsid w:val="214E2A84"/>
    <w:rsid w:val="21556257"/>
    <w:rsid w:val="215F4227"/>
    <w:rsid w:val="217F6677"/>
    <w:rsid w:val="21817CF9"/>
    <w:rsid w:val="21884BA0"/>
    <w:rsid w:val="219519F6"/>
    <w:rsid w:val="2197576F"/>
    <w:rsid w:val="219B1B95"/>
    <w:rsid w:val="21BA145D"/>
    <w:rsid w:val="21BF6A73"/>
    <w:rsid w:val="21C30312"/>
    <w:rsid w:val="21DE15EF"/>
    <w:rsid w:val="21ED1832"/>
    <w:rsid w:val="21F26E49"/>
    <w:rsid w:val="21F7445F"/>
    <w:rsid w:val="220151E4"/>
    <w:rsid w:val="22032E04"/>
    <w:rsid w:val="2217240B"/>
    <w:rsid w:val="22196184"/>
    <w:rsid w:val="222039B6"/>
    <w:rsid w:val="222B5EB7"/>
    <w:rsid w:val="2237485C"/>
    <w:rsid w:val="223E3E3C"/>
    <w:rsid w:val="227635D6"/>
    <w:rsid w:val="22794E74"/>
    <w:rsid w:val="228D26CE"/>
    <w:rsid w:val="22BB723B"/>
    <w:rsid w:val="22C87E24"/>
    <w:rsid w:val="22C95DFC"/>
    <w:rsid w:val="22E87B5F"/>
    <w:rsid w:val="22EC5F17"/>
    <w:rsid w:val="22EE06E2"/>
    <w:rsid w:val="22F015DA"/>
    <w:rsid w:val="22F8223D"/>
    <w:rsid w:val="22F84FC6"/>
    <w:rsid w:val="22FD3CF7"/>
    <w:rsid w:val="22FF7A6F"/>
    <w:rsid w:val="230230BC"/>
    <w:rsid w:val="23243032"/>
    <w:rsid w:val="235A0EEE"/>
    <w:rsid w:val="235C6C70"/>
    <w:rsid w:val="23614286"/>
    <w:rsid w:val="23712585"/>
    <w:rsid w:val="23A405B3"/>
    <w:rsid w:val="23C93BD9"/>
    <w:rsid w:val="242B03F0"/>
    <w:rsid w:val="243472A5"/>
    <w:rsid w:val="2440076D"/>
    <w:rsid w:val="249E6E14"/>
    <w:rsid w:val="24A563F4"/>
    <w:rsid w:val="24B228BF"/>
    <w:rsid w:val="24D171E9"/>
    <w:rsid w:val="24DC2C75"/>
    <w:rsid w:val="24EF141E"/>
    <w:rsid w:val="25034EC9"/>
    <w:rsid w:val="250C0222"/>
    <w:rsid w:val="25461985"/>
    <w:rsid w:val="25586D6C"/>
    <w:rsid w:val="256516E0"/>
    <w:rsid w:val="256B319A"/>
    <w:rsid w:val="25781413"/>
    <w:rsid w:val="257858B7"/>
    <w:rsid w:val="258B383C"/>
    <w:rsid w:val="259455FA"/>
    <w:rsid w:val="259F4BF2"/>
    <w:rsid w:val="25A246E2"/>
    <w:rsid w:val="25AD5EB4"/>
    <w:rsid w:val="25B662E5"/>
    <w:rsid w:val="25BF5294"/>
    <w:rsid w:val="25C2759F"/>
    <w:rsid w:val="25C63DCF"/>
    <w:rsid w:val="25C74149"/>
    <w:rsid w:val="25DE267C"/>
    <w:rsid w:val="25E46AA9"/>
    <w:rsid w:val="25E66CC5"/>
    <w:rsid w:val="25FA62CC"/>
    <w:rsid w:val="26143832"/>
    <w:rsid w:val="26207C3D"/>
    <w:rsid w:val="262275D1"/>
    <w:rsid w:val="26325A66"/>
    <w:rsid w:val="263712CE"/>
    <w:rsid w:val="26456C5F"/>
    <w:rsid w:val="264D6D44"/>
    <w:rsid w:val="26635DE5"/>
    <w:rsid w:val="26977FBF"/>
    <w:rsid w:val="26AF355A"/>
    <w:rsid w:val="26B50445"/>
    <w:rsid w:val="26B54405"/>
    <w:rsid w:val="26B835BD"/>
    <w:rsid w:val="26BC17D3"/>
    <w:rsid w:val="26DB7EAB"/>
    <w:rsid w:val="26DC11F6"/>
    <w:rsid w:val="26EC191F"/>
    <w:rsid w:val="26F251F5"/>
    <w:rsid w:val="270C62B7"/>
    <w:rsid w:val="27473793"/>
    <w:rsid w:val="27677991"/>
    <w:rsid w:val="276A122F"/>
    <w:rsid w:val="27802801"/>
    <w:rsid w:val="278A123C"/>
    <w:rsid w:val="27963D10"/>
    <w:rsid w:val="279F537D"/>
    <w:rsid w:val="27DF5779"/>
    <w:rsid w:val="27E234BC"/>
    <w:rsid w:val="280451E0"/>
    <w:rsid w:val="280E7BD2"/>
    <w:rsid w:val="28177609"/>
    <w:rsid w:val="28186EDD"/>
    <w:rsid w:val="281C077C"/>
    <w:rsid w:val="28247630"/>
    <w:rsid w:val="282615FA"/>
    <w:rsid w:val="282910EA"/>
    <w:rsid w:val="28396E4B"/>
    <w:rsid w:val="283E4B96"/>
    <w:rsid w:val="28414686"/>
    <w:rsid w:val="28447CD2"/>
    <w:rsid w:val="284B2E0F"/>
    <w:rsid w:val="284D6B87"/>
    <w:rsid w:val="28550131"/>
    <w:rsid w:val="28642123"/>
    <w:rsid w:val="28757E8C"/>
    <w:rsid w:val="287E4F92"/>
    <w:rsid w:val="28B07116"/>
    <w:rsid w:val="28B9421C"/>
    <w:rsid w:val="28CB21A2"/>
    <w:rsid w:val="28CC2935"/>
    <w:rsid w:val="28E559B8"/>
    <w:rsid w:val="28E62B38"/>
    <w:rsid w:val="28E868B0"/>
    <w:rsid w:val="28F25980"/>
    <w:rsid w:val="28F96D0F"/>
    <w:rsid w:val="290673F2"/>
    <w:rsid w:val="290B7A2E"/>
    <w:rsid w:val="2944442E"/>
    <w:rsid w:val="294659B1"/>
    <w:rsid w:val="29493E9D"/>
    <w:rsid w:val="29542197"/>
    <w:rsid w:val="29606D8E"/>
    <w:rsid w:val="2964062C"/>
    <w:rsid w:val="29787C34"/>
    <w:rsid w:val="298131E9"/>
    <w:rsid w:val="298760C9"/>
    <w:rsid w:val="298E38FB"/>
    <w:rsid w:val="29927747"/>
    <w:rsid w:val="29AE7AF9"/>
    <w:rsid w:val="29C54E43"/>
    <w:rsid w:val="29C9048F"/>
    <w:rsid w:val="29CB06AB"/>
    <w:rsid w:val="29EA23D5"/>
    <w:rsid w:val="29FA689B"/>
    <w:rsid w:val="29FD5066"/>
    <w:rsid w:val="2A007C29"/>
    <w:rsid w:val="2A0108B7"/>
    <w:rsid w:val="2A04596B"/>
    <w:rsid w:val="2A133E00"/>
    <w:rsid w:val="2A1536D4"/>
    <w:rsid w:val="2A1A0CEB"/>
    <w:rsid w:val="2A202079"/>
    <w:rsid w:val="2A261D85"/>
    <w:rsid w:val="2A2E4796"/>
    <w:rsid w:val="2A355B25"/>
    <w:rsid w:val="2A500BB0"/>
    <w:rsid w:val="2A506E02"/>
    <w:rsid w:val="2A5C57A7"/>
    <w:rsid w:val="2A6B3832"/>
    <w:rsid w:val="2A88659C"/>
    <w:rsid w:val="2A906CB5"/>
    <w:rsid w:val="2A954815"/>
    <w:rsid w:val="2ABE1FBE"/>
    <w:rsid w:val="2AD0584D"/>
    <w:rsid w:val="2AEE4B12"/>
    <w:rsid w:val="2AFE23BA"/>
    <w:rsid w:val="2AFE685E"/>
    <w:rsid w:val="2B057BED"/>
    <w:rsid w:val="2B060A50"/>
    <w:rsid w:val="2B0A5203"/>
    <w:rsid w:val="2B116592"/>
    <w:rsid w:val="2B193698"/>
    <w:rsid w:val="2B1C4F36"/>
    <w:rsid w:val="2B2160A9"/>
    <w:rsid w:val="2B400C25"/>
    <w:rsid w:val="2B45531F"/>
    <w:rsid w:val="2B4714A0"/>
    <w:rsid w:val="2B471FB3"/>
    <w:rsid w:val="2B606BD1"/>
    <w:rsid w:val="2B612949"/>
    <w:rsid w:val="2B6C5576"/>
    <w:rsid w:val="2B717030"/>
    <w:rsid w:val="2B74267D"/>
    <w:rsid w:val="2B762899"/>
    <w:rsid w:val="2B7663F5"/>
    <w:rsid w:val="2B7E52A9"/>
    <w:rsid w:val="2BA50A88"/>
    <w:rsid w:val="2BAA2542"/>
    <w:rsid w:val="2BB60EE7"/>
    <w:rsid w:val="2BCA4992"/>
    <w:rsid w:val="2BE035C8"/>
    <w:rsid w:val="2BF24188"/>
    <w:rsid w:val="2BF65788"/>
    <w:rsid w:val="2BFD08C4"/>
    <w:rsid w:val="2C235EB7"/>
    <w:rsid w:val="2C2B5431"/>
    <w:rsid w:val="2C610E53"/>
    <w:rsid w:val="2C6646BB"/>
    <w:rsid w:val="2C9C1E8B"/>
    <w:rsid w:val="2C9F3729"/>
    <w:rsid w:val="2CAF267A"/>
    <w:rsid w:val="2CBE197F"/>
    <w:rsid w:val="2CCB6C14"/>
    <w:rsid w:val="2CE51A84"/>
    <w:rsid w:val="2CE90E48"/>
    <w:rsid w:val="2CED0939"/>
    <w:rsid w:val="2CF27CFD"/>
    <w:rsid w:val="2CF577ED"/>
    <w:rsid w:val="2CFA3055"/>
    <w:rsid w:val="2D012636"/>
    <w:rsid w:val="2D016C6B"/>
    <w:rsid w:val="2D0D2D89"/>
    <w:rsid w:val="2D1A7254"/>
    <w:rsid w:val="2D2B1461"/>
    <w:rsid w:val="2D2D1B91"/>
    <w:rsid w:val="2D5B7F98"/>
    <w:rsid w:val="2D6A6CF3"/>
    <w:rsid w:val="2D8D7A26"/>
    <w:rsid w:val="2DB9081B"/>
    <w:rsid w:val="2DCE2518"/>
    <w:rsid w:val="2DD218DC"/>
    <w:rsid w:val="2DDB69E3"/>
    <w:rsid w:val="2DE735DA"/>
    <w:rsid w:val="2DEF7457"/>
    <w:rsid w:val="2E093AD9"/>
    <w:rsid w:val="2E0A0E72"/>
    <w:rsid w:val="2E0F16E3"/>
    <w:rsid w:val="2E426A62"/>
    <w:rsid w:val="2E6B420B"/>
    <w:rsid w:val="2E6C48D9"/>
    <w:rsid w:val="2E7035CF"/>
    <w:rsid w:val="2E7D3F3E"/>
    <w:rsid w:val="2E864BA1"/>
    <w:rsid w:val="2E8F4F19"/>
    <w:rsid w:val="2EA63495"/>
    <w:rsid w:val="2EB57234"/>
    <w:rsid w:val="2EC8340B"/>
    <w:rsid w:val="2ED303B5"/>
    <w:rsid w:val="2EE144CD"/>
    <w:rsid w:val="2EF35FAE"/>
    <w:rsid w:val="2EF91817"/>
    <w:rsid w:val="2EFA6A37"/>
    <w:rsid w:val="2F167CA6"/>
    <w:rsid w:val="2F25260C"/>
    <w:rsid w:val="2F452CAE"/>
    <w:rsid w:val="2F4A3E20"/>
    <w:rsid w:val="2F5D70AC"/>
    <w:rsid w:val="2F8A246F"/>
    <w:rsid w:val="2F8B61E7"/>
    <w:rsid w:val="2F904855"/>
    <w:rsid w:val="2FA33530"/>
    <w:rsid w:val="2FA36C75"/>
    <w:rsid w:val="2FB83480"/>
    <w:rsid w:val="2FBE036A"/>
    <w:rsid w:val="2FFA41B9"/>
    <w:rsid w:val="301D6DE7"/>
    <w:rsid w:val="302428C3"/>
    <w:rsid w:val="30297EDA"/>
    <w:rsid w:val="303074BA"/>
    <w:rsid w:val="30601421"/>
    <w:rsid w:val="306929CC"/>
    <w:rsid w:val="30696528"/>
    <w:rsid w:val="306B405E"/>
    <w:rsid w:val="30832D34"/>
    <w:rsid w:val="308C4B30"/>
    <w:rsid w:val="309612E7"/>
    <w:rsid w:val="30B31E99"/>
    <w:rsid w:val="30C714A1"/>
    <w:rsid w:val="30CB2919"/>
    <w:rsid w:val="30D53BBD"/>
    <w:rsid w:val="30EB33E1"/>
    <w:rsid w:val="30F5600E"/>
    <w:rsid w:val="30FC114A"/>
    <w:rsid w:val="31012C04"/>
    <w:rsid w:val="310E0E7D"/>
    <w:rsid w:val="31104BF6"/>
    <w:rsid w:val="314A68DF"/>
    <w:rsid w:val="317A6D88"/>
    <w:rsid w:val="317F1D7B"/>
    <w:rsid w:val="319E66A5"/>
    <w:rsid w:val="31A737AC"/>
    <w:rsid w:val="31A87524"/>
    <w:rsid w:val="31B00187"/>
    <w:rsid w:val="31C83745"/>
    <w:rsid w:val="31D200FD"/>
    <w:rsid w:val="31D43E75"/>
    <w:rsid w:val="31DB3455"/>
    <w:rsid w:val="31DE4CF4"/>
    <w:rsid w:val="31E56082"/>
    <w:rsid w:val="31E64732"/>
    <w:rsid w:val="31F35602"/>
    <w:rsid w:val="31F84559"/>
    <w:rsid w:val="3207249C"/>
    <w:rsid w:val="320F4D4B"/>
    <w:rsid w:val="32140715"/>
    <w:rsid w:val="3236068C"/>
    <w:rsid w:val="324059AE"/>
    <w:rsid w:val="326351F9"/>
    <w:rsid w:val="326636E8"/>
    <w:rsid w:val="32766A06"/>
    <w:rsid w:val="327D078A"/>
    <w:rsid w:val="32933D30"/>
    <w:rsid w:val="32A7158A"/>
    <w:rsid w:val="32B31CDC"/>
    <w:rsid w:val="32C75788"/>
    <w:rsid w:val="32E165BD"/>
    <w:rsid w:val="32FA3DAF"/>
    <w:rsid w:val="330469DC"/>
    <w:rsid w:val="33244988"/>
    <w:rsid w:val="33274478"/>
    <w:rsid w:val="332B3F69"/>
    <w:rsid w:val="334A3443"/>
    <w:rsid w:val="334F40FB"/>
    <w:rsid w:val="33641229"/>
    <w:rsid w:val="338673F1"/>
    <w:rsid w:val="339D48A3"/>
    <w:rsid w:val="33AC3A1C"/>
    <w:rsid w:val="33C74846"/>
    <w:rsid w:val="33CF6FEA"/>
    <w:rsid w:val="33DE31C6"/>
    <w:rsid w:val="33F64577"/>
    <w:rsid w:val="34056568"/>
    <w:rsid w:val="343E7CCC"/>
    <w:rsid w:val="34525525"/>
    <w:rsid w:val="346040E6"/>
    <w:rsid w:val="34A0589E"/>
    <w:rsid w:val="34A67F96"/>
    <w:rsid w:val="34A9783B"/>
    <w:rsid w:val="34AA2194"/>
    <w:rsid w:val="34B0508B"/>
    <w:rsid w:val="34CE1050"/>
    <w:rsid w:val="34DF440A"/>
    <w:rsid w:val="350A581B"/>
    <w:rsid w:val="352E7D40"/>
    <w:rsid w:val="35426A60"/>
    <w:rsid w:val="35586B6B"/>
    <w:rsid w:val="355C665B"/>
    <w:rsid w:val="355E7319"/>
    <w:rsid w:val="35690D78"/>
    <w:rsid w:val="358D36CE"/>
    <w:rsid w:val="3598340C"/>
    <w:rsid w:val="35CE6E2D"/>
    <w:rsid w:val="35DB7EC8"/>
    <w:rsid w:val="35EE2046"/>
    <w:rsid w:val="35F41640"/>
    <w:rsid w:val="361A6E50"/>
    <w:rsid w:val="362A0508"/>
    <w:rsid w:val="363967AA"/>
    <w:rsid w:val="36415851"/>
    <w:rsid w:val="36460158"/>
    <w:rsid w:val="36603F29"/>
    <w:rsid w:val="36745C27"/>
    <w:rsid w:val="36851BE2"/>
    <w:rsid w:val="368A0116"/>
    <w:rsid w:val="369116D0"/>
    <w:rsid w:val="36941E25"/>
    <w:rsid w:val="36965B9D"/>
    <w:rsid w:val="369F7E9A"/>
    <w:rsid w:val="36A4650C"/>
    <w:rsid w:val="36BD312A"/>
    <w:rsid w:val="36CC15BF"/>
    <w:rsid w:val="36EF34FF"/>
    <w:rsid w:val="37054AD1"/>
    <w:rsid w:val="370C4F32"/>
    <w:rsid w:val="370E607B"/>
    <w:rsid w:val="372907BF"/>
    <w:rsid w:val="37294C63"/>
    <w:rsid w:val="37353608"/>
    <w:rsid w:val="374D6BA3"/>
    <w:rsid w:val="37500442"/>
    <w:rsid w:val="375810A4"/>
    <w:rsid w:val="375A6BCB"/>
    <w:rsid w:val="377A726D"/>
    <w:rsid w:val="377E4FAF"/>
    <w:rsid w:val="37971BCD"/>
    <w:rsid w:val="37A75B88"/>
    <w:rsid w:val="37BA3B0D"/>
    <w:rsid w:val="37D921E5"/>
    <w:rsid w:val="37F51788"/>
    <w:rsid w:val="37F92887"/>
    <w:rsid w:val="37FC2378"/>
    <w:rsid w:val="380134EA"/>
    <w:rsid w:val="380C2A2C"/>
    <w:rsid w:val="380E2EB2"/>
    <w:rsid w:val="384B3FA8"/>
    <w:rsid w:val="3854528C"/>
    <w:rsid w:val="38547ABE"/>
    <w:rsid w:val="38565141"/>
    <w:rsid w:val="38B41380"/>
    <w:rsid w:val="38B95B73"/>
    <w:rsid w:val="38C22C79"/>
    <w:rsid w:val="38C77A8E"/>
    <w:rsid w:val="38CC58A6"/>
    <w:rsid w:val="38CF183A"/>
    <w:rsid w:val="38DF66DE"/>
    <w:rsid w:val="38E30E42"/>
    <w:rsid w:val="38E57239"/>
    <w:rsid w:val="38EF5A38"/>
    <w:rsid w:val="38F31085"/>
    <w:rsid w:val="39036257"/>
    <w:rsid w:val="390F1199"/>
    <w:rsid w:val="39367F12"/>
    <w:rsid w:val="393D0552"/>
    <w:rsid w:val="394538AA"/>
    <w:rsid w:val="394D5E49"/>
    <w:rsid w:val="3950297B"/>
    <w:rsid w:val="39553AED"/>
    <w:rsid w:val="398E0DAD"/>
    <w:rsid w:val="398F2E12"/>
    <w:rsid w:val="399531A9"/>
    <w:rsid w:val="39993E51"/>
    <w:rsid w:val="39A10631"/>
    <w:rsid w:val="39AD02F7"/>
    <w:rsid w:val="39B5458C"/>
    <w:rsid w:val="39B60304"/>
    <w:rsid w:val="39DA2245"/>
    <w:rsid w:val="39DA3FF3"/>
    <w:rsid w:val="39DF3CFF"/>
    <w:rsid w:val="39E81075"/>
    <w:rsid w:val="39EB5714"/>
    <w:rsid w:val="39F71049"/>
    <w:rsid w:val="39F96B6F"/>
    <w:rsid w:val="3A013C75"/>
    <w:rsid w:val="3A0472C2"/>
    <w:rsid w:val="3A073743"/>
    <w:rsid w:val="3A12378C"/>
    <w:rsid w:val="3A2B6F44"/>
    <w:rsid w:val="3A361B71"/>
    <w:rsid w:val="3A456E52"/>
    <w:rsid w:val="3A5A5133"/>
    <w:rsid w:val="3A631110"/>
    <w:rsid w:val="3A830B2E"/>
    <w:rsid w:val="3ABA2F86"/>
    <w:rsid w:val="3AC70A1B"/>
    <w:rsid w:val="3AEA64B7"/>
    <w:rsid w:val="3AEE244B"/>
    <w:rsid w:val="3AF92B9E"/>
    <w:rsid w:val="3AFA0DF0"/>
    <w:rsid w:val="3B097226"/>
    <w:rsid w:val="3B111C96"/>
    <w:rsid w:val="3B194FEF"/>
    <w:rsid w:val="3B236ECD"/>
    <w:rsid w:val="3B497682"/>
    <w:rsid w:val="3B5F6EA5"/>
    <w:rsid w:val="3B6E70E8"/>
    <w:rsid w:val="3B765F9D"/>
    <w:rsid w:val="3B7F30A4"/>
    <w:rsid w:val="3B8561E0"/>
    <w:rsid w:val="3B8B1A48"/>
    <w:rsid w:val="3BB07701"/>
    <w:rsid w:val="3BB2349B"/>
    <w:rsid w:val="3BB54D17"/>
    <w:rsid w:val="3BBF7944"/>
    <w:rsid w:val="3BC82C9D"/>
    <w:rsid w:val="3BC9431F"/>
    <w:rsid w:val="3BE92C13"/>
    <w:rsid w:val="3C0D4B53"/>
    <w:rsid w:val="3C0E2679"/>
    <w:rsid w:val="3C2105FF"/>
    <w:rsid w:val="3C2D2B00"/>
    <w:rsid w:val="3C372D23"/>
    <w:rsid w:val="3C3C1303"/>
    <w:rsid w:val="3C447E49"/>
    <w:rsid w:val="3C494757"/>
    <w:rsid w:val="3C4B11D8"/>
    <w:rsid w:val="3C4B380F"/>
    <w:rsid w:val="3C4F6F1A"/>
    <w:rsid w:val="3C720E5A"/>
    <w:rsid w:val="3C8C1F1C"/>
    <w:rsid w:val="3CA408E8"/>
    <w:rsid w:val="3CA52FDE"/>
    <w:rsid w:val="3CB57778"/>
    <w:rsid w:val="3CC14C1F"/>
    <w:rsid w:val="3CD0758C"/>
    <w:rsid w:val="3CE358B4"/>
    <w:rsid w:val="3CE55188"/>
    <w:rsid w:val="3CF56BC9"/>
    <w:rsid w:val="3D0A4BEF"/>
    <w:rsid w:val="3D0E2E48"/>
    <w:rsid w:val="3D1D0DC6"/>
    <w:rsid w:val="3D1F37E4"/>
    <w:rsid w:val="3D211F38"/>
    <w:rsid w:val="3D235CB1"/>
    <w:rsid w:val="3D346110"/>
    <w:rsid w:val="3D37175C"/>
    <w:rsid w:val="3D4F2F4A"/>
    <w:rsid w:val="3D762284"/>
    <w:rsid w:val="3D826E7B"/>
    <w:rsid w:val="3D864BBD"/>
    <w:rsid w:val="3DD0754E"/>
    <w:rsid w:val="3DDB0CD9"/>
    <w:rsid w:val="3DDD67A7"/>
    <w:rsid w:val="3DE23DBE"/>
    <w:rsid w:val="3DE90CA8"/>
    <w:rsid w:val="3E157CEF"/>
    <w:rsid w:val="3E667746"/>
    <w:rsid w:val="3E815385"/>
    <w:rsid w:val="3E885B96"/>
    <w:rsid w:val="3E9330B1"/>
    <w:rsid w:val="3E952BDE"/>
    <w:rsid w:val="3EB43064"/>
    <w:rsid w:val="3EB92D70"/>
    <w:rsid w:val="3EBC22FE"/>
    <w:rsid w:val="3ECD4126"/>
    <w:rsid w:val="3EF1250A"/>
    <w:rsid w:val="3EF773F5"/>
    <w:rsid w:val="3F127E08"/>
    <w:rsid w:val="3F163D1F"/>
    <w:rsid w:val="3F450160"/>
    <w:rsid w:val="3F473ED8"/>
    <w:rsid w:val="3F4C14EF"/>
    <w:rsid w:val="3F4D019D"/>
    <w:rsid w:val="3F5860E5"/>
    <w:rsid w:val="3F591E5E"/>
    <w:rsid w:val="3F760C61"/>
    <w:rsid w:val="3F8213B4"/>
    <w:rsid w:val="3F827606"/>
    <w:rsid w:val="3F870779"/>
    <w:rsid w:val="3F890995"/>
    <w:rsid w:val="3F8A2017"/>
    <w:rsid w:val="3F917849"/>
    <w:rsid w:val="3F9B0612"/>
    <w:rsid w:val="3F9D1D4A"/>
    <w:rsid w:val="3FA241A2"/>
    <w:rsid w:val="3FAA4467"/>
    <w:rsid w:val="3FAC01DF"/>
    <w:rsid w:val="3FD85478"/>
    <w:rsid w:val="3FE536F1"/>
    <w:rsid w:val="3FE77469"/>
    <w:rsid w:val="40215D3E"/>
    <w:rsid w:val="403A57EB"/>
    <w:rsid w:val="404843AC"/>
    <w:rsid w:val="404B3E9C"/>
    <w:rsid w:val="4061546E"/>
    <w:rsid w:val="40664832"/>
    <w:rsid w:val="4079067E"/>
    <w:rsid w:val="4093139F"/>
    <w:rsid w:val="409343AF"/>
    <w:rsid w:val="409E3FCC"/>
    <w:rsid w:val="40D75730"/>
    <w:rsid w:val="40E63BC5"/>
    <w:rsid w:val="40EB4D37"/>
    <w:rsid w:val="40EC14AB"/>
    <w:rsid w:val="40FA4F7A"/>
    <w:rsid w:val="410D2F00"/>
    <w:rsid w:val="410D73A4"/>
    <w:rsid w:val="411058AE"/>
    <w:rsid w:val="413C37E5"/>
    <w:rsid w:val="415648A7"/>
    <w:rsid w:val="415A71E1"/>
    <w:rsid w:val="41630D72"/>
    <w:rsid w:val="418807D8"/>
    <w:rsid w:val="419B675D"/>
    <w:rsid w:val="41AA69A0"/>
    <w:rsid w:val="41B15F81"/>
    <w:rsid w:val="41C31810"/>
    <w:rsid w:val="41C55588"/>
    <w:rsid w:val="41C95079"/>
    <w:rsid w:val="41E225DE"/>
    <w:rsid w:val="41F8595E"/>
    <w:rsid w:val="42100EF9"/>
    <w:rsid w:val="4214206C"/>
    <w:rsid w:val="42454372"/>
    <w:rsid w:val="426179A2"/>
    <w:rsid w:val="427174BE"/>
    <w:rsid w:val="42786A9F"/>
    <w:rsid w:val="428B67D2"/>
    <w:rsid w:val="428E0070"/>
    <w:rsid w:val="4294310E"/>
    <w:rsid w:val="42943344"/>
    <w:rsid w:val="42975177"/>
    <w:rsid w:val="429A07C3"/>
    <w:rsid w:val="42C615B8"/>
    <w:rsid w:val="42D77C69"/>
    <w:rsid w:val="42DC0DDB"/>
    <w:rsid w:val="42DE0FF8"/>
    <w:rsid w:val="42E56A55"/>
    <w:rsid w:val="42FC322C"/>
    <w:rsid w:val="43193DDE"/>
    <w:rsid w:val="43372938"/>
    <w:rsid w:val="43484F88"/>
    <w:rsid w:val="434A1275"/>
    <w:rsid w:val="435C1F1C"/>
    <w:rsid w:val="4387343D"/>
    <w:rsid w:val="43972F54"/>
    <w:rsid w:val="439E42E3"/>
    <w:rsid w:val="43A124B3"/>
    <w:rsid w:val="43B65AD0"/>
    <w:rsid w:val="43BB4E95"/>
    <w:rsid w:val="43C55D14"/>
    <w:rsid w:val="43D85A47"/>
    <w:rsid w:val="43E837B0"/>
    <w:rsid w:val="43E97C54"/>
    <w:rsid w:val="43F11473"/>
    <w:rsid w:val="43F839F3"/>
    <w:rsid w:val="44022AC4"/>
    <w:rsid w:val="44024872"/>
    <w:rsid w:val="44044A8E"/>
    <w:rsid w:val="44103433"/>
    <w:rsid w:val="44184095"/>
    <w:rsid w:val="4418722D"/>
    <w:rsid w:val="44236B1E"/>
    <w:rsid w:val="444158E6"/>
    <w:rsid w:val="44564BBE"/>
    <w:rsid w:val="44641089"/>
    <w:rsid w:val="446948F1"/>
    <w:rsid w:val="446F3961"/>
    <w:rsid w:val="44B95F17"/>
    <w:rsid w:val="44BB3692"/>
    <w:rsid w:val="44C11AA6"/>
    <w:rsid w:val="44C75831"/>
    <w:rsid w:val="44CD7477"/>
    <w:rsid w:val="44D04970"/>
    <w:rsid w:val="44D426B2"/>
    <w:rsid w:val="44DF4BB3"/>
    <w:rsid w:val="44E346A3"/>
    <w:rsid w:val="44F3240C"/>
    <w:rsid w:val="450048CC"/>
    <w:rsid w:val="451A208F"/>
    <w:rsid w:val="452457E1"/>
    <w:rsid w:val="45350C77"/>
    <w:rsid w:val="453A628D"/>
    <w:rsid w:val="45415D40"/>
    <w:rsid w:val="45435142"/>
    <w:rsid w:val="45451DF1"/>
    <w:rsid w:val="454A4722"/>
    <w:rsid w:val="454B2248"/>
    <w:rsid w:val="45513D03"/>
    <w:rsid w:val="4554734F"/>
    <w:rsid w:val="45570447"/>
    <w:rsid w:val="45723C79"/>
    <w:rsid w:val="45B033D9"/>
    <w:rsid w:val="45B46417"/>
    <w:rsid w:val="45B86522"/>
    <w:rsid w:val="45DB537A"/>
    <w:rsid w:val="45DE4E6B"/>
    <w:rsid w:val="45F43872"/>
    <w:rsid w:val="46113492"/>
    <w:rsid w:val="461B3AA5"/>
    <w:rsid w:val="462C5BD6"/>
    <w:rsid w:val="462E5DF2"/>
    <w:rsid w:val="463B4047"/>
    <w:rsid w:val="464C0026"/>
    <w:rsid w:val="4654337F"/>
    <w:rsid w:val="46655038"/>
    <w:rsid w:val="466C06C8"/>
    <w:rsid w:val="46843C64"/>
    <w:rsid w:val="46850285"/>
    <w:rsid w:val="468974CC"/>
    <w:rsid w:val="46955E71"/>
    <w:rsid w:val="469F45FA"/>
    <w:rsid w:val="46A240EA"/>
    <w:rsid w:val="46A460B4"/>
    <w:rsid w:val="46AF05B5"/>
    <w:rsid w:val="46C94CDE"/>
    <w:rsid w:val="46D2452C"/>
    <w:rsid w:val="46D30747"/>
    <w:rsid w:val="46E14C12"/>
    <w:rsid w:val="4706474A"/>
    <w:rsid w:val="470703F1"/>
    <w:rsid w:val="470D3C59"/>
    <w:rsid w:val="471B28B4"/>
    <w:rsid w:val="473B0E1B"/>
    <w:rsid w:val="473F27FF"/>
    <w:rsid w:val="47401A3E"/>
    <w:rsid w:val="474653BD"/>
    <w:rsid w:val="476017C6"/>
    <w:rsid w:val="47745A86"/>
    <w:rsid w:val="47811F51"/>
    <w:rsid w:val="47841A42"/>
    <w:rsid w:val="47863A0C"/>
    <w:rsid w:val="478D08F6"/>
    <w:rsid w:val="478E2D76"/>
    <w:rsid w:val="47916CB1"/>
    <w:rsid w:val="47A65E5C"/>
    <w:rsid w:val="47CA1B4A"/>
    <w:rsid w:val="47E67FE2"/>
    <w:rsid w:val="47F0014A"/>
    <w:rsid w:val="47F60B91"/>
    <w:rsid w:val="47F72214"/>
    <w:rsid w:val="481903DC"/>
    <w:rsid w:val="486F26F2"/>
    <w:rsid w:val="48740AF8"/>
    <w:rsid w:val="487B247F"/>
    <w:rsid w:val="488E0DCA"/>
    <w:rsid w:val="48934632"/>
    <w:rsid w:val="48B56357"/>
    <w:rsid w:val="48B955C2"/>
    <w:rsid w:val="48B9571B"/>
    <w:rsid w:val="48BA396D"/>
    <w:rsid w:val="48BB76E5"/>
    <w:rsid w:val="48C657AA"/>
    <w:rsid w:val="48F30C2D"/>
    <w:rsid w:val="490177EE"/>
    <w:rsid w:val="490D6193"/>
    <w:rsid w:val="491F7C74"/>
    <w:rsid w:val="492B090F"/>
    <w:rsid w:val="492D6240"/>
    <w:rsid w:val="49382AE4"/>
    <w:rsid w:val="493C4382"/>
    <w:rsid w:val="49417BEA"/>
    <w:rsid w:val="494852C1"/>
    <w:rsid w:val="494E0559"/>
    <w:rsid w:val="4968786D"/>
    <w:rsid w:val="496A7A12"/>
    <w:rsid w:val="496F0BFB"/>
    <w:rsid w:val="49843F7B"/>
    <w:rsid w:val="498E0956"/>
    <w:rsid w:val="49911DC2"/>
    <w:rsid w:val="499659CF"/>
    <w:rsid w:val="499A718B"/>
    <w:rsid w:val="49B52386"/>
    <w:rsid w:val="49C202E7"/>
    <w:rsid w:val="49EC3FFA"/>
    <w:rsid w:val="49F72751"/>
    <w:rsid w:val="4A1E3C56"/>
    <w:rsid w:val="4A1E617D"/>
    <w:rsid w:val="4A2D016F"/>
    <w:rsid w:val="4A421E6C"/>
    <w:rsid w:val="4A704B0B"/>
    <w:rsid w:val="4A730023"/>
    <w:rsid w:val="4A744C91"/>
    <w:rsid w:val="4A876DA6"/>
    <w:rsid w:val="4A8833F8"/>
    <w:rsid w:val="4A8A619F"/>
    <w:rsid w:val="4A9D70A2"/>
    <w:rsid w:val="4AA2290B"/>
    <w:rsid w:val="4AC05487"/>
    <w:rsid w:val="4AD46AF0"/>
    <w:rsid w:val="4ADA6548"/>
    <w:rsid w:val="4ADF61DE"/>
    <w:rsid w:val="4ADF76BB"/>
    <w:rsid w:val="4AFA62A3"/>
    <w:rsid w:val="4B0071C8"/>
    <w:rsid w:val="4B125FF6"/>
    <w:rsid w:val="4B1B110F"/>
    <w:rsid w:val="4B3F45FD"/>
    <w:rsid w:val="4B4614E8"/>
    <w:rsid w:val="4B6C4CC7"/>
    <w:rsid w:val="4B7D0C82"/>
    <w:rsid w:val="4B8244EA"/>
    <w:rsid w:val="4B8B339F"/>
    <w:rsid w:val="4B92472D"/>
    <w:rsid w:val="4BA12BC2"/>
    <w:rsid w:val="4BA17066"/>
    <w:rsid w:val="4BCD4A3C"/>
    <w:rsid w:val="4BDA7172"/>
    <w:rsid w:val="4C0575F5"/>
    <w:rsid w:val="4C2B503E"/>
    <w:rsid w:val="4C312198"/>
    <w:rsid w:val="4C3253A4"/>
    <w:rsid w:val="4C3677AE"/>
    <w:rsid w:val="4C40062D"/>
    <w:rsid w:val="4C481290"/>
    <w:rsid w:val="4C651E42"/>
    <w:rsid w:val="4C735D9E"/>
    <w:rsid w:val="4C787DC7"/>
    <w:rsid w:val="4C7E73A7"/>
    <w:rsid w:val="4C8229F4"/>
    <w:rsid w:val="4C8C3872"/>
    <w:rsid w:val="4C987D10"/>
    <w:rsid w:val="4CA94424"/>
    <w:rsid w:val="4CAA3CF8"/>
    <w:rsid w:val="4CD62D3F"/>
    <w:rsid w:val="4CE0771A"/>
    <w:rsid w:val="4D331F40"/>
    <w:rsid w:val="4D3B0DF4"/>
    <w:rsid w:val="4D534390"/>
    <w:rsid w:val="4D5F0F87"/>
    <w:rsid w:val="4D64659D"/>
    <w:rsid w:val="4D700A9E"/>
    <w:rsid w:val="4D7F6F33"/>
    <w:rsid w:val="4D9549A9"/>
    <w:rsid w:val="4D9D16E6"/>
    <w:rsid w:val="4DA76875"/>
    <w:rsid w:val="4DAB41CC"/>
    <w:rsid w:val="4DB017E2"/>
    <w:rsid w:val="4DB82445"/>
    <w:rsid w:val="4DC25072"/>
    <w:rsid w:val="4DC96400"/>
    <w:rsid w:val="4DD76D6F"/>
    <w:rsid w:val="4DDC4D2C"/>
    <w:rsid w:val="4DEB281B"/>
    <w:rsid w:val="4E0D453F"/>
    <w:rsid w:val="4E10402F"/>
    <w:rsid w:val="4E121B55"/>
    <w:rsid w:val="4E1E176D"/>
    <w:rsid w:val="4E2B2C17"/>
    <w:rsid w:val="4E2D698F"/>
    <w:rsid w:val="4E505C68"/>
    <w:rsid w:val="4E573A0C"/>
    <w:rsid w:val="4E5C1022"/>
    <w:rsid w:val="4E613302"/>
    <w:rsid w:val="4E760336"/>
    <w:rsid w:val="4EAC01FC"/>
    <w:rsid w:val="4EB250E6"/>
    <w:rsid w:val="4EB33338"/>
    <w:rsid w:val="4EB946C7"/>
    <w:rsid w:val="4EBE1CDD"/>
    <w:rsid w:val="4EC05A55"/>
    <w:rsid w:val="4ECA0682"/>
    <w:rsid w:val="4ECD0674"/>
    <w:rsid w:val="4ED60DD5"/>
    <w:rsid w:val="4EE74D90"/>
    <w:rsid w:val="4EEF633A"/>
    <w:rsid w:val="4F134939"/>
    <w:rsid w:val="4F1D6A04"/>
    <w:rsid w:val="4F2935FA"/>
    <w:rsid w:val="4F2A7373"/>
    <w:rsid w:val="4F437111"/>
    <w:rsid w:val="4F495A4B"/>
    <w:rsid w:val="4F587A3C"/>
    <w:rsid w:val="4F7A3E56"/>
    <w:rsid w:val="4F8C3B89"/>
    <w:rsid w:val="4F9547EC"/>
    <w:rsid w:val="4FBB7C00"/>
    <w:rsid w:val="4FCC21D8"/>
    <w:rsid w:val="4FE6773D"/>
    <w:rsid w:val="4FEB6B02"/>
    <w:rsid w:val="4FEE65F2"/>
    <w:rsid w:val="4FF27E90"/>
    <w:rsid w:val="50106568"/>
    <w:rsid w:val="501222E0"/>
    <w:rsid w:val="501F0559"/>
    <w:rsid w:val="5023629C"/>
    <w:rsid w:val="503A5393"/>
    <w:rsid w:val="5043249A"/>
    <w:rsid w:val="504D50C7"/>
    <w:rsid w:val="505521CD"/>
    <w:rsid w:val="5060304C"/>
    <w:rsid w:val="506A211C"/>
    <w:rsid w:val="507C3BFE"/>
    <w:rsid w:val="50827466"/>
    <w:rsid w:val="50AC49D2"/>
    <w:rsid w:val="50C86E43"/>
    <w:rsid w:val="50CC248F"/>
    <w:rsid w:val="50D21A70"/>
    <w:rsid w:val="50D2381E"/>
    <w:rsid w:val="50D457E8"/>
    <w:rsid w:val="50F6750C"/>
    <w:rsid w:val="50FB4B23"/>
    <w:rsid w:val="51160A34"/>
    <w:rsid w:val="51163F32"/>
    <w:rsid w:val="51183927"/>
    <w:rsid w:val="51226553"/>
    <w:rsid w:val="51453FF0"/>
    <w:rsid w:val="516C77CE"/>
    <w:rsid w:val="5170282E"/>
    <w:rsid w:val="51956D25"/>
    <w:rsid w:val="519A433C"/>
    <w:rsid w:val="519B0C10"/>
    <w:rsid w:val="51AE366B"/>
    <w:rsid w:val="51D71830"/>
    <w:rsid w:val="51DF0427"/>
    <w:rsid w:val="51E23F34"/>
    <w:rsid w:val="51EB2DE9"/>
    <w:rsid w:val="51F83758"/>
    <w:rsid w:val="520B3E30"/>
    <w:rsid w:val="520E5B76"/>
    <w:rsid w:val="5246001F"/>
    <w:rsid w:val="528C10A0"/>
    <w:rsid w:val="52943481"/>
    <w:rsid w:val="52972F71"/>
    <w:rsid w:val="52B0193D"/>
    <w:rsid w:val="52BC29D7"/>
    <w:rsid w:val="52C8312A"/>
    <w:rsid w:val="52DD4E28"/>
    <w:rsid w:val="52FB52AE"/>
    <w:rsid w:val="52FB705C"/>
    <w:rsid w:val="52FC4B82"/>
    <w:rsid w:val="532E2213"/>
    <w:rsid w:val="533026AA"/>
    <w:rsid w:val="53310CD0"/>
    <w:rsid w:val="533E2F7F"/>
    <w:rsid w:val="534D3630"/>
    <w:rsid w:val="535C60FE"/>
    <w:rsid w:val="53745413"/>
    <w:rsid w:val="53807561"/>
    <w:rsid w:val="538708F0"/>
    <w:rsid w:val="538E7D0E"/>
    <w:rsid w:val="53A56FC8"/>
    <w:rsid w:val="53B4545D"/>
    <w:rsid w:val="53B8319F"/>
    <w:rsid w:val="53C03E02"/>
    <w:rsid w:val="53DF24DA"/>
    <w:rsid w:val="53F65A75"/>
    <w:rsid w:val="53FB308C"/>
    <w:rsid w:val="5402441A"/>
    <w:rsid w:val="542F214A"/>
    <w:rsid w:val="54302D35"/>
    <w:rsid w:val="54316AAD"/>
    <w:rsid w:val="543A3BB4"/>
    <w:rsid w:val="54640C31"/>
    <w:rsid w:val="547F3CBD"/>
    <w:rsid w:val="5486329D"/>
    <w:rsid w:val="54994D7E"/>
    <w:rsid w:val="549E786E"/>
    <w:rsid w:val="54AB6860"/>
    <w:rsid w:val="54BB2F47"/>
    <w:rsid w:val="54BE216E"/>
    <w:rsid w:val="54BF40B9"/>
    <w:rsid w:val="54D15BFA"/>
    <w:rsid w:val="550F3292"/>
    <w:rsid w:val="5512615B"/>
    <w:rsid w:val="551B6940"/>
    <w:rsid w:val="552A3C28"/>
    <w:rsid w:val="55563AD1"/>
    <w:rsid w:val="555F460E"/>
    <w:rsid w:val="556B5B8F"/>
    <w:rsid w:val="558722C8"/>
    <w:rsid w:val="558F536E"/>
    <w:rsid w:val="55C027DF"/>
    <w:rsid w:val="55C2628A"/>
    <w:rsid w:val="55CE2806"/>
    <w:rsid w:val="55D50038"/>
    <w:rsid w:val="55D63DB0"/>
    <w:rsid w:val="55DB3175"/>
    <w:rsid w:val="55E55DA1"/>
    <w:rsid w:val="55EE4C56"/>
    <w:rsid w:val="55F61D5C"/>
    <w:rsid w:val="55F71D73"/>
    <w:rsid w:val="56206DD9"/>
    <w:rsid w:val="56222B52"/>
    <w:rsid w:val="562A1B91"/>
    <w:rsid w:val="562B5B9A"/>
    <w:rsid w:val="56331D5B"/>
    <w:rsid w:val="56356D29"/>
    <w:rsid w:val="5637484F"/>
    <w:rsid w:val="5640122A"/>
    <w:rsid w:val="56570A4D"/>
    <w:rsid w:val="5661367A"/>
    <w:rsid w:val="56902358"/>
    <w:rsid w:val="56AB7BA5"/>
    <w:rsid w:val="56AF3861"/>
    <w:rsid w:val="56B85264"/>
    <w:rsid w:val="56C46C9A"/>
    <w:rsid w:val="56CA56C3"/>
    <w:rsid w:val="56CF0F2B"/>
    <w:rsid w:val="56DC53F6"/>
    <w:rsid w:val="56F40992"/>
    <w:rsid w:val="5714693E"/>
    <w:rsid w:val="575C2093"/>
    <w:rsid w:val="57664784"/>
    <w:rsid w:val="5781726E"/>
    <w:rsid w:val="578D049F"/>
    <w:rsid w:val="57A001D2"/>
    <w:rsid w:val="57BE4AFC"/>
    <w:rsid w:val="57C06AC6"/>
    <w:rsid w:val="57CE11E3"/>
    <w:rsid w:val="57CF2865"/>
    <w:rsid w:val="57E07028"/>
    <w:rsid w:val="57EC78BB"/>
    <w:rsid w:val="57F549C2"/>
    <w:rsid w:val="57FE314A"/>
    <w:rsid w:val="58010F61"/>
    <w:rsid w:val="58033583"/>
    <w:rsid w:val="581A7F84"/>
    <w:rsid w:val="58403763"/>
    <w:rsid w:val="58434227"/>
    <w:rsid w:val="58445001"/>
    <w:rsid w:val="584C2108"/>
    <w:rsid w:val="58550FBC"/>
    <w:rsid w:val="585D2567"/>
    <w:rsid w:val="586C6306"/>
    <w:rsid w:val="58737694"/>
    <w:rsid w:val="587F072F"/>
    <w:rsid w:val="58BA1767"/>
    <w:rsid w:val="58DC49CD"/>
    <w:rsid w:val="591A469F"/>
    <w:rsid w:val="59215342"/>
    <w:rsid w:val="59264A99"/>
    <w:rsid w:val="592941F7"/>
    <w:rsid w:val="592A3C50"/>
    <w:rsid w:val="593B46DD"/>
    <w:rsid w:val="594026BD"/>
    <w:rsid w:val="594159E5"/>
    <w:rsid w:val="59460076"/>
    <w:rsid w:val="595042A3"/>
    <w:rsid w:val="59515D8A"/>
    <w:rsid w:val="595440D5"/>
    <w:rsid w:val="595C637A"/>
    <w:rsid w:val="5960477C"/>
    <w:rsid w:val="596B66F6"/>
    <w:rsid w:val="596D2336"/>
    <w:rsid w:val="596F6178"/>
    <w:rsid w:val="597E4543"/>
    <w:rsid w:val="59A5674B"/>
    <w:rsid w:val="59B166C6"/>
    <w:rsid w:val="59BD150F"/>
    <w:rsid w:val="59C53F20"/>
    <w:rsid w:val="59EC76FE"/>
    <w:rsid w:val="59ED3476"/>
    <w:rsid w:val="5A151F73"/>
    <w:rsid w:val="5A492DA3"/>
    <w:rsid w:val="5A53777D"/>
    <w:rsid w:val="5A56101C"/>
    <w:rsid w:val="5A582FE6"/>
    <w:rsid w:val="5A601E9A"/>
    <w:rsid w:val="5AA77AC9"/>
    <w:rsid w:val="5AA91A93"/>
    <w:rsid w:val="5ABD109B"/>
    <w:rsid w:val="5ABE4B07"/>
    <w:rsid w:val="5AC266B1"/>
    <w:rsid w:val="5AE44879"/>
    <w:rsid w:val="5AFA409D"/>
    <w:rsid w:val="5AFA5E4B"/>
    <w:rsid w:val="5B1769FD"/>
    <w:rsid w:val="5B2D6220"/>
    <w:rsid w:val="5B321A89"/>
    <w:rsid w:val="5B386973"/>
    <w:rsid w:val="5B4A6DD2"/>
    <w:rsid w:val="5B4E6197"/>
    <w:rsid w:val="5B657EA9"/>
    <w:rsid w:val="5B751975"/>
    <w:rsid w:val="5B8147BE"/>
    <w:rsid w:val="5B920779"/>
    <w:rsid w:val="5BA555B3"/>
    <w:rsid w:val="5BB47AC3"/>
    <w:rsid w:val="5BB74B2C"/>
    <w:rsid w:val="5BD41E6E"/>
    <w:rsid w:val="5BDB7A2A"/>
    <w:rsid w:val="5BEA2363"/>
    <w:rsid w:val="5BEA5EBF"/>
    <w:rsid w:val="5BEF1728"/>
    <w:rsid w:val="5BF64864"/>
    <w:rsid w:val="5BFD3E45"/>
    <w:rsid w:val="5C224D46"/>
    <w:rsid w:val="5C2869E8"/>
    <w:rsid w:val="5C2C64D8"/>
    <w:rsid w:val="5C381321"/>
    <w:rsid w:val="5C3A6E47"/>
    <w:rsid w:val="5C3B1922"/>
    <w:rsid w:val="5C4F5402"/>
    <w:rsid w:val="5C5069F0"/>
    <w:rsid w:val="5C537F09"/>
    <w:rsid w:val="5C5477DD"/>
    <w:rsid w:val="5C5E2B95"/>
    <w:rsid w:val="5C7A1E91"/>
    <w:rsid w:val="5C8C6F77"/>
    <w:rsid w:val="5CA40764"/>
    <w:rsid w:val="5CAB5170"/>
    <w:rsid w:val="5CBD5382"/>
    <w:rsid w:val="5CCA5724"/>
    <w:rsid w:val="5CE62B2B"/>
    <w:rsid w:val="5CE70651"/>
    <w:rsid w:val="5CEE5E83"/>
    <w:rsid w:val="5D290C69"/>
    <w:rsid w:val="5D292A17"/>
    <w:rsid w:val="5D6972B8"/>
    <w:rsid w:val="5D706822"/>
    <w:rsid w:val="5D7F6ADB"/>
    <w:rsid w:val="5DAD53F7"/>
    <w:rsid w:val="5DB42C29"/>
    <w:rsid w:val="5DB669A1"/>
    <w:rsid w:val="5DBD1FCA"/>
    <w:rsid w:val="5DC0337C"/>
    <w:rsid w:val="5E084D23"/>
    <w:rsid w:val="5E092890"/>
    <w:rsid w:val="5E192A8C"/>
    <w:rsid w:val="5E1C432A"/>
    <w:rsid w:val="5E257683"/>
    <w:rsid w:val="5E282CCF"/>
    <w:rsid w:val="5E3A2E3F"/>
    <w:rsid w:val="5E510478"/>
    <w:rsid w:val="5E524438"/>
    <w:rsid w:val="5E714676"/>
    <w:rsid w:val="5E8425FB"/>
    <w:rsid w:val="5E8C6F99"/>
    <w:rsid w:val="5EAA0273"/>
    <w:rsid w:val="5ECF75EF"/>
    <w:rsid w:val="5ED54C05"/>
    <w:rsid w:val="5EF2352E"/>
    <w:rsid w:val="5EF57055"/>
    <w:rsid w:val="5EF763C6"/>
    <w:rsid w:val="5EFD0600"/>
    <w:rsid w:val="5F08322C"/>
    <w:rsid w:val="5F4E6765"/>
    <w:rsid w:val="5F5D7160"/>
    <w:rsid w:val="5F714A4F"/>
    <w:rsid w:val="5F7408C2"/>
    <w:rsid w:val="5F887EC9"/>
    <w:rsid w:val="5F893C41"/>
    <w:rsid w:val="5F8B79B9"/>
    <w:rsid w:val="5F97010C"/>
    <w:rsid w:val="5FB23198"/>
    <w:rsid w:val="5FB46F10"/>
    <w:rsid w:val="5FB90FB7"/>
    <w:rsid w:val="5FC30058"/>
    <w:rsid w:val="5FF27A39"/>
    <w:rsid w:val="5FFB0081"/>
    <w:rsid w:val="5FFE1F39"/>
    <w:rsid w:val="60060FEE"/>
    <w:rsid w:val="600A2554"/>
    <w:rsid w:val="60462E90"/>
    <w:rsid w:val="60571E01"/>
    <w:rsid w:val="606F72DB"/>
    <w:rsid w:val="60786190"/>
    <w:rsid w:val="608368E3"/>
    <w:rsid w:val="60924A0D"/>
    <w:rsid w:val="60A07495"/>
    <w:rsid w:val="60A30D33"/>
    <w:rsid w:val="60A96349"/>
    <w:rsid w:val="60AE00AB"/>
    <w:rsid w:val="60B31391"/>
    <w:rsid w:val="60C2740B"/>
    <w:rsid w:val="60C82547"/>
    <w:rsid w:val="60E2667E"/>
    <w:rsid w:val="612706F9"/>
    <w:rsid w:val="612945BF"/>
    <w:rsid w:val="61530A39"/>
    <w:rsid w:val="617E77D6"/>
    <w:rsid w:val="6183303E"/>
    <w:rsid w:val="61923281"/>
    <w:rsid w:val="61926DDD"/>
    <w:rsid w:val="619F1863"/>
    <w:rsid w:val="61AC3CD1"/>
    <w:rsid w:val="61CB22EF"/>
    <w:rsid w:val="61DF3FED"/>
    <w:rsid w:val="61FE695C"/>
    <w:rsid w:val="621912AD"/>
    <w:rsid w:val="62326812"/>
    <w:rsid w:val="62571DD5"/>
    <w:rsid w:val="625B7377"/>
    <w:rsid w:val="6278019C"/>
    <w:rsid w:val="628C1A7E"/>
    <w:rsid w:val="629A628A"/>
    <w:rsid w:val="629B7F14"/>
    <w:rsid w:val="62A96AD4"/>
    <w:rsid w:val="62AE40EB"/>
    <w:rsid w:val="62B2525D"/>
    <w:rsid w:val="62B40FD5"/>
    <w:rsid w:val="62C0797A"/>
    <w:rsid w:val="62E95123"/>
    <w:rsid w:val="62FB09B2"/>
    <w:rsid w:val="62FE04A2"/>
    <w:rsid w:val="63001694"/>
    <w:rsid w:val="63185A08"/>
    <w:rsid w:val="631D29EB"/>
    <w:rsid w:val="633C6169"/>
    <w:rsid w:val="637A3FCD"/>
    <w:rsid w:val="63822EAD"/>
    <w:rsid w:val="638440D9"/>
    <w:rsid w:val="638C7755"/>
    <w:rsid w:val="639B1A12"/>
    <w:rsid w:val="63B70D7D"/>
    <w:rsid w:val="63BC45E5"/>
    <w:rsid w:val="63D23E09"/>
    <w:rsid w:val="63EA73A4"/>
    <w:rsid w:val="63F773CC"/>
    <w:rsid w:val="64055F8C"/>
    <w:rsid w:val="64300F47"/>
    <w:rsid w:val="64483336"/>
    <w:rsid w:val="644F0FB6"/>
    <w:rsid w:val="646C600B"/>
    <w:rsid w:val="646F3406"/>
    <w:rsid w:val="64942E6C"/>
    <w:rsid w:val="64AE53F9"/>
    <w:rsid w:val="64D63485"/>
    <w:rsid w:val="64E35BA2"/>
    <w:rsid w:val="64EC2CA8"/>
    <w:rsid w:val="65085608"/>
    <w:rsid w:val="65091AAC"/>
    <w:rsid w:val="650F7082"/>
    <w:rsid w:val="65110961"/>
    <w:rsid w:val="6518767F"/>
    <w:rsid w:val="65362175"/>
    <w:rsid w:val="65385EEE"/>
    <w:rsid w:val="65393A14"/>
    <w:rsid w:val="656767D3"/>
    <w:rsid w:val="65712B94"/>
    <w:rsid w:val="657A02B4"/>
    <w:rsid w:val="65801643"/>
    <w:rsid w:val="65956E9C"/>
    <w:rsid w:val="659858FD"/>
    <w:rsid w:val="6598698C"/>
    <w:rsid w:val="65A13CC9"/>
    <w:rsid w:val="65AA25C1"/>
    <w:rsid w:val="65E120E1"/>
    <w:rsid w:val="65F91B21"/>
    <w:rsid w:val="660364FC"/>
    <w:rsid w:val="660D737A"/>
    <w:rsid w:val="661E2CB4"/>
    <w:rsid w:val="661E3335"/>
    <w:rsid w:val="662621EA"/>
    <w:rsid w:val="662C6800"/>
    <w:rsid w:val="6632293D"/>
    <w:rsid w:val="664E603D"/>
    <w:rsid w:val="666F1DE3"/>
    <w:rsid w:val="667B2536"/>
    <w:rsid w:val="667D1E28"/>
    <w:rsid w:val="66A870A3"/>
    <w:rsid w:val="66AD46B9"/>
    <w:rsid w:val="66B141AA"/>
    <w:rsid w:val="66CD4D5B"/>
    <w:rsid w:val="66DD6797"/>
    <w:rsid w:val="66ED4AB6"/>
    <w:rsid w:val="66F66060"/>
    <w:rsid w:val="66F67E0E"/>
    <w:rsid w:val="670818F0"/>
    <w:rsid w:val="671D183F"/>
    <w:rsid w:val="67293782"/>
    <w:rsid w:val="675114E9"/>
    <w:rsid w:val="675863D3"/>
    <w:rsid w:val="6759039D"/>
    <w:rsid w:val="679703E1"/>
    <w:rsid w:val="67984F00"/>
    <w:rsid w:val="67A61834"/>
    <w:rsid w:val="67A965FC"/>
    <w:rsid w:val="67D57BA6"/>
    <w:rsid w:val="68336E40"/>
    <w:rsid w:val="683926A8"/>
    <w:rsid w:val="683F3A37"/>
    <w:rsid w:val="68537CAF"/>
    <w:rsid w:val="685F3791"/>
    <w:rsid w:val="68725BBA"/>
    <w:rsid w:val="68776D2D"/>
    <w:rsid w:val="687A4A6F"/>
    <w:rsid w:val="68B079A5"/>
    <w:rsid w:val="68B71C9D"/>
    <w:rsid w:val="68BB30BE"/>
    <w:rsid w:val="68D218D6"/>
    <w:rsid w:val="68D45F2D"/>
    <w:rsid w:val="68DF62EE"/>
    <w:rsid w:val="68E24AEE"/>
    <w:rsid w:val="68EA5751"/>
    <w:rsid w:val="68EF4B15"/>
    <w:rsid w:val="68F570FB"/>
    <w:rsid w:val="69197DE4"/>
    <w:rsid w:val="6920290F"/>
    <w:rsid w:val="69456E2B"/>
    <w:rsid w:val="69531548"/>
    <w:rsid w:val="696F3EA8"/>
    <w:rsid w:val="69731BEA"/>
    <w:rsid w:val="69790883"/>
    <w:rsid w:val="697A2F79"/>
    <w:rsid w:val="698C6808"/>
    <w:rsid w:val="69A47FF6"/>
    <w:rsid w:val="6A102F95"/>
    <w:rsid w:val="6A242EE4"/>
    <w:rsid w:val="6A2922A9"/>
    <w:rsid w:val="6A4415E9"/>
    <w:rsid w:val="6A5D1F52"/>
    <w:rsid w:val="6A7C062B"/>
    <w:rsid w:val="6A8D0A8A"/>
    <w:rsid w:val="6A9736B6"/>
    <w:rsid w:val="6AAB0F10"/>
    <w:rsid w:val="6ACC55B0"/>
    <w:rsid w:val="6ACD70D8"/>
    <w:rsid w:val="6AE12B83"/>
    <w:rsid w:val="6AEA7C8A"/>
    <w:rsid w:val="6AF12F2B"/>
    <w:rsid w:val="6B054AC4"/>
    <w:rsid w:val="6B1E7934"/>
    <w:rsid w:val="6B225676"/>
    <w:rsid w:val="6B422808"/>
    <w:rsid w:val="6B476E8A"/>
    <w:rsid w:val="6B4B5217"/>
    <w:rsid w:val="6B543355"/>
    <w:rsid w:val="6B680BAF"/>
    <w:rsid w:val="6B6F1F3D"/>
    <w:rsid w:val="6B8A1717"/>
    <w:rsid w:val="6B8C6F93"/>
    <w:rsid w:val="6B99345E"/>
    <w:rsid w:val="6BAD273F"/>
    <w:rsid w:val="6BBB1626"/>
    <w:rsid w:val="6BC56001"/>
    <w:rsid w:val="6BCA186A"/>
    <w:rsid w:val="6BCC7390"/>
    <w:rsid w:val="6BCE3108"/>
    <w:rsid w:val="6BD36970"/>
    <w:rsid w:val="6BD526E8"/>
    <w:rsid w:val="6C17069E"/>
    <w:rsid w:val="6C2225DD"/>
    <w:rsid w:val="6C29013E"/>
    <w:rsid w:val="6C301153"/>
    <w:rsid w:val="6C6B0957"/>
    <w:rsid w:val="6C6B7B5E"/>
    <w:rsid w:val="6C832144"/>
    <w:rsid w:val="6C845EBC"/>
    <w:rsid w:val="6C89702F"/>
    <w:rsid w:val="6C9D0D2C"/>
    <w:rsid w:val="6C9D6EE8"/>
    <w:rsid w:val="6CC265FC"/>
    <w:rsid w:val="6CD504C6"/>
    <w:rsid w:val="6CD52274"/>
    <w:rsid w:val="6CF92406"/>
    <w:rsid w:val="6CFC3CA5"/>
    <w:rsid w:val="6CFC5A53"/>
    <w:rsid w:val="6CFE5C6F"/>
    <w:rsid w:val="6D050DAB"/>
    <w:rsid w:val="6D147240"/>
    <w:rsid w:val="6D196605"/>
    <w:rsid w:val="6D21370B"/>
    <w:rsid w:val="6D3B18E0"/>
    <w:rsid w:val="6D57537F"/>
    <w:rsid w:val="6D5B6C1D"/>
    <w:rsid w:val="6D6D4BA2"/>
    <w:rsid w:val="6D77332B"/>
    <w:rsid w:val="6D8B5ABC"/>
    <w:rsid w:val="6D8E2AD7"/>
    <w:rsid w:val="6D940381"/>
    <w:rsid w:val="6D9C3AFC"/>
    <w:rsid w:val="6DAC1227"/>
    <w:rsid w:val="6DB63E53"/>
    <w:rsid w:val="6DB97DE8"/>
    <w:rsid w:val="6DBB76BC"/>
    <w:rsid w:val="6DC04CD2"/>
    <w:rsid w:val="6DD15131"/>
    <w:rsid w:val="6DD469CF"/>
    <w:rsid w:val="6DF66946"/>
    <w:rsid w:val="6E14209A"/>
    <w:rsid w:val="6E22773B"/>
    <w:rsid w:val="6E443B55"/>
    <w:rsid w:val="6E4E6782"/>
    <w:rsid w:val="6E5B2C4D"/>
    <w:rsid w:val="6E6164B5"/>
    <w:rsid w:val="6E720128"/>
    <w:rsid w:val="6E7F046B"/>
    <w:rsid w:val="6E9F4B86"/>
    <w:rsid w:val="6EA168B2"/>
    <w:rsid w:val="6EB02F99"/>
    <w:rsid w:val="6EB72460"/>
    <w:rsid w:val="6EB74327"/>
    <w:rsid w:val="6EB8556A"/>
    <w:rsid w:val="6EBC36EB"/>
    <w:rsid w:val="6EEE4901"/>
    <w:rsid w:val="6EEE586F"/>
    <w:rsid w:val="6EF72976"/>
    <w:rsid w:val="6F064E06"/>
    <w:rsid w:val="6F094457"/>
    <w:rsid w:val="6F176B74"/>
    <w:rsid w:val="6F35349E"/>
    <w:rsid w:val="6F360C58"/>
    <w:rsid w:val="6F370FC4"/>
    <w:rsid w:val="6F614293"/>
    <w:rsid w:val="6F636421"/>
    <w:rsid w:val="6F6B5112"/>
    <w:rsid w:val="6F6E6EC3"/>
    <w:rsid w:val="6F7264A0"/>
    <w:rsid w:val="6F765F90"/>
    <w:rsid w:val="6F9401C4"/>
    <w:rsid w:val="6FB915A7"/>
    <w:rsid w:val="6FC14D32"/>
    <w:rsid w:val="6FCD1928"/>
    <w:rsid w:val="6FD902CD"/>
    <w:rsid w:val="6FDD39BA"/>
    <w:rsid w:val="6FDE58E3"/>
    <w:rsid w:val="6FE61F3E"/>
    <w:rsid w:val="70161521"/>
    <w:rsid w:val="701914D7"/>
    <w:rsid w:val="701C6FC8"/>
    <w:rsid w:val="702F613F"/>
    <w:rsid w:val="703244E4"/>
    <w:rsid w:val="705636CC"/>
    <w:rsid w:val="70720586"/>
    <w:rsid w:val="70875F7B"/>
    <w:rsid w:val="70897150"/>
    <w:rsid w:val="70F96E79"/>
    <w:rsid w:val="714A76D4"/>
    <w:rsid w:val="71656047"/>
    <w:rsid w:val="716D5171"/>
    <w:rsid w:val="718F158B"/>
    <w:rsid w:val="71A010A2"/>
    <w:rsid w:val="71A242CB"/>
    <w:rsid w:val="71C8684B"/>
    <w:rsid w:val="71CF732E"/>
    <w:rsid w:val="71DC40A5"/>
    <w:rsid w:val="71DD22F7"/>
    <w:rsid w:val="71E116BB"/>
    <w:rsid w:val="71F4319C"/>
    <w:rsid w:val="71FC75D1"/>
    <w:rsid w:val="71FE04BF"/>
    <w:rsid w:val="720D49AF"/>
    <w:rsid w:val="720F7FD6"/>
    <w:rsid w:val="72121874"/>
    <w:rsid w:val="72181F15"/>
    <w:rsid w:val="722021E3"/>
    <w:rsid w:val="7229553C"/>
    <w:rsid w:val="72323CC5"/>
    <w:rsid w:val="726F7FB0"/>
    <w:rsid w:val="72A46970"/>
    <w:rsid w:val="72AD3E9C"/>
    <w:rsid w:val="72B50B7E"/>
    <w:rsid w:val="72BB0EC2"/>
    <w:rsid w:val="72C62D8B"/>
    <w:rsid w:val="72EE22E1"/>
    <w:rsid w:val="72FD2525"/>
    <w:rsid w:val="73107C5C"/>
    <w:rsid w:val="732D2E0A"/>
    <w:rsid w:val="732E0930"/>
    <w:rsid w:val="732E65A4"/>
    <w:rsid w:val="73335F46"/>
    <w:rsid w:val="73373C88"/>
    <w:rsid w:val="735C7C30"/>
    <w:rsid w:val="73661E78"/>
    <w:rsid w:val="73697BBA"/>
    <w:rsid w:val="73775E2C"/>
    <w:rsid w:val="73A155A6"/>
    <w:rsid w:val="73A86934"/>
    <w:rsid w:val="73B13A3B"/>
    <w:rsid w:val="73B250BD"/>
    <w:rsid w:val="73B40E35"/>
    <w:rsid w:val="73B61051"/>
    <w:rsid w:val="73B70925"/>
    <w:rsid w:val="73BB6668"/>
    <w:rsid w:val="73C365CB"/>
    <w:rsid w:val="73D414D7"/>
    <w:rsid w:val="73EA4857"/>
    <w:rsid w:val="73F6144E"/>
    <w:rsid w:val="742023C5"/>
    <w:rsid w:val="743D52CE"/>
    <w:rsid w:val="7443670B"/>
    <w:rsid w:val="74534AF2"/>
    <w:rsid w:val="745B7503"/>
    <w:rsid w:val="748D1686"/>
    <w:rsid w:val="74933140"/>
    <w:rsid w:val="749649DF"/>
    <w:rsid w:val="74AE3AD6"/>
    <w:rsid w:val="74B80A8E"/>
    <w:rsid w:val="751122B7"/>
    <w:rsid w:val="75157FF9"/>
    <w:rsid w:val="751759A6"/>
    <w:rsid w:val="75387844"/>
    <w:rsid w:val="75431C52"/>
    <w:rsid w:val="75644ADD"/>
    <w:rsid w:val="75674604"/>
    <w:rsid w:val="756920F3"/>
    <w:rsid w:val="756B5E6B"/>
    <w:rsid w:val="756C4E37"/>
    <w:rsid w:val="756D0E75"/>
    <w:rsid w:val="75755831"/>
    <w:rsid w:val="75866801"/>
    <w:rsid w:val="758807CB"/>
    <w:rsid w:val="75937E8D"/>
    <w:rsid w:val="75D51537"/>
    <w:rsid w:val="75DF5F11"/>
    <w:rsid w:val="75E35A02"/>
    <w:rsid w:val="75E654F2"/>
    <w:rsid w:val="762027B2"/>
    <w:rsid w:val="762108D3"/>
    <w:rsid w:val="76312C11"/>
    <w:rsid w:val="763224E5"/>
    <w:rsid w:val="76361FD5"/>
    <w:rsid w:val="764364A0"/>
    <w:rsid w:val="76505878"/>
    <w:rsid w:val="765406AD"/>
    <w:rsid w:val="76790114"/>
    <w:rsid w:val="76794AF8"/>
    <w:rsid w:val="76850C08"/>
    <w:rsid w:val="76BB24DB"/>
    <w:rsid w:val="76C84BF7"/>
    <w:rsid w:val="76D67314"/>
    <w:rsid w:val="76DF266D"/>
    <w:rsid w:val="770B3462"/>
    <w:rsid w:val="7711659E"/>
    <w:rsid w:val="771B11CB"/>
    <w:rsid w:val="7722255A"/>
    <w:rsid w:val="77274014"/>
    <w:rsid w:val="772E2227"/>
    <w:rsid w:val="77302EC9"/>
    <w:rsid w:val="7731279D"/>
    <w:rsid w:val="77533CC6"/>
    <w:rsid w:val="775748F9"/>
    <w:rsid w:val="775D4510"/>
    <w:rsid w:val="7760252B"/>
    <w:rsid w:val="776058DA"/>
    <w:rsid w:val="77626DFA"/>
    <w:rsid w:val="777032C5"/>
    <w:rsid w:val="777803CC"/>
    <w:rsid w:val="777D1E86"/>
    <w:rsid w:val="77905715"/>
    <w:rsid w:val="779276DF"/>
    <w:rsid w:val="77F40160"/>
    <w:rsid w:val="780600CD"/>
    <w:rsid w:val="781D568D"/>
    <w:rsid w:val="78342545"/>
    <w:rsid w:val="78362F6D"/>
    <w:rsid w:val="78412EB3"/>
    <w:rsid w:val="78627545"/>
    <w:rsid w:val="78632E2A"/>
    <w:rsid w:val="78654665"/>
    <w:rsid w:val="78654DF4"/>
    <w:rsid w:val="787B0173"/>
    <w:rsid w:val="789C661D"/>
    <w:rsid w:val="78A23952"/>
    <w:rsid w:val="78B95140"/>
    <w:rsid w:val="78E0447A"/>
    <w:rsid w:val="78EF46BD"/>
    <w:rsid w:val="78F63C9E"/>
    <w:rsid w:val="790740FD"/>
    <w:rsid w:val="791660EE"/>
    <w:rsid w:val="791D122B"/>
    <w:rsid w:val="791F31F5"/>
    <w:rsid w:val="793F5645"/>
    <w:rsid w:val="794E7636"/>
    <w:rsid w:val="797F1EE5"/>
    <w:rsid w:val="79892D64"/>
    <w:rsid w:val="798B088A"/>
    <w:rsid w:val="798B2638"/>
    <w:rsid w:val="798E037A"/>
    <w:rsid w:val="79960FDD"/>
    <w:rsid w:val="79997202"/>
    <w:rsid w:val="799E680F"/>
    <w:rsid w:val="79B0209F"/>
    <w:rsid w:val="79C45B4A"/>
    <w:rsid w:val="7A0D129F"/>
    <w:rsid w:val="7A1B3962"/>
    <w:rsid w:val="7A2111EE"/>
    <w:rsid w:val="7A2A00A3"/>
    <w:rsid w:val="7A2F56B9"/>
    <w:rsid w:val="7A623463"/>
    <w:rsid w:val="7A6D48C0"/>
    <w:rsid w:val="7A6D7F90"/>
    <w:rsid w:val="7A765096"/>
    <w:rsid w:val="7A861051"/>
    <w:rsid w:val="7A974046"/>
    <w:rsid w:val="7A97500D"/>
    <w:rsid w:val="7A9A4854"/>
    <w:rsid w:val="7AB931D5"/>
    <w:rsid w:val="7ABA14EE"/>
    <w:rsid w:val="7AC53928"/>
    <w:rsid w:val="7AC878BC"/>
    <w:rsid w:val="7ACA7190"/>
    <w:rsid w:val="7B007056"/>
    <w:rsid w:val="7B02692A"/>
    <w:rsid w:val="7B0F72C3"/>
    <w:rsid w:val="7B114DBF"/>
    <w:rsid w:val="7B2368A0"/>
    <w:rsid w:val="7B5B428C"/>
    <w:rsid w:val="7B887EC5"/>
    <w:rsid w:val="7B897961"/>
    <w:rsid w:val="7B914152"/>
    <w:rsid w:val="7BB17EFC"/>
    <w:rsid w:val="7BB5399C"/>
    <w:rsid w:val="7BC60184"/>
    <w:rsid w:val="7BD25CB0"/>
    <w:rsid w:val="7BD5403F"/>
    <w:rsid w:val="7BDD2EF3"/>
    <w:rsid w:val="7BE73A8B"/>
    <w:rsid w:val="7BF471EA"/>
    <w:rsid w:val="7C011556"/>
    <w:rsid w:val="7C18217D"/>
    <w:rsid w:val="7C346F6A"/>
    <w:rsid w:val="7C3C40BE"/>
    <w:rsid w:val="7C4736B1"/>
    <w:rsid w:val="7C4C3220"/>
    <w:rsid w:val="7C4F37CE"/>
    <w:rsid w:val="7C507B69"/>
    <w:rsid w:val="7C596A1E"/>
    <w:rsid w:val="7C5E2286"/>
    <w:rsid w:val="7C701FB9"/>
    <w:rsid w:val="7C817D22"/>
    <w:rsid w:val="7C857813"/>
    <w:rsid w:val="7C99506C"/>
    <w:rsid w:val="7CD24A22"/>
    <w:rsid w:val="7CEA1D6C"/>
    <w:rsid w:val="7CF61768"/>
    <w:rsid w:val="7D080444"/>
    <w:rsid w:val="7D0B583E"/>
    <w:rsid w:val="7D0C7F34"/>
    <w:rsid w:val="7D0E5A5A"/>
    <w:rsid w:val="7D2C5EE0"/>
    <w:rsid w:val="7D360B0D"/>
    <w:rsid w:val="7D406A1E"/>
    <w:rsid w:val="7D494CE4"/>
    <w:rsid w:val="7D4D4616"/>
    <w:rsid w:val="7D5A0C9F"/>
    <w:rsid w:val="7D637428"/>
    <w:rsid w:val="7D6F2271"/>
    <w:rsid w:val="7D741635"/>
    <w:rsid w:val="7D823D52"/>
    <w:rsid w:val="7D851A94"/>
    <w:rsid w:val="7D965A4F"/>
    <w:rsid w:val="7DA95783"/>
    <w:rsid w:val="7DB3326F"/>
    <w:rsid w:val="7DCB56F9"/>
    <w:rsid w:val="7DF34C50"/>
    <w:rsid w:val="7DFC1D56"/>
    <w:rsid w:val="7E0D00F2"/>
    <w:rsid w:val="7E1846B6"/>
    <w:rsid w:val="7E1A21DD"/>
    <w:rsid w:val="7E3037AE"/>
    <w:rsid w:val="7E3A287F"/>
    <w:rsid w:val="7E3F2540"/>
    <w:rsid w:val="7E486D4A"/>
    <w:rsid w:val="7E5F22E5"/>
    <w:rsid w:val="7E6B4A0B"/>
    <w:rsid w:val="7E714CEC"/>
    <w:rsid w:val="7E786F03"/>
    <w:rsid w:val="7E7C7B82"/>
    <w:rsid w:val="7E8B4E88"/>
    <w:rsid w:val="7E960CC1"/>
    <w:rsid w:val="7EA36676"/>
    <w:rsid w:val="7EB702F4"/>
    <w:rsid w:val="7ECD724F"/>
    <w:rsid w:val="7ED405DD"/>
    <w:rsid w:val="7ED625A7"/>
    <w:rsid w:val="7EED715E"/>
    <w:rsid w:val="7EFD7F37"/>
    <w:rsid w:val="7F0A2251"/>
    <w:rsid w:val="7F0D3AEF"/>
    <w:rsid w:val="7F17671C"/>
    <w:rsid w:val="7F2271E4"/>
    <w:rsid w:val="7F2D7CEE"/>
    <w:rsid w:val="7F313C82"/>
    <w:rsid w:val="7F4A61E1"/>
    <w:rsid w:val="7F544D8E"/>
    <w:rsid w:val="7F596D35"/>
    <w:rsid w:val="7F5C68C8"/>
    <w:rsid w:val="7F645E05"/>
    <w:rsid w:val="7F743B6E"/>
    <w:rsid w:val="7F8C710A"/>
    <w:rsid w:val="7F967F89"/>
    <w:rsid w:val="7F9935D5"/>
    <w:rsid w:val="7FA51F7A"/>
    <w:rsid w:val="7FB328E9"/>
    <w:rsid w:val="7FC468A4"/>
    <w:rsid w:val="7FD30895"/>
    <w:rsid w:val="7FDD1714"/>
    <w:rsid w:val="7FDD5BB8"/>
    <w:rsid w:val="7FFA22C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nhideWhenUsed="0" w:uiPriority="1"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iPriority="0" w:semiHidden="0" w:name="Normal Indent"/>
    <w:lsdException w:qFormat="1" w:unhideWhenUsed="0" w:uiPriority="0" w:semiHidden="0" w:name="footnote text"/>
    <w:lsdException w:qFormat="1" w:unhideWhenUsed="0" w:uiPriority="0"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qFormat="1" w:uiPriority="99" w:semiHidden="0"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qFormat="1" w:uiPriority="99" w:name="List Number 2"/>
    <w:lsdException w:uiPriority="99" w:name="List Number 3"/>
    <w:lsdException w:uiPriority="99" w:name="List Number 4"/>
    <w:lsdException w:qFormat="1"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99"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qFormat="1"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qFormat="1"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spacing w:line="360" w:lineRule="auto"/>
    </w:pPr>
    <w:rPr>
      <w:rFonts w:ascii="宋体" w:hAnsi="宋体" w:eastAsia="宋体" w:cstheme="minorBidi"/>
      <w:kern w:val="2"/>
      <w:sz w:val="24"/>
      <w:szCs w:val="22"/>
      <w:lang w:val="en-US" w:eastAsia="zh-CN" w:bidi="ar-SA"/>
    </w:rPr>
  </w:style>
  <w:style w:type="paragraph" w:styleId="2">
    <w:name w:val="heading 1"/>
    <w:basedOn w:val="1"/>
    <w:next w:val="1"/>
    <w:link w:val="41"/>
    <w:autoRedefine/>
    <w:qFormat/>
    <w:uiPriority w:val="9"/>
    <w:pPr>
      <w:keepNext/>
      <w:keepLines/>
      <w:spacing w:before="340" w:after="330" w:line="578" w:lineRule="auto"/>
      <w:jc w:val="center"/>
      <w:outlineLvl w:val="0"/>
    </w:pPr>
    <w:rPr>
      <w:rFonts w:eastAsia="黑体"/>
      <w:b/>
      <w:bCs/>
      <w:kern w:val="44"/>
      <w:sz w:val="44"/>
      <w:szCs w:val="44"/>
    </w:rPr>
  </w:style>
  <w:style w:type="paragraph" w:styleId="3">
    <w:name w:val="heading 2"/>
    <w:basedOn w:val="1"/>
    <w:next w:val="1"/>
    <w:link w:val="45"/>
    <w:unhideWhenUsed/>
    <w:qFormat/>
    <w:uiPriority w:val="9"/>
    <w:pPr>
      <w:keepNext/>
      <w:keepLines/>
      <w:spacing w:before="260" w:after="260" w:line="416" w:lineRule="auto"/>
      <w:outlineLvl w:val="1"/>
    </w:pPr>
    <w:rPr>
      <w:rFonts w:asciiTheme="majorHAnsi" w:hAnsiTheme="majorHAnsi" w:cstheme="majorBidi"/>
      <w:b/>
      <w:bCs/>
      <w:sz w:val="32"/>
      <w:szCs w:val="32"/>
    </w:rPr>
  </w:style>
  <w:style w:type="paragraph" w:styleId="4">
    <w:name w:val="heading 3"/>
    <w:basedOn w:val="1"/>
    <w:next w:val="1"/>
    <w:link w:val="48"/>
    <w:autoRedefine/>
    <w:unhideWhenUsed/>
    <w:qFormat/>
    <w:uiPriority w:val="9"/>
    <w:pPr>
      <w:keepNext/>
      <w:keepLines/>
      <w:spacing w:before="260" w:after="260" w:line="416" w:lineRule="auto"/>
      <w:outlineLvl w:val="2"/>
    </w:pPr>
    <w:rPr>
      <w:b/>
      <w:bCs/>
      <w:sz w:val="30"/>
      <w:szCs w:val="32"/>
    </w:rPr>
  </w:style>
  <w:style w:type="paragraph" w:styleId="5">
    <w:name w:val="heading 4"/>
    <w:basedOn w:val="1"/>
    <w:next w:val="1"/>
    <w:link w:val="49"/>
    <w:autoRedefine/>
    <w:unhideWhenUsed/>
    <w:qFormat/>
    <w:uiPriority w:val="9"/>
    <w:pPr>
      <w:keepNext/>
      <w:keepLines/>
      <w:spacing w:before="280" w:after="290" w:line="376" w:lineRule="auto"/>
      <w:outlineLvl w:val="3"/>
    </w:pPr>
    <w:rPr>
      <w:rFonts w:asciiTheme="majorHAnsi" w:hAnsiTheme="majorHAnsi" w:cstheme="majorBidi"/>
      <w:b/>
      <w:bCs/>
      <w:sz w:val="28"/>
      <w:szCs w:val="28"/>
    </w:rPr>
  </w:style>
  <w:style w:type="paragraph" w:styleId="6">
    <w:name w:val="heading 5"/>
    <w:basedOn w:val="7"/>
    <w:next w:val="8"/>
    <w:autoRedefine/>
    <w:qFormat/>
    <w:uiPriority w:val="1"/>
    <w:pPr>
      <w:tabs>
        <w:tab w:val="left" w:pos="780"/>
      </w:tabs>
      <w:ind w:left="638" w:firstLine="561"/>
      <w:outlineLvl w:val="4"/>
    </w:pPr>
    <w:rPr>
      <w:rFonts w:ascii="仿宋" w:hAnsi="仿宋" w:eastAsia="仿宋" w:cs="仿宋"/>
      <w:b/>
      <w:bCs/>
      <w:kern w:val="0"/>
      <w:sz w:val="28"/>
      <w:szCs w:val="28"/>
      <w:lang w:val="zh-CN" w:bidi="zh-CN"/>
    </w:rPr>
  </w:style>
  <w:style w:type="character" w:default="1" w:styleId="33">
    <w:name w:val="Default Paragraph Font"/>
    <w:autoRedefine/>
    <w:semiHidden/>
    <w:unhideWhenUsed/>
    <w:qFormat/>
    <w:uiPriority w:val="1"/>
  </w:style>
  <w:style w:type="table" w:default="1" w:styleId="31">
    <w:name w:val="Normal Table"/>
    <w:autoRedefine/>
    <w:semiHidden/>
    <w:unhideWhenUsed/>
    <w:qFormat/>
    <w:uiPriority w:val="99"/>
    <w:tblPr>
      <w:tblCellMar>
        <w:top w:w="0" w:type="dxa"/>
        <w:left w:w="108" w:type="dxa"/>
        <w:bottom w:w="0" w:type="dxa"/>
        <w:right w:w="108" w:type="dxa"/>
      </w:tblCellMar>
    </w:tblPr>
  </w:style>
  <w:style w:type="paragraph" w:styleId="7">
    <w:name w:val="List Number 2"/>
    <w:basedOn w:val="1"/>
    <w:autoRedefine/>
    <w:semiHidden/>
    <w:unhideWhenUsed/>
    <w:qFormat/>
    <w:uiPriority w:val="99"/>
    <w:pPr>
      <w:numPr>
        <w:ilvl w:val="0"/>
        <w:numId w:val="1"/>
      </w:numPr>
    </w:pPr>
  </w:style>
  <w:style w:type="paragraph" w:styleId="8">
    <w:name w:val="Normal (Web)"/>
    <w:basedOn w:val="1"/>
    <w:autoRedefine/>
    <w:qFormat/>
    <w:uiPriority w:val="99"/>
    <w:pPr>
      <w:widowControl/>
      <w:spacing w:before="100" w:beforeAutospacing="1" w:after="100" w:afterAutospacing="1"/>
    </w:pPr>
    <w:rPr>
      <w:rFonts w:cs="宋体"/>
      <w:color w:val="000000"/>
      <w:kern w:val="0"/>
      <w:szCs w:val="24"/>
    </w:rPr>
  </w:style>
  <w:style w:type="paragraph" w:styleId="9">
    <w:name w:val="toc 7"/>
    <w:basedOn w:val="1"/>
    <w:next w:val="1"/>
    <w:autoRedefine/>
    <w:unhideWhenUsed/>
    <w:qFormat/>
    <w:uiPriority w:val="39"/>
    <w:pPr>
      <w:ind w:left="1440"/>
    </w:pPr>
    <w:rPr>
      <w:rFonts w:asciiTheme="minorHAnsi" w:eastAsiaTheme="minorHAnsi"/>
      <w:sz w:val="18"/>
      <w:szCs w:val="18"/>
    </w:rPr>
  </w:style>
  <w:style w:type="paragraph" w:styleId="10">
    <w:name w:val="Normal Indent"/>
    <w:basedOn w:val="1"/>
    <w:next w:val="1"/>
    <w:autoRedefine/>
    <w:unhideWhenUsed/>
    <w:qFormat/>
    <w:uiPriority w:val="0"/>
    <w:pPr>
      <w:ind w:firstLine="420" w:firstLineChars="200"/>
    </w:pPr>
    <w:rPr>
      <w:rFonts w:ascii="Calibri" w:hAnsi="Calibri"/>
      <w:szCs w:val="22"/>
    </w:rPr>
  </w:style>
  <w:style w:type="paragraph" w:styleId="11">
    <w:name w:val="List Bullet"/>
    <w:basedOn w:val="1"/>
    <w:autoRedefine/>
    <w:unhideWhenUsed/>
    <w:qFormat/>
    <w:uiPriority w:val="99"/>
    <w:pPr>
      <w:tabs>
        <w:tab w:val="left" w:pos="360"/>
        <w:tab w:val="left" w:pos="1134"/>
      </w:tabs>
      <w:spacing w:line="240" w:lineRule="auto"/>
      <w:ind w:left="1134" w:hanging="1134"/>
      <w:contextualSpacing/>
      <w:jc w:val="both"/>
    </w:pPr>
    <w:rPr>
      <w:rFonts w:ascii="Times New Roman" w:hAnsi="Times New Roman" w:cs="Times New Roman"/>
      <w:kern w:val="0"/>
      <w:sz w:val="20"/>
      <w:szCs w:val="20"/>
    </w:rPr>
  </w:style>
  <w:style w:type="paragraph" w:styleId="12">
    <w:name w:val="annotation text"/>
    <w:basedOn w:val="1"/>
    <w:link w:val="46"/>
    <w:autoRedefine/>
    <w:qFormat/>
    <w:uiPriority w:val="0"/>
    <w:pPr>
      <w:spacing w:line="240" w:lineRule="auto"/>
    </w:pPr>
    <w:rPr>
      <w:rFonts w:eastAsiaTheme="minorEastAsia"/>
      <w:sz w:val="21"/>
      <w:szCs w:val="24"/>
    </w:rPr>
  </w:style>
  <w:style w:type="paragraph" w:styleId="13">
    <w:name w:val="Body Text"/>
    <w:basedOn w:val="1"/>
    <w:link w:val="50"/>
    <w:autoRedefine/>
    <w:qFormat/>
    <w:uiPriority w:val="99"/>
    <w:pPr>
      <w:spacing w:after="120" w:line="240" w:lineRule="auto"/>
      <w:jc w:val="both"/>
    </w:pPr>
    <w:rPr>
      <w:rFonts w:eastAsiaTheme="minorEastAsia"/>
      <w:sz w:val="21"/>
      <w:szCs w:val="24"/>
    </w:rPr>
  </w:style>
  <w:style w:type="paragraph" w:styleId="14">
    <w:name w:val="Body Text Indent"/>
    <w:basedOn w:val="1"/>
    <w:autoRedefine/>
    <w:unhideWhenUsed/>
    <w:qFormat/>
    <w:uiPriority w:val="0"/>
    <w:pPr>
      <w:ind w:firstLine="630"/>
    </w:pPr>
    <w:rPr>
      <w:rFonts w:eastAsia="仿宋_GB2312"/>
      <w:kern w:val="0"/>
      <w:sz w:val="32"/>
      <w:szCs w:val="20"/>
    </w:rPr>
  </w:style>
  <w:style w:type="paragraph" w:styleId="15">
    <w:name w:val="toc 5"/>
    <w:basedOn w:val="1"/>
    <w:next w:val="1"/>
    <w:autoRedefine/>
    <w:unhideWhenUsed/>
    <w:qFormat/>
    <w:uiPriority w:val="39"/>
    <w:pPr>
      <w:ind w:left="960"/>
    </w:pPr>
    <w:rPr>
      <w:rFonts w:asciiTheme="minorHAnsi" w:eastAsiaTheme="minorHAnsi"/>
      <w:sz w:val="18"/>
      <w:szCs w:val="18"/>
    </w:rPr>
  </w:style>
  <w:style w:type="paragraph" w:styleId="16">
    <w:name w:val="toc 3"/>
    <w:basedOn w:val="1"/>
    <w:next w:val="1"/>
    <w:autoRedefine/>
    <w:unhideWhenUsed/>
    <w:qFormat/>
    <w:uiPriority w:val="39"/>
    <w:pPr>
      <w:ind w:left="480"/>
    </w:pPr>
    <w:rPr>
      <w:rFonts w:asciiTheme="minorHAnsi" w:eastAsiaTheme="minorHAnsi"/>
      <w:i/>
      <w:iCs/>
      <w:sz w:val="20"/>
      <w:szCs w:val="20"/>
    </w:rPr>
  </w:style>
  <w:style w:type="paragraph" w:styleId="17">
    <w:name w:val="Plain Text"/>
    <w:basedOn w:val="1"/>
    <w:autoRedefine/>
    <w:unhideWhenUsed/>
    <w:qFormat/>
    <w:uiPriority w:val="0"/>
    <w:rPr>
      <w:rFonts w:ascii="宋体" w:hAnsi="Courier New"/>
      <w:kern w:val="0"/>
      <w:sz w:val="20"/>
      <w:szCs w:val="20"/>
    </w:rPr>
  </w:style>
  <w:style w:type="paragraph" w:styleId="18">
    <w:name w:val="toc 8"/>
    <w:basedOn w:val="1"/>
    <w:next w:val="1"/>
    <w:autoRedefine/>
    <w:unhideWhenUsed/>
    <w:qFormat/>
    <w:uiPriority w:val="39"/>
    <w:pPr>
      <w:ind w:left="1680"/>
    </w:pPr>
    <w:rPr>
      <w:rFonts w:asciiTheme="minorHAnsi" w:eastAsiaTheme="minorHAnsi"/>
      <w:sz w:val="18"/>
      <w:szCs w:val="18"/>
    </w:rPr>
  </w:style>
  <w:style w:type="paragraph" w:styleId="19">
    <w:name w:val="footer"/>
    <w:basedOn w:val="1"/>
    <w:link w:val="44"/>
    <w:autoRedefine/>
    <w:unhideWhenUsed/>
    <w:qFormat/>
    <w:uiPriority w:val="99"/>
    <w:pPr>
      <w:tabs>
        <w:tab w:val="center" w:pos="4153"/>
        <w:tab w:val="right" w:pos="8306"/>
      </w:tabs>
      <w:snapToGrid w:val="0"/>
      <w:spacing w:line="240" w:lineRule="auto"/>
    </w:pPr>
    <w:rPr>
      <w:sz w:val="18"/>
      <w:szCs w:val="18"/>
    </w:rPr>
  </w:style>
  <w:style w:type="paragraph" w:styleId="20">
    <w:name w:val="header"/>
    <w:basedOn w:val="1"/>
    <w:link w:val="43"/>
    <w:autoRedefine/>
    <w:unhideWhenUsed/>
    <w:qFormat/>
    <w:uiPriority w:val="99"/>
    <w:pPr>
      <w:pBdr>
        <w:bottom w:val="single" w:color="auto" w:sz="6" w:space="1"/>
      </w:pBdr>
      <w:tabs>
        <w:tab w:val="center" w:pos="4153"/>
        <w:tab w:val="right" w:pos="8306"/>
      </w:tabs>
      <w:snapToGrid w:val="0"/>
      <w:spacing w:line="240" w:lineRule="auto"/>
      <w:jc w:val="center"/>
    </w:pPr>
    <w:rPr>
      <w:sz w:val="18"/>
      <w:szCs w:val="18"/>
    </w:rPr>
  </w:style>
  <w:style w:type="paragraph" w:styleId="21">
    <w:name w:val="toc 1"/>
    <w:basedOn w:val="1"/>
    <w:next w:val="1"/>
    <w:autoRedefine/>
    <w:unhideWhenUsed/>
    <w:qFormat/>
    <w:uiPriority w:val="39"/>
    <w:pPr>
      <w:spacing w:before="120" w:after="120"/>
    </w:pPr>
    <w:rPr>
      <w:rFonts w:asciiTheme="minorHAnsi" w:eastAsiaTheme="minorHAnsi"/>
      <w:b/>
      <w:bCs/>
      <w:caps/>
      <w:sz w:val="20"/>
      <w:szCs w:val="20"/>
    </w:rPr>
  </w:style>
  <w:style w:type="paragraph" w:styleId="22">
    <w:name w:val="toc 4"/>
    <w:basedOn w:val="1"/>
    <w:next w:val="1"/>
    <w:autoRedefine/>
    <w:unhideWhenUsed/>
    <w:qFormat/>
    <w:uiPriority w:val="39"/>
    <w:pPr>
      <w:ind w:left="720"/>
    </w:pPr>
    <w:rPr>
      <w:rFonts w:asciiTheme="minorHAnsi" w:eastAsiaTheme="minorHAnsi"/>
      <w:sz w:val="18"/>
      <w:szCs w:val="18"/>
    </w:rPr>
  </w:style>
  <w:style w:type="paragraph" w:styleId="23">
    <w:name w:val="List Number 5"/>
    <w:basedOn w:val="1"/>
    <w:semiHidden/>
    <w:unhideWhenUsed/>
    <w:qFormat/>
    <w:uiPriority w:val="99"/>
    <w:pPr>
      <w:numPr>
        <w:ilvl w:val="0"/>
        <w:numId w:val="2"/>
      </w:numPr>
    </w:pPr>
  </w:style>
  <w:style w:type="paragraph" w:styleId="24">
    <w:name w:val="footnote text"/>
    <w:basedOn w:val="1"/>
    <w:qFormat/>
    <w:uiPriority w:val="0"/>
    <w:pPr>
      <w:widowControl/>
      <w:jc w:val="left"/>
    </w:pPr>
    <w:rPr>
      <w:kern w:val="0"/>
      <w:sz w:val="20"/>
      <w:szCs w:val="20"/>
      <w:lang w:val="de-DE"/>
    </w:rPr>
  </w:style>
  <w:style w:type="paragraph" w:styleId="25">
    <w:name w:val="toc 6"/>
    <w:basedOn w:val="1"/>
    <w:next w:val="1"/>
    <w:autoRedefine/>
    <w:unhideWhenUsed/>
    <w:qFormat/>
    <w:uiPriority w:val="39"/>
    <w:pPr>
      <w:ind w:left="1200"/>
    </w:pPr>
    <w:rPr>
      <w:rFonts w:asciiTheme="minorHAnsi" w:eastAsiaTheme="minorHAnsi"/>
      <w:sz w:val="18"/>
      <w:szCs w:val="18"/>
    </w:rPr>
  </w:style>
  <w:style w:type="paragraph" w:styleId="26">
    <w:name w:val="toc 2"/>
    <w:basedOn w:val="1"/>
    <w:next w:val="1"/>
    <w:autoRedefine/>
    <w:unhideWhenUsed/>
    <w:qFormat/>
    <w:uiPriority w:val="39"/>
    <w:pPr>
      <w:ind w:left="240"/>
    </w:pPr>
    <w:rPr>
      <w:rFonts w:asciiTheme="minorHAnsi" w:eastAsiaTheme="minorHAnsi"/>
      <w:smallCaps/>
      <w:sz w:val="20"/>
      <w:szCs w:val="20"/>
    </w:rPr>
  </w:style>
  <w:style w:type="paragraph" w:styleId="27">
    <w:name w:val="toc 9"/>
    <w:basedOn w:val="1"/>
    <w:next w:val="1"/>
    <w:autoRedefine/>
    <w:unhideWhenUsed/>
    <w:qFormat/>
    <w:uiPriority w:val="39"/>
    <w:pPr>
      <w:ind w:left="1920"/>
    </w:pPr>
    <w:rPr>
      <w:rFonts w:asciiTheme="minorHAnsi" w:eastAsiaTheme="minorHAnsi"/>
      <w:sz w:val="18"/>
      <w:szCs w:val="18"/>
    </w:rPr>
  </w:style>
  <w:style w:type="paragraph" w:styleId="28">
    <w:name w:val="annotation subject"/>
    <w:basedOn w:val="12"/>
    <w:next w:val="12"/>
    <w:link w:val="54"/>
    <w:autoRedefine/>
    <w:semiHidden/>
    <w:unhideWhenUsed/>
    <w:qFormat/>
    <w:uiPriority w:val="99"/>
    <w:pPr>
      <w:spacing w:line="360" w:lineRule="auto"/>
    </w:pPr>
    <w:rPr>
      <w:rFonts w:eastAsia="宋体"/>
      <w:b/>
      <w:bCs/>
      <w:sz w:val="24"/>
      <w:szCs w:val="22"/>
    </w:rPr>
  </w:style>
  <w:style w:type="paragraph" w:styleId="29">
    <w:name w:val="Body Text First Indent"/>
    <w:basedOn w:val="13"/>
    <w:qFormat/>
    <w:uiPriority w:val="99"/>
    <w:pPr>
      <w:spacing w:after="120"/>
      <w:ind w:firstLine="420" w:firstLineChars="100"/>
    </w:pPr>
  </w:style>
  <w:style w:type="paragraph" w:styleId="30">
    <w:name w:val="Body Text First Indent 2"/>
    <w:basedOn w:val="14"/>
    <w:next w:val="1"/>
    <w:autoRedefine/>
    <w:qFormat/>
    <w:uiPriority w:val="0"/>
    <w:pPr>
      <w:snapToGrid/>
      <w:spacing w:after="120" w:line="240" w:lineRule="auto"/>
      <w:ind w:left="420" w:leftChars="200" w:right="0" w:firstLine="420" w:firstLineChars="200"/>
    </w:pPr>
    <w:rPr>
      <w:rFonts w:ascii="Times New Roman" w:eastAsia="宋体"/>
      <w:spacing w:val="0"/>
      <w:sz w:val="21"/>
      <w:szCs w:val="24"/>
    </w:rPr>
  </w:style>
  <w:style w:type="table" w:styleId="32">
    <w:name w:val="Table Grid"/>
    <w:basedOn w:val="31"/>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4">
    <w:name w:val="Strong"/>
    <w:autoRedefine/>
    <w:qFormat/>
    <w:uiPriority w:val="0"/>
    <w:rPr>
      <w:b/>
      <w:bCs/>
    </w:rPr>
  </w:style>
  <w:style w:type="character" w:styleId="35">
    <w:name w:val="page number"/>
    <w:qFormat/>
    <w:uiPriority w:val="0"/>
  </w:style>
  <w:style w:type="character" w:styleId="36">
    <w:name w:val="Hyperlink"/>
    <w:basedOn w:val="33"/>
    <w:autoRedefine/>
    <w:unhideWhenUsed/>
    <w:qFormat/>
    <w:uiPriority w:val="99"/>
    <w:rPr>
      <w:color w:val="0563C1" w:themeColor="hyperlink"/>
      <w:u w:val="single"/>
      <w14:textFill>
        <w14:solidFill>
          <w14:schemeClr w14:val="hlink"/>
        </w14:solidFill>
      </w14:textFill>
    </w:rPr>
  </w:style>
  <w:style w:type="character" w:styleId="37">
    <w:name w:val="annotation reference"/>
    <w:basedOn w:val="33"/>
    <w:autoRedefine/>
    <w:qFormat/>
    <w:uiPriority w:val="0"/>
    <w:rPr>
      <w:sz w:val="21"/>
      <w:szCs w:val="21"/>
    </w:rPr>
  </w:style>
  <w:style w:type="character" w:styleId="38">
    <w:name w:val="HTML Sample"/>
    <w:basedOn w:val="33"/>
    <w:semiHidden/>
    <w:unhideWhenUsed/>
    <w:qFormat/>
    <w:uiPriority w:val="99"/>
    <w:rPr>
      <w:rFonts w:ascii="Courier New" w:hAnsi="Courier New"/>
    </w:rPr>
  </w:style>
  <w:style w:type="paragraph" w:customStyle="1" w:styleId="39">
    <w:name w:val="AONormal"/>
    <w:autoRedefine/>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40">
    <w:name w:val="正文缩进2"/>
    <w:basedOn w:val="1"/>
    <w:autoRedefine/>
    <w:qFormat/>
    <w:uiPriority w:val="0"/>
    <w:pPr>
      <w:wordWrap w:val="0"/>
      <w:ind w:firstLine="480"/>
    </w:pPr>
    <w:rPr>
      <w:iCs/>
      <w:shd w:val="clear" w:color="auto" w:fill="FFFFFF" w:themeFill="background1"/>
      <w:lang w:val="zh-CN"/>
    </w:rPr>
  </w:style>
  <w:style w:type="character" w:customStyle="1" w:styleId="41">
    <w:name w:val="标题 1 字符"/>
    <w:basedOn w:val="33"/>
    <w:link w:val="2"/>
    <w:autoRedefine/>
    <w:qFormat/>
    <w:uiPriority w:val="9"/>
    <w:rPr>
      <w:rFonts w:eastAsia="黑体"/>
      <w:b/>
      <w:bCs/>
      <w:kern w:val="44"/>
      <w:sz w:val="44"/>
      <w:szCs w:val="44"/>
    </w:rPr>
  </w:style>
  <w:style w:type="paragraph" w:styleId="42">
    <w:name w:val="List Paragraph"/>
    <w:basedOn w:val="1"/>
    <w:autoRedefine/>
    <w:qFormat/>
    <w:uiPriority w:val="34"/>
    <w:pPr>
      <w:numPr>
        <w:ilvl w:val="0"/>
        <w:numId w:val="3"/>
      </w:numPr>
    </w:pPr>
  </w:style>
  <w:style w:type="character" w:customStyle="1" w:styleId="43">
    <w:name w:val="页眉 字符"/>
    <w:basedOn w:val="33"/>
    <w:link w:val="20"/>
    <w:autoRedefine/>
    <w:qFormat/>
    <w:uiPriority w:val="99"/>
    <w:rPr>
      <w:rFonts w:eastAsia="宋体"/>
      <w:sz w:val="18"/>
      <w:szCs w:val="18"/>
    </w:rPr>
  </w:style>
  <w:style w:type="character" w:customStyle="1" w:styleId="44">
    <w:name w:val="页脚 字符"/>
    <w:basedOn w:val="33"/>
    <w:link w:val="19"/>
    <w:autoRedefine/>
    <w:qFormat/>
    <w:uiPriority w:val="99"/>
    <w:rPr>
      <w:rFonts w:eastAsia="宋体"/>
      <w:sz w:val="18"/>
      <w:szCs w:val="18"/>
    </w:rPr>
  </w:style>
  <w:style w:type="character" w:customStyle="1" w:styleId="45">
    <w:name w:val="标题 2 字符"/>
    <w:basedOn w:val="33"/>
    <w:link w:val="3"/>
    <w:autoRedefine/>
    <w:qFormat/>
    <w:uiPriority w:val="0"/>
    <w:rPr>
      <w:rFonts w:eastAsia="宋体" w:asciiTheme="majorHAnsi" w:hAnsiTheme="majorHAnsi" w:cstheme="majorBidi"/>
      <w:b/>
      <w:bCs/>
      <w:sz w:val="32"/>
      <w:szCs w:val="32"/>
    </w:rPr>
  </w:style>
  <w:style w:type="character" w:customStyle="1" w:styleId="46">
    <w:name w:val="批注文字 字符"/>
    <w:basedOn w:val="33"/>
    <w:link w:val="12"/>
    <w:autoRedefine/>
    <w:qFormat/>
    <w:uiPriority w:val="0"/>
    <w:rPr>
      <w:szCs w:val="24"/>
    </w:rPr>
  </w:style>
  <w:style w:type="paragraph" w:customStyle="1" w:styleId="47">
    <w:name w:val="Char1 Char Char Char"/>
    <w:basedOn w:val="1"/>
    <w:autoRedefine/>
    <w:qFormat/>
    <w:uiPriority w:val="0"/>
    <w:pPr>
      <w:adjustRightInd w:val="0"/>
      <w:jc w:val="both"/>
    </w:pPr>
    <w:rPr>
      <w:rFonts w:ascii="Times New Roman" w:hAnsi="Times New Roman" w:cs="Times New Roman"/>
      <w:kern w:val="0"/>
      <w:szCs w:val="20"/>
    </w:rPr>
  </w:style>
  <w:style w:type="character" w:customStyle="1" w:styleId="48">
    <w:name w:val="标题 3 字符"/>
    <w:basedOn w:val="33"/>
    <w:link w:val="4"/>
    <w:autoRedefine/>
    <w:qFormat/>
    <w:uiPriority w:val="9"/>
    <w:rPr>
      <w:rFonts w:eastAsia="宋体"/>
      <w:b/>
      <w:bCs/>
      <w:sz w:val="30"/>
      <w:szCs w:val="32"/>
    </w:rPr>
  </w:style>
  <w:style w:type="character" w:customStyle="1" w:styleId="49">
    <w:name w:val="标题 4 字符"/>
    <w:basedOn w:val="33"/>
    <w:link w:val="5"/>
    <w:autoRedefine/>
    <w:qFormat/>
    <w:uiPriority w:val="9"/>
    <w:rPr>
      <w:rFonts w:eastAsia="宋体" w:asciiTheme="majorHAnsi" w:hAnsiTheme="majorHAnsi" w:cstheme="majorBidi"/>
      <w:b/>
      <w:bCs/>
      <w:sz w:val="28"/>
      <w:szCs w:val="28"/>
    </w:rPr>
  </w:style>
  <w:style w:type="character" w:customStyle="1" w:styleId="50">
    <w:name w:val="正文文本 字符"/>
    <w:basedOn w:val="33"/>
    <w:link w:val="13"/>
    <w:autoRedefine/>
    <w:qFormat/>
    <w:uiPriority w:val="99"/>
    <w:rPr>
      <w:szCs w:val="24"/>
    </w:rPr>
  </w:style>
  <w:style w:type="paragraph" w:customStyle="1" w:styleId="51">
    <w:name w:val="样式"/>
    <w:basedOn w:val="1"/>
    <w:autoRedefine/>
    <w:qFormat/>
    <w:uiPriority w:val="0"/>
    <w:pPr>
      <w:autoSpaceDE w:val="0"/>
      <w:autoSpaceDN w:val="0"/>
      <w:snapToGrid w:val="0"/>
      <w:spacing w:before="120" w:after="120"/>
      <w:jc w:val="both"/>
    </w:pPr>
    <w:rPr>
      <w:rFonts w:hAnsi="Times New Roman" w:cs="Times New Roman"/>
      <w:kern w:val="0"/>
      <w:szCs w:val="20"/>
    </w:rPr>
  </w:style>
  <w:style w:type="paragraph" w:styleId="52">
    <w:name w:val="No Spacing"/>
    <w:autoRedefine/>
    <w:qFormat/>
    <w:uiPriority w:val="1"/>
    <w:pPr>
      <w:widowControl w:val="0"/>
    </w:pPr>
    <w:rPr>
      <w:rFonts w:ascii="宋体" w:hAnsi="宋体" w:eastAsia="宋体" w:cstheme="minorBidi"/>
      <w:kern w:val="2"/>
      <w:sz w:val="24"/>
      <w:szCs w:val="22"/>
      <w:lang w:val="en-US" w:eastAsia="zh-CN" w:bidi="ar-SA"/>
    </w:rPr>
  </w:style>
  <w:style w:type="character" w:customStyle="1" w:styleId="53">
    <w:name w:val="未处理的提及1"/>
    <w:basedOn w:val="33"/>
    <w:autoRedefine/>
    <w:semiHidden/>
    <w:unhideWhenUsed/>
    <w:qFormat/>
    <w:uiPriority w:val="99"/>
    <w:rPr>
      <w:color w:val="605E5C"/>
      <w:shd w:val="clear" w:color="auto" w:fill="E1DFDD"/>
    </w:rPr>
  </w:style>
  <w:style w:type="character" w:customStyle="1" w:styleId="54">
    <w:name w:val="批注主题 字符"/>
    <w:basedOn w:val="46"/>
    <w:link w:val="28"/>
    <w:autoRedefine/>
    <w:semiHidden/>
    <w:qFormat/>
    <w:uiPriority w:val="99"/>
    <w:rPr>
      <w:rFonts w:ascii="宋体" w:hAnsi="宋体" w:cstheme="minorBidi"/>
      <w:b/>
      <w:bCs/>
      <w:kern w:val="2"/>
      <w:sz w:val="24"/>
      <w:szCs w:val="22"/>
    </w:rPr>
  </w:style>
  <w:style w:type="character" w:customStyle="1" w:styleId="55">
    <w:name w:val="未处理的提及2"/>
    <w:basedOn w:val="33"/>
    <w:autoRedefine/>
    <w:semiHidden/>
    <w:unhideWhenUsed/>
    <w:qFormat/>
    <w:uiPriority w:val="99"/>
    <w:rPr>
      <w:color w:val="605E5C"/>
      <w:shd w:val="clear" w:color="auto" w:fill="E1DFDD"/>
    </w:rPr>
  </w:style>
  <w:style w:type="paragraph" w:customStyle="1" w:styleId="56">
    <w:name w:val="正文_2"/>
    <w:autoRedefine/>
    <w:qFormat/>
    <w:uiPriority w:val="0"/>
    <w:pPr>
      <w:widowControl w:val="0"/>
      <w:jc w:val="both"/>
    </w:pPr>
    <w:rPr>
      <w:rFonts w:ascii="Calibri" w:hAnsi="Calibri" w:eastAsia="宋体" w:cs="Times New Roman"/>
      <w:lang w:val="en-US" w:eastAsia="zh-CN" w:bidi="ar-SA"/>
    </w:rPr>
  </w:style>
  <w:style w:type="paragraph" w:customStyle="1" w:styleId="57">
    <w:name w:val="Normal"/>
    <w:autoRedefine/>
    <w:qFormat/>
    <w:uiPriority w:val="0"/>
    <w:pPr>
      <w:widowControl w:val="0"/>
      <w:jc w:val="both"/>
    </w:pPr>
    <w:rPr>
      <w:rFonts w:ascii="Times New Roman" w:hAnsi="Times New Roman" w:eastAsia="Times New Roman" w:cs="Times New Roman"/>
      <w:lang w:val="en-US" w:eastAsia="zh-CN" w:bidi="ar-SA"/>
    </w:rPr>
  </w:style>
  <w:style w:type="paragraph" w:customStyle="1" w:styleId="58">
    <w:name w:val="正文_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9">
    <w:name w:val="正文_2_0_0"/>
    <w:autoRedefine/>
    <w:qFormat/>
    <w:uiPriority w:val="99"/>
    <w:pPr>
      <w:widowControl w:val="0"/>
      <w:jc w:val="both"/>
    </w:pPr>
    <w:rPr>
      <w:rFonts w:ascii="Calibri" w:hAnsi="Calibri" w:eastAsia="宋体" w:cs="Times New Roman"/>
      <w:lang w:val="en-US" w:eastAsia="zh-CN" w:bidi="ar-SA"/>
    </w:rPr>
  </w:style>
  <w:style w:type="paragraph" w:customStyle="1" w:styleId="60">
    <w:name w:val="正文_1_1"/>
    <w:autoRedefine/>
    <w:qFormat/>
    <w:uiPriority w:val="99"/>
    <w:pPr>
      <w:widowControl w:val="0"/>
      <w:jc w:val="both"/>
    </w:pPr>
    <w:rPr>
      <w:rFonts w:ascii="Calibri" w:hAnsi="Calibri" w:eastAsia="宋体" w:cs="Times New Roman"/>
      <w:kern w:val="2"/>
      <w:sz w:val="21"/>
      <w:szCs w:val="24"/>
      <w:lang w:val="en-US" w:eastAsia="zh-CN" w:bidi="ar-SA"/>
    </w:rPr>
  </w:style>
  <w:style w:type="paragraph" w:customStyle="1" w:styleId="61">
    <w:name w:val="Normal Indent1"/>
    <w:basedOn w:val="1"/>
    <w:autoRedefine/>
    <w:qFormat/>
    <w:uiPriority w:val="0"/>
    <w:pPr>
      <w:ind w:firstLine="420" w:firstLineChars="200"/>
    </w:pPr>
  </w:style>
  <w:style w:type="paragraph" w:customStyle="1" w:styleId="62">
    <w:name w:val="LO-Normal"/>
    <w:autoRedefine/>
    <w:qFormat/>
    <w:uiPriority w:val="0"/>
    <w:pPr>
      <w:suppressAutoHyphens/>
    </w:pPr>
    <w:rPr>
      <w:rFonts w:ascii="Times New Roman" w:hAnsi="Times New Roman" w:eastAsia="宋体" w:cs="Times New Roman"/>
      <w:sz w:val="24"/>
      <w:szCs w:val="24"/>
      <w:lang w:val="en-US" w:eastAsia="zh-CN" w:bidi="ar-SA"/>
    </w:rPr>
  </w:style>
  <w:style w:type="paragraph" w:customStyle="1" w:styleId="63">
    <w:name w:val="Normal_22"/>
    <w:autoRedefine/>
    <w:qFormat/>
    <w:uiPriority w:val="0"/>
    <w:rPr>
      <w:rFonts w:ascii="Times New Roman" w:hAnsi="Times New Roman" w:eastAsia="Times New Roman" w:cs="Times New Roman"/>
      <w:sz w:val="24"/>
      <w:szCs w:val="24"/>
      <w:lang w:bidi="ar-SA"/>
    </w:rPr>
  </w:style>
  <w:style w:type="paragraph" w:customStyle="1" w:styleId="64">
    <w:name w:val="正文_6_0"/>
    <w:autoRedefine/>
    <w:qFormat/>
    <w:uiPriority w:val="0"/>
    <w:pPr>
      <w:widowControl w:val="0"/>
      <w:jc w:val="both"/>
    </w:pPr>
    <w:rPr>
      <w:rFonts w:ascii="Calibri" w:hAnsi="Calibri" w:eastAsia="宋体" w:cs="Times New Roman"/>
      <w:kern w:val="2"/>
      <w:sz w:val="21"/>
      <w:szCs w:val="22"/>
      <w:lang w:val="en-US" w:eastAsia="zh-CN" w:bidi="ar-SA"/>
    </w:rPr>
  </w:style>
  <w:style w:type="character" w:customStyle="1" w:styleId="65">
    <w:name w:val="正文_0_0_0 Char"/>
    <w:link w:val="66"/>
    <w:autoRedefine/>
    <w:qFormat/>
    <w:locked/>
    <w:uiPriority w:val="0"/>
    <w:rPr>
      <w:rFonts w:ascii="Calibri" w:hAnsi="Calibri" w:cs="Calibri"/>
      <w:kern w:val="2"/>
      <w:sz w:val="28"/>
      <w:szCs w:val="22"/>
      <w:lang w:val="en-US" w:eastAsia="zh-CN" w:bidi="ar-SA"/>
    </w:rPr>
  </w:style>
  <w:style w:type="paragraph" w:customStyle="1" w:styleId="66">
    <w:name w:val="正文_0_0_0_0_0"/>
    <w:link w:val="65"/>
    <w:autoRedefine/>
    <w:qFormat/>
    <w:uiPriority w:val="0"/>
    <w:pPr>
      <w:spacing w:before="120" w:after="120" w:line="360" w:lineRule="auto"/>
      <w:ind w:left="1072" w:hanging="1072"/>
      <w:jc w:val="both"/>
    </w:pPr>
    <w:rPr>
      <w:rFonts w:ascii="Calibri" w:hAnsi="Calibri" w:eastAsia="宋体" w:cs="Calibri"/>
      <w:kern w:val="2"/>
      <w:sz w:val="28"/>
      <w:szCs w:val="22"/>
      <w:lang w:val="en-US" w:eastAsia="zh-CN" w:bidi="ar-SA"/>
    </w:rPr>
  </w:style>
  <w:style w:type="paragraph" w:customStyle="1" w:styleId="67">
    <w:name w:val="正文文本_0_1"/>
    <w:basedOn w:val="68"/>
    <w:autoRedefine/>
    <w:qFormat/>
    <w:uiPriority w:val="99"/>
    <w:pPr>
      <w:spacing w:after="120"/>
    </w:pPr>
    <w:rPr>
      <w:rFonts w:ascii="Calibri" w:hAnsi="Calibri" w:eastAsia="宋体"/>
      <w:kern w:val="0"/>
      <w:sz w:val="24"/>
      <w:szCs w:val="20"/>
    </w:rPr>
  </w:style>
  <w:style w:type="paragraph" w:customStyle="1" w:styleId="68">
    <w:name w:val="正文_6_0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69">
    <w:name w:val="Table Paragraph_1"/>
    <w:basedOn w:val="68"/>
    <w:autoRedefine/>
    <w:qFormat/>
    <w:uiPriority w:val="0"/>
    <w:pPr>
      <w:jc w:val="left"/>
    </w:pPr>
    <w:rPr>
      <w:rFonts w:ascii="Calibri" w:hAnsi="Calibri" w:eastAsia="宋体"/>
      <w:kern w:val="0"/>
      <w:sz w:val="22"/>
      <w:lang w:eastAsia="en-US"/>
    </w:rPr>
  </w:style>
  <w:style w:type="paragraph" w:customStyle="1" w:styleId="70">
    <w:name w:val="正文_6"/>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71">
    <w:name w:val="正文1"/>
    <w:autoRedefine/>
    <w:qFormat/>
    <w:uiPriority w:val="0"/>
    <w:pPr>
      <w:widowControl w:val="0"/>
      <w:jc w:val="both"/>
    </w:pPr>
    <w:rPr>
      <w:rFonts w:ascii="Calibri" w:hAnsi="Calibri" w:eastAsia="宋体" w:cs="Times New Roman"/>
      <w:lang w:val="en-US" w:eastAsia="zh-CN" w:bidi="ar-SA"/>
    </w:rPr>
  </w:style>
  <w:style w:type="paragraph" w:customStyle="1" w:styleId="72">
    <w:name w:val="列出段落1"/>
    <w:basedOn w:val="1"/>
    <w:autoRedefine/>
    <w:qFormat/>
    <w:uiPriority w:val="0"/>
    <w:pPr>
      <w:ind w:firstLine="420" w:firstLineChars="200"/>
    </w:pPr>
    <w:rPr>
      <w:szCs w:val="21"/>
    </w:rPr>
  </w:style>
  <w:style w:type="paragraph" w:customStyle="1" w:styleId="73">
    <w:name w:val="xl31"/>
    <w:basedOn w:val="1"/>
    <w:autoRedefine/>
    <w:qFormat/>
    <w:uiPriority w:val="0"/>
    <w:pPr>
      <w:widowControl/>
      <w:spacing w:before="100" w:beforeAutospacing="1" w:after="100" w:afterAutospacing="1"/>
      <w:jc w:val="center"/>
    </w:pPr>
    <w:rPr>
      <w:b/>
      <w:bCs/>
      <w:kern w:val="0"/>
      <w:sz w:val="28"/>
      <w:szCs w:val="28"/>
    </w:rPr>
  </w:style>
  <w:style w:type="paragraph" w:customStyle="1" w:styleId="74">
    <w:name w:val="正文2"/>
    <w:basedOn w:val="1"/>
    <w:qFormat/>
    <w:uiPriority w:val="0"/>
    <w:pPr>
      <w:spacing w:before="156" w:line="360" w:lineRule="auto"/>
      <w:ind w:firstLine="510" w:firstLineChars="200"/>
    </w:pPr>
    <w:rPr>
      <w:sz w:val="24"/>
      <w:szCs w:val="20"/>
    </w:rPr>
  </w:style>
  <w:style w:type="paragraph" w:customStyle="1" w:styleId="75">
    <w:name w:val="Char Char Char Char Char Char Char1 Char"/>
    <w:basedOn w:val="1"/>
    <w:autoRedefine/>
    <w:qFormat/>
    <w:uiPriority w:val="0"/>
    <w:rPr>
      <w:rFonts w:ascii="Arial" w:hAnsi="Arial" w:eastAsia="宋体" w:cs="Arial"/>
      <w:sz w:val="24"/>
    </w:rPr>
  </w:style>
  <w:style w:type="paragraph" w:customStyle="1" w:styleId="76">
    <w:name w:val="正文缩进2格"/>
    <w:basedOn w:val="1"/>
    <w:qFormat/>
    <w:uiPriority w:val="0"/>
    <w:pPr>
      <w:spacing w:line="600" w:lineRule="exact"/>
      <w:ind w:firstLine="639" w:firstLineChars="206"/>
    </w:pPr>
    <w:rPr>
      <w:rFonts w:ascii="仿宋_GB2312" w:hAnsi="宋体" w:eastAsia="仿宋_GB2312"/>
      <w:kern w:val="0"/>
      <w:sz w:val="31"/>
      <w:szCs w:val="20"/>
    </w:rPr>
  </w:style>
  <w:style w:type="paragraph" w:customStyle="1" w:styleId="77">
    <w:name w:val="正文_0_1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78">
    <w:name w:val="正文_0_0_1"/>
    <w:autoRedefine/>
    <w:qFormat/>
    <w:uiPriority w:val="0"/>
    <w:pPr>
      <w:widowControl w:val="0"/>
      <w:jc w:val="both"/>
    </w:pPr>
    <w:rPr>
      <w:rFonts w:ascii="Calibri" w:hAnsi="Calibri" w:eastAsia="宋体" w:cs="Times New Roman"/>
      <w:kern w:val="2"/>
      <w:sz w:val="28"/>
      <w:szCs w:val="22"/>
      <w:lang w:val="en-US" w:eastAsia="zh-CN" w:bidi="ar-SA"/>
    </w:rPr>
  </w:style>
  <w:style w:type="paragraph" w:customStyle="1" w:styleId="79">
    <w:name w:val="Normal_3"/>
    <w:autoRedefine/>
    <w:qFormat/>
    <w:uiPriority w:val="0"/>
    <w:rPr>
      <w:rFonts w:ascii="黑体" w:hAnsi="黑体" w:eastAsia="黑体" w:cs="Times New Roman"/>
      <w:b/>
      <w:sz w:val="32"/>
      <w:szCs w:val="24"/>
      <w:lang w:val="en-US" w:eastAsia="zh-CN" w:bidi="ar-SA"/>
    </w:rPr>
  </w:style>
  <w:style w:type="paragraph" w:customStyle="1" w:styleId="80">
    <w:name w:val="正文_1_1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81">
    <w:name w:val="正文_0_0_0"/>
    <w:autoRedefine/>
    <w:qFormat/>
    <w:uiPriority w:val="0"/>
    <w:pPr>
      <w:widowControl w:val="0"/>
      <w:jc w:val="both"/>
    </w:pPr>
    <w:rPr>
      <w:rFonts w:ascii="Calibri" w:hAnsi="Calibri" w:eastAsia="宋体" w:cs="Times New Roman"/>
      <w:kern w:val="2"/>
      <w:sz w:val="28"/>
      <w:szCs w:val="22"/>
      <w:lang w:val="en-US" w:eastAsia="zh-CN" w:bidi="ar-SA"/>
    </w:rPr>
  </w:style>
  <w:style w:type="paragraph" w:customStyle="1" w:styleId="82">
    <w:name w:val="正文首行缩进 21"/>
    <w:basedOn w:val="14"/>
    <w:next w:val="17"/>
    <w:unhideWhenUsed/>
    <w:qFormat/>
    <w:uiPriority w:val="99"/>
    <w:pPr>
      <w:ind w:firstLine="420" w:firstLineChars="200"/>
    </w:pPr>
  </w:style>
  <w:style w:type="paragraph" w:customStyle="1" w:styleId="83">
    <w:name w:val="答复表头"/>
    <w:basedOn w:val="84"/>
    <w:next w:val="1"/>
    <w:qFormat/>
    <w:uiPriority w:val="0"/>
    <w:pPr>
      <w:tabs>
        <w:tab w:val="left" w:pos="480"/>
      </w:tabs>
    </w:pPr>
    <w:rPr>
      <w:b/>
    </w:rPr>
  </w:style>
  <w:style w:type="paragraph" w:customStyle="1" w:styleId="84">
    <w:name w:val="正表头"/>
    <w:basedOn w:val="1"/>
    <w:qFormat/>
    <w:uiPriority w:val="0"/>
    <w:pPr>
      <w:tabs>
        <w:tab w:val="left" w:pos="480"/>
      </w:tabs>
      <w:autoSpaceDE w:val="0"/>
      <w:autoSpaceDN w:val="0"/>
      <w:adjustRightInd w:val="0"/>
      <w:jc w:val="center"/>
      <w:textAlignment w:val="baseline"/>
    </w:pPr>
    <w:rPr>
      <w:rFonts w:ascii="宋体" w:hAnsi="Tms Rmn"/>
      <w:color w:val="000000"/>
      <w:kern w:val="0"/>
    </w:rPr>
  </w:style>
  <w:style w:type="paragraph" w:customStyle="1" w:styleId="85">
    <w:name w:val="Default Text"/>
    <w:basedOn w:val="1"/>
    <w:qFormat/>
    <w:uiPriority w:val="0"/>
    <w:pPr>
      <w:autoSpaceDE w:val="0"/>
      <w:autoSpaceDN w:val="0"/>
      <w:adjustRightInd w:val="0"/>
      <w:jc w:val="left"/>
    </w:pPr>
    <w:rPr>
      <w:rFonts w:ascii="Helvetica" w:hAnsi="Helvetica"/>
      <w:kern w:val="0"/>
      <w:sz w:val="22"/>
    </w:rPr>
  </w:style>
  <w:style w:type="paragraph" w:customStyle="1" w:styleId="86">
    <w:name w:val="5）标书正文 首行缩进2字符"/>
    <w:basedOn w:val="1"/>
    <w:qFormat/>
    <w:uiPriority w:val="0"/>
    <w:pPr>
      <w:spacing w:line="480" w:lineRule="exact"/>
      <w:ind w:firstLine="200" w:firstLineChars="200"/>
    </w:pPr>
    <w:rPr>
      <w:rFonts w:ascii="仿宋_GB2312" w:eastAsia="仿宋_GB2312"/>
      <w:sz w:val="28"/>
    </w:rPr>
  </w:style>
  <w:style w:type="paragraph" w:customStyle="1" w:styleId="87">
    <w:name w:val="样式1"/>
    <w:basedOn w:val="3"/>
    <w:qFormat/>
    <w:uiPriority w:val="0"/>
    <w:pPr>
      <w:keepNext w:val="0"/>
      <w:numPr>
        <w:ilvl w:val="1"/>
        <w:numId w:val="0"/>
      </w:numPr>
      <w:tabs>
        <w:tab w:val="left" w:pos="576"/>
        <w:tab w:val="left" w:pos="1296"/>
      </w:tabs>
      <w:adjustRightInd/>
      <w:spacing w:before="0" w:after="0" w:line="240" w:lineRule="auto"/>
      <w:ind w:left="576" w:hanging="576"/>
      <w:jc w:val="both"/>
      <w:textAlignment w:val="auto"/>
    </w:pPr>
    <w:rPr>
      <w:rFonts w:ascii="Times New Roman" w:hAnsi="Times New Roman" w:eastAsia="宋体"/>
      <w:b w:val="0"/>
      <w:sz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header" Target="header3.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image" Target="media/image1.png"/><Relationship Id="rId14" Type="http://schemas.openxmlformats.org/officeDocument/2006/relationships/theme" Target="theme/theme1.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135</Pages>
  <Words>13741</Words>
  <Characters>14974</Characters>
  <Lines>328</Lines>
  <Paragraphs>92</Paragraphs>
  <TotalTime>20</TotalTime>
  <ScaleCrop>false</ScaleCrop>
  <LinksUpToDate>false</LinksUpToDate>
  <CharactersWithSpaces>15702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2024-01-02T05:57:00Z</dcterms:created>
  <dc:creator>admin</dc:creator>
  <cp:lastModifiedBy>徐中凤</cp:lastModifiedBy>
  <cp:lastPrinted>2025-03-19T07:02:00Z</cp:lastPrinted>
  <dcterms:modified xsi:type="dcterms:W3CDTF">2025-03-21T10:54:09Z</dcterms:modified>
  <cp:revision>425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0C0691C7574B4612AF1B19903566AFE6_13</vt:lpwstr>
  </property>
  <property fmtid="{D5CDD505-2E9C-101B-9397-08002B2CF9AE}" pid="4" name="KSOTemplateDocerSaveRecord">
    <vt:lpwstr>eyJoZGlkIjoiYjk5ODM0YmMxOWJiYWQyNDU4MGIzYWRmYTA0ZmI5NDciLCJ1c2VySWQiOiIyOTY5MDU1MTYifQ==</vt:lpwstr>
  </property>
</Properties>
</file>